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78FA2" w14:textId="0C1EA892" w:rsidR="00F0686F" w:rsidRPr="0040294B" w:rsidRDefault="00F0686F" w:rsidP="0040294B">
      <w:pPr>
        <w:rPr>
          <w:rFonts w:ascii="Work Sans" w:hAnsi="Work Sans"/>
          <w:sz w:val="24"/>
          <w:szCs w:val="24"/>
        </w:rPr>
      </w:pPr>
      <w:r>
        <w:rPr>
          <w:noProof/>
        </w:rPr>
        <w:drawing>
          <wp:inline distT="0" distB="0" distL="0" distR="0" wp14:anchorId="405E15DB" wp14:editId="431101DC">
            <wp:extent cx="2441749" cy="460926"/>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2597" cy="496952"/>
                    </a:xfrm>
                    <a:prstGeom prst="rect">
                      <a:avLst/>
                    </a:prstGeom>
                  </pic:spPr>
                </pic:pic>
              </a:graphicData>
            </a:graphic>
          </wp:inline>
        </w:drawing>
      </w:r>
    </w:p>
    <w:p w14:paraId="661B45CB" w14:textId="3F5177DB" w:rsidR="00F0686F" w:rsidRPr="00F0686F" w:rsidRDefault="00F0686F" w:rsidP="00F0686F">
      <w:pPr>
        <w:rPr>
          <w:rFonts w:ascii="Work Sans" w:hAnsi="Work Sans"/>
          <w:sz w:val="24"/>
          <w:szCs w:val="24"/>
        </w:rPr>
      </w:pPr>
    </w:p>
    <w:p w14:paraId="336FD0BF" w14:textId="63A7EE1A" w:rsidR="00F0686F" w:rsidRPr="00F0686F" w:rsidRDefault="00F0686F" w:rsidP="00F0686F">
      <w:pPr>
        <w:rPr>
          <w:rFonts w:ascii="Work Sans" w:hAnsi="Work Sans"/>
          <w:sz w:val="24"/>
          <w:szCs w:val="24"/>
        </w:rPr>
      </w:pPr>
    </w:p>
    <w:p w14:paraId="3C66368F" w14:textId="044ECC7B" w:rsidR="00F0686F" w:rsidRDefault="00F0686F" w:rsidP="00F0686F">
      <w:pPr>
        <w:rPr>
          <w:rFonts w:ascii="Work Sans" w:hAnsi="Work Sans"/>
          <w:sz w:val="24"/>
          <w:szCs w:val="24"/>
        </w:rPr>
      </w:pPr>
    </w:p>
    <w:p w14:paraId="5E07383D" w14:textId="560566C8" w:rsidR="00F0686F" w:rsidRDefault="00F0686F" w:rsidP="00F0686F">
      <w:pPr>
        <w:rPr>
          <w:rFonts w:ascii="Work Sans" w:hAnsi="Work Sans"/>
          <w:sz w:val="24"/>
          <w:szCs w:val="24"/>
        </w:rPr>
      </w:pPr>
    </w:p>
    <w:p w14:paraId="781FBA61" w14:textId="3A00509B" w:rsidR="00F0686F" w:rsidRPr="00B417A0" w:rsidRDefault="00432FCE" w:rsidP="00F0686F">
      <w:pPr>
        <w:jc w:val="center"/>
        <w:rPr>
          <w:rFonts w:ascii="Work Sans" w:hAnsi="Work Sans" w:cs="Open Sans"/>
          <w:b/>
          <w:bCs/>
          <w:color w:val="FFFFFF"/>
          <w:sz w:val="84"/>
          <w:szCs w:val="84"/>
        </w:rPr>
      </w:pPr>
      <w:r>
        <w:rPr>
          <w:rFonts w:ascii="Work Sans" w:hAnsi="Work Sans" w:cs="Open Sans"/>
          <w:b/>
          <w:bCs/>
          <w:color w:val="FFFFFF"/>
          <w:sz w:val="84"/>
          <w:szCs w:val="84"/>
        </w:rPr>
        <w:t xml:space="preserve">Overview of the </w:t>
      </w:r>
      <w:r w:rsidR="005C2E59">
        <w:rPr>
          <w:rFonts w:ascii="Work Sans" w:hAnsi="Work Sans" w:cs="Open Sans"/>
          <w:b/>
          <w:bCs/>
          <w:color w:val="FFFFFF"/>
          <w:sz w:val="84"/>
          <w:szCs w:val="84"/>
        </w:rPr>
        <w:t>final</w:t>
      </w:r>
      <w:r w:rsidR="00376F3B">
        <w:rPr>
          <w:rFonts w:ascii="Work Sans" w:hAnsi="Work Sans" w:cs="Open Sans"/>
          <w:b/>
          <w:bCs/>
          <w:color w:val="FFFFFF"/>
          <w:sz w:val="84"/>
          <w:szCs w:val="84"/>
        </w:rPr>
        <w:t xml:space="preserve"> draft</w:t>
      </w:r>
      <w:r w:rsidR="005C2E59">
        <w:rPr>
          <w:rFonts w:ascii="Work Sans" w:hAnsi="Work Sans" w:cs="Open Sans"/>
          <w:b/>
          <w:bCs/>
          <w:color w:val="FFFFFF"/>
          <w:sz w:val="84"/>
          <w:szCs w:val="84"/>
        </w:rPr>
        <w:t xml:space="preserve"> justice assessment</w:t>
      </w:r>
    </w:p>
    <w:p w14:paraId="2844F2B4" w14:textId="77777777" w:rsidR="00F0686F" w:rsidRPr="00F0686F" w:rsidRDefault="00F0686F" w:rsidP="00F0686F">
      <w:pPr>
        <w:rPr>
          <w:rFonts w:ascii="Work Sans" w:hAnsi="Work Sans"/>
          <w:sz w:val="24"/>
          <w:szCs w:val="24"/>
        </w:rPr>
      </w:pPr>
    </w:p>
    <w:p w14:paraId="388F5055" w14:textId="3B13F77A" w:rsidR="00F0686F" w:rsidRDefault="00F0686F" w:rsidP="00F0686F">
      <w:pPr>
        <w:rPr>
          <w:rFonts w:ascii="Work Sans" w:hAnsi="Work Sans"/>
          <w:sz w:val="24"/>
          <w:szCs w:val="24"/>
        </w:rPr>
      </w:pPr>
    </w:p>
    <w:p w14:paraId="0809D047" w14:textId="7B87D5CF" w:rsidR="00F0686F" w:rsidRDefault="00F0686F" w:rsidP="00F0686F">
      <w:pPr>
        <w:rPr>
          <w:rFonts w:ascii="Work Sans" w:hAnsi="Work Sans"/>
          <w:sz w:val="24"/>
          <w:szCs w:val="24"/>
        </w:rPr>
      </w:pPr>
    </w:p>
    <w:p w14:paraId="252251E0" w14:textId="115745F3" w:rsidR="00F0686F" w:rsidRDefault="00F0686F" w:rsidP="00F0686F">
      <w:pPr>
        <w:rPr>
          <w:rFonts w:ascii="Work Sans" w:hAnsi="Work Sans"/>
          <w:sz w:val="24"/>
          <w:szCs w:val="24"/>
        </w:rPr>
      </w:pPr>
    </w:p>
    <w:p w14:paraId="319CC308" w14:textId="50BFE7D5" w:rsidR="00F0686F" w:rsidRPr="00B417A0" w:rsidRDefault="0040294B" w:rsidP="00F0686F">
      <w:pPr>
        <w:jc w:val="center"/>
        <w:rPr>
          <w:rFonts w:ascii="Work Sans" w:hAnsi="Work Sans" w:cs="Open Sans"/>
          <w:color w:val="FFFFFF"/>
          <w:sz w:val="48"/>
          <w:szCs w:val="48"/>
        </w:rPr>
      </w:pPr>
      <w:r>
        <w:rPr>
          <w:rFonts w:ascii="Work Sans" w:hAnsi="Work Sans" w:cs="Open Sans"/>
          <w:color w:val="FFFFFF"/>
          <w:sz w:val="48"/>
          <w:szCs w:val="48"/>
        </w:rPr>
        <w:t>20</w:t>
      </w:r>
      <w:r w:rsidR="00432FCE">
        <w:rPr>
          <w:rFonts w:ascii="Work Sans" w:hAnsi="Work Sans" w:cs="Open Sans"/>
          <w:color w:val="FFFFFF"/>
          <w:sz w:val="48"/>
          <w:szCs w:val="48"/>
        </w:rPr>
        <w:t>26</w:t>
      </w:r>
      <w:r>
        <w:rPr>
          <w:rFonts w:ascii="Work Sans" w:hAnsi="Work Sans" w:cs="Open Sans"/>
          <w:color w:val="FFFFFF"/>
          <w:sz w:val="48"/>
          <w:szCs w:val="48"/>
        </w:rPr>
        <w:t xml:space="preserve"> </w:t>
      </w:r>
      <w:r w:rsidR="00F0686F">
        <w:rPr>
          <w:rFonts w:ascii="Work Sans" w:hAnsi="Work Sans" w:cs="Open Sans"/>
          <w:color w:val="FFFFFF"/>
          <w:sz w:val="48"/>
          <w:szCs w:val="48"/>
        </w:rPr>
        <w:t>Update</w:t>
      </w:r>
    </w:p>
    <w:p w14:paraId="5C2326E2" w14:textId="4B97A15D" w:rsidR="00F0686F" w:rsidRDefault="00F0686F" w:rsidP="00F0686F">
      <w:pPr>
        <w:rPr>
          <w:rFonts w:ascii="Work Sans" w:hAnsi="Work Sans"/>
          <w:sz w:val="24"/>
          <w:szCs w:val="24"/>
        </w:rPr>
      </w:pPr>
    </w:p>
    <w:p w14:paraId="131650E4" w14:textId="5A2A0814" w:rsidR="00F0686F" w:rsidRDefault="00F0686F" w:rsidP="00F0686F">
      <w:pPr>
        <w:rPr>
          <w:rFonts w:ascii="Work Sans" w:hAnsi="Work Sans"/>
          <w:sz w:val="24"/>
          <w:szCs w:val="24"/>
        </w:rPr>
      </w:pPr>
    </w:p>
    <w:p w14:paraId="1984CB86" w14:textId="16808882" w:rsidR="00F0686F" w:rsidRDefault="00F0686F" w:rsidP="00F0686F">
      <w:pPr>
        <w:rPr>
          <w:rFonts w:ascii="Work Sans" w:hAnsi="Work Sans"/>
          <w:sz w:val="24"/>
          <w:szCs w:val="24"/>
        </w:rPr>
      </w:pPr>
    </w:p>
    <w:p w14:paraId="5F88A3BD" w14:textId="02E49D17" w:rsidR="0040294B" w:rsidRPr="00F8305F" w:rsidRDefault="00432FCE" w:rsidP="0040294B">
      <w:pPr>
        <w:jc w:val="center"/>
        <w:rPr>
          <w:rFonts w:ascii="Work Sans" w:hAnsi="Work Sans" w:cs="Open Sans"/>
          <w:color w:val="FFFFFF"/>
          <w:sz w:val="28"/>
          <w:szCs w:val="28"/>
        </w:rPr>
      </w:pPr>
      <w:r>
        <w:rPr>
          <w:rFonts w:ascii="Work Sans" w:hAnsi="Work Sans" w:cs="Open Sans"/>
          <w:color w:val="FFFFFF"/>
          <w:sz w:val="28"/>
          <w:szCs w:val="28"/>
        </w:rPr>
        <w:t>October 2025</w:t>
      </w:r>
    </w:p>
    <w:p w14:paraId="5C0198E0" w14:textId="1C54C210" w:rsidR="00F0686F" w:rsidRDefault="00F0686F" w:rsidP="00F0686F">
      <w:pPr>
        <w:rPr>
          <w:rFonts w:ascii="Work Sans" w:hAnsi="Work Sans"/>
          <w:sz w:val="24"/>
          <w:szCs w:val="24"/>
        </w:rPr>
      </w:pPr>
    </w:p>
    <w:p w14:paraId="7AA5A6EB" w14:textId="40016DAC" w:rsidR="0040294B" w:rsidRDefault="0040294B" w:rsidP="00F0686F">
      <w:pPr>
        <w:rPr>
          <w:rFonts w:ascii="Work Sans" w:hAnsi="Work Sans"/>
          <w:sz w:val="24"/>
          <w:szCs w:val="24"/>
        </w:rPr>
      </w:pPr>
    </w:p>
    <w:p w14:paraId="11D93355" w14:textId="5493012B" w:rsidR="0040294B" w:rsidRDefault="0040294B" w:rsidP="00F0686F">
      <w:pPr>
        <w:rPr>
          <w:rFonts w:ascii="Work Sans" w:hAnsi="Work Sans"/>
          <w:sz w:val="24"/>
          <w:szCs w:val="24"/>
        </w:rPr>
      </w:pPr>
    </w:p>
    <w:p w14:paraId="26A0BECA" w14:textId="77777777" w:rsidR="0040294B" w:rsidRDefault="0040294B" w:rsidP="00F0686F">
      <w:pPr>
        <w:rPr>
          <w:rFonts w:ascii="Work Sans" w:hAnsi="Work Sans"/>
          <w:sz w:val="24"/>
          <w:szCs w:val="24"/>
        </w:rPr>
      </w:pPr>
    </w:p>
    <w:p w14:paraId="45EF8893" w14:textId="77777777" w:rsidR="00F0686F" w:rsidRPr="00F0686F" w:rsidRDefault="00F0686F" w:rsidP="00F0686F">
      <w:pPr>
        <w:rPr>
          <w:rFonts w:ascii="Work Sans" w:hAnsi="Work Sans"/>
          <w:sz w:val="24"/>
          <w:szCs w:val="24"/>
        </w:rPr>
      </w:pPr>
    </w:p>
    <w:p w14:paraId="577CCE87" w14:textId="77777777" w:rsidR="00F0686F" w:rsidRPr="00F0686F" w:rsidRDefault="00F0686F" w:rsidP="00F0686F">
      <w:pPr>
        <w:rPr>
          <w:rFonts w:ascii="Work Sans" w:hAnsi="Work Sans"/>
          <w:sz w:val="24"/>
          <w:szCs w:val="24"/>
        </w:rPr>
      </w:pPr>
    </w:p>
    <w:p w14:paraId="752E32B5" w14:textId="77777777" w:rsidR="00F0686F" w:rsidRDefault="00F0686F" w:rsidP="00F13451">
      <w:pPr>
        <w:pStyle w:val="Heading1"/>
        <w:sectPr w:rsidR="00F0686F" w:rsidSect="00F0686F">
          <w:headerReference w:type="even" r:id="rId12"/>
          <w:headerReference w:type="default" r:id="rId13"/>
          <w:footerReference w:type="even" r:id="rId14"/>
          <w:pgSz w:w="11906" w:h="16838"/>
          <w:pgMar w:top="1440" w:right="1440" w:bottom="1440" w:left="1440" w:header="708" w:footer="708" w:gutter="0"/>
          <w:cols w:space="708"/>
          <w:docGrid w:linePitch="360"/>
        </w:sectPr>
      </w:pPr>
    </w:p>
    <w:p w14:paraId="33ACA75B" w14:textId="77777777" w:rsidR="0040294B" w:rsidRPr="00DA2B18" w:rsidRDefault="0040294B" w:rsidP="00F13451">
      <w:pPr>
        <w:pStyle w:val="Heading1"/>
        <w:rPr>
          <w:sz w:val="20"/>
          <w:szCs w:val="20"/>
        </w:rPr>
      </w:pPr>
    </w:p>
    <w:p w14:paraId="0646E643" w14:textId="77777777" w:rsidR="0040294B" w:rsidRPr="00DA2B18" w:rsidRDefault="0040294B" w:rsidP="0040294B">
      <w:pPr>
        <w:rPr>
          <w:rFonts w:ascii="Work Sans" w:hAnsi="Work Sans"/>
          <w:sz w:val="20"/>
          <w:szCs w:val="20"/>
        </w:rPr>
      </w:pPr>
    </w:p>
    <w:p w14:paraId="342E947D" w14:textId="77777777" w:rsidR="0040294B" w:rsidRPr="00DA2B18" w:rsidRDefault="0040294B" w:rsidP="0040294B">
      <w:pPr>
        <w:rPr>
          <w:rFonts w:ascii="Work Sans" w:hAnsi="Work Sans"/>
          <w:sz w:val="20"/>
          <w:szCs w:val="20"/>
        </w:rPr>
      </w:pPr>
    </w:p>
    <w:p w14:paraId="7BCDEDD2" w14:textId="77777777" w:rsidR="0040294B" w:rsidRPr="00DA2B18" w:rsidRDefault="0040294B" w:rsidP="0040294B">
      <w:pPr>
        <w:rPr>
          <w:rFonts w:ascii="Work Sans" w:hAnsi="Work Sans"/>
          <w:sz w:val="20"/>
          <w:szCs w:val="20"/>
        </w:rPr>
      </w:pPr>
    </w:p>
    <w:p w14:paraId="225250DF" w14:textId="08FB8710" w:rsidR="0040294B" w:rsidRPr="00DA2B18" w:rsidRDefault="0040294B" w:rsidP="0040294B">
      <w:pPr>
        <w:rPr>
          <w:rFonts w:ascii="Work Sans" w:hAnsi="Work Sans"/>
          <w:sz w:val="20"/>
          <w:szCs w:val="20"/>
        </w:rPr>
      </w:pPr>
    </w:p>
    <w:p w14:paraId="34793539" w14:textId="28FB9F54" w:rsidR="00FE2B0F" w:rsidRPr="00DA2B18" w:rsidRDefault="00FE2B0F" w:rsidP="0040294B">
      <w:pPr>
        <w:rPr>
          <w:rFonts w:ascii="Work Sans" w:hAnsi="Work Sans"/>
          <w:sz w:val="20"/>
          <w:szCs w:val="20"/>
        </w:rPr>
      </w:pPr>
    </w:p>
    <w:p w14:paraId="581C2844" w14:textId="4B418EDF" w:rsidR="00FE2B0F" w:rsidRPr="00DA2B18" w:rsidRDefault="00FE2B0F" w:rsidP="0040294B">
      <w:pPr>
        <w:rPr>
          <w:rFonts w:ascii="Work Sans" w:hAnsi="Work Sans"/>
          <w:sz w:val="20"/>
          <w:szCs w:val="20"/>
        </w:rPr>
      </w:pPr>
    </w:p>
    <w:p w14:paraId="2D12D682" w14:textId="46BBF65E" w:rsidR="00FE2B0F" w:rsidRPr="00DA2B18" w:rsidRDefault="00FE2B0F" w:rsidP="0040294B">
      <w:pPr>
        <w:rPr>
          <w:rFonts w:ascii="Work Sans" w:hAnsi="Work Sans"/>
          <w:sz w:val="20"/>
          <w:szCs w:val="20"/>
        </w:rPr>
      </w:pPr>
    </w:p>
    <w:p w14:paraId="264C4767" w14:textId="0C0BFDC6" w:rsidR="00FE2B0F" w:rsidRPr="00DA2B18" w:rsidRDefault="00FE2B0F" w:rsidP="0040294B">
      <w:pPr>
        <w:rPr>
          <w:rFonts w:ascii="Work Sans" w:hAnsi="Work Sans"/>
          <w:sz w:val="20"/>
          <w:szCs w:val="20"/>
        </w:rPr>
      </w:pPr>
    </w:p>
    <w:p w14:paraId="43135A8A" w14:textId="58853028" w:rsidR="00DA2B18" w:rsidRPr="00DA2B18" w:rsidRDefault="00DA2B18" w:rsidP="0040294B">
      <w:pPr>
        <w:rPr>
          <w:rFonts w:ascii="Work Sans" w:hAnsi="Work Sans"/>
          <w:sz w:val="20"/>
          <w:szCs w:val="20"/>
        </w:rPr>
      </w:pPr>
    </w:p>
    <w:p w14:paraId="08954813" w14:textId="61FAB6B3" w:rsidR="00DA2B18" w:rsidRPr="00DA2B18" w:rsidRDefault="00DA2B18" w:rsidP="0040294B">
      <w:pPr>
        <w:rPr>
          <w:rFonts w:ascii="Work Sans" w:hAnsi="Work Sans"/>
          <w:sz w:val="20"/>
          <w:szCs w:val="20"/>
        </w:rPr>
      </w:pPr>
    </w:p>
    <w:p w14:paraId="6A3FDAE6" w14:textId="128893C5" w:rsidR="00DA2B18" w:rsidRDefault="00DA2B18" w:rsidP="0040294B">
      <w:pPr>
        <w:rPr>
          <w:rFonts w:ascii="Work Sans" w:hAnsi="Work Sans"/>
          <w:sz w:val="20"/>
          <w:szCs w:val="20"/>
        </w:rPr>
      </w:pPr>
    </w:p>
    <w:p w14:paraId="619ED3D4" w14:textId="77777777" w:rsidR="00BF741C" w:rsidRDefault="00BF741C" w:rsidP="0040294B">
      <w:pPr>
        <w:rPr>
          <w:rFonts w:ascii="Work Sans" w:hAnsi="Work Sans"/>
          <w:sz w:val="20"/>
          <w:szCs w:val="20"/>
        </w:rPr>
      </w:pPr>
    </w:p>
    <w:p w14:paraId="1C99B699" w14:textId="4FFED0BD" w:rsidR="00DA2B18" w:rsidRDefault="00DA2B18" w:rsidP="0040294B">
      <w:pPr>
        <w:rPr>
          <w:rFonts w:ascii="Work Sans" w:hAnsi="Work Sans"/>
          <w:sz w:val="20"/>
          <w:szCs w:val="20"/>
        </w:rPr>
      </w:pPr>
    </w:p>
    <w:p w14:paraId="7D9AD599" w14:textId="77777777" w:rsidR="00DA2B18" w:rsidRPr="00DA2B18" w:rsidRDefault="00DA2B18" w:rsidP="0040294B">
      <w:pPr>
        <w:rPr>
          <w:rFonts w:ascii="Work Sans" w:hAnsi="Work Sans"/>
          <w:sz w:val="20"/>
          <w:szCs w:val="20"/>
        </w:rPr>
      </w:pPr>
    </w:p>
    <w:p w14:paraId="3B2F3FC8" w14:textId="1EAEAD55" w:rsidR="00DA2B18" w:rsidRPr="00DA2B18" w:rsidRDefault="00DA2B18" w:rsidP="0040294B">
      <w:pPr>
        <w:rPr>
          <w:rFonts w:ascii="Work Sans" w:hAnsi="Work Sans"/>
          <w:sz w:val="20"/>
          <w:szCs w:val="20"/>
        </w:rPr>
      </w:pPr>
    </w:p>
    <w:p w14:paraId="1190D8FB" w14:textId="77777777" w:rsidR="00DA2B18" w:rsidRPr="00DA2B18" w:rsidRDefault="00DA2B18" w:rsidP="0040294B">
      <w:pPr>
        <w:rPr>
          <w:rFonts w:ascii="Work Sans" w:hAnsi="Work Sans"/>
          <w:sz w:val="20"/>
          <w:szCs w:val="20"/>
        </w:rPr>
      </w:pPr>
    </w:p>
    <w:tbl>
      <w:tblPr>
        <w:tblStyle w:val="TableGrid"/>
        <w:tblW w:w="0" w:type="auto"/>
        <w:tblLook w:val="04A0" w:firstRow="1" w:lastRow="0" w:firstColumn="1" w:lastColumn="0" w:noHBand="0" w:noVBand="1"/>
      </w:tblPr>
      <w:tblGrid>
        <w:gridCol w:w="2972"/>
        <w:gridCol w:w="6044"/>
      </w:tblGrid>
      <w:tr w:rsidR="00873C95" w14:paraId="498F0A14" w14:textId="77777777" w:rsidTr="003B7DA1">
        <w:tc>
          <w:tcPr>
            <w:tcW w:w="2972" w:type="dxa"/>
          </w:tcPr>
          <w:p w14:paraId="6DBC36B4" w14:textId="693372A4" w:rsidR="00873C95" w:rsidRPr="00DA2B18" w:rsidRDefault="00873C95" w:rsidP="0040294B">
            <w:pPr>
              <w:rPr>
                <w:rFonts w:ascii="Work Sans" w:hAnsi="Work Sans"/>
                <w:sz w:val="20"/>
                <w:szCs w:val="20"/>
              </w:rPr>
            </w:pPr>
            <w:r w:rsidRPr="00DA2B18">
              <w:rPr>
                <w:rFonts w:ascii="Work Sans" w:hAnsi="Work Sans"/>
                <w:sz w:val="20"/>
                <w:szCs w:val="20"/>
              </w:rPr>
              <w:t>Paper issued</w:t>
            </w:r>
          </w:p>
        </w:tc>
        <w:tc>
          <w:tcPr>
            <w:tcW w:w="6044" w:type="dxa"/>
          </w:tcPr>
          <w:p w14:paraId="688B7832" w14:textId="3355290F" w:rsidR="00873C95" w:rsidRPr="003B7DA1" w:rsidRDefault="006D3DAD" w:rsidP="0040294B">
            <w:pPr>
              <w:rPr>
                <w:rFonts w:ascii="Work Sans" w:hAnsi="Work Sans"/>
                <w:sz w:val="20"/>
                <w:szCs w:val="20"/>
              </w:rPr>
            </w:pPr>
            <w:r w:rsidRPr="003B7DA1">
              <w:rPr>
                <w:rFonts w:ascii="Work Sans" w:hAnsi="Work Sans"/>
                <w:sz w:val="20"/>
                <w:szCs w:val="20"/>
              </w:rPr>
              <w:t>15</w:t>
            </w:r>
            <w:r w:rsidR="00873C95" w:rsidRPr="003B7DA1">
              <w:rPr>
                <w:rFonts w:ascii="Work Sans" w:hAnsi="Work Sans"/>
                <w:sz w:val="20"/>
                <w:szCs w:val="20"/>
              </w:rPr>
              <w:t xml:space="preserve"> </w:t>
            </w:r>
            <w:r w:rsidR="00EA2261" w:rsidRPr="003B7DA1">
              <w:rPr>
                <w:rFonts w:ascii="Work Sans" w:hAnsi="Work Sans"/>
                <w:sz w:val="20"/>
                <w:szCs w:val="20"/>
              </w:rPr>
              <w:t>October</w:t>
            </w:r>
            <w:r w:rsidR="00873C95" w:rsidRPr="003B7DA1">
              <w:rPr>
                <w:rFonts w:ascii="Work Sans" w:hAnsi="Work Sans"/>
                <w:sz w:val="20"/>
                <w:szCs w:val="20"/>
              </w:rPr>
              <w:t xml:space="preserve"> 20</w:t>
            </w:r>
            <w:r w:rsidR="00EA2261" w:rsidRPr="003B7DA1">
              <w:rPr>
                <w:rFonts w:ascii="Work Sans" w:hAnsi="Work Sans"/>
                <w:sz w:val="20"/>
                <w:szCs w:val="20"/>
              </w:rPr>
              <w:t>25</w:t>
            </w:r>
          </w:p>
        </w:tc>
      </w:tr>
      <w:tr w:rsidR="00873C95" w14:paraId="7171E833" w14:textId="77777777" w:rsidTr="00873C95">
        <w:tc>
          <w:tcPr>
            <w:tcW w:w="2972" w:type="dxa"/>
          </w:tcPr>
          <w:p w14:paraId="610B5053" w14:textId="31AF6193" w:rsidR="00873C95" w:rsidRPr="00DA2B18" w:rsidRDefault="00873C95" w:rsidP="0040294B">
            <w:pPr>
              <w:rPr>
                <w:rFonts w:ascii="Work Sans" w:hAnsi="Work Sans"/>
                <w:sz w:val="20"/>
                <w:szCs w:val="20"/>
              </w:rPr>
            </w:pPr>
            <w:r w:rsidRPr="00DA2B18">
              <w:rPr>
                <w:rFonts w:ascii="Work Sans" w:hAnsi="Work Sans"/>
                <w:sz w:val="20"/>
                <w:szCs w:val="20"/>
              </w:rPr>
              <w:t>Commission contact officer</w:t>
            </w:r>
          </w:p>
        </w:tc>
        <w:tc>
          <w:tcPr>
            <w:tcW w:w="6044" w:type="dxa"/>
          </w:tcPr>
          <w:p w14:paraId="0A156289" w14:textId="25538841" w:rsidR="00873C95" w:rsidRPr="003B7DA1" w:rsidRDefault="0055652F" w:rsidP="0040294B">
            <w:pPr>
              <w:rPr>
                <w:rFonts w:ascii="Work Sans" w:hAnsi="Work Sans"/>
                <w:sz w:val="20"/>
                <w:szCs w:val="20"/>
              </w:rPr>
            </w:pPr>
            <w:r w:rsidRPr="003B7DA1">
              <w:rPr>
                <w:rFonts w:ascii="Work Sans" w:hAnsi="Work Sans"/>
                <w:sz w:val="20"/>
                <w:szCs w:val="20"/>
              </w:rPr>
              <w:t>Carrie Dreese,</w:t>
            </w:r>
            <w:r w:rsidR="00873C95" w:rsidRPr="003B7DA1">
              <w:rPr>
                <w:rFonts w:ascii="Work Sans" w:hAnsi="Work Sans"/>
                <w:sz w:val="20"/>
                <w:szCs w:val="20"/>
              </w:rPr>
              <w:t xml:space="preserve"> </w:t>
            </w:r>
            <w:r w:rsidRPr="003B7DA1">
              <w:rPr>
                <w:rFonts w:ascii="Work Sans" w:hAnsi="Work Sans"/>
                <w:sz w:val="20"/>
                <w:szCs w:val="20"/>
              </w:rPr>
              <w:t xml:space="preserve">(02) </w:t>
            </w:r>
            <w:r w:rsidR="008142F3" w:rsidRPr="003B7DA1">
              <w:rPr>
                <w:rFonts w:ascii="Work Sans" w:hAnsi="Work Sans"/>
                <w:sz w:val="20"/>
                <w:szCs w:val="20"/>
              </w:rPr>
              <w:t>6218 5715</w:t>
            </w:r>
            <w:r w:rsidR="00873C95" w:rsidRPr="003B7DA1">
              <w:rPr>
                <w:rFonts w:ascii="Work Sans" w:hAnsi="Work Sans"/>
                <w:sz w:val="20"/>
                <w:szCs w:val="20"/>
              </w:rPr>
              <w:t xml:space="preserve">, </w:t>
            </w:r>
            <w:r w:rsidR="005948F2" w:rsidRPr="003B7DA1">
              <w:rPr>
                <w:rFonts w:ascii="Work Sans" w:hAnsi="Work Sans"/>
                <w:sz w:val="20"/>
                <w:szCs w:val="20"/>
              </w:rPr>
              <w:t>carrie.dreese@</w:t>
            </w:r>
            <w:r w:rsidR="00554BE6" w:rsidRPr="003B7DA1">
              <w:rPr>
                <w:rFonts w:ascii="Work Sans" w:hAnsi="Work Sans"/>
                <w:sz w:val="20"/>
                <w:szCs w:val="20"/>
              </w:rPr>
              <w:t>cgc.gov.au</w:t>
            </w:r>
          </w:p>
        </w:tc>
      </w:tr>
      <w:tr w:rsidR="00873C95" w14:paraId="755AC100" w14:textId="77777777" w:rsidTr="00873C95">
        <w:tc>
          <w:tcPr>
            <w:tcW w:w="2972" w:type="dxa"/>
          </w:tcPr>
          <w:p w14:paraId="39E5E2D7" w14:textId="0E622224" w:rsidR="00873C95" w:rsidRPr="00DA2B18" w:rsidRDefault="00873C95" w:rsidP="00873C95">
            <w:pPr>
              <w:rPr>
                <w:rFonts w:ascii="Work Sans" w:hAnsi="Work Sans"/>
                <w:sz w:val="20"/>
                <w:szCs w:val="20"/>
              </w:rPr>
            </w:pPr>
            <w:r w:rsidRPr="00DA2B18">
              <w:rPr>
                <w:rFonts w:ascii="Work Sans" w:hAnsi="Work Sans"/>
                <w:sz w:val="20"/>
                <w:szCs w:val="20"/>
              </w:rPr>
              <w:t>Submissions sought by</w:t>
            </w:r>
          </w:p>
        </w:tc>
        <w:tc>
          <w:tcPr>
            <w:tcW w:w="6044" w:type="dxa"/>
          </w:tcPr>
          <w:p w14:paraId="4FBE25B3" w14:textId="77777777" w:rsidR="000F0E51" w:rsidRPr="003B7DA1" w:rsidRDefault="00873C95" w:rsidP="00873C95">
            <w:pPr>
              <w:rPr>
                <w:rFonts w:ascii="Work Sans" w:hAnsi="Work Sans"/>
                <w:sz w:val="20"/>
                <w:szCs w:val="20"/>
              </w:rPr>
            </w:pPr>
            <w:r w:rsidRPr="003B7DA1">
              <w:rPr>
                <w:rFonts w:ascii="Work Sans" w:hAnsi="Work Sans"/>
                <w:sz w:val="20"/>
                <w:szCs w:val="20"/>
              </w:rPr>
              <w:t xml:space="preserve">Date </w:t>
            </w:r>
            <w:r w:rsidR="00EA2261" w:rsidRPr="003B7DA1">
              <w:rPr>
                <w:rFonts w:ascii="Work Sans" w:hAnsi="Work Sans"/>
                <w:sz w:val="20"/>
                <w:szCs w:val="20"/>
              </w:rPr>
              <w:t xml:space="preserve">due </w:t>
            </w:r>
            <w:r w:rsidRPr="003B7DA1">
              <w:rPr>
                <w:rFonts w:ascii="Work Sans" w:hAnsi="Work Sans"/>
                <w:sz w:val="20"/>
                <w:szCs w:val="20"/>
              </w:rPr>
              <w:t xml:space="preserve">on </w:t>
            </w:r>
            <w:r w:rsidR="006D3DAD" w:rsidRPr="003B7DA1">
              <w:rPr>
                <w:rFonts w:ascii="Work Sans" w:hAnsi="Work Sans"/>
                <w:sz w:val="20"/>
                <w:szCs w:val="20"/>
              </w:rPr>
              <w:t>12</w:t>
            </w:r>
            <w:r w:rsidR="005C2FB5" w:rsidRPr="003B7DA1">
              <w:rPr>
                <w:rFonts w:ascii="Work Sans" w:hAnsi="Work Sans"/>
                <w:sz w:val="20"/>
                <w:szCs w:val="20"/>
              </w:rPr>
              <w:t xml:space="preserve"> November</w:t>
            </w:r>
            <w:r w:rsidRPr="003B7DA1">
              <w:rPr>
                <w:rFonts w:ascii="Work Sans" w:hAnsi="Work Sans"/>
                <w:sz w:val="20"/>
                <w:szCs w:val="20"/>
              </w:rPr>
              <w:t xml:space="preserve"> 20</w:t>
            </w:r>
            <w:r w:rsidR="00EA2261" w:rsidRPr="003B7DA1">
              <w:rPr>
                <w:rFonts w:ascii="Work Sans" w:hAnsi="Work Sans"/>
                <w:sz w:val="20"/>
                <w:szCs w:val="20"/>
              </w:rPr>
              <w:t>25</w:t>
            </w:r>
            <w:r w:rsidRPr="003B7DA1">
              <w:rPr>
                <w:rFonts w:ascii="Work Sans" w:hAnsi="Work Sans"/>
                <w:sz w:val="20"/>
                <w:szCs w:val="20"/>
              </w:rPr>
              <w:t xml:space="preserve">.  </w:t>
            </w:r>
          </w:p>
          <w:p w14:paraId="324C4217" w14:textId="77777777" w:rsidR="000F0E51" w:rsidRPr="003B7DA1" w:rsidRDefault="000F0E51" w:rsidP="00873C95">
            <w:pPr>
              <w:rPr>
                <w:rFonts w:ascii="Work Sans" w:hAnsi="Work Sans"/>
                <w:sz w:val="20"/>
                <w:szCs w:val="20"/>
              </w:rPr>
            </w:pPr>
          </w:p>
          <w:p w14:paraId="789679C8" w14:textId="4FB3FFEA" w:rsidR="00873C95" w:rsidRPr="003B7DA1" w:rsidRDefault="00873C95" w:rsidP="00873C95">
            <w:pPr>
              <w:rPr>
                <w:rFonts w:ascii="Work Sans" w:hAnsi="Work Sans"/>
                <w:sz w:val="20"/>
                <w:szCs w:val="20"/>
              </w:rPr>
            </w:pPr>
            <w:r w:rsidRPr="003B7DA1">
              <w:rPr>
                <w:rFonts w:ascii="Work Sans" w:hAnsi="Work Sans"/>
                <w:sz w:val="20"/>
                <w:szCs w:val="20"/>
              </w:rPr>
              <w:t xml:space="preserve">Submissions should be </w:t>
            </w:r>
            <w:r w:rsidR="005567A9" w:rsidRPr="003B7DA1">
              <w:rPr>
                <w:rFonts w:ascii="Work Sans" w:hAnsi="Work Sans"/>
                <w:sz w:val="20"/>
                <w:szCs w:val="20"/>
              </w:rPr>
              <w:t>placed in your private state channel in CGC Engagement Teams</w:t>
            </w:r>
            <w:r w:rsidR="00FE1DDA" w:rsidRPr="003B7DA1">
              <w:rPr>
                <w:rFonts w:ascii="Work Sans" w:hAnsi="Work Sans"/>
                <w:sz w:val="20"/>
                <w:szCs w:val="20"/>
              </w:rPr>
              <w:t xml:space="preserve"> in GovTEAMS</w:t>
            </w:r>
            <w:r w:rsidR="005567A9" w:rsidRPr="003B7DA1">
              <w:rPr>
                <w:rFonts w:ascii="Work Sans" w:hAnsi="Work Sans"/>
                <w:sz w:val="20"/>
                <w:szCs w:val="20"/>
              </w:rPr>
              <w:t xml:space="preserve">, with a post notifying </w:t>
            </w:r>
            <w:r w:rsidR="00813DBF" w:rsidRPr="003B7DA1">
              <w:rPr>
                <w:rFonts w:ascii="Work Sans" w:hAnsi="Work Sans"/>
                <w:sz w:val="20"/>
                <w:szCs w:val="20"/>
              </w:rPr>
              <w:t>Carrie Dreese</w:t>
            </w:r>
            <w:r w:rsidR="003B7DA1" w:rsidRPr="003B7DA1">
              <w:rPr>
                <w:rFonts w:ascii="Work Sans" w:hAnsi="Work Sans"/>
                <w:sz w:val="20"/>
                <w:szCs w:val="20"/>
              </w:rPr>
              <w:t>.</w:t>
            </w:r>
          </w:p>
          <w:p w14:paraId="27895167" w14:textId="77777777" w:rsidR="00873C95" w:rsidRPr="003B7DA1" w:rsidRDefault="00873C95" w:rsidP="00873C95">
            <w:pPr>
              <w:rPr>
                <w:rFonts w:ascii="Work Sans" w:hAnsi="Work Sans"/>
                <w:sz w:val="20"/>
                <w:szCs w:val="20"/>
              </w:rPr>
            </w:pPr>
          </w:p>
          <w:p w14:paraId="433C24C0" w14:textId="3FCAE6BE" w:rsidR="00873C95" w:rsidRPr="003B7DA1" w:rsidRDefault="00873C95" w:rsidP="00873C95">
            <w:pPr>
              <w:rPr>
                <w:rFonts w:ascii="Work Sans" w:hAnsi="Work Sans"/>
                <w:sz w:val="20"/>
                <w:szCs w:val="20"/>
              </w:rPr>
            </w:pPr>
            <w:r w:rsidRPr="003B7DA1">
              <w:rPr>
                <w:rFonts w:ascii="Work Sans" w:hAnsi="Work Sans"/>
                <w:sz w:val="20"/>
                <w:szCs w:val="20"/>
              </w:rPr>
              <w:t>Submissions of more than 10 pages in length should include a summary section.</w:t>
            </w:r>
          </w:p>
        </w:tc>
      </w:tr>
      <w:tr w:rsidR="00873C95" w14:paraId="6514A9B7" w14:textId="77777777" w:rsidTr="00873C95">
        <w:tc>
          <w:tcPr>
            <w:tcW w:w="2972" w:type="dxa"/>
          </w:tcPr>
          <w:p w14:paraId="35AB0261" w14:textId="3C197284" w:rsidR="00873C95" w:rsidRPr="00DA2B18" w:rsidRDefault="00873C95" w:rsidP="00873C95">
            <w:pPr>
              <w:rPr>
                <w:rFonts w:ascii="Work Sans" w:hAnsi="Work Sans"/>
                <w:sz w:val="20"/>
                <w:szCs w:val="20"/>
              </w:rPr>
            </w:pPr>
            <w:r w:rsidRPr="00DA2B18">
              <w:rPr>
                <w:rFonts w:ascii="Work Sans" w:hAnsi="Work Sans"/>
                <w:sz w:val="20"/>
                <w:szCs w:val="20"/>
              </w:rPr>
              <w:t>Confidential material</w:t>
            </w:r>
          </w:p>
        </w:tc>
        <w:tc>
          <w:tcPr>
            <w:tcW w:w="6044" w:type="dxa"/>
          </w:tcPr>
          <w:p w14:paraId="5A36BA22" w14:textId="1015414F" w:rsidR="00873C95" w:rsidRPr="003B7DA1" w:rsidRDefault="00873C95" w:rsidP="004320A9">
            <w:pPr>
              <w:spacing w:after="120"/>
              <w:rPr>
                <w:rFonts w:ascii="Work Sans" w:hAnsi="Work Sans"/>
                <w:sz w:val="20"/>
                <w:szCs w:val="20"/>
              </w:rPr>
            </w:pPr>
            <w:r w:rsidRPr="003B7DA1">
              <w:rPr>
                <w:rFonts w:ascii="Work Sans" w:hAnsi="Work Sans"/>
                <w:sz w:val="20"/>
                <w:szCs w:val="20"/>
              </w:rPr>
              <w:t xml:space="preserve">It is the </w:t>
            </w:r>
            <w:r w:rsidR="00FE1DDA" w:rsidRPr="003B7DA1">
              <w:rPr>
                <w:rFonts w:ascii="Work Sans" w:hAnsi="Work Sans"/>
                <w:sz w:val="20"/>
                <w:szCs w:val="20"/>
              </w:rPr>
              <w:t>C</w:t>
            </w:r>
            <w:r w:rsidRPr="003B7DA1">
              <w:rPr>
                <w:rFonts w:ascii="Work Sans" w:hAnsi="Work Sans"/>
                <w:sz w:val="20"/>
                <w:szCs w:val="20"/>
              </w:rPr>
              <w:t xml:space="preserve">ommission’s normal practice to make </w:t>
            </w:r>
            <w:r w:rsidR="00921543" w:rsidRPr="003B7DA1">
              <w:rPr>
                <w:rFonts w:ascii="Work Sans" w:hAnsi="Work Sans"/>
                <w:sz w:val="20"/>
                <w:szCs w:val="20"/>
              </w:rPr>
              <w:t>s</w:t>
            </w:r>
            <w:r w:rsidRPr="003B7DA1">
              <w:rPr>
                <w:rFonts w:ascii="Work Sans" w:hAnsi="Work Sans"/>
                <w:sz w:val="20"/>
                <w:szCs w:val="20"/>
              </w:rPr>
              <w:t xml:space="preserve">tate submissions available on its website under the CC BY licence, allowing free use of content by third parties. </w:t>
            </w:r>
          </w:p>
          <w:p w14:paraId="008F8C96" w14:textId="271D542F" w:rsidR="00873C95" w:rsidRPr="003B7DA1" w:rsidRDefault="00873C95" w:rsidP="00873C95">
            <w:pPr>
              <w:rPr>
                <w:rFonts w:ascii="Work Sans" w:hAnsi="Work Sans"/>
                <w:sz w:val="20"/>
                <w:szCs w:val="20"/>
              </w:rPr>
            </w:pPr>
            <w:r w:rsidRPr="003B7DA1">
              <w:rPr>
                <w:noProof/>
                <w:sz w:val="20"/>
                <w:szCs w:val="20"/>
                <w:lang w:eastAsia="en-AU"/>
              </w:rPr>
              <w:drawing>
                <wp:inline distT="0" distB="0" distL="0" distR="0" wp14:anchorId="2B336684" wp14:editId="6DF0AED1">
                  <wp:extent cx="828675" cy="295275"/>
                  <wp:effectExtent l="19050" t="0" r="9525" b="0"/>
                  <wp:docPr id="3" name="Picture 3"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5"/>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1E110EFE" w14:textId="77777777" w:rsidR="00873C95" w:rsidRPr="003B7DA1" w:rsidRDefault="00873C95" w:rsidP="004320A9">
            <w:pPr>
              <w:spacing w:before="120"/>
              <w:rPr>
                <w:rFonts w:ascii="Work Sans" w:hAnsi="Work Sans"/>
                <w:sz w:val="20"/>
                <w:szCs w:val="20"/>
              </w:rPr>
            </w:pPr>
            <w:r w:rsidRPr="003B7DA1">
              <w:rPr>
                <w:rFonts w:ascii="Work Sans" w:hAnsi="Work Sans"/>
                <w:sz w:val="20"/>
                <w:szCs w:val="20"/>
              </w:rPr>
              <w:t xml:space="preserve">Further information on the CC BY licence can be found on the Creative Commons website (http://creativecommons.org). </w:t>
            </w:r>
          </w:p>
          <w:p w14:paraId="7C8713EF" w14:textId="1A773D6E" w:rsidR="00873C95" w:rsidRPr="003B7DA1" w:rsidRDefault="00873C95" w:rsidP="004320A9">
            <w:pPr>
              <w:spacing w:before="120"/>
              <w:rPr>
                <w:rFonts w:ascii="Work Sans" w:hAnsi="Work Sans"/>
                <w:sz w:val="20"/>
                <w:szCs w:val="20"/>
              </w:rPr>
            </w:pPr>
            <w:r w:rsidRPr="003B7DA1">
              <w:rPr>
                <w:rFonts w:ascii="Work Sans" w:hAnsi="Work Sans"/>
                <w:sz w:val="20"/>
                <w:szCs w:val="20"/>
              </w:rPr>
              <w:t xml:space="preserve">Confidential material contained in submissions must be clearly identified or included in separate attachment/s, and details provided in the covering email. Identified confidential material will not be published on the </w:t>
            </w:r>
            <w:r w:rsidR="00AD6395" w:rsidRPr="003B7DA1">
              <w:rPr>
                <w:rFonts w:ascii="Work Sans" w:hAnsi="Work Sans"/>
                <w:sz w:val="20"/>
                <w:szCs w:val="20"/>
              </w:rPr>
              <w:t>C</w:t>
            </w:r>
            <w:r w:rsidRPr="003B7DA1">
              <w:rPr>
                <w:rFonts w:ascii="Work Sans" w:hAnsi="Work Sans"/>
                <w:sz w:val="20"/>
                <w:szCs w:val="20"/>
              </w:rPr>
              <w:t>ommission’s website.</w:t>
            </w:r>
          </w:p>
        </w:tc>
      </w:tr>
    </w:tbl>
    <w:p w14:paraId="4D7B748A" w14:textId="77777777" w:rsidR="0040294B" w:rsidRPr="0040294B" w:rsidRDefault="0040294B" w:rsidP="0040294B">
      <w:pPr>
        <w:rPr>
          <w:rFonts w:ascii="Work Sans" w:hAnsi="Work Sans"/>
          <w:sz w:val="24"/>
          <w:szCs w:val="24"/>
        </w:rPr>
      </w:pPr>
    </w:p>
    <w:p w14:paraId="3EA5B94F" w14:textId="77777777" w:rsidR="0040294B" w:rsidRDefault="0040294B" w:rsidP="0040294B"/>
    <w:p w14:paraId="3E8B21AF" w14:textId="4AF546B0" w:rsidR="0040294B" w:rsidRPr="0040294B" w:rsidRDefault="0040294B" w:rsidP="0040294B">
      <w:pPr>
        <w:sectPr w:rsidR="0040294B" w:rsidRPr="0040294B" w:rsidSect="00382669">
          <w:pgSz w:w="11906" w:h="16838"/>
          <w:pgMar w:top="1440" w:right="1440" w:bottom="1440" w:left="1440" w:header="708" w:footer="708" w:gutter="0"/>
          <w:cols w:space="708"/>
          <w:titlePg/>
          <w:docGrid w:linePitch="360"/>
        </w:sectPr>
      </w:pPr>
    </w:p>
    <w:p w14:paraId="755EA9D9" w14:textId="21B9FA45" w:rsidR="00A520E7" w:rsidRDefault="00A520E7" w:rsidP="008237F7">
      <w:pPr>
        <w:pStyle w:val="Heading1"/>
      </w:pPr>
      <w:r w:rsidRPr="009F3AF5">
        <w:rPr>
          <w:noProof/>
        </w:rPr>
        <w:lastRenderedPageBreak/>
        <mc:AlternateContent>
          <mc:Choice Requires="wps">
            <w:drawing>
              <wp:anchor distT="0" distB="0" distL="114300" distR="114300" simplePos="0" relativeHeight="251658240" behindDoc="1" locked="0" layoutInCell="1" allowOverlap="1" wp14:anchorId="5E5F81EE" wp14:editId="62932596">
                <wp:simplePos x="0" y="0"/>
                <wp:positionH relativeFrom="margin">
                  <wp:posOffset>-9525</wp:posOffset>
                </wp:positionH>
                <wp:positionV relativeFrom="margin">
                  <wp:posOffset>571500</wp:posOffset>
                </wp:positionV>
                <wp:extent cx="5781600" cy="5086350"/>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00" cy="5086350"/>
                        </a:xfrm>
                        <a:prstGeom prst="rect">
                          <a:avLst/>
                        </a:prstGeom>
                        <a:solidFill>
                          <a:srgbClr val="E5F8FF"/>
                        </a:solidFill>
                        <a:ln w="25400" cap="flat" cmpd="sng" algn="ctr">
                          <a:noFill/>
                          <a:prstDash val="solid"/>
                        </a:ln>
                        <a:effectLst/>
                      </wps:spPr>
                      <wps:txbx>
                        <w:txbxContent>
                          <w:p w14:paraId="1F00EC29" w14:textId="5182A80A" w:rsidR="0033168C" w:rsidRDefault="00A520E7" w:rsidP="00CA6B1D">
                            <w:pPr>
                              <w:pStyle w:val="Heading2"/>
                              <w:keepNext/>
                              <w:spacing w:before="120" w:after="120"/>
                            </w:pPr>
                            <w:r>
                              <w:t xml:space="preserve">Summary </w:t>
                            </w:r>
                          </w:p>
                          <w:p w14:paraId="389FE37C" w14:textId="5C404C54" w:rsidR="002A0AA2" w:rsidRDefault="00CE5BE3" w:rsidP="00CD7C31">
                            <w:pPr>
                              <w:ind w:left="567"/>
                              <w:rPr>
                                <w:rFonts w:ascii="Work Sans" w:hAnsi="Work Sans"/>
                                <w:sz w:val="20"/>
                                <w:szCs w:val="20"/>
                              </w:rPr>
                            </w:pPr>
                            <w:r>
                              <w:rPr>
                                <w:rFonts w:ascii="Work Sans" w:hAnsi="Work Sans"/>
                                <w:sz w:val="20"/>
                                <w:szCs w:val="20"/>
                              </w:rPr>
                              <w:t xml:space="preserve">The Commission </w:t>
                            </w:r>
                            <w:r w:rsidR="004762F9">
                              <w:rPr>
                                <w:rFonts w:ascii="Work Sans" w:hAnsi="Work Sans"/>
                                <w:sz w:val="20"/>
                                <w:szCs w:val="20"/>
                              </w:rPr>
                              <w:t>is proposing</w:t>
                            </w:r>
                            <w:r>
                              <w:rPr>
                                <w:rFonts w:ascii="Work Sans" w:hAnsi="Work Sans"/>
                                <w:sz w:val="20"/>
                                <w:szCs w:val="20"/>
                              </w:rPr>
                              <w:t xml:space="preserve"> to </w:t>
                            </w:r>
                            <w:r w:rsidR="00C554B0">
                              <w:rPr>
                                <w:rFonts w:ascii="Work Sans" w:hAnsi="Work Sans"/>
                                <w:sz w:val="20"/>
                                <w:szCs w:val="20"/>
                              </w:rPr>
                              <w:t>proceed with</w:t>
                            </w:r>
                            <w:r w:rsidR="00617E1E">
                              <w:rPr>
                                <w:rFonts w:ascii="Work Sans" w:hAnsi="Work Sans"/>
                                <w:sz w:val="20"/>
                                <w:szCs w:val="20"/>
                              </w:rPr>
                              <w:t xml:space="preserve"> </w:t>
                            </w:r>
                            <w:r w:rsidR="001B795E">
                              <w:rPr>
                                <w:rFonts w:ascii="Work Sans" w:hAnsi="Work Sans"/>
                                <w:sz w:val="20"/>
                                <w:szCs w:val="20"/>
                              </w:rPr>
                              <w:t>the</w:t>
                            </w:r>
                            <w:r>
                              <w:rPr>
                                <w:rFonts w:ascii="Work Sans" w:hAnsi="Work Sans"/>
                                <w:sz w:val="20"/>
                                <w:szCs w:val="20"/>
                              </w:rPr>
                              <w:t xml:space="preserve"> following</w:t>
                            </w:r>
                            <w:r w:rsidR="005003C2">
                              <w:rPr>
                                <w:rFonts w:ascii="Work Sans" w:hAnsi="Work Sans"/>
                                <w:sz w:val="20"/>
                                <w:szCs w:val="20"/>
                              </w:rPr>
                              <w:t>,</w:t>
                            </w:r>
                            <w:r>
                              <w:rPr>
                                <w:rFonts w:ascii="Work Sans" w:hAnsi="Work Sans"/>
                                <w:sz w:val="20"/>
                                <w:szCs w:val="20"/>
                              </w:rPr>
                              <w:t xml:space="preserve"> </w:t>
                            </w:r>
                            <w:r w:rsidR="00DB399E">
                              <w:rPr>
                                <w:rFonts w:ascii="Work Sans" w:hAnsi="Work Sans"/>
                                <w:sz w:val="20"/>
                                <w:szCs w:val="20"/>
                              </w:rPr>
                              <w:t>which were outlined</w:t>
                            </w:r>
                            <w:r>
                              <w:rPr>
                                <w:rFonts w:ascii="Work Sans" w:hAnsi="Work Sans"/>
                                <w:sz w:val="20"/>
                                <w:szCs w:val="20"/>
                              </w:rPr>
                              <w:t xml:space="preserve"> in the </w:t>
                            </w:r>
                            <w:r w:rsidR="002A0AA2">
                              <w:rPr>
                                <w:rFonts w:ascii="Work Sans" w:hAnsi="Work Sans"/>
                                <w:sz w:val="20"/>
                                <w:szCs w:val="20"/>
                              </w:rPr>
                              <w:t>justice draft position paper</w:t>
                            </w:r>
                            <w:r w:rsidR="0013203D">
                              <w:rPr>
                                <w:rFonts w:ascii="Work Sans" w:hAnsi="Work Sans"/>
                                <w:sz w:val="20"/>
                                <w:szCs w:val="20"/>
                              </w:rPr>
                              <w:t>:</w:t>
                            </w:r>
                          </w:p>
                          <w:p w14:paraId="6FBB5A80" w14:textId="5A536D93" w:rsidR="004528A9" w:rsidRDefault="0013203D" w:rsidP="00CD7C31">
                            <w:pPr>
                              <w:pStyle w:val="CGC2025Bullet1"/>
                              <w:ind w:left="924" w:hanging="357"/>
                            </w:pPr>
                            <w:r>
                              <w:t>u</w:t>
                            </w:r>
                            <w:r w:rsidR="005071DD">
                              <w:t>sing 2022</w:t>
                            </w:r>
                            <w:r w:rsidR="00730C45">
                              <w:t>–</w:t>
                            </w:r>
                            <w:r w:rsidR="005071DD">
                              <w:t xml:space="preserve">23 data </w:t>
                            </w:r>
                          </w:p>
                          <w:p w14:paraId="0F348D96" w14:textId="29266585" w:rsidR="00AB0D9F" w:rsidRDefault="0013203D" w:rsidP="00CD7C31">
                            <w:pPr>
                              <w:pStyle w:val="CGC2025Bullet1"/>
                              <w:ind w:left="924" w:hanging="357"/>
                            </w:pPr>
                            <w:r>
                              <w:t>u</w:t>
                            </w:r>
                            <w:r w:rsidR="00ED1604">
                              <w:t xml:space="preserve">sing 2021 Census based </w:t>
                            </w:r>
                            <w:r w:rsidR="00E655F5">
                              <w:t xml:space="preserve">First Nations </w:t>
                            </w:r>
                            <w:r w:rsidR="00AB0D9F">
                              <w:t>projections of estimated resident population</w:t>
                            </w:r>
                          </w:p>
                          <w:p w14:paraId="0170980C" w14:textId="532E8A0F" w:rsidR="0033168C" w:rsidRDefault="0013203D" w:rsidP="00CD7C31">
                            <w:pPr>
                              <w:pStyle w:val="CGC2025Bullet1"/>
                              <w:ind w:left="924" w:hanging="357"/>
                            </w:pPr>
                            <w:r>
                              <w:t>a</w:t>
                            </w:r>
                            <w:r w:rsidR="00943C48">
                              <w:t>llocating</w:t>
                            </w:r>
                            <w:r w:rsidR="00B65C04">
                              <w:t xml:space="preserve"> central costs</w:t>
                            </w:r>
                            <w:r w:rsidR="00AB0D9F">
                              <w:t xml:space="preserve"> as 50:50 between full time equivalent staff and </w:t>
                            </w:r>
                            <w:r w:rsidR="00FE3034">
                              <w:t>police district expenses</w:t>
                            </w:r>
                          </w:p>
                          <w:p w14:paraId="3098896C" w14:textId="2ED462FA" w:rsidR="00C31B9C" w:rsidRDefault="0013203D" w:rsidP="00CD7C31">
                            <w:pPr>
                              <w:pStyle w:val="CGC2025Bullet1"/>
                              <w:ind w:left="924" w:hanging="357"/>
                            </w:pPr>
                            <w:r>
                              <w:t>c</w:t>
                            </w:r>
                            <w:r w:rsidR="00C31B9C">
                              <w:t>ombin</w:t>
                            </w:r>
                            <w:r w:rsidR="005A45ED">
                              <w:t>ing</w:t>
                            </w:r>
                            <w:r w:rsidR="00C31B9C">
                              <w:t xml:space="preserve"> the remote and very remote cost weights</w:t>
                            </w:r>
                          </w:p>
                          <w:p w14:paraId="449E3ACB" w14:textId="168F21A9" w:rsidR="00C31B9C" w:rsidRDefault="0013203D" w:rsidP="00CD7C31">
                            <w:pPr>
                              <w:pStyle w:val="CGC2025Bullet1"/>
                              <w:ind w:left="924" w:hanging="357"/>
                            </w:pPr>
                            <w:r>
                              <w:t>n</w:t>
                            </w:r>
                            <w:r w:rsidR="00C31B9C">
                              <w:t>ot includ</w:t>
                            </w:r>
                            <w:r>
                              <w:t>ing</w:t>
                            </w:r>
                            <w:r w:rsidR="00C31B9C">
                              <w:t xml:space="preserve"> a remote offender </w:t>
                            </w:r>
                            <w:r w:rsidR="0029041A">
                              <w:t>variable in the police regression</w:t>
                            </w:r>
                          </w:p>
                          <w:p w14:paraId="7FB23596" w14:textId="5E58EFAD" w:rsidR="0034345F" w:rsidRDefault="00FE7A8C" w:rsidP="00CD7C31">
                            <w:pPr>
                              <w:pStyle w:val="CGC2025Bullet1"/>
                              <w:ind w:left="924" w:hanging="357"/>
                            </w:pPr>
                            <w:r>
                              <w:t>n</w:t>
                            </w:r>
                            <w:r w:rsidR="0034345F">
                              <w:t>ot includ</w:t>
                            </w:r>
                            <w:r>
                              <w:t>ing</w:t>
                            </w:r>
                            <w:r w:rsidR="0034345F">
                              <w:t xml:space="preserve"> a global cities </w:t>
                            </w:r>
                            <w:r w:rsidR="00EB06B0">
                              <w:t>assessment</w:t>
                            </w:r>
                          </w:p>
                          <w:p w14:paraId="21D26C9D" w14:textId="18D86B64" w:rsidR="00B65C04" w:rsidRDefault="00FE7A8C" w:rsidP="00CD7C31">
                            <w:pPr>
                              <w:pStyle w:val="CGC2025Bullet1"/>
                              <w:ind w:left="924" w:hanging="357"/>
                            </w:pPr>
                            <w:r>
                              <w:t>u</w:t>
                            </w:r>
                            <w:r w:rsidR="000713FE">
                              <w:t>s</w:t>
                            </w:r>
                            <w:r>
                              <w:t>ing</w:t>
                            </w:r>
                            <w:r w:rsidR="000713FE">
                              <w:t xml:space="preserve"> a 5-tier system to measure First Nations </w:t>
                            </w:r>
                            <w:r w:rsidR="0034345F">
                              <w:t>socio-economic status in the police component</w:t>
                            </w:r>
                          </w:p>
                          <w:p w14:paraId="05B80962" w14:textId="4E12F8C4" w:rsidR="00F23FDF" w:rsidRDefault="009C2E58" w:rsidP="00CD7C31">
                            <w:pPr>
                              <w:pStyle w:val="CGC2025Bullet1"/>
                              <w:ind w:left="924" w:hanging="357"/>
                            </w:pPr>
                            <w:r>
                              <w:t>n</w:t>
                            </w:r>
                            <w:r w:rsidR="00EB06B0">
                              <w:t>ot mak</w:t>
                            </w:r>
                            <w:r>
                              <w:t>ing</w:t>
                            </w:r>
                            <w:r w:rsidR="00EB06B0">
                              <w:t xml:space="preserve"> an EPC assessment of criminal courts</w:t>
                            </w:r>
                          </w:p>
                          <w:p w14:paraId="4721510E" w14:textId="7BEB1BA7" w:rsidR="005B18B2" w:rsidRDefault="009C2E58" w:rsidP="00CD7C31">
                            <w:pPr>
                              <w:pStyle w:val="CGC2025Bullet1"/>
                              <w:ind w:left="924" w:hanging="357"/>
                            </w:pPr>
                            <w:r>
                              <w:t>r</w:t>
                            </w:r>
                            <w:r w:rsidR="005B18B2">
                              <w:t>emov</w:t>
                            </w:r>
                            <w:r>
                              <w:t>ing</w:t>
                            </w:r>
                            <w:r w:rsidR="005B18B2">
                              <w:t xml:space="preserve"> the regional gradient</w:t>
                            </w:r>
                            <w:r w:rsidR="0029041A">
                              <w:t xml:space="preserve"> in the criminal courts and other legal services assessment</w:t>
                            </w:r>
                          </w:p>
                          <w:p w14:paraId="1F46BD28" w14:textId="42D63BC2" w:rsidR="003B773A" w:rsidRPr="000C5DE8" w:rsidRDefault="00851AB2" w:rsidP="00CD7C31">
                            <w:pPr>
                              <w:pStyle w:val="CGC2025Bullet1"/>
                              <w:ind w:left="924" w:hanging="357"/>
                            </w:pPr>
                            <w:r>
                              <w:t>a</w:t>
                            </w:r>
                            <w:r w:rsidR="000C5DE8" w:rsidRPr="000C5DE8">
                              <w:t>pply</w:t>
                            </w:r>
                            <w:r>
                              <w:t>ing</w:t>
                            </w:r>
                            <w:r w:rsidR="00766936" w:rsidRPr="000C5DE8">
                              <w:t xml:space="preserve"> </w:t>
                            </w:r>
                            <w:r w:rsidR="000C5DE8" w:rsidRPr="000C5DE8">
                              <w:t xml:space="preserve">the general </w:t>
                            </w:r>
                            <w:r w:rsidR="00BE7828">
                              <w:t>service delivery scale</w:t>
                            </w:r>
                            <w:r w:rsidR="000C5DE8" w:rsidRPr="000C5DE8">
                              <w:t xml:space="preserve"> gradient in </w:t>
                            </w:r>
                            <w:r w:rsidR="009E4AD1">
                              <w:t xml:space="preserve">the </w:t>
                            </w:r>
                            <w:proofErr w:type="gramStart"/>
                            <w:r w:rsidR="009E4AD1">
                              <w:t>p</w:t>
                            </w:r>
                            <w:r w:rsidR="003B773A" w:rsidRPr="000C5DE8">
                              <w:t>risons</w:t>
                            </w:r>
                            <w:proofErr w:type="gramEnd"/>
                            <w:r w:rsidR="009E4AD1">
                              <w:t xml:space="preserve"> component</w:t>
                            </w:r>
                            <w:r w:rsidR="00483C48">
                              <w:t>.</w:t>
                            </w:r>
                          </w:p>
                          <w:p w14:paraId="6B685817" w14:textId="77777777" w:rsidR="00673860" w:rsidRDefault="00673860" w:rsidP="00103EA0">
                            <w:pPr>
                              <w:pStyle w:val="CGC2025Bullet1"/>
                              <w:numPr>
                                <w:ilvl w:val="0"/>
                                <w:numId w:val="0"/>
                              </w:numPr>
                              <w:ind w:left="567"/>
                            </w:pPr>
                          </w:p>
                          <w:p w14:paraId="248701A3" w14:textId="34C47471" w:rsidR="00673860" w:rsidRPr="00C81FAC" w:rsidRDefault="00545DD7" w:rsidP="00C81FAC">
                            <w:pPr>
                              <w:ind w:left="567"/>
                              <w:rPr>
                                <w:rFonts w:ascii="Work Sans" w:hAnsi="Work Sans"/>
                                <w:sz w:val="20"/>
                                <w:szCs w:val="20"/>
                              </w:rPr>
                            </w:pPr>
                            <w:r w:rsidRPr="00C81FAC">
                              <w:rPr>
                                <w:rFonts w:ascii="Work Sans" w:hAnsi="Work Sans"/>
                                <w:sz w:val="20"/>
                                <w:szCs w:val="20"/>
                              </w:rPr>
                              <w:t xml:space="preserve">The Commission is proposing to include </w:t>
                            </w:r>
                            <w:r w:rsidR="00E37EB5" w:rsidRPr="00C81FAC">
                              <w:rPr>
                                <w:rFonts w:ascii="Work Sans" w:hAnsi="Work Sans"/>
                                <w:sz w:val="20"/>
                                <w:szCs w:val="20"/>
                              </w:rPr>
                              <w:t xml:space="preserve">an assessment for juvenile </w:t>
                            </w:r>
                            <w:proofErr w:type="gramStart"/>
                            <w:r w:rsidR="00E37EB5" w:rsidRPr="00C81FAC">
                              <w:rPr>
                                <w:rFonts w:ascii="Work Sans" w:hAnsi="Work Sans"/>
                                <w:sz w:val="20"/>
                                <w:szCs w:val="20"/>
                              </w:rPr>
                              <w:t xml:space="preserve">detainees </w:t>
                            </w:r>
                            <w:r w:rsidRPr="00C81FAC">
                              <w:rPr>
                                <w:rFonts w:ascii="Work Sans" w:hAnsi="Work Sans"/>
                                <w:sz w:val="20"/>
                                <w:szCs w:val="20"/>
                              </w:rPr>
                              <w:t xml:space="preserve"> because</w:t>
                            </w:r>
                            <w:proofErr w:type="gramEnd"/>
                            <w:r w:rsidRPr="00C81FAC">
                              <w:rPr>
                                <w:rFonts w:ascii="Work Sans" w:hAnsi="Work Sans"/>
                                <w:sz w:val="20"/>
                                <w:szCs w:val="20"/>
                              </w:rPr>
                              <w:t xml:space="preserve"> it was material </w:t>
                            </w:r>
                            <w:r w:rsidR="00770C99" w:rsidRPr="00C81FAC">
                              <w:rPr>
                                <w:rFonts w:ascii="Work Sans" w:hAnsi="Work Sans"/>
                                <w:sz w:val="20"/>
                                <w:szCs w:val="20"/>
                              </w:rPr>
                              <w:t>after</w:t>
                            </w:r>
                            <w:r w:rsidRPr="00C81FAC">
                              <w:rPr>
                                <w:rFonts w:ascii="Work Sans" w:hAnsi="Work Sans"/>
                                <w:sz w:val="20"/>
                                <w:szCs w:val="20"/>
                              </w:rPr>
                              <w:t xml:space="preserve"> the inclusion of 2023</w:t>
                            </w:r>
                            <w:r w:rsidR="000871EC" w:rsidRPr="00C81FAC">
                              <w:rPr>
                                <w:rFonts w:ascii="Work Sans" w:hAnsi="Work Sans"/>
                                <w:sz w:val="20"/>
                                <w:szCs w:val="20"/>
                              </w:rPr>
                              <w:t>–</w:t>
                            </w:r>
                            <w:r w:rsidRPr="00C81FAC">
                              <w:rPr>
                                <w:rFonts w:ascii="Work Sans" w:hAnsi="Work Sans"/>
                                <w:sz w:val="20"/>
                                <w:szCs w:val="20"/>
                              </w:rPr>
                              <w:t>24 data</w:t>
                            </w:r>
                            <w:r w:rsidR="001A2E4D" w:rsidRPr="00C81FAC">
                              <w:rPr>
                                <w:rFonts w:ascii="Work Sans" w:hAnsi="Work Sans"/>
                                <w:sz w:val="20"/>
                                <w:szCs w:val="20"/>
                              </w:rPr>
                              <w:t>.</w:t>
                            </w:r>
                          </w:p>
                          <w:p w14:paraId="58D94DB4" w14:textId="3D55B0D5" w:rsidR="00483C48" w:rsidRDefault="00D406F6" w:rsidP="00C81FAC">
                            <w:pPr>
                              <w:pStyle w:val="CGC2025Bullet1"/>
                              <w:numPr>
                                <w:ilvl w:val="0"/>
                                <w:numId w:val="0"/>
                              </w:numPr>
                              <w:ind w:left="567"/>
                            </w:pPr>
                            <w:r w:rsidRPr="000D139B">
                              <w:t xml:space="preserve">The Commission </w:t>
                            </w:r>
                            <w:r w:rsidRPr="00CD7C31">
                              <w:t xml:space="preserve">is proposing to not include </w:t>
                            </w:r>
                            <w:r>
                              <w:t>an assessment for community corrections</w:t>
                            </w:r>
                            <w:r w:rsidRPr="00CD7C31">
                              <w:t xml:space="preserve"> because it was immaterial after the inclusion of 2023–24 data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F81EE" id="Rectangle 9" o:spid="_x0000_s1026" alt="&quot;&quot;" style="position:absolute;margin-left:-.75pt;margin-top:45pt;width:455.25pt;height:40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" fillcolor="#e5f8ff" stroked="f" strokeweight="2pt">
                <v:textbox>
                  <w:txbxContent>
                    <w:p w14:paraId="1F00EC29" w14:textId="5182A80A" w:rsidR="0033168C" w:rsidRDefault="00A520E7" w:rsidP="00CA6B1D">
                      <w:pPr>
                        <w:pStyle w:val="Heading2"/>
                        <w:keepNext/>
                        <w:spacing w:before="120" w:after="120"/>
                      </w:pPr>
                      <w:r>
                        <w:t xml:space="preserve">Summary </w:t>
                      </w:r>
                    </w:p>
                    <w:p w14:paraId="389FE37C" w14:textId="5C404C54" w:rsidR="002A0AA2" w:rsidRDefault="00CE5BE3" w:rsidP="00CD7C31">
                      <w:pPr>
                        <w:ind w:left="567"/>
                        <w:rPr>
                          <w:rFonts w:ascii="Work Sans" w:hAnsi="Work Sans"/>
                          <w:sz w:val="20"/>
                          <w:szCs w:val="20"/>
                        </w:rPr>
                      </w:pPr>
                      <w:r>
                        <w:rPr>
                          <w:rFonts w:ascii="Work Sans" w:hAnsi="Work Sans"/>
                          <w:sz w:val="20"/>
                          <w:szCs w:val="20"/>
                        </w:rPr>
                        <w:t xml:space="preserve">The Commission </w:t>
                      </w:r>
                      <w:r w:rsidR="004762F9">
                        <w:rPr>
                          <w:rFonts w:ascii="Work Sans" w:hAnsi="Work Sans"/>
                          <w:sz w:val="20"/>
                          <w:szCs w:val="20"/>
                        </w:rPr>
                        <w:t>is proposing</w:t>
                      </w:r>
                      <w:r>
                        <w:rPr>
                          <w:rFonts w:ascii="Work Sans" w:hAnsi="Work Sans"/>
                          <w:sz w:val="20"/>
                          <w:szCs w:val="20"/>
                        </w:rPr>
                        <w:t xml:space="preserve"> to </w:t>
                      </w:r>
                      <w:r w:rsidR="00C554B0">
                        <w:rPr>
                          <w:rFonts w:ascii="Work Sans" w:hAnsi="Work Sans"/>
                          <w:sz w:val="20"/>
                          <w:szCs w:val="20"/>
                        </w:rPr>
                        <w:t>proceed with</w:t>
                      </w:r>
                      <w:r w:rsidR="00617E1E">
                        <w:rPr>
                          <w:rFonts w:ascii="Work Sans" w:hAnsi="Work Sans"/>
                          <w:sz w:val="20"/>
                          <w:szCs w:val="20"/>
                        </w:rPr>
                        <w:t xml:space="preserve"> </w:t>
                      </w:r>
                      <w:r w:rsidR="001B795E">
                        <w:rPr>
                          <w:rFonts w:ascii="Work Sans" w:hAnsi="Work Sans"/>
                          <w:sz w:val="20"/>
                          <w:szCs w:val="20"/>
                        </w:rPr>
                        <w:t>the</w:t>
                      </w:r>
                      <w:r>
                        <w:rPr>
                          <w:rFonts w:ascii="Work Sans" w:hAnsi="Work Sans"/>
                          <w:sz w:val="20"/>
                          <w:szCs w:val="20"/>
                        </w:rPr>
                        <w:t xml:space="preserve"> following</w:t>
                      </w:r>
                      <w:r w:rsidR="005003C2">
                        <w:rPr>
                          <w:rFonts w:ascii="Work Sans" w:hAnsi="Work Sans"/>
                          <w:sz w:val="20"/>
                          <w:szCs w:val="20"/>
                        </w:rPr>
                        <w:t>,</w:t>
                      </w:r>
                      <w:r>
                        <w:rPr>
                          <w:rFonts w:ascii="Work Sans" w:hAnsi="Work Sans"/>
                          <w:sz w:val="20"/>
                          <w:szCs w:val="20"/>
                        </w:rPr>
                        <w:t xml:space="preserve"> </w:t>
                      </w:r>
                      <w:r w:rsidR="00DB399E">
                        <w:rPr>
                          <w:rFonts w:ascii="Work Sans" w:hAnsi="Work Sans"/>
                          <w:sz w:val="20"/>
                          <w:szCs w:val="20"/>
                        </w:rPr>
                        <w:t>which were outlined</w:t>
                      </w:r>
                      <w:r>
                        <w:rPr>
                          <w:rFonts w:ascii="Work Sans" w:hAnsi="Work Sans"/>
                          <w:sz w:val="20"/>
                          <w:szCs w:val="20"/>
                        </w:rPr>
                        <w:t xml:space="preserve"> in the </w:t>
                      </w:r>
                      <w:r w:rsidR="002A0AA2">
                        <w:rPr>
                          <w:rFonts w:ascii="Work Sans" w:hAnsi="Work Sans"/>
                          <w:sz w:val="20"/>
                          <w:szCs w:val="20"/>
                        </w:rPr>
                        <w:t>justice draft position paper</w:t>
                      </w:r>
                      <w:r w:rsidR="0013203D">
                        <w:rPr>
                          <w:rFonts w:ascii="Work Sans" w:hAnsi="Work Sans"/>
                          <w:sz w:val="20"/>
                          <w:szCs w:val="20"/>
                        </w:rPr>
                        <w:t>:</w:t>
                      </w:r>
                    </w:p>
                    <w:p w14:paraId="6FBB5A80" w14:textId="5A536D93" w:rsidR="004528A9" w:rsidRDefault="0013203D" w:rsidP="00CD7C31">
                      <w:pPr>
                        <w:pStyle w:val="CGC2025Bullet1"/>
                        <w:ind w:left="924" w:hanging="357"/>
                      </w:pPr>
                      <w:r>
                        <w:t>u</w:t>
                      </w:r>
                      <w:r w:rsidR="005071DD">
                        <w:t>sing 2022</w:t>
                      </w:r>
                      <w:r w:rsidR="00730C45">
                        <w:t>–</w:t>
                      </w:r>
                      <w:r w:rsidR="005071DD">
                        <w:t xml:space="preserve">23 data </w:t>
                      </w:r>
                    </w:p>
                    <w:p w14:paraId="0F348D96" w14:textId="29266585" w:rsidR="00AB0D9F" w:rsidRDefault="0013203D" w:rsidP="00CD7C31">
                      <w:pPr>
                        <w:pStyle w:val="CGC2025Bullet1"/>
                        <w:ind w:left="924" w:hanging="357"/>
                      </w:pPr>
                      <w:r>
                        <w:t>u</w:t>
                      </w:r>
                      <w:r w:rsidR="00ED1604">
                        <w:t xml:space="preserve">sing 2021 Census based </w:t>
                      </w:r>
                      <w:r w:rsidR="00E655F5">
                        <w:t xml:space="preserve">First Nations </w:t>
                      </w:r>
                      <w:r w:rsidR="00AB0D9F">
                        <w:t>projections of estimated resident population</w:t>
                      </w:r>
                    </w:p>
                    <w:p w14:paraId="0170980C" w14:textId="532E8A0F" w:rsidR="0033168C" w:rsidRDefault="0013203D" w:rsidP="00CD7C31">
                      <w:pPr>
                        <w:pStyle w:val="CGC2025Bullet1"/>
                        <w:ind w:left="924" w:hanging="357"/>
                      </w:pPr>
                      <w:r>
                        <w:t>a</w:t>
                      </w:r>
                      <w:r w:rsidR="00943C48">
                        <w:t>llocating</w:t>
                      </w:r>
                      <w:r w:rsidR="00B65C04">
                        <w:t xml:space="preserve"> central costs</w:t>
                      </w:r>
                      <w:r w:rsidR="00AB0D9F">
                        <w:t xml:space="preserve"> as 50:50 between full time equivalent staff and </w:t>
                      </w:r>
                      <w:r w:rsidR="00FE3034">
                        <w:t>police district expenses</w:t>
                      </w:r>
                    </w:p>
                    <w:p w14:paraId="3098896C" w14:textId="2ED462FA" w:rsidR="00C31B9C" w:rsidRDefault="0013203D" w:rsidP="00CD7C31">
                      <w:pPr>
                        <w:pStyle w:val="CGC2025Bullet1"/>
                        <w:ind w:left="924" w:hanging="357"/>
                      </w:pPr>
                      <w:r>
                        <w:t>c</w:t>
                      </w:r>
                      <w:r w:rsidR="00C31B9C">
                        <w:t>ombin</w:t>
                      </w:r>
                      <w:r w:rsidR="005A45ED">
                        <w:t>ing</w:t>
                      </w:r>
                      <w:r w:rsidR="00C31B9C">
                        <w:t xml:space="preserve"> the remote and very remote cost weights</w:t>
                      </w:r>
                    </w:p>
                    <w:p w14:paraId="449E3ACB" w14:textId="168F21A9" w:rsidR="00C31B9C" w:rsidRDefault="0013203D" w:rsidP="00CD7C31">
                      <w:pPr>
                        <w:pStyle w:val="CGC2025Bullet1"/>
                        <w:ind w:left="924" w:hanging="357"/>
                      </w:pPr>
                      <w:r>
                        <w:t>n</w:t>
                      </w:r>
                      <w:r w:rsidR="00C31B9C">
                        <w:t>ot includ</w:t>
                      </w:r>
                      <w:r>
                        <w:t>ing</w:t>
                      </w:r>
                      <w:r w:rsidR="00C31B9C">
                        <w:t xml:space="preserve"> a remote offender </w:t>
                      </w:r>
                      <w:r w:rsidR="0029041A">
                        <w:t>variable in the police regression</w:t>
                      </w:r>
                    </w:p>
                    <w:p w14:paraId="7FB23596" w14:textId="5E58EFAD" w:rsidR="0034345F" w:rsidRDefault="00FE7A8C" w:rsidP="00CD7C31">
                      <w:pPr>
                        <w:pStyle w:val="CGC2025Bullet1"/>
                        <w:ind w:left="924" w:hanging="357"/>
                      </w:pPr>
                      <w:r>
                        <w:t>n</w:t>
                      </w:r>
                      <w:r w:rsidR="0034345F">
                        <w:t>ot includ</w:t>
                      </w:r>
                      <w:r>
                        <w:t>ing</w:t>
                      </w:r>
                      <w:r w:rsidR="0034345F">
                        <w:t xml:space="preserve"> a global cities </w:t>
                      </w:r>
                      <w:r w:rsidR="00EB06B0">
                        <w:t>assessment</w:t>
                      </w:r>
                    </w:p>
                    <w:p w14:paraId="21D26C9D" w14:textId="18D86B64" w:rsidR="00B65C04" w:rsidRDefault="00FE7A8C" w:rsidP="00CD7C31">
                      <w:pPr>
                        <w:pStyle w:val="CGC2025Bullet1"/>
                        <w:ind w:left="924" w:hanging="357"/>
                      </w:pPr>
                      <w:r>
                        <w:t>u</w:t>
                      </w:r>
                      <w:r w:rsidR="000713FE">
                        <w:t>s</w:t>
                      </w:r>
                      <w:r>
                        <w:t>ing</w:t>
                      </w:r>
                      <w:r w:rsidR="000713FE">
                        <w:t xml:space="preserve"> a 5-tier system to measure First Nations </w:t>
                      </w:r>
                      <w:r w:rsidR="0034345F">
                        <w:t>socio-economic status in the police component</w:t>
                      </w:r>
                    </w:p>
                    <w:p w14:paraId="05B80962" w14:textId="4E12F8C4" w:rsidR="00F23FDF" w:rsidRDefault="009C2E58" w:rsidP="00CD7C31">
                      <w:pPr>
                        <w:pStyle w:val="CGC2025Bullet1"/>
                        <w:ind w:left="924" w:hanging="357"/>
                      </w:pPr>
                      <w:r>
                        <w:t>n</w:t>
                      </w:r>
                      <w:r w:rsidR="00EB06B0">
                        <w:t>ot mak</w:t>
                      </w:r>
                      <w:r>
                        <w:t>ing</w:t>
                      </w:r>
                      <w:r w:rsidR="00EB06B0">
                        <w:t xml:space="preserve"> an EPC assessment of criminal courts</w:t>
                      </w:r>
                    </w:p>
                    <w:p w14:paraId="4721510E" w14:textId="7BEB1BA7" w:rsidR="005B18B2" w:rsidRDefault="009C2E58" w:rsidP="00CD7C31">
                      <w:pPr>
                        <w:pStyle w:val="CGC2025Bullet1"/>
                        <w:ind w:left="924" w:hanging="357"/>
                      </w:pPr>
                      <w:r>
                        <w:t>r</w:t>
                      </w:r>
                      <w:r w:rsidR="005B18B2">
                        <w:t>emov</w:t>
                      </w:r>
                      <w:r>
                        <w:t>ing</w:t>
                      </w:r>
                      <w:r w:rsidR="005B18B2">
                        <w:t xml:space="preserve"> the regional gradient</w:t>
                      </w:r>
                      <w:r w:rsidR="0029041A">
                        <w:t xml:space="preserve"> in the criminal courts and other legal services assessment</w:t>
                      </w:r>
                    </w:p>
                    <w:p w14:paraId="1F46BD28" w14:textId="42D63BC2" w:rsidR="003B773A" w:rsidRPr="000C5DE8" w:rsidRDefault="00851AB2" w:rsidP="00CD7C31">
                      <w:pPr>
                        <w:pStyle w:val="CGC2025Bullet1"/>
                        <w:ind w:left="924" w:hanging="357"/>
                      </w:pPr>
                      <w:r>
                        <w:t>a</w:t>
                      </w:r>
                      <w:r w:rsidR="000C5DE8" w:rsidRPr="000C5DE8">
                        <w:t>pply</w:t>
                      </w:r>
                      <w:r>
                        <w:t>ing</w:t>
                      </w:r>
                      <w:r w:rsidR="00766936" w:rsidRPr="000C5DE8">
                        <w:t xml:space="preserve"> </w:t>
                      </w:r>
                      <w:r w:rsidR="000C5DE8" w:rsidRPr="000C5DE8">
                        <w:t xml:space="preserve">the general </w:t>
                      </w:r>
                      <w:r w:rsidR="00BE7828">
                        <w:t>service delivery scale</w:t>
                      </w:r>
                      <w:r w:rsidR="000C5DE8" w:rsidRPr="000C5DE8">
                        <w:t xml:space="preserve"> gradient in </w:t>
                      </w:r>
                      <w:r w:rsidR="009E4AD1">
                        <w:t xml:space="preserve">the </w:t>
                      </w:r>
                      <w:proofErr w:type="gramStart"/>
                      <w:r w:rsidR="009E4AD1">
                        <w:t>p</w:t>
                      </w:r>
                      <w:r w:rsidR="003B773A" w:rsidRPr="000C5DE8">
                        <w:t>risons</w:t>
                      </w:r>
                      <w:proofErr w:type="gramEnd"/>
                      <w:r w:rsidR="009E4AD1">
                        <w:t xml:space="preserve"> component</w:t>
                      </w:r>
                      <w:r w:rsidR="00483C48">
                        <w:t>.</w:t>
                      </w:r>
                    </w:p>
                    <w:p w14:paraId="6B685817" w14:textId="77777777" w:rsidR="00673860" w:rsidRDefault="00673860" w:rsidP="00103EA0">
                      <w:pPr>
                        <w:pStyle w:val="CGC2025Bullet1"/>
                        <w:numPr>
                          <w:ilvl w:val="0"/>
                          <w:numId w:val="0"/>
                        </w:numPr>
                        <w:ind w:left="567"/>
                      </w:pPr>
                    </w:p>
                    <w:p w14:paraId="248701A3" w14:textId="34C47471" w:rsidR="00673860" w:rsidRPr="00C81FAC" w:rsidRDefault="00545DD7" w:rsidP="00C81FAC">
                      <w:pPr>
                        <w:ind w:left="567"/>
                        <w:rPr>
                          <w:rFonts w:ascii="Work Sans" w:hAnsi="Work Sans"/>
                          <w:sz w:val="20"/>
                          <w:szCs w:val="20"/>
                        </w:rPr>
                      </w:pPr>
                      <w:r w:rsidRPr="00C81FAC">
                        <w:rPr>
                          <w:rFonts w:ascii="Work Sans" w:hAnsi="Work Sans"/>
                          <w:sz w:val="20"/>
                          <w:szCs w:val="20"/>
                        </w:rPr>
                        <w:t xml:space="preserve">The Commission is proposing to include </w:t>
                      </w:r>
                      <w:r w:rsidR="00E37EB5" w:rsidRPr="00C81FAC">
                        <w:rPr>
                          <w:rFonts w:ascii="Work Sans" w:hAnsi="Work Sans"/>
                          <w:sz w:val="20"/>
                          <w:szCs w:val="20"/>
                        </w:rPr>
                        <w:t xml:space="preserve">an assessment for juvenile </w:t>
                      </w:r>
                      <w:proofErr w:type="gramStart"/>
                      <w:r w:rsidR="00E37EB5" w:rsidRPr="00C81FAC">
                        <w:rPr>
                          <w:rFonts w:ascii="Work Sans" w:hAnsi="Work Sans"/>
                          <w:sz w:val="20"/>
                          <w:szCs w:val="20"/>
                        </w:rPr>
                        <w:t xml:space="preserve">detainees </w:t>
                      </w:r>
                      <w:r w:rsidRPr="00C81FAC">
                        <w:rPr>
                          <w:rFonts w:ascii="Work Sans" w:hAnsi="Work Sans"/>
                          <w:sz w:val="20"/>
                          <w:szCs w:val="20"/>
                        </w:rPr>
                        <w:t xml:space="preserve"> because</w:t>
                      </w:r>
                      <w:proofErr w:type="gramEnd"/>
                      <w:r w:rsidRPr="00C81FAC">
                        <w:rPr>
                          <w:rFonts w:ascii="Work Sans" w:hAnsi="Work Sans"/>
                          <w:sz w:val="20"/>
                          <w:szCs w:val="20"/>
                        </w:rPr>
                        <w:t xml:space="preserve"> it was material </w:t>
                      </w:r>
                      <w:r w:rsidR="00770C99" w:rsidRPr="00C81FAC">
                        <w:rPr>
                          <w:rFonts w:ascii="Work Sans" w:hAnsi="Work Sans"/>
                          <w:sz w:val="20"/>
                          <w:szCs w:val="20"/>
                        </w:rPr>
                        <w:t>after</w:t>
                      </w:r>
                      <w:r w:rsidRPr="00C81FAC">
                        <w:rPr>
                          <w:rFonts w:ascii="Work Sans" w:hAnsi="Work Sans"/>
                          <w:sz w:val="20"/>
                          <w:szCs w:val="20"/>
                        </w:rPr>
                        <w:t xml:space="preserve"> the inclusion of 2023</w:t>
                      </w:r>
                      <w:r w:rsidR="000871EC" w:rsidRPr="00C81FAC">
                        <w:rPr>
                          <w:rFonts w:ascii="Work Sans" w:hAnsi="Work Sans"/>
                          <w:sz w:val="20"/>
                          <w:szCs w:val="20"/>
                        </w:rPr>
                        <w:t>–</w:t>
                      </w:r>
                      <w:r w:rsidRPr="00C81FAC">
                        <w:rPr>
                          <w:rFonts w:ascii="Work Sans" w:hAnsi="Work Sans"/>
                          <w:sz w:val="20"/>
                          <w:szCs w:val="20"/>
                        </w:rPr>
                        <w:t>24 data</w:t>
                      </w:r>
                      <w:r w:rsidR="001A2E4D" w:rsidRPr="00C81FAC">
                        <w:rPr>
                          <w:rFonts w:ascii="Work Sans" w:hAnsi="Work Sans"/>
                          <w:sz w:val="20"/>
                          <w:szCs w:val="20"/>
                        </w:rPr>
                        <w:t>.</w:t>
                      </w:r>
                    </w:p>
                    <w:p w14:paraId="58D94DB4" w14:textId="3D55B0D5" w:rsidR="00483C48" w:rsidRDefault="00D406F6" w:rsidP="00C81FAC">
                      <w:pPr>
                        <w:pStyle w:val="CGC2025Bullet1"/>
                        <w:numPr>
                          <w:ilvl w:val="0"/>
                          <w:numId w:val="0"/>
                        </w:numPr>
                        <w:ind w:left="567"/>
                      </w:pPr>
                      <w:r w:rsidRPr="000D139B">
                        <w:t xml:space="preserve">The Commission </w:t>
                      </w:r>
                      <w:r w:rsidRPr="00CD7C31">
                        <w:t xml:space="preserve">is proposing to not include </w:t>
                      </w:r>
                      <w:r>
                        <w:t>an assessment for community corrections</w:t>
                      </w:r>
                      <w:r w:rsidRPr="00CD7C31">
                        <w:t xml:space="preserve"> because it was immaterial after the inclusion of 2023–24 data</w:t>
                      </w:r>
                      <w:r>
                        <w:t>.</w:t>
                      </w:r>
                    </w:p>
                  </w:txbxContent>
                </v:textbox>
                <w10:wrap anchorx="margin" anchory="margin"/>
              </v:rect>
            </w:pict>
          </mc:Fallback>
        </mc:AlternateContent>
      </w:r>
      <w:r w:rsidR="008237F7">
        <w:tab/>
      </w:r>
    </w:p>
    <w:p w14:paraId="5CF75264" w14:textId="0F126614" w:rsidR="00A520E7" w:rsidRDefault="00A520E7" w:rsidP="00F13451">
      <w:pPr>
        <w:pStyle w:val="Heading1"/>
      </w:pPr>
    </w:p>
    <w:p w14:paraId="5E05D13E" w14:textId="3C4494C7" w:rsidR="00A520E7" w:rsidRPr="00162F14" w:rsidRDefault="00A520E7" w:rsidP="00080318"/>
    <w:p w14:paraId="001BF1D8" w14:textId="77777777" w:rsidR="002A0AA2" w:rsidRDefault="002A0AA2" w:rsidP="00F13451">
      <w:pPr>
        <w:pStyle w:val="Heading1"/>
      </w:pPr>
    </w:p>
    <w:p w14:paraId="119217EF" w14:textId="784D15DE" w:rsidR="002A0AA2" w:rsidRPr="002A0AA2" w:rsidRDefault="002A0AA2" w:rsidP="002A0AA2">
      <w:pPr>
        <w:sectPr w:rsidR="002A0AA2" w:rsidRPr="002A0AA2" w:rsidSect="0038266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titlePg/>
          <w:docGrid w:linePitch="360"/>
        </w:sectPr>
      </w:pPr>
    </w:p>
    <w:p w14:paraId="499DA4DE" w14:textId="2CF9FCEE" w:rsidR="00FE2B0F" w:rsidRPr="00FE2B0F" w:rsidRDefault="00EA2261" w:rsidP="00F13451">
      <w:pPr>
        <w:pStyle w:val="Heading1"/>
      </w:pPr>
      <w:r>
        <w:lastRenderedPageBreak/>
        <w:t>Background</w:t>
      </w:r>
    </w:p>
    <w:p w14:paraId="4615EEED" w14:textId="77777777" w:rsidR="000D6B29" w:rsidRPr="001D42C0" w:rsidRDefault="00812718" w:rsidP="002D0F35">
      <w:pPr>
        <w:pStyle w:val="CGCParaNumber"/>
      </w:pPr>
      <w:r w:rsidRPr="001D42C0">
        <w:t xml:space="preserve">The Commission released </w:t>
      </w:r>
      <w:r w:rsidR="00A26EDF" w:rsidRPr="001D42C0">
        <w:t xml:space="preserve">the justice </w:t>
      </w:r>
      <w:r w:rsidR="00922E9E" w:rsidRPr="001D42C0">
        <w:t>draft position paper</w:t>
      </w:r>
      <w:r w:rsidR="001A54CF" w:rsidRPr="001D42C0">
        <w:t xml:space="preserve"> </w:t>
      </w:r>
      <w:r w:rsidR="005C6E25" w:rsidRPr="001D42C0">
        <w:t xml:space="preserve">to states </w:t>
      </w:r>
      <w:r w:rsidR="001A54CF" w:rsidRPr="001D42C0">
        <w:t xml:space="preserve">in </w:t>
      </w:r>
      <w:r w:rsidR="00137A2A" w:rsidRPr="001D42C0">
        <w:t>June 2025.</w:t>
      </w:r>
      <w:r w:rsidR="005C6E25" w:rsidRPr="001D42C0">
        <w:t xml:space="preserve"> </w:t>
      </w:r>
      <w:r w:rsidR="00AE28EA" w:rsidRPr="001D42C0">
        <w:t>It</w:t>
      </w:r>
      <w:r w:rsidR="005C6E25" w:rsidRPr="001D42C0">
        <w:t xml:space="preserve"> </w:t>
      </w:r>
      <w:r w:rsidR="00952DF3" w:rsidRPr="001D42C0">
        <w:t>included</w:t>
      </w:r>
      <w:r w:rsidR="005C6E25" w:rsidRPr="001D42C0">
        <w:t xml:space="preserve"> a proposed method based </w:t>
      </w:r>
      <w:r w:rsidR="004C00F9" w:rsidRPr="001D42C0">
        <w:t>on</w:t>
      </w:r>
      <w:r w:rsidR="005C6E25" w:rsidRPr="001D42C0">
        <w:t xml:space="preserve"> 2022</w:t>
      </w:r>
      <w:r w:rsidR="00C507CE" w:rsidRPr="001D42C0">
        <w:t>–</w:t>
      </w:r>
      <w:r w:rsidR="005C6E25" w:rsidRPr="001D42C0">
        <w:t xml:space="preserve">23 data only. </w:t>
      </w:r>
      <w:r w:rsidR="00952DF3" w:rsidRPr="001D42C0">
        <w:t xml:space="preserve">This paper builds </w:t>
      </w:r>
      <w:r w:rsidR="004C00F9" w:rsidRPr="001D42C0">
        <w:t>on</w:t>
      </w:r>
      <w:r w:rsidR="00952DF3" w:rsidRPr="001D42C0">
        <w:t xml:space="preserve"> </w:t>
      </w:r>
      <w:r w:rsidR="006A48E2" w:rsidRPr="001D42C0">
        <w:t>the previous paper</w:t>
      </w:r>
      <w:r w:rsidR="00952DF3" w:rsidRPr="001D42C0">
        <w:t xml:space="preserve"> </w:t>
      </w:r>
      <w:r w:rsidR="00B65C04" w:rsidRPr="001D42C0">
        <w:t>by including 2023</w:t>
      </w:r>
      <w:r w:rsidR="00C507CE" w:rsidRPr="001D42C0">
        <w:t>–</w:t>
      </w:r>
      <w:r w:rsidR="00B65C04" w:rsidRPr="001D42C0">
        <w:t>24 data</w:t>
      </w:r>
      <w:r w:rsidR="00383700" w:rsidRPr="001D42C0">
        <w:t xml:space="preserve"> and re</w:t>
      </w:r>
      <w:r w:rsidR="004D1B11" w:rsidRPr="001D42C0">
        <w:t>sponding to state submissio</w:t>
      </w:r>
      <w:r w:rsidR="0042238D" w:rsidRPr="001D42C0">
        <w:t>ns.</w:t>
      </w:r>
      <w:r w:rsidR="00922E9E" w:rsidRPr="001D42C0">
        <w:t xml:space="preserve"> </w:t>
      </w:r>
      <w:r w:rsidR="00135DB7" w:rsidRPr="001D42C0">
        <w:t>The Commission received written submissions from 7 states</w:t>
      </w:r>
      <w:r w:rsidR="000D6B29" w:rsidRPr="001D42C0">
        <w:t>.</w:t>
      </w:r>
    </w:p>
    <w:p w14:paraId="4D88EC89" w14:textId="77777777" w:rsidR="00BB306C" w:rsidRDefault="00BB306C" w:rsidP="002D0F35">
      <w:pPr>
        <w:pStyle w:val="CGCParaNumber"/>
      </w:pPr>
      <w:r>
        <w:t>This paper sets out the changes since the justice draft position paper</w:t>
      </w:r>
      <w:r w:rsidR="00503943">
        <w:t xml:space="preserve"> and</w:t>
      </w:r>
      <w:r w:rsidR="00E465A3">
        <w:t xml:space="preserve"> the reasons for those changes</w:t>
      </w:r>
      <w:r w:rsidR="00370F8B">
        <w:t>. It</w:t>
      </w:r>
      <w:r w:rsidR="00E465A3">
        <w:t xml:space="preserve"> includes indicative GST impacts of the new methods</w:t>
      </w:r>
      <w:r w:rsidR="002729D4">
        <w:t>,</w:t>
      </w:r>
      <w:r w:rsidR="00E465A3">
        <w:t xml:space="preserve"> reflecting the changes since the justice draft position paper. </w:t>
      </w:r>
    </w:p>
    <w:p w14:paraId="4D05B1CD" w14:textId="623955E5" w:rsidR="000D6B29" w:rsidRDefault="000D6B29" w:rsidP="002D0F35">
      <w:pPr>
        <w:pStyle w:val="CGCParaNumber"/>
      </w:pPr>
      <w:r>
        <w:t>Indicative GST impacts are calculated using the 3 assessment years of the 2025</w:t>
      </w:r>
      <w:r w:rsidR="00001AC7">
        <w:t> </w:t>
      </w:r>
      <w:r>
        <w:t>Review and applying the Commission’s final draft proposed method changes as outlined in this paper.</w:t>
      </w:r>
    </w:p>
    <w:p w14:paraId="756A2B60" w14:textId="2EA76A4A" w:rsidR="000D6B29" w:rsidRDefault="000D6B29" w:rsidP="002D0F35">
      <w:pPr>
        <w:pStyle w:val="CGCParaNumber"/>
      </w:pPr>
      <w:r>
        <w:t xml:space="preserve">GST impacts are provided for illustrative purposes only and should not be used to </w:t>
      </w:r>
      <w:r w:rsidR="00F515E5">
        <w:t xml:space="preserve">estimate </w:t>
      </w:r>
      <w:r>
        <w:t>the GST distribution for 2026–27. The GST impacts in the Commission’s 2026 Update will include updated data and will differ from the illustrative impacts in this paper.</w:t>
      </w:r>
    </w:p>
    <w:p w14:paraId="1DAB8C9D" w14:textId="73BAFFEC" w:rsidR="004D0875" w:rsidRDefault="000D6B29" w:rsidP="15E6E8FA">
      <w:pPr>
        <w:pStyle w:val="CGCParaNumber"/>
      </w:pPr>
      <w:r>
        <w:t xml:space="preserve">The Commission invites states to comment on the final draft positions presented in this </w:t>
      </w:r>
      <w:r w:rsidRPr="00CB0A49">
        <w:t xml:space="preserve">paper by </w:t>
      </w:r>
      <w:r w:rsidR="00AB3F83" w:rsidRPr="00CB0A49">
        <w:t xml:space="preserve">12 </w:t>
      </w:r>
      <w:r w:rsidRPr="00CB0A49">
        <w:t>November</w:t>
      </w:r>
      <w:r w:rsidR="00D94868">
        <w:t xml:space="preserve"> 2025</w:t>
      </w:r>
      <w:r>
        <w:t>. If significant changes are made to the proposed assessment in response to state comments the Commission will notify states as soon as practical before the release of the 2026 Update</w:t>
      </w:r>
      <w:r w:rsidR="00D64619">
        <w:t xml:space="preserve">. </w:t>
      </w:r>
    </w:p>
    <w:p w14:paraId="0305F850" w14:textId="721B22DE" w:rsidR="002E32D5" w:rsidRDefault="007A6EEA" w:rsidP="002E32D5">
      <w:pPr>
        <w:pStyle w:val="Heading2"/>
      </w:pPr>
      <w:r>
        <w:t>Assessment issues</w:t>
      </w:r>
      <w:r w:rsidR="00A56E48">
        <w:t xml:space="preserve"> identified in the justice draft position paper</w:t>
      </w:r>
    </w:p>
    <w:p w14:paraId="243C92FB" w14:textId="7CD86ECD" w:rsidR="007A6EEA" w:rsidRDefault="007A6EEA" w:rsidP="007A6EEA">
      <w:pPr>
        <w:pStyle w:val="Heading3"/>
      </w:pPr>
      <w:r>
        <w:t>Justice model and data issues</w:t>
      </w:r>
    </w:p>
    <w:p w14:paraId="33A028C2" w14:textId="1F7EEC23" w:rsidR="00A56E48" w:rsidRPr="00240C10" w:rsidRDefault="00A56E48" w:rsidP="00CE00D0">
      <w:pPr>
        <w:pStyle w:val="Heading35"/>
        <w:rPr>
          <w:i w:val="0"/>
          <w:iCs w:val="0"/>
        </w:rPr>
      </w:pPr>
      <w:r w:rsidRPr="00240C10">
        <w:t>Are 2022</w:t>
      </w:r>
      <w:r w:rsidR="00C507CE">
        <w:t>–</w:t>
      </w:r>
      <w:r w:rsidRPr="00240C10">
        <w:t>23</w:t>
      </w:r>
      <w:r w:rsidR="00774827">
        <w:t xml:space="preserve"> and 2023</w:t>
      </w:r>
      <w:r w:rsidR="00D304B6">
        <w:t>–</w:t>
      </w:r>
      <w:r w:rsidR="009F51A5">
        <w:t>24</w:t>
      </w:r>
      <w:r w:rsidRPr="00240C10">
        <w:t xml:space="preserve"> data fit for purpose?</w:t>
      </w:r>
    </w:p>
    <w:p w14:paraId="0A3172FA" w14:textId="12B76F01" w:rsidR="00665F2C" w:rsidRDefault="00E37172" w:rsidP="004461BD">
      <w:pPr>
        <w:pStyle w:val="Heading4"/>
      </w:pPr>
      <w:r>
        <w:t>Background</w:t>
      </w:r>
    </w:p>
    <w:p w14:paraId="26C7CCFD" w14:textId="760271B5" w:rsidR="00884335" w:rsidRDefault="00884335" w:rsidP="007E471B">
      <w:pPr>
        <w:pStyle w:val="CGCParaNumber"/>
        <w:numPr>
          <w:ilvl w:val="1"/>
          <w:numId w:val="16"/>
        </w:numPr>
      </w:pPr>
      <w:r w:rsidRPr="006A6F4D">
        <w:t>The Commission consider</w:t>
      </w:r>
      <w:r w:rsidR="00395C90" w:rsidRPr="006A6F4D">
        <w:t>ed</w:t>
      </w:r>
      <w:r w:rsidRPr="006A6F4D">
        <w:t xml:space="preserve"> 2022–23 data from states </w:t>
      </w:r>
      <w:r w:rsidR="00441BBE" w:rsidRPr="006A6F4D">
        <w:t>to be</w:t>
      </w:r>
      <w:r w:rsidRPr="006A6F4D">
        <w:t xml:space="preserve"> fit for</w:t>
      </w:r>
      <w:r w:rsidR="00EB4988" w:rsidRPr="006A6F4D">
        <w:t xml:space="preserve"> purpose for</w:t>
      </w:r>
      <w:r w:rsidRPr="006A6F4D">
        <w:t xml:space="preserve"> use in developing the justice assessment because</w:t>
      </w:r>
      <w:r>
        <w:t xml:space="preserve">: </w:t>
      </w:r>
    </w:p>
    <w:p w14:paraId="2DB9FDEA" w14:textId="484AA85C" w:rsidR="00884335" w:rsidRDefault="00884335" w:rsidP="004D0875">
      <w:pPr>
        <w:pStyle w:val="CGCBullet1"/>
        <w:ind w:left="924" w:hanging="357"/>
      </w:pPr>
      <w:r>
        <w:t>justice service use and provision in 2022–23 have likely reverted to pre</w:t>
      </w:r>
      <w:r w:rsidR="00580D16">
        <w:t xml:space="preserve"> </w:t>
      </w:r>
      <w:r>
        <w:t xml:space="preserve">COVID-19 trends </w:t>
      </w:r>
    </w:p>
    <w:p w14:paraId="6F0FF472" w14:textId="1D817263" w:rsidR="00A81A6E" w:rsidRDefault="00884335" w:rsidP="004D0875">
      <w:pPr>
        <w:pStyle w:val="CGCBullet1"/>
        <w:ind w:left="924" w:hanging="357"/>
      </w:pPr>
      <w:r>
        <w:t>state data for police and courts show consistent patterns regarding socio</w:t>
      </w:r>
      <w:r w:rsidR="00C02711">
        <w:noBreakHyphen/>
      </w:r>
      <w:r>
        <w:t>demographic and socio-economic drivers of justice services.</w:t>
      </w:r>
    </w:p>
    <w:p w14:paraId="4893B3EE" w14:textId="03E6AA60" w:rsidR="00552CAB" w:rsidRPr="00BC72B2" w:rsidRDefault="005D5990" w:rsidP="007E471B">
      <w:pPr>
        <w:pStyle w:val="CGCParaNumber"/>
        <w:numPr>
          <w:ilvl w:val="1"/>
          <w:numId w:val="16"/>
        </w:numPr>
      </w:pPr>
      <w:r w:rsidRPr="00BC72B2">
        <w:t>The Commission</w:t>
      </w:r>
      <w:r w:rsidR="00FD0B49" w:rsidRPr="00BC72B2">
        <w:t xml:space="preserve"> </w:t>
      </w:r>
      <w:r w:rsidR="006305DD" w:rsidRPr="00BC72B2">
        <w:t xml:space="preserve">also </w:t>
      </w:r>
      <w:r w:rsidR="00DA3685" w:rsidRPr="00BC72B2">
        <w:t xml:space="preserve">considered </w:t>
      </w:r>
      <w:r w:rsidR="00BC72B2">
        <w:t>202</w:t>
      </w:r>
      <w:r w:rsidR="00114320">
        <w:t>2</w:t>
      </w:r>
      <w:r w:rsidR="00A0797D">
        <w:t>–</w:t>
      </w:r>
      <w:r w:rsidR="00114320">
        <w:t>23 and 2023</w:t>
      </w:r>
      <w:r w:rsidR="00A0797D">
        <w:t>–</w:t>
      </w:r>
      <w:r w:rsidR="00114320">
        <w:t>24</w:t>
      </w:r>
      <w:r w:rsidR="00E62954" w:rsidRPr="00BC72B2">
        <w:t xml:space="preserve"> data </w:t>
      </w:r>
      <w:r w:rsidR="006305DD" w:rsidRPr="00BC72B2">
        <w:t xml:space="preserve">from the </w:t>
      </w:r>
      <w:r w:rsidRPr="00BC72B2">
        <w:t xml:space="preserve">ABS and </w:t>
      </w:r>
      <w:r w:rsidR="00491F5D" w:rsidRPr="00BC72B2">
        <w:t xml:space="preserve">the </w:t>
      </w:r>
      <w:r w:rsidRPr="00BC72B2">
        <w:t>Australian Institute of Health and Welfare to be the best available and fit for purpose for use in the prisons assessment.</w:t>
      </w:r>
    </w:p>
    <w:p w14:paraId="079B7646" w14:textId="6C95C903" w:rsidR="006305DD" w:rsidRPr="007417FA" w:rsidRDefault="006305DD" w:rsidP="007E471B">
      <w:pPr>
        <w:pStyle w:val="CGCParaNumber"/>
        <w:numPr>
          <w:ilvl w:val="1"/>
          <w:numId w:val="16"/>
        </w:numPr>
      </w:pPr>
      <w:r w:rsidRPr="007417FA">
        <w:t xml:space="preserve">The Commission </w:t>
      </w:r>
      <w:r w:rsidR="007417FA" w:rsidRPr="007417FA">
        <w:t xml:space="preserve">has received and </w:t>
      </w:r>
      <w:r w:rsidR="00B72328" w:rsidRPr="007417FA">
        <w:t>analysed</w:t>
      </w:r>
      <w:r w:rsidR="00F3654C" w:rsidRPr="007417FA">
        <w:t xml:space="preserve"> </w:t>
      </w:r>
      <w:r w:rsidR="007D5F0E" w:rsidRPr="007417FA">
        <w:t>2023</w:t>
      </w:r>
      <w:r w:rsidR="00B931F8" w:rsidRPr="007417FA">
        <w:t>–</w:t>
      </w:r>
      <w:r w:rsidR="007D5F0E" w:rsidRPr="007417FA">
        <w:t>24 data</w:t>
      </w:r>
      <w:r w:rsidR="000D309C" w:rsidRPr="007417FA">
        <w:t xml:space="preserve"> from the states. </w:t>
      </w:r>
    </w:p>
    <w:p w14:paraId="6D57768B" w14:textId="0D626398" w:rsidR="001A3A8D" w:rsidRDefault="00E37172" w:rsidP="004461BD">
      <w:pPr>
        <w:pStyle w:val="Heading4"/>
      </w:pPr>
      <w:r>
        <w:lastRenderedPageBreak/>
        <w:t>State views</w:t>
      </w:r>
    </w:p>
    <w:p w14:paraId="7879EE38" w14:textId="1160031A" w:rsidR="0083208E" w:rsidRDefault="00064CD6" w:rsidP="007E471B">
      <w:pPr>
        <w:pStyle w:val="CGCParaNumber"/>
        <w:numPr>
          <w:ilvl w:val="1"/>
          <w:numId w:val="16"/>
        </w:numPr>
      </w:pPr>
      <w:r>
        <w:t>Most states</w:t>
      </w:r>
      <w:r w:rsidR="00EC0F83">
        <w:t xml:space="preserve"> agreed with the Commission </w:t>
      </w:r>
      <w:r w:rsidR="00F514EB">
        <w:t>us</w:t>
      </w:r>
      <w:r w:rsidR="00516EEE">
        <w:t>ing</w:t>
      </w:r>
      <w:r w:rsidR="00EC0F83">
        <w:t xml:space="preserve"> 2022</w:t>
      </w:r>
      <w:r w:rsidR="00C507CE">
        <w:t>–</w:t>
      </w:r>
      <w:r w:rsidR="00EC0F83">
        <w:t xml:space="preserve">23 data </w:t>
      </w:r>
      <w:r w:rsidR="009D48C8">
        <w:t>i</w:t>
      </w:r>
      <w:r w:rsidR="00F514EB">
        <w:t>n the</w:t>
      </w:r>
      <w:r w:rsidR="009023ED">
        <w:t xml:space="preserve"> justice assessment. </w:t>
      </w:r>
    </w:p>
    <w:p w14:paraId="6A5864E7" w14:textId="19AA6D9D" w:rsidR="006E048F" w:rsidRDefault="008B0A8D" w:rsidP="007E471B">
      <w:pPr>
        <w:pStyle w:val="CGCParaNumber"/>
        <w:numPr>
          <w:ilvl w:val="1"/>
          <w:numId w:val="16"/>
        </w:numPr>
      </w:pPr>
      <w:r>
        <w:t xml:space="preserve">Victoria </w:t>
      </w:r>
      <w:r w:rsidR="001E039F">
        <w:t>agreed</w:t>
      </w:r>
      <w:r>
        <w:t xml:space="preserve"> that justice service use and provision had </w:t>
      </w:r>
      <w:r w:rsidR="001E039F">
        <w:t xml:space="preserve">likely </w:t>
      </w:r>
      <w:r>
        <w:t>reverted to pre COVI</w:t>
      </w:r>
      <w:r w:rsidR="00A12DEA">
        <w:t>D</w:t>
      </w:r>
      <w:r>
        <w:t>-19 trends</w:t>
      </w:r>
      <w:r w:rsidR="001E039F">
        <w:t xml:space="preserve">. However, Victoria </w:t>
      </w:r>
      <w:r w:rsidR="00520EF0">
        <w:t xml:space="preserve">reiterated views presented </w:t>
      </w:r>
      <w:r w:rsidR="001B58BE">
        <w:t xml:space="preserve">in previous submissions that data are </w:t>
      </w:r>
      <w:r w:rsidR="00EB3D73">
        <w:t xml:space="preserve">of poor quality and that the Commission should </w:t>
      </w:r>
      <w:r w:rsidR="0013311A">
        <w:t xml:space="preserve">discount the assessment to reflect this. </w:t>
      </w:r>
    </w:p>
    <w:p w14:paraId="256679EF" w14:textId="0365524F" w:rsidR="003A6A9A" w:rsidRDefault="00CA3955" w:rsidP="007E471B">
      <w:pPr>
        <w:pStyle w:val="CGCParaNumber"/>
        <w:numPr>
          <w:ilvl w:val="1"/>
          <w:numId w:val="16"/>
        </w:numPr>
      </w:pPr>
      <w:r>
        <w:t xml:space="preserve">Queensland and the ACT </w:t>
      </w:r>
      <w:r w:rsidR="000408D8">
        <w:t xml:space="preserve">said that the Commission should </w:t>
      </w:r>
      <w:r w:rsidR="00BB70B0">
        <w:t xml:space="preserve">ensure the data </w:t>
      </w:r>
      <w:r w:rsidR="00740996">
        <w:t>are</w:t>
      </w:r>
      <w:r w:rsidR="00BB70B0">
        <w:t xml:space="preserve"> fit</w:t>
      </w:r>
      <w:r w:rsidR="00CF708C">
        <w:t xml:space="preserve"> </w:t>
      </w:r>
      <w:r w:rsidR="00BB70B0">
        <w:t>for</w:t>
      </w:r>
      <w:r w:rsidR="00CF708C">
        <w:t xml:space="preserve"> </w:t>
      </w:r>
      <w:r w:rsidR="00BB70B0">
        <w:t xml:space="preserve">purpose and of a suitable quality before </w:t>
      </w:r>
      <w:r w:rsidR="00CD4858">
        <w:t xml:space="preserve">incorporating them </w:t>
      </w:r>
      <w:r w:rsidR="00A8466B">
        <w:t>into the assessment.</w:t>
      </w:r>
      <w:r w:rsidR="00DE5476">
        <w:t xml:space="preserve"> The ACT asked the Commission to provide </w:t>
      </w:r>
      <w:r w:rsidR="00FF685D">
        <w:t xml:space="preserve">states with detailed supporting information on the data inputs used to derive </w:t>
      </w:r>
      <w:r w:rsidR="00D945FD">
        <w:t xml:space="preserve">impacts </w:t>
      </w:r>
      <w:r w:rsidR="00CB2A63">
        <w:t xml:space="preserve">prior to the release of the final position paper. </w:t>
      </w:r>
    </w:p>
    <w:p w14:paraId="2FF4527E" w14:textId="20A51A29" w:rsidR="009F1133" w:rsidRPr="00665F2C" w:rsidRDefault="009F1133" w:rsidP="007E471B">
      <w:pPr>
        <w:pStyle w:val="CGCParaNumber"/>
        <w:numPr>
          <w:ilvl w:val="1"/>
          <w:numId w:val="16"/>
        </w:numPr>
      </w:pPr>
      <w:r>
        <w:t xml:space="preserve">The Northern Territory </w:t>
      </w:r>
      <w:r w:rsidR="00685782">
        <w:t>said</w:t>
      </w:r>
      <w:r w:rsidR="003043A5">
        <w:t xml:space="preserve"> </w:t>
      </w:r>
      <w:r w:rsidR="00C320E2">
        <w:t>that data were fit</w:t>
      </w:r>
      <w:r w:rsidR="00BF761A">
        <w:t xml:space="preserve"> </w:t>
      </w:r>
      <w:r w:rsidR="00C320E2">
        <w:t>for</w:t>
      </w:r>
      <w:r w:rsidR="00BF761A">
        <w:t xml:space="preserve"> </w:t>
      </w:r>
      <w:r w:rsidR="00C320E2">
        <w:t xml:space="preserve">purpose </w:t>
      </w:r>
      <w:r w:rsidR="003043A5">
        <w:t xml:space="preserve">but </w:t>
      </w:r>
      <w:r w:rsidR="001162D0">
        <w:t>reserved</w:t>
      </w:r>
      <w:r w:rsidR="00C320E2">
        <w:t xml:space="preserve"> the right to make</w:t>
      </w:r>
      <w:r w:rsidR="001162D0">
        <w:t xml:space="preserve"> </w:t>
      </w:r>
      <w:r w:rsidR="003167E7">
        <w:t>its</w:t>
      </w:r>
      <w:r w:rsidR="00C320E2">
        <w:t xml:space="preserve"> final decision </w:t>
      </w:r>
      <w:r w:rsidR="00305E02">
        <w:t xml:space="preserve">once </w:t>
      </w:r>
      <w:r w:rsidR="00C320E2">
        <w:t>2023</w:t>
      </w:r>
      <w:r w:rsidR="00B17FEC">
        <w:t>–</w:t>
      </w:r>
      <w:r w:rsidR="00C320E2">
        <w:t xml:space="preserve">24 data </w:t>
      </w:r>
      <w:r w:rsidR="003167E7">
        <w:t xml:space="preserve">were </w:t>
      </w:r>
      <w:r w:rsidR="00C320E2">
        <w:t xml:space="preserve">available for consideration. </w:t>
      </w:r>
      <w:r w:rsidR="009872E3">
        <w:t xml:space="preserve">The Northern Territory </w:t>
      </w:r>
      <w:r w:rsidR="00B91E43">
        <w:t xml:space="preserve">no longer </w:t>
      </w:r>
      <w:r w:rsidR="00A537B7">
        <w:t>re</w:t>
      </w:r>
      <w:r w:rsidR="0061131A">
        <w:t>commend</w:t>
      </w:r>
      <w:r w:rsidR="00536FEB">
        <w:t>ed</w:t>
      </w:r>
      <w:r w:rsidR="0061131A">
        <w:t xml:space="preserve"> </w:t>
      </w:r>
      <w:r w:rsidR="00B57D24">
        <w:t>that</w:t>
      </w:r>
      <w:r w:rsidR="00222ADB">
        <w:t xml:space="preserve"> the Commission </w:t>
      </w:r>
      <w:r w:rsidR="00BF3521">
        <w:t>introduce</w:t>
      </w:r>
      <w:r w:rsidR="00B91E43">
        <w:t xml:space="preserve"> annual updates to the </w:t>
      </w:r>
      <w:r w:rsidR="009A4E1C">
        <w:t xml:space="preserve">data for the justice assessment. </w:t>
      </w:r>
    </w:p>
    <w:p w14:paraId="5C5A432A" w14:textId="36AF1C94" w:rsidR="004461BD" w:rsidRDefault="00240C10" w:rsidP="004461BD">
      <w:pPr>
        <w:pStyle w:val="Heading4"/>
      </w:pPr>
      <w:r>
        <w:t>Commission response</w:t>
      </w:r>
    </w:p>
    <w:p w14:paraId="2DA2B5A0" w14:textId="73311AFC" w:rsidR="00024773" w:rsidRPr="0076498C" w:rsidRDefault="0076498C" w:rsidP="007E471B">
      <w:pPr>
        <w:pStyle w:val="CGCParaNumber"/>
        <w:numPr>
          <w:ilvl w:val="1"/>
          <w:numId w:val="16"/>
        </w:numPr>
      </w:pPr>
      <w:r w:rsidRPr="0076498C">
        <w:t xml:space="preserve">The Commission has </w:t>
      </w:r>
      <w:r>
        <w:t xml:space="preserve">tested state </w:t>
      </w:r>
      <w:r w:rsidR="00B236D3">
        <w:t xml:space="preserve">provided data </w:t>
      </w:r>
      <w:r w:rsidR="00CF2164">
        <w:t>for 2023</w:t>
      </w:r>
      <w:r w:rsidR="00B17FEC">
        <w:t>–</w:t>
      </w:r>
      <w:r w:rsidR="00CF2164">
        <w:t>24</w:t>
      </w:r>
      <w:r w:rsidR="00295FBE">
        <w:t xml:space="preserve"> and is confident that the data </w:t>
      </w:r>
      <w:r w:rsidR="006D6833">
        <w:t>are</w:t>
      </w:r>
      <w:r w:rsidR="00295FBE">
        <w:t xml:space="preserve"> fit</w:t>
      </w:r>
      <w:r w:rsidR="00BF761A">
        <w:t xml:space="preserve"> </w:t>
      </w:r>
      <w:r w:rsidR="00295FBE">
        <w:t>for</w:t>
      </w:r>
      <w:r w:rsidR="00D53113">
        <w:t xml:space="preserve"> </w:t>
      </w:r>
      <w:r w:rsidR="00295FBE">
        <w:t xml:space="preserve">purpose and </w:t>
      </w:r>
      <w:r w:rsidR="00F95AD8">
        <w:t xml:space="preserve">sufficiently </w:t>
      </w:r>
      <w:r w:rsidR="00295FBE">
        <w:t xml:space="preserve">robust for inclusion in the </w:t>
      </w:r>
      <w:r w:rsidR="00A92106">
        <w:t xml:space="preserve">police and courts </w:t>
      </w:r>
      <w:r w:rsidR="00295FBE">
        <w:t>assessment</w:t>
      </w:r>
      <w:r w:rsidR="00A92106">
        <w:t>s</w:t>
      </w:r>
      <w:r w:rsidR="00295FBE">
        <w:t>.</w:t>
      </w:r>
      <w:r w:rsidR="0099415B">
        <w:t xml:space="preserve"> </w:t>
      </w:r>
    </w:p>
    <w:p w14:paraId="1C35C027" w14:textId="192FD581" w:rsidR="00DD7208" w:rsidRPr="0076498C" w:rsidRDefault="00CC1225" w:rsidP="007E471B">
      <w:pPr>
        <w:pStyle w:val="CGCParaNumber"/>
        <w:numPr>
          <w:ilvl w:val="1"/>
          <w:numId w:val="16"/>
        </w:numPr>
      </w:pPr>
      <w:r>
        <w:t xml:space="preserve">The Commission </w:t>
      </w:r>
      <w:r w:rsidR="00A92106">
        <w:t>considers</w:t>
      </w:r>
      <w:r>
        <w:t xml:space="preserve"> that</w:t>
      </w:r>
      <w:r w:rsidR="004B6E08">
        <w:t xml:space="preserve"> 2022</w:t>
      </w:r>
      <w:r w:rsidR="005D41D8">
        <w:t>–</w:t>
      </w:r>
      <w:r w:rsidR="004B6E08">
        <w:t>23 and 2023</w:t>
      </w:r>
      <w:r w:rsidR="005D41D8">
        <w:t>–</w:t>
      </w:r>
      <w:r w:rsidR="004B6E08">
        <w:t>24</w:t>
      </w:r>
      <w:r w:rsidR="00C1724E">
        <w:t xml:space="preserve"> state</w:t>
      </w:r>
      <w:r w:rsidR="005D39A0">
        <w:t xml:space="preserve"> data on prison costs</w:t>
      </w:r>
      <w:r w:rsidR="00962653">
        <w:t xml:space="preserve"> </w:t>
      </w:r>
      <w:r w:rsidR="00BE52E0">
        <w:t>are</w:t>
      </w:r>
      <w:r w:rsidR="00962653">
        <w:t xml:space="preserve"> </w:t>
      </w:r>
      <w:r w:rsidR="0048719F">
        <w:t>not</w:t>
      </w:r>
      <w:r w:rsidR="004B6E08">
        <w:t xml:space="preserve"> </w:t>
      </w:r>
      <w:r w:rsidR="00962653">
        <w:t>fit for purpose</w:t>
      </w:r>
      <w:r w:rsidR="0048719F">
        <w:t xml:space="preserve"> </w:t>
      </w:r>
      <w:r w:rsidR="003D04EF">
        <w:t>to update regional costs</w:t>
      </w:r>
      <w:r w:rsidR="007B5C9F">
        <w:t xml:space="preserve"> in the prisons assessment</w:t>
      </w:r>
      <w:r w:rsidR="00006695">
        <w:t>. This is discussed further in the prisons section of this paper.</w:t>
      </w:r>
      <w:r w:rsidR="00962653">
        <w:t xml:space="preserve"> </w:t>
      </w:r>
    </w:p>
    <w:p w14:paraId="48CA5B21" w14:textId="44292CCB" w:rsidR="009D4D72" w:rsidRPr="0076498C" w:rsidRDefault="009D4D72" w:rsidP="007E471B">
      <w:pPr>
        <w:pStyle w:val="CGCParaNumber"/>
        <w:numPr>
          <w:ilvl w:val="1"/>
          <w:numId w:val="16"/>
        </w:numPr>
      </w:pPr>
      <w:r>
        <w:t xml:space="preserve">Attachment A </w:t>
      </w:r>
      <w:r w:rsidR="00D43939">
        <w:t>shows the relationships present in</w:t>
      </w:r>
      <w:r>
        <w:t xml:space="preserve"> </w:t>
      </w:r>
      <w:r w:rsidR="00862135">
        <w:t>2022</w:t>
      </w:r>
      <w:r w:rsidR="00B17FEC">
        <w:t>–</w:t>
      </w:r>
      <w:r w:rsidR="00862135">
        <w:t>23 and 20</w:t>
      </w:r>
      <w:r w:rsidR="00EE0CC3">
        <w:t>23</w:t>
      </w:r>
      <w:r w:rsidR="00B17FEC">
        <w:t>–</w:t>
      </w:r>
      <w:r w:rsidR="00EE0CC3">
        <w:t xml:space="preserve">24 </w:t>
      </w:r>
      <w:r w:rsidR="00D43939">
        <w:t xml:space="preserve">data. </w:t>
      </w:r>
    </w:p>
    <w:p w14:paraId="60568477" w14:textId="6A40C258" w:rsidR="00E37172" w:rsidRDefault="00E37172" w:rsidP="00240C10">
      <w:pPr>
        <w:pStyle w:val="Heading4"/>
      </w:pPr>
      <w:r>
        <w:t xml:space="preserve">Commission </w:t>
      </w:r>
      <w:r w:rsidR="002F7D17">
        <w:t xml:space="preserve">final draft </w:t>
      </w:r>
      <w:r>
        <w:t>position</w:t>
      </w:r>
    </w:p>
    <w:p w14:paraId="20AA7437" w14:textId="044D3F19" w:rsidR="00665F2C" w:rsidRPr="00665F2C" w:rsidRDefault="00D56464" w:rsidP="007E471B">
      <w:pPr>
        <w:pStyle w:val="CGCParaNumber"/>
        <w:numPr>
          <w:ilvl w:val="1"/>
          <w:numId w:val="16"/>
        </w:numPr>
      </w:pPr>
      <w:r>
        <w:t xml:space="preserve">The Commission </w:t>
      </w:r>
      <w:r w:rsidR="0009205A">
        <w:t>consider</w:t>
      </w:r>
      <w:r w:rsidR="00D8268C">
        <w:t>s</w:t>
      </w:r>
      <w:r>
        <w:t xml:space="preserve"> </w:t>
      </w:r>
      <w:r w:rsidRPr="00B94714">
        <w:t>that</w:t>
      </w:r>
      <w:r w:rsidR="00903CD0" w:rsidRPr="00B94714">
        <w:t xml:space="preserve">, </w:t>
      </w:r>
      <w:proofErr w:type="gramStart"/>
      <w:r w:rsidR="00903CD0" w:rsidRPr="00B94714">
        <w:t>with the exception of</w:t>
      </w:r>
      <w:proofErr w:type="gramEnd"/>
      <w:r w:rsidR="00903CD0" w:rsidRPr="00B94714">
        <w:t xml:space="preserve"> state </w:t>
      </w:r>
      <w:r w:rsidR="00DD5B52" w:rsidRPr="00B94714">
        <w:t xml:space="preserve">data on </w:t>
      </w:r>
      <w:r w:rsidR="00903CD0" w:rsidRPr="00B94714">
        <w:t>prison cost</w:t>
      </w:r>
      <w:r w:rsidR="00DD5B52" w:rsidRPr="00B94714">
        <w:t>s</w:t>
      </w:r>
      <w:r w:rsidR="00903CD0" w:rsidRPr="00B94714">
        <w:t>,</w:t>
      </w:r>
      <w:r>
        <w:t xml:space="preserve"> </w:t>
      </w:r>
      <w:r w:rsidR="00494EEB">
        <w:t>both 2022</w:t>
      </w:r>
      <w:r w:rsidR="00B17FEC">
        <w:t>–</w:t>
      </w:r>
      <w:r w:rsidR="00494EEB">
        <w:t>23 and 2023</w:t>
      </w:r>
      <w:r w:rsidR="00B17FEC">
        <w:t>–</w:t>
      </w:r>
      <w:r w:rsidR="00494EEB">
        <w:t xml:space="preserve">24 data </w:t>
      </w:r>
      <w:r w:rsidR="005C297A">
        <w:t>are robust and fit</w:t>
      </w:r>
      <w:r w:rsidR="00D8268C">
        <w:t xml:space="preserve"> </w:t>
      </w:r>
      <w:r w:rsidR="005C297A">
        <w:t>for</w:t>
      </w:r>
      <w:r w:rsidR="00D8268C">
        <w:t xml:space="preserve"> </w:t>
      </w:r>
      <w:r w:rsidR="005C297A">
        <w:t>purpose</w:t>
      </w:r>
      <w:r w:rsidR="006D2EC3">
        <w:t xml:space="preserve"> </w:t>
      </w:r>
      <w:r w:rsidR="00AF41C4">
        <w:t xml:space="preserve">for use in updating the </w:t>
      </w:r>
      <w:r w:rsidR="00901F9E">
        <w:t>justice assessment.</w:t>
      </w:r>
    </w:p>
    <w:p w14:paraId="51E2CED0" w14:textId="253D00A8" w:rsidR="00A56E48" w:rsidRPr="00240C10" w:rsidRDefault="00D03419" w:rsidP="00D026A8">
      <w:pPr>
        <w:pStyle w:val="Heading35"/>
      </w:pPr>
      <w:r>
        <w:t>U</w:t>
      </w:r>
      <w:r w:rsidR="000D00D8">
        <w:t>sing 2021 Census based</w:t>
      </w:r>
      <w:r>
        <w:t xml:space="preserve"> </w:t>
      </w:r>
      <w:r w:rsidR="000C3351" w:rsidRPr="00240C10">
        <w:t xml:space="preserve">estimated </w:t>
      </w:r>
      <w:r w:rsidR="000C3351" w:rsidRPr="007E1277">
        <w:t>resident</w:t>
      </w:r>
      <w:r w:rsidR="000C3351" w:rsidRPr="00240C10">
        <w:t xml:space="preserve"> population and First</w:t>
      </w:r>
      <w:r w:rsidR="009E3B34">
        <w:t> </w:t>
      </w:r>
      <w:r w:rsidR="000C3351" w:rsidRPr="00240C10">
        <w:t>Nations proportions</w:t>
      </w:r>
    </w:p>
    <w:p w14:paraId="740EFEB9" w14:textId="77777777" w:rsidR="0090144E" w:rsidRDefault="0090144E" w:rsidP="00240C10">
      <w:pPr>
        <w:pStyle w:val="Heading4"/>
      </w:pPr>
      <w:r w:rsidRPr="0090144E">
        <w:t>Background</w:t>
      </w:r>
    </w:p>
    <w:p w14:paraId="261F5B15" w14:textId="5EBB60D2" w:rsidR="00665F2C" w:rsidRPr="0090144E" w:rsidRDefault="00B81CB0" w:rsidP="007E471B">
      <w:pPr>
        <w:pStyle w:val="CGCParaNumber"/>
        <w:numPr>
          <w:ilvl w:val="1"/>
          <w:numId w:val="16"/>
        </w:numPr>
      </w:pPr>
      <w:r>
        <w:t>The</w:t>
      </w:r>
      <w:r w:rsidR="00546312">
        <w:t xml:space="preserve"> Commission consider</w:t>
      </w:r>
      <w:r w:rsidR="00D50488">
        <w:t>s</w:t>
      </w:r>
      <w:r w:rsidR="00546312">
        <w:t xml:space="preserve"> </w:t>
      </w:r>
      <w:r w:rsidR="00125316">
        <w:t xml:space="preserve">it appropriate to </w:t>
      </w:r>
      <w:r w:rsidR="00B208B5">
        <w:t>use</w:t>
      </w:r>
      <w:r w:rsidR="00125316">
        <w:t xml:space="preserve"> the </w:t>
      </w:r>
      <w:r>
        <w:t>2021</w:t>
      </w:r>
      <w:r w:rsidR="00667243">
        <w:t xml:space="preserve"> Census</w:t>
      </w:r>
      <w:r w:rsidR="00667243">
        <w:noBreakHyphen/>
        <w:t xml:space="preserve">based estimated </w:t>
      </w:r>
      <w:r w:rsidR="007E1277" w:rsidRPr="007E1277">
        <w:t>resident</w:t>
      </w:r>
      <w:r w:rsidR="00667243">
        <w:t xml:space="preserve"> population</w:t>
      </w:r>
      <w:r w:rsidR="001D2BE0">
        <w:t xml:space="preserve"> </w:t>
      </w:r>
      <w:r w:rsidR="00B208B5">
        <w:t xml:space="preserve">in conjunction </w:t>
      </w:r>
      <w:r w:rsidR="00C12FFB">
        <w:t>with</w:t>
      </w:r>
      <w:r w:rsidR="003F3165">
        <w:t xml:space="preserve"> use data</w:t>
      </w:r>
      <w:r w:rsidR="00A75080">
        <w:t xml:space="preserve"> from</w:t>
      </w:r>
      <w:r w:rsidR="00C12FFB">
        <w:t xml:space="preserve"> 2022</w:t>
      </w:r>
      <w:r w:rsidR="009645B7">
        <w:t>–</w:t>
      </w:r>
      <w:r w:rsidR="00C12FFB">
        <w:t>23 and 2023</w:t>
      </w:r>
      <w:r w:rsidR="009645B7">
        <w:t>–</w:t>
      </w:r>
      <w:r w:rsidR="00C12FFB">
        <w:t xml:space="preserve">24 </w:t>
      </w:r>
      <w:r w:rsidR="00DA5D89">
        <w:t>in the revised justice assessment.</w:t>
      </w:r>
      <w:r w:rsidR="00711E5F">
        <w:t xml:space="preserve"> </w:t>
      </w:r>
    </w:p>
    <w:p w14:paraId="7E4EEF25" w14:textId="77777777" w:rsidR="0090144E" w:rsidRDefault="0090144E" w:rsidP="00240C10">
      <w:pPr>
        <w:pStyle w:val="Heading4"/>
      </w:pPr>
      <w:r w:rsidRPr="0090144E">
        <w:lastRenderedPageBreak/>
        <w:t>State views</w:t>
      </w:r>
    </w:p>
    <w:p w14:paraId="1072C109" w14:textId="036D4666" w:rsidR="00665F2C" w:rsidRDefault="00A941D4" w:rsidP="007E471B">
      <w:pPr>
        <w:pStyle w:val="CGCParaNumber"/>
        <w:numPr>
          <w:ilvl w:val="1"/>
          <w:numId w:val="16"/>
        </w:numPr>
      </w:pPr>
      <w:r>
        <w:t>New South Wales</w:t>
      </w:r>
      <w:r w:rsidR="008905CB">
        <w:t xml:space="preserve">, </w:t>
      </w:r>
      <w:r>
        <w:t xml:space="preserve">Queensland </w:t>
      </w:r>
      <w:r w:rsidR="008905CB">
        <w:t xml:space="preserve">and the Northern Territory </w:t>
      </w:r>
      <w:r w:rsidR="002E3697">
        <w:t xml:space="preserve">agreed that </w:t>
      </w:r>
      <w:r w:rsidR="002C36A5">
        <w:t xml:space="preserve">2021 Census based </w:t>
      </w:r>
      <w:r w:rsidR="004C6572">
        <w:t xml:space="preserve">projections of First Nations </w:t>
      </w:r>
      <w:r w:rsidR="002C36A5">
        <w:t xml:space="preserve">estimated </w:t>
      </w:r>
      <w:r w:rsidR="002C36A5" w:rsidRPr="007E1277">
        <w:t>resident</w:t>
      </w:r>
      <w:r w:rsidR="002C36A5">
        <w:t xml:space="preserve"> population </w:t>
      </w:r>
      <w:r w:rsidR="004C6572">
        <w:t>should be incorporated into the justice assessment.</w:t>
      </w:r>
    </w:p>
    <w:p w14:paraId="533C971D" w14:textId="228FEB48" w:rsidR="00D702C4" w:rsidRDefault="00D702C4" w:rsidP="007E471B">
      <w:pPr>
        <w:pStyle w:val="CGCParaNumber"/>
        <w:numPr>
          <w:ilvl w:val="1"/>
          <w:numId w:val="16"/>
        </w:numPr>
      </w:pPr>
      <w:r>
        <w:t xml:space="preserve">New South Wales said that it would engage further with the Commission on this issue in the </w:t>
      </w:r>
      <w:r w:rsidR="00680807" w:rsidRPr="00AE3BD8">
        <w:t xml:space="preserve">First Nations </w:t>
      </w:r>
      <w:r w:rsidR="00F716BE" w:rsidRPr="00AE3BD8">
        <w:t>spending needs</w:t>
      </w:r>
      <w:r w:rsidRPr="00AE3BD8">
        <w:t xml:space="preserve"> project</w:t>
      </w:r>
      <w:r>
        <w:t xml:space="preserve"> on the forward work program</w:t>
      </w:r>
      <w:r w:rsidR="000D6B2F">
        <w:t xml:space="preserve"> in consultation with First Nations</w:t>
      </w:r>
      <w:r w:rsidR="00EC5389">
        <w:t xml:space="preserve"> communities</w:t>
      </w:r>
      <w:r>
        <w:t xml:space="preserve">. </w:t>
      </w:r>
    </w:p>
    <w:p w14:paraId="7089CCF4" w14:textId="695F7101" w:rsidR="007A71FC" w:rsidRDefault="007A71FC" w:rsidP="007E471B">
      <w:pPr>
        <w:pStyle w:val="CGCParaNumber"/>
        <w:numPr>
          <w:ilvl w:val="1"/>
          <w:numId w:val="16"/>
        </w:numPr>
      </w:pPr>
      <w:r>
        <w:t xml:space="preserve">Queensland </w:t>
      </w:r>
      <w:r w:rsidR="0084131B">
        <w:t>said that</w:t>
      </w:r>
      <w:r w:rsidR="00DD1105">
        <w:t xml:space="preserve">, given the </w:t>
      </w:r>
      <w:r w:rsidR="00FE1958">
        <w:t>increase</w:t>
      </w:r>
      <w:r w:rsidR="00DD1105">
        <w:t xml:space="preserve"> in </w:t>
      </w:r>
      <w:r w:rsidR="00C66714">
        <w:t>non-demographic growth</w:t>
      </w:r>
      <w:r w:rsidR="00215A1C">
        <w:t>,</w:t>
      </w:r>
      <w:r w:rsidR="0084131B">
        <w:t xml:space="preserve"> </w:t>
      </w:r>
      <w:r w:rsidR="008C4476">
        <w:t xml:space="preserve">2021 Census based projections of First Nations estimated </w:t>
      </w:r>
      <w:r w:rsidR="008C4476" w:rsidRPr="007E1277">
        <w:t>resident</w:t>
      </w:r>
      <w:r w:rsidR="008C4476">
        <w:t xml:space="preserve"> population</w:t>
      </w:r>
      <w:r w:rsidR="0025168C">
        <w:t xml:space="preserve"> should be tested </w:t>
      </w:r>
      <w:r w:rsidR="00082880">
        <w:t xml:space="preserve">for quality </w:t>
      </w:r>
      <w:r w:rsidR="00B22B5C">
        <w:t xml:space="preserve">to ensure bias is not introduced into the assessment. </w:t>
      </w:r>
      <w:r w:rsidR="00A316FF">
        <w:t xml:space="preserve">Queensland noted that </w:t>
      </w:r>
      <w:r w:rsidR="00715C63">
        <w:t>over half of the growth in the First Nations population in the 2021 Census was attributable to non-demographic factors</w:t>
      </w:r>
      <w:r w:rsidR="00196338">
        <w:t xml:space="preserve">, </w:t>
      </w:r>
      <w:r w:rsidR="00E5704E">
        <w:t xml:space="preserve">making the </w:t>
      </w:r>
      <w:r w:rsidR="006149AC">
        <w:t>composition of the First Nations population in the 2021 Census not directly comparable to that of the 2016</w:t>
      </w:r>
      <w:r w:rsidR="00660805">
        <w:t> </w:t>
      </w:r>
      <w:r w:rsidR="006149AC">
        <w:t xml:space="preserve">Census. </w:t>
      </w:r>
    </w:p>
    <w:p w14:paraId="2864AA42" w14:textId="4562D793" w:rsidR="00B22B5C" w:rsidRDefault="00CA2489" w:rsidP="007E471B">
      <w:pPr>
        <w:pStyle w:val="CGCParaNumber"/>
        <w:numPr>
          <w:ilvl w:val="1"/>
          <w:numId w:val="16"/>
        </w:numPr>
      </w:pPr>
      <w:r>
        <w:t>The Northern Territory said that</w:t>
      </w:r>
      <w:r w:rsidR="00DD5603">
        <w:t>,</w:t>
      </w:r>
      <w:r>
        <w:t xml:space="preserve"> while it was appropriate and necessary for </w:t>
      </w:r>
      <w:r w:rsidR="009905CC">
        <w:t xml:space="preserve">the new population data to flow through into the justice assessment, </w:t>
      </w:r>
      <w:r w:rsidR="00F24D3B">
        <w:t xml:space="preserve">further consideration </w:t>
      </w:r>
      <w:r w:rsidR="005F5B94">
        <w:t xml:space="preserve">of non-demographic change was </w:t>
      </w:r>
      <w:r w:rsidR="00C24A2C">
        <w:t xml:space="preserve">required. </w:t>
      </w:r>
      <w:r w:rsidR="00BC1640" w:rsidRPr="00BC1640">
        <w:t xml:space="preserve">The Northern Territory </w:t>
      </w:r>
      <w:r w:rsidR="003370C9">
        <w:t>noted</w:t>
      </w:r>
      <w:r w:rsidR="00BC1640" w:rsidRPr="00BC1640">
        <w:t xml:space="preserve"> that this issue </w:t>
      </w:r>
      <w:r w:rsidR="005352D1">
        <w:t>will be addressed</w:t>
      </w:r>
      <w:r w:rsidR="00BC1640" w:rsidRPr="00BC1640">
        <w:t xml:space="preserve"> in the forward work program, under the </w:t>
      </w:r>
      <w:r w:rsidR="00BC1640" w:rsidRPr="00AE3BD8">
        <w:t>First Nations s</w:t>
      </w:r>
      <w:r w:rsidR="00F716BE" w:rsidRPr="00AE3BD8">
        <w:t>pending needs</w:t>
      </w:r>
      <w:r w:rsidR="00BC1640" w:rsidRPr="00AE3BD8">
        <w:t xml:space="preserve"> project</w:t>
      </w:r>
      <w:r w:rsidR="00BC1640" w:rsidRPr="00BC1640">
        <w:t>.</w:t>
      </w:r>
    </w:p>
    <w:p w14:paraId="6AFF003B" w14:textId="5540B075" w:rsidR="00F83233" w:rsidRDefault="00240C10" w:rsidP="004630AF">
      <w:pPr>
        <w:pStyle w:val="Heading4"/>
      </w:pPr>
      <w:bookmarkStart w:id="0" w:name="_Hlk205995479"/>
      <w:r>
        <w:t>Commission response</w:t>
      </w:r>
      <w:bookmarkEnd w:id="0"/>
      <w:r w:rsidR="001569E9">
        <w:t xml:space="preserve"> </w:t>
      </w:r>
    </w:p>
    <w:p w14:paraId="25E46BBE" w14:textId="0EE67F01" w:rsidR="00526C33" w:rsidRPr="00F83233" w:rsidRDefault="00EE397D" w:rsidP="007E471B">
      <w:pPr>
        <w:pStyle w:val="CGCParaNumber"/>
        <w:numPr>
          <w:ilvl w:val="1"/>
          <w:numId w:val="16"/>
        </w:numPr>
      </w:pPr>
      <w:r>
        <w:t>The Commission note</w:t>
      </w:r>
      <w:r w:rsidR="00884BF4">
        <w:t>s</w:t>
      </w:r>
      <w:r>
        <w:t xml:space="preserve"> that </w:t>
      </w:r>
      <w:r w:rsidR="009876B2">
        <w:t xml:space="preserve">this issue will be </w:t>
      </w:r>
      <w:r w:rsidR="00CF5BB7">
        <w:t>examined</w:t>
      </w:r>
      <w:r w:rsidR="009876B2">
        <w:t xml:space="preserve"> as part of the </w:t>
      </w:r>
      <w:r w:rsidR="001B01B5" w:rsidRPr="00AE3BD8">
        <w:t xml:space="preserve">First Nations </w:t>
      </w:r>
      <w:r w:rsidR="00700531" w:rsidRPr="00AE3BD8">
        <w:t xml:space="preserve">spending needs </w:t>
      </w:r>
      <w:r w:rsidR="00802244" w:rsidRPr="002F5513">
        <w:t>forward work program project.</w:t>
      </w:r>
      <w:r w:rsidR="00802244">
        <w:t xml:space="preserve"> </w:t>
      </w:r>
    </w:p>
    <w:p w14:paraId="6DC8D2E2" w14:textId="4E0B690E" w:rsidR="006325BC" w:rsidRDefault="00962070" w:rsidP="007E471B">
      <w:pPr>
        <w:pStyle w:val="CGCParaNumber"/>
        <w:numPr>
          <w:ilvl w:val="1"/>
          <w:numId w:val="16"/>
        </w:numPr>
      </w:pPr>
      <w:r>
        <w:t>Using</w:t>
      </w:r>
      <w:r w:rsidR="00F3052F">
        <w:t xml:space="preserve"> 2021 Census based projections of estimated resident population allow</w:t>
      </w:r>
      <w:r w:rsidR="006070FD">
        <w:t>s</w:t>
      </w:r>
      <w:r w:rsidR="00F3052F">
        <w:t xml:space="preserve"> </w:t>
      </w:r>
      <w:r w:rsidR="00D4797F">
        <w:t xml:space="preserve">the Commission to keep </w:t>
      </w:r>
      <w:r w:rsidR="00F66F26">
        <w:t xml:space="preserve">data within </w:t>
      </w:r>
      <w:r w:rsidR="00D4797F">
        <w:t xml:space="preserve">the </w:t>
      </w:r>
      <w:r w:rsidR="00F66F26">
        <w:t>justice</w:t>
      </w:r>
      <w:r w:rsidR="00D4797F">
        <w:t xml:space="preserve"> ass</w:t>
      </w:r>
      <w:r w:rsidR="00052E29">
        <w:t xml:space="preserve">essment </w:t>
      </w:r>
      <w:r w:rsidR="00E01DA5">
        <w:t>consistent and</w:t>
      </w:r>
      <w:r w:rsidR="00D155B7">
        <w:t xml:space="preserve"> more</w:t>
      </w:r>
      <w:r w:rsidR="00E01DA5">
        <w:t xml:space="preserve"> </w:t>
      </w:r>
      <w:r w:rsidR="00052E29">
        <w:t xml:space="preserve">contemporaneous. </w:t>
      </w:r>
      <w:r w:rsidR="00A739FC">
        <w:t xml:space="preserve">It is appropriate that </w:t>
      </w:r>
      <w:r w:rsidR="00B74B4F">
        <w:t>updated</w:t>
      </w:r>
      <w:r w:rsidR="00A739FC">
        <w:t xml:space="preserve"> </w:t>
      </w:r>
      <w:r w:rsidR="00643FFE">
        <w:t xml:space="preserve">use rates for justice services, which use </w:t>
      </w:r>
      <w:r w:rsidR="00E860CB">
        <w:t>state data collected in 2022</w:t>
      </w:r>
      <w:r w:rsidR="005940E7">
        <w:t>–</w:t>
      </w:r>
      <w:r w:rsidR="00E860CB">
        <w:t>23 and 2023</w:t>
      </w:r>
      <w:r w:rsidR="005940E7">
        <w:t>–</w:t>
      </w:r>
      <w:r w:rsidR="00E860CB">
        <w:t xml:space="preserve">24, </w:t>
      </w:r>
      <w:r w:rsidR="002B2541">
        <w:t xml:space="preserve">also use </w:t>
      </w:r>
      <w:r w:rsidR="00B74B4F">
        <w:t>updated</w:t>
      </w:r>
      <w:r w:rsidR="002B2541">
        <w:t xml:space="preserve"> population</w:t>
      </w:r>
      <w:r w:rsidR="00A74BF9">
        <w:t xml:space="preserve"> profiles </w:t>
      </w:r>
      <w:r w:rsidR="004A31DA">
        <w:t>(</w:t>
      </w:r>
      <w:r w:rsidR="00A74BF9">
        <w:t>which are</w:t>
      </w:r>
      <w:r w:rsidR="002B2541">
        <w:t xml:space="preserve"> </w:t>
      </w:r>
      <w:r w:rsidR="0026150B">
        <w:t>co</w:t>
      </w:r>
      <w:r w:rsidR="00D67C96">
        <w:t>ntemporaneous with</w:t>
      </w:r>
      <w:r w:rsidR="0026150B">
        <w:t xml:space="preserve"> the use data</w:t>
      </w:r>
      <w:r w:rsidR="004A31DA">
        <w:t>)</w:t>
      </w:r>
      <w:r w:rsidR="003B3C9D">
        <w:t>.</w:t>
      </w:r>
      <w:r w:rsidR="00052E29">
        <w:t xml:space="preserve"> </w:t>
      </w:r>
      <w:r w:rsidR="00CF4581">
        <w:t>It is consistent with the Commission</w:t>
      </w:r>
      <w:r w:rsidR="00940191">
        <w:t>’s previous approach</w:t>
      </w:r>
      <w:r w:rsidR="00CF4581">
        <w:t xml:space="preserve"> </w:t>
      </w:r>
      <w:r w:rsidR="009B0ECD">
        <w:t xml:space="preserve">when updating </w:t>
      </w:r>
      <w:r w:rsidR="006325BC">
        <w:t xml:space="preserve">the </w:t>
      </w:r>
      <w:r w:rsidR="009B0ECD">
        <w:t>use rate data</w:t>
      </w:r>
      <w:r w:rsidR="006325BC">
        <w:t xml:space="preserve"> for the justice assessment</w:t>
      </w:r>
      <w:r w:rsidR="009B0ECD">
        <w:t>.</w:t>
      </w:r>
    </w:p>
    <w:p w14:paraId="7FAD2A2A" w14:textId="358F741B" w:rsidR="00605D6D" w:rsidRDefault="008004C2" w:rsidP="007E471B">
      <w:pPr>
        <w:pStyle w:val="CGCParaNumber"/>
        <w:numPr>
          <w:ilvl w:val="1"/>
          <w:numId w:val="16"/>
        </w:numPr>
      </w:pPr>
      <w:r>
        <w:t>Until</w:t>
      </w:r>
      <w:r w:rsidR="004C0712">
        <w:t xml:space="preserve"> </w:t>
      </w:r>
      <w:r w:rsidR="00955256">
        <w:t xml:space="preserve">2026 Census estimated First Nations populations are available, the </w:t>
      </w:r>
      <w:r w:rsidR="002E672E">
        <w:t>Commission</w:t>
      </w:r>
      <w:r w:rsidR="00955256">
        <w:t xml:space="preserve"> consider</w:t>
      </w:r>
      <w:r w:rsidR="00940191">
        <w:t>s</w:t>
      </w:r>
      <w:r w:rsidR="00955256">
        <w:t xml:space="preserve"> it appropriate to </w:t>
      </w:r>
      <w:r w:rsidR="002E672E">
        <w:t xml:space="preserve">apply </w:t>
      </w:r>
      <w:r w:rsidR="00B34C92">
        <w:t xml:space="preserve">projections based on 2021 Census data </w:t>
      </w:r>
      <w:r w:rsidR="00666061">
        <w:t xml:space="preserve">in the police and </w:t>
      </w:r>
      <w:r w:rsidR="006C1446">
        <w:t>courts assessments</w:t>
      </w:r>
      <w:r w:rsidR="009817C1">
        <w:t xml:space="preserve">. </w:t>
      </w:r>
      <w:r w:rsidR="001B2B05">
        <w:t>Prison u</w:t>
      </w:r>
      <w:r w:rsidR="00F50100">
        <w:t>se data</w:t>
      </w:r>
      <w:r w:rsidR="002229F7">
        <w:t xml:space="preserve"> </w:t>
      </w:r>
      <w:r w:rsidR="00F50100">
        <w:t>are updated annually</w:t>
      </w:r>
      <w:r w:rsidR="002229F7">
        <w:t>.</w:t>
      </w:r>
      <w:r w:rsidR="00F50100">
        <w:t xml:space="preserve"> </w:t>
      </w:r>
      <w:r w:rsidR="002229F7">
        <w:t>T</w:t>
      </w:r>
      <w:r w:rsidR="00F50100">
        <w:t xml:space="preserve">herefore, </w:t>
      </w:r>
      <w:r w:rsidR="005B5BE3">
        <w:t>the Commission consider</w:t>
      </w:r>
      <w:r w:rsidR="007F7FA3">
        <w:t>s</w:t>
      </w:r>
      <w:r w:rsidR="00265232">
        <w:t xml:space="preserve"> it appropriate to apply the 2026 Census </w:t>
      </w:r>
      <w:r w:rsidR="00120379">
        <w:t xml:space="preserve">estimated </w:t>
      </w:r>
      <w:r w:rsidR="005E7F42">
        <w:t>population</w:t>
      </w:r>
      <w:r w:rsidR="00A633BF">
        <w:t>s</w:t>
      </w:r>
      <w:r w:rsidR="00695D9F">
        <w:t xml:space="preserve"> in the </w:t>
      </w:r>
      <w:r w:rsidR="005E7F42">
        <w:t>prisons assessment</w:t>
      </w:r>
      <w:r w:rsidR="002A7488">
        <w:t xml:space="preserve"> when available.</w:t>
      </w:r>
      <w:r w:rsidR="005E7F42">
        <w:t xml:space="preserve"> </w:t>
      </w:r>
      <w:r w:rsidR="00D169CD">
        <w:t xml:space="preserve"> </w:t>
      </w:r>
    </w:p>
    <w:p w14:paraId="37B69F6E" w14:textId="1CA4C535" w:rsidR="0090144E" w:rsidRDefault="0090144E" w:rsidP="00240C10">
      <w:pPr>
        <w:pStyle w:val="Heading4"/>
      </w:pPr>
      <w:r w:rsidRPr="0090144E">
        <w:t>Commission</w:t>
      </w:r>
      <w:r w:rsidR="000153A7">
        <w:t xml:space="preserve"> final draft</w:t>
      </w:r>
      <w:r w:rsidRPr="0090144E">
        <w:t xml:space="preserve"> positio</w:t>
      </w:r>
      <w:r>
        <w:t>n</w:t>
      </w:r>
    </w:p>
    <w:p w14:paraId="3FF0B125" w14:textId="106BD610" w:rsidR="00F47177" w:rsidRDefault="00DB1E41" w:rsidP="007E471B">
      <w:pPr>
        <w:pStyle w:val="CGCParaNumber"/>
        <w:numPr>
          <w:ilvl w:val="1"/>
          <w:numId w:val="16"/>
        </w:numPr>
      </w:pPr>
      <w:r>
        <w:t xml:space="preserve">The Commission </w:t>
      </w:r>
      <w:r w:rsidR="005E3911">
        <w:t xml:space="preserve">proposes to </w:t>
      </w:r>
      <w:r w:rsidR="00722CA3">
        <w:t>use 2021 Census based estimate</w:t>
      </w:r>
      <w:r w:rsidR="00C35780">
        <w:t>d resident population</w:t>
      </w:r>
      <w:r w:rsidR="00C6126B">
        <w:t xml:space="preserve">s in the revised justice assessment method. </w:t>
      </w:r>
    </w:p>
    <w:p w14:paraId="11D96F5C" w14:textId="77777777" w:rsidR="00135ECE" w:rsidRDefault="00135ECE">
      <w:pPr>
        <w:rPr>
          <w:rFonts w:ascii="Work Sans" w:hAnsi="Work Sans"/>
          <w:sz w:val="20"/>
          <w:szCs w:val="24"/>
        </w:rPr>
      </w:pPr>
      <w:r>
        <w:br w:type="page"/>
      </w:r>
    </w:p>
    <w:p w14:paraId="26EA4B42" w14:textId="48C39289" w:rsidR="00665F2C" w:rsidRDefault="002435E4" w:rsidP="007E471B">
      <w:pPr>
        <w:pStyle w:val="CGCParaNumber"/>
        <w:numPr>
          <w:ilvl w:val="1"/>
          <w:numId w:val="16"/>
        </w:numPr>
      </w:pPr>
      <w:r>
        <w:lastRenderedPageBreak/>
        <w:t xml:space="preserve">When 2026 </w:t>
      </w:r>
      <w:r w:rsidR="00BC2E9F">
        <w:t xml:space="preserve">Census </w:t>
      </w:r>
      <w:r w:rsidR="005E3911">
        <w:t>estimated</w:t>
      </w:r>
      <w:r w:rsidR="00BC2E9F">
        <w:t xml:space="preserve"> resi</w:t>
      </w:r>
      <w:r w:rsidR="00BB27F9">
        <w:t>dent populations are available, the Commission propose</w:t>
      </w:r>
      <w:r w:rsidR="002D5A05">
        <w:t xml:space="preserve">s to </w:t>
      </w:r>
      <w:r w:rsidR="001A3966">
        <w:t xml:space="preserve">apply </w:t>
      </w:r>
      <w:r w:rsidR="006E6E26">
        <w:t>First Nations projections based on the 2021 Census in th</w:t>
      </w:r>
      <w:r w:rsidR="00D80709">
        <w:t>e police and courts assessments</w:t>
      </w:r>
      <w:r w:rsidR="00244268">
        <w:t xml:space="preserve"> and</w:t>
      </w:r>
      <w:r w:rsidR="00940D49">
        <w:t xml:space="preserve"> 2026 Census </w:t>
      </w:r>
      <w:r w:rsidR="007B1F68">
        <w:t>estimated First Nations population</w:t>
      </w:r>
      <w:r w:rsidR="00244268">
        <w:t>s in the prisons assessment.</w:t>
      </w:r>
      <w:r w:rsidR="007B1F68">
        <w:t xml:space="preserve"> </w:t>
      </w:r>
    </w:p>
    <w:p w14:paraId="5FF9D7BD" w14:textId="705B63C5" w:rsidR="000453CC" w:rsidRPr="00665F2C" w:rsidRDefault="00D84E34" w:rsidP="007E471B">
      <w:pPr>
        <w:pStyle w:val="CGCParaNumber"/>
        <w:numPr>
          <w:ilvl w:val="1"/>
          <w:numId w:val="16"/>
        </w:numPr>
      </w:pPr>
      <w:r>
        <w:t xml:space="preserve">The </w:t>
      </w:r>
      <w:r w:rsidR="00BB5059">
        <w:t>Commissio</w:t>
      </w:r>
      <w:r w:rsidR="003B6EC8">
        <w:t xml:space="preserve">n is </w:t>
      </w:r>
      <w:r w:rsidR="0070138E">
        <w:t>examining</w:t>
      </w:r>
      <w:r w:rsidR="003B6EC8">
        <w:t xml:space="preserve"> </w:t>
      </w:r>
      <w:r w:rsidR="0000174A">
        <w:t xml:space="preserve">how it measures </w:t>
      </w:r>
      <w:r w:rsidR="36901507">
        <w:t xml:space="preserve">differences in spending needs </w:t>
      </w:r>
      <w:r>
        <w:t>faced</w:t>
      </w:r>
      <w:r w:rsidR="371DFCCF">
        <w:t xml:space="preserve"> </w:t>
      </w:r>
      <w:r w:rsidR="00794AC9">
        <w:t xml:space="preserve">by First Nations </w:t>
      </w:r>
      <w:r w:rsidR="007F6059">
        <w:t>populations</w:t>
      </w:r>
      <w:r w:rsidR="00794AC9">
        <w:t xml:space="preserve"> </w:t>
      </w:r>
      <w:r w:rsidR="0027608E">
        <w:t>a</w:t>
      </w:r>
      <w:r w:rsidR="007F6059">
        <w:t xml:space="preserve">s part of the </w:t>
      </w:r>
      <w:r w:rsidR="79F25D36">
        <w:t>f</w:t>
      </w:r>
      <w:r w:rsidR="007F6059">
        <w:t xml:space="preserve">orward </w:t>
      </w:r>
      <w:r w:rsidR="43C12E87">
        <w:t>w</w:t>
      </w:r>
      <w:r w:rsidR="007F6059">
        <w:t xml:space="preserve">ork </w:t>
      </w:r>
      <w:r w:rsidR="55CEAC9E">
        <w:t>p</w:t>
      </w:r>
      <w:r w:rsidR="007F6059">
        <w:t xml:space="preserve">rogram. </w:t>
      </w:r>
      <w:r w:rsidR="00BB5059">
        <w:t xml:space="preserve"> </w:t>
      </w:r>
    </w:p>
    <w:p w14:paraId="31C73D40" w14:textId="4EEB5787" w:rsidR="000C3351" w:rsidRDefault="000C3351" w:rsidP="000C3351">
      <w:pPr>
        <w:pStyle w:val="Heading3"/>
      </w:pPr>
      <w:r>
        <w:t>Police assessment</w:t>
      </w:r>
    </w:p>
    <w:p w14:paraId="7C391946" w14:textId="5F9ED305" w:rsidR="000C3351" w:rsidRPr="00240C10" w:rsidRDefault="0068378D" w:rsidP="00276FE8">
      <w:pPr>
        <w:pStyle w:val="Heading35"/>
      </w:pPr>
      <w:r w:rsidRPr="00240C10">
        <w:t>How should central costs be allocated to regions?</w:t>
      </w:r>
    </w:p>
    <w:p w14:paraId="282741C3" w14:textId="14BD809A" w:rsidR="00FC60A6" w:rsidRDefault="0090144E" w:rsidP="00240C10">
      <w:pPr>
        <w:pStyle w:val="Heading4"/>
      </w:pPr>
      <w:r w:rsidRPr="0090144E">
        <w:t>Background</w:t>
      </w:r>
    </w:p>
    <w:p w14:paraId="5C4FD246" w14:textId="0208D6DB" w:rsidR="00665F2C" w:rsidRPr="0090144E" w:rsidRDefault="00FC60A6" w:rsidP="007E471B">
      <w:pPr>
        <w:pStyle w:val="CGCParaNumber"/>
        <w:numPr>
          <w:ilvl w:val="1"/>
          <w:numId w:val="16"/>
        </w:numPr>
      </w:pPr>
      <w:r w:rsidRPr="00FC60A6">
        <w:t>The Commission propose</w:t>
      </w:r>
      <w:r>
        <w:t>d</w:t>
      </w:r>
      <w:r w:rsidRPr="00FC60A6">
        <w:t xml:space="preserve"> to allocate central costs using a 50:50 blend of proportion of police district full-time equivalent staff and police district expenses.</w:t>
      </w:r>
    </w:p>
    <w:p w14:paraId="32CBBF66" w14:textId="77777777" w:rsidR="0090144E" w:rsidRDefault="0090144E" w:rsidP="00240C10">
      <w:pPr>
        <w:pStyle w:val="Heading4"/>
      </w:pPr>
      <w:r w:rsidRPr="0090144E">
        <w:t>State views</w:t>
      </w:r>
    </w:p>
    <w:p w14:paraId="15D9E13E" w14:textId="3BC818AC" w:rsidR="007C4736" w:rsidRDefault="008C2F75" w:rsidP="007E471B">
      <w:pPr>
        <w:pStyle w:val="CGCParaNumber"/>
        <w:numPr>
          <w:ilvl w:val="1"/>
          <w:numId w:val="16"/>
        </w:numPr>
      </w:pPr>
      <w:r>
        <w:t xml:space="preserve">States had differing </w:t>
      </w:r>
      <w:r w:rsidR="007C4736">
        <w:t>views</w:t>
      </w:r>
      <w:r w:rsidR="008B7DD4">
        <w:t>,</w:t>
      </w:r>
      <w:r w:rsidR="004B4A47">
        <w:t xml:space="preserve"> with some advocating </w:t>
      </w:r>
      <w:r w:rsidR="009F5F7A">
        <w:t xml:space="preserve">for retaining the current </w:t>
      </w:r>
      <w:r w:rsidR="00695145">
        <w:t>method (</w:t>
      </w:r>
      <w:r w:rsidR="00BA2979">
        <w:t xml:space="preserve">costs attributed </w:t>
      </w:r>
      <w:proofErr w:type="gramStart"/>
      <w:r w:rsidR="009621A8">
        <w:t>on the basis of</w:t>
      </w:r>
      <w:proofErr w:type="gramEnd"/>
      <w:r w:rsidR="009621A8">
        <w:t xml:space="preserve"> district expenses)</w:t>
      </w:r>
      <w:r w:rsidR="003448F7">
        <w:t xml:space="preserve"> and others supporting </w:t>
      </w:r>
      <w:r w:rsidR="00AA15AD">
        <w:t xml:space="preserve">a move </w:t>
      </w:r>
      <w:r w:rsidR="00D422BC">
        <w:t xml:space="preserve">to recognise </w:t>
      </w:r>
      <w:r w:rsidR="00C062FF">
        <w:t xml:space="preserve">and allocate </w:t>
      </w:r>
      <w:r w:rsidR="00231303">
        <w:t xml:space="preserve">more </w:t>
      </w:r>
      <w:r w:rsidR="00C062FF">
        <w:t>to</w:t>
      </w:r>
      <w:r w:rsidR="00D422BC">
        <w:t xml:space="preserve"> </w:t>
      </w:r>
      <w:r w:rsidR="00DA5653">
        <w:t xml:space="preserve">full-time </w:t>
      </w:r>
      <w:r w:rsidR="001E6BD9">
        <w:t>equivalent staff</w:t>
      </w:r>
      <w:r w:rsidR="0006721F">
        <w:t>.</w:t>
      </w:r>
    </w:p>
    <w:p w14:paraId="29D8B29D" w14:textId="564CBFFD" w:rsidR="004D5207" w:rsidRDefault="004D5207" w:rsidP="007E471B">
      <w:pPr>
        <w:pStyle w:val="CGCParaNumber"/>
        <w:numPr>
          <w:ilvl w:val="1"/>
          <w:numId w:val="16"/>
        </w:numPr>
      </w:pPr>
      <w:r>
        <w:t xml:space="preserve">Queensland, Western Australia, Tasmania and the Northern Territory </w:t>
      </w:r>
      <w:r w:rsidR="00A64CCF">
        <w:t xml:space="preserve">supported retaining the 2020 Review assessment, which attributes central costs entirely on the proportion of expenses in police districts. </w:t>
      </w:r>
      <w:r w:rsidR="00685299">
        <w:t xml:space="preserve">These states suggested </w:t>
      </w:r>
      <w:r>
        <w:t xml:space="preserve">that </w:t>
      </w:r>
      <w:r w:rsidR="005C0983">
        <w:t xml:space="preserve">allocating central costs on a </w:t>
      </w:r>
      <w:r>
        <w:t>50:50</w:t>
      </w:r>
      <w:r w:rsidR="005C0983">
        <w:t xml:space="preserve"> basis</w:t>
      </w:r>
      <w:r>
        <w:t xml:space="preserve"> </w:t>
      </w:r>
      <w:r w:rsidR="00865288">
        <w:t xml:space="preserve">between </w:t>
      </w:r>
      <w:r w:rsidR="0066737A">
        <w:t xml:space="preserve">district costs and full-time equivalent </w:t>
      </w:r>
      <w:r w:rsidR="004D1E60">
        <w:t>staff</w:t>
      </w:r>
      <w:r>
        <w:t xml:space="preserve"> would understate regional costs. </w:t>
      </w:r>
    </w:p>
    <w:p w14:paraId="79490A32" w14:textId="77777777" w:rsidR="004D5207" w:rsidRDefault="004D5207" w:rsidP="007E471B">
      <w:pPr>
        <w:pStyle w:val="CGCParaNumber"/>
        <w:numPr>
          <w:ilvl w:val="1"/>
          <w:numId w:val="16"/>
        </w:numPr>
      </w:pPr>
      <w:r>
        <w:t xml:space="preserve">Queensland said that better data on central costs, especially data from states with large remote areas, were required to make an informed decision on the distribution of central costs. Queensland recommended that this issue should be referred to the Data Working Group. </w:t>
      </w:r>
    </w:p>
    <w:p w14:paraId="19DBBDCF" w14:textId="77777777" w:rsidR="004D5207" w:rsidRDefault="004D5207" w:rsidP="007E471B">
      <w:pPr>
        <w:pStyle w:val="CGCParaNumber"/>
        <w:numPr>
          <w:ilvl w:val="1"/>
          <w:numId w:val="16"/>
        </w:numPr>
      </w:pPr>
      <w:r>
        <w:t xml:space="preserve">Western Australia conducted analysis on state centrally controlled services data provided by its police force for 2023–24. Western Australia said that this data showed that </w:t>
      </w:r>
      <w:proofErr w:type="gramStart"/>
      <w:r>
        <w:t>the majority of</w:t>
      </w:r>
      <w:proofErr w:type="gramEnd"/>
      <w:r>
        <w:t xml:space="preserve"> its expenses are from specialist policing services with 19% of expenses being attributable to corporate overheads. </w:t>
      </w:r>
    </w:p>
    <w:p w14:paraId="06F53E26" w14:textId="21211293" w:rsidR="004D5207" w:rsidRDefault="004B733E" w:rsidP="007E471B">
      <w:pPr>
        <w:pStyle w:val="CGCParaNumber"/>
        <w:numPr>
          <w:ilvl w:val="1"/>
          <w:numId w:val="16"/>
        </w:numPr>
      </w:pPr>
      <w:r>
        <w:t>Similarly, t</w:t>
      </w:r>
      <w:r w:rsidR="004D5207">
        <w:t xml:space="preserve">he Northern Territory </w:t>
      </w:r>
      <w:r>
        <w:t xml:space="preserve">said </w:t>
      </w:r>
      <w:r w:rsidR="004D5207">
        <w:t>that some support services are driven by full</w:t>
      </w:r>
      <w:r w:rsidR="004F540A">
        <w:noBreakHyphen/>
      </w:r>
      <w:r w:rsidR="004D5207">
        <w:t>time equivalent staff but that the more substantial component of support services are better apportioned by district expenses. The Northern Territory said that full</w:t>
      </w:r>
      <w:r w:rsidR="004A0CB8">
        <w:noBreakHyphen/>
      </w:r>
      <w:r w:rsidR="004D5207">
        <w:t xml:space="preserve">time equivalent staff would undercount support services required in regions where staff operate on a rotational basis, and that central regional hubs are maintained at higher levels to enable back filling of remote stations during leave periods. The Northern Territory said that specialist services should be apportioned in line with district </w:t>
      </w:r>
      <w:r w:rsidR="004D5207" w:rsidRPr="00EB09D6">
        <w:t xml:space="preserve">expenses because they are driven by the same cost drivers as police districts. </w:t>
      </w:r>
      <w:r w:rsidR="00C40835" w:rsidRPr="00EB09D6">
        <w:t>Given the number and variety of cost centres, t</w:t>
      </w:r>
      <w:r w:rsidR="00A65AFA" w:rsidRPr="00EB09D6">
        <w:t xml:space="preserve">he Northern Territory </w:t>
      </w:r>
      <w:r w:rsidR="00454ED6" w:rsidRPr="00EB09D6">
        <w:lastRenderedPageBreak/>
        <w:t>considered</w:t>
      </w:r>
      <w:r w:rsidR="00C40835" w:rsidRPr="00EB09D6">
        <w:t xml:space="preserve"> </w:t>
      </w:r>
      <w:r w:rsidR="00B6242C" w:rsidRPr="00EB09D6">
        <w:t>it not feasible</w:t>
      </w:r>
      <w:r w:rsidR="00E16CA7" w:rsidRPr="00EB09D6">
        <w:t xml:space="preserve"> to investigate all the possible drivers of central costs and </w:t>
      </w:r>
      <w:r w:rsidR="00E16CA7" w:rsidRPr="007747A0">
        <w:t xml:space="preserve">considered a broad apportionment approach to be appropriate. </w:t>
      </w:r>
      <w:r w:rsidR="008B733A" w:rsidRPr="007747A0">
        <w:t xml:space="preserve">Further to this, </w:t>
      </w:r>
      <w:r w:rsidR="00A851C2" w:rsidRPr="007747A0">
        <w:t>it</w:t>
      </w:r>
      <w:r w:rsidR="00C82F22" w:rsidRPr="007747A0">
        <w:t xml:space="preserve"> </w:t>
      </w:r>
      <w:r w:rsidR="00EA3710" w:rsidRPr="007747A0">
        <w:t xml:space="preserve">noted that there is no clear definition of central costs and that central cost centre structures differ between states. </w:t>
      </w:r>
      <w:r w:rsidR="00053A81" w:rsidRPr="007747A0">
        <w:t>It s</w:t>
      </w:r>
      <w:r w:rsidR="00B60187" w:rsidRPr="007747A0">
        <w:t>aid</w:t>
      </w:r>
      <w:r w:rsidR="00053A81" w:rsidRPr="007747A0">
        <w:t xml:space="preserve"> that the Commission’s </w:t>
      </w:r>
      <w:r w:rsidR="006459AE" w:rsidRPr="007747A0">
        <w:t xml:space="preserve">observation that </w:t>
      </w:r>
      <w:r w:rsidR="00EA1355" w:rsidRPr="007747A0">
        <w:t>43–</w:t>
      </w:r>
      <w:r w:rsidR="00B60187" w:rsidRPr="007747A0">
        <w:rPr>
          <w:rFonts w:ascii="Times New Roman" w:hAnsi="Times New Roman" w:cs="Times New Roman" w:hint="eastAsia"/>
          <w:rtl/>
        </w:rPr>
        <w:t>‍</w:t>
      </w:r>
      <w:r w:rsidR="00EA1355" w:rsidRPr="007747A0">
        <w:t xml:space="preserve">73% of </w:t>
      </w:r>
      <w:r w:rsidR="007C3D4A" w:rsidRPr="007747A0">
        <w:t>police costs were ‘central’</w:t>
      </w:r>
      <w:r w:rsidR="00DD76C0" w:rsidRPr="007747A0">
        <w:t xml:space="preserve"> </w:t>
      </w:r>
      <w:r w:rsidR="00B4154C" w:rsidRPr="007747A0">
        <w:t>was</w:t>
      </w:r>
      <w:r w:rsidR="00DD76C0" w:rsidRPr="007747A0">
        <w:t xml:space="preserve"> </w:t>
      </w:r>
      <w:r w:rsidR="002E1D3A" w:rsidRPr="007747A0">
        <w:t>in</w:t>
      </w:r>
      <w:r w:rsidR="00DD76C0" w:rsidRPr="007747A0">
        <w:t>consistent with its experience and likely reflected differences in state identification approaches.</w:t>
      </w:r>
      <w:r w:rsidR="00EA3710" w:rsidRPr="007747A0">
        <w:t xml:space="preserve"> </w:t>
      </w:r>
      <w:r w:rsidR="007E70FE" w:rsidRPr="007747A0">
        <w:t>For this reason</w:t>
      </w:r>
      <w:r w:rsidR="00E935EC" w:rsidRPr="007747A0">
        <w:t>,</w:t>
      </w:r>
      <w:r w:rsidR="00F46F43" w:rsidRPr="007747A0">
        <w:t xml:space="preserve"> </w:t>
      </w:r>
      <w:r w:rsidR="00E7601B" w:rsidRPr="007747A0">
        <w:t>t</w:t>
      </w:r>
      <w:r w:rsidR="00BF37F7" w:rsidRPr="007747A0">
        <w:t xml:space="preserve">he Northern </w:t>
      </w:r>
      <w:r w:rsidR="00C82F22" w:rsidRPr="007747A0">
        <w:t xml:space="preserve">Territory suggested </w:t>
      </w:r>
      <w:r w:rsidR="00FE46F1" w:rsidRPr="007747A0">
        <w:t xml:space="preserve">reframing the discussion </w:t>
      </w:r>
      <w:r w:rsidR="00F4525F" w:rsidRPr="007747A0">
        <w:t xml:space="preserve">from </w:t>
      </w:r>
      <w:r w:rsidR="00C27F78" w:rsidRPr="007747A0">
        <w:t>apportionment</w:t>
      </w:r>
      <w:r w:rsidR="00214E4D" w:rsidRPr="007747A0">
        <w:t xml:space="preserve"> of ‘central costs’ to either ‘statewide services’ or ‘dispersed </w:t>
      </w:r>
      <w:proofErr w:type="gramStart"/>
      <w:r w:rsidR="00214E4D" w:rsidRPr="007747A0">
        <w:t>services’</w:t>
      </w:r>
      <w:proofErr w:type="gramEnd"/>
      <w:r w:rsidR="00061E1A" w:rsidRPr="007747A0">
        <w:t>.</w:t>
      </w:r>
      <w:r w:rsidR="004A6DBE">
        <w:rPr>
          <w:shd w:val="clear" w:color="auto" w:fill="FFFF00"/>
        </w:rPr>
        <w:t xml:space="preserve"> </w:t>
      </w:r>
    </w:p>
    <w:p w14:paraId="2AC28AF1" w14:textId="5293114E" w:rsidR="00C55C50" w:rsidRDefault="00ED6662" w:rsidP="007E471B">
      <w:pPr>
        <w:pStyle w:val="CGCParaNumber"/>
        <w:numPr>
          <w:ilvl w:val="1"/>
          <w:numId w:val="16"/>
        </w:numPr>
      </w:pPr>
      <w:r>
        <w:t xml:space="preserve">While supporting a retention of the current method, Western Australia and the Northern Territory </w:t>
      </w:r>
      <w:r w:rsidR="000D2A84">
        <w:t>noted</w:t>
      </w:r>
      <w:r>
        <w:t xml:space="preserve"> that a 25:75 distribution, with 75% distributed </w:t>
      </w:r>
      <w:r w:rsidR="00AA5AA3">
        <w:t>based on</w:t>
      </w:r>
      <w:r>
        <w:t xml:space="preserve"> district expenses, could be used as an alternative to retaining the 2020 Review assessment. </w:t>
      </w:r>
    </w:p>
    <w:p w14:paraId="095DF4BA" w14:textId="3941C22A" w:rsidR="004D5207" w:rsidDel="0068069E" w:rsidRDefault="004D5207" w:rsidP="007E471B">
      <w:pPr>
        <w:pStyle w:val="CGCParaNumber"/>
        <w:numPr>
          <w:ilvl w:val="1"/>
          <w:numId w:val="16"/>
        </w:numPr>
      </w:pPr>
      <w:r w:rsidDel="0068069E">
        <w:t xml:space="preserve">Tasmania said that the </w:t>
      </w:r>
      <w:r>
        <w:t xml:space="preserve">2020 Review </w:t>
      </w:r>
      <w:r w:rsidDel="0068069E">
        <w:t>method should be retained until more nationally comparable data on central costs became available. Tasmania acknowledged the Commission’s need to exercise judg</w:t>
      </w:r>
      <w:r>
        <w:t>e</w:t>
      </w:r>
      <w:r w:rsidDel="0068069E">
        <w:t xml:space="preserve">ment on this issue. </w:t>
      </w:r>
    </w:p>
    <w:p w14:paraId="36C178A0" w14:textId="6EC7AA0D" w:rsidR="006D4847" w:rsidRDefault="00273F37" w:rsidP="007E471B">
      <w:pPr>
        <w:pStyle w:val="CGCParaNumber"/>
        <w:numPr>
          <w:ilvl w:val="1"/>
          <w:numId w:val="16"/>
        </w:numPr>
      </w:pPr>
      <w:r>
        <w:t xml:space="preserve">New South Wales, Victoria and the ACT </w:t>
      </w:r>
      <w:r w:rsidR="00375D03">
        <w:t xml:space="preserve">supported </w:t>
      </w:r>
      <w:r w:rsidR="00AE1460">
        <w:t xml:space="preserve">the </w:t>
      </w:r>
      <w:r w:rsidR="008D39DC">
        <w:t>Commission allocat</w:t>
      </w:r>
      <w:r w:rsidR="00375D03">
        <w:t>ing</w:t>
      </w:r>
      <w:r w:rsidR="008D39DC">
        <w:t xml:space="preserve"> central costs </w:t>
      </w:r>
      <w:proofErr w:type="gramStart"/>
      <w:r w:rsidR="008D39DC">
        <w:t xml:space="preserve">on </w:t>
      </w:r>
      <w:r w:rsidR="007B2C0F">
        <w:t>the basis of</w:t>
      </w:r>
      <w:proofErr w:type="gramEnd"/>
      <w:r w:rsidR="007B2C0F">
        <w:t xml:space="preserve"> 75</w:t>
      </w:r>
      <w:r w:rsidR="001C4475">
        <w:t>:25, with 75%</w:t>
      </w:r>
      <w:r w:rsidR="00544BC0">
        <w:t xml:space="preserve"> for</w:t>
      </w:r>
      <w:r w:rsidR="007B2C0F">
        <w:t xml:space="preserve"> </w:t>
      </w:r>
      <w:r w:rsidR="004A50EA">
        <w:t>the proportion of</w:t>
      </w:r>
      <w:r w:rsidR="007B2C0F">
        <w:t xml:space="preserve"> full</w:t>
      </w:r>
      <w:r w:rsidR="00FD4598">
        <w:t>-</w:t>
      </w:r>
      <w:r w:rsidR="007B2C0F">
        <w:t xml:space="preserve">time equivalent </w:t>
      </w:r>
      <w:r w:rsidR="009E01A1">
        <w:t>staff</w:t>
      </w:r>
      <w:r w:rsidR="005648B2">
        <w:t xml:space="preserve"> in each police district</w:t>
      </w:r>
      <w:r w:rsidR="009E01A1">
        <w:t xml:space="preserve"> and </w:t>
      </w:r>
      <w:r w:rsidR="005F5994">
        <w:t>25% on the proportion</w:t>
      </w:r>
      <w:r w:rsidR="005F5994" w:rsidDel="00A5226D">
        <w:t xml:space="preserve"> </w:t>
      </w:r>
      <w:r w:rsidR="005F5994" w:rsidDel="004334A2">
        <w:t xml:space="preserve">of </w:t>
      </w:r>
      <w:r w:rsidR="0009770B">
        <w:t xml:space="preserve">district </w:t>
      </w:r>
      <w:r w:rsidR="009A73F7">
        <w:t>expenses</w:t>
      </w:r>
      <w:r w:rsidR="005F5994">
        <w:t xml:space="preserve">. </w:t>
      </w:r>
    </w:p>
    <w:p w14:paraId="2A3176A0" w14:textId="44B727E0" w:rsidR="005F5994" w:rsidRPr="009C5DC8" w:rsidRDefault="00A04625" w:rsidP="007E471B">
      <w:pPr>
        <w:pStyle w:val="CGCParaNumber"/>
        <w:numPr>
          <w:ilvl w:val="1"/>
          <w:numId w:val="16"/>
        </w:numPr>
      </w:pPr>
      <w:r>
        <w:t xml:space="preserve">New South Wales said that specialist or central service costs are driven </w:t>
      </w:r>
      <w:r w:rsidR="00AE5AF5">
        <w:t>mostly</w:t>
      </w:r>
      <w:r>
        <w:t xml:space="preserve"> by service use in metropolitan areas and that </w:t>
      </w:r>
      <w:r w:rsidR="00A834BB">
        <w:t xml:space="preserve">regional costs </w:t>
      </w:r>
      <w:r w:rsidR="00110B78">
        <w:t xml:space="preserve">would be overstated in a 50:50 </w:t>
      </w:r>
      <w:r w:rsidR="009367DD">
        <w:t>allocation of central costs.</w:t>
      </w:r>
      <w:r w:rsidR="00FB75F1">
        <w:t xml:space="preserve"> </w:t>
      </w:r>
      <w:r w:rsidR="00726D5F">
        <w:t>It</w:t>
      </w:r>
      <w:r w:rsidR="007B7019">
        <w:t xml:space="preserve"> considered that central costs</w:t>
      </w:r>
      <w:r w:rsidR="009E1136">
        <w:t xml:space="preserve"> </w:t>
      </w:r>
      <w:r w:rsidR="00A31D0E">
        <w:t>s</w:t>
      </w:r>
      <w:r w:rsidR="001267C5">
        <w:t xml:space="preserve">hould be apportioned </w:t>
      </w:r>
      <w:r w:rsidR="00393E15">
        <w:t xml:space="preserve">to regions </w:t>
      </w:r>
      <w:r w:rsidR="00687E51">
        <w:t xml:space="preserve">according to </w:t>
      </w:r>
      <w:r w:rsidR="00393E15">
        <w:t>service use</w:t>
      </w:r>
      <w:r w:rsidR="00A16351">
        <w:t xml:space="preserve"> </w:t>
      </w:r>
      <w:r w:rsidR="0043378B">
        <w:t xml:space="preserve">and </w:t>
      </w:r>
      <w:r w:rsidR="00DB5CBC">
        <w:t xml:space="preserve">that this apportionment should be based, wherever possible, on </w:t>
      </w:r>
      <w:r w:rsidR="00D147E4">
        <w:t xml:space="preserve">individual </w:t>
      </w:r>
      <w:r w:rsidR="00DB5CBC">
        <w:t>state</w:t>
      </w:r>
      <w:r w:rsidR="00D147E4">
        <w:t>s</w:t>
      </w:r>
      <w:r w:rsidR="0008638F">
        <w:t>’</w:t>
      </w:r>
      <w:r w:rsidR="00DB5CBC">
        <w:t xml:space="preserve"> data.</w:t>
      </w:r>
      <w:r w:rsidR="00726D5F">
        <w:t xml:space="preserve"> </w:t>
      </w:r>
      <w:r w:rsidR="00D147E4">
        <w:t xml:space="preserve">New South Wales also </w:t>
      </w:r>
      <w:r w:rsidR="007B50E9">
        <w:t xml:space="preserve">provided evidence </w:t>
      </w:r>
      <w:r w:rsidR="00E7327B">
        <w:t xml:space="preserve">to show that the ratio of </w:t>
      </w:r>
      <w:r w:rsidR="00101935">
        <w:t>full-time equivalent</w:t>
      </w:r>
      <w:r w:rsidR="00E7327B">
        <w:t xml:space="preserve"> and </w:t>
      </w:r>
      <w:r w:rsidR="007504A0">
        <w:t xml:space="preserve">district </w:t>
      </w:r>
      <w:r w:rsidR="00E7327B">
        <w:t xml:space="preserve">expense </w:t>
      </w:r>
      <w:r w:rsidR="00E7327B" w:rsidRPr="009C5DC8">
        <w:t>driven central costs was unlikely to fall from 7</w:t>
      </w:r>
      <w:r w:rsidR="0070189A" w:rsidRPr="009C5DC8">
        <w:t>5% to 2</w:t>
      </w:r>
      <w:r w:rsidR="009C5DC8" w:rsidRPr="009C5DC8">
        <w:t>5</w:t>
      </w:r>
      <w:r w:rsidR="0070189A" w:rsidRPr="009C5DC8">
        <w:t>%</w:t>
      </w:r>
      <w:r w:rsidR="00DA0EC8">
        <w:t>,</w:t>
      </w:r>
      <w:r w:rsidR="0070189A" w:rsidRPr="009C5DC8">
        <w:t xml:space="preserve"> even if data for all states w</w:t>
      </w:r>
      <w:r w:rsidR="0060410D">
        <w:t>ere</w:t>
      </w:r>
      <w:r w:rsidR="0070189A" w:rsidRPr="009C5DC8">
        <w:t xml:space="preserve"> available. </w:t>
      </w:r>
      <w:r w:rsidR="0008638F" w:rsidRPr="009C5DC8">
        <w:t xml:space="preserve"> </w:t>
      </w:r>
    </w:p>
    <w:p w14:paraId="439A3C1D" w14:textId="1C33C1A2" w:rsidR="00F26648" w:rsidRDefault="00F26648" w:rsidP="007E471B">
      <w:pPr>
        <w:pStyle w:val="CGCParaNumber"/>
        <w:numPr>
          <w:ilvl w:val="1"/>
          <w:numId w:val="16"/>
        </w:numPr>
      </w:pPr>
      <w:r>
        <w:t xml:space="preserve">Victoria </w:t>
      </w:r>
      <w:r w:rsidR="002247FE">
        <w:t>said that</w:t>
      </w:r>
      <w:r w:rsidR="00D6496F">
        <w:t xml:space="preserve"> </w:t>
      </w:r>
      <w:r w:rsidR="006E66CF">
        <w:t xml:space="preserve">population size </w:t>
      </w:r>
      <w:r w:rsidR="002247FE">
        <w:t xml:space="preserve">alone is the </w:t>
      </w:r>
      <w:r w:rsidR="006E66CF">
        <w:t>most appropriate driver of policing</w:t>
      </w:r>
      <w:r w:rsidR="00072397">
        <w:t xml:space="preserve"> cost</w:t>
      </w:r>
      <w:r w:rsidR="005427A6">
        <w:t>s</w:t>
      </w:r>
      <w:r w:rsidR="00EA1F43">
        <w:t xml:space="preserve"> and </w:t>
      </w:r>
      <w:r w:rsidR="0048556C">
        <w:t>full-time equivalent</w:t>
      </w:r>
      <w:r w:rsidR="0095278C">
        <w:t xml:space="preserve"> </w:t>
      </w:r>
      <w:r w:rsidR="004F5B8D">
        <w:t>staff</w:t>
      </w:r>
      <w:r w:rsidR="0095278C">
        <w:t xml:space="preserve"> is a better</w:t>
      </w:r>
      <w:r w:rsidR="005A6E87">
        <w:t xml:space="preserve"> representation of population than </w:t>
      </w:r>
      <w:r w:rsidR="00EE2E73">
        <w:t xml:space="preserve">district </w:t>
      </w:r>
      <w:r w:rsidR="00B25FA0">
        <w:t>expenses</w:t>
      </w:r>
      <w:r w:rsidR="00AB2EC1">
        <w:t xml:space="preserve">. </w:t>
      </w:r>
      <w:r w:rsidR="00CB53AD">
        <w:t>It considered</w:t>
      </w:r>
      <w:r w:rsidR="002A7474">
        <w:t xml:space="preserve"> district expenses to be a less reliable indicator </w:t>
      </w:r>
      <w:r w:rsidR="00EA55E9">
        <w:t>of expenditure needs across districts</w:t>
      </w:r>
      <w:r w:rsidR="00056363">
        <w:t xml:space="preserve">. Given the size of central costs expenses and </w:t>
      </w:r>
      <w:r w:rsidR="00EB3969">
        <w:t xml:space="preserve">the </w:t>
      </w:r>
      <w:r w:rsidR="0040130E">
        <w:t>large</w:t>
      </w:r>
      <w:r w:rsidR="00EB3969">
        <w:t xml:space="preserve"> impact this adjustment has on distribution, Victoria </w:t>
      </w:r>
      <w:r w:rsidR="008C53E9">
        <w:t>did not consider</w:t>
      </w:r>
      <w:r w:rsidR="00CB53AD">
        <w:t xml:space="preserve"> </w:t>
      </w:r>
      <w:r w:rsidR="00890DD4">
        <w:t>the use of judg</w:t>
      </w:r>
      <w:r w:rsidR="00726D5F">
        <w:t>e</w:t>
      </w:r>
      <w:r w:rsidR="00890DD4">
        <w:t xml:space="preserve">ment </w:t>
      </w:r>
      <w:r w:rsidR="002C7AD5">
        <w:t>to be justified.</w:t>
      </w:r>
      <w:r w:rsidR="00CB53AD">
        <w:t xml:space="preserve"> </w:t>
      </w:r>
      <w:r w:rsidR="00F167D1">
        <w:t xml:space="preserve"> </w:t>
      </w:r>
    </w:p>
    <w:p w14:paraId="4FB6A2DD" w14:textId="7A08423F" w:rsidR="00564989" w:rsidRDefault="006D2AC3" w:rsidP="007E471B">
      <w:pPr>
        <w:pStyle w:val="CGCParaNumber"/>
        <w:numPr>
          <w:ilvl w:val="1"/>
          <w:numId w:val="16"/>
        </w:numPr>
      </w:pPr>
      <w:r>
        <w:t xml:space="preserve">The ACT said that </w:t>
      </w:r>
      <w:r w:rsidR="00EB443C">
        <w:t xml:space="preserve">central costs are more aligned with population distribution in </w:t>
      </w:r>
      <w:r w:rsidR="009923A5">
        <w:t xml:space="preserve">the </w:t>
      </w:r>
      <w:r w:rsidR="00EB443C">
        <w:t>states</w:t>
      </w:r>
      <w:r w:rsidR="00F43391">
        <w:t xml:space="preserve"> and </w:t>
      </w:r>
      <w:r w:rsidR="00C61EAC">
        <w:t xml:space="preserve">recommended that </w:t>
      </w:r>
      <w:r w:rsidR="005D09CE">
        <w:t>a</w:t>
      </w:r>
      <w:r w:rsidR="00C61EAC">
        <w:t xml:space="preserve"> 75:25 split</w:t>
      </w:r>
      <w:r w:rsidR="00E54A3A">
        <w:t xml:space="preserve">, suggested by the available data, </w:t>
      </w:r>
      <w:r w:rsidR="002D3CFC">
        <w:t xml:space="preserve">be </w:t>
      </w:r>
      <w:r w:rsidR="0052079F">
        <w:t>adopted</w:t>
      </w:r>
      <w:r w:rsidR="002D3CFC">
        <w:t xml:space="preserve"> until further evidence could be collected.</w:t>
      </w:r>
      <w:r w:rsidR="009923A5">
        <w:t xml:space="preserve"> </w:t>
      </w:r>
      <w:r w:rsidR="00B224B4">
        <w:t xml:space="preserve">The ACT </w:t>
      </w:r>
      <w:r w:rsidR="005766CA">
        <w:t xml:space="preserve">argued that </w:t>
      </w:r>
      <w:r w:rsidR="00E52307">
        <w:t>a</w:t>
      </w:r>
      <w:r w:rsidR="006033F7">
        <w:t xml:space="preserve"> 75:25 split</w:t>
      </w:r>
      <w:r w:rsidR="002D3CFC">
        <w:t xml:space="preserve"> roughly </w:t>
      </w:r>
      <w:r w:rsidR="001F23D6">
        <w:t xml:space="preserve">reflects the </w:t>
      </w:r>
      <w:r w:rsidR="005C70A1">
        <w:t xml:space="preserve">demographic distribution of </w:t>
      </w:r>
      <w:r w:rsidR="00B20AFC">
        <w:t xml:space="preserve">the Australian urban population relative to </w:t>
      </w:r>
      <w:r w:rsidR="0043352E">
        <w:t>Australia’s total population</w:t>
      </w:r>
      <w:r w:rsidR="006033F7">
        <w:t xml:space="preserve">. </w:t>
      </w:r>
    </w:p>
    <w:p w14:paraId="4625E24B" w14:textId="77777777" w:rsidR="00860B54" w:rsidRDefault="00860B54">
      <w:pPr>
        <w:rPr>
          <w:rFonts w:ascii="Work Sans" w:eastAsiaTheme="majorEastAsia" w:hAnsi="Work Sans" w:cstheme="majorBidi"/>
          <w:b/>
          <w:bCs/>
          <w:iCs/>
          <w:color w:val="006991"/>
          <w:sz w:val="24"/>
        </w:rPr>
      </w:pPr>
      <w:r>
        <w:br w:type="page"/>
      </w:r>
    </w:p>
    <w:p w14:paraId="51A767E7" w14:textId="516FF92A" w:rsidR="00240C10" w:rsidRDefault="00240C10" w:rsidP="00564989">
      <w:pPr>
        <w:pStyle w:val="Heading4"/>
      </w:pPr>
      <w:r>
        <w:lastRenderedPageBreak/>
        <w:t>Commission response</w:t>
      </w:r>
    </w:p>
    <w:p w14:paraId="40F3F2F1" w14:textId="77777777" w:rsidR="0022028F" w:rsidRDefault="00EA7868" w:rsidP="007E471B">
      <w:pPr>
        <w:pStyle w:val="CGCParaNumber"/>
        <w:numPr>
          <w:ilvl w:val="1"/>
          <w:numId w:val="16"/>
        </w:numPr>
      </w:pPr>
      <w:r>
        <w:t xml:space="preserve">The Commission </w:t>
      </w:r>
      <w:r w:rsidR="00462B29">
        <w:t>considers</w:t>
      </w:r>
      <w:r>
        <w:t xml:space="preserve"> that a</w:t>
      </w:r>
      <w:r w:rsidR="00382A8E">
        <w:t>llocating</w:t>
      </w:r>
      <w:r>
        <w:t xml:space="preserve"> </w:t>
      </w:r>
      <w:r w:rsidR="003961CF">
        <w:t xml:space="preserve">central </w:t>
      </w:r>
      <w:r>
        <w:t xml:space="preserve">costs entirely </w:t>
      </w:r>
      <w:proofErr w:type="gramStart"/>
      <w:r>
        <w:t>on the basis of</w:t>
      </w:r>
      <w:proofErr w:type="gramEnd"/>
      <w:r>
        <w:t xml:space="preserve"> police district expenses would be inappropriate</w:t>
      </w:r>
      <w:r w:rsidR="004005C7">
        <w:t xml:space="preserve"> as all states have </w:t>
      </w:r>
      <w:r w:rsidR="00C5260D">
        <w:t xml:space="preserve">police support services </w:t>
      </w:r>
      <w:r w:rsidR="000148E4">
        <w:t>wh</w:t>
      </w:r>
      <w:r w:rsidR="00A32618">
        <w:t>ere</w:t>
      </w:r>
      <w:r w:rsidR="000148E4">
        <w:t xml:space="preserve"> </w:t>
      </w:r>
      <w:r w:rsidR="00B80155">
        <w:t xml:space="preserve">expenses are </w:t>
      </w:r>
      <w:r w:rsidR="00DD1493">
        <w:t>driven by staff use</w:t>
      </w:r>
      <w:r w:rsidR="00733EAB">
        <w:t xml:space="preserve">. </w:t>
      </w:r>
      <w:r w:rsidR="006F1080">
        <w:t>Therefore, a</w:t>
      </w:r>
      <w:r w:rsidR="00C22FC5">
        <w:t>llocat</w:t>
      </w:r>
      <w:r w:rsidR="006267A5">
        <w:t>ing</w:t>
      </w:r>
      <w:r w:rsidR="00AD7093">
        <w:t xml:space="preserve"> some </w:t>
      </w:r>
      <w:r w:rsidR="00F20F2C">
        <w:t xml:space="preserve">central cost </w:t>
      </w:r>
      <w:r w:rsidR="00AD7093">
        <w:t xml:space="preserve">expenses by </w:t>
      </w:r>
      <w:r w:rsidR="00B63530">
        <w:t>full-time equivalent staff</w:t>
      </w:r>
      <w:r w:rsidR="006F1080">
        <w:t xml:space="preserve"> is supported </w:t>
      </w:r>
      <w:r w:rsidR="00A17D74">
        <w:t>by a strong conceptual case</w:t>
      </w:r>
      <w:r w:rsidR="006D4CFE">
        <w:t>.</w:t>
      </w:r>
    </w:p>
    <w:p w14:paraId="508B4F7A" w14:textId="449F07D3" w:rsidR="002E40A4" w:rsidRPr="00336E9F" w:rsidRDefault="00D57AF3" w:rsidP="007E471B">
      <w:pPr>
        <w:pStyle w:val="CGCParaNumber"/>
        <w:numPr>
          <w:ilvl w:val="1"/>
          <w:numId w:val="16"/>
        </w:numPr>
      </w:pPr>
      <w:r>
        <w:t>The Commission</w:t>
      </w:r>
      <w:r w:rsidR="00234E31">
        <w:t xml:space="preserve"> </w:t>
      </w:r>
      <w:r w:rsidR="005419BA">
        <w:t xml:space="preserve">proposes to </w:t>
      </w:r>
      <w:r w:rsidR="005419BA" w:rsidRPr="00336E9F">
        <w:t xml:space="preserve">use </w:t>
      </w:r>
      <w:r w:rsidRPr="00336E9F">
        <w:t xml:space="preserve">an allocation method </w:t>
      </w:r>
      <w:r w:rsidR="00897720" w:rsidRPr="00336E9F">
        <w:t>that</w:t>
      </w:r>
      <w:r w:rsidRPr="00336E9F">
        <w:t xml:space="preserve"> includes both district expenses and full</w:t>
      </w:r>
      <w:r w:rsidRPr="00336E9F">
        <w:noBreakHyphen/>
        <w:t xml:space="preserve">time equivalent </w:t>
      </w:r>
      <w:r w:rsidR="00E261B0" w:rsidRPr="00336E9F">
        <w:t>staff</w:t>
      </w:r>
      <w:r w:rsidR="00A5111A" w:rsidRPr="00336E9F">
        <w:t xml:space="preserve"> to </w:t>
      </w:r>
      <w:r w:rsidR="0047195D" w:rsidRPr="00336E9F">
        <w:t>recognise th</w:t>
      </w:r>
      <w:r w:rsidR="00B05403" w:rsidRPr="00336E9F">
        <w:t>at</w:t>
      </w:r>
      <w:r w:rsidR="00B05403" w:rsidRPr="00336E9F" w:rsidDel="00E46FD1">
        <w:t xml:space="preserve"> </w:t>
      </w:r>
      <w:r w:rsidR="006A4951" w:rsidRPr="00336E9F">
        <w:t xml:space="preserve">staff use of </w:t>
      </w:r>
      <w:r w:rsidR="003F34E6" w:rsidRPr="00336E9F">
        <w:t>support services and remoteness drives exp</w:t>
      </w:r>
      <w:r w:rsidR="00D47F4D" w:rsidRPr="00336E9F">
        <w:t>enses</w:t>
      </w:r>
      <w:r w:rsidRPr="00336E9F">
        <w:t>.</w:t>
      </w:r>
      <w:r w:rsidR="00FC2B87" w:rsidRPr="00336E9F">
        <w:t xml:space="preserve"> </w:t>
      </w:r>
      <w:r w:rsidR="00152A40" w:rsidRPr="00336E9F">
        <w:t>I</w:t>
      </w:r>
      <w:r w:rsidRPr="00336E9F">
        <w:t>t does</w:t>
      </w:r>
      <w:r w:rsidR="005D1AEE" w:rsidRPr="00336E9F">
        <w:t xml:space="preserve"> not</w:t>
      </w:r>
      <w:r w:rsidRPr="00336E9F">
        <w:t xml:space="preserve"> consider </w:t>
      </w:r>
      <w:r w:rsidR="00712B1B" w:rsidRPr="00336E9F">
        <w:t>retaining</w:t>
      </w:r>
      <w:r w:rsidRPr="00336E9F">
        <w:t xml:space="preserve"> the </w:t>
      </w:r>
      <w:r w:rsidR="00F1687E" w:rsidRPr="00336E9F">
        <w:t>2020</w:t>
      </w:r>
      <w:r w:rsidR="00660805" w:rsidRPr="00336E9F">
        <w:t> </w:t>
      </w:r>
      <w:r w:rsidR="00F1687E" w:rsidRPr="00336E9F">
        <w:t>Review</w:t>
      </w:r>
      <w:r w:rsidRPr="00336E9F">
        <w:t xml:space="preserve"> model until better data are available to be appropriate</w:t>
      </w:r>
      <w:r w:rsidR="0031070F" w:rsidRPr="00336E9F">
        <w:t xml:space="preserve"> </w:t>
      </w:r>
      <w:r w:rsidR="0079470A" w:rsidRPr="00336E9F">
        <w:t>because</w:t>
      </w:r>
      <w:r w:rsidR="005B600B" w:rsidRPr="00336E9F">
        <w:t xml:space="preserve"> </w:t>
      </w:r>
      <w:r w:rsidR="00D56B34" w:rsidRPr="00336E9F">
        <w:t xml:space="preserve">staff use of support services </w:t>
      </w:r>
      <w:r w:rsidR="00351B0A" w:rsidRPr="00336E9F">
        <w:t xml:space="preserve">drives a significant proportion </w:t>
      </w:r>
      <w:r w:rsidR="00AB108D" w:rsidRPr="00336E9F">
        <w:t>of central costs</w:t>
      </w:r>
      <w:r w:rsidR="00502232" w:rsidRPr="00336E9F">
        <w:t>.</w:t>
      </w:r>
    </w:p>
    <w:p w14:paraId="6E6E8B07" w14:textId="247B3D9E" w:rsidR="00176AED" w:rsidRPr="00336E9F" w:rsidRDefault="000F3FF6" w:rsidP="007E471B">
      <w:pPr>
        <w:pStyle w:val="CGCParaNumber"/>
        <w:numPr>
          <w:ilvl w:val="1"/>
          <w:numId w:val="16"/>
        </w:numPr>
      </w:pPr>
      <w:r w:rsidRPr="00336E9F">
        <w:t xml:space="preserve">State data for </w:t>
      </w:r>
      <w:r w:rsidR="00C77563" w:rsidRPr="00336E9F">
        <w:t xml:space="preserve">2023–24 </w:t>
      </w:r>
      <w:r w:rsidR="00473F17" w:rsidRPr="00336E9F">
        <w:t xml:space="preserve">showed </w:t>
      </w:r>
      <w:r w:rsidR="009438AB" w:rsidRPr="00336E9F">
        <w:t>broadly</w:t>
      </w:r>
      <w:r w:rsidR="00473F17" w:rsidRPr="00336E9F">
        <w:t xml:space="preserve"> similar trend</w:t>
      </w:r>
      <w:r w:rsidR="000F5277" w:rsidRPr="00336E9F">
        <w:t>s</w:t>
      </w:r>
      <w:r w:rsidR="00473F17" w:rsidRPr="00336E9F">
        <w:t xml:space="preserve"> to 2022</w:t>
      </w:r>
      <w:r w:rsidR="00C77563" w:rsidRPr="00336E9F">
        <w:t>–</w:t>
      </w:r>
      <w:r w:rsidR="00473F17" w:rsidRPr="00336E9F">
        <w:t>2</w:t>
      </w:r>
      <w:r w:rsidR="009438AB" w:rsidRPr="00336E9F">
        <w:t>3</w:t>
      </w:r>
      <w:r w:rsidR="00473F17" w:rsidRPr="00336E9F">
        <w:t xml:space="preserve"> </w:t>
      </w:r>
      <w:r w:rsidR="009438AB" w:rsidRPr="00336E9F">
        <w:t>data</w:t>
      </w:r>
      <w:r w:rsidR="008600AB" w:rsidRPr="00336E9F">
        <w:t xml:space="preserve"> in terms of </w:t>
      </w:r>
      <w:r w:rsidR="004F7238" w:rsidRPr="00336E9F">
        <w:t xml:space="preserve">the </w:t>
      </w:r>
      <w:r w:rsidR="002A1515" w:rsidRPr="00336E9F">
        <w:t xml:space="preserve">size </w:t>
      </w:r>
      <w:r w:rsidR="0099233A" w:rsidRPr="00336E9F">
        <w:t xml:space="preserve">of </w:t>
      </w:r>
      <w:r w:rsidR="002A1515" w:rsidRPr="00336E9F">
        <w:t xml:space="preserve">individual </w:t>
      </w:r>
      <w:r w:rsidR="001C51A9" w:rsidRPr="00336E9F">
        <w:t xml:space="preserve">central </w:t>
      </w:r>
      <w:proofErr w:type="spellStart"/>
      <w:r w:rsidR="001C51A9" w:rsidRPr="00336E9F">
        <w:t>cost</w:t>
      </w:r>
      <w:proofErr w:type="spellEnd"/>
      <w:r w:rsidR="005C731A" w:rsidRPr="00336E9F">
        <w:t xml:space="preserve"> line</w:t>
      </w:r>
      <w:r w:rsidR="001C51A9" w:rsidRPr="00336E9F">
        <w:t xml:space="preserve"> </w:t>
      </w:r>
      <w:r w:rsidR="004F7238" w:rsidRPr="00336E9F">
        <w:t>items</w:t>
      </w:r>
      <w:r w:rsidR="002D44DB" w:rsidRPr="00336E9F">
        <w:t xml:space="preserve"> and their share of total</w:t>
      </w:r>
      <w:r w:rsidR="00112154" w:rsidRPr="00336E9F">
        <w:t xml:space="preserve"> central</w:t>
      </w:r>
      <w:r w:rsidR="002D44DB" w:rsidRPr="00336E9F">
        <w:t xml:space="preserve"> costs</w:t>
      </w:r>
      <w:r w:rsidR="009438AB" w:rsidRPr="00336E9F">
        <w:t>.</w:t>
      </w:r>
      <w:r w:rsidR="00F1022A" w:rsidRPr="00336E9F">
        <w:t xml:space="preserve"> These data </w:t>
      </w:r>
      <w:r w:rsidR="00DB6665" w:rsidRPr="00336E9F">
        <w:t>suggest</w:t>
      </w:r>
      <w:r w:rsidR="0080353F" w:rsidRPr="00336E9F">
        <w:t>ed</w:t>
      </w:r>
      <w:r w:rsidR="00DB6665" w:rsidRPr="00336E9F">
        <w:t xml:space="preserve"> the split </w:t>
      </w:r>
      <w:r w:rsidR="00454E61" w:rsidRPr="00336E9F">
        <w:t>between</w:t>
      </w:r>
      <w:r w:rsidR="00A239CA" w:rsidRPr="00336E9F">
        <w:t xml:space="preserve"> </w:t>
      </w:r>
      <w:r w:rsidR="00B032E8" w:rsidRPr="00336E9F">
        <w:t>central costs</w:t>
      </w:r>
      <w:r w:rsidR="00A239CA" w:rsidRPr="00336E9F">
        <w:t xml:space="preserve"> driven by</w:t>
      </w:r>
      <w:r w:rsidR="00454E61" w:rsidRPr="00336E9F">
        <w:t xml:space="preserve"> </w:t>
      </w:r>
      <w:r w:rsidR="005F7B52" w:rsidRPr="00336E9F">
        <w:t>full-time equivalent staff and police district</w:t>
      </w:r>
      <w:r w:rsidR="00104528" w:rsidRPr="00336E9F">
        <w:t xml:space="preserve"> expenses was </w:t>
      </w:r>
      <w:r w:rsidR="005D7BD8" w:rsidRPr="00336E9F">
        <w:t xml:space="preserve">broadly </w:t>
      </w:r>
      <w:r w:rsidR="00010CA7" w:rsidRPr="00336E9F">
        <w:t>75:25</w:t>
      </w:r>
      <w:r w:rsidR="001A1D90" w:rsidRPr="00336E9F">
        <w:t>.</w:t>
      </w:r>
      <w:r w:rsidR="00C77563" w:rsidRPr="00336E9F">
        <w:t xml:space="preserve"> </w:t>
      </w:r>
      <w:r w:rsidR="00D06263" w:rsidRPr="00336E9F">
        <w:t>For</w:t>
      </w:r>
      <w:r w:rsidR="007377DA" w:rsidRPr="00336E9F">
        <w:t xml:space="preserve"> 202</w:t>
      </w:r>
      <w:r w:rsidR="00383233" w:rsidRPr="00336E9F">
        <w:t>3–</w:t>
      </w:r>
      <w:r w:rsidR="00007B2C" w:rsidRPr="00336E9F">
        <w:rPr>
          <w:rFonts w:ascii="Times New Roman" w:hAnsi="Times New Roman" w:cs="Times New Roman" w:hint="eastAsia"/>
          <w:rtl/>
        </w:rPr>
        <w:t>‍</w:t>
      </w:r>
      <w:r w:rsidR="00007B2C" w:rsidRPr="00336E9F">
        <w:t xml:space="preserve">24, the Commission </w:t>
      </w:r>
      <w:r w:rsidR="009D76D9" w:rsidRPr="00336E9F">
        <w:t xml:space="preserve">was </w:t>
      </w:r>
      <w:r w:rsidR="00007B2C" w:rsidRPr="00336E9F">
        <w:t>al</w:t>
      </w:r>
      <w:r w:rsidR="0097325E" w:rsidRPr="00336E9F">
        <w:t>so ab</w:t>
      </w:r>
      <w:r w:rsidR="002E32D7" w:rsidRPr="00336E9F">
        <w:t xml:space="preserve">le to </w:t>
      </w:r>
      <w:r w:rsidR="000604FC" w:rsidRPr="00336E9F">
        <w:t>include</w:t>
      </w:r>
      <w:r w:rsidR="002E32D7" w:rsidRPr="00336E9F">
        <w:t xml:space="preserve"> </w:t>
      </w:r>
      <w:r w:rsidR="009D76D9" w:rsidRPr="00336E9F">
        <w:t xml:space="preserve">Queensland </w:t>
      </w:r>
      <w:r w:rsidR="00007B2C" w:rsidRPr="00336E9F">
        <w:t xml:space="preserve">data </w:t>
      </w:r>
      <w:r w:rsidR="002E32D7" w:rsidRPr="00336E9F">
        <w:t xml:space="preserve">in </w:t>
      </w:r>
      <w:r w:rsidR="00266118" w:rsidRPr="00336E9F">
        <w:t>its analysis of central costs</w:t>
      </w:r>
      <w:r w:rsidR="00701806" w:rsidRPr="00336E9F">
        <w:t xml:space="preserve"> but</w:t>
      </w:r>
      <w:r w:rsidR="00EF60C3" w:rsidRPr="00336E9F">
        <w:t xml:space="preserve"> </w:t>
      </w:r>
      <w:r w:rsidR="003D513C" w:rsidRPr="00336E9F">
        <w:t>encounter</w:t>
      </w:r>
      <w:r w:rsidR="00EF60C3" w:rsidRPr="00336E9F">
        <w:t>ed</w:t>
      </w:r>
      <w:r w:rsidR="00E90C77" w:rsidRPr="00336E9F">
        <w:t xml:space="preserve"> similar</w:t>
      </w:r>
      <w:r w:rsidR="003D513C" w:rsidRPr="00336E9F">
        <w:t xml:space="preserve"> issues to </w:t>
      </w:r>
      <w:r w:rsidR="00F90711" w:rsidRPr="00336E9F">
        <w:t>that of</w:t>
      </w:r>
      <w:r w:rsidR="003D513C" w:rsidRPr="00336E9F">
        <w:t xml:space="preserve"> data provided by ot</w:t>
      </w:r>
      <w:r w:rsidR="00E90C77" w:rsidRPr="00336E9F">
        <w:t>her states</w:t>
      </w:r>
      <w:r w:rsidR="003D513C" w:rsidRPr="00336E9F">
        <w:t>.</w:t>
      </w:r>
    </w:p>
    <w:p w14:paraId="69765AE7" w14:textId="0D2F8401" w:rsidR="00C8541C" w:rsidRDefault="00FE47AF" w:rsidP="007E471B">
      <w:pPr>
        <w:pStyle w:val="CGCParaNumber"/>
        <w:numPr>
          <w:ilvl w:val="1"/>
          <w:numId w:val="16"/>
        </w:numPr>
      </w:pPr>
      <w:r w:rsidRPr="00336E9F">
        <w:t xml:space="preserve">The Commission </w:t>
      </w:r>
      <w:r w:rsidR="00BB5594" w:rsidRPr="00336E9F">
        <w:t xml:space="preserve">retains </w:t>
      </w:r>
      <w:r w:rsidR="00522963" w:rsidRPr="00336E9F">
        <w:t>co</w:t>
      </w:r>
      <w:r w:rsidR="007951E8" w:rsidRPr="00336E9F">
        <w:t xml:space="preserve">ncerns </w:t>
      </w:r>
      <w:r w:rsidR="00654FD7" w:rsidRPr="00336E9F">
        <w:t>with</w:t>
      </w:r>
      <w:r w:rsidR="008D2B52" w:rsidRPr="00336E9F">
        <w:t xml:space="preserve"> </w:t>
      </w:r>
      <w:r w:rsidR="00D447D6" w:rsidRPr="00336E9F">
        <w:t>using</w:t>
      </w:r>
      <w:r w:rsidR="008D2B52" w:rsidRPr="00336E9F">
        <w:t xml:space="preserve"> a</w:t>
      </w:r>
      <w:r w:rsidR="00AE2F5D" w:rsidRPr="00336E9F">
        <w:t>n exact</w:t>
      </w:r>
      <w:r w:rsidR="00205C8C" w:rsidRPr="00336E9F">
        <w:t xml:space="preserve"> split of </w:t>
      </w:r>
      <w:r w:rsidR="00D72A8F" w:rsidRPr="00336E9F">
        <w:t xml:space="preserve">central cost </w:t>
      </w:r>
      <w:r w:rsidR="007359FD" w:rsidRPr="00336E9F">
        <w:t>a</w:t>
      </w:r>
      <w:r w:rsidR="008D34DE" w:rsidRPr="00336E9F">
        <w:t>llocation</w:t>
      </w:r>
      <w:r w:rsidR="00D72A8F">
        <w:t xml:space="preserve"> </w:t>
      </w:r>
      <w:r w:rsidR="00B9573B">
        <w:t>based on available data</w:t>
      </w:r>
      <w:r w:rsidR="00587EDB" w:rsidRPr="00587EDB">
        <w:t>.</w:t>
      </w:r>
      <w:r w:rsidR="004A65CB">
        <w:t xml:space="preserve"> Th</w:t>
      </w:r>
      <w:r w:rsidR="00C9137E">
        <w:t>e</w:t>
      </w:r>
      <w:r w:rsidR="00566DE1">
        <w:t xml:space="preserve"> concerns</w:t>
      </w:r>
      <w:r w:rsidR="004A65CB">
        <w:t xml:space="preserve"> stem from several issues identified within the state data, including:</w:t>
      </w:r>
    </w:p>
    <w:p w14:paraId="34FAD61B" w14:textId="378FEFD1" w:rsidR="004A65CB" w:rsidRDefault="00D17A58" w:rsidP="00040D92">
      <w:pPr>
        <w:pStyle w:val="CGCBullet1"/>
        <w:ind w:left="924" w:hanging="357"/>
      </w:pPr>
      <w:r>
        <w:t>d</w:t>
      </w:r>
      <w:r w:rsidR="00A03F3F">
        <w:t xml:space="preserve">iffering levels of </w:t>
      </w:r>
      <w:r>
        <w:t xml:space="preserve">central cost function </w:t>
      </w:r>
      <w:r w:rsidR="00C46487">
        <w:t>aggregation</w:t>
      </w:r>
      <w:r w:rsidR="00A03F3F">
        <w:t xml:space="preserve"> </w:t>
      </w:r>
    </w:p>
    <w:p w14:paraId="5E1179AF" w14:textId="6A98C79E" w:rsidR="00D17A58" w:rsidRDefault="00B56054" w:rsidP="00040D92">
      <w:pPr>
        <w:pStyle w:val="CGCBullet1"/>
        <w:ind w:left="924" w:hanging="357"/>
      </w:pPr>
      <w:r>
        <w:t xml:space="preserve">some central cost functions being plausibly </w:t>
      </w:r>
      <w:r w:rsidR="00F06D09">
        <w:t>influenced</w:t>
      </w:r>
      <w:r>
        <w:t xml:space="preserve"> by </w:t>
      </w:r>
      <w:r w:rsidR="00F06D09">
        <w:t>multiple drivers</w:t>
      </w:r>
      <w:r>
        <w:t xml:space="preserve"> </w:t>
      </w:r>
    </w:p>
    <w:p w14:paraId="5B4B1873" w14:textId="1F56EBE1" w:rsidR="00F06D09" w:rsidRDefault="00010C67" w:rsidP="00040D92">
      <w:pPr>
        <w:pStyle w:val="CGCBullet1"/>
        <w:ind w:left="924" w:hanging="357"/>
      </w:pPr>
      <w:r>
        <w:t xml:space="preserve">not all states being able to provide </w:t>
      </w:r>
      <w:r w:rsidR="00680359">
        <w:t>disaggregated</w:t>
      </w:r>
      <w:r>
        <w:t xml:space="preserve"> </w:t>
      </w:r>
      <w:r w:rsidR="004B461F">
        <w:t>central cost data</w:t>
      </w:r>
    </w:p>
    <w:p w14:paraId="31B13ECC" w14:textId="202FB661" w:rsidR="004B461F" w:rsidRDefault="00DF4D37" w:rsidP="00040D92">
      <w:pPr>
        <w:pStyle w:val="CGCBullet1"/>
        <w:ind w:left="924" w:hanging="357"/>
      </w:pPr>
      <w:r>
        <w:t xml:space="preserve">ambiguity on the tasks or functions </w:t>
      </w:r>
      <w:r w:rsidR="009D46FA">
        <w:t>completed by some stat</w:t>
      </w:r>
      <w:r w:rsidR="00236A58">
        <w:t>e</w:t>
      </w:r>
      <w:r w:rsidR="009D46FA">
        <w:t>-</w:t>
      </w:r>
      <w:r w:rsidR="00900686">
        <w:t>identified</w:t>
      </w:r>
      <w:r w:rsidR="009D46FA">
        <w:t xml:space="preserve"> central costs</w:t>
      </w:r>
      <w:r w:rsidR="00900686">
        <w:t>.</w:t>
      </w:r>
    </w:p>
    <w:p w14:paraId="1AB40E71" w14:textId="01D55F5A" w:rsidR="002D0EF7" w:rsidRDefault="0C8C0B0B" w:rsidP="76F14935">
      <w:pPr>
        <w:pStyle w:val="CGCParaNumber"/>
      </w:pPr>
      <w:r>
        <w:t>The Commission note</w:t>
      </w:r>
      <w:r w:rsidR="4E6C46E8">
        <w:t>s</w:t>
      </w:r>
      <w:r>
        <w:t xml:space="preserve"> New South </w:t>
      </w:r>
      <w:proofErr w:type="spellStart"/>
      <w:r>
        <w:t>Wales</w:t>
      </w:r>
      <w:r w:rsidR="32BBC163">
        <w:t>’</w:t>
      </w:r>
      <w:proofErr w:type="spellEnd"/>
      <w:r>
        <w:t xml:space="preserve"> analysis </w:t>
      </w:r>
      <w:r w:rsidR="6583BEA7">
        <w:t xml:space="preserve">presenting the </w:t>
      </w:r>
      <w:r>
        <w:t xml:space="preserve">possible impact of missing data using a population-weighted approach. The Commission’s approach was based on a simple average of all states and included rounding. As the Commission sought to determine an appropriate split of expenses for each state to calculate an average, it had no basis for weighting each state split by population. </w:t>
      </w:r>
      <w:r w:rsidR="4574EB4E">
        <w:t xml:space="preserve">Even so, </w:t>
      </w:r>
      <w:r w:rsidR="15D67EDB">
        <w:t>given the data issues raised above</w:t>
      </w:r>
      <w:r w:rsidR="7799648E">
        <w:t xml:space="preserve">, </w:t>
      </w:r>
      <w:r w:rsidR="344E8579">
        <w:t>the Commission does not consi</w:t>
      </w:r>
      <w:r w:rsidR="3F187351">
        <w:t>der it possible to</w:t>
      </w:r>
      <w:r w:rsidR="1ACA2399">
        <w:t xml:space="preserve"> </w:t>
      </w:r>
      <w:r w:rsidR="6FE8AD7E">
        <w:t xml:space="preserve">make </w:t>
      </w:r>
      <w:r w:rsidR="25092C9C">
        <w:t xml:space="preserve">a </w:t>
      </w:r>
      <w:r w:rsidR="292FF6D3">
        <w:t xml:space="preserve">more </w:t>
      </w:r>
      <w:r w:rsidR="2B7C158A">
        <w:t>precise</w:t>
      </w:r>
      <w:r w:rsidR="292FF6D3">
        <w:t xml:space="preserve"> estimate</w:t>
      </w:r>
      <w:r w:rsidR="25092C9C">
        <w:t xml:space="preserve"> </w:t>
      </w:r>
      <w:r w:rsidR="75545315">
        <w:t xml:space="preserve">of the </w:t>
      </w:r>
      <w:r w:rsidR="220AACA7">
        <w:t xml:space="preserve">relative split. </w:t>
      </w:r>
      <w:r w:rsidR="25092C9C">
        <w:t xml:space="preserve"> </w:t>
      </w:r>
    </w:p>
    <w:p w14:paraId="6E5903B9" w14:textId="77915B9F" w:rsidR="002C274D" w:rsidRDefault="00C856DA" w:rsidP="007E471B">
      <w:pPr>
        <w:pStyle w:val="CGCParaNumber"/>
        <w:numPr>
          <w:ilvl w:val="1"/>
          <w:numId w:val="16"/>
        </w:numPr>
      </w:pPr>
      <w:r>
        <w:t xml:space="preserve">Given the </w:t>
      </w:r>
      <w:r w:rsidR="00760BB2">
        <w:t xml:space="preserve">issues with central costs data, the </w:t>
      </w:r>
      <w:r w:rsidR="00D52DBB">
        <w:t xml:space="preserve">Commission acknowledges </w:t>
      </w:r>
      <w:r w:rsidR="00BB1F8F">
        <w:t xml:space="preserve">that judgement is required </w:t>
      </w:r>
      <w:r w:rsidR="00936628">
        <w:t>to</w:t>
      </w:r>
      <w:r w:rsidR="0028686C">
        <w:t xml:space="preserve"> make a split. Given the strong </w:t>
      </w:r>
      <w:r w:rsidR="00A92E81">
        <w:t>conceptual</w:t>
      </w:r>
      <w:r w:rsidR="0028686C">
        <w:t xml:space="preserve"> case to </w:t>
      </w:r>
      <w:r w:rsidR="00F87332">
        <w:t xml:space="preserve">apportion </w:t>
      </w:r>
      <w:proofErr w:type="gramStart"/>
      <w:r w:rsidR="00F87332">
        <w:t>o</w:t>
      </w:r>
      <w:r w:rsidR="006533D6">
        <w:t>n</w:t>
      </w:r>
      <w:r w:rsidR="00F87332">
        <w:t xml:space="preserve"> the basis of</w:t>
      </w:r>
      <w:proofErr w:type="gramEnd"/>
      <w:r w:rsidR="00F87332">
        <w:t xml:space="preserve"> both full-time equivalent staff and </w:t>
      </w:r>
      <w:r w:rsidR="006533D6">
        <w:t>district expenses</w:t>
      </w:r>
      <w:r w:rsidR="00CD7C49">
        <w:t>,</w:t>
      </w:r>
      <w:r w:rsidR="006533D6">
        <w:t xml:space="preserve"> and in the absence of better </w:t>
      </w:r>
      <w:r w:rsidR="005A51A3">
        <w:t xml:space="preserve">data to </w:t>
      </w:r>
      <w:r w:rsidR="0041213B">
        <w:t>calculate a</w:t>
      </w:r>
      <w:r w:rsidR="00EB4E8D">
        <w:t xml:space="preserve"> more precise split, the Commissio</w:t>
      </w:r>
      <w:r w:rsidR="00DC3F86">
        <w:t>n</w:t>
      </w:r>
      <w:r w:rsidR="00D60A29">
        <w:t xml:space="preserve"> consider</w:t>
      </w:r>
      <w:r w:rsidR="00B461A7">
        <w:t>s</w:t>
      </w:r>
      <w:r w:rsidR="00D60A29">
        <w:t xml:space="preserve"> the</w:t>
      </w:r>
      <w:r w:rsidR="007F792C" w:rsidRPr="007F792C">
        <w:t xml:space="preserve"> 50:50 split between full-time equivalent staff and police district expenses</w:t>
      </w:r>
      <w:r w:rsidR="00D60A29">
        <w:t xml:space="preserve"> appropriate. The Commission note</w:t>
      </w:r>
      <w:r w:rsidR="00A66BB0">
        <w:t>s</w:t>
      </w:r>
      <w:r w:rsidR="00D60A29">
        <w:t xml:space="preserve"> that this is a </w:t>
      </w:r>
      <w:r w:rsidR="002C274D">
        <w:t>broad estimate</w:t>
      </w:r>
      <w:r w:rsidR="00FE5B6D">
        <w:t xml:space="preserve"> of</w:t>
      </w:r>
      <w:r w:rsidR="002C274D">
        <w:t xml:space="preserve"> </w:t>
      </w:r>
      <w:r w:rsidR="009A0E86">
        <w:t>the</w:t>
      </w:r>
      <w:r w:rsidR="002C274D">
        <w:t xml:space="preserve"> national</w:t>
      </w:r>
      <w:r w:rsidR="009A0E86">
        <w:t xml:space="preserve"> average</w:t>
      </w:r>
      <w:r w:rsidR="002C274D">
        <w:t xml:space="preserve"> </w:t>
      </w:r>
      <w:r w:rsidR="002D1620">
        <w:t>split</w:t>
      </w:r>
      <w:r w:rsidR="000A5F95">
        <w:t>, which ma</w:t>
      </w:r>
      <w:r w:rsidR="00A81D8F">
        <w:t>y not reflect states’ individual circumstances.</w:t>
      </w:r>
      <w:r w:rsidR="00D60A29">
        <w:t xml:space="preserve"> </w:t>
      </w:r>
      <w:r w:rsidR="009C2C51">
        <w:t>The Commission consider</w:t>
      </w:r>
      <w:r w:rsidR="00A00C09">
        <w:t>s</w:t>
      </w:r>
      <w:r w:rsidR="009C2C51">
        <w:t xml:space="preserve"> that the same split should be applied across states to </w:t>
      </w:r>
      <w:r w:rsidR="002B4B85">
        <w:t>ensure consistency</w:t>
      </w:r>
      <w:r w:rsidR="00E21515">
        <w:t xml:space="preserve"> of treatment.</w:t>
      </w:r>
      <w:r w:rsidR="002B4B85">
        <w:t xml:space="preserve"> </w:t>
      </w:r>
    </w:p>
    <w:p w14:paraId="3A83FCA6" w14:textId="4C27E015" w:rsidR="009E5859" w:rsidRPr="00336E9F" w:rsidRDefault="765FD792" w:rsidP="76F14935">
      <w:pPr>
        <w:pStyle w:val="CGCParaNumber"/>
      </w:pPr>
      <w:r w:rsidRPr="00336E9F">
        <w:lastRenderedPageBreak/>
        <w:t xml:space="preserve">The Commission </w:t>
      </w:r>
      <w:r w:rsidR="003564B6" w:rsidRPr="00336E9F">
        <w:t>considers that concerns with the</w:t>
      </w:r>
      <w:r w:rsidR="00E27CC8" w:rsidRPr="00336E9F">
        <w:t xml:space="preserve"> </w:t>
      </w:r>
      <w:r w:rsidR="00FE54EE" w:rsidRPr="00336E9F">
        <w:t xml:space="preserve">clarity and </w:t>
      </w:r>
      <w:r w:rsidR="00E27CC8" w:rsidRPr="00336E9F">
        <w:t>consistency of</w:t>
      </w:r>
      <w:r w:rsidR="003564B6" w:rsidRPr="00336E9F">
        <w:t xml:space="preserve"> state</w:t>
      </w:r>
      <w:r w:rsidR="00CC6738" w:rsidRPr="00336E9F">
        <w:t xml:space="preserve"> data </w:t>
      </w:r>
      <w:r w:rsidR="00E27CC8" w:rsidRPr="00336E9F">
        <w:t xml:space="preserve">could be </w:t>
      </w:r>
      <w:r w:rsidR="005B787B" w:rsidRPr="00336E9F">
        <w:t xml:space="preserve">addressed </w:t>
      </w:r>
      <w:r w:rsidR="00E27CC8" w:rsidRPr="00336E9F">
        <w:t>as part of future</w:t>
      </w:r>
      <w:r w:rsidR="004923E4" w:rsidRPr="00336E9F">
        <w:t xml:space="preserve"> data request processes in consultation with states. </w:t>
      </w:r>
    </w:p>
    <w:p w14:paraId="74F93636" w14:textId="2C00892C" w:rsidR="0090144E" w:rsidRDefault="0090144E" w:rsidP="00F37589">
      <w:pPr>
        <w:pStyle w:val="Heading4"/>
      </w:pPr>
      <w:r w:rsidRPr="00336E9F">
        <w:t>Commission</w:t>
      </w:r>
      <w:r w:rsidR="00A01CC0" w:rsidRPr="00336E9F">
        <w:t xml:space="preserve"> final draft</w:t>
      </w:r>
      <w:r w:rsidRPr="0090144E">
        <w:t xml:space="preserve"> position</w:t>
      </w:r>
    </w:p>
    <w:p w14:paraId="55FEE39A" w14:textId="763336EA" w:rsidR="00665F2C" w:rsidRPr="00665F2C" w:rsidRDefault="00131F82" w:rsidP="007E471B">
      <w:pPr>
        <w:pStyle w:val="CGCParaNumber"/>
        <w:numPr>
          <w:ilvl w:val="1"/>
          <w:numId w:val="16"/>
        </w:numPr>
      </w:pPr>
      <w:r>
        <w:t xml:space="preserve">The Commission proposes </w:t>
      </w:r>
      <w:r w:rsidR="000377C3">
        <w:t>allocating</w:t>
      </w:r>
      <w:r w:rsidR="00352E39">
        <w:t xml:space="preserve"> central costs </w:t>
      </w:r>
      <w:r w:rsidR="000377C3">
        <w:t xml:space="preserve">based on a </w:t>
      </w:r>
      <w:r w:rsidR="00352E39">
        <w:t xml:space="preserve">50:50 </w:t>
      </w:r>
      <w:r w:rsidR="003174AD">
        <w:t>split</w:t>
      </w:r>
      <w:r w:rsidR="00352E39">
        <w:t xml:space="preserve"> between </w:t>
      </w:r>
      <w:r w:rsidR="00FC1004">
        <w:t>full-time</w:t>
      </w:r>
      <w:r w:rsidR="003174AD">
        <w:t xml:space="preserve"> </w:t>
      </w:r>
      <w:r w:rsidR="00FC1004">
        <w:t xml:space="preserve">equivalent staff and </w:t>
      </w:r>
      <w:r w:rsidR="009719CA">
        <w:t>police district</w:t>
      </w:r>
      <w:r w:rsidR="003174AD">
        <w:t xml:space="preserve"> </w:t>
      </w:r>
      <w:r w:rsidR="009719CA">
        <w:t xml:space="preserve">expenses. </w:t>
      </w:r>
    </w:p>
    <w:p w14:paraId="38B422C5" w14:textId="18806DFB" w:rsidR="0068378D" w:rsidRPr="00240C10" w:rsidRDefault="0068378D" w:rsidP="00C25819">
      <w:pPr>
        <w:pStyle w:val="Heading35"/>
      </w:pPr>
      <w:r w:rsidRPr="00240C10">
        <w:t xml:space="preserve">What is the </w:t>
      </w:r>
      <w:r w:rsidR="002A2A29">
        <w:t>correct specification of the police</w:t>
      </w:r>
      <w:r w:rsidRPr="00240C10">
        <w:t xml:space="preserve"> regression model?</w:t>
      </w:r>
    </w:p>
    <w:p w14:paraId="4A8CC72F" w14:textId="212FDBEC" w:rsidR="0090144E" w:rsidRDefault="0090144E" w:rsidP="00240C10">
      <w:pPr>
        <w:pStyle w:val="Heading4"/>
      </w:pPr>
      <w:r w:rsidRPr="0090144E">
        <w:t>Background</w:t>
      </w:r>
    </w:p>
    <w:p w14:paraId="4B68760F" w14:textId="7E76C210" w:rsidR="00CD2D1D" w:rsidRDefault="0046538C" w:rsidP="007E471B">
      <w:pPr>
        <w:pStyle w:val="CGCParaNumber"/>
        <w:numPr>
          <w:ilvl w:val="1"/>
          <w:numId w:val="16"/>
        </w:numPr>
      </w:pPr>
      <w:r>
        <w:t>The Commission proposed to</w:t>
      </w:r>
      <w:r w:rsidR="00BA737B">
        <w:t>:</w:t>
      </w:r>
      <w:r>
        <w:t xml:space="preserve"> </w:t>
      </w:r>
    </w:p>
    <w:p w14:paraId="65AFF82E" w14:textId="7006F70A" w:rsidR="00665F2C" w:rsidRDefault="0046538C" w:rsidP="00040D92">
      <w:pPr>
        <w:pStyle w:val="CGCBullet1"/>
        <w:ind w:left="924" w:hanging="357"/>
      </w:pPr>
      <w:r>
        <w:t>combine the remote and very remote variables in the police regression</w:t>
      </w:r>
      <w:r w:rsidR="002079A3">
        <w:t>,</w:t>
      </w:r>
      <w:r>
        <w:t xml:space="preserve"> if supported with the inclusion of 2023–24 data</w:t>
      </w:r>
    </w:p>
    <w:p w14:paraId="0E349A5D" w14:textId="03A7C76B" w:rsidR="003F177D" w:rsidRDefault="00335A51" w:rsidP="00040D92">
      <w:pPr>
        <w:pStyle w:val="CGCBullet1"/>
        <w:ind w:left="924" w:hanging="357"/>
      </w:pPr>
      <w:r>
        <w:t xml:space="preserve">not include an additional cost weight for remote offenders. </w:t>
      </w:r>
    </w:p>
    <w:p w14:paraId="2884C512" w14:textId="18F11702" w:rsidR="00FF5FD0" w:rsidRPr="00FF5FD0" w:rsidRDefault="00335A51" w:rsidP="00335F7E">
      <w:pPr>
        <w:pStyle w:val="CGCParaNumber"/>
      </w:pPr>
      <w:r>
        <w:t>When incorporated in the regression, an additional remote offender variable was not significant. The Commission could not find evidence that remote offenders cost more than non-remote offenders.</w:t>
      </w:r>
    </w:p>
    <w:p w14:paraId="1EB9DFFD" w14:textId="0577DCD5" w:rsidR="00947AC3" w:rsidRDefault="0090144E" w:rsidP="00240C10">
      <w:pPr>
        <w:pStyle w:val="Heading4"/>
      </w:pPr>
      <w:r w:rsidRPr="0090144E">
        <w:t>State views</w:t>
      </w:r>
      <w:r w:rsidR="00FF5FD0">
        <w:t xml:space="preserve"> </w:t>
      </w:r>
    </w:p>
    <w:p w14:paraId="15C224AD" w14:textId="0CEDFB22" w:rsidR="0090144E" w:rsidRDefault="005521FF" w:rsidP="00363363">
      <w:pPr>
        <w:pStyle w:val="Heading5"/>
      </w:pPr>
      <w:r>
        <w:t>Combin</w:t>
      </w:r>
      <w:r w:rsidR="00F27123">
        <w:t>in</w:t>
      </w:r>
      <w:r>
        <w:t xml:space="preserve">g remote </w:t>
      </w:r>
      <w:r w:rsidR="00733A42">
        <w:t>and very</w:t>
      </w:r>
      <w:r>
        <w:t xml:space="preserve"> remote va</w:t>
      </w:r>
      <w:r w:rsidR="00733A42">
        <w:t>r</w:t>
      </w:r>
      <w:r>
        <w:t>iables</w:t>
      </w:r>
    </w:p>
    <w:p w14:paraId="577E003D" w14:textId="77777777" w:rsidR="00202D0C" w:rsidRDefault="000A0F1A" w:rsidP="007E471B">
      <w:pPr>
        <w:pStyle w:val="CGCParaNumber"/>
        <w:numPr>
          <w:ilvl w:val="1"/>
          <w:numId w:val="16"/>
        </w:numPr>
      </w:pPr>
      <w:r>
        <w:t>Queensland</w:t>
      </w:r>
      <w:r w:rsidR="006B2D3E">
        <w:t>,</w:t>
      </w:r>
      <w:r>
        <w:t xml:space="preserve"> Tasmania</w:t>
      </w:r>
      <w:r w:rsidR="006B2D3E">
        <w:t xml:space="preserve"> and the ACT</w:t>
      </w:r>
      <w:r>
        <w:t xml:space="preserve"> supported </w:t>
      </w:r>
      <w:r w:rsidR="00EE5AD7">
        <w:t xml:space="preserve">combining the remote and very remote </w:t>
      </w:r>
      <w:r w:rsidR="00577842">
        <w:t>variables in the police regression.</w:t>
      </w:r>
      <w:r w:rsidR="006B2D3E">
        <w:t xml:space="preserve"> </w:t>
      </w:r>
    </w:p>
    <w:p w14:paraId="690162EE" w14:textId="1CD77824" w:rsidR="00192577" w:rsidRDefault="7D4FE6CE" w:rsidP="76F14935">
      <w:pPr>
        <w:pStyle w:val="CGCParaNumber"/>
      </w:pPr>
      <w:r>
        <w:t>While Queensland supported combining the variables</w:t>
      </w:r>
      <w:r w:rsidR="798CAD9F">
        <w:t>,</w:t>
      </w:r>
      <w:r>
        <w:t xml:space="preserve"> it maintained that very remote regions incur significantly higher costs than remote regions. It said that the observed trends in the 2022–23 data appear to be influenced by the reallocation of police resources within the Northern Territory. Queensland asked the Commission to carefully analyse the 2023–24 data before integrating them into the assessment, to rule out any temporary effects from the Northern Territory. </w:t>
      </w:r>
    </w:p>
    <w:p w14:paraId="3D0ACD38" w14:textId="34E89609" w:rsidR="00AE1201" w:rsidRDefault="5393B301" w:rsidP="76F14935">
      <w:pPr>
        <w:pStyle w:val="CGCParaNumber"/>
      </w:pPr>
      <w:r>
        <w:t xml:space="preserve">Tasmania </w:t>
      </w:r>
      <w:r w:rsidR="2E36DE82">
        <w:t>said</w:t>
      </w:r>
      <w:r>
        <w:t xml:space="preserve"> its experience was that demand for police services and their related costs </w:t>
      </w:r>
      <w:r w:rsidR="4A3B2D3F">
        <w:t>is</w:t>
      </w:r>
      <w:r>
        <w:t xml:space="preserve"> greater in remote areas than in very remote areas. </w:t>
      </w:r>
    </w:p>
    <w:p w14:paraId="3D4A5BBB" w14:textId="478F2204" w:rsidR="00665F2C" w:rsidRDefault="24C3DADF" w:rsidP="76F14935">
      <w:pPr>
        <w:pStyle w:val="CGCParaNumber"/>
      </w:pPr>
      <w:r>
        <w:t xml:space="preserve">The ACT </w:t>
      </w:r>
      <w:r w:rsidR="542B47FC">
        <w:t>said</w:t>
      </w:r>
      <w:r w:rsidR="3C0542D8">
        <w:t xml:space="preserve"> that </w:t>
      </w:r>
      <w:r w:rsidR="01F78B5B">
        <w:t>it</w:t>
      </w:r>
      <w:r w:rsidR="3C0542D8">
        <w:t xml:space="preserve"> </w:t>
      </w:r>
      <w:r w:rsidR="6F98AD41">
        <w:t>support</w:t>
      </w:r>
      <w:r w:rsidR="54E409BF">
        <w:t>ed com</w:t>
      </w:r>
      <w:r w:rsidR="3D4F44DD">
        <w:t>bining</w:t>
      </w:r>
      <w:r w:rsidR="54E409BF">
        <w:t xml:space="preserve"> the </w:t>
      </w:r>
      <w:r w:rsidR="3D4F44DD">
        <w:t xml:space="preserve">remote </w:t>
      </w:r>
      <w:r w:rsidR="54E409BF">
        <w:t>variable</w:t>
      </w:r>
      <w:r w:rsidR="3D4F44DD">
        <w:t>s</w:t>
      </w:r>
      <w:r w:rsidR="54E409BF">
        <w:t xml:space="preserve"> </w:t>
      </w:r>
      <w:r w:rsidR="29B7061E">
        <w:t xml:space="preserve">if </w:t>
      </w:r>
      <w:r w:rsidR="38B4AC5E">
        <w:t>the inclusion of</w:t>
      </w:r>
      <w:r w:rsidR="120E3E36">
        <w:t xml:space="preserve"> 2023</w:t>
      </w:r>
      <w:r w:rsidR="558718A9">
        <w:t>–</w:t>
      </w:r>
      <w:r w:rsidR="120E3E36">
        <w:t>24</w:t>
      </w:r>
      <w:r w:rsidR="54E409BF">
        <w:t xml:space="preserve"> in the regression </w:t>
      </w:r>
      <w:r w:rsidR="3D4F44DD">
        <w:t>showed the same relationship as the regression based on 2022</w:t>
      </w:r>
      <w:r w:rsidR="30724D24">
        <w:t>–</w:t>
      </w:r>
      <w:r w:rsidR="3D4F44DD">
        <w:t>23 data</w:t>
      </w:r>
      <w:r w:rsidR="0B0B4B47">
        <w:t>.</w:t>
      </w:r>
    </w:p>
    <w:p w14:paraId="61708E90" w14:textId="77777777" w:rsidR="00525333" w:rsidRDefault="00525333" w:rsidP="007E471B">
      <w:pPr>
        <w:pStyle w:val="CGCParaNumber"/>
        <w:numPr>
          <w:ilvl w:val="1"/>
          <w:numId w:val="16"/>
        </w:numPr>
      </w:pPr>
      <w:r>
        <w:t>Western Australia was not opposed to the combining of the remote and very remote variables.</w:t>
      </w:r>
    </w:p>
    <w:p w14:paraId="432D41B4" w14:textId="0044C353" w:rsidR="00017DFD" w:rsidRDefault="21C28A90" w:rsidP="76F14935">
      <w:pPr>
        <w:pStyle w:val="CGCParaNumber"/>
      </w:pPr>
      <w:r>
        <w:t xml:space="preserve">The Northern Territory </w:t>
      </w:r>
      <w:r w:rsidR="67AA3450">
        <w:t xml:space="preserve">said that it </w:t>
      </w:r>
      <w:r w:rsidR="48CEEE9F">
        <w:t>had no in</w:t>
      </w:r>
      <w:r w:rsidR="59DDE8AA">
        <w:t>-</w:t>
      </w:r>
      <w:proofErr w:type="gramStart"/>
      <w:r w:rsidR="48CEEE9F">
        <w:t>principle</w:t>
      </w:r>
      <w:proofErr w:type="gramEnd"/>
      <w:r w:rsidR="48CEEE9F">
        <w:t xml:space="preserve"> concerns</w:t>
      </w:r>
      <w:r w:rsidR="4B54378E">
        <w:t xml:space="preserve"> about combining the var</w:t>
      </w:r>
      <w:r w:rsidR="3BA8EF3F">
        <w:t>iables</w:t>
      </w:r>
      <w:r w:rsidR="3D246D22">
        <w:t>,</w:t>
      </w:r>
      <w:r w:rsidR="48CEEE9F">
        <w:t xml:space="preserve"> but that it </w:t>
      </w:r>
      <w:r w:rsidR="67AA3450">
        <w:t xml:space="preserve">would </w:t>
      </w:r>
      <w:r w:rsidR="48CEEE9F">
        <w:t xml:space="preserve">wait </w:t>
      </w:r>
      <w:r w:rsidR="7C65EBA7">
        <w:t>until 2023</w:t>
      </w:r>
      <w:r w:rsidR="558718A9">
        <w:t>–</w:t>
      </w:r>
      <w:r w:rsidR="7C65EBA7">
        <w:t>24 data w</w:t>
      </w:r>
      <w:r w:rsidR="1667FF94">
        <w:t>ere</w:t>
      </w:r>
      <w:r w:rsidR="7C65EBA7">
        <w:t xml:space="preserve"> included in the assessment before </w:t>
      </w:r>
      <w:r w:rsidR="0B67294C">
        <w:t xml:space="preserve">providing a </w:t>
      </w:r>
      <w:r w:rsidR="6EE4D027">
        <w:t xml:space="preserve">final </w:t>
      </w:r>
      <w:r w:rsidR="0B67294C">
        <w:t xml:space="preserve">position on this issue. </w:t>
      </w:r>
    </w:p>
    <w:p w14:paraId="25074985" w14:textId="5827083F" w:rsidR="00733A42" w:rsidRDefault="00C2118E" w:rsidP="00FB59D6">
      <w:pPr>
        <w:pStyle w:val="Heading5"/>
      </w:pPr>
      <w:r>
        <w:lastRenderedPageBreak/>
        <w:t xml:space="preserve">Additional remote </w:t>
      </w:r>
      <w:r w:rsidR="00FB373F">
        <w:t xml:space="preserve">offender variable </w:t>
      </w:r>
    </w:p>
    <w:p w14:paraId="000657C4" w14:textId="5AC650EB" w:rsidR="00801DF6" w:rsidRDefault="00801DF6" w:rsidP="007E471B">
      <w:pPr>
        <w:pStyle w:val="CGCParaNumber"/>
        <w:numPr>
          <w:ilvl w:val="1"/>
          <w:numId w:val="16"/>
        </w:numPr>
      </w:pPr>
      <w:r>
        <w:t>New South Wales, Victoria, Tasmania and the ACT support</w:t>
      </w:r>
      <w:r w:rsidR="005024B3">
        <w:t>ed not</w:t>
      </w:r>
      <w:r>
        <w:t xml:space="preserve"> inclu</w:t>
      </w:r>
      <w:r w:rsidR="005024B3">
        <w:t>ding</w:t>
      </w:r>
      <w:r>
        <w:t xml:space="preserve"> </w:t>
      </w:r>
      <w:r w:rsidR="0028142E">
        <w:t>a</w:t>
      </w:r>
      <w:r>
        <w:t xml:space="preserve"> remote offender variable.</w:t>
      </w:r>
    </w:p>
    <w:p w14:paraId="0E61B22E" w14:textId="6D9A5B3A" w:rsidR="00801DF6" w:rsidRDefault="00801DF6" w:rsidP="007E471B">
      <w:pPr>
        <w:pStyle w:val="CGCParaNumber"/>
        <w:numPr>
          <w:ilvl w:val="1"/>
          <w:numId w:val="16"/>
        </w:numPr>
      </w:pPr>
      <w:r>
        <w:t xml:space="preserve">New South Wales </w:t>
      </w:r>
      <w:r w:rsidR="009F4BFF">
        <w:t xml:space="preserve">said </w:t>
      </w:r>
      <w:r>
        <w:t xml:space="preserve">that the assessment already accounts for remoteness costs in the police regression and the inclusion of the variable has little explanatory value. It </w:t>
      </w:r>
      <w:r w:rsidR="00267507">
        <w:t>considered</w:t>
      </w:r>
      <w:r>
        <w:t xml:space="preserve"> that incorporating a measure for the severity of crime would be useful but acknowledged that this is not possible due to data limitations. </w:t>
      </w:r>
    </w:p>
    <w:p w14:paraId="11123F97" w14:textId="7C144AF9" w:rsidR="00801DF6" w:rsidRDefault="00801DF6" w:rsidP="007E471B">
      <w:pPr>
        <w:pStyle w:val="CGCParaNumber"/>
        <w:numPr>
          <w:ilvl w:val="1"/>
          <w:numId w:val="16"/>
        </w:numPr>
      </w:pPr>
      <w:r>
        <w:t>The ACT support</w:t>
      </w:r>
      <w:r w:rsidR="00100EE2">
        <w:t xml:space="preserve">ed not including </w:t>
      </w:r>
      <w:r>
        <w:t xml:space="preserve">the remote offender variable because it was statistically insignificant when incorporated into the regression model. </w:t>
      </w:r>
    </w:p>
    <w:p w14:paraId="2951E484" w14:textId="77777777" w:rsidR="004D0E3B" w:rsidRDefault="004D0E3B" w:rsidP="007E471B">
      <w:pPr>
        <w:pStyle w:val="CGCParaNumber"/>
        <w:numPr>
          <w:ilvl w:val="1"/>
          <w:numId w:val="16"/>
        </w:numPr>
      </w:pPr>
      <w:r>
        <w:t xml:space="preserve">Western Australia was not opposed to the exclusion of the remote offender variable. Western Australia said that while the conceptual case for remote offenders was strong, the relationship is not supported by data. </w:t>
      </w:r>
    </w:p>
    <w:p w14:paraId="041E3C95" w14:textId="2E287915" w:rsidR="00801DF6" w:rsidRPr="00D93E48" w:rsidRDefault="00801DF6" w:rsidP="007E471B">
      <w:pPr>
        <w:pStyle w:val="CGCParaNumber"/>
        <w:numPr>
          <w:ilvl w:val="1"/>
          <w:numId w:val="16"/>
        </w:numPr>
      </w:pPr>
      <w:r>
        <w:t xml:space="preserve">Queensland </w:t>
      </w:r>
      <w:r w:rsidRPr="00D93E48">
        <w:t xml:space="preserve">did not support the </w:t>
      </w:r>
      <w:r w:rsidR="00F63F99">
        <w:t>position</w:t>
      </w:r>
      <w:r w:rsidRPr="00D93E48">
        <w:t xml:space="preserve"> to not include an additional cost weight for remote offenders. It </w:t>
      </w:r>
      <w:r>
        <w:t xml:space="preserve">said that remoteness costs are not adequately captured by the assessment and that an additional remoteness factor would help to address some of this. </w:t>
      </w:r>
      <w:r w:rsidR="00DA667D">
        <w:t>Queensland</w:t>
      </w:r>
      <w:r w:rsidRPr="00D93E48">
        <w:t xml:space="preserve"> </w:t>
      </w:r>
      <w:r w:rsidR="00D404C7">
        <w:t xml:space="preserve">presented analysis </w:t>
      </w:r>
      <w:r w:rsidR="00F10ED8">
        <w:t>showing</w:t>
      </w:r>
      <w:r>
        <w:t xml:space="preserve"> that costs </w:t>
      </w:r>
      <w:r w:rsidRPr="00D93E48">
        <w:t xml:space="preserve">of supplies and services in very remote areas were 331% higher and depreciation costs were 406% higher than metropolitan areas. It said that these costs were </w:t>
      </w:r>
      <w:r>
        <w:t xml:space="preserve">associated with </w:t>
      </w:r>
      <w:r w:rsidRPr="00D93E48">
        <w:t>transportation and travel,</w:t>
      </w:r>
      <w:r>
        <w:t xml:space="preserve"> higher numbers of police stations, police housing, vessels and aircraft</w:t>
      </w:r>
      <w:r w:rsidRPr="00D93E48">
        <w:t xml:space="preserve"> to maintain a policing presence</w:t>
      </w:r>
      <w:r>
        <w:t>, higher overheads for capital works and cultural isolation factors</w:t>
      </w:r>
      <w:r w:rsidRPr="00D93E48">
        <w:t>.</w:t>
      </w:r>
    </w:p>
    <w:p w14:paraId="1706C080" w14:textId="44A8A957" w:rsidR="00801DF6" w:rsidRPr="0090144E" w:rsidRDefault="00801DF6" w:rsidP="007E471B">
      <w:pPr>
        <w:pStyle w:val="CGCParaNumber"/>
        <w:numPr>
          <w:ilvl w:val="1"/>
          <w:numId w:val="16"/>
        </w:numPr>
      </w:pPr>
      <w:r>
        <w:t xml:space="preserve">Queensland </w:t>
      </w:r>
      <w:r w:rsidRPr="000C57F5">
        <w:t xml:space="preserve">provided further examples, highlighting the significant costs and challenges faced </w:t>
      </w:r>
      <w:r>
        <w:t xml:space="preserve">in </w:t>
      </w:r>
      <w:r w:rsidRPr="000C57F5">
        <w:t xml:space="preserve">policing the Torres Strait and the additional need for specialised equipment. It compared communities with similar population and remoteness profiles, Aurukun (Queensland) and Brewarrina (New South Wales). It said that these areas would be treated similarly, despite Aurukun’s First Nations </w:t>
      </w:r>
      <w:r w:rsidR="008C260D">
        <w:t xml:space="preserve">population </w:t>
      </w:r>
      <w:r w:rsidRPr="000C57F5" w:rsidDel="00641601">
        <w:t>p</w:t>
      </w:r>
      <w:r>
        <w:t>roportion</w:t>
      </w:r>
      <w:r w:rsidRPr="000C57F5">
        <w:t xml:space="preserve"> and median age being 89% and 29 </w:t>
      </w:r>
      <w:r w:rsidR="00B83F36">
        <w:t>years</w:t>
      </w:r>
      <w:r w:rsidRPr="000C57F5">
        <w:t xml:space="preserve"> respectively, as opposed to 59% and 36 </w:t>
      </w:r>
      <w:r w:rsidR="00B83F36">
        <w:t>years</w:t>
      </w:r>
      <w:r w:rsidRPr="000C57F5">
        <w:t xml:space="preserve"> in Brewarrina, contributing to 4.5 times more assaults in Aurukun</w:t>
      </w:r>
      <w:r w:rsidR="008D40A2">
        <w:t xml:space="preserve"> than Brewarrina</w:t>
      </w:r>
      <w:r w:rsidRPr="000C57F5">
        <w:t>.</w:t>
      </w:r>
      <w:r>
        <w:t xml:space="preserve"> Queensland </w:t>
      </w:r>
      <w:r w:rsidR="00867C34">
        <w:t>said that</w:t>
      </w:r>
      <w:r w:rsidR="00582E64">
        <w:t xml:space="preserve"> </w:t>
      </w:r>
      <w:r w:rsidR="00011693">
        <w:t xml:space="preserve">isolating </w:t>
      </w:r>
      <w:r w:rsidR="00232C0A">
        <w:t>remoteness from o</w:t>
      </w:r>
      <w:r w:rsidR="00FE235F">
        <w:t>ffending</w:t>
      </w:r>
      <w:r w:rsidR="002B76F7">
        <w:t xml:space="preserve"> underestimate</w:t>
      </w:r>
      <w:r w:rsidR="00F65796">
        <w:t>s</w:t>
      </w:r>
      <w:r w:rsidR="002B76F7">
        <w:t xml:space="preserve"> Queensland’s needs and that</w:t>
      </w:r>
      <w:r w:rsidR="00011693">
        <w:t xml:space="preserve"> </w:t>
      </w:r>
      <w:r w:rsidR="00582E64">
        <w:t>cost drivers should be</w:t>
      </w:r>
      <w:r w:rsidR="002B7533">
        <w:t xml:space="preserve"> combined and</w:t>
      </w:r>
      <w:r w:rsidR="00582E64">
        <w:t xml:space="preserve"> </w:t>
      </w:r>
      <w:r w:rsidR="00AD6EF6">
        <w:t>applied to offender</w:t>
      </w:r>
      <w:r w:rsidR="006D31B5">
        <w:t xml:space="preserve"> cohorts</w:t>
      </w:r>
      <w:r w:rsidR="00537D62">
        <w:t xml:space="preserve"> </w:t>
      </w:r>
      <w:r w:rsidR="00E12ABA">
        <w:t>by</w:t>
      </w:r>
      <w:r w:rsidR="00537D62">
        <w:t xml:space="preserve"> locatio</w:t>
      </w:r>
      <w:r w:rsidR="000612AE">
        <w:t>n</w:t>
      </w:r>
      <w:r w:rsidR="00541C04">
        <w:t xml:space="preserve">. </w:t>
      </w:r>
    </w:p>
    <w:p w14:paraId="04A3F898" w14:textId="1A9A9D04" w:rsidR="000409CB" w:rsidRDefault="000409CB" w:rsidP="00FB59D6">
      <w:pPr>
        <w:pStyle w:val="Heading5"/>
      </w:pPr>
      <w:r>
        <w:t xml:space="preserve">Alternative </w:t>
      </w:r>
      <w:r w:rsidR="00BC79B0">
        <w:t>model</w:t>
      </w:r>
      <w:r w:rsidR="00E11EC4">
        <w:t xml:space="preserve"> specification</w:t>
      </w:r>
    </w:p>
    <w:p w14:paraId="54824969" w14:textId="08FA208F" w:rsidR="00162BBA" w:rsidRDefault="000409CB" w:rsidP="007E471B">
      <w:pPr>
        <w:pStyle w:val="CGCParaNumber"/>
        <w:numPr>
          <w:ilvl w:val="1"/>
          <w:numId w:val="16"/>
        </w:numPr>
      </w:pPr>
      <w:r w:rsidRPr="00A96883">
        <w:t xml:space="preserve">Victoria </w:t>
      </w:r>
      <w:r w:rsidR="00707248">
        <w:t>noted</w:t>
      </w:r>
      <w:r w:rsidR="00B66471">
        <w:t xml:space="preserve"> </w:t>
      </w:r>
      <w:r w:rsidRPr="00A96883">
        <w:t xml:space="preserve">that the Commission did not respond to its recommendation to include underlying drivers in the regression model without the intermediate step of calculating assessed offenders. </w:t>
      </w:r>
    </w:p>
    <w:p w14:paraId="14053BE5" w14:textId="136BD686" w:rsidR="00C0444E" w:rsidRDefault="00C0444E" w:rsidP="00240C10">
      <w:pPr>
        <w:pStyle w:val="Heading4"/>
      </w:pPr>
      <w:r>
        <w:t>Commission response</w:t>
      </w:r>
    </w:p>
    <w:p w14:paraId="2B34C244" w14:textId="5E1B3A8D" w:rsidR="00996DB7" w:rsidRPr="00996DB7" w:rsidRDefault="00996DB7" w:rsidP="00F00CFF">
      <w:pPr>
        <w:pStyle w:val="Heading5"/>
      </w:pPr>
      <w:r>
        <w:t xml:space="preserve">Updating the </w:t>
      </w:r>
      <w:r w:rsidR="00123F11">
        <w:t>regression model with 2023</w:t>
      </w:r>
      <w:r w:rsidR="00B67B1F">
        <w:t>–</w:t>
      </w:r>
      <w:r w:rsidR="00123F11">
        <w:t>24 data</w:t>
      </w:r>
    </w:p>
    <w:p w14:paraId="725E7D80" w14:textId="49014564" w:rsidR="005479FF" w:rsidRDefault="005479FF" w:rsidP="007E471B">
      <w:pPr>
        <w:pStyle w:val="CGCParaNumber"/>
        <w:numPr>
          <w:ilvl w:val="1"/>
          <w:numId w:val="16"/>
        </w:numPr>
      </w:pPr>
      <w:r w:rsidRPr="001C2AFD">
        <w:t>Analysis o</w:t>
      </w:r>
      <w:r>
        <w:t>f</w:t>
      </w:r>
      <w:r w:rsidRPr="001C2AFD">
        <w:t xml:space="preserve"> the final regression data, including data for 2023</w:t>
      </w:r>
      <w:r>
        <w:t>–</w:t>
      </w:r>
      <w:r w:rsidRPr="001C2AFD">
        <w:t xml:space="preserve">24, supported the use of the model specification proposed in the </w:t>
      </w:r>
      <w:r w:rsidR="00536BA6">
        <w:t xml:space="preserve">July 2025 </w:t>
      </w:r>
      <w:r w:rsidRPr="001C2AFD">
        <w:t>justice addendum.</w:t>
      </w:r>
      <w:r>
        <w:t xml:space="preserve"> The method </w:t>
      </w:r>
      <w:r>
        <w:lastRenderedPageBreak/>
        <w:t xml:space="preserve">and data produced a model with an adjusted R-squared of 0.735 and all variables </w:t>
      </w:r>
      <w:r w:rsidR="008C00C3">
        <w:t xml:space="preserve">were </w:t>
      </w:r>
      <w:r>
        <w:t>highly significant at 0.001 confidence</w:t>
      </w:r>
      <w:r w:rsidR="001A0D4F">
        <w:t xml:space="preserve"> (see Table 1)</w:t>
      </w:r>
      <w:r>
        <w:t>. T</w:t>
      </w:r>
      <w:r w:rsidRPr="001C2AFD">
        <w:t xml:space="preserve">he most notable difference compared to results </w:t>
      </w:r>
      <w:r>
        <w:t>using only</w:t>
      </w:r>
      <w:r w:rsidRPr="001C2AFD">
        <w:t xml:space="preserve"> 2022–23</w:t>
      </w:r>
      <w:r>
        <w:t xml:space="preserve"> data</w:t>
      </w:r>
      <w:r w:rsidRPr="001C2AFD">
        <w:t xml:space="preserve"> was a higher offender coefficient, increasing from $8,951 to $9,770.</w:t>
      </w:r>
    </w:p>
    <w:p w14:paraId="39B983C9" w14:textId="6D362004" w:rsidR="0069038F" w:rsidRDefault="0069038F" w:rsidP="007E471B">
      <w:pPr>
        <w:pStyle w:val="CGCParaNumber"/>
        <w:numPr>
          <w:ilvl w:val="1"/>
          <w:numId w:val="16"/>
        </w:numPr>
      </w:pPr>
      <w:r>
        <w:t xml:space="preserve">Table 2 shows the </w:t>
      </w:r>
      <w:r w:rsidR="00BB1AF5">
        <w:t>corresponding cost weights.</w:t>
      </w:r>
    </w:p>
    <w:p w14:paraId="51646251" w14:textId="72EE9E29" w:rsidR="00061430" w:rsidRPr="00061430" w:rsidRDefault="00061430" w:rsidP="001C3FDB">
      <w:pPr>
        <w:keepNext/>
        <w:keepLines/>
        <w:tabs>
          <w:tab w:val="left" w:pos="567"/>
          <w:tab w:val="left" w:pos="1134"/>
        </w:tabs>
        <w:spacing w:before="240" w:after="120" w:line="240" w:lineRule="auto"/>
        <w:rPr>
          <w:rFonts w:ascii="Work Sans" w:hAnsi="Work Sans"/>
          <w:b/>
          <w:sz w:val="20"/>
        </w:rPr>
      </w:pPr>
      <w:r w:rsidRPr="00061430">
        <w:rPr>
          <w:rFonts w:ascii="Work Sans" w:hAnsi="Work Sans"/>
          <w:b/>
          <w:sz w:val="20"/>
        </w:rPr>
        <w:t xml:space="preserve">Table </w:t>
      </w:r>
      <w:r w:rsidR="006B0FA1">
        <w:rPr>
          <w:rFonts w:ascii="Work Sans" w:hAnsi="Work Sans"/>
          <w:b/>
          <w:sz w:val="20"/>
        </w:rPr>
        <w:t>1</w:t>
      </w:r>
      <w:r w:rsidRPr="00061430">
        <w:rPr>
          <w:rFonts w:ascii="Work Sans" w:hAnsi="Work Sans"/>
          <w:b/>
          <w:sz w:val="20"/>
        </w:rPr>
        <w:tab/>
      </w:r>
      <w:r>
        <w:rPr>
          <w:rFonts w:ascii="Work Sans" w:hAnsi="Work Sans"/>
          <w:b/>
          <w:sz w:val="20"/>
        </w:rPr>
        <w:t xml:space="preserve">Proposed </w:t>
      </w:r>
      <w:r w:rsidR="0061138A">
        <w:rPr>
          <w:rFonts w:ascii="Work Sans" w:hAnsi="Work Sans"/>
          <w:b/>
          <w:sz w:val="20"/>
        </w:rPr>
        <w:t>police regression</w:t>
      </w:r>
      <w:r w:rsidRPr="00061430">
        <w:rPr>
          <w:rFonts w:ascii="Work Sans" w:hAnsi="Work Sans"/>
          <w:b/>
          <w:sz w:val="20"/>
        </w:rPr>
        <w:t>, 2022</w:t>
      </w:r>
      <w:r w:rsidR="00B17FEC">
        <w:rPr>
          <w:rFonts w:ascii="Work Sans" w:hAnsi="Work Sans"/>
          <w:b/>
          <w:sz w:val="20"/>
        </w:rPr>
        <w:t>–</w:t>
      </w:r>
      <w:r w:rsidRPr="00061430">
        <w:rPr>
          <w:rFonts w:ascii="Work Sans" w:hAnsi="Work Sans"/>
          <w:b/>
          <w:sz w:val="20"/>
        </w:rPr>
        <w:t>23 and 2023</w:t>
      </w:r>
      <w:r w:rsidR="00B17FEC">
        <w:rPr>
          <w:rFonts w:ascii="Work Sans" w:hAnsi="Work Sans"/>
          <w:b/>
          <w:sz w:val="20"/>
        </w:rPr>
        <w:t>–</w:t>
      </w:r>
      <w:r w:rsidRPr="00061430">
        <w:rPr>
          <w:rFonts w:ascii="Work Sans" w:hAnsi="Work Sans"/>
          <w:b/>
          <w:sz w:val="20"/>
        </w:rPr>
        <w:t>24</w:t>
      </w:r>
    </w:p>
    <w:tbl>
      <w:tblPr>
        <w:tblW w:w="8940" w:type="dxa"/>
        <w:tblLayout w:type="fixed"/>
        <w:tblLook w:val="04A0" w:firstRow="1" w:lastRow="0" w:firstColumn="1" w:lastColumn="0" w:noHBand="0" w:noVBand="1"/>
      </w:tblPr>
      <w:tblGrid>
        <w:gridCol w:w="5200"/>
        <w:gridCol w:w="960"/>
        <w:gridCol w:w="1480"/>
        <w:gridCol w:w="1300"/>
      </w:tblGrid>
      <w:tr w:rsidR="00B76E7B" w:rsidRPr="00DB1525" w14:paraId="407AF446" w14:textId="77777777" w:rsidTr="00B76E7B">
        <w:trPr>
          <w:trHeight w:val="381"/>
        </w:trPr>
        <w:tc>
          <w:tcPr>
            <w:tcW w:w="5200" w:type="dxa"/>
            <w:tcBorders>
              <w:left w:val="nil"/>
              <w:bottom w:val="single" w:sz="4" w:space="0" w:color="ADD6EA"/>
              <w:right w:val="nil"/>
            </w:tcBorders>
            <w:shd w:val="clear" w:color="000000" w:fill="006991"/>
            <w:vAlign w:val="center"/>
            <w:hideMark/>
          </w:tcPr>
          <w:p w14:paraId="02DDFEF9" w14:textId="77777777" w:rsidR="00DB1525" w:rsidRPr="00DB1525" w:rsidRDefault="00DB1525" w:rsidP="001D657E">
            <w:pPr>
              <w:keepNext/>
              <w:keepLines/>
              <w:spacing w:after="0" w:line="240" w:lineRule="auto"/>
              <w:rPr>
                <w:rFonts w:ascii="Open Sans Semibold" w:eastAsia="Times New Roman" w:hAnsi="Open Sans Semibold" w:cs="Open Sans Semibold"/>
                <w:color w:val="FFFFFF"/>
                <w:sz w:val="16"/>
                <w:szCs w:val="16"/>
                <w:lang w:eastAsia="en-AU"/>
              </w:rPr>
            </w:pPr>
            <w:r w:rsidRPr="00DB1525">
              <w:rPr>
                <w:rFonts w:ascii="Open Sans Semibold" w:eastAsia="Times New Roman" w:hAnsi="Open Sans Semibold" w:cs="Open Sans Semibold"/>
                <w:color w:val="FFFFFF"/>
                <w:sz w:val="16"/>
                <w:szCs w:val="16"/>
                <w:lang w:eastAsia="en-AU"/>
              </w:rPr>
              <w:t> </w:t>
            </w:r>
          </w:p>
        </w:tc>
        <w:tc>
          <w:tcPr>
            <w:tcW w:w="960" w:type="dxa"/>
            <w:tcBorders>
              <w:left w:val="nil"/>
              <w:bottom w:val="single" w:sz="4" w:space="0" w:color="ADD6EA"/>
              <w:right w:val="nil"/>
            </w:tcBorders>
            <w:shd w:val="clear" w:color="000000" w:fill="006991"/>
            <w:vAlign w:val="center"/>
            <w:hideMark/>
          </w:tcPr>
          <w:p w14:paraId="198B5254" w14:textId="77777777" w:rsidR="00DB1525" w:rsidRPr="00DB1525" w:rsidRDefault="00DB1525" w:rsidP="001D657E">
            <w:pPr>
              <w:keepNext/>
              <w:keepLines/>
              <w:spacing w:after="0" w:line="240" w:lineRule="auto"/>
              <w:jc w:val="right"/>
              <w:rPr>
                <w:rFonts w:ascii="Open Sans Semibold" w:eastAsia="Times New Roman" w:hAnsi="Open Sans Semibold" w:cs="Open Sans Semibold"/>
                <w:color w:val="FFFFFF"/>
                <w:sz w:val="16"/>
                <w:szCs w:val="16"/>
                <w:lang w:eastAsia="en-AU"/>
              </w:rPr>
            </w:pPr>
            <w:r w:rsidRPr="00DB1525">
              <w:rPr>
                <w:rFonts w:ascii="Open Sans Semibold" w:eastAsia="Times New Roman" w:hAnsi="Open Sans Semibold" w:cs="Open Sans Semibold"/>
                <w:color w:val="FFFFFF"/>
                <w:sz w:val="16"/>
                <w:szCs w:val="16"/>
                <w:lang w:eastAsia="en-AU"/>
              </w:rPr>
              <w:t>Estimate</w:t>
            </w:r>
          </w:p>
        </w:tc>
        <w:tc>
          <w:tcPr>
            <w:tcW w:w="1480" w:type="dxa"/>
            <w:tcBorders>
              <w:left w:val="nil"/>
              <w:bottom w:val="single" w:sz="4" w:space="0" w:color="ADD6EA"/>
              <w:right w:val="nil"/>
            </w:tcBorders>
            <w:shd w:val="clear" w:color="000000" w:fill="006991"/>
            <w:vAlign w:val="center"/>
            <w:hideMark/>
          </w:tcPr>
          <w:p w14:paraId="10E21904" w14:textId="77777777" w:rsidR="00DB1525" w:rsidRPr="00DB1525" w:rsidRDefault="00DB1525" w:rsidP="001D657E">
            <w:pPr>
              <w:keepNext/>
              <w:keepLines/>
              <w:spacing w:after="0" w:line="240" w:lineRule="auto"/>
              <w:jc w:val="right"/>
              <w:rPr>
                <w:rFonts w:ascii="Open Sans Semibold" w:eastAsia="Times New Roman" w:hAnsi="Open Sans Semibold" w:cs="Open Sans Semibold"/>
                <w:color w:val="FFFFFF"/>
                <w:sz w:val="16"/>
                <w:szCs w:val="16"/>
                <w:lang w:eastAsia="en-AU"/>
              </w:rPr>
            </w:pPr>
            <w:r w:rsidRPr="00DB1525">
              <w:rPr>
                <w:rFonts w:ascii="Open Sans Semibold" w:eastAsia="Times New Roman" w:hAnsi="Open Sans Semibold" w:cs="Open Sans Semibold"/>
                <w:color w:val="FFFFFF"/>
                <w:sz w:val="16"/>
                <w:szCs w:val="16"/>
                <w:lang w:eastAsia="en-AU"/>
              </w:rPr>
              <w:t>Standard error</w:t>
            </w:r>
          </w:p>
        </w:tc>
        <w:tc>
          <w:tcPr>
            <w:tcW w:w="1300" w:type="dxa"/>
            <w:tcBorders>
              <w:left w:val="nil"/>
              <w:bottom w:val="single" w:sz="4" w:space="0" w:color="ADD6EA"/>
              <w:right w:val="nil"/>
            </w:tcBorders>
            <w:shd w:val="clear" w:color="000000" w:fill="006991"/>
            <w:vAlign w:val="center"/>
            <w:hideMark/>
          </w:tcPr>
          <w:p w14:paraId="4CE67748" w14:textId="77777777" w:rsidR="00DB1525" w:rsidRPr="00DB1525" w:rsidRDefault="00DB1525" w:rsidP="001D657E">
            <w:pPr>
              <w:keepNext/>
              <w:keepLines/>
              <w:spacing w:after="0" w:line="240" w:lineRule="auto"/>
              <w:jc w:val="right"/>
              <w:rPr>
                <w:rFonts w:ascii="Open Sans Semibold" w:eastAsia="Times New Roman" w:hAnsi="Open Sans Semibold" w:cs="Open Sans Semibold"/>
                <w:color w:val="FFFFFF"/>
                <w:sz w:val="16"/>
                <w:szCs w:val="16"/>
                <w:lang w:eastAsia="en-AU"/>
              </w:rPr>
            </w:pPr>
            <w:r w:rsidRPr="00DB1525">
              <w:rPr>
                <w:rFonts w:ascii="Open Sans Semibold" w:eastAsia="Times New Roman" w:hAnsi="Open Sans Semibold" w:cs="Open Sans Semibold"/>
                <w:color w:val="FFFFFF"/>
                <w:sz w:val="16"/>
                <w:szCs w:val="16"/>
                <w:lang w:eastAsia="en-AU"/>
              </w:rPr>
              <w:t>Significance</w:t>
            </w:r>
          </w:p>
        </w:tc>
      </w:tr>
      <w:tr w:rsidR="00B76E7B" w:rsidRPr="00DB1525" w14:paraId="6CA3E495" w14:textId="77777777" w:rsidTr="00B76E7B">
        <w:trPr>
          <w:trHeight w:val="321"/>
        </w:trPr>
        <w:tc>
          <w:tcPr>
            <w:tcW w:w="5200" w:type="dxa"/>
            <w:tcBorders>
              <w:top w:val="single" w:sz="4" w:space="0" w:color="ADD6EA"/>
              <w:left w:val="nil"/>
              <w:bottom w:val="single" w:sz="4" w:space="0" w:color="ADD6EA"/>
              <w:right w:val="nil"/>
            </w:tcBorders>
            <w:shd w:val="clear" w:color="000000" w:fill="FFFFFF"/>
            <w:vAlign w:val="bottom"/>
            <w:hideMark/>
          </w:tcPr>
          <w:p w14:paraId="47FA0994" w14:textId="77777777" w:rsidR="00DB1525" w:rsidRPr="00DB1525" w:rsidRDefault="00DB1525" w:rsidP="001D657E">
            <w:pPr>
              <w:keepNext/>
              <w:keepLines/>
              <w:spacing w:after="0" w:line="240" w:lineRule="auto"/>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 xml:space="preserve">Intercept  </w:t>
            </w:r>
          </w:p>
        </w:tc>
        <w:tc>
          <w:tcPr>
            <w:tcW w:w="960" w:type="dxa"/>
            <w:tcBorders>
              <w:top w:val="single" w:sz="4" w:space="0" w:color="ADD6EA"/>
              <w:left w:val="nil"/>
              <w:bottom w:val="single" w:sz="4" w:space="0" w:color="ADD6EA"/>
              <w:right w:val="nil"/>
            </w:tcBorders>
            <w:shd w:val="clear" w:color="000000" w:fill="FFFFFF"/>
            <w:vAlign w:val="bottom"/>
            <w:hideMark/>
          </w:tcPr>
          <w:p w14:paraId="5E4E5F09"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254</w:t>
            </w:r>
          </w:p>
        </w:tc>
        <w:tc>
          <w:tcPr>
            <w:tcW w:w="1480" w:type="dxa"/>
            <w:tcBorders>
              <w:top w:val="single" w:sz="4" w:space="0" w:color="ADD6EA"/>
              <w:left w:val="nil"/>
              <w:bottom w:val="single" w:sz="4" w:space="0" w:color="ADD6EA"/>
              <w:right w:val="nil"/>
            </w:tcBorders>
            <w:shd w:val="clear" w:color="000000" w:fill="FFFFFF"/>
            <w:vAlign w:val="bottom"/>
            <w:hideMark/>
          </w:tcPr>
          <w:p w14:paraId="7FA0C82A"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26</w:t>
            </w:r>
          </w:p>
        </w:tc>
        <w:tc>
          <w:tcPr>
            <w:tcW w:w="1300" w:type="dxa"/>
            <w:tcBorders>
              <w:top w:val="single" w:sz="4" w:space="0" w:color="ADD6EA"/>
              <w:left w:val="nil"/>
              <w:bottom w:val="single" w:sz="4" w:space="0" w:color="ADD6EA"/>
              <w:right w:val="nil"/>
            </w:tcBorders>
            <w:shd w:val="clear" w:color="000000" w:fill="FFFFFF"/>
            <w:vAlign w:val="bottom"/>
            <w:hideMark/>
          </w:tcPr>
          <w:p w14:paraId="562BE2AD"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w:t>
            </w:r>
          </w:p>
        </w:tc>
      </w:tr>
      <w:tr w:rsidR="00B76E7B" w:rsidRPr="00DB1525" w14:paraId="6D126F7B" w14:textId="77777777" w:rsidTr="00B76E7B">
        <w:trPr>
          <w:trHeight w:val="321"/>
        </w:trPr>
        <w:tc>
          <w:tcPr>
            <w:tcW w:w="5200" w:type="dxa"/>
            <w:tcBorders>
              <w:top w:val="single" w:sz="4" w:space="0" w:color="ADD6EA"/>
              <w:left w:val="nil"/>
              <w:bottom w:val="single" w:sz="4" w:space="0" w:color="ADD6EA"/>
              <w:right w:val="nil"/>
            </w:tcBorders>
            <w:shd w:val="clear" w:color="000000" w:fill="FFFFFF"/>
            <w:vAlign w:val="bottom"/>
            <w:hideMark/>
          </w:tcPr>
          <w:p w14:paraId="66850AE2" w14:textId="77777777" w:rsidR="00DB1525" w:rsidRPr="00DB1525" w:rsidRDefault="00DB1525" w:rsidP="001D657E">
            <w:pPr>
              <w:keepNext/>
              <w:keepLines/>
              <w:spacing w:after="0" w:line="240" w:lineRule="auto"/>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 xml:space="preserve">Inner regional         </w:t>
            </w:r>
          </w:p>
        </w:tc>
        <w:tc>
          <w:tcPr>
            <w:tcW w:w="960" w:type="dxa"/>
            <w:tcBorders>
              <w:top w:val="single" w:sz="4" w:space="0" w:color="ADD6EA"/>
              <w:left w:val="nil"/>
              <w:bottom w:val="single" w:sz="4" w:space="0" w:color="ADD6EA"/>
              <w:right w:val="nil"/>
            </w:tcBorders>
            <w:shd w:val="clear" w:color="000000" w:fill="FFFFFF"/>
            <w:vAlign w:val="bottom"/>
            <w:hideMark/>
          </w:tcPr>
          <w:p w14:paraId="18FF6987"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164</w:t>
            </w:r>
          </w:p>
        </w:tc>
        <w:tc>
          <w:tcPr>
            <w:tcW w:w="1480" w:type="dxa"/>
            <w:tcBorders>
              <w:top w:val="single" w:sz="4" w:space="0" w:color="ADD6EA"/>
              <w:left w:val="nil"/>
              <w:bottom w:val="single" w:sz="4" w:space="0" w:color="ADD6EA"/>
              <w:right w:val="nil"/>
            </w:tcBorders>
            <w:shd w:val="clear" w:color="000000" w:fill="FFFFFF"/>
            <w:vAlign w:val="bottom"/>
            <w:hideMark/>
          </w:tcPr>
          <w:p w14:paraId="19802953"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42</w:t>
            </w:r>
          </w:p>
        </w:tc>
        <w:tc>
          <w:tcPr>
            <w:tcW w:w="1300" w:type="dxa"/>
            <w:tcBorders>
              <w:top w:val="single" w:sz="4" w:space="0" w:color="ADD6EA"/>
              <w:left w:val="nil"/>
              <w:bottom w:val="single" w:sz="4" w:space="0" w:color="ADD6EA"/>
              <w:right w:val="nil"/>
            </w:tcBorders>
            <w:shd w:val="clear" w:color="000000" w:fill="FFFFFF"/>
            <w:vAlign w:val="bottom"/>
            <w:hideMark/>
          </w:tcPr>
          <w:p w14:paraId="64BE215A"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w:t>
            </w:r>
          </w:p>
        </w:tc>
      </w:tr>
      <w:tr w:rsidR="00B76E7B" w:rsidRPr="00DB1525" w14:paraId="4B5C1D08" w14:textId="77777777" w:rsidTr="00B76E7B">
        <w:trPr>
          <w:trHeight w:val="321"/>
        </w:trPr>
        <w:tc>
          <w:tcPr>
            <w:tcW w:w="5200" w:type="dxa"/>
            <w:tcBorders>
              <w:top w:val="single" w:sz="4" w:space="0" w:color="ADD6EA"/>
              <w:left w:val="nil"/>
              <w:bottom w:val="single" w:sz="4" w:space="0" w:color="ADD6EA"/>
              <w:right w:val="nil"/>
            </w:tcBorders>
            <w:shd w:val="clear" w:color="000000" w:fill="FFFFFF"/>
            <w:vAlign w:val="bottom"/>
            <w:hideMark/>
          </w:tcPr>
          <w:p w14:paraId="774BB033" w14:textId="77777777" w:rsidR="00DB1525" w:rsidRPr="00DB1525" w:rsidRDefault="00DB1525" w:rsidP="001D657E">
            <w:pPr>
              <w:keepNext/>
              <w:keepLines/>
              <w:spacing w:after="0" w:line="240" w:lineRule="auto"/>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 xml:space="preserve">Outer regional </w:t>
            </w:r>
          </w:p>
        </w:tc>
        <w:tc>
          <w:tcPr>
            <w:tcW w:w="960" w:type="dxa"/>
            <w:tcBorders>
              <w:top w:val="single" w:sz="4" w:space="0" w:color="ADD6EA"/>
              <w:left w:val="nil"/>
              <w:bottom w:val="single" w:sz="4" w:space="0" w:color="ADD6EA"/>
              <w:right w:val="nil"/>
            </w:tcBorders>
            <w:shd w:val="clear" w:color="000000" w:fill="FFFFFF"/>
            <w:vAlign w:val="bottom"/>
            <w:hideMark/>
          </w:tcPr>
          <w:p w14:paraId="2DB391BC"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287</w:t>
            </w:r>
          </w:p>
        </w:tc>
        <w:tc>
          <w:tcPr>
            <w:tcW w:w="1480" w:type="dxa"/>
            <w:tcBorders>
              <w:top w:val="single" w:sz="4" w:space="0" w:color="ADD6EA"/>
              <w:left w:val="nil"/>
              <w:bottom w:val="single" w:sz="4" w:space="0" w:color="ADD6EA"/>
              <w:right w:val="nil"/>
            </w:tcBorders>
            <w:shd w:val="clear" w:color="000000" w:fill="FFFFFF"/>
            <w:vAlign w:val="bottom"/>
            <w:hideMark/>
          </w:tcPr>
          <w:p w14:paraId="5CEAA0DA"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62</w:t>
            </w:r>
          </w:p>
        </w:tc>
        <w:tc>
          <w:tcPr>
            <w:tcW w:w="1300" w:type="dxa"/>
            <w:tcBorders>
              <w:top w:val="single" w:sz="4" w:space="0" w:color="ADD6EA"/>
              <w:left w:val="nil"/>
              <w:bottom w:val="single" w:sz="4" w:space="0" w:color="ADD6EA"/>
              <w:right w:val="nil"/>
            </w:tcBorders>
            <w:shd w:val="clear" w:color="000000" w:fill="FFFFFF"/>
            <w:vAlign w:val="bottom"/>
            <w:hideMark/>
          </w:tcPr>
          <w:p w14:paraId="3029B6F2"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w:t>
            </w:r>
          </w:p>
        </w:tc>
      </w:tr>
      <w:tr w:rsidR="00B76E7B" w:rsidRPr="00DB1525" w14:paraId="0807DB0B" w14:textId="77777777" w:rsidTr="00B76E7B">
        <w:trPr>
          <w:trHeight w:val="321"/>
        </w:trPr>
        <w:tc>
          <w:tcPr>
            <w:tcW w:w="5200" w:type="dxa"/>
            <w:tcBorders>
              <w:top w:val="single" w:sz="4" w:space="0" w:color="ADD6EA"/>
              <w:left w:val="nil"/>
              <w:bottom w:val="single" w:sz="4" w:space="0" w:color="ADD6EA"/>
              <w:right w:val="nil"/>
            </w:tcBorders>
            <w:shd w:val="clear" w:color="000000" w:fill="FFFFFF"/>
            <w:vAlign w:val="bottom"/>
            <w:hideMark/>
          </w:tcPr>
          <w:p w14:paraId="27D2A1CF" w14:textId="77777777" w:rsidR="00DB1525" w:rsidRPr="00DB1525" w:rsidRDefault="00DB1525" w:rsidP="001D657E">
            <w:pPr>
              <w:keepNext/>
              <w:keepLines/>
              <w:spacing w:after="0" w:line="240" w:lineRule="auto"/>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 xml:space="preserve">All remote  </w:t>
            </w:r>
          </w:p>
        </w:tc>
        <w:tc>
          <w:tcPr>
            <w:tcW w:w="960" w:type="dxa"/>
            <w:tcBorders>
              <w:top w:val="single" w:sz="4" w:space="0" w:color="ADD6EA"/>
              <w:left w:val="nil"/>
              <w:bottom w:val="single" w:sz="4" w:space="0" w:color="ADD6EA"/>
              <w:right w:val="nil"/>
            </w:tcBorders>
            <w:shd w:val="clear" w:color="000000" w:fill="FFFFFF"/>
            <w:vAlign w:val="bottom"/>
            <w:hideMark/>
          </w:tcPr>
          <w:p w14:paraId="56965D3C"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1,193</w:t>
            </w:r>
          </w:p>
        </w:tc>
        <w:tc>
          <w:tcPr>
            <w:tcW w:w="1480" w:type="dxa"/>
            <w:tcBorders>
              <w:top w:val="single" w:sz="4" w:space="0" w:color="ADD6EA"/>
              <w:left w:val="nil"/>
              <w:bottom w:val="single" w:sz="4" w:space="0" w:color="ADD6EA"/>
              <w:right w:val="nil"/>
            </w:tcBorders>
            <w:shd w:val="clear" w:color="000000" w:fill="FFFFFF"/>
            <w:vAlign w:val="bottom"/>
            <w:hideMark/>
          </w:tcPr>
          <w:p w14:paraId="6183BB3C"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144</w:t>
            </w:r>
          </w:p>
        </w:tc>
        <w:tc>
          <w:tcPr>
            <w:tcW w:w="1300" w:type="dxa"/>
            <w:tcBorders>
              <w:top w:val="single" w:sz="4" w:space="0" w:color="ADD6EA"/>
              <w:left w:val="nil"/>
              <w:bottom w:val="single" w:sz="4" w:space="0" w:color="ADD6EA"/>
              <w:right w:val="nil"/>
            </w:tcBorders>
            <w:shd w:val="clear" w:color="000000" w:fill="FFFFFF"/>
            <w:vAlign w:val="bottom"/>
            <w:hideMark/>
          </w:tcPr>
          <w:p w14:paraId="15B2D0FB"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w:t>
            </w:r>
          </w:p>
        </w:tc>
      </w:tr>
      <w:tr w:rsidR="00B76E7B" w:rsidRPr="00DB1525" w14:paraId="7B8B737A" w14:textId="77777777" w:rsidTr="00B76E7B">
        <w:trPr>
          <w:trHeight w:val="321"/>
        </w:trPr>
        <w:tc>
          <w:tcPr>
            <w:tcW w:w="5200" w:type="dxa"/>
            <w:tcBorders>
              <w:top w:val="single" w:sz="4" w:space="0" w:color="ADD6EA"/>
              <w:left w:val="nil"/>
              <w:bottom w:val="single" w:sz="4" w:space="0" w:color="ADD6EA"/>
              <w:right w:val="nil"/>
            </w:tcBorders>
            <w:shd w:val="clear" w:color="000000" w:fill="FFFFFF"/>
            <w:vAlign w:val="bottom"/>
            <w:hideMark/>
          </w:tcPr>
          <w:p w14:paraId="306AEEC4" w14:textId="77777777" w:rsidR="00DB1525" w:rsidRPr="00DB1525" w:rsidRDefault="00DB1525" w:rsidP="001D657E">
            <w:pPr>
              <w:keepNext/>
              <w:keepLines/>
              <w:spacing w:after="0" w:line="240" w:lineRule="auto"/>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Offenders</w:t>
            </w:r>
          </w:p>
        </w:tc>
        <w:tc>
          <w:tcPr>
            <w:tcW w:w="960" w:type="dxa"/>
            <w:tcBorders>
              <w:top w:val="single" w:sz="4" w:space="0" w:color="ADD6EA"/>
              <w:left w:val="nil"/>
              <w:bottom w:val="single" w:sz="4" w:space="0" w:color="ADD6EA"/>
              <w:right w:val="nil"/>
            </w:tcBorders>
            <w:shd w:val="clear" w:color="000000" w:fill="FFFFFF"/>
            <w:vAlign w:val="bottom"/>
            <w:hideMark/>
          </w:tcPr>
          <w:p w14:paraId="1156B0C5"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9,770</w:t>
            </w:r>
          </w:p>
        </w:tc>
        <w:tc>
          <w:tcPr>
            <w:tcW w:w="1480" w:type="dxa"/>
            <w:tcBorders>
              <w:top w:val="single" w:sz="4" w:space="0" w:color="ADD6EA"/>
              <w:left w:val="nil"/>
              <w:bottom w:val="single" w:sz="4" w:space="0" w:color="ADD6EA"/>
              <w:right w:val="nil"/>
            </w:tcBorders>
            <w:shd w:val="clear" w:color="000000" w:fill="FFFFFF"/>
            <w:vAlign w:val="bottom"/>
            <w:hideMark/>
          </w:tcPr>
          <w:p w14:paraId="45C827B2"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1,015</w:t>
            </w:r>
          </w:p>
        </w:tc>
        <w:tc>
          <w:tcPr>
            <w:tcW w:w="1300" w:type="dxa"/>
            <w:tcBorders>
              <w:top w:val="single" w:sz="4" w:space="0" w:color="ADD6EA"/>
              <w:left w:val="nil"/>
              <w:bottom w:val="single" w:sz="4" w:space="0" w:color="ADD6EA"/>
              <w:right w:val="nil"/>
            </w:tcBorders>
            <w:shd w:val="clear" w:color="000000" w:fill="FFFFFF"/>
            <w:vAlign w:val="bottom"/>
            <w:hideMark/>
          </w:tcPr>
          <w:p w14:paraId="2AA79EFF"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w:t>
            </w:r>
          </w:p>
        </w:tc>
      </w:tr>
      <w:tr w:rsidR="00B76E7B" w:rsidRPr="00DB1525" w14:paraId="60046819" w14:textId="77777777" w:rsidTr="00B76E7B">
        <w:trPr>
          <w:trHeight w:val="321"/>
        </w:trPr>
        <w:tc>
          <w:tcPr>
            <w:tcW w:w="5200" w:type="dxa"/>
            <w:tcBorders>
              <w:top w:val="single" w:sz="4" w:space="0" w:color="ADD6EA"/>
              <w:left w:val="nil"/>
              <w:bottom w:val="single" w:sz="4" w:space="0" w:color="ADD6EA"/>
              <w:right w:val="nil"/>
            </w:tcBorders>
            <w:shd w:val="clear" w:color="000000" w:fill="FFFFFF"/>
            <w:vAlign w:val="bottom"/>
            <w:hideMark/>
          </w:tcPr>
          <w:p w14:paraId="2FD9FD2B" w14:textId="77777777" w:rsidR="00DB1525" w:rsidRPr="00DB1525" w:rsidRDefault="00DB1525" w:rsidP="001D657E">
            <w:pPr>
              <w:keepNext/>
              <w:keepLines/>
              <w:spacing w:after="0" w:line="240" w:lineRule="auto"/>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 </w:t>
            </w:r>
          </w:p>
        </w:tc>
        <w:tc>
          <w:tcPr>
            <w:tcW w:w="960" w:type="dxa"/>
            <w:tcBorders>
              <w:top w:val="single" w:sz="4" w:space="0" w:color="ADD6EA"/>
              <w:left w:val="nil"/>
              <w:bottom w:val="single" w:sz="4" w:space="0" w:color="ADD6EA"/>
              <w:right w:val="nil"/>
            </w:tcBorders>
            <w:shd w:val="clear" w:color="000000" w:fill="FFFFFF"/>
            <w:vAlign w:val="bottom"/>
            <w:hideMark/>
          </w:tcPr>
          <w:p w14:paraId="58D2192F"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 </w:t>
            </w:r>
          </w:p>
        </w:tc>
        <w:tc>
          <w:tcPr>
            <w:tcW w:w="1480" w:type="dxa"/>
            <w:tcBorders>
              <w:top w:val="single" w:sz="4" w:space="0" w:color="ADD6EA"/>
              <w:left w:val="nil"/>
              <w:bottom w:val="single" w:sz="4" w:space="0" w:color="ADD6EA"/>
              <w:right w:val="nil"/>
            </w:tcBorders>
            <w:shd w:val="clear" w:color="000000" w:fill="FFFFFF"/>
            <w:vAlign w:val="bottom"/>
            <w:hideMark/>
          </w:tcPr>
          <w:p w14:paraId="0F1D139E"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 </w:t>
            </w:r>
          </w:p>
        </w:tc>
        <w:tc>
          <w:tcPr>
            <w:tcW w:w="1300" w:type="dxa"/>
            <w:tcBorders>
              <w:top w:val="single" w:sz="4" w:space="0" w:color="ADD6EA"/>
              <w:left w:val="nil"/>
              <w:bottom w:val="single" w:sz="4" w:space="0" w:color="ADD6EA"/>
              <w:right w:val="nil"/>
            </w:tcBorders>
            <w:shd w:val="clear" w:color="000000" w:fill="FFFFFF"/>
            <w:vAlign w:val="bottom"/>
            <w:hideMark/>
          </w:tcPr>
          <w:p w14:paraId="69864B52"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 </w:t>
            </w:r>
          </w:p>
        </w:tc>
      </w:tr>
      <w:tr w:rsidR="00B76E7B" w:rsidRPr="00DB1525" w14:paraId="0970943B" w14:textId="77777777" w:rsidTr="00B76E7B">
        <w:trPr>
          <w:trHeight w:val="321"/>
        </w:trPr>
        <w:tc>
          <w:tcPr>
            <w:tcW w:w="5200" w:type="dxa"/>
            <w:tcBorders>
              <w:top w:val="single" w:sz="4" w:space="0" w:color="ADD6EA"/>
              <w:left w:val="nil"/>
              <w:bottom w:val="nil"/>
              <w:right w:val="nil"/>
            </w:tcBorders>
            <w:shd w:val="clear" w:color="000000" w:fill="FFFFFF"/>
            <w:vAlign w:val="bottom"/>
            <w:hideMark/>
          </w:tcPr>
          <w:p w14:paraId="241A62B9" w14:textId="13FA27DF" w:rsidR="00DB1525" w:rsidRPr="00DB1525" w:rsidRDefault="00DB1525" w:rsidP="001D657E">
            <w:pPr>
              <w:keepNext/>
              <w:keepLines/>
              <w:spacing w:after="0" w:line="240" w:lineRule="auto"/>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Adjusted R</w:t>
            </w:r>
            <w:r w:rsidR="007779C0">
              <w:rPr>
                <w:rFonts w:ascii="Open Sans Light" w:eastAsia="Times New Roman" w:hAnsi="Open Sans Light" w:cs="Open Sans Light"/>
                <w:color w:val="000000"/>
                <w:sz w:val="16"/>
                <w:szCs w:val="16"/>
                <w:lang w:eastAsia="en-AU"/>
              </w:rPr>
              <w:t>-</w:t>
            </w:r>
            <w:r w:rsidRPr="00DB1525">
              <w:rPr>
                <w:rFonts w:ascii="Open Sans Light" w:eastAsia="Times New Roman" w:hAnsi="Open Sans Light" w:cs="Open Sans Light"/>
                <w:color w:val="000000"/>
                <w:sz w:val="16"/>
                <w:szCs w:val="16"/>
                <w:lang w:eastAsia="en-AU"/>
              </w:rPr>
              <w:t>squared</w:t>
            </w:r>
          </w:p>
        </w:tc>
        <w:tc>
          <w:tcPr>
            <w:tcW w:w="960" w:type="dxa"/>
            <w:tcBorders>
              <w:top w:val="single" w:sz="4" w:space="0" w:color="ADD6EA"/>
              <w:left w:val="nil"/>
              <w:bottom w:val="nil"/>
              <w:right w:val="nil"/>
            </w:tcBorders>
            <w:shd w:val="clear" w:color="000000" w:fill="FFFFFF"/>
            <w:vAlign w:val="bottom"/>
            <w:hideMark/>
          </w:tcPr>
          <w:p w14:paraId="234A0C4E" w14:textId="04DE0123" w:rsidR="00DB1525" w:rsidRPr="00DB1525" w:rsidRDefault="00C60028"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C60028">
              <w:rPr>
                <w:rFonts w:ascii="Open Sans Light" w:eastAsia="Times New Roman" w:hAnsi="Open Sans Light" w:cs="Open Sans Light"/>
                <w:color w:val="000000"/>
                <w:sz w:val="16"/>
                <w:szCs w:val="16"/>
                <w:lang w:eastAsia="en-AU"/>
              </w:rPr>
              <w:t>0.735</w:t>
            </w:r>
          </w:p>
        </w:tc>
        <w:tc>
          <w:tcPr>
            <w:tcW w:w="1480" w:type="dxa"/>
            <w:tcBorders>
              <w:top w:val="single" w:sz="4" w:space="0" w:color="ADD6EA"/>
              <w:left w:val="nil"/>
              <w:bottom w:val="nil"/>
              <w:right w:val="nil"/>
            </w:tcBorders>
            <w:shd w:val="clear" w:color="000000" w:fill="FFFFFF"/>
            <w:vAlign w:val="bottom"/>
            <w:hideMark/>
          </w:tcPr>
          <w:p w14:paraId="6AC6CF8B"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 </w:t>
            </w:r>
          </w:p>
        </w:tc>
        <w:tc>
          <w:tcPr>
            <w:tcW w:w="1300" w:type="dxa"/>
            <w:tcBorders>
              <w:top w:val="single" w:sz="4" w:space="0" w:color="ADD6EA"/>
              <w:left w:val="nil"/>
              <w:bottom w:val="nil"/>
              <w:right w:val="nil"/>
            </w:tcBorders>
            <w:shd w:val="clear" w:color="000000" w:fill="FFFFFF"/>
            <w:vAlign w:val="bottom"/>
            <w:hideMark/>
          </w:tcPr>
          <w:p w14:paraId="68150513"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 </w:t>
            </w:r>
          </w:p>
        </w:tc>
      </w:tr>
      <w:tr w:rsidR="00DB1525" w:rsidRPr="00DB1525" w14:paraId="3C4AF352" w14:textId="77777777" w:rsidTr="00DB1525">
        <w:trPr>
          <w:trHeight w:val="321"/>
        </w:trPr>
        <w:tc>
          <w:tcPr>
            <w:tcW w:w="5200" w:type="dxa"/>
            <w:tcBorders>
              <w:top w:val="single" w:sz="4" w:space="0" w:color="ADD6EA"/>
              <w:left w:val="nil"/>
              <w:bottom w:val="single" w:sz="4" w:space="0" w:color="ADD6EA"/>
              <w:right w:val="nil"/>
            </w:tcBorders>
            <w:shd w:val="clear" w:color="000000" w:fill="FFFFFF"/>
            <w:vAlign w:val="bottom"/>
            <w:hideMark/>
          </w:tcPr>
          <w:p w14:paraId="3EF3453E" w14:textId="77777777" w:rsidR="00DB1525" w:rsidRPr="00DB1525" w:rsidRDefault="00DB1525" w:rsidP="001D657E">
            <w:pPr>
              <w:keepNext/>
              <w:keepLines/>
              <w:spacing w:after="0" w:line="240" w:lineRule="auto"/>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Sample size</w:t>
            </w:r>
          </w:p>
        </w:tc>
        <w:tc>
          <w:tcPr>
            <w:tcW w:w="960" w:type="dxa"/>
            <w:tcBorders>
              <w:top w:val="single" w:sz="4" w:space="0" w:color="ADD6EA"/>
              <w:left w:val="nil"/>
              <w:bottom w:val="single" w:sz="4" w:space="0" w:color="ADD6EA"/>
              <w:right w:val="nil"/>
            </w:tcBorders>
            <w:shd w:val="clear" w:color="000000" w:fill="FFFFFF"/>
            <w:vAlign w:val="bottom"/>
            <w:hideMark/>
          </w:tcPr>
          <w:p w14:paraId="15B44301"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152</w:t>
            </w:r>
          </w:p>
        </w:tc>
        <w:tc>
          <w:tcPr>
            <w:tcW w:w="1480" w:type="dxa"/>
            <w:tcBorders>
              <w:top w:val="single" w:sz="4" w:space="0" w:color="ADD6EA"/>
              <w:left w:val="nil"/>
              <w:bottom w:val="single" w:sz="4" w:space="0" w:color="ADD6EA"/>
              <w:right w:val="nil"/>
            </w:tcBorders>
            <w:shd w:val="clear" w:color="000000" w:fill="FFFFFF"/>
            <w:vAlign w:val="bottom"/>
            <w:hideMark/>
          </w:tcPr>
          <w:p w14:paraId="3F7B2AEC"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 </w:t>
            </w:r>
          </w:p>
        </w:tc>
        <w:tc>
          <w:tcPr>
            <w:tcW w:w="1300" w:type="dxa"/>
            <w:tcBorders>
              <w:top w:val="single" w:sz="4" w:space="0" w:color="ADD6EA"/>
              <w:left w:val="nil"/>
              <w:bottom w:val="single" w:sz="4" w:space="0" w:color="ADD6EA"/>
              <w:right w:val="nil"/>
            </w:tcBorders>
            <w:shd w:val="clear" w:color="000000" w:fill="FFFFFF"/>
            <w:vAlign w:val="bottom"/>
            <w:hideMark/>
          </w:tcPr>
          <w:p w14:paraId="732A63FE" w14:textId="77777777" w:rsidR="00DB1525" w:rsidRPr="00DB1525" w:rsidRDefault="00DB1525" w:rsidP="001D657E">
            <w:pPr>
              <w:keepNext/>
              <w:keepLines/>
              <w:spacing w:after="0" w:line="240" w:lineRule="auto"/>
              <w:jc w:val="right"/>
              <w:rPr>
                <w:rFonts w:ascii="Open Sans Light" w:eastAsia="Times New Roman" w:hAnsi="Open Sans Light" w:cs="Open Sans Light"/>
                <w:color w:val="000000"/>
                <w:sz w:val="16"/>
                <w:szCs w:val="16"/>
                <w:lang w:eastAsia="en-AU"/>
              </w:rPr>
            </w:pPr>
            <w:r w:rsidRPr="00DB1525">
              <w:rPr>
                <w:rFonts w:ascii="Open Sans Light" w:eastAsia="Times New Roman" w:hAnsi="Open Sans Light" w:cs="Open Sans Light"/>
                <w:color w:val="000000"/>
                <w:sz w:val="16"/>
                <w:szCs w:val="16"/>
                <w:lang w:eastAsia="en-AU"/>
              </w:rPr>
              <w:t> </w:t>
            </w:r>
          </w:p>
        </w:tc>
      </w:tr>
    </w:tbl>
    <w:p w14:paraId="753DA3C2" w14:textId="755F76D3" w:rsidR="00061430" w:rsidRDefault="00061430" w:rsidP="007779C0">
      <w:pPr>
        <w:pStyle w:val="CGC2025TableNote"/>
        <w:tabs>
          <w:tab w:val="clear" w:pos="567"/>
          <w:tab w:val="left" w:pos="709"/>
        </w:tabs>
        <w:rPr>
          <w:rFonts w:ascii="Open Sans Light" w:hAnsi="Open Sans Light"/>
        </w:rPr>
      </w:pPr>
      <w:r w:rsidRPr="00061430">
        <w:t>Note: *** represents statistically significant coefficients at a 0.001 confidence</w:t>
      </w:r>
      <w:r w:rsidR="008B0E71">
        <w:t>.</w:t>
      </w:r>
    </w:p>
    <w:p w14:paraId="5A5177DD" w14:textId="3DB3B12A" w:rsidR="005144D8" w:rsidRPr="00061430" w:rsidRDefault="005144D8" w:rsidP="001C3FDB">
      <w:pPr>
        <w:pStyle w:val="CGC2025Caption"/>
        <w:keepNext/>
        <w:tabs>
          <w:tab w:val="left" w:pos="1134"/>
        </w:tabs>
        <w:rPr>
          <w:b w:val="0"/>
        </w:rPr>
      </w:pPr>
      <w:r>
        <w:t xml:space="preserve">Table </w:t>
      </w:r>
      <w:r w:rsidR="006B0FA1" w:rsidRPr="00BC11B3">
        <w:t>2</w:t>
      </w:r>
      <w:r w:rsidRPr="00BC11B3">
        <w:tab/>
        <w:t>Proposed police regression</w:t>
      </w:r>
      <w:r w:rsidR="00C66C49" w:rsidRPr="00BC11B3">
        <w:t xml:space="preserve"> cost weights</w:t>
      </w:r>
      <w:r w:rsidRPr="00BC11B3">
        <w:t>, 2022–23 and 2023–24</w:t>
      </w:r>
    </w:p>
    <w:tbl>
      <w:tblPr>
        <w:tblW w:w="8940" w:type="dxa"/>
        <w:tblLook w:val="04A0" w:firstRow="1" w:lastRow="0" w:firstColumn="1" w:lastColumn="0" w:noHBand="0" w:noVBand="1"/>
      </w:tblPr>
      <w:tblGrid>
        <w:gridCol w:w="4680"/>
        <w:gridCol w:w="1416"/>
        <w:gridCol w:w="2844"/>
      </w:tblGrid>
      <w:tr w:rsidR="00575A46" w:rsidRPr="00575A46" w14:paraId="52213FFF" w14:textId="77777777" w:rsidTr="001D657E">
        <w:trPr>
          <w:trHeight w:val="381"/>
        </w:trPr>
        <w:tc>
          <w:tcPr>
            <w:tcW w:w="4680" w:type="dxa"/>
            <w:tcBorders>
              <w:top w:val="nil"/>
              <w:left w:val="nil"/>
              <w:bottom w:val="nil"/>
              <w:right w:val="nil"/>
            </w:tcBorders>
            <w:shd w:val="clear" w:color="000000" w:fill="006991"/>
            <w:vAlign w:val="center"/>
            <w:hideMark/>
          </w:tcPr>
          <w:p w14:paraId="57ABF4DB" w14:textId="77777777" w:rsidR="00575A46" w:rsidRPr="00456E79" w:rsidRDefault="00575A46" w:rsidP="00575A46">
            <w:pPr>
              <w:spacing w:after="0" w:line="240" w:lineRule="auto"/>
              <w:rPr>
                <w:rFonts w:ascii="Open Sans Semibold" w:eastAsia="Times New Roman" w:hAnsi="Open Sans Semibold" w:cs="Open Sans Semibold"/>
                <w:color w:val="FFFFFF"/>
                <w:sz w:val="16"/>
                <w:szCs w:val="16"/>
                <w:lang w:eastAsia="en-AU"/>
              </w:rPr>
            </w:pPr>
            <w:r w:rsidRPr="00456E79">
              <w:rPr>
                <w:rFonts w:ascii="Open Sans Semibold" w:eastAsia="Times New Roman" w:hAnsi="Open Sans Semibold" w:cs="Open Sans Semibold"/>
                <w:color w:val="FFFFFF"/>
                <w:sz w:val="16"/>
                <w:szCs w:val="16"/>
                <w:lang w:eastAsia="en-AU"/>
              </w:rPr>
              <w:t xml:space="preserve">Cost weight </w:t>
            </w:r>
          </w:p>
        </w:tc>
        <w:tc>
          <w:tcPr>
            <w:tcW w:w="1416" w:type="dxa"/>
            <w:tcBorders>
              <w:top w:val="nil"/>
              <w:left w:val="nil"/>
              <w:bottom w:val="nil"/>
              <w:right w:val="nil"/>
            </w:tcBorders>
            <w:shd w:val="clear" w:color="000000" w:fill="006991"/>
            <w:vAlign w:val="center"/>
            <w:hideMark/>
          </w:tcPr>
          <w:p w14:paraId="7ADD66C6" w14:textId="77777777" w:rsidR="00575A46" w:rsidRPr="00456E79" w:rsidRDefault="00575A46" w:rsidP="00575A46">
            <w:pPr>
              <w:spacing w:after="0" w:line="240" w:lineRule="auto"/>
              <w:jc w:val="right"/>
              <w:rPr>
                <w:rFonts w:ascii="Open Sans Semibold" w:eastAsia="Times New Roman" w:hAnsi="Open Sans Semibold" w:cs="Open Sans Semibold"/>
                <w:color w:val="FFFFFF"/>
                <w:sz w:val="16"/>
                <w:szCs w:val="16"/>
                <w:lang w:eastAsia="en-AU"/>
              </w:rPr>
            </w:pPr>
            <w:r w:rsidRPr="00456E79">
              <w:rPr>
                <w:rFonts w:ascii="Open Sans Semibold" w:eastAsia="Times New Roman" w:hAnsi="Open Sans Semibold" w:cs="Open Sans Semibold"/>
                <w:color w:val="FFFFFF"/>
                <w:sz w:val="16"/>
                <w:szCs w:val="16"/>
                <w:lang w:eastAsia="en-AU"/>
              </w:rPr>
              <w:t>Proposed</w:t>
            </w:r>
          </w:p>
        </w:tc>
        <w:tc>
          <w:tcPr>
            <w:tcW w:w="2844" w:type="dxa"/>
            <w:tcBorders>
              <w:top w:val="nil"/>
              <w:left w:val="nil"/>
              <w:bottom w:val="nil"/>
              <w:right w:val="nil"/>
            </w:tcBorders>
            <w:shd w:val="clear" w:color="000000" w:fill="006991"/>
            <w:vAlign w:val="center"/>
            <w:hideMark/>
          </w:tcPr>
          <w:p w14:paraId="1ABCA561" w14:textId="77777777" w:rsidR="00575A46" w:rsidRPr="00456E79" w:rsidRDefault="00575A46" w:rsidP="00575A46">
            <w:pPr>
              <w:spacing w:after="0" w:line="240" w:lineRule="auto"/>
              <w:jc w:val="right"/>
              <w:rPr>
                <w:rFonts w:ascii="Open Sans Semibold" w:eastAsia="Times New Roman" w:hAnsi="Open Sans Semibold" w:cs="Open Sans Semibold"/>
                <w:color w:val="FFFFFF"/>
                <w:sz w:val="16"/>
                <w:szCs w:val="16"/>
                <w:lang w:eastAsia="en-AU"/>
              </w:rPr>
            </w:pPr>
            <w:r w:rsidRPr="00456E79">
              <w:rPr>
                <w:rFonts w:ascii="Open Sans Semibold" w:eastAsia="Times New Roman" w:hAnsi="Open Sans Semibold" w:cs="Open Sans Semibold"/>
                <w:color w:val="FFFFFF"/>
                <w:sz w:val="16"/>
                <w:szCs w:val="16"/>
                <w:lang w:eastAsia="en-AU"/>
              </w:rPr>
              <w:t>2020 Review</w:t>
            </w:r>
          </w:p>
        </w:tc>
      </w:tr>
      <w:tr w:rsidR="00575A46" w:rsidRPr="00575A46" w14:paraId="127C8823" w14:textId="77777777" w:rsidTr="001D657E">
        <w:trPr>
          <w:trHeight w:val="321"/>
        </w:trPr>
        <w:tc>
          <w:tcPr>
            <w:tcW w:w="4680" w:type="dxa"/>
            <w:tcBorders>
              <w:top w:val="single" w:sz="4" w:space="0" w:color="ADD6EA"/>
              <w:left w:val="nil"/>
              <w:bottom w:val="nil"/>
              <w:right w:val="nil"/>
            </w:tcBorders>
            <w:shd w:val="clear" w:color="000000" w:fill="FFFFFF"/>
            <w:vAlign w:val="bottom"/>
            <w:hideMark/>
          </w:tcPr>
          <w:p w14:paraId="60A0F798" w14:textId="77777777" w:rsidR="00575A46" w:rsidRPr="00575A46" w:rsidRDefault="00575A46" w:rsidP="00575A46">
            <w:pPr>
              <w:spacing w:after="0" w:line="240" w:lineRule="auto"/>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 xml:space="preserve">Per person in major cities area </w:t>
            </w:r>
          </w:p>
        </w:tc>
        <w:tc>
          <w:tcPr>
            <w:tcW w:w="1416" w:type="dxa"/>
            <w:tcBorders>
              <w:top w:val="single" w:sz="4" w:space="0" w:color="ADD6EA"/>
              <w:left w:val="nil"/>
              <w:bottom w:val="nil"/>
              <w:right w:val="nil"/>
            </w:tcBorders>
            <w:shd w:val="clear" w:color="000000" w:fill="FFFFFF"/>
            <w:vAlign w:val="bottom"/>
            <w:hideMark/>
          </w:tcPr>
          <w:p w14:paraId="1A4779E2" w14:textId="77777777" w:rsidR="00575A46" w:rsidRPr="00575A46" w:rsidRDefault="00575A46" w:rsidP="00575A46">
            <w:pPr>
              <w:spacing w:after="0" w:line="240" w:lineRule="auto"/>
              <w:jc w:val="right"/>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1.00</w:t>
            </w:r>
          </w:p>
        </w:tc>
        <w:tc>
          <w:tcPr>
            <w:tcW w:w="2844" w:type="dxa"/>
            <w:tcBorders>
              <w:top w:val="single" w:sz="4" w:space="0" w:color="ADD6EA"/>
              <w:left w:val="nil"/>
              <w:bottom w:val="nil"/>
              <w:right w:val="nil"/>
            </w:tcBorders>
            <w:shd w:val="clear" w:color="000000" w:fill="FFFFFF"/>
            <w:vAlign w:val="bottom"/>
            <w:hideMark/>
          </w:tcPr>
          <w:p w14:paraId="431B89A6" w14:textId="77777777" w:rsidR="00575A46" w:rsidRPr="00575A46" w:rsidRDefault="00575A46" w:rsidP="00575A46">
            <w:pPr>
              <w:spacing w:after="0" w:line="240" w:lineRule="auto"/>
              <w:jc w:val="right"/>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1.00</w:t>
            </w:r>
          </w:p>
        </w:tc>
      </w:tr>
      <w:tr w:rsidR="00575A46" w:rsidRPr="00575A46" w14:paraId="59A4F32F" w14:textId="77777777" w:rsidTr="001D657E">
        <w:trPr>
          <w:trHeight w:val="321"/>
        </w:trPr>
        <w:tc>
          <w:tcPr>
            <w:tcW w:w="4680" w:type="dxa"/>
            <w:tcBorders>
              <w:top w:val="single" w:sz="4" w:space="0" w:color="ADD6EA"/>
              <w:left w:val="nil"/>
              <w:bottom w:val="nil"/>
              <w:right w:val="nil"/>
            </w:tcBorders>
            <w:shd w:val="clear" w:color="000000" w:fill="FFFFFF"/>
            <w:vAlign w:val="bottom"/>
            <w:hideMark/>
          </w:tcPr>
          <w:p w14:paraId="4E7F7098" w14:textId="77777777" w:rsidR="00575A46" w:rsidRPr="00575A46" w:rsidRDefault="00575A46" w:rsidP="00575A46">
            <w:pPr>
              <w:spacing w:after="0" w:line="240" w:lineRule="auto"/>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 xml:space="preserve">Per person in inner regional area </w:t>
            </w:r>
          </w:p>
        </w:tc>
        <w:tc>
          <w:tcPr>
            <w:tcW w:w="1416" w:type="dxa"/>
            <w:tcBorders>
              <w:top w:val="single" w:sz="4" w:space="0" w:color="ADD6EA"/>
              <w:left w:val="nil"/>
              <w:bottom w:val="nil"/>
              <w:right w:val="nil"/>
            </w:tcBorders>
            <w:shd w:val="clear" w:color="000000" w:fill="FFFFFF"/>
            <w:vAlign w:val="bottom"/>
            <w:hideMark/>
          </w:tcPr>
          <w:p w14:paraId="0A0F54CF" w14:textId="77777777" w:rsidR="00575A46" w:rsidRPr="00575A46" w:rsidRDefault="00575A46" w:rsidP="00575A46">
            <w:pPr>
              <w:spacing w:after="0" w:line="240" w:lineRule="auto"/>
              <w:jc w:val="right"/>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1.64</w:t>
            </w:r>
          </w:p>
        </w:tc>
        <w:tc>
          <w:tcPr>
            <w:tcW w:w="2844" w:type="dxa"/>
            <w:tcBorders>
              <w:top w:val="single" w:sz="4" w:space="0" w:color="ADD6EA"/>
              <w:left w:val="nil"/>
              <w:bottom w:val="nil"/>
              <w:right w:val="nil"/>
            </w:tcBorders>
            <w:shd w:val="clear" w:color="000000" w:fill="FFFFFF"/>
            <w:vAlign w:val="bottom"/>
            <w:hideMark/>
          </w:tcPr>
          <w:p w14:paraId="093537A9" w14:textId="77777777" w:rsidR="00575A46" w:rsidRPr="00575A46" w:rsidRDefault="00575A46" w:rsidP="00575A46">
            <w:pPr>
              <w:spacing w:after="0" w:line="240" w:lineRule="auto"/>
              <w:jc w:val="right"/>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1.50</w:t>
            </w:r>
          </w:p>
        </w:tc>
      </w:tr>
      <w:tr w:rsidR="00575A46" w:rsidRPr="00575A46" w14:paraId="3406AA6F" w14:textId="77777777" w:rsidTr="001D657E">
        <w:trPr>
          <w:trHeight w:val="321"/>
        </w:trPr>
        <w:tc>
          <w:tcPr>
            <w:tcW w:w="4680" w:type="dxa"/>
            <w:tcBorders>
              <w:top w:val="single" w:sz="4" w:space="0" w:color="ADD6EA"/>
              <w:left w:val="nil"/>
              <w:bottom w:val="nil"/>
              <w:right w:val="nil"/>
            </w:tcBorders>
            <w:shd w:val="clear" w:color="000000" w:fill="FFFFFF"/>
            <w:vAlign w:val="bottom"/>
            <w:hideMark/>
          </w:tcPr>
          <w:p w14:paraId="28123309" w14:textId="77777777" w:rsidR="00575A46" w:rsidRPr="00575A46" w:rsidRDefault="00575A46" w:rsidP="00575A46">
            <w:pPr>
              <w:spacing w:after="0" w:line="240" w:lineRule="auto"/>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 xml:space="preserve">Per person in outer regional area </w:t>
            </w:r>
          </w:p>
        </w:tc>
        <w:tc>
          <w:tcPr>
            <w:tcW w:w="1416" w:type="dxa"/>
            <w:tcBorders>
              <w:top w:val="single" w:sz="4" w:space="0" w:color="ADD6EA"/>
              <w:left w:val="nil"/>
              <w:bottom w:val="nil"/>
              <w:right w:val="nil"/>
            </w:tcBorders>
            <w:shd w:val="clear" w:color="000000" w:fill="FFFFFF"/>
            <w:vAlign w:val="bottom"/>
            <w:hideMark/>
          </w:tcPr>
          <w:p w14:paraId="5D3C9564" w14:textId="77777777" w:rsidR="00575A46" w:rsidRPr="00575A46" w:rsidRDefault="00575A46" w:rsidP="00575A46">
            <w:pPr>
              <w:spacing w:after="0" w:line="240" w:lineRule="auto"/>
              <w:jc w:val="right"/>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2.13</w:t>
            </w:r>
          </w:p>
        </w:tc>
        <w:tc>
          <w:tcPr>
            <w:tcW w:w="2844" w:type="dxa"/>
            <w:tcBorders>
              <w:top w:val="single" w:sz="4" w:space="0" w:color="ADD6EA"/>
              <w:left w:val="nil"/>
              <w:bottom w:val="nil"/>
              <w:right w:val="nil"/>
            </w:tcBorders>
            <w:shd w:val="clear" w:color="000000" w:fill="FFFFFF"/>
            <w:vAlign w:val="bottom"/>
            <w:hideMark/>
          </w:tcPr>
          <w:p w14:paraId="783C1536" w14:textId="77777777" w:rsidR="00575A46" w:rsidRPr="00575A46" w:rsidRDefault="00575A46" w:rsidP="00575A46">
            <w:pPr>
              <w:spacing w:after="0" w:line="240" w:lineRule="auto"/>
              <w:jc w:val="right"/>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1.72</w:t>
            </w:r>
          </w:p>
        </w:tc>
      </w:tr>
      <w:tr w:rsidR="00575A46" w:rsidRPr="00575A46" w14:paraId="0C1E3952" w14:textId="77777777" w:rsidTr="001D657E">
        <w:trPr>
          <w:trHeight w:val="321"/>
        </w:trPr>
        <w:tc>
          <w:tcPr>
            <w:tcW w:w="4680" w:type="dxa"/>
            <w:tcBorders>
              <w:top w:val="single" w:sz="4" w:space="0" w:color="ADD6EA"/>
              <w:left w:val="nil"/>
              <w:bottom w:val="nil"/>
              <w:right w:val="nil"/>
            </w:tcBorders>
            <w:shd w:val="clear" w:color="000000" w:fill="FFFFFF"/>
            <w:vAlign w:val="bottom"/>
            <w:hideMark/>
          </w:tcPr>
          <w:p w14:paraId="7EC53ADD" w14:textId="77777777" w:rsidR="00575A46" w:rsidRPr="00575A46" w:rsidRDefault="00575A46" w:rsidP="00575A46">
            <w:pPr>
              <w:spacing w:after="0" w:line="240" w:lineRule="auto"/>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 xml:space="preserve">Per person in remote area (a) </w:t>
            </w:r>
          </w:p>
        </w:tc>
        <w:tc>
          <w:tcPr>
            <w:tcW w:w="1416" w:type="dxa"/>
            <w:tcBorders>
              <w:top w:val="single" w:sz="4" w:space="0" w:color="ADD6EA"/>
              <w:left w:val="nil"/>
              <w:bottom w:val="nil"/>
              <w:right w:val="nil"/>
            </w:tcBorders>
            <w:shd w:val="clear" w:color="000000" w:fill="FFFFFF"/>
            <w:vAlign w:val="bottom"/>
            <w:hideMark/>
          </w:tcPr>
          <w:p w14:paraId="6F70289E" w14:textId="77777777" w:rsidR="00575A46" w:rsidRPr="00575A46" w:rsidRDefault="00575A46" w:rsidP="00575A46">
            <w:pPr>
              <w:spacing w:after="0" w:line="240" w:lineRule="auto"/>
              <w:jc w:val="right"/>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5.69</w:t>
            </w:r>
          </w:p>
        </w:tc>
        <w:tc>
          <w:tcPr>
            <w:tcW w:w="2844" w:type="dxa"/>
            <w:tcBorders>
              <w:top w:val="single" w:sz="4" w:space="0" w:color="ADD6EA"/>
              <w:left w:val="nil"/>
              <w:bottom w:val="nil"/>
              <w:right w:val="nil"/>
            </w:tcBorders>
            <w:shd w:val="clear" w:color="000000" w:fill="FFFFFF"/>
            <w:vAlign w:val="bottom"/>
            <w:hideMark/>
          </w:tcPr>
          <w:p w14:paraId="3CD32AD0" w14:textId="77777777" w:rsidR="00575A46" w:rsidRPr="00575A46" w:rsidRDefault="00575A46" w:rsidP="00575A46">
            <w:pPr>
              <w:spacing w:after="0" w:line="240" w:lineRule="auto"/>
              <w:jc w:val="right"/>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5.42</w:t>
            </w:r>
          </w:p>
        </w:tc>
      </w:tr>
      <w:tr w:rsidR="00575A46" w:rsidRPr="00575A46" w14:paraId="1E0BC14A" w14:textId="77777777" w:rsidTr="001D657E">
        <w:trPr>
          <w:trHeight w:val="321"/>
        </w:trPr>
        <w:tc>
          <w:tcPr>
            <w:tcW w:w="4680" w:type="dxa"/>
            <w:tcBorders>
              <w:top w:val="single" w:sz="4" w:space="0" w:color="ADD6EA"/>
              <w:left w:val="nil"/>
              <w:bottom w:val="nil"/>
              <w:right w:val="nil"/>
            </w:tcBorders>
            <w:shd w:val="clear" w:color="000000" w:fill="FFFFFF"/>
            <w:vAlign w:val="bottom"/>
            <w:hideMark/>
          </w:tcPr>
          <w:p w14:paraId="7E89A466" w14:textId="33C200A8" w:rsidR="00575A46" w:rsidRPr="00575A46" w:rsidRDefault="00575A46" w:rsidP="00575A46">
            <w:pPr>
              <w:spacing w:after="0" w:line="240" w:lineRule="auto"/>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 xml:space="preserve">Per person in very remote area (a)  </w:t>
            </w:r>
          </w:p>
        </w:tc>
        <w:tc>
          <w:tcPr>
            <w:tcW w:w="1416" w:type="dxa"/>
            <w:tcBorders>
              <w:top w:val="single" w:sz="4" w:space="0" w:color="ADD6EA"/>
              <w:left w:val="nil"/>
              <w:bottom w:val="nil"/>
              <w:right w:val="nil"/>
            </w:tcBorders>
            <w:shd w:val="clear" w:color="000000" w:fill="FFFFFF"/>
            <w:vAlign w:val="bottom"/>
            <w:hideMark/>
          </w:tcPr>
          <w:p w14:paraId="0174E44E" w14:textId="77777777" w:rsidR="00575A46" w:rsidRPr="00575A46" w:rsidRDefault="00575A46" w:rsidP="00575A46">
            <w:pPr>
              <w:spacing w:after="0" w:line="240" w:lineRule="auto"/>
              <w:jc w:val="right"/>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5.69</w:t>
            </w:r>
          </w:p>
        </w:tc>
        <w:tc>
          <w:tcPr>
            <w:tcW w:w="2844" w:type="dxa"/>
            <w:tcBorders>
              <w:top w:val="single" w:sz="4" w:space="0" w:color="ADD6EA"/>
              <w:left w:val="nil"/>
              <w:bottom w:val="nil"/>
              <w:right w:val="nil"/>
            </w:tcBorders>
            <w:shd w:val="clear" w:color="000000" w:fill="FFFFFF"/>
            <w:vAlign w:val="bottom"/>
            <w:hideMark/>
          </w:tcPr>
          <w:p w14:paraId="7C673290" w14:textId="77777777" w:rsidR="00575A46" w:rsidRPr="00575A46" w:rsidRDefault="00575A46" w:rsidP="00575A46">
            <w:pPr>
              <w:spacing w:after="0" w:line="240" w:lineRule="auto"/>
              <w:jc w:val="right"/>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6.90</w:t>
            </w:r>
          </w:p>
        </w:tc>
      </w:tr>
      <w:tr w:rsidR="00575A46" w:rsidRPr="00575A46" w14:paraId="45395458" w14:textId="77777777" w:rsidTr="001D657E">
        <w:trPr>
          <w:trHeight w:val="321"/>
        </w:trPr>
        <w:tc>
          <w:tcPr>
            <w:tcW w:w="4680" w:type="dxa"/>
            <w:tcBorders>
              <w:top w:val="single" w:sz="4" w:space="0" w:color="ADD6EA"/>
              <w:left w:val="nil"/>
              <w:bottom w:val="single" w:sz="4" w:space="0" w:color="ADD6EA"/>
              <w:right w:val="nil"/>
            </w:tcBorders>
            <w:shd w:val="clear" w:color="000000" w:fill="FFFFFF"/>
            <w:vAlign w:val="bottom"/>
            <w:hideMark/>
          </w:tcPr>
          <w:p w14:paraId="44030661" w14:textId="77777777" w:rsidR="00575A46" w:rsidRPr="00575A46" w:rsidRDefault="00575A46" w:rsidP="00575A46">
            <w:pPr>
              <w:spacing w:after="0" w:line="240" w:lineRule="auto"/>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 xml:space="preserve">Per offender </w:t>
            </w:r>
          </w:p>
        </w:tc>
        <w:tc>
          <w:tcPr>
            <w:tcW w:w="1416" w:type="dxa"/>
            <w:tcBorders>
              <w:top w:val="single" w:sz="4" w:space="0" w:color="ADD6EA"/>
              <w:left w:val="nil"/>
              <w:bottom w:val="single" w:sz="4" w:space="0" w:color="ADD6EA"/>
              <w:right w:val="nil"/>
            </w:tcBorders>
            <w:shd w:val="clear" w:color="000000" w:fill="FFFFFF"/>
            <w:vAlign w:val="bottom"/>
            <w:hideMark/>
          </w:tcPr>
          <w:p w14:paraId="4318908E" w14:textId="77777777" w:rsidR="00575A46" w:rsidRPr="00575A46" w:rsidRDefault="00575A46" w:rsidP="00575A46">
            <w:pPr>
              <w:spacing w:after="0" w:line="240" w:lineRule="auto"/>
              <w:jc w:val="right"/>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38.44</w:t>
            </w:r>
          </w:p>
        </w:tc>
        <w:tc>
          <w:tcPr>
            <w:tcW w:w="2844" w:type="dxa"/>
            <w:tcBorders>
              <w:top w:val="single" w:sz="4" w:space="0" w:color="ADD6EA"/>
              <w:left w:val="nil"/>
              <w:bottom w:val="single" w:sz="4" w:space="0" w:color="ADD6EA"/>
              <w:right w:val="nil"/>
            </w:tcBorders>
            <w:shd w:val="clear" w:color="000000" w:fill="FFFFFF"/>
            <w:vAlign w:val="bottom"/>
            <w:hideMark/>
          </w:tcPr>
          <w:p w14:paraId="206E5ED8" w14:textId="77777777" w:rsidR="00575A46" w:rsidRPr="00575A46" w:rsidRDefault="00575A46" w:rsidP="00575A46">
            <w:pPr>
              <w:spacing w:after="0" w:line="240" w:lineRule="auto"/>
              <w:jc w:val="right"/>
              <w:rPr>
                <w:rFonts w:ascii="Open Sans Light" w:eastAsia="Times New Roman" w:hAnsi="Open Sans Light" w:cs="Open Sans Light"/>
                <w:color w:val="000000"/>
                <w:sz w:val="16"/>
                <w:szCs w:val="16"/>
                <w:lang w:eastAsia="en-AU"/>
              </w:rPr>
            </w:pPr>
            <w:r w:rsidRPr="00575A46">
              <w:rPr>
                <w:rFonts w:ascii="Open Sans Light" w:eastAsia="Times New Roman" w:hAnsi="Open Sans Light" w:cs="Open Sans Light"/>
                <w:color w:val="000000"/>
                <w:sz w:val="16"/>
                <w:szCs w:val="16"/>
                <w:lang w:eastAsia="en-AU"/>
              </w:rPr>
              <w:t>19.95</w:t>
            </w:r>
          </w:p>
        </w:tc>
      </w:tr>
    </w:tbl>
    <w:p w14:paraId="50E40564" w14:textId="6653A991" w:rsidR="003952B4" w:rsidRDefault="00E05A17" w:rsidP="00691320">
      <w:pPr>
        <w:pStyle w:val="CGC2025TableNote"/>
        <w:numPr>
          <w:ilvl w:val="0"/>
          <w:numId w:val="50"/>
        </w:numPr>
      </w:pPr>
      <w:r>
        <w:t>The Commission is proposing to combine the cost weights fo</w:t>
      </w:r>
      <w:r w:rsidR="00DF1DD1">
        <w:t>r</w:t>
      </w:r>
      <w:r>
        <w:t xml:space="preserve"> remote and very remote areas in the police regression for the 2026 Update. </w:t>
      </w:r>
    </w:p>
    <w:p w14:paraId="3E42EC14" w14:textId="26882AF0" w:rsidR="00EA5701" w:rsidRDefault="00EA5701" w:rsidP="002A4576">
      <w:pPr>
        <w:pStyle w:val="Heading5"/>
      </w:pPr>
      <w:r>
        <w:t>Combin</w:t>
      </w:r>
      <w:r w:rsidR="00F27123">
        <w:t>ing</w:t>
      </w:r>
      <w:r>
        <w:t xml:space="preserve"> remote and very remote variables</w:t>
      </w:r>
    </w:p>
    <w:p w14:paraId="410CBBF5" w14:textId="0B7C0791" w:rsidR="006A1074" w:rsidRDefault="00947D77" w:rsidP="007E471B">
      <w:pPr>
        <w:pStyle w:val="CGCParaNumber"/>
        <w:numPr>
          <w:ilvl w:val="1"/>
          <w:numId w:val="16"/>
        </w:numPr>
      </w:pPr>
      <w:r>
        <w:t xml:space="preserve">The very remote </w:t>
      </w:r>
      <w:r w:rsidR="00DF4C29">
        <w:t>coefficient</w:t>
      </w:r>
      <w:r>
        <w:t xml:space="preserve"> continues to be lower than the remote </w:t>
      </w:r>
      <w:r w:rsidR="00DF4C29">
        <w:t>coefficient</w:t>
      </w:r>
      <w:r>
        <w:t xml:space="preserve"> when 2023</w:t>
      </w:r>
      <w:r w:rsidR="006C0E46">
        <w:t>–</w:t>
      </w:r>
      <w:r>
        <w:t xml:space="preserve">24 data are </w:t>
      </w:r>
      <w:r w:rsidR="00DF4C29">
        <w:t>incorporated</w:t>
      </w:r>
      <w:r>
        <w:t xml:space="preserve"> in</w:t>
      </w:r>
      <w:r w:rsidR="00DF4C29">
        <w:t>to</w:t>
      </w:r>
      <w:r>
        <w:t xml:space="preserve"> the </w:t>
      </w:r>
      <w:r w:rsidR="00DF4C29">
        <w:t>regression model</w:t>
      </w:r>
      <w:r w:rsidR="002A03FD">
        <w:t xml:space="preserve"> </w:t>
      </w:r>
      <w:r w:rsidR="0032227B">
        <w:t xml:space="preserve">(see Attachment B, </w:t>
      </w:r>
      <w:r w:rsidR="00602621">
        <w:t>T</w:t>
      </w:r>
      <w:r w:rsidR="0032227B">
        <w:t>able B</w:t>
      </w:r>
      <w:r w:rsidR="00F06BA6">
        <w:noBreakHyphen/>
      </w:r>
      <w:r w:rsidR="0032227B">
        <w:t>1)</w:t>
      </w:r>
      <w:r w:rsidR="00DF4C29">
        <w:t xml:space="preserve">. </w:t>
      </w:r>
      <w:r w:rsidR="00C96657">
        <w:t xml:space="preserve">Commission </w:t>
      </w:r>
      <w:r w:rsidR="002F4887">
        <w:t xml:space="preserve">analysis of </w:t>
      </w:r>
      <w:r w:rsidR="00742F4D">
        <w:t>2023</w:t>
      </w:r>
      <w:r w:rsidR="006C0E46">
        <w:t>–</w:t>
      </w:r>
      <w:r w:rsidR="00742F4D">
        <w:t xml:space="preserve">24 data provided by the </w:t>
      </w:r>
      <w:r w:rsidR="00CB3154">
        <w:t xml:space="preserve">Northern Territory </w:t>
      </w:r>
      <w:r w:rsidR="00D67A35">
        <w:t>showed t</w:t>
      </w:r>
      <w:r w:rsidR="00DD61C7">
        <w:t xml:space="preserve">hat very remote costs </w:t>
      </w:r>
      <w:r w:rsidR="009A18B7">
        <w:t xml:space="preserve">remain </w:t>
      </w:r>
      <w:r w:rsidR="00663771">
        <w:t xml:space="preserve">lower </w:t>
      </w:r>
      <w:r w:rsidR="009A18B7">
        <w:t xml:space="preserve">than costs in remote areas. </w:t>
      </w:r>
      <w:r w:rsidR="00D862DB">
        <w:t xml:space="preserve">The </w:t>
      </w:r>
      <w:r w:rsidR="006454DC">
        <w:t>C</w:t>
      </w:r>
      <w:r w:rsidR="00D862DB">
        <w:t xml:space="preserve">ommission </w:t>
      </w:r>
      <w:r w:rsidR="00D862DB" w:rsidRPr="001975D3">
        <w:t>consider</w:t>
      </w:r>
      <w:r w:rsidR="001D5C64">
        <w:t>s</w:t>
      </w:r>
      <w:r w:rsidR="0063254D">
        <w:t xml:space="preserve"> the conceptual case for higher costs in very remote areas </w:t>
      </w:r>
      <w:r w:rsidR="00F37D7E">
        <w:t>is strong and that</w:t>
      </w:r>
      <w:r w:rsidR="00D862DB">
        <w:t xml:space="preserve"> it is too early to </w:t>
      </w:r>
      <w:r w:rsidR="00F611F9">
        <w:t>determine</w:t>
      </w:r>
      <w:r w:rsidR="00D862DB">
        <w:t xml:space="preserve"> whether</w:t>
      </w:r>
      <w:r w:rsidR="006454DC">
        <w:t xml:space="preserve"> th</w:t>
      </w:r>
      <w:r w:rsidR="00F611F9">
        <w:t xml:space="preserve">is </w:t>
      </w:r>
      <w:r w:rsidR="00CA2877">
        <w:t xml:space="preserve">relationship </w:t>
      </w:r>
      <w:r w:rsidR="003F27FD">
        <w:t>reflects a</w:t>
      </w:r>
      <w:r w:rsidR="00004E0B">
        <w:t xml:space="preserve"> permanent</w:t>
      </w:r>
      <w:r w:rsidR="003F27FD">
        <w:t xml:space="preserve"> change in what states do</w:t>
      </w:r>
      <w:r w:rsidR="00F27953">
        <w:t>.</w:t>
      </w:r>
      <w:r w:rsidR="008278BF">
        <w:t xml:space="preserve"> </w:t>
      </w:r>
      <w:r w:rsidR="001A63CE">
        <w:t xml:space="preserve">Until a </w:t>
      </w:r>
      <w:r w:rsidR="00C37B74">
        <w:t>long-term</w:t>
      </w:r>
      <w:r w:rsidR="001A63CE">
        <w:t xml:space="preserve"> trend can be established, the Commission </w:t>
      </w:r>
      <w:r w:rsidR="001A63CE" w:rsidRPr="001975D3">
        <w:t>consider</w:t>
      </w:r>
      <w:r w:rsidR="001D5C64">
        <w:t>s</w:t>
      </w:r>
      <w:r w:rsidR="001A63CE">
        <w:t xml:space="preserve"> it appropriate to</w:t>
      </w:r>
      <w:r w:rsidR="008278BF">
        <w:t xml:space="preserve"> </w:t>
      </w:r>
      <w:r w:rsidR="006A1074" w:rsidRPr="001C2AFD">
        <w:t>comb</w:t>
      </w:r>
      <w:r w:rsidR="001A63CE">
        <w:t>ine</w:t>
      </w:r>
      <w:r w:rsidR="006A1074" w:rsidRPr="001C2AFD">
        <w:t xml:space="preserve"> remote and very remote cost weights</w:t>
      </w:r>
      <w:r w:rsidR="00444D95">
        <w:t>. It will</w:t>
      </w:r>
      <w:r w:rsidR="000409CB">
        <w:t xml:space="preserve"> revisit</w:t>
      </w:r>
      <w:r w:rsidR="00F50570">
        <w:t xml:space="preserve"> this issue with updated data</w:t>
      </w:r>
      <w:r w:rsidR="000409CB">
        <w:t xml:space="preserve"> in the next review</w:t>
      </w:r>
      <w:r w:rsidR="0006216A">
        <w:t>.</w:t>
      </w:r>
    </w:p>
    <w:p w14:paraId="7B8B5B04" w14:textId="3A59BDA1" w:rsidR="00FB373F" w:rsidRPr="00F37589" w:rsidRDefault="00F60F4A" w:rsidP="00FB59D6">
      <w:pPr>
        <w:pStyle w:val="Heading5"/>
      </w:pPr>
      <w:r w:rsidRPr="00F37589">
        <w:t>Additional</w:t>
      </w:r>
      <w:r w:rsidR="009E7155" w:rsidRPr="00F37589">
        <w:t xml:space="preserve"> remote offender </w:t>
      </w:r>
      <w:r w:rsidRPr="00F37589">
        <w:t>variable</w:t>
      </w:r>
    </w:p>
    <w:p w14:paraId="4B82B3E2" w14:textId="15C8CD99" w:rsidR="006071C8" w:rsidRPr="00F37589" w:rsidRDefault="006071C8" w:rsidP="007E471B">
      <w:pPr>
        <w:pStyle w:val="CGCParaNumber"/>
        <w:numPr>
          <w:ilvl w:val="1"/>
          <w:numId w:val="16"/>
        </w:numPr>
      </w:pPr>
      <w:r w:rsidRPr="00F37589">
        <w:t>Regression analysis using 2022</w:t>
      </w:r>
      <w:r w:rsidR="006C0E46">
        <w:t>–</w:t>
      </w:r>
      <w:r w:rsidRPr="00F37589">
        <w:t>23 and 2023</w:t>
      </w:r>
      <w:r w:rsidR="006C0E46">
        <w:t>–</w:t>
      </w:r>
      <w:r w:rsidRPr="00F37589">
        <w:t xml:space="preserve">24 data suggested that </w:t>
      </w:r>
      <w:r w:rsidR="00841036" w:rsidRPr="00F37589">
        <w:t>the cost</w:t>
      </w:r>
      <w:r w:rsidR="003F031F" w:rsidRPr="00F37589">
        <w:t xml:space="preserve">s </w:t>
      </w:r>
      <w:r w:rsidR="00263367" w:rsidRPr="00F37589">
        <w:t xml:space="preserve">of running police districts would be </w:t>
      </w:r>
      <w:r w:rsidR="009A1514" w:rsidRPr="00F37589">
        <w:t>estimated</w:t>
      </w:r>
      <w:r w:rsidR="00263367" w:rsidRPr="00F37589">
        <w:t xml:space="preserve"> more accurately overall </w:t>
      </w:r>
      <w:r w:rsidR="004E2876" w:rsidRPr="00F37589">
        <w:t>through</w:t>
      </w:r>
      <w:r w:rsidR="00263367" w:rsidRPr="00F37589">
        <w:t xml:space="preserve"> the inclusion of a remote offender variable</w:t>
      </w:r>
      <w:r w:rsidR="008E6487" w:rsidRPr="00F37589">
        <w:t xml:space="preserve"> (see Attachment B, Table B-2)</w:t>
      </w:r>
      <w:r w:rsidR="003E6243" w:rsidRPr="00F37589">
        <w:t>.</w:t>
      </w:r>
      <w:r w:rsidR="00713930" w:rsidRPr="00F37589">
        <w:t xml:space="preserve"> The </w:t>
      </w:r>
      <w:r w:rsidR="00713930" w:rsidRPr="00F37589">
        <w:lastRenderedPageBreak/>
        <w:t>Commission notes that the remote offender variable produce</w:t>
      </w:r>
      <w:r w:rsidR="004E2876" w:rsidRPr="00F37589">
        <w:t>d</w:t>
      </w:r>
      <w:r w:rsidR="00713930" w:rsidRPr="00F37589">
        <w:t xml:space="preserve"> a positive and significant coefficient,</w:t>
      </w:r>
      <w:r w:rsidR="00011476" w:rsidRPr="00F37589">
        <w:t xml:space="preserve"> </w:t>
      </w:r>
      <w:r w:rsidR="000F7229" w:rsidRPr="00F37589">
        <w:t xml:space="preserve">but </w:t>
      </w:r>
      <w:r w:rsidR="00A34431" w:rsidRPr="00F37589">
        <w:t>its inclusion result</w:t>
      </w:r>
      <w:r w:rsidR="000E193B" w:rsidRPr="00F37589">
        <w:t>ed</w:t>
      </w:r>
      <w:r w:rsidR="00A34431" w:rsidRPr="00F37589">
        <w:t xml:space="preserve"> in the </w:t>
      </w:r>
      <w:r w:rsidR="00305505" w:rsidRPr="00F37589">
        <w:t>coefficient for</w:t>
      </w:r>
      <w:r w:rsidR="00A34431" w:rsidRPr="00F37589">
        <w:t xml:space="preserve"> remote </w:t>
      </w:r>
      <w:r w:rsidR="00305505" w:rsidRPr="00F37589">
        <w:t>areas</w:t>
      </w:r>
      <w:r w:rsidR="00A34431" w:rsidRPr="00F37589">
        <w:t xml:space="preserve"> </w:t>
      </w:r>
      <w:r w:rsidR="00551F28" w:rsidRPr="00F37589">
        <w:t>decreasing</w:t>
      </w:r>
      <w:r w:rsidR="00CC4266" w:rsidRPr="00F37589">
        <w:t xml:space="preserve"> substantially</w:t>
      </w:r>
      <w:r w:rsidR="00551F28" w:rsidRPr="00F37589">
        <w:t xml:space="preserve"> and losing significance</w:t>
      </w:r>
      <w:r w:rsidR="00B9045B" w:rsidRPr="00F37589">
        <w:t>.</w:t>
      </w:r>
      <w:r w:rsidR="00A34431" w:rsidRPr="00F37589">
        <w:t xml:space="preserve"> </w:t>
      </w:r>
    </w:p>
    <w:p w14:paraId="0F9A3907" w14:textId="582E7382" w:rsidR="009D0B98" w:rsidRPr="007C7F67" w:rsidRDefault="00C94EEB" w:rsidP="007E471B">
      <w:pPr>
        <w:pStyle w:val="CGCParaNumber"/>
        <w:numPr>
          <w:ilvl w:val="1"/>
          <w:numId w:val="16"/>
        </w:numPr>
      </w:pPr>
      <w:r w:rsidRPr="007C7F67">
        <w:t xml:space="preserve">Including a coefficient for remote offenders </w:t>
      </w:r>
      <w:r w:rsidR="006A24A4" w:rsidRPr="007C7F67">
        <w:t xml:space="preserve">would </w:t>
      </w:r>
      <w:r w:rsidRPr="007C7F67">
        <w:t xml:space="preserve">reduce the cost weight for remote populations from </w:t>
      </w:r>
      <w:r w:rsidR="0004026F" w:rsidRPr="007C7F67">
        <w:t>$1</w:t>
      </w:r>
      <w:r w:rsidR="00EA371A" w:rsidRPr="007C7F67">
        <w:t>,</w:t>
      </w:r>
      <w:r w:rsidR="0004026F" w:rsidRPr="007C7F67">
        <w:t>193</w:t>
      </w:r>
      <w:r w:rsidRPr="007C7F67">
        <w:t xml:space="preserve"> to </w:t>
      </w:r>
      <w:r w:rsidR="0044287D" w:rsidRPr="007C7F67">
        <w:t>$</w:t>
      </w:r>
      <w:r w:rsidR="0004026F" w:rsidRPr="007C7F67">
        <w:t>30</w:t>
      </w:r>
      <w:r w:rsidR="00466D9C" w:rsidRPr="007C7F67">
        <w:t>1</w:t>
      </w:r>
      <w:r w:rsidR="0004026F" w:rsidRPr="007C7F67">
        <w:t xml:space="preserve"> per person</w:t>
      </w:r>
      <w:r w:rsidR="00A02E2A" w:rsidRPr="007C7F67">
        <w:t xml:space="preserve">, </w:t>
      </w:r>
      <w:r w:rsidR="007F3462" w:rsidRPr="007C7F67">
        <w:t>whil</w:t>
      </w:r>
      <w:r w:rsidR="007B66FF" w:rsidRPr="007C7F67">
        <w:t>e</w:t>
      </w:r>
      <w:r w:rsidR="007F3462" w:rsidRPr="007C7F67">
        <w:t xml:space="preserve"> </w:t>
      </w:r>
      <w:r w:rsidR="008357A7" w:rsidRPr="007C7F67">
        <w:t xml:space="preserve">the standard error for </w:t>
      </w:r>
      <w:r w:rsidR="00E54F93" w:rsidRPr="007C7F67">
        <w:t>th</w:t>
      </w:r>
      <w:r w:rsidR="00534A8F" w:rsidRPr="007C7F67">
        <w:t>is estimate</w:t>
      </w:r>
      <w:r w:rsidR="008357A7" w:rsidRPr="007C7F67">
        <w:t xml:space="preserve"> </w:t>
      </w:r>
      <w:r w:rsidR="00656AEB" w:rsidRPr="007C7F67">
        <w:t xml:space="preserve">would </w:t>
      </w:r>
      <w:r w:rsidR="008357A7" w:rsidRPr="007C7F67">
        <w:t xml:space="preserve">more than </w:t>
      </w:r>
      <w:r w:rsidR="00656AEB" w:rsidRPr="007C7F67">
        <w:t>double</w:t>
      </w:r>
      <w:r w:rsidRPr="007C7F67" w:rsidDel="003618AA">
        <w:t>.</w:t>
      </w:r>
      <w:r w:rsidR="00E54F93" w:rsidRPr="007C7F67">
        <w:t xml:space="preserve"> The coefficien</w:t>
      </w:r>
      <w:r w:rsidR="00DA5599" w:rsidRPr="007C7F67">
        <w:t>t</w:t>
      </w:r>
      <w:r w:rsidR="00856B54" w:rsidRPr="007C7F67">
        <w:t xml:space="preserve"> for offenders and </w:t>
      </w:r>
      <w:r w:rsidR="00D3491D" w:rsidRPr="007C7F67">
        <w:t>its</w:t>
      </w:r>
      <w:r w:rsidR="006951EF" w:rsidRPr="007C7F67">
        <w:t xml:space="preserve"> standard error would remain relatively unaffected.</w:t>
      </w:r>
      <w:r w:rsidR="00656AEB" w:rsidRPr="007C7F67">
        <w:t xml:space="preserve"> </w:t>
      </w:r>
      <w:r w:rsidR="006C0875" w:rsidRPr="007C7F67">
        <w:t>This</w:t>
      </w:r>
      <w:r w:rsidR="00DF01C5" w:rsidRPr="007C7F67">
        <w:t xml:space="preserve"> increased error in the model </w:t>
      </w:r>
      <w:r w:rsidR="00F71285" w:rsidRPr="007C7F67">
        <w:t xml:space="preserve">that </w:t>
      </w:r>
      <w:r w:rsidR="00E32A51" w:rsidRPr="007C7F67">
        <w:t>include</w:t>
      </w:r>
      <w:r w:rsidR="00460130" w:rsidRPr="007C7F67">
        <w:t>d</w:t>
      </w:r>
      <w:r w:rsidR="00DF01C5" w:rsidRPr="007C7F67">
        <w:t xml:space="preserve"> </w:t>
      </w:r>
      <w:r w:rsidR="00585659" w:rsidRPr="007C7F67">
        <w:t xml:space="preserve">the </w:t>
      </w:r>
      <w:r w:rsidR="00DF01C5" w:rsidRPr="007C7F67">
        <w:t>remote offender</w:t>
      </w:r>
      <w:r w:rsidR="00585659" w:rsidRPr="007C7F67">
        <w:t xml:space="preserve"> interaction</w:t>
      </w:r>
      <w:r w:rsidR="00DF01C5" w:rsidRPr="007C7F67">
        <w:t xml:space="preserve"> </w:t>
      </w:r>
      <w:r w:rsidR="00202074" w:rsidRPr="007C7F67">
        <w:t xml:space="preserve">was due </w:t>
      </w:r>
      <w:r w:rsidR="004C6B74" w:rsidRPr="007C7F67">
        <w:t xml:space="preserve">to </w:t>
      </w:r>
      <w:r w:rsidR="008D0C63" w:rsidRPr="007C7F67">
        <w:t xml:space="preserve">remote offenders </w:t>
      </w:r>
      <w:r w:rsidR="00AA1029" w:rsidRPr="007C7F67">
        <w:t xml:space="preserve">being highly collinear to </w:t>
      </w:r>
      <w:r w:rsidR="008D0C63" w:rsidRPr="007C7F67">
        <w:t>remote</w:t>
      </w:r>
      <w:r w:rsidR="00DB15CF" w:rsidRPr="007C7F67">
        <w:t xml:space="preserve"> </w:t>
      </w:r>
      <w:r w:rsidR="000128C5" w:rsidRPr="007C7F67">
        <w:t>populations</w:t>
      </w:r>
      <w:r w:rsidR="000E0E97" w:rsidRPr="007C7F67">
        <w:t xml:space="preserve"> as </w:t>
      </w:r>
      <w:r w:rsidR="0071225D" w:rsidRPr="007C7F67">
        <w:t xml:space="preserve">shown by the </w:t>
      </w:r>
      <w:r w:rsidR="00D361BB" w:rsidRPr="007C7F67">
        <w:t>variance inflation factors</w:t>
      </w:r>
      <w:r w:rsidR="00831E6E" w:rsidRPr="007C7F67">
        <w:t xml:space="preserve"> </w:t>
      </w:r>
      <w:r w:rsidR="00F61D79" w:rsidRPr="007C7F67">
        <w:t>(see attachment B, Table B-</w:t>
      </w:r>
      <w:r w:rsidR="00E83349" w:rsidRPr="007C7F67">
        <w:t>3</w:t>
      </w:r>
      <w:r w:rsidR="00F61D79" w:rsidRPr="007C7F67">
        <w:t>)</w:t>
      </w:r>
      <w:r w:rsidR="00700BFD" w:rsidRPr="007C7F67">
        <w:t>.</w:t>
      </w:r>
      <w:r w:rsidR="00CC5FF1" w:rsidRPr="007C7F67">
        <w:rPr>
          <w:rStyle w:val="FootnoteReference"/>
          <w:sz w:val="20"/>
          <w:szCs w:val="20"/>
          <w:vertAlign w:val="superscript"/>
        </w:rPr>
        <w:footnoteReference w:id="2"/>
      </w:r>
      <w:r w:rsidR="00CC5FF1" w:rsidRPr="007C7F67">
        <w:t xml:space="preserve"> </w:t>
      </w:r>
      <w:r w:rsidR="00DB15CF" w:rsidRPr="007C7F67">
        <w:t xml:space="preserve"> </w:t>
      </w:r>
    </w:p>
    <w:p w14:paraId="2AA4FBEA" w14:textId="2953C382" w:rsidR="00B93CA7" w:rsidRPr="00F37589" w:rsidRDefault="00C94EEB" w:rsidP="007E471B">
      <w:pPr>
        <w:pStyle w:val="CGCParaNumber"/>
        <w:numPr>
          <w:ilvl w:val="1"/>
          <w:numId w:val="16"/>
        </w:numPr>
      </w:pPr>
      <w:r w:rsidRPr="007C7F67">
        <w:t xml:space="preserve">Instead of assessed spending being attributed to remote populations, </w:t>
      </w:r>
      <w:r w:rsidR="00F25EAC" w:rsidRPr="007C7F67">
        <w:t xml:space="preserve">this approach </w:t>
      </w:r>
      <w:r w:rsidR="00391B69" w:rsidRPr="007C7F67">
        <w:t xml:space="preserve">would </w:t>
      </w:r>
      <w:r w:rsidR="00115129" w:rsidRPr="007C7F67">
        <w:t>attribute the additional spending to remote offenders.</w:t>
      </w:r>
      <w:r w:rsidR="0037044D" w:rsidRPr="007C7F67">
        <w:t xml:space="preserve"> </w:t>
      </w:r>
      <w:r w:rsidR="00115129" w:rsidRPr="007C7F67">
        <w:t>This means that some aspects of regional costs would be applied to offenders and some to population</w:t>
      </w:r>
      <w:r w:rsidR="00A07E6F" w:rsidRPr="007C7F67">
        <w:t>. There would be</w:t>
      </w:r>
      <w:r w:rsidR="002B0B92" w:rsidRPr="007C7F67">
        <w:t xml:space="preserve"> </w:t>
      </w:r>
      <w:r w:rsidR="000B71D3" w:rsidRPr="007C7F67">
        <w:t xml:space="preserve">very low confidence in whether this </w:t>
      </w:r>
      <w:r w:rsidR="00396302" w:rsidRPr="007C7F67">
        <w:t xml:space="preserve">reallocation of costs </w:t>
      </w:r>
      <w:r w:rsidR="00E65E87" w:rsidRPr="007C7F67">
        <w:t>was</w:t>
      </w:r>
      <w:r w:rsidR="00396302" w:rsidRPr="007C7F67">
        <w:t xml:space="preserve"> appropriate</w:t>
      </w:r>
      <w:r w:rsidR="00115129" w:rsidRPr="007C7F67">
        <w:t xml:space="preserve">. </w:t>
      </w:r>
      <w:r w:rsidR="00E30222" w:rsidRPr="007C7F67">
        <w:t xml:space="preserve">The Commission notes that </w:t>
      </w:r>
      <w:r w:rsidR="00CD6E72" w:rsidRPr="007C7F67">
        <w:t>within</w:t>
      </w:r>
      <w:r w:rsidR="00CF2FAC" w:rsidRPr="007C7F67">
        <w:t xml:space="preserve"> the </w:t>
      </w:r>
      <w:r w:rsidR="00100579" w:rsidRPr="007C7F67">
        <w:t xml:space="preserve">total sample of 152 police districts, </w:t>
      </w:r>
      <w:r w:rsidR="00DA7797" w:rsidRPr="007C7F67">
        <w:t>only a</w:t>
      </w:r>
      <w:r w:rsidR="00100579" w:rsidRPr="007C7F67">
        <w:t xml:space="preserve"> small</w:t>
      </w:r>
      <w:r w:rsidR="00DA7797" w:rsidRPr="007C7F67">
        <w:t xml:space="preserve"> number</w:t>
      </w:r>
      <w:r w:rsidR="00CF2FAC" w:rsidRPr="007C7F67">
        <w:t xml:space="preserve"> </w:t>
      </w:r>
      <w:r w:rsidR="004C235A" w:rsidRPr="007C7F67">
        <w:t xml:space="preserve">serviced </w:t>
      </w:r>
      <w:r w:rsidR="008144FA" w:rsidRPr="007C7F67">
        <w:t>remote areas</w:t>
      </w:r>
      <w:r w:rsidR="00A32295" w:rsidRPr="007C7F67">
        <w:t xml:space="preserve">. </w:t>
      </w:r>
      <w:r w:rsidR="00855257" w:rsidRPr="007C7F67">
        <w:t>Such a small sample size makes it</w:t>
      </w:r>
      <w:r w:rsidR="00595588" w:rsidRPr="007C7F67">
        <w:t xml:space="preserve"> difficult to </w:t>
      </w:r>
      <w:r w:rsidR="001A07F7" w:rsidRPr="007C7F67">
        <w:t xml:space="preserve">reliably </w:t>
      </w:r>
      <w:r w:rsidR="00386AEC" w:rsidRPr="007C7F67">
        <w:t>quantify</w:t>
      </w:r>
      <w:r w:rsidR="00CD246A" w:rsidRPr="007C7F67">
        <w:t xml:space="preserve"> the cost</w:t>
      </w:r>
      <w:r w:rsidR="0070068D" w:rsidRPr="007C7F67">
        <w:t xml:space="preserve"> of</w:t>
      </w:r>
      <w:r w:rsidR="00E537CC" w:rsidRPr="007C7F67">
        <w:t xml:space="preserve"> remote offen</w:t>
      </w:r>
      <w:r w:rsidR="00A737BE" w:rsidRPr="007C7F67">
        <w:t>der</w:t>
      </w:r>
      <w:r w:rsidR="004F60F7" w:rsidRPr="007C7F67">
        <w:t>s</w:t>
      </w:r>
      <w:r w:rsidR="00C63445" w:rsidRPr="007C7F67">
        <w:t xml:space="preserve"> </w:t>
      </w:r>
      <w:r w:rsidR="00AA5D5C" w:rsidRPr="007C7F67">
        <w:t xml:space="preserve">separately from </w:t>
      </w:r>
      <w:r w:rsidR="00CD246A" w:rsidRPr="007C7F67">
        <w:t xml:space="preserve">the cost of </w:t>
      </w:r>
      <w:r w:rsidR="00AA5D5C" w:rsidRPr="007C7F67">
        <w:t>remote populations</w:t>
      </w:r>
      <w:r w:rsidR="001A07F7" w:rsidRPr="007C7F67">
        <w:t>.</w:t>
      </w:r>
      <w:r w:rsidR="00AA5D5C" w:rsidRPr="007C7F67">
        <w:t xml:space="preserve"> </w:t>
      </w:r>
      <w:r w:rsidR="00076E80" w:rsidRPr="007C7F67">
        <w:t>The</w:t>
      </w:r>
      <w:r w:rsidR="00A737BE" w:rsidRPr="007C7F67" w:rsidDel="001D1B80">
        <w:t xml:space="preserve"> </w:t>
      </w:r>
      <w:r w:rsidR="001D1B80" w:rsidRPr="007C7F67">
        <w:t xml:space="preserve">collinearity between </w:t>
      </w:r>
      <w:r w:rsidR="00327DD5" w:rsidRPr="007C7F67">
        <w:t xml:space="preserve">these </w:t>
      </w:r>
      <w:r w:rsidR="00097389" w:rsidRPr="007C7F67">
        <w:t>2</w:t>
      </w:r>
      <w:r w:rsidR="00327DD5" w:rsidRPr="007C7F67">
        <w:t xml:space="preserve"> variables</w:t>
      </w:r>
      <w:r w:rsidR="00A737BE" w:rsidRPr="007C7F67">
        <w:t xml:space="preserve"> </w:t>
      </w:r>
      <w:r w:rsidR="00EC172E" w:rsidRPr="007C7F67">
        <w:t>would</w:t>
      </w:r>
      <w:r w:rsidR="00A737BE" w:rsidRPr="007C7F67">
        <w:t xml:space="preserve"> </w:t>
      </w:r>
      <w:r w:rsidR="00ED6ADE" w:rsidRPr="007C7F67">
        <w:t xml:space="preserve">significantly </w:t>
      </w:r>
      <w:r w:rsidR="00DB2FF6" w:rsidRPr="007C7F67">
        <w:t xml:space="preserve">compromise the </w:t>
      </w:r>
      <w:r w:rsidR="00AB7754" w:rsidRPr="007C7F67">
        <w:t xml:space="preserve">precision of </w:t>
      </w:r>
      <w:r w:rsidR="006E2DEC" w:rsidRPr="007C7F67">
        <w:t xml:space="preserve">the </w:t>
      </w:r>
      <w:r w:rsidR="005F3A45" w:rsidRPr="007C7F67">
        <w:t>derived cost weights</w:t>
      </w:r>
      <w:r w:rsidR="00AB7754" w:rsidRPr="007C7F67">
        <w:t>.</w:t>
      </w:r>
      <w:r w:rsidR="00AB7754">
        <w:t xml:space="preserve"> </w:t>
      </w:r>
      <w:r w:rsidR="0037044D" w:rsidRPr="00F37589">
        <w:t xml:space="preserve">The Commission considers </w:t>
      </w:r>
      <w:r w:rsidR="004F3F84" w:rsidRPr="00F37589">
        <w:t xml:space="preserve">the added complexity of </w:t>
      </w:r>
      <w:r w:rsidR="00833D1C" w:rsidRPr="00F37589">
        <w:t>including</w:t>
      </w:r>
      <w:r w:rsidR="004F3F84" w:rsidRPr="00F37589">
        <w:t xml:space="preserve"> remote</w:t>
      </w:r>
      <w:r w:rsidR="00462A9F" w:rsidRPr="00F37589">
        <w:t xml:space="preserve"> offenders </w:t>
      </w:r>
      <w:r w:rsidR="003F6196" w:rsidRPr="00F37589">
        <w:t xml:space="preserve">is not warranted. </w:t>
      </w:r>
    </w:p>
    <w:p w14:paraId="731DB109" w14:textId="2429C02E" w:rsidR="002209C6" w:rsidRPr="00F37589" w:rsidRDefault="6E4D7A3F" w:rsidP="76F14935">
      <w:pPr>
        <w:pStyle w:val="CGCParaNumber"/>
      </w:pPr>
      <w:r>
        <w:t xml:space="preserve">The proposed regression model assesses the cost of policing remote populations </w:t>
      </w:r>
      <w:r w:rsidR="5B4D6681">
        <w:t>a</w:t>
      </w:r>
      <w:r w:rsidR="74AB427D">
        <w:t>s</w:t>
      </w:r>
      <w:r>
        <w:t xml:space="preserve"> 470% higher per capita than metropolitan populations</w:t>
      </w:r>
      <w:r w:rsidR="0D959FC0">
        <w:t xml:space="preserve">, </w:t>
      </w:r>
      <w:r w:rsidR="4C30471F">
        <w:t>not including</w:t>
      </w:r>
      <w:r w:rsidR="0D959FC0">
        <w:t xml:space="preserve"> the </w:t>
      </w:r>
      <w:r w:rsidR="4C30471F">
        <w:t>impact of offenders</w:t>
      </w:r>
      <w:r>
        <w:t xml:space="preserve">. The Commission considers this figure at least comparable to Queensland’s </w:t>
      </w:r>
      <w:r w:rsidR="00881D71">
        <w:t xml:space="preserve">evidence of </w:t>
      </w:r>
      <w:r w:rsidR="604385BD">
        <w:t xml:space="preserve">cost differences of </w:t>
      </w:r>
      <w:r>
        <w:t xml:space="preserve">406% and 331%. </w:t>
      </w:r>
    </w:p>
    <w:p w14:paraId="551D9ADB" w14:textId="6B1C2032" w:rsidR="002209C6" w:rsidRPr="00F37589" w:rsidRDefault="002209C6" w:rsidP="007E471B">
      <w:pPr>
        <w:pStyle w:val="CGCParaNumber"/>
        <w:numPr>
          <w:ilvl w:val="1"/>
          <w:numId w:val="16"/>
        </w:numPr>
      </w:pPr>
      <w:r w:rsidRPr="00F37589">
        <w:t xml:space="preserve">The Commission </w:t>
      </w:r>
      <w:r w:rsidR="003E5981" w:rsidRPr="00F37589">
        <w:t xml:space="preserve">notes that </w:t>
      </w:r>
      <w:r w:rsidR="00455973" w:rsidRPr="00F37589">
        <w:t xml:space="preserve">the costs </w:t>
      </w:r>
      <w:r w:rsidR="005621A1" w:rsidRPr="00F37589">
        <w:t>captured by the regression reflect</w:t>
      </w:r>
      <w:r w:rsidR="008A4AC8" w:rsidRPr="00F37589">
        <w:t xml:space="preserve"> the entire policing task</w:t>
      </w:r>
      <w:r w:rsidR="002F25D3" w:rsidRPr="00F37589">
        <w:t xml:space="preserve">, </w:t>
      </w:r>
      <w:r w:rsidR="00EF2DCC" w:rsidRPr="00F37589">
        <w:t xml:space="preserve">and </w:t>
      </w:r>
      <w:r w:rsidRPr="00F37589">
        <w:t>limiting the assessment to solely focu</w:t>
      </w:r>
      <w:r w:rsidR="0060253B" w:rsidRPr="00F37589">
        <w:t xml:space="preserve">s on offenders </w:t>
      </w:r>
      <w:r w:rsidR="00B6159D" w:rsidRPr="00F37589">
        <w:t xml:space="preserve">would not adequately capture </w:t>
      </w:r>
      <w:r w:rsidR="003875A1" w:rsidRPr="00F37589">
        <w:t xml:space="preserve">costs associated with non-offender </w:t>
      </w:r>
      <w:r w:rsidR="00835BCA" w:rsidRPr="00F37589">
        <w:t xml:space="preserve">driven </w:t>
      </w:r>
      <w:r w:rsidR="007311D5" w:rsidRPr="00F37589">
        <w:t>activities</w:t>
      </w:r>
      <w:r w:rsidR="0084302D" w:rsidRPr="00F37589">
        <w:t>.</w:t>
      </w:r>
      <w:r w:rsidRPr="00F37589">
        <w:t xml:space="preserve"> </w:t>
      </w:r>
    </w:p>
    <w:p w14:paraId="6BCAB5AC" w14:textId="3DECB4D2" w:rsidR="002209C6" w:rsidRPr="00F37589" w:rsidRDefault="002209C6" w:rsidP="007E471B">
      <w:pPr>
        <w:pStyle w:val="CGCParaNumber"/>
        <w:numPr>
          <w:ilvl w:val="1"/>
          <w:numId w:val="16"/>
        </w:numPr>
      </w:pPr>
      <w:r w:rsidRPr="00F37589">
        <w:t xml:space="preserve">Regarding the treatment of Aurukun and Brewarrina, the </w:t>
      </w:r>
      <w:r w:rsidR="0031688E" w:rsidRPr="00F37589">
        <w:t>Commission note</w:t>
      </w:r>
      <w:r w:rsidR="00A23BDA" w:rsidRPr="00F37589">
        <w:t>s</w:t>
      </w:r>
      <w:r w:rsidR="0031688E" w:rsidRPr="00F37589">
        <w:t xml:space="preserve"> that the </w:t>
      </w:r>
      <w:r w:rsidRPr="00F37589">
        <w:t xml:space="preserve">proposed assessment recognises the </w:t>
      </w:r>
      <w:r w:rsidR="0049047C" w:rsidRPr="00F37589">
        <w:t xml:space="preserve">difference </w:t>
      </w:r>
      <w:r w:rsidR="00045FCE" w:rsidRPr="00F37589">
        <w:t xml:space="preserve">in </w:t>
      </w:r>
      <w:r w:rsidR="00536692" w:rsidRPr="00F37589">
        <w:t xml:space="preserve">use of justice services related to </w:t>
      </w:r>
      <w:r w:rsidR="00045FCE" w:rsidRPr="00F37589">
        <w:t>socio</w:t>
      </w:r>
      <w:r w:rsidR="00AC5049" w:rsidRPr="00F37589">
        <w:t>-</w:t>
      </w:r>
      <w:r w:rsidR="00045FCE" w:rsidRPr="00F37589">
        <w:t>demographic</w:t>
      </w:r>
      <w:r w:rsidR="00A1472C" w:rsidRPr="00F37589">
        <w:t xml:space="preserve"> and socio</w:t>
      </w:r>
      <w:r w:rsidR="00AC5049" w:rsidRPr="00F37589">
        <w:t>-</w:t>
      </w:r>
      <w:r w:rsidR="00A1472C" w:rsidRPr="00F37589">
        <w:t xml:space="preserve">economic </w:t>
      </w:r>
      <w:r w:rsidR="007F52E5" w:rsidRPr="00F37589">
        <w:t xml:space="preserve">characteristics of the population. </w:t>
      </w:r>
      <w:r w:rsidR="00A352BE" w:rsidRPr="00F37589">
        <w:t xml:space="preserve">The proposed assessment would </w:t>
      </w:r>
      <w:r w:rsidR="001C32C4" w:rsidRPr="00F37589">
        <w:t>estimate</w:t>
      </w:r>
      <w:r w:rsidR="00A352BE" w:rsidRPr="00F37589">
        <w:t xml:space="preserve"> </w:t>
      </w:r>
      <w:r w:rsidR="00AB3315" w:rsidRPr="00F37589">
        <w:t>A</w:t>
      </w:r>
      <w:r w:rsidR="00BD255E" w:rsidRPr="00F37589">
        <w:t xml:space="preserve">urukun as having </w:t>
      </w:r>
      <w:r w:rsidR="00AD4715" w:rsidRPr="00F37589">
        <w:t xml:space="preserve">1.8 times </w:t>
      </w:r>
      <w:r w:rsidR="00FC0EFD" w:rsidRPr="00F37589">
        <w:t xml:space="preserve">more </w:t>
      </w:r>
      <w:r w:rsidR="009B7E18" w:rsidRPr="00F37589">
        <w:t>proceedings, including all offence</w:t>
      </w:r>
      <w:r w:rsidR="00477363" w:rsidRPr="00F37589">
        <w:t xml:space="preserve"> types,</w:t>
      </w:r>
      <w:r w:rsidR="00063F39" w:rsidRPr="00F37589">
        <w:t xml:space="preserve"> </w:t>
      </w:r>
      <w:r w:rsidR="00AD4715" w:rsidRPr="00F37589">
        <w:t>than B</w:t>
      </w:r>
      <w:r w:rsidR="00754541" w:rsidRPr="00F37589">
        <w:t>rewarrina</w:t>
      </w:r>
      <w:r w:rsidR="00D51330" w:rsidRPr="00F37589">
        <w:t xml:space="preserve"> and therefore </w:t>
      </w:r>
      <w:r w:rsidR="00453A3A" w:rsidRPr="00F37589">
        <w:t>higher assessed</w:t>
      </w:r>
      <w:r w:rsidR="00D51330" w:rsidRPr="00F37589">
        <w:t xml:space="preserve"> costs</w:t>
      </w:r>
      <w:r w:rsidR="001C3FDB">
        <w:t>.</w:t>
      </w:r>
      <w:r w:rsidR="00D51330" w:rsidRPr="009A53CF">
        <w:rPr>
          <w:rStyle w:val="FootnoteReference"/>
          <w:vertAlign w:val="superscript"/>
        </w:rPr>
        <w:footnoteReference w:id="3"/>
      </w:r>
      <w:r w:rsidR="00D51330" w:rsidRPr="00F37589">
        <w:t xml:space="preserve"> </w:t>
      </w:r>
    </w:p>
    <w:p w14:paraId="20C80664" w14:textId="51871DF1" w:rsidR="00333EF7" w:rsidRDefault="6E4D7A3F" w:rsidP="76F14935">
      <w:pPr>
        <w:pStyle w:val="CGCParaNumber"/>
      </w:pPr>
      <w:r>
        <w:t xml:space="preserve">The Commission acknowledges Queensland’s argument that the significant geographic costs in policing the Torres Strait may not be adequately captured by the regional cost gradient within the proposed assessment. There is a strong conceptual case that policing communities spread across islands would be more expensive than policing a similar demographic </w:t>
      </w:r>
      <w:r w:rsidR="59FBEF9D">
        <w:t>on</w:t>
      </w:r>
      <w:r>
        <w:t xml:space="preserve"> the mainland. </w:t>
      </w:r>
      <w:r w:rsidR="42915AA8">
        <w:t>However</w:t>
      </w:r>
      <w:r>
        <w:t>, quantifying this distinct geographic cost is not currently possible due to data constraints.</w:t>
      </w:r>
      <w:r w:rsidR="008A6B30">
        <w:t xml:space="preserve"> </w:t>
      </w:r>
    </w:p>
    <w:p w14:paraId="5AA879D3" w14:textId="7BB128C0" w:rsidR="002209C6" w:rsidRPr="00172BB1" w:rsidRDefault="00A164B9" w:rsidP="76F14935">
      <w:pPr>
        <w:pStyle w:val="CGCParaNumber"/>
      </w:pPr>
      <w:r w:rsidRPr="00172BB1">
        <w:lastRenderedPageBreak/>
        <w:t>With m</w:t>
      </w:r>
      <w:r w:rsidR="00FD57E2" w:rsidRPr="00172BB1">
        <w:t>ost</w:t>
      </w:r>
      <w:r w:rsidR="008A6B30" w:rsidRPr="00172BB1">
        <w:t xml:space="preserve"> stat</w:t>
      </w:r>
      <w:r w:rsidR="00AD360C" w:rsidRPr="00172BB1">
        <w:t xml:space="preserve">e provided costings </w:t>
      </w:r>
      <w:r w:rsidR="00FD57E2" w:rsidRPr="00172BB1">
        <w:t xml:space="preserve">data </w:t>
      </w:r>
      <w:r w:rsidRPr="00172BB1">
        <w:t>only being</w:t>
      </w:r>
      <w:r w:rsidR="00AD360C" w:rsidRPr="00172BB1">
        <w:t xml:space="preserve"> disaggregated </w:t>
      </w:r>
      <w:r w:rsidR="00E25CC7" w:rsidRPr="00172BB1">
        <w:t xml:space="preserve">to </w:t>
      </w:r>
      <w:r w:rsidR="00FD57E2" w:rsidRPr="00172BB1">
        <w:t>police district level</w:t>
      </w:r>
      <w:r w:rsidR="00C745D8" w:rsidRPr="00172BB1">
        <w:t>,</w:t>
      </w:r>
      <w:r w:rsidR="00E8687A" w:rsidRPr="00172BB1">
        <w:t xml:space="preserve"> and</w:t>
      </w:r>
      <w:r w:rsidR="00FD57E2" w:rsidRPr="00172BB1">
        <w:t xml:space="preserve"> </w:t>
      </w:r>
      <w:r w:rsidR="00C745D8" w:rsidRPr="00172BB1">
        <w:t>given</w:t>
      </w:r>
      <w:r w:rsidR="003316B3" w:rsidRPr="00172BB1">
        <w:t xml:space="preserve"> </w:t>
      </w:r>
      <w:r w:rsidR="00D55C9A" w:rsidRPr="00172BB1">
        <w:t>the lack of comparable areas nationally</w:t>
      </w:r>
      <w:r w:rsidR="00C745D8" w:rsidRPr="00172BB1">
        <w:t>,</w:t>
      </w:r>
      <w:r w:rsidR="002A265C" w:rsidRPr="00172BB1">
        <w:t xml:space="preserve"> deriving a policy neutral assessment for such areas </w:t>
      </w:r>
      <w:r w:rsidR="007B353D" w:rsidRPr="00172BB1">
        <w:t xml:space="preserve">is </w:t>
      </w:r>
      <w:r w:rsidR="002A265C" w:rsidRPr="00172BB1">
        <w:t xml:space="preserve">not </w:t>
      </w:r>
      <w:r w:rsidR="00764472" w:rsidRPr="00172BB1">
        <w:t>currently</w:t>
      </w:r>
      <w:r w:rsidR="002A265C" w:rsidRPr="00172BB1">
        <w:t xml:space="preserve"> feasible. </w:t>
      </w:r>
      <w:r w:rsidR="00444545" w:rsidRPr="00172BB1">
        <w:t xml:space="preserve">The Commission will </w:t>
      </w:r>
      <w:r w:rsidR="00D15BD9" w:rsidRPr="00172BB1">
        <w:t xml:space="preserve">monitor </w:t>
      </w:r>
      <w:r w:rsidR="00455CBE" w:rsidRPr="00172BB1">
        <w:t xml:space="preserve">this issue in preparation for the next review. </w:t>
      </w:r>
    </w:p>
    <w:p w14:paraId="6A84F4FE" w14:textId="00A7AB71" w:rsidR="00F50570" w:rsidRPr="00F37589" w:rsidRDefault="00F50570" w:rsidP="00EE10F4">
      <w:pPr>
        <w:pStyle w:val="Heading5"/>
      </w:pPr>
      <w:r w:rsidRPr="00F37589">
        <w:t>Alternative model</w:t>
      </w:r>
      <w:r w:rsidR="001940F6" w:rsidRPr="00F37589">
        <w:t xml:space="preserve"> specification</w:t>
      </w:r>
    </w:p>
    <w:p w14:paraId="403F0546" w14:textId="6CDEA312" w:rsidR="004941B1" w:rsidRPr="00F37589" w:rsidRDefault="00DE56DB" w:rsidP="007E471B">
      <w:pPr>
        <w:pStyle w:val="CGCParaNumber"/>
        <w:numPr>
          <w:ilvl w:val="1"/>
          <w:numId w:val="16"/>
        </w:numPr>
      </w:pPr>
      <w:r w:rsidRPr="00F37589">
        <w:t xml:space="preserve">The Commission considered </w:t>
      </w:r>
      <w:r w:rsidR="00C956A1" w:rsidRPr="00F37589">
        <w:t xml:space="preserve">Victoria’s </w:t>
      </w:r>
      <w:r w:rsidR="00C956A1" w:rsidRPr="00F37589" w:rsidDel="005200A9">
        <w:t xml:space="preserve">suggestion </w:t>
      </w:r>
      <w:r w:rsidR="005200A9" w:rsidRPr="00F37589">
        <w:t xml:space="preserve">to use a model that </w:t>
      </w:r>
      <w:r w:rsidR="00E55D40" w:rsidRPr="00F37589">
        <w:t xml:space="preserve">includes </w:t>
      </w:r>
      <w:r w:rsidR="00545AAC" w:rsidRPr="00F37589">
        <w:t xml:space="preserve">district level characteristics that </w:t>
      </w:r>
      <w:r w:rsidR="00E1569C" w:rsidRPr="00F37589">
        <w:t xml:space="preserve">drive </w:t>
      </w:r>
      <w:r w:rsidR="009E1B28" w:rsidRPr="00F37589">
        <w:t>offen</w:t>
      </w:r>
      <w:r w:rsidR="00311384">
        <w:t>der</w:t>
      </w:r>
      <w:r w:rsidR="009E1B28" w:rsidRPr="00F37589">
        <w:t>s</w:t>
      </w:r>
      <w:r w:rsidR="00E1569C" w:rsidRPr="00F37589">
        <w:t>.</w:t>
      </w:r>
      <w:r w:rsidR="00C53AA7" w:rsidRPr="00F37589">
        <w:t xml:space="preserve"> </w:t>
      </w:r>
      <w:r w:rsidR="00587ADC" w:rsidRPr="00F37589">
        <w:t>Table B</w:t>
      </w:r>
      <w:r w:rsidR="00587ADC" w:rsidRPr="00F37589">
        <w:noBreakHyphen/>
      </w:r>
      <w:r w:rsidR="009739BE">
        <w:t>4</w:t>
      </w:r>
      <w:r w:rsidR="00587ADC" w:rsidRPr="00F37589">
        <w:t xml:space="preserve"> in Attachment B </w:t>
      </w:r>
      <w:r w:rsidR="00C53AA7" w:rsidRPr="00F37589">
        <w:t xml:space="preserve">contains </w:t>
      </w:r>
      <w:r w:rsidR="001F325B" w:rsidRPr="00F37589">
        <w:t xml:space="preserve">results of </w:t>
      </w:r>
      <w:r w:rsidR="0011738C" w:rsidRPr="00F37589">
        <w:t xml:space="preserve">a </w:t>
      </w:r>
      <w:r w:rsidR="001F325B" w:rsidRPr="00F37589">
        <w:t>regression</w:t>
      </w:r>
      <w:r w:rsidR="00EA064E" w:rsidRPr="00F37589">
        <w:t xml:space="preserve"> </w:t>
      </w:r>
      <w:r w:rsidR="002E5464" w:rsidRPr="00F37589">
        <w:t>model</w:t>
      </w:r>
      <w:r w:rsidR="00276E76" w:rsidRPr="00F37589">
        <w:t xml:space="preserve"> </w:t>
      </w:r>
      <w:proofErr w:type="gramStart"/>
      <w:r w:rsidR="00BC173D" w:rsidRPr="00F37589">
        <w:t>similar to</w:t>
      </w:r>
      <w:proofErr w:type="gramEnd"/>
      <w:r w:rsidR="00BC173D" w:rsidRPr="00F37589">
        <w:t xml:space="preserve"> the model</w:t>
      </w:r>
      <w:r w:rsidR="002E5464" w:rsidRPr="00F37589">
        <w:t xml:space="preserve"> </w:t>
      </w:r>
      <w:r w:rsidR="0011738C" w:rsidRPr="00F37589">
        <w:t>presented</w:t>
      </w:r>
      <w:r w:rsidR="00E36DF2" w:rsidRPr="00F37589">
        <w:t xml:space="preserve"> in </w:t>
      </w:r>
      <w:r w:rsidR="00F02647" w:rsidRPr="00F37589">
        <w:t>Victoria’s</w:t>
      </w:r>
      <w:r w:rsidR="00E36DF2" w:rsidRPr="00F37589">
        <w:t xml:space="preserve"> </w:t>
      </w:r>
      <w:r w:rsidR="005B3322" w:rsidRPr="00F37589">
        <w:t>consultant’s</w:t>
      </w:r>
      <w:r w:rsidR="0011738C" w:rsidRPr="00F37589">
        <w:t xml:space="preserve"> report</w:t>
      </w:r>
      <w:r w:rsidR="00E714D7" w:rsidRPr="00F37589">
        <w:t>,</w:t>
      </w:r>
      <w:r w:rsidR="0011738C" w:rsidRPr="00F37589">
        <w:t xml:space="preserve"> whi</w:t>
      </w:r>
      <w:r w:rsidR="002E5464" w:rsidRPr="00F37589">
        <w:t>ch</w:t>
      </w:r>
      <w:r w:rsidR="001F325B" w:rsidRPr="00F37589" w:rsidDel="00EA064E">
        <w:t xml:space="preserve"> </w:t>
      </w:r>
      <w:r w:rsidR="002E5464" w:rsidRPr="00F37589">
        <w:t>replaced</w:t>
      </w:r>
      <w:r w:rsidR="00561769" w:rsidRPr="00F37589">
        <w:t xml:space="preserve"> </w:t>
      </w:r>
      <w:r w:rsidR="00AB0157" w:rsidRPr="00F37589">
        <w:t>offen</w:t>
      </w:r>
      <w:r w:rsidR="00AB0157">
        <w:t>ders</w:t>
      </w:r>
      <w:r w:rsidR="00AB0157" w:rsidRPr="00F37589">
        <w:t xml:space="preserve"> </w:t>
      </w:r>
      <w:r w:rsidR="00561769" w:rsidRPr="00F37589">
        <w:t>per capita with</w:t>
      </w:r>
      <w:r w:rsidR="00FF1AE6" w:rsidRPr="00F37589">
        <w:t xml:space="preserve"> variables for</w:t>
      </w:r>
      <w:r w:rsidR="00B51321" w:rsidRPr="00F37589">
        <w:t xml:space="preserve"> </w:t>
      </w:r>
      <w:r w:rsidR="00FF1AE6" w:rsidRPr="00F37589">
        <w:t>Indigenous status and socio</w:t>
      </w:r>
      <w:r w:rsidR="00F02647" w:rsidRPr="00F37589">
        <w:noBreakHyphen/>
      </w:r>
      <w:r w:rsidR="00FF1AE6" w:rsidRPr="00F37589">
        <w:t>economic disadvantage</w:t>
      </w:r>
      <w:r w:rsidR="00587ADC" w:rsidRPr="00F37589">
        <w:t>.</w:t>
      </w:r>
      <w:r w:rsidR="007B3A6A" w:rsidRPr="00F37589">
        <w:t xml:space="preserve"> </w:t>
      </w:r>
    </w:p>
    <w:p w14:paraId="56BE496B" w14:textId="4E07E6A9" w:rsidR="00C7082C" w:rsidRPr="00F37589" w:rsidRDefault="00D973BA" w:rsidP="007E471B">
      <w:pPr>
        <w:pStyle w:val="CGCParaNumber"/>
        <w:numPr>
          <w:ilvl w:val="1"/>
          <w:numId w:val="16"/>
        </w:numPr>
      </w:pPr>
      <w:r w:rsidRPr="00F37589">
        <w:t>A lower R-squared indicates that this</w:t>
      </w:r>
      <w:r w:rsidR="00FF17DC" w:rsidRPr="00F37589">
        <w:t xml:space="preserve"> is less accurate in predicting costs of police districts </w:t>
      </w:r>
      <w:r w:rsidR="002512B9">
        <w:t xml:space="preserve">than </w:t>
      </w:r>
      <w:r w:rsidR="00FF17DC" w:rsidRPr="00F37589">
        <w:t xml:space="preserve">the proposed regression model using </w:t>
      </w:r>
      <w:r w:rsidR="00311384" w:rsidRPr="00F37589">
        <w:t>offen</w:t>
      </w:r>
      <w:r w:rsidR="00311384">
        <w:t>ders</w:t>
      </w:r>
      <w:r w:rsidR="006C3688">
        <w:t xml:space="preserve">. </w:t>
      </w:r>
      <w:r w:rsidR="00426A8F">
        <w:t>Further</w:t>
      </w:r>
      <w:r w:rsidR="004F6288" w:rsidRPr="00F37589">
        <w:t>,</w:t>
      </w:r>
      <w:r w:rsidR="00587ADC" w:rsidRPr="00F37589">
        <w:t xml:space="preserve"> h</w:t>
      </w:r>
      <w:r w:rsidR="00DF32D8" w:rsidRPr="00F37589">
        <w:t xml:space="preserve">igh standard errors for the introduced </w:t>
      </w:r>
      <w:r w:rsidR="00AA425B" w:rsidRPr="00F37589">
        <w:t>variable</w:t>
      </w:r>
      <w:r w:rsidR="00DF32D8" w:rsidRPr="00F37589">
        <w:t xml:space="preserve">s indicate </w:t>
      </w:r>
      <w:r w:rsidR="00AF051F" w:rsidRPr="00F37589">
        <w:t>low confidence</w:t>
      </w:r>
      <w:r w:rsidR="002D0ED8" w:rsidRPr="00F37589">
        <w:t xml:space="preserve"> in cost weights.</w:t>
      </w:r>
      <w:r w:rsidR="00CC2A95" w:rsidRPr="00F37589">
        <w:t xml:space="preserve"> </w:t>
      </w:r>
      <w:r w:rsidR="00A82029" w:rsidRPr="00F37589">
        <w:t>Th</w:t>
      </w:r>
      <w:r w:rsidR="0070173D" w:rsidRPr="00F37589">
        <w:t>e Commiss</w:t>
      </w:r>
      <w:r w:rsidR="004E59AE" w:rsidRPr="00F37589">
        <w:t xml:space="preserve">ion considers </w:t>
      </w:r>
      <w:r w:rsidR="008D3CDC" w:rsidRPr="00F37589">
        <w:t xml:space="preserve">that the </w:t>
      </w:r>
      <w:r w:rsidR="003205C2" w:rsidRPr="00F37589">
        <w:t xml:space="preserve">inability of the </w:t>
      </w:r>
      <w:r w:rsidR="008D3CDC" w:rsidRPr="00F37589">
        <w:t xml:space="preserve">regression </w:t>
      </w:r>
      <w:r w:rsidR="003205C2" w:rsidRPr="00F37589">
        <w:t xml:space="preserve">to reliably </w:t>
      </w:r>
      <w:r w:rsidR="00853518" w:rsidRPr="00F37589">
        <w:t xml:space="preserve">capture the </w:t>
      </w:r>
      <w:r w:rsidR="00C55CCD" w:rsidRPr="00F37589">
        <w:t xml:space="preserve">association between costs and </w:t>
      </w:r>
      <w:r w:rsidR="002B5465" w:rsidRPr="00F37589">
        <w:t>socio</w:t>
      </w:r>
      <w:r w:rsidR="00502747" w:rsidRPr="00F37589">
        <w:t>-</w:t>
      </w:r>
      <w:r w:rsidR="002B5465" w:rsidRPr="00F37589">
        <w:t xml:space="preserve">demographic </w:t>
      </w:r>
      <w:r w:rsidR="00853518" w:rsidRPr="00F37589">
        <w:t>dr</w:t>
      </w:r>
      <w:r w:rsidR="00DF747F" w:rsidRPr="00F37589">
        <w:t xml:space="preserve">ivers of </w:t>
      </w:r>
      <w:r w:rsidR="00CF397F" w:rsidRPr="00F37589">
        <w:t>offen</w:t>
      </w:r>
      <w:r w:rsidR="00CF397F">
        <w:t>ders</w:t>
      </w:r>
      <w:r w:rsidR="00CF397F" w:rsidRPr="00F37589">
        <w:t xml:space="preserve"> </w:t>
      </w:r>
      <w:r w:rsidR="003205C2" w:rsidRPr="00F37589">
        <w:t>is due to the</w:t>
      </w:r>
      <w:r w:rsidR="006371BF" w:rsidRPr="00F37589">
        <w:t xml:space="preserve"> limited</w:t>
      </w:r>
      <w:r w:rsidR="003205C2" w:rsidRPr="00F37589">
        <w:t xml:space="preserve"> size of the</w:t>
      </w:r>
      <w:r w:rsidR="00943A81" w:rsidRPr="00F37589">
        <w:t xml:space="preserve"> regression</w:t>
      </w:r>
      <w:r w:rsidR="003205C2" w:rsidRPr="00F37589">
        <w:t xml:space="preserve"> dataset</w:t>
      </w:r>
      <w:r w:rsidR="00F73371" w:rsidRPr="00F37589">
        <w:t>.</w:t>
      </w:r>
    </w:p>
    <w:p w14:paraId="34161733" w14:textId="43E17DFD" w:rsidR="00B65DAD" w:rsidRPr="00F37589" w:rsidRDefault="00A64F9C" w:rsidP="007E471B">
      <w:pPr>
        <w:pStyle w:val="CGCParaNumber"/>
        <w:numPr>
          <w:ilvl w:val="1"/>
          <w:numId w:val="16"/>
        </w:numPr>
      </w:pPr>
      <w:r w:rsidRPr="00F37589">
        <w:t xml:space="preserve">The Commission considers the inclusion of regional and offender variables in the regression is appropriate because </w:t>
      </w:r>
      <w:r w:rsidR="00045E09" w:rsidRPr="00F37589">
        <w:t xml:space="preserve">policing </w:t>
      </w:r>
      <w:r w:rsidR="00030B59" w:rsidRPr="00F37589">
        <w:t xml:space="preserve">costs are driven by activities </w:t>
      </w:r>
      <w:r w:rsidR="005F1797" w:rsidRPr="00F37589">
        <w:t>r</w:t>
      </w:r>
      <w:r w:rsidR="00FF3125" w:rsidRPr="00F37589">
        <w:t xml:space="preserve">elated to </w:t>
      </w:r>
      <w:r w:rsidR="008F1AE6" w:rsidRPr="00F37589">
        <w:t>offen</w:t>
      </w:r>
      <w:r w:rsidR="00270227" w:rsidRPr="00F37589">
        <w:t>ders</w:t>
      </w:r>
      <w:r w:rsidR="00F8112A" w:rsidRPr="00F37589">
        <w:t>,</w:t>
      </w:r>
      <w:r w:rsidR="008F1AE6" w:rsidRPr="00F37589">
        <w:t xml:space="preserve"> such as </w:t>
      </w:r>
      <w:r w:rsidR="00FF3125" w:rsidRPr="00F37589">
        <w:t>preventing and reacting to crime</w:t>
      </w:r>
      <w:r w:rsidR="009A4FE9" w:rsidRPr="00F37589">
        <w:t>,</w:t>
      </w:r>
      <w:r w:rsidR="00FF3125" w:rsidRPr="00F37589">
        <w:t xml:space="preserve"> as well as </w:t>
      </w:r>
      <w:r w:rsidR="00030B59" w:rsidRPr="00F37589">
        <w:t xml:space="preserve">non-offender driven </w:t>
      </w:r>
      <w:r w:rsidR="00FF3125" w:rsidRPr="00F37589">
        <w:t>activities</w:t>
      </w:r>
      <w:r w:rsidR="00030B59" w:rsidRPr="00F37589">
        <w:t>.</w:t>
      </w:r>
      <w:r w:rsidR="00FF3125" w:rsidRPr="00F37589">
        <w:t xml:space="preserve"> </w:t>
      </w:r>
    </w:p>
    <w:p w14:paraId="65F386F1" w14:textId="324EC07C" w:rsidR="0090144E" w:rsidRDefault="0090144E" w:rsidP="00240C10">
      <w:pPr>
        <w:pStyle w:val="Heading4"/>
      </w:pPr>
      <w:r w:rsidRPr="00F37589">
        <w:t>Commission</w:t>
      </w:r>
      <w:r w:rsidRPr="0090144E">
        <w:t xml:space="preserve"> </w:t>
      </w:r>
      <w:r w:rsidR="00A01CC0">
        <w:t>final draft position</w:t>
      </w:r>
    </w:p>
    <w:p w14:paraId="30B5A4D7" w14:textId="4139581C" w:rsidR="009A45B6" w:rsidRDefault="00E407B3" w:rsidP="007E471B">
      <w:pPr>
        <w:pStyle w:val="CGCParaNumber"/>
        <w:numPr>
          <w:ilvl w:val="1"/>
          <w:numId w:val="16"/>
        </w:numPr>
      </w:pPr>
      <w:r>
        <w:t>The Commission proposes to</w:t>
      </w:r>
      <w:r w:rsidR="00B25EA9">
        <w:t>:</w:t>
      </w:r>
      <w:r>
        <w:t xml:space="preserve"> </w:t>
      </w:r>
    </w:p>
    <w:p w14:paraId="4A4DBA4C" w14:textId="111B78C3" w:rsidR="00805D13" w:rsidRDefault="00410E9C" w:rsidP="00080318">
      <w:pPr>
        <w:pStyle w:val="CGCBullet1"/>
        <w:ind w:left="924" w:hanging="357"/>
      </w:pPr>
      <w:r>
        <w:t>group</w:t>
      </w:r>
      <w:r w:rsidR="00F84A1B">
        <w:t xml:space="preserve"> remote</w:t>
      </w:r>
      <w:r w:rsidR="00E407B3">
        <w:t xml:space="preserve"> and </w:t>
      </w:r>
      <w:r w:rsidR="00F84A1B">
        <w:t>very remote areas</w:t>
      </w:r>
      <w:r w:rsidR="007F2806">
        <w:t xml:space="preserve"> in </w:t>
      </w:r>
      <w:r w:rsidR="00F854EC">
        <w:t>its</w:t>
      </w:r>
      <w:r w:rsidR="007F2806">
        <w:t xml:space="preserve"> police regression </w:t>
      </w:r>
      <w:r w:rsidR="002034B9">
        <w:t xml:space="preserve">incorporating </w:t>
      </w:r>
      <w:r w:rsidR="005F28F1">
        <w:br/>
      </w:r>
      <w:r w:rsidR="002034B9">
        <w:t>2022</w:t>
      </w:r>
      <w:r w:rsidR="00B17FEC">
        <w:t>–</w:t>
      </w:r>
      <w:r w:rsidR="002034B9">
        <w:t>23 and 2023</w:t>
      </w:r>
      <w:r w:rsidR="00B17FEC">
        <w:t>–</w:t>
      </w:r>
      <w:r w:rsidR="002034B9">
        <w:t>24 state data</w:t>
      </w:r>
    </w:p>
    <w:p w14:paraId="45E7CD96" w14:textId="1A79FD4C" w:rsidR="00805D13" w:rsidRPr="00665F2C" w:rsidRDefault="00805D13" w:rsidP="00080318">
      <w:pPr>
        <w:pStyle w:val="CGCBullet1"/>
        <w:ind w:left="924" w:hanging="357"/>
      </w:pPr>
      <w:r>
        <w:t>not add an additional variable for remote offenders into the police regression</w:t>
      </w:r>
    </w:p>
    <w:p w14:paraId="53B0C31E" w14:textId="3251E065" w:rsidR="00665F2C" w:rsidRPr="00665F2C" w:rsidRDefault="006C427E" w:rsidP="00080318">
      <w:pPr>
        <w:pStyle w:val="CGCBullet1"/>
        <w:ind w:left="924" w:hanging="357"/>
      </w:pPr>
      <w:r>
        <w:t>n</w:t>
      </w:r>
      <w:r w:rsidR="0049573C">
        <w:t xml:space="preserve">ot change the specification of the model to </w:t>
      </w:r>
      <w:r w:rsidR="009A45B6">
        <w:t>include additional variables.</w:t>
      </w:r>
    </w:p>
    <w:p w14:paraId="161D42E2" w14:textId="2600B0CB" w:rsidR="0068378D" w:rsidRPr="00240C10" w:rsidRDefault="0068378D" w:rsidP="009A53CF">
      <w:pPr>
        <w:pStyle w:val="Heading35"/>
      </w:pPr>
      <w:r w:rsidRPr="00240C10">
        <w:t xml:space="preserve">Is there a case for a global </w:t>
      </w:r>
      <w:proofErr w:type="gramStart"/>
      <w:r w:rsidRPr="00240C10">
        <w:t>cities</w:t>
      </w:r>
      <w:proofErr w:type="gramEnd"/>
      <w:r w:rsidRPr="00240C10">
        <w:t xml:space="preserve"> driver in the police assessment?</w:t>
      </w:r>
    </w:p>
    <w:p w14:paraId="1A4917E8" w14:textId="77777777" w:rsidR="0090144E" w:rsidRDefault="0090144E" w:rsidP="00240C10">
      <w:pPr>
        <w:pStyle w:val="Heading4"/>
      </w:pPr>
      <w:r w:rsidRPr="0090144E">
        <w:t>Background</w:t>
      </w:r>
    </w:p>
    <w:p w14:paraId="1AFDE07C" w14:textId="2E3DF212" w:rsidR="00665F2C" w:rsidRPr="0090144E" w:rsidRDefault="002C4FDC" w:rsidP="007E471B">
      <w:pPr>
        <w:pStyle w:val="CGCParaNumber"/>
        <w:numPr>
          <w:ilvl w:val="1"/>
          <w:numId w:val="16"/>
        </w:numPr>
      </w:pPr>
      <w:r>
        <w:t xml:space="preserve">The Commission proposed not to include a global cities driver in the assessment of police expenses. </w:t>
      </w:r>
      <w:r w:rsidR="00B3502C">
        <w:t>This was due to the</w:t>
      </w:r>
      <w:r w:rsidR="00B3502C" w:rsidRPr="00B3502C">
        <w:t xml:space="preserve"> difficulty </w:t>
      </w:r>
      <w:r w:rsidR="00BC39D2">
        <w:t xml:space="preserve">of </w:t>
      </w:r>
      <w:r w:rsidR="00B3502C" w:rsidRPr="00B3502C">
        <w:t xml:space="preserve">defining </w:t>
      </w:r>
      <w:r w:rsidR="0069427C">
        <w:t>its</w:t>
      </w:r>
      <w:r w:rsidR="00B3502C" w:rsidRPr="00B3502C">
        <w:t xml:space="preserve"> scope and estimating offence-specific costs due to data limitations</w:t>
      </w:r>
      <w:r w:rsidR="00B3502C">
        <w:t xml:space="preserve">. </w:t>
      </w:r>
      <w:r w:rsidR="0034619D" w:rsidRPr="0034619D">
        <w:t>The issue of culturally and linguistically diverse populations will be considered as part of the forward work program.</w:t>
      </w:r>
    </w:p>
    <w:p w14:paraId="0126EF29" w14:textId="77777777" w:rsidR="0090144E" w:rsidRDefault="0090144E" w:rsidP="00240C10">
      <w:pPr>
        <w:pStyle w:val="Heading4"/>
      </w:pPr>
      <w:r w:rsidRPr="0090144E">
        <w:t>State views</w:t>
      </w:r>
    </w:p>
    <w:p w14:paraId="56999E65" w14:textId="7A20F41C" w:rsidR="00665F2C" w:rsidRDefault="002101D5" w:rsidP="007E471B">
      <w:pPr>
        <w:pStyle w:val="CGCParaNumber"/>
        <w:numPr>
          <w:ilvl w:val="1"/>
          <w:numId w:val="16"/>
        </w:numPr>
      </w:pPr>
      <w:r>
        <w:t xml:space="preserve">Queensland, Western Australia, Tasmania, the ACT and the Northern </w:t>
      </w:r>
      <w:r w:rsidR="00657065">
        <w:t xml:space="preserve">Territory </w:t>
      </w:r>
      <w:r w:rsidR="00BC22E0">
        <w:t xml:space="preserve">did not support a global cities </w:t>
      </w:r>
      <w:r w:rsidR="005912DE">
        <w:t xml:space="preserve">driver in </w:t>
      </w:r>
      <w:r w:rsidR="00AB0777">
        <w:t>the police assessment.</w:t>
      </w:r>
    </w:p>
    <w:p w14:paraId="02732DCF" w14:textId="776B108E" w:rsidR="00ED3FD6" w:rsidRDefault="00ED3FD6" w:rsidP="007E471B">
      <w:pPr>
        <w:pStyle w:val="CGCParaNumber"/>
        <w:numPr>
          <w:ilvl w:val="1"/>
          <w:numId w:val="16"/>
        </w:numPr>
      </w:pPr>
      <w:r>
        <w:lastRenderedPageBreak/>
        <w:t xml:space="preserve">Queensland </w:t>
      </w:r>
      <w:r w:rsidR="00090AC7">
        <w:t xml:space="preserve">and Western Australia </w:t>
      </w:r>
      <w:r w:rsidR="00066BA0">
        <w:t xml:space="preserve">said that </w:t>
      </w:r>
      <w:r w:rsidR="00354413">
        <w:t xml:space="preserve">the influence of Commonwealth spending on </w:t>
      </w:r>
      <w:r w:rsidR="0027352B">
        <w:t xml:space="preserve">complex crimes, such as terrorism, </w:t>
      </w:r>
      <w:r w:rsidR="00230BEA">
        <w:t xml:space="preserve">financial crimes and cybercrimes, </w:t>
      </w:r>
      <w:r w:rsidR="004B644D">
        <w:t xml:space="preserve">makes the relationship between global cities and policing costs unclear. </w:t>
      </w:r>
    </w:p>
    <w:p w14:paraId="135C7E63" w14:textId="7ADDBCC4" w:rsidR="00323F29" w:rsidRDefault="0067704D" w:rsidP="007E471B">
      <w:pPr>
        <w:pStyle w:val="CGCParaNumber"/>
        <w:numPr>
          <w:ilvl w:val="1"/>
          <w:numId w:val="16"/>
        </w:numPr>
      </w:pPr>
      <w:r>
        <w:t>Tasmania said that there was no conceptual case for a global cities driver</w:t>
      </w:r>
      <w:r w:rsidR="00930A1F">
        <w:t xml:space="preserve"> and that costs for providing </w:t>
      </w:r>
      <w:r w:rsidR="00AC0666">
        <w:t>police services for counter terrorism and complex crime w</w:t>
      </w:r>
      <w:r w:rsidR="00DC0A35">
        <w:t>ere</w:t>
      </w:r>
      <w:r w:rsidR="00AC0666">
        <w:t xml:space="preserve"> not </w:t>
      </w:r>
      <w:r w:rsidR="005253F4">
        <w:t xml:space="preserve">unique to major cities. </w:t>
      </w:r>
    </w:p>
    <w:p w14:paraId="0955D103" w14:textId="435AAD57" w:rsidR="00323F29" w:rsidRDefault="00201F86" w:rsidP="007E471B">
      <w:pPr>
        <w:pStyle w:val="CGCParaNumber"/>
        <w:numPr>
          <w:ilvl w:val="1"/>
          <w:numId w:val="16"/>
        </w:numPr>
      </w:pPr>
      <w:r>
        <w:t xml:space="preserve">The ACT </w:t>
      </w:r>
      <w:r w:rsidR="008D6B25">
        <w:t>said</w:t>
      </w:r>
      <w:r w:rsidR="003835AF">
        <w:t xml:space="preserve"> that exploring data options for </w:t>
      </w:r>
      <w:r w:rsidR="00FF3E50">
        <w:t>assessing</w:t>
      </w:r>
      <w:r w:rsidR="003835AF">
        <w:t xml:space="preserve"> </w:t>
      </w:r>
      <w:r w:rsidR="00C507CE">
        <w:t>counterterrorism</w:t>
      </w:r>
      <w:r w:rsidR="003835AF">
        <w:t xml:space="preserve"> </w:t>
      </w:r>
      <w:r w:rsidR="00FF3E50">
        <w:t xml:space="preserve">and complex crime could be </w:t>
      </w:r>
      <w:r w:rsidR="00A75D19">
        <w:t>undertaken</w:t>
      </w:r>
      <w:r w:rsidR="00FF3E50">
        <w:t xml:space="preserve"> in the </w:t>
      </w:r>
      <w:r w:rsidR="003A7C3E">
        <w:t>Data Working Group</w:t>
      </w:r>
      <w:r w:rsidR="00FF3E50">
        <w:t xml:space="preserve"> or by adding it to the forward work program. </w:t>
      </w:r>
      <w:r w:rsidR="00253527">
        <w:t xml:space="preserve">The ACT </w:t>
      </w:r>
      <w:r w:rsidR="00707B74">
        <w:t>said</w:t>
      </w:r>
      <w:r w:rsidR="00253527">
        <w:t xml:space="preserve"> that counterterrorism activities occur across all regions and cannot be linked with geographic factors such as globalised or major cities. </w:t>
      </w:r>
    </w:p>
    <w:p w14:paraId="75F20612" w14:textId="02497D4D" w:rsidR="0067704D" w:rsidRDefault="111F1167" w:rsidP="76F14935">
      <w:pPr>
        <w:pStyle w:val="CGCParaNumber"/>
      </w:pPr>
      <w:r>
        <w:t xml:space="preserve">The Northern Territory did not believe that there was sufficient evidence </w:t>
      </w:r>
      <w:r w:rsidR="10E54655">
        <w:t>or a conceptual case to support a global cities driver.</w:t>
      </w:r>
      <w:r>
        <w:t xml:space="preserve"> </w:t>
      </w:r>
      <w:r w:rsidR="2816C5A1">
        <w:t xml:space="preserve">The </w:t>
      </w:r>
      <w:r w:rsidR="3A118EC2">
        <w:t>Northern</w:t>
      </w:r>
      <w:r w:rsidR="2816C5A1">
        <w:t xml:space="preserve"> Territory </w:t>
      </w:r>
      <w:r w:rsidR="07FB1BB4">
        <w:t>noted that cultural</w:t>
      </w:r>
      <w:r w:rsidR="2816C5A1">
        <w:t xml:space="preserve"> and linguistic diversity is in</w:t>
      </w:r>
      <w:r w:rsidR="542B47FC">
        <w:t xml:space="preserve">cluded </w:t>
      </w:r>
      <w:r w:rsidR="2816C5A1">
        <w:t>in the forward work program</w:t>
      </w:r>
      <w:r w:rsidR="006A01B4">
        <w:t>.</w:t>
      </w:r>
    </w:p>
    <w:p w14:paraId="1A4395EC" w14:textId="4237753A" w:rsidR="001D7A6C" w:rsidRDefault="002C6535" w:rsidP="007E471B">
      <w:pPr>
        <w:pStyle w:val="CGCParaNumber"/>
        <w:numPr>
          <w:ilvl w:val="1"/>
          <w:numId w:val="16"/>
        </w:numPr>
      </w:pPr>
      <w:r>
        <w:t>New South Wales said</w:t>
      </w:r>
      <w:r w:rsidR="00634540">
        <w:t xml:space="preserve"> </w:t>
      </w:r>
      <w:r>
        <w:t>that a global cities driver was required to account for</w:t>
      </w:r>
      <w:r w:rsidR="00D37D72">
        <w:t xml:space="preserve"> the extra costs associated with providing police services in densely populated areas and central business districts. </w:t>
      </w:r>
      <w:r w:rsidR="003038CC">
        <w:t xml:space="preserve">It </w:t>
      </w:r>
      <w:r w:rsidR="00060AB7">
        <w:t>considered</w:t>
      </w:r>
      <w:r w:rsidR="00782A25">
        <w:t xml:space="preserve"> that</w:t>
      </w:r>
      <w:r w:rsidR="00C05882">
        <w:t>,</w:t>
      </w:r>
      <w:r w:rsidR="00782A25">
        <w:t xml:space="preserve"> </w:t>
      </w:r>
      <w:r w:rsidR="000A1338">
        <w:t xml:space="preserve">while </w:t>
      </w:r>
      <w:r w:rsidR="00782A25">
        <w:t>terrorism</w:t>
      </w:r>
      <w:r w:rsidR="00FD1F01">
        <w:t>,</w:t>
      </w:r>
      <w:r w:rsidR="001D0385">
        <w:t xml:space="preserve"> organised and</w:t>
      </w:r>
      <w:r w:rsidR="00782A25">
        <w:t xml:space="preserve"> drug</w:t>
      </w:r>
      <w:r w:rsidR="003656EF">
        <w:t xml:space="preserve"> related crime</w:t>
      </w:r>
      <w:r w:rsidR="001D0385">
        <w:t>s</w:t>
      </w:r>
      <w:r w:rsidR="00782A25">
        <w:t xml:space="preserve"> </w:t>
      </w:r>
      <w:r w:rsidR="00156BF9">
        <w:t xml:space="preserve">are not unique to </w:t>
      </w:r>
      <w:r w:rsidR="00FF5992">
        <w:t>major cities</w:t>
      </w:r>
      <w:r w:rsidR="00A266A6">
        <w:t>,</w:t>
      </w:r>
      <w:r w:rsidR="001D0385">
        <w:t xml:space="preserve"> they are more likely to occur in major cities than in r</w:t>
      </w:r>
      <w:r w:rsidR="000A1338">
        <w:t>egional</w:t>
      </w:r>
      <w:r w:rsidR="001D0385">
        <w:t xml:space="preserve"> areas</w:t>
      </w:r>
      <w:r w:rsidR="00537922">
        <w:t>.</w:t>
      </w:r>
      <w:r w:rsidR="00A73F22">
        <w:t xml:space="preserve"> New South Wales </w:t>
      </w:r>
      <w:r w:rsidR="0009214C">
        <w:t>suggested</w:t>
      </w:r>
      <w:r w:rsidR="00CB5589">
        <w:t xml:space="preserve"> that the need for a separate global cities </w:t>
      </w:r>
      <w:r w:rsidR="009B608E">
        <w:t xml:space="preserve">driver could be mitigated through the apportionment of more central costs to metropolitan areas. </w:t>
      </w:r>
    </w:p>
    <w:p w14:paraId="113066DD" w14:textId="33DABD15" w:rsidR="00F11706" w:rsidRDefault="1FE60965" w:rsidP="76F14935">
      <w:pPr>
        <w:pStyle w:val="CGCParaNumber"/>
      </w:pPr>
      <w:r>
        <w:t>Victoria support</w:t>
      </w:r>
      <w:r w:rsidR="2876A6A4">
        <w:t>ed</w:t>
      </w:r>
      <w:r>
        <w:t xml:space="preserve"> the consideration of cultural and linguistic diversity in the forward work program</w:t>
      </w:r>
      <w:r w:rsidR="55D65E52">
        <w:t xml:space="preserve">. Victoria also </w:t>
      </w:r>
      <w:r w:rsidR="0B579098">
        <w:t>supported</w:t>
      </w:r>
      <w:r w:rsidR="55D65E52">
        <w:t xml:space="preserve"> </w:t>
      </w:r>
      <w:r w:rsidR="224E2596">
        <w:t xml:space="preserve">further investigation into whether </w:t>
      </w:r>
      <w:r w:rsidR="7D5CFD92">
        <w:t xml:space="preserve">certain police costs are unique to major cities and </w:t>
      </w:r>
      <w:r w:rsidR="133C1C77">
        <w:t>consideration</w:t>
      </w:r>
      <w:r w:rsidR="5A81B3C3">
        <w:t xml:space="preserve"> of </w:t>
      </w:r>
      <w:r w:rsidR="775F3C85">
        <w:t xml:space="preserve">data on complex crimes and </w:t>
      </w:r>
      <w:r w:rsidR="3A70FE9C">
        <w:t xml:space="preserve">Australian Federal </w:t>
      </w:r>
      <w:r w:rsidR="00E70405">
        <w:t>P</w:t>
      </w:r>
      <w:r w:rsidR="08F707A4">
        <w:t xml:space="preserve">olice assistance in the </w:t>
      </w:r>
      <w:r w:rsidR="36C48149">
        <w:t>Data Working Group</w:t>
      </w:r>
      <w:r w:rsidR="08F707A4">
        <w:t xml:space="preserve">. </w:t>
      </w:r>
      <w:r w:rsidR="3CCBD8F1">
        <w:t xml:space="preserve"> </w:t>
      </w:r>
    </w:p>
    <w:p w14:paraId="5F4D22D1" w14:textId="322E3BCE" w:rsidR="00240C10" w:rsidRDefault="00240C10" w:rsidP="00240C10">
      <w:pPr>
        <w:pStyle w:val="Heading4"/>
      </w:pPr>
      <w:r>
        <w:t>Commission response</w:t>
      </w:r>
    </w:p>
    <w:p w14:paraId="3A70CFFD" w14:textId="271E9470" w:rsidR="00C25616" w:rsidRDefault="00257087" w:rsidP="007E471B">
      <w:pPr>
        <w:pStyle w:val="CGCParaNumber"/>
        <w:numPr>
          <w:ilvl w:val="1"/>
          <w:numId w:val="16"/>
        </w:numPr>
      </w:pPr>
      <w:r w:rsidRPr="002F7431">
        <w:t>The</w:t>
      </w:r>
      <w:r w:rsidR="000245A3" w:rsidRPr="002F7431">
        <w:t xml:space="preserve"> Commission</w:t>
      </w:r>
      <w:r w:rsidR="000245A3" w:rsidRPr="002F7431" w:rsidDel="004F4D87">
        <w:t xml:space="preserve"> </w:t>
      </w:r>
      <w:r w:rsidR="004F4D87">
        <w:t>notes</w:t>
      </w:r>
      <w:r w:rsidR="000245A3" w:rsidRPr="002F7431">
        <w:t xml:space="preserve"> that </w:t>
      </w:r>
      <w:r w:rsidR="00C02C9A">
        <w:t xml:space="preserve">data on </w:t>
      </w:r>
      <w:r w:rsidR="00385C40" w:rsidRPr="002F7431">
        <w:t>global cities</w:t>
      </w:r>
      <w:r w:rsidR="002E77EF">
        <w:t xml:space="preserve"> expenses</w:t>
      </w:r>
      <w:r w:rsidR="00385C40" w:rsidRPr="002F7431">
        <w:t xml:space="preserve"> </w:t>
      </w:r>
      <w:r w:rsidRPr="002F7431">
        <w:t>are limited</w:t>
      </w:r>
      <w:r w:rsidR="004442CC">
        <w:t>.</w:t>
      </w:r>
      <w:r w:rsidRPr="002F7431" w:rsidDel="004442CC">
        <w:t xml:space="preserve"> </w:t>
      </w:r>
      <w:r w:rsidR="00E054E9">
        <w:t>This is part</w:t>
      </w:r>
      <w:r w:rsidR="00AE34F9">
        <w:t xml:space="preserve">ly due to the </w:t>
      </w:r>
      <w:r w:rsidR="00FC5714">
        <w:t>absence</w:t>
      </w:r>
      <w:r w:rsidR="00306F8B">
        <w:t xml:space="preserve"> of a clear </w:t>
      </w:r>
      <w:r w:rsidR="00B636C1">
        <w:t>definition</w:t>
      </w:r>
      <w:r w:rsidR="00306F8B">
        <w:t xml:space="preserve"> of what </w:t>
      </w:r>
      <w:r w:rsidR="00012EB2">
        <w:t xml:space="preserve">constitutes a global </w:t>
      </w:r>
      <w:r w:rsidR="00AF733E">
        <w:t xml:space="preserve">city </w:t>
      </w:r>
      <w:r w:rsidR="00D373F2">
        <w:t>expense o</w:t>
      </w:r>
      <w:r w:rsidR="00412782">
        <w:t>r crime</w:t>
      </w:r>
      <w:r w:rsidR="00AF733E">
        <w:t>.</w:t>
      </w:r>
      <w:r w:rsidR="00412782">
        <w:t xml:space="preserve"> </w:t>
      </w:r>
      <w:r w:rsidR="008B32B6" w:rsidDel="00E266B0">
        <w:t xml:space="preserve">While </w:t>
      </w:r>
      <w:r w:rsidR="00E7657F">
        <w:t>certain crimes</w:t>
      </w:r>
      <w:r w:rsidR="0080665B">
        <w:t xml:space="preserve"> like </w:t>
      </w:r>
      <w:r w:rsidR="00582276">
        <w:t>terrorism and complex crimes</w:t>
      </w:r>
      <w:r w:rsidR="00E7657F">
        <w:t xml:space="preserve"> </w:t>
      </w:r>
      <w:r w:rsidR="000E536C">
        <w:t xml:space="preserve">may </w:t>
      </w:r>
      <w:r w:rsidR="003F5BD8">
        <w:t>occur</w:t>
      </w:r>
      <w:r w:rsidR="00AF0EB2">
        <w:t xml:space="preserve"> more often</w:t>
      </w:r>
      <w:r w:rsidR="00703306">
        <w:t xml:space="preserve"> in major global-type cities, </w:t>
      </w:r>
      <w:r w:rsidR="00E60A7C">
        <w:t xml:space="preserve">the Commission does not have </w:t>
      </w:r>
      <w:r w:rsidR="0098156F">
        <w:t xml:space="preserve">data to determine the </w:t>
      </w:r>
      <w:r w:rsidR="00562C3C">
        <w:t>offen</w:t>
      </w:r>
      <w:r w:rsidR="00641A75">
        <w:t>ce</w:t>
      </w:r>
      <w:r w:rsidR="001E2C32">
        <w:t xml:space="preserve"> rate</w:t>
      </w:r>
      <w:r w:rsidR="00641A75">
        <w:t>s</w:t>
      </w:r>
      <w:r w:rsidR="001E2C32">
        <w:t xml:space="preserve"> </w:t>
      </w:r>
      <w:r w:rsidR="00F66F75">
        <w:t>of</w:t>
      </w:r>
      <w:r w:rsidR="005A23E0">
        <w:t xml:space="preserve"> </w:t>
      </w:r>
      <w:r w:rsidR="00A6421D">
        <w:t xml:space="preserve">these crimes </w:t>
      </w:r>
      <w:r w:rsidR="00376378">
        <w:t>in different regions</w:t>
      </w:r>
      <w:r w:rsidR="00A6421D">
        <w:t xml:space="preserve"> </w:t>
      </w:r>
      <w:r w:rsidR="00DE61E5">
        <w:t>even</w:t>
      </w:r>
      <w:r w:rsidR="00631DA8">
        <w:t xml:space="preserve"> if</w:t>
      </w:r>
      <w:r w:rsidR="00DE61E5">
        <w:t xml:space="preserve"> it had a</w:t>
      </w:r>
      <w:r w:rsidR="00140829">
        <w:t xml:space="preserve"> global city</w:t>
      </w:r>
      <w:r w:rsidR="00DE61E5">
        <w:t xml:space="preserve"> definition</w:t>
      </w:r>
      <w:r w:rsidR="00140829">
        <w:t>.</w:t>
      </w:r>
      <w:r w:rsidR="00F61EC7">
        <w:t xml:space="preserve"> </w:t>
      </w:r>
      <w:r w:rsidR="0049166D">
        <w:t>The Commission</w:t>
      </w:r>
      <w:r w:rsidR="00F61EC7">
        <w:t xml:space="preserve"> does not have</w:t>
      </w:r>
      <w:r w:rsidR="00F6414D">
        <w:t xml:space="preserve"> </w:t>
      </w:r>
      <w:r w:rsidR="00DA5A54">
        <w:t>offender</w:t>
      </w:r>
      <w:r w:rsidR="00F61EC7">
        <w:t xml:space="preserve"> </w:t>
      </w:r>
      <w:r w:rsidR="00F6414D">
        <w:t>data</w:t>
      </w:r>
      <w:r w:rsidR="003307F0">
        <w:t xml:space="preserve"> for all states</w:t>
      </w:r>
      <w:r w:rsidR="00F90F93">
        <w:t xml:space="preserve"> disaggregated by </w:t>
      </w:r>
      <w:r w:rsidR="00613A1C">
        <w:t>offence</w:t>
      </w:r>
      <w:r w:rsidR="00AF6A26">
        <w:t>-type</w:t>
      </w:r>
      <w:r w:rsidR="00DE73C7">
        <w:t xml:space="preserve"> and location</w:t>
      </w:r>
      <w:r w:rsidR="005D1B49">
        <w:t xml:space="preserve">, nor </w:t>
      </w:r>
      <w:r w:rsidR="00D758AA">
        <w:t>data on</w:t>
      </w:r>
      <w:r w:rsidR="005D1B49">
        <w:t xml:space="preserve"> the costs associated with policing these </w:t>
      </w:r>
      <w:r w:rsidR="0068408D">
        <w:t>specific t</w:t>
      </w:r>
      <w:r w:rsidR="003340D0">
        <w:t>ypes of crime</w:t>
      </w:r>
      <w:r w:rsidR="001E3760">
        <w:t>.</w:t>
      </w:r>
    </w:p>
    <w:p w14:paraId="7D4E5219" w14:textId="14D80405" w:rsidR="004941B1" w:rsidRDefault="000A0441" w:rsidP="007E471B">
      <w:pPr>
        <w:pStyle w:val="CGCParaNumber"/>
        <w:numPr>
          <w:ilvl w:val="1"/>
          <w:numId w:val="16"/>
        </w:numPr>
      </w:pPr>
      <w:r>
        <w:t xml:space="preserve">As some states </w:t>
      </w:r>
      <w:r w:rsidR="00B47C21">
        <w:t>raised</w:t>
      </w:r>
      <w:r>
        <w:t xml:space="preserve"> in their submissions, </w:t>
      </w:r>
      <w:r w:rsidR="00A87DD9">
        <w:t xml:space="preserve">Commonwealth assistance in </w:t>
      </w:r>
      <w:r w:rsidR="006A5FDA">
        <w:t>matters relating to more serious crimes</w:t>
      </w:r>
      <w:r w:rsidR="001B65AB">
        <w:t xml:space="preserve"> that might come under the</w:t>
      </w:r>
      <w:r w:rsidR="000B091A">
        <w:t xml:space="preserve"> definition of a</w:t>
      </w:r>
      <w:r w:rsidR="001B65AB">
        <w:t xml:space="preserve"> </w:t>
      </w:r>
      <w:r w:rsidR="00AB2CE0">
        <w:t xml:space="preserve">global city crime </w:t>
      </w:r>
      <w:r w:rsidR="00AE0E8E">
        <w:t xml:space="preserve">complicates </w:t>
      </w:r>
      <w:r w:rsidR="00002D3D">
        <w:t xml:space="preserve">the </w:t>
      </w:r>
      <w:r w:rsidR="004F30CA">
        <w:t>issue</w:t>
      </w:r>
      <w:r w:rsidR="00AE0E8E">
        <w:t>.</w:t>
      </w:r>
      <w:r w:rsidR="009A398E">
        <w:t xml:space="preserve"> </w:t>
      </w:r>
      <w:r w:rsidR="00BC10F6">
        <w:t xml:space="preserve">The Commission would need to determine </w:t>
      </w:r>
      <w:r w:rsidR="000B3D64">
        <w:t xml:space="preserve">the impact of this assistance on </w:t>
      </w:r>
      <w:r w:rsidR="00AB4F28">
        <w:t xml:space="preserve">the </w:t>
      </w:r>
      <w:r w:rsidR="00A66FA3">
        <w:t xml:space="preserve">offence rates </w:t>
      </w:r>
      <w:r w:rsidR="001E37AE">
        <w:t>for these crimes</w:t>
      </w:r>
      <w:r w:rsidR="00683904">
        <w:t xml:space="preserve"> and their a</w:t>
      </w:r>
      <w:r w:rsidR="00D673F9">
        <w:t>ssociated expenses</w:t>
      </w:r>
      <w:r w:rsidR="001E37AE">
        <w:t>.</w:t>
      </w:r>
    </w:p>
    <w:p w14:paraId="54044AC1" w14:textId="5CC4AD71" w:rsidR="009D3E0A" w:rsidRDefault="009D3E0A" w:rsidP="007E471B">
      <w:pPr>
        <w:pStyle w:val="CGCParaNumber"/>
        <w:numPr>
          <w:ilvl w:val="1"/>
          <w:numId w:val="16"/>
        </w:numPr>
      </w:pPr>
      <w:r>
        <w:lastRenderedPageBreak/>
        <w:t>Given the difficulty in defining the scope of a global cities driver and estimating offence-specific costs due to data limitations, the Commission is unable</w:t>
      </w:r>
      <w:r w:rsidR="00EA09D8">
        <w:t>,</w:t>
      </w:r>
      <w:r>
        <w:t xml:space="preserve"> </w:t>
      </w:r>
      <w:proofErr w:type="gramStart"/>
      <w:r>
        <w:t>at this time</w:t>
      </w:r>
      <w:proofErr w:type="gramEnd"/>
      <w:r w:rsidR="00EA09D8">
        <w:t>,</w:t>
      </w:r>
      <w:r>
        <w:t xml:space="preserve"> to introduce a global cities driver into the police assessment.</w:t>
      </w:r>
    </w:p>
    <w:p w14:paraId="0A3E7CDE" w14:textId="0C42F2FE" w:rsidR="0090144E" w:rsidRDefault="0090144E" w:rsidP="00240C10">
      <w:pPr>
        <w:pStyle w:val="Heading4"/>
      </w:pPr>
      <w:r w:rsidRPr="0090144E">
        <w:t xml:space="preserve">Commission </w:t>
      </w:r>
      <w:r w:rsidR="00A01CC0">
        <w:t xml:space="preserve">final draft </w:t>
      </w:r>
      <w:r w:rsidRPr="0090144E">
        <w:t>position</w:t>
      </w:r>
    </w:p>
    <w:p w14:paraId="08923D00" w14:textId="5A54F4D4" w:rsidR="00665F2C" w:rsidRPr="00665F2C" w:rsidRDefault="0053613B" w:rsidP="007E471B">
      <w:pPr>
        <w:pStyle w:val="CGCParaNumber"/>
        <w:numPr>
          <w:ilvl w:val="1"/>
          <w:numId w:val="16"/>
        </w:numPr>
      </w:pPr>
      <w:r>
        <w:t xml:space="preserve">The Commission proposes not to </w:t>
      </w:r>
      <w:r w:rsidR="00E42F7D">
        <w:t xml:space="preserve">assess </w:t>
      </w:r>
      <w:r w:rsidR="00790131">
        <w:t>a global cities driver in</w:t>
      </w:r>
      <w:r w:rsidR="00141217">
        <w:t xml:space="preserve"> the </w:t>
      </w:r>
      <w:r w:rsidR="006E4616">
        <w:t>police assessment.</w:t>
      </w:r>
    </w:p>
    <w:p w14:paraId="0AD6583C" w14:textId="38E8DA68" w:rsidR="0068378D" w:rsidRPr="00240C10" w:rsidRDefault="0068378D" w:rsidP="009A53CF">
      <w:pPr>
        <w:pStyle w:val="Heading35"/>
      </w:pPr>
      <w:r w:rsidRPr="00240C10">
        <w:t xml:space="preserve">What is the appropriate socio-economic group structure for </w:t>
      </w:r>
      <w:r w:rsidR="00C64F1F">
        <w:br/>
      </w:r>
      <w:r w:rsidRPr="00240C10">
        <w:t>First Nations people?</w:t>
      </w:r>
    </w:p>
    <w:p w14:paraId="2F004701" w14:textId="77777777" w:rsidR="0090144E" w:rsidRDefault="0090144E" w:rsidP="00240C10">
      <w:pPr>
        <w:pStyle w:val="Heading4"/>
      </w:pPr>
      <w:r w:rsidRPr="0090144E">
        <w:t>Background</w:t>
      </w:r>
    </w:p>
    <w:p w14:paraId="7B7FE7F4" w14:textId="364CD71E" w:rsidR="00665F2C" w:rsidRPr="0090144E" w:rsidRDefault="0034619D" w:rsidP="007E471B">
      <w:pPr>
        <w:pStyle w:val="CGCParaNumber"/>
        <w:numPr>
          <w:ilvl w:val="1"/>
          <w:numId w:val="16"/>
        </w:numPr>
      </w:pPr>
      <w:r w:rsidRPr="0034619D">
        <w:t>Subject to 2023–24 data, the Commission propose</w:t>
      </w:r>
      <w:r>
        <w:t>d</w:t>
      </w:r>
      <w:r w:rsidRPr="0034619D">
        <w:t xml:space="preserve"> </w:t>
      </w:r>
      <w:r w:rsidR="003E40D6">
        <w:t xml:space="preserve">moving from a 3-tier </w:t>
      </w:r>
      <w:r w:rsidR="00B76E6B">
        <w:t xml:space="preserve">structure </w:t>
      </w:r>
      <w:r w:rsidRPr="0034619D">
        <w:t>to a 5-tier structure to measure the socio-economic status of First Nations offenders.</w:t>
      </w:r>
    </w:p>
    <w:p w14:paraId="38B0BB9E" w14:textId="77777777" w:rsidR="0090144E" w:rsidRDefault="0090144E" w:rsidP="00240C10">
      <w:pPr>
        <w:pStyle w:val="Heading4"/>
      </w:pPr>
      <w:r w:rsidRPr="0090144E">
        <w:t>State views</w:t>
      </w:r>
    </w:p>
    <w:p w14:paraId="31F87499" w14:textId="3CCDFD8F" w:rsidR="00665F2C" w:rsidRDefault="00B60898" w:rsidP="007E471B">
      <w:pPr>
        <w:pStyle w:val="CGCParaNumber"/>
        <w:numPr>
          <w:ilvl w:val="1"/>
          <w:numId w:val="16"/>
        </w:numPr>
      </w:pPr>
      <w:r>
        <w:t>Victoria, Queensland, Western Australia</w:t>
      </w:r>
      <w:r w:rsidR="0070054B">
        <w:t xml:space="preserve"> and</w:t>
      </w:r>
      <w:r>
        <w:t xml:space="preserve"> Tasmania </w:t>
      </w:r>
      <w:r w:rsidR="00BF3491">
        <w:t>support</w:t>
      </w:r>
      <w:r w:rsidR="006D7943">
        <w:t>ed</w:t>
      </w:r>
      <w:r w:rsidR="00BF3491">
        <w:t xml:space="preserve"> </w:t>
      </w:r>
      <w:r w:rsidR="00D97A8C">
        <w:t>moving to a 5-tier</w:t>
      </w:r>
      <w:r w:rsidR="005A2110">
        <w:t xml:space="preserve"> structure </w:t>
      </w:r>
      <w:r w:rsidR="000B1897">
        <w:t>to measure</w:t>
      </w:r>
      <w:r w:rsidR="00B65F7A">
        <w:t xml:space="preserve"> the </w:t>
      </w:r>
      <w:r w:rsidR="00064965">
        <w:t>socio</w:t>
      </w:r>
      <w:r w:rsidR="00584729">
        <w:noBreakHyphen/>
      </w:r>
      <w:r w:rsidR="00064965">
        <w:t xml:space="preserve">economic status of First Nations offenders. </w:t>
      </w:r>
    </w:p>
    <w:p w14:paraId="353B621B" w14:textId="12765E36" w:rsidR="00E01EE7" w:rsidRDefault="00790B77" w:rsidP="007E471B">
      <w:pPr>
        <w:pStyle w:val="CGCParaNumber"/>
        <w:numPr>
          <w:ilvl w:val="1"/>
          <w:numId w:val="16"/>
        </w:numPr>
      </w:pPr>
      <w:r>
        <w:t xml:space="preserve">Victoria said that </w:t>
      </w:r>
      <w:r w:rsidR="00884FB9">
        <w:t xml:space="preserve">the Commission should adopt a 5-tier relationship </w:t>
      </w:r>
      <w:r w:rsidR="00085594">
        <w:t>regardless of the relationship</w:t>
      </w:r>
      <w:r w:rsidR="0016619B">
        <w:t xml:space="preserve"> </w:t>
      </w:r>
      <w:r w:rsidR="00DA5EC0">
        <w:t>shown</w:t>
      </w:r>
      <w:r w:rsidR="00E34A93">
        <w:t xml:space="preserve"> once 2023</w:t>
      </w:r>
      <w:r w:rsidR="00C507CE">
        <w:t>–</w:t>
      </w:r>
      <w:r w:rsidR="00E34A93">
        <w:t>24 data has been incorporated.</w:t>
      </w:r>
      <w:r w:rsidR="00400890">
        <w:t xml:space="preserve"> </w:t>
      </w:r>
      <w:r w:rsidR="00D17D5D">
        <w:t xml:space="preserve">This would account </w:t>
      </w:r>
      <w:r w:rsidR="00242528">
        <w:t>for</w:t>
      </w:r>
      <w:r w:rsidR="003A5FAA">
        <w:t xml:space="preserve"> the evolving relationship between First Nations </w:t>
      </w:r>
      <w:r w:rsidR="008958D5">
        <w:t xml:space="preserve">interactions with the justice system and </w:t>
      </w:r>
      <w:r w:rsidR="003A5FAA">
        <w:t>socio</w:t>
      </w:r>
      <w:r w:rsidR="0053187A">
        <w:t>-</w:t>
      </w:r>
      <w:r w:rsidR="003A5FAA">
        <w:t>economic</w:t>
      </w:r>
      <w:r w:rsidR="008958D5">
        <w:t xml:space="preserve"> status. </w:t>
      </w:r>
    </w:p>
    <w:p w14:paraId="4C30CFE2" w14:textId="01025BDE" w:rsidR="000F5B08" w:rsidRDefault="006F46EF" w:rsidP="007E471B">
      <w:pPr>
        <w:pStyle w:val="CGCParaNumber"/>
        <w:numPr>
          <w:ilvl w:val="1"/>
          <w:numId w:val="16"/>
        </w:numPr>
      </w:pPr>
      <w:r>
        <w:t xml:space="preserve">Queensland </w:t>
      </w:r>
      <w:r w:rsidR="001D6768">
        <w:t xml:space="preserve">said that the Commission </w:t>
      </w:r>
      <w:r w:rsidR="00EB7783">
        <w:t xml:space="preserve">should only apply a 5-tier relationship </w:t>
      </w:r>
      <w:r w:rsidR="008E4C25">
        <w:t xml:space="preserve">if </w:t>
      </w:r>
      <w:r w:rsidR="007C31C7">
        <w:t xml:space="preserve">it </w:t>
      </w:r>
      <w:r w:rsidR="008E4C25">
        <w:t>is also observed in 2023</w:t>
      </w:r>
      <w:r w:rsidR="00C507CE">
        <w:t>–</w:t>
      </w:r>
      <w:r w:rsidR="008E4C25">
        <w:t xml:space="preserve">24 data. </w:t>
      </w:r>
      <w:r w:rsidR="00426C94">
        <w:t>Otherwise, the Commission should retain the 3-tier structure.</w:t>
      </w:r>
    </w:p>
    <w:p w14:paraId="4656168A" w14:textId="4A267D8C" w:rsidR="002E6145" w:rsidRDefault="00F35290" w:rsidP="007E471B">
      <w:pPr>
        <w:pStyle w:val="CGCParaNumber"/>
        <w:numPr>
          <w:ilvl w:val="1"/>
          <w:numId w:val="16"/>
        </w:numPr>
      </w:pPr>
      <w:r w:rsidRPr="00F35290">
        <w:t>The Northern Territory ha</w:t>
      </w:r>
      <w:r w:rsidR="002F7D84">
        <w:t>d</w:t>
      </w:r>
      <w:r w:rsidRPr="00F35290">
        <w:t xml:space="preserve"> no in</w:t>
      </w:r>
      <w:r w:rsidR="000D6314">
        <w:t>-</w:t>
      </w:r>
      <w:proofErr w:type="gramStart"/>
      <w:r w:rsidRPr="00F35290">
        <w:t>principle</w:t>
      </w:r>
      <w:proofErr w:type="gramEnd"/>
      <w:r w:rsidRPr="00F35290">
        <w:t xml:space="preserve"> concerns with using a 5-tier structure</w:t>
      </w:r>
      <w:r w:rsidR="00456103">
        <w:t xml:space="preserve"> but </w:t>
      </w:r>
      <w:r w:rsidR="001471C7">
        <w:t>deferred</w:t>
      </w:r>
      <w:r w:rsidR="00456103">
        <w:t xml:space="preserve"> a final position </w:t>
      </w:r>
      <w:r w:rsidR="00670994">
        <w:t>pending</w:t>
      </w:r>
      <w:r w:rsidR="00456103">
        <w:t xml:space="preserve"> 2023</w:t>
      </w:r>
      <w:r w:rsidR="00A44485">
        <w:t>–</w:t>
      </w:r>
      <w:r w:rsidR="00456103">
        <w:t>24 data</w:t>
      </w:r>
      <w:r w:rsidRPr="00F35290">
        <w:t>.</w:t>
      </w:r>
    </w:p>
    <w:p w14:paraId="47D9BB6D" w14:textId="530ADB5A" w:rsidR="00F35290" w:rsidRPr="0090144E" w:rsidRDefault="002E6145" w:rsidP="007E471B">
      <w:pPr>
        <w:pStyle w:val="CGCParaNumber"/>
        <w:numPr>
          <w:ilvl w:val="1"/>
          <w:numId w:val="16"/>
        </w:numPr>
      </w:pPr>
      <w:r>
        <w:t xml:space="preserve">The ACT </w:t>
      </w:r>
      <w:r w:rsidR="009C0E9E">
        <w:t xml:space="preserve">suggested that the Commission </w:t>
      </w:r>
      <w:r w:rsidR="009C0E9E" w:rsidRPr="00F0673D">
        <w:t xml:space="preserve">re-test </w:t>
      </w:r>
      <w:r w:rsidR="00E16C79" w:rsidRPr="00F0673D">
        <w:t>whether</w:t>
      </w:r>
      <w:r w:rsidR="00E16C79">
        <w:t xml:space="preserve"> a uniform relationship still exists between decreased offence rates and First Nations people living in less disadvantaged areas. The ACT asked the Commission to present its analysis with 2023</w:t>
      </w:r>
      <w:r w:rsidR="00A44485">
        <w:t>–</w:t>
      </w:r>
      <w:r w:rsidR="00E16C79">
        <w:t xml:space="preserve">24 data to states before </w:t>
      </w:r>
      <w:r w:rsidR="00961CE5">
        <w:t xml:space="preserve">finalising </w:t>
      </w:r>
      <w:r w:rsidR="00E16C79">
        <w:t xml:space="preserve">any methodology change. </w:t>
      </w:r>
      <w:r w:rsidR="00F35290" w:rsidRPr="00F35290">
        <w:t xml:space="preserve"> </w:t>
      </w:r>
    </w:p>
    <w:p w14:paraId="673ED4BA" w14:textId="51FD4B7C" w:rsidR="00240C10" w:rsidRDefault="00240C10" w:rsidP="00240C10">
      <w:pPr>
        <w:pStyle w:val="Heading4"/>
      </w:pPr>
      <w:r>
        <w:t>Commission response</w:t>
      </w:r>
    </w:p>
    <w:p w14:paraId="700FE62E" w14:textId="2305BCB1" w:rsidR="004941B1" w:rsidRDefault="00247AF7" w:rsidP="007E471B">
      <w:pPr>
        <w:pStyle w:val="CGCParaNumber"/>
        <w:numPr>
          <w:ilvl w:val="1"/>
          <w:numId w:val="16"/>
        </w:numPr>
      </w:pPr>
      <w:r>
        <w:t xml:space="preserve">The Commission retested the relationship </w:t>
      </w:r>
      <w:r w:rsidR="002031B1">
        <w:t xml:space="preserve">of </w:t>
      </w:r>
      <w:r w:rsidR="005A4970">
        <w:t xml:space="preserve">First Nations offenders </w:t>
      </w:r>
      <w:r w:rsidR="003C3199">
        <w:t>disaggregated</w:t>
      </w:r>
      <w:r w:rsidR="00025CAF">
        <w:t xml:space="preserve"> by </w:t>
      </w:r>
      <w:r w:rsidR="003C3199">
        <w:t>their socio-economic status</w:t>
      </w:r>
      <w:r w:rsidR="009D3142">
        <w:t xml:space="preserve"> using an average of 2022</w:t>
      </w:r>
      <w:r w:rsidR="007B470B">
        <w:t>–</w:t>
      </w:r>
      <w:r w:rsidR="009D3142">
        <w:t>23 and 2023</w:t>
      </w:r>
      <w:r w:rsidR="007B470B">
        <w:t>–</w:t>
      </w:r>
      <w:r w:rsidR="009D3142">
        <w:t>24 data.</w:t>
      </w:r>
      <w:r w:rsidR="00CD1FCE">
        <w:t xml:space="preserve"> </w:t>
      </w:r>
      <w:r w:rsidR="005F05DB">
        <w:t xml:space="preserve">Figure </w:t>
      </w:r>
      <w:r w:rsidR="00EF1789">
        <w:t>1</w:t>
      </w:r>
      <w:r w:rsidR="005F05DB">
        <w:t xml:space="preserve"> shows th</w:t>
      </w:r>
      <w:r w:rsidR="00D125DD">
        <w:t>at</w:t>
      </w:r>
      <w:r w:rsidR="009D3142">
        <w:t xml:space="preserve"> </w:t>
      </w:r>
      <w:r w:rsidR="006E6D6F">
        <w:t xml:space="preserve">a uniform relationship exists between </w:t>
      </w:r>
      <w:r w:rsidR="00415B3C">
        <w:t>decre</w:t>
      </w:r>
      <w:r w:rsidR="00745EF3">
        <w:t>ased offence rates and First Nations people living in less disadvantaged areas.</w:t>
      </w:r>
      <w:r w:rsidR="000B4E64">
        <w:t xml:space="preserve"> </w:t>
      </w:r>
    </w:p>
    <w:p w14:paraId="3240305E" w14:textId="61484E56" w:rsidR="00B916A3" w:rsidRDefault="00B916A3" w:rsidP="000554DA">
      <w:pPr>
        <w:pStyle w:val="CGC2025Caption"/>
        <w:keepNext/>
        <w:ind w:left="1134" w:hanging="1134"/>
      </w:pPr>
      <w:r>
        <w:lastRenderedPageBreak/>
        <w:t xml:space="preserve">Figure </w:t>
      </w:r>
      <w:r w:rsidR="00EF1789">
        <w:t>1</w:t>
      </w:r>
      <w:r>
        <w:t xml:space="preserve"> </w:t>
      </w:r>
      <w:r w:rsidR="000554DA">
        <w:tab/>
      </w:r>
      <w:r w:rsidR="006B396F">
        <w:t>First Nations offenders by socio-economic status, 2022</w:t>
      </w:r>
      <w:r w:rsidR="00B17FEC">
        <w:t>–</w:t>
      </w:r>
      <w:r w:rsidR="006B396F">
        <w:t>23 and 2023</w:t>
      </w:r>
      <w:r w:rsidR="00B17FEC">
        <w:t>–</w:t>
      </w:r>
      <w:r w:rsidR="006B396F">
        <w:t>24</w:t>
      </w:r>
      <w:r w:rsidR="00EF13F6">
        <w:t xml:space="preserve"> data</w:t>
      </w:r>
    </w:p>
    <w:p w14:paraId="335E3C77" w14:textId="2DC36676" w:rsidR="0057429A" w:rsidRDefault="00EC2EDE" w:rsidP="00C5795F">
      <w:pPr>
        <w:pStyle w:val="CGCParaNumber"/>
        <w:numPr>
          <w:ilvl w:val="0"/>
          <w:numId w:val="0"/>
        </w:numPr>
      </w:pPr>
      <w:r>
        <w:rPr>
          <w:noProof/>
        </w:rPr>
        <w:drawing>
          <wp:inline distT="0" distB="0" distL="0" distR="0" wp14:anchorId="5E36DB14" wp14:editId="6A8CA7CC">
            <wp:extent cx="5731510" cy="3433445"/>
            <wp:effectExtent l="0" t="0" r="2540" b="14605"/>
            <wp:docPr id="617127863" name="Chart 1">
              <a:extLst xmlns:a="http://schemas.openxmlformats.org/drawingml/2006/main">
                <a:ext uri="{FF2B5EF4-FFF2-40B4-BE49-F238E27FC236}">
                  <a16:creationId xmlns:a16="http://schemas.microsoft.com/office/drawing/2014/main" id="{E51D0696-051A-4705-AD43-6280182C93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92ACE9" w14:textId="5E94DEAE" w:rsidR="0090144E" w:rsidRDefault="0090144E" w:rsidP="00240C10">
      <w:pPr>
        <w:pStyle w:val="Heading4"/>
      </w:pPr>
      <w:r w:rsidRPr="0090144E">
        <w:t xml:space="preserve">Commission </w:t>
      </w:r>
      <w:r w:rsidR="00CF3FA6">
        <w:t xml:space="preserve">final draft </w:t>
      </w:r>
      <w:r w:rsidRPr="0090144E">
        <w:t>position</w:t>
      </w:r>
    </w:p>
    <w:p w14:paraId="1B69DAA3" w14:textId="6AC5F330" w:rsidR="00665F2C" w:rsidRPr="00665F2C" w:rsidRDefault="00080768" w:rsidP="007E471B">
      <w:pPr>
        <w:pStyle w:val="CGCParaNumber"/>
        <w:numPr>
          <w:ilvl w:val="1"/>
          <w:numId w:val="16"/>
        </w:numPr>
      </w:pPr>
      <w:r>
        <w:t xml:space="preserve">The Commission </w:t>
      </w:r>
      <w:r w:rsidR="001A3664">
        <w:t>proposes to</w:t>
      </w:r>
      <w:r>
        <w:t xml:space="preserve"> use a 5-tier </w:t>
      </w:r>
      <w:r w:rsidR="005A08D4">
        <w:t xml:space="preserve">structure to measure </w:t>
      </w:r>
      <w:r w:rsidR="003E11B1">
        <w:t>the</w:t>
      </w:r>
      <w:r w:rsidR="00DE72B9">
        <w:t xml:space="preserve"> socio-economic status </w:t>
      </w:r>
      <w:r w:rsidR="003E11B1">
        <w:t>of First Nations offenders</w:t>
      </w:r>
      <w:r w:rsidR="006415B1">
        <w:t xml:space="preserve">. </w:t>
      </w:r>
    </w:p>
    <w:p w14:paraId="2163F60E" w14:textId="5E0214DD" w:rsidR="0068378D" w:rsidRDefault="0068378D" w:rsidP="0068378D">
      <w:pPr>
        <w:pStyle w:val="Heading3"/>
      </w:pPr>
      <w:r>
        <w:t>Criminal courts assessment</w:t>
      </w:r>
    </w:p>
    <w:p w14:paraId="16A63380" w14:textId="529FAE21" w:rsidR="0068378D" w:rsidRPr="00240C10" w:rsidRDefault="0068378D" w:rsidP="005E16F1">
      <w:pPr>
        <w:pStyle w:val="Heading35"/>
      </w:pPr>
      <w:r w:rsidRPr="00240C10">
        <w:t>Should criminal courts be assessed equal per capita?</w:t>
      </w:r>
    </w:p>
    <w:p w14:paraId="0794D476" w14:textId="77777777" w:rsidR="0090144E" w:rsidRDefault="0090144E" w:rsidP="00240C10">
      <w:pPr>
        <w:pStyle w:val="Heading4"/>
      </w:pPr>
      <w:r w:rsidRPr="0090144E">
        <w:t>Background</w:t>
      </w:r>
    </w:p>
    <w:p w14:paraId="4477E1C8" w14:textId="1D7AB3CE" w:rsidR="00665F2C" w:rsidRPr="0090144E" w:rsidRDefault="00C70612" w:rsidP="007E471B">
      <w:pPr>
        <w:pStyle w:val="CGCParaNumber"/>
        <w:numPr>
          <w:ilvl w:val="1"/>
          <w:numId w:val="16"/>
        </w:numPr>
      </w:pPr>
      <w:r>
        <w:t xml:space="preserve">The Commission proposed not to assess the criminal courts component on an equal per capita basis. </w:t>
      </w:r>
      <w:r w:rsidR="00E62ACA" w:rsidRPr="00E62ACA">
        <w:t>The Commission considers that removing the socio-demographic composition driver from the assessment would negatively affect its rigour.</w:t>
      </w:r>
    </w:p>
    <w:p w14:paraId="73A767EA" w14:textId="77777777" w:rsidR="0090144E" w:rsidRDefault="0090144E" w:rsidP="00240C10">
      <w:pPr>
        <w:pStyle w:val="Heading4"/>
      </w:pPr>
      <w:r w:rsidRPr="0090144E">
        <w:t>State views</w:t>
      </w:r>
    </w:p>
    <w:p w14:paraId="016125E1" w14:textId="588A0559" w:rsidR="002D1780" w:rsidRDefault="00094D0B" w:rsidP="007E471B">
      <w:pPr>
        <w:pStyle w:val="CGCParaNumber"/>
        <w:numPr>
          <w:ilvl w:val="1"/>
          <w:numId w:val="16"/>
        </w:numPr>
      </w:pPr>
      <w:r>
        <w:t>Queensland, Western Australia, Tasmania, the ACT and the Northern Terr</w:t>
      </w:r>
      <w:r w:rsidR="00C122B1">
        <w:t xml:space="preserve">itory </w:t>
      </w:r>
      <w:r w:rsidR="00E524C9">
        <w:t xml:space="preserve">supported not </w:t>
      </w:r>
      <w:r w:rsidR="00EA6FC0">
        <w:t xml:space="preserve">assessing criminal courts expenses </w:t>
      </w:r>
      <w:r w:rsidR="00CB7724">
        <w:t xml:space="preserve">in a deliberative equal per capita assessment. </w:t>
      </w:r>
    </w:p>
    <w:p w14:paraId="014D21AC" w14:textId="1FB88096" w:rsidR="00522950" w:rsidRDefault="472D7746" w:rsidP="76F14935">
      <w:pPr>
        <w:pStyle w:val="CGCParaNumber"/>
      </w:pPr>
      <w:r>
        <w:t xml:space="preserve">Queensland said that population explains far less of the variation in court expenses compared to the numbers of finalised defendants or court </w:t>
      </w:r>
      <w:r w:rsidR="265E3527">
        <w:t>lodgements</w:t>
      </w:r>
      <w:r>
        <w:t>.</w:t>
      </w:r>
      <w:r w:rsidR="6ED1EBF4">
        <w:t xml:space="preserve"> </w:t>
      </w:r>
      <w:r w:rsidR="61D78714">
        <w:t xml:space="preserve">Queensland </w:t>
      </w:r>
      <w:r w:rsidR="2F1D3C40">
        <w:t>consider</w:t>
      </w:r>
      <w:r w:rsidR="002C05EA">
        <w:t>ed</w:t>
      </w:r>
      <w:r w:rsidR="3FEA6238">
        <w:t xml:space="preserve"> that an equal per capita driver would incorrectly assume that all individuals have the same need for court services, disregarding the influence of soci</w:t>
      </w:r>
      <w:r w:rsidR="10B5AAA2">
        <w:t>o-economic status</w:t>
      </w:r>
      <w:r w:rsidR="353511D7">
        <w:t>,</w:t>
      </w:r>
      <w:r w:rsidR="10B5AAA2">
        <w:t xml:space="preserve"> </w:t>
      </w:r>
      <w:r w:rsidR="1686C7EC">
        <w:t xml:space="preserve">which affect the likelihood of individuals interacting with the criminal court system. </w:t>
      </w:r>
    </w:p>
    <w:p w14:paraId="337A081E" w14:textId="0BD7455C" w:rsidR="00766F67" w:rsidRDefault="00766F67" w:rsidP="007E471B">
      <w:pPr>
        <w:pStyle w:val="CGCParaNumber"/>
        <w:numPr>
          <w:ilvl w:val="1"/>
          <w:numId w:val="16"/>
        </w:numPr>
      </w:pPr>
      <w:r>
        <w:lastRenderedPageBreak/>
        <w:t xml:space="preserve">Tasmania </w:t>
      </w:r>
      <w:r w:rsidR="00B833AC">
        <w:t xml:space="preserve">said that the socio-demographic </w:t>
      </w:r>
      <w:r w:rsidR="009452F7">
        <w:t xml:space="preserve">drivers affecting the number of assessed offenders should similarly apply to the criminal courts assessment. </w:t>
      </w:r>
    </w:p>
    <w:p w14:paraId="1EC6474D" w14:textId="3568F8DD" w:rsidR="00AE38E8" w:rsidRPr="00550999" w:rsidRDefault="00527310" w:rsidP="007E471B">
      <w:pPr>
        <w:pStyle w:val="CGCParaNumber"/>
        <w:numPr>
          <w:ilvl w:val="1"/>
          <w:numId w:val="16"/>
        </w:numPr>
      </w:pPr>
      <w:r>
        <w:t>The ACT support</w:t>
      </w:r>
      <w:r w:rsidR="00C04FA7">
        <w:t>ed</w:t>
      </w:r>
      <w:r>
        <w:t xml:space="preserve"> the continued use of</w:t>
      </w:r>
      <w:r w:rsidR="00CA0FEA" w:rsidRPr="00CA0FEA">
        <w:rPr>
          <w:sz w:val="18"/>
          <w:szCs w:val="18"/>
        </w:rPr>
        <w:t xml:space="preserve"> </w:t>
      </w:r>
      <w:r w:rsidR="00CA0FEA" w:rsidRPr="00CA0FEA">
        <w:t>socio-demographic drivers in the assessment</w:t>
      </w:r>
      <w:r w:rsidR="00680962">
        <w:t>. H</w:t>
      </w:r>
      <w:r w:rsidR="00CA0FEA" w:rsidRPr="00CA0FEA">
        <w:t>owever</w:t>
      </w:r>
      <w:r w:rsidR="00680962">
        <w:t>, the ACT</w:t>
      </w:r>
      <w:r w:rsidR="00CA0FEA" w:rsidRPr="00CA0FEA">
        <w:t xml:space="preserve"> recommend</w:t>
      </w:r>
      <w:r w:rsidR="00C04FA7">
        <w:t>ed</w:t>
      </w:r>
      <w:r w:rsidR="00CA0FEA" w:rsidRPr="00CA0FEA">
        <w:t xml:space="preserve"> exploring other drivers because finalised defendants alone may not fully reflect the complexity of criminal courts costs. </w:t>
      </w:r>
      <w:r w:rsidR="00A96BAE">
        <w:t xml:space="preserve">The ACT said that </w:t>
      </w:r>
      <w:r w:rsidR="00C86BA6">
        <w:t>the number of de</w:t>
      </w:r>
      <w:r w:rsidR="00E604F4">
        <w:t xml:space="preserve">fendants alone would not capture the significant resources allocated by states to divert </w:t>
      </w:r>
      <w:r w:rsidR="00FE2D9B">
        <w:t>offenders before they enter the justice system</w:t>
      </w:r>
      <w:r w:rsidR="00E17675">
        <w:t xml:space="preserve"> or the </w:t>
      </w:r>
      <w:r w:rsidR="00341855">
        <w:t>differences in the allocation of resources</w:t>
      </w:r>
      <w:r w:rsidR="00E17675">
        <w:t xml:space="preserve"> </w:t>
      </w:r>
      <w:r w:rsidR="00E52AEF">
        <w:t xml:space="preserve">according to offence type. </w:t>
      </w:r>
      <w:r w:rsidR="00D25FF5">
        <w:t>The ACT r</w:t>
      </w:r>
      <w:r w:rsidR="00CA0FEA" w:rsidRPr="00CA0FEA">
        <w:t>ecommend</w:t>
      </w:r>
      <w:r w:rsidR="00C04FA7">
        <w:t>ed</w:t>
      </w:r>
      <w:r w:rsidR="00CA0FEA" w:rsidRPr="00CA0FEA">
        <w:t xml:space="preserve"> a 25% discount to account for data limitations</w:t>
      </w:r>
      <w:r w:rsidR="00131AD5">
        <w:t xml:space="preserve"> in the criminal courts assessment. </w:t>
      </w:r>
    </w:p>
    <w:p w14:paraId="3294DA6C" w14:textId="55E46F02" w:rsidR="00550999" w:rsidRDefault="001B3F07" w:rsidP="007E471B">
      <w:pPr>
        <w:pStyle w:val="CGCParaNumber"/>
        <w:numPr>
          <w:ilvl w:val="1"/>
          <w:numId w:val="16"/>
        </w:numPr>
      </w:pPr>
      <w:r>
        <w:t xml:space="preserve">The Northern Territory said that </w:t>
      </w:r>
      <w:r w:rsidR="002C29F8" w:rsidRPr="002C29F8">
        <w:t>defendant rates are highly correlated with demographic</w:t>
      </w:r>
      <w:r w:rsidR="00A13656">
        <w:t>s</w:t>
      </w:r>
      <w:r w:rsidR="00AF2A65">
        <w:t xml:space="preserve"> and </w:t>
      </w:r>
      <w:r w:rsidR="00BE14D5">
        <w:t>that it</w:t>
      </w:r>
      <w:r w:rsidR="002C29F8" w:rsidRPr="002C29F8">
        <w:t xml:space="preserve"> is not credible to suggest defendant rates have no bearing on court costs.</w:t>
      </w:r>
    </w:p>
    <w:p w14:paraId="451236AF" w14:textId="7071A6B6" w:rsidR="002D1780" w:rsidRDefault="00D57E6C" w:rsidP="007E471B">
      <w:pPr>
        <w:pStyle w:val="CGCParaNumber"/>
        <w:numPr>
          <w:ilvl w:val="1"/>
          <w:numId w:val="16"/>
        </w:numPr>
      </w:pPr>
      <w:r>
        <w:t xml:space="preserve">Victoria supported a deliberative equal per capita approach being adopted by the Commission. </w:t>
      </w:r>
      <w:r w:rsidR="00190E78">
        <w:t xml:space="preserve">Victoria </w:t>
      </w:r>
      <w:r w:rsidR="002F261B">
        <w:t xml:space="preserve">reiterated </w:t>
      </w:r>
      <w:r w:rsidR="00EF02FD">
        <w:t xml:space="preserve">its position </w:t>
      </w:r>
      <w:r w:rsidR="00A76017">
        <w:t xml:space="preserve">that </w:t>
      </w:r>
      <w:r w:rsidR="00EF02FD">
        <w:t xml:space="preserve">population is a better </w:t>
      </w:r>
      <w:r w:rsidR="001745E9">
        <w:t>predictor</w:t>
      </w:r>
      <w:r w:rsidR="00EF02FD">
        <w:t xml:space="preserve"> of </w:t>
      </w:r>
      <w:r w:rsidR="00EF4362">
        <w:t>court expenses than finalisation</w:t>
      </w:r>
      <w:r w:rsidR="00A76017">
        <w:t>s</w:t>
      </w:r>
      <w:r w:rsidR="005D5FA1">
        <w:t>.</w:t>
      </w:r>
      <w:r w:rsidR="00A76017">
        <w:t xml:space="preserve"> </w:t>
      </w:r>
      <w:r w:rsidR="00B34160">
        <w:t>The variation</w:t>
      </w:r>
      <w:r w:rsidR="00FC41AB">
        <w:t xml:space="preserve"> between </w:t>
      </w:r>
      <w:r w:rsidR="00C750C2">
        <w:t xml:space="preserve">finalisation rates per capita and </w:t>
      </w:r>
      <w:r w:rsidR="00FC41AB">
        <w:t xml:space="preserve">costs per finalisations </w:t>
      </w:r>
      <w:r w:rsidR="003B43A1">
        <w:t xml:space="preserve">between states </w:t>
      </w:r>
      <w:r w:rsidR="00FC41AB">
        <w:t>suggests that a large proportion of expen</w:t>
      </w:r>
      <w:r w:rsidR="00C50206">
        <w:t>diture is independent of the number of finalisations.</w:t>
      </w:r>
      <w:r w:rsidR="003B43A1">
        <w:t xml:space="preserve"> </w:t>
      </w:r>
      <w:r w:rsidR="00351134">
        <w:t>Victoria</w:t>
      </w:r>
      <w:r w:rsidR="00DC630E">
        <w:t xml:space="preserve"> </w:t>
      </w:r>
      <w:r w:rsidR="00A76017">
        <w:t>said</w:t>
      </w:r>
      <w:r w:rsidR="00351134">
        <w:t xml:space="preserve"> that </w:t>
      </w:r>
      <w:r w:rsidR="00A85FA1">
        <w:t xml:space="preserve">population is the best theoretical and empirical driver of need. </w:t>
      </w:r>
    </w:p>
    <w:p w14:paraId="2F3E09D0" w14:textId="20A153A7" w:rsidR="00410913" w:rsidRPr="0090144E" w:rsidRDefault="00410913" w:rsidP="007E471B">
      <w:pPr>
        <w:pStyle w:val="CGCParaNumber"/>
        <w:numPr>
          <w:ilvl w:val="1"/>
          <w:numId w:val="16"/>
        </w:numPr>
      </w:pPr>
      <w:r>
        <w:t>New South Wales</w:t>
      </w:r>
      <w:r w:rsidR="005F4C66">
        <w:t xml:space="preserve"> </w:t>
      </w:r>
      <w:r w:rsidR="00E932FB">
        <w:t xml:space="preserve">considered </w:t>
      </w:r>
      <w:r w:rsidR="0092590B">
        <w:t xml:space="preserve">the evidence produced by Victoria </w:t>
      </w:r>
      <w:r w:rsidR="00767790">
        <w:t xml:space="preserve">in response to the </w:t>
      </w:r>
      <w:r w:rsidR="00D85FD5">
        <w:t>D</w:t>
      </w:r>
      <w:r w:rsidR="00767790">
        <w:t xml:space="preserve">raft </w:t>
      </w:r>
      <w:r w:rsidR="007D3C18">
        <w:t>R</w:t>
      </w:r>
      <w:r w:rsidR="00767790">
        <w:t>eport</w:t>
      </w:r>
      <w:r w:rsidR="0092590B">
        <w:t xml:space="preserve"> </w:t>
      </w:r>
      <w:r w:rsidR="007311E8">
        <w:t xml:space="preserve">showed a clear relationship between </w:t>
      </w:r>
      <w:r w:rsidR="00767790">
        <w:t xml:space="preserve">population and court expenses. </w:t>
      </w:r>
    </w:p>
    <w:p w14:paraId="45DC6353" w14:textId="1D17CB3B" w:rsidR="00240C10" w:rsidRDefault="00240C10" w:rsidP="00240C10">
      <w:pPr>
        <w:pStyle w:val="Heading4"/>
      </w:pPr>
      <w:r w:rsidRPr="003070C3">
        <w:t>Commission response</w:t>
      </w:r>
    </w:p>
    <w:p w14:paraId="002C622A" w14:textId="77BF2576" w:rsidR="00E34462" w:rsidRPr="00DE543F" w:rsidRDefault="00D73976" w:rsidP="007E471B">
      <w:pPr>
        <w:pStyle w:val="CGCParaNumber"/>
        <w:numPr>
          <w:ilvl w:val="1"/>
          <w:numId w:val="16"/>
        </w:numPr>
      </w:pPr>
      <w:r>
        <w:t xml:space="preserve">The Commission </w:t>
      </w:r>
      <w:r w:rsidR="00461D73">
        <w:t>applies</w:t>
      </w:r>
      <w:r w:rsidR="00A3306E">
        <w:t xml:space="preserve"> </w:t>
      </w:r>
      <w:r w:rsidR="00AE3207">
        <w:t xml:space="preserve">deliberative </w:t>
      </w:r>
      <w:r w:rsidR="004E0653">
        <w:t>equal per capita</w:t>
      </w:r>
      <w:r w:rsidR="00AE3207">
        <w:t xml:space="preserve"> assessments </w:t>
      </w:r>
      <w:r w:rsidR="00607881">
        <w:t xml:space="preserve">in circumstances where </w:t>
      </w:r>
      <w:r w:rsidR="00164386">
        <w:t>state services are</w:t>
      </w:r>
      <w:r w:rsidR="00EB5615">
        <w:t xml:space="preserve"> </w:t>
      </w:r>
      <w:r w:rsidR="00E327E3">
        <w:t>broadly</w:t>
      </w:r>
      <w:r w:rsidR="00EB5615">
        <w:t xml:space="preserve"> provided for the </w:t>
      </w:r>
      <w:r w:rsidR="00D30AFA">
        <w:t xml:space="preserve">entire state population. </w:t>
      </w:r>
      <w:r w:rsidR="00E34462">
        <w:t>As only a proportion of the population become defendants</w:t>
      </w:r>
      <w:r w:rsidR="00E44BB5" w:rsidRPr="00E44BB5">
        <w:t xml:space="preserve"> </w:t>
      </w:r>
      <w:r w:rsidR="00E44BB5">
        <w:t>and</w:t>
      </w:r>
      <w:r w:rsidR="00E44BB5" w:rsidRPr="00E44BB5">
        <w:t xml:space="preserve"> </w:t>
      </w:r>
      <w:r w:rsidR="00E44BB5">
        <w:t>the use of criminal courts services is driven by the number of defendants</w:t>
      </w:r>
      <w:r w:rsidR="00E34462">
        <w:t xml:space="preserve">, a socio-demographic </w:t>
      </w:r>
      <w:r w:rsidR="00456683">
        <w:t xml:space="preserve">composition </w:t>
      </w:r>
      <w:r w:rsidR="00E34462">
        <w:t xml:space="preserve">approach </w:t>
      </w:r>
      <w:r w:rsidR="00EB0304">
        <w:t>to assessing expenses</w:t>
      </w:r>
      <w:r w:rsidR="00E34462">
        <w:t xml:space="preserve"> is supported by a strong conceptual case.</w:t>
      </w:r>
      <w:r w:rsidR="00FB4DD9">
        <w:t xml:space="preserve"> </w:t>
      </w:r>
      <w:r w:rsidR="00C6290E">
        <w:t xml:space="preserve">This is consistent with </w:t>
      </w:r>
      <w:r w:rsidR="000F243D">
        <w:t>the</w:t>
      </w:r>
      <w:r w:rsidR="00C6290E">
        <w:t xml:space="preserve"> </w:t>
      </w:r>
      <w:r w:rsidR="00C16E85">
        <w:t>police and prisons components that reco</w:t>
      </w:r>
      <w:r w:rsidR="006E3685">
        <w:t xml:space="preserve">gnise </w:t>
      </w:r>
      <w:r w:rsidR="007B19F3">
        <w:t xml:space="preserve">only a </w:t>
      </w:r>
      <w:r w:rsidR="006A494D">
        <w:t xml:space="preserve">proportion of the population </w:t>
      </w:r>
      <w:r w:rsidR="00F26790">
        <w:t>become offenders</w:t>
      </w:r>
      <w:r w:rsidR="006A494D">
        <w:t xml:space="preserve"> </w:t>
      </w:r>
      <w:r w:rsidR="0048738F">
        <w:t>and prisoners.</w:t>
      </w:r>
    </w:p>
    <w:p w14:paraId="2EF00BAC" w14:textId="249BDB97" w:rsidR="00134ECD" w:rsidRDefault="003070C3" w:rsidP="007E471B">
      <w:pPr>
        <w:pStyle w:val="CGCParaNumber"/>
        <w:numPr>
          <w:ilvl w:val="1"/>
          <w:numId w:val="16"/>
        </w:numPr>
      </w:pPr>
      <w:r w:rsidRPr="003070C3">
        <w:t xml:space="preserve">The </w:t>
      </w:r>
      <w:r>
        <w:t xml:space="preserve">Commission </w:t>
      </w:r>
      <w:r w:rsidR="00223E50">
        <w:t xml:space="preserve">considers </w:t>
      </w:r>
      <w:r w:rsidR="006013A7">
        <w:t xml:space="preserve">finalised </w:t>
      </w:r>
      <w:r w:rsidR="006F53A5" w:rsidRPr="003070C3">
        <w:t>defendant</w:t>
      </w:r>
      <w:r w:rsidR="003D17B1">
        <w:t>s remain</w:t>
      </w:r>
      <w:r w:rsidR="00617883">
        <w:t xml:space="preserve"> an appropriate</w:t>
      </w:r>
      <w:r w:rsidR="006F53A5" w:rsidRPr="003070C3">
        <w:t xml:space="preserve"> measure of </w:t>
      </w:r>
      <w:r w:rsidR="00B21E9B" w:rsidRPr="003070C3">
        <w:t xml:space="preserve">criminal courts </w:t>
      </w:r>
      <w:r w:rsidR="00C430E8">
        <w:t xml:space="preserve">expense </w:t>
      </w:r>
      <w:r w:rsidR="00B21E9B" w:rsidRPr="003070C3">
        <w:t>need</w:t>
      </w:r>
      <w:r w:rsidR="00C430E8">
        <w:t>s</w:t>
      </w:r>
      <w:r w:rsidR="00B21E9B" w:rsidRPr="003070C3">
        <w:t>.</w:t>
      </w:r>
      <w:r w:rsidR="00C430E8">
        <w:t xml:space="preserve"> </w:t>
      </w:r>
      <w:r w:rsidR="00003066">
        <w:t xml:space="preserve">It acknowledges that </w:t>
      </w:r>
      <w:r w:rsidR="00D3093E">
        <w:t>other drivers of criminal court expenses</w:t>
      </w:r>
      <w:r w:rsidR="0007106C">
        <w:t xml:space="preserve"> exist</w:t>
      </w:r>
      <w:r w:rsidR="001C19AC">
        <w:t xml:space="preserve">, </w:t>
      </w:r>
      <w:r w:rsidR="00A00E4B">
        <w:t xml:space="preserve">such as case complexity, </w:t>
      </w:r>
      <w:r w:rsidR="0072004B">
        <w:t xml:space="preserve">but data </w:t>
      </w:r>
      <w:r w:rsidR="00512A74">
        <w:t xml:space="preserve">limitations </w:t>
      </w:r>
      <w:r w:rsidR="00BB3AF5">
        <w:t xml:space="preserve">prevent it from </w:t>
      </w:r>
      <w:r w:rsidR="006C65C3">
        <w:t>including these in the assessment.</w:t>
      </w:r>
    </w:p>
    <w:p w14:paraId="1BA79892" w14:textId="38D6A37A" w:rsidR="0090144E" w:rsidRDefault="0090144E" w:rsidP="00240C10">
      <w:pPr>
        <w:pStyle w:val="Heading4"/>
      </w:pPr>
      <w:r w:rsidRPr="0090144E">
        <w:t xml:space="preserve">Commission </w:t>
      </w:r>
      <w:r w:rsidR="00CF3FA6">
        <w:t xml:space="preserve">final draft </w:t>
      </w:r>
      <w:r w:rsidRPr="0090144E">
        <w:t>positio</w:t>
      </w:r>
      <w:r>
        <w:t>n</w:t>
      </w:r>
    </w:p>
    <w:p w14:paraId="222CC052" w14:textId="462ECEDB" w:rsidR="00665F2C" w:rsidRPr="00665F2C" w:rsidRDefault="001C56F3" w:rsidP="007E471B">
      <w:pPr>
        <w:pStyle w:val="CGCParaNumber"/>
        <w:numPr>
          <w:ilvl w:val="1"/>
          <w:numId w:val="16"/>
        </w:numPr>
      </w:pPr>
      <w:r>
        <w:t>The Commissio</w:t>
      </w:r>
      <w:r w:rsidR="00ED2558">
        <w:t xml:space="preserve">n </w:t>
      </w:r>
      <w:r w:rsidR="000A2A38">
        <w:t>proposes</w:t>
      </w:r>
      <w:r w:rsidR="000D334D">
        <w:t xml:space="preserve"> to</w:t>
      </w:r>
      <w:r w:rsidR="00ED2558">
        <w:t xml:space="preserve"> not assess the criminal courts component on an equal per capita basis</w:t>
      </w:r>
      <w:r w:rsidR="00E32B22">
        <w:t xml:space="preserve"> and continue </w:t>
      </w:r>
      <w:r w:rsidR="00F46BD3">
        <w:t xml:space="preserve">using </w:t>
      </w:r>
      <w:r w:rsidR="00AD17AB">
        <w:rPr>
          <w:rFonts w:eastAsia="Calibri" w:cs="Arial"/>
        </w:rPr>
        <w:t xml:space="preserve">finalised </w:t>
      </w:r>
      <w:r w:rsidR="00A93C24">
        <w:rPr>
          <w:rFonts w:eastAsia="Calibri" w:cs="Arial"/>
        </w:rPr>
        <w:t>defend</w:t>
      </w:r>
      <w:r w:rsidR="00AD17AB">
        <w:rPr>
          <w:rFonts w:eastAsia="Calibri" w:cs="Arial"/>
        </w:rPr>
        <w:t>a</w:t>
      </w:r>
      <w:r w:rsidR="00A93C24">
        <w:rPr>
          <w:rFonts w:eastAsia="Calibri" w:cs="Arial"/>
        </w:rPr>
        <w:t>nts</w:t>
      </w:r>
      <w:r w:rsidR="00ED2558">
        <w:t xml:space="preserve">. </w:t>
      </w:r>
    </w:p>
    <w:p w14:paraId="2846530D" w14:textId="6C8A3B23" w:rsidR="0068378D" w:rsidRPr="00240C10" w:rsidRDefault="0068378D" w:rsidP="00080EC4">
      <w:pPr>
        <w:pStyle w:val="Heading35"/>
        <w:keepNext/>
      </w:pPr>
      <w:r w:rsidRPr="00240C10">
        <w:lastRenderedPageBreak/>
        <w:t>Do data support an assessment of regional costs for criminal and civil courts?</w:t>
      </w:r>
    </w:p>
    <w:p w14:paraId="4653094D" w14:textId="77777777" w:rsidR="0090144E" w:rsidRDefault="0090144E" w:rsidP="00240C10">
      <w:pPr>
        <w:pStyle w:val="Heading4"/>
      </w:pPr>
      <w:r w:rsidRPr="0090144E">
        <w:t>Background</w:t>
      </w:r>
    </w:p>
    <w:p w14:paraId="7A1B3749" w14:textId="1F937E8B" w:rsidR="00665F2C" w:rsidRPr="0090144E" w:rsidRDefault="00D4523E" w:rsidP="007E471B">
      <w:pPr>
        <w:pStyle w:val="CGCParaNumber"/>
        <w:numPr>
          <w:ilvl w:val="1"/>
          <w:numId w:val="16"/>
        </w:numPr>
      </w:pPr>
      <w:r>
        <w:t xml:space="preserve">Subject to 2023–24 data, the Commission proposed to discontinue assessing regional costs for criminal and civil courts. </w:t>
      </w:r>
      <w:r w:rsidR="00FA1075">
        <w:t>Analysis of the available data did not show a clear relationship between remoteness and magistrates court expenses. While based on analysis of data from 5 states, the Commission consider</w:t>
      </w:r>
      <w:r w:rsidR="007770C8">
        <w:t>ed</w:t>
      </w:r>
      <w:r w:rsidR="00FA1075">
        <w:t xml:space="preserve"> that this analysis </w:t>
      </w:r>
      <w:r w:rsidR="000835B1">
        <w:t>wa</w:t>
      </w:r>
      <w:r w:rsidR="00FA1075">
        <w:t>s representative of the average experience of all states because data were from states of varying size and remoteness profiles.</w:t>
      </w:r>
    </w:p>
    <w:p w14:paraId="7A98AD01" w14:textId="77777777" w:rsidR="0090144E" w:rsidRDefault="0090144E" w:rsidP="00240C10">
      <w:pPr>
        <w:pStyle w:val="Heading4"/>
      </w:pPr>
      <w:r w:rsidRPr="0090144E">
        <w:t>State views</w:t>
      </w:r>
    </w:p>
    <w:p w14:paraId="348F5BC4" w14:textId="256E430D" w:rsidR="00665F2C" w:rsidRDefault="001D01D3" w:rsidP="007E471B">
      <w:pPr>
        <w:pStyle w:val="CGCParaNumber"/>
        <w:numPr>
          <w:ilvl w:val="1"/>
          <w:numId w:val="16"/>
        </w:numPr>
      </w:pPr>
      <w:r>
        <w:t>New South Wales, Victoria, Tasmania and the ACT supported</w:t>
      </w:r>
      <w:r w:rsidR="0052781A">
        <w:t xml:space="preserve"> the Commission</w:t>
      </w:r>
      <w:r w:rsidR="00C66A8E">
        <w:t>’</w:t>
      </w:r>
      <w:r w:rsidR="0052781A">
        <w:t>s proposal to remove the regional gradient from the criminal courts and other legal services assessment.</w:t>
      </w:r>
    </w:p>
    <w:p w14:paraId="61B83106" w14:textId="5E5A8C80" w:rsidR="00AC0DC6" w:rsidRDefault="00AC0DC6" w:rsidP="007E471B">
      <w:pPr>
        <w:pStyle w:val="CGCParaNumber"/>
        <w:numPr>
          <w:ilvl w:val="1"/>
          <w:numId w:val="16"/>
        </w:numPr>
      </w:pPr>
      <w:r>
        <w:t xml:space="preserve">New South Wales </w:t>
      </w:r>
      <w:r w:rsidR="00505FEB">
        <w:t xml:space="preserve">said </w:t>
      </w:r>
      <w:r>
        <w:t xml:space="preserve">that </w:t>
      </w:r>
      <w:r w:rsidR="00B27C0F">
        <w:t xml:space="preserve">the </w:t>
      </w:r>
      <w:r w:rsidR="003B2926">
        <w:t>inclusion</w:t>
      </w:r>
      <w:r w:rsidR="00B27C0F">
        <w:t xml:space="preserve"> of technology in courts has </w:t>
      </w:r>
      <w:r w:rsidR="007B0AAA">
        <w:t>eliminated</w:t>
      </w:r>
      <w:r w:rsidR="00B27C0F">
        <w:t xml:space="preserve"> </w:t>
      </w:r>
      <w:r w:rsidR="003B2926">
        <w:t xml:space="preserve">any additional </w:t>
      </w:r>
      <w:r w:rsidR="00B27C0F">
        <w:t xml:space="preserve">costs </w:t>
      </w:r>
      <w:r w:rsidR="002B76EB">
        <w:t>driven by</w:t>
      </w:r>
      <w:r w:rsidR="00B27C0F">
        <w:t xml:space="preserve"> remoteness.</w:t>
      </w:r>
      <w:r w:rsidR="00A4447B">
        <w:t xml:space="preserve"> It noted that soon all bail hearing</w:t>
      </w:r>
      <w:r w:rsidR="001B0944">
        <w:t>s</w:t>
      </w:r>
      <w:r w:rsidR="00A4447B">
        <w:t xml:space="preserve"> will be held virtually in New South Wales.</w:t>
      </w:r>
    </w:p>
    <w:p w14:paraId="62A181CC" w14:textId="07E0AF93" w:rsidR="00EE7058" w:rsidRDefault="009A0D2E" w:rsidP="007E471B">
      <w:pPr>
        <w:pStyle w:val="CGCParaNumber"/>
        <w:numPr>
          <w:ilvl w:val="1"/>
          <w:numId w:val="16"/>
        </w:numPr>
      </w:pPr>
      <w:r>
        <w:t xml:space="preserve">Victoria said that there should be no </w:t>
      </w:r>
      <w:r w:rsidR="007D2709">
        <w:t xml:space="preserve">regional cost </w:t>
      </w:r>
      <w:r>
        <w:t>weight because data w</w:t>
      </w:r>
      <w:r w:rsidR="00837A91">
        <w:t>ere</w:t>
      </w:r>
      <w:r>
        <w:t xml:space="preserve"> only provided by 5 states</w:t>
      </w:r>
      <w:r w:rsidR="00E20BAB">
        <w:t xml:space="preserve">, </w:t>
      </w:r>
      <w:r w:rsidR="004310E9">
        <w:t>so</w:t>
      </w:r>
      <w:r w:rsidR="00E20BAB">
        <w:t xml:space="preserve"> unrepresentative of the national average and unfit for purpose. </w:t>
      </w:r>
      <w:r w:rsidR="003B3A51">
        <w:t xml:space="preserve">Victoria did not consider size and remoteness profiles to be major drivers of difference in per capita expenditure. </w:t>
      </w:r>
    </w:p>
    <w:p w14:paraId="4CA08904" w14:textId="38BA5CEF" w:rsidR="00943EBB" w:rsidRDefault="00943EBB" w:rsidP="007E471B">
      <w:pPr>
        <w:pStyle w:val="CGCParaNumber"/>
        <w:numPr>
          <w:ilvl w:val="1"/>
          <w:numId w:val="16"/>
        </w:numPr>
      </w:pPr>
      <w:r>
        <w:t xml:space="preserve">Tasmania </w:t>
      </w:r>
      <w:r w:rsidR="004246C7">
        <w:t>said</w:t>
      </w:r>
      <w:r>
        <w:t xml:space="preserve"> that</w:t>
      </w:r>
      <w:r w:rsidR="009C3830">
        <w:t>,</w:t>
      </w:r>
      <w:r>
        <w:t xml:space="preserve"> while it did not have data on </w:t>
      </w:r>
      <w:r w:rsidR="005042D6">
        <w:t>the use of audio</w:t>
      </w:r>
      <w:r w:rsidR="00C422EF">
        <w:t xml:space="preserve">visual technology in regional courts, </w:t>
      </w:r>
      <w:r w:rsidR="00440A6A">
        <w:t>it supported the removal of</w:t>
      </w:r>
      <w:r w:rsidR="00172FC9">
        <w:t xml:space="preserve"> the regional gradient for criminal courts. </w:t>
      </w:r>
    </w:p>
    <w:p w14:paraId="7C9DA4D3" w14:textId="4613545A" w:rsidR="009A40BB" w:rsidRDefault="009A40BB" w:rsidP="007E471B">
      <w:pPr>
        <w:pStyle w:val="CGCParaNumber"/>
        <w:numPr>
          <w:ilvl w:val="1"/>
          <w:numId w:val="16"/>
        </w:numPr>
      </w:pPr>
      <w:r>
        <w:t xml:space="preserve">The ACT said that the Commission should confirm that this is a long-term trend and </w:t>
      </w:r>
      <w:r w:rsidR="002645A0">
        <w:t>not a one-off anomaly embedded in 2022</w:t>
      </w:r>
      <w:r w:rsidR="00C507CE">
        <w:t>–</w:t>
      </w:r>
      <w:r w:rsidR="002645A0">
        <w:t xml:space="preserve">23 data. </w:t>
      </w:r>
      <w:r w:rsidR="003B7377">
        <w:t xml:space="preserve">The ACT </w:t>
      </w:r>
      <w:r w:rsidR="006E5064">
        <w:t>said that limits in data sharing mean</w:t>
      </w:r>
      <w:r w:rsidR="007B1D5A">
        <w:t xml:space="preserve"> that</w:t>
      </w:r>
      <w:r w:rsidR="003B7377">
        <w:t xml:space="preserve"> the </w:t>
      </w:r>
      <w:r w:rsidR="006E5064">
        <w:t>ACT is unable to</w:t>
      </w:r>
      <w:r w:rsidR="00AB28EE">
        <w:t xml:space="preserve"> </w:t>
      </w:r>
      <w:r w:rsidR="00666F65">
        <w:t>ascertain</w:t>
      </w:r>
      <w:r w:rsidR="00F32106">
        <w:t xml:space="preserve"> whether costs reflected in 2022</w:t>
      </w:r>
      <w:r w:rsidR="00F81F7F">
        <w:t>–</w:t>
      </w:r>
      <w:r w:rsidR="00F32106">
        <w:t xml:space="preserve">23 </w:t>
      </w:r>
      <w:r w:rsidR="00627D46">
        <w:t xml:space="preserve">also include one-off capital expenditures incurred by </w:t>
      </w:r>
      <w:r w:rsidR="003075D5">
        <w:t>states centrally and which may distort the</w:t>
      </w:r>
      <w:r w:rsidR="00627D46">
        <w:t xml:space="preserve"> </w:t>
      </w:r>
      <w:r w:rsidR="007431F2">
        <w:t xml:space="preserve">cost allocation between urban and </w:t>
      </w:r>
      <w:r w:rsidR="00666F65">
        <w:t>remote areas.</w:t>
      </w:r>
      <w:r w:rsidR="003B7377">
        <w:t xml:space="preserve"> </w:t>
      </w:r>
      <w:r w:rsidR="00386D28">
        <w:t>The ACT asked that the Commission conduct an expanded literature review to confirm that this shift is structural and long</w:t>
      </w:r>
      <w:r w:rsidR="00147092">
        <w:t>-</w:t>
      </w:r>
      <w:r w:rsidR="00386D28">
        <w:t>term.</w:t>
      </w:r>
    </w:p>
    <w:p w14:paraId="2DAB58A7" w14:textId="6627EE75" w:rsidR="0052781A" w:rsidRDefault="0052781A" w:rsidP="007E471B">
      <w:pPr>
        <w:pStyle w:val="CGCParaNumber"/>
        <w:numPr>
          <w:ilvl w:val="1"/>
          <w:numId w:val="16"/>
        </w:numPr>
      </w:pPr>
      <w:r>
        <w:t xml:space="preserve">Queensland, Western Australia and the Northern Territory </w:t>
      </w:r>
      <w:r w:rsidR="00AB53AA">
        <w:t xml:space="preserve">said that the Commission should retain the </w:t>
      </w:r>
      <w:r w:rsidR="00E63957">
        <w:t xml:space="preserve">regional gradient applied to criminal courts and other legal services. </w:t>
      </w:r>
    </w:p>
    <w:p w14:paraId="5D2610B0" w14:textId="58FB34FA" w:rsidR="002645A0" w:rsidRDefault="00E712A5" w:rsidP="007E471B">
      <w:pPr>
        <w:pStyle w:val="CGCParaNumber"/>
        <w:numPr>
          <w:ilvl w:val="1"/>
          <w:numId w:val="16"/>
        </w:numPr>
      </w:pPr>
      <w:r>
        <w:t xml:space="preserve">Queensland </w:t>
      </w:r>
      <w:r w:rsidR="00132EBC">
        <w:t>said that the Commission should retain the 2020 Review gradient</w:t>
      </w:r>
      <w:r w:rsidR="002962B3">
        <w:t xml:space="preserve">. This would capture </w:t>
      </w:r>
      <w:r w:rsidR="00D82599">
        <w:t xml:space="preserve">the </w:t>
      </w:r>
      <w:r w:rsidR="00686036">
        <w:t xml:space="preserve">additional </w:t>
      </w:r>
      <w:r w:rsidR="00D82599">
        <w:t>costs a</w:t>
      </w:r>
      <w:r w:rsidR="001F0E2B">
        <w:t xml:space="preserve">ssociated with </w:t>
      </w:r>
      <w:r w:rsidR="002962B3">
        <w:t>travel</w:t>
      </w:r>
      <w:r w:rsidR="00686036">
        <w:t xml:space="preserve">ling to </w:t>
      </w:r>
      <w:r w:rsidR="005E7BED">
        <w:t xml:space="preserve">attend </w:t>
      </w:r>
      <w:r w:rsidR="00B73BBE">
        <w:t xml:space="preserve">remote courts. </w:t>
      </w:r>
      <w:r w:rsidR="005E7BED">
        <w:t>Q</w:t>
      </w:r>
      <w:r w:rsidR="000A5765">
        <w:t xml:space="preserve">ueensland argued that </w:t>
      </w:r>
      <w:r w:rsidR="00591177">
        <w:t>whil</w:t>
      </w:r>
      <w:r w:rsidR="00765774">
        <w:t>e</w:t>
      </w:r>
      <w:r w:rsidR="00591177">
        <w:t xml:space="preserve"> </w:t>
      </w:r>
      <w:r w:rsidR="00C664E8">
        <w:t>structural</w:t>
      </w:r>
      <w:r w:rsidR="00736FD4">
        <w:t xml:space="preserve"> changes </w:t>
      </w:r>
      <w:r w:rsidR="00591177">
        <w:t xml:space="preserve">have occurred </w:t>
      </w:r>
      <w:r w:rsidR="00736FD4">
        <w:t>in c</w:t>
      </w:r>
      <w:r w:rsidR="001611A8">
        <w:t>ourts</w:t>
      </w:r>
      <w:r w:rsidR="00591177">
        <w:t xml:space="preserve">, </w:t>
      </w:r>
      <w:r w:rsidR="00FF78BA">
        <w:t xml:space="preserve">implementation </w:t>
      </w:r>
      <w:r w:rsidR="006924F3">
        <w:t>challenges remain</w:t>
      </w:r>
      <w:r w:rsidR="00004E44">
        <w:t>.</w:t>
      </w:r>
      <w:r w:rsidR="00A662AF">
        <w:t xml:space="preserve"> </w:t>
      </w:r>
      <w:r w:rsidR="003966D2">
        <w:t>T</w:t>
      </w:r>
      <w:r w:rsidR="002962B3">
        <w:t xml:space="preserve">he </w:t>
      </w:r>
      <w:r w:rsidR="004344A5">
        <w:t xml:space="preserve">capital works </w:t>
      </w:r>
      <w:r w:rsidR="00305DFF">
        <w:t>costs</w:t>
      </w:r>
      <w:r w:rsidR="004344A5">
        <w:t xml:space="preserve"> for installing</w:t>
      </w:r>
      <w:r w:rsidR="002962B3">
        <w:t xml:space="preserve"> audio-visual technology in older courts and prisons</w:t>
      </w:r>
      <w:r w:rsidR="007F23BC">
        <w:t>, particularly those in remote and regional areas</w:t>
      </w:r>
      <w:r w:rsidR="004344A5">
        <w:t xml:space="preserve">, </w:t>
      </w:r>
      <w:r w:rsidR="000F3938">
        <w:t>just</w:t>
      </w:r>
      <w:r w:rsidR="00305DFF">
        <w:t>if</w:t>
      </w:r>
      <w:r w:rsidR="001A4932">
        <w:t>y</w:t>
      </w:r>
      <w:r w:rsidR="00305DFF">
        <w:t xml:space="preserve"> the need to </w:t>
      </w:r>
      <w:r w:rsidR="008B651B">
        <w:t xml:space="preserve">retain a </w:t>
      </w:r>
      <w:r w:rsidR="007E4DCC">
        <w:t xml:space="preserve">regional cost gradient. </w:t>
      </w:r>
      <w:r w:rsidR="007F23BC">
        <w:t xml:space="preserve"> </w:t>
      </w:r>
    </w:p>
    <w:p w14:paraId="10F900C3" w14:textId="370C92C3" w:rsidR="00A529B3" w:rsidRDefault="123BCC7A" w:rsidP="76F14935">
      <w:pPr>
        <w:pStyle w:val="CGCParaNumber"/>
      </w:pPr>
      <w:r>
        <w:lastRenderedPageBreak/>
        <w:t xml:space="preserve">Western Australia </w:t>
      </w:r>
      <w:r w:rsidR="3E2CD157">
        <w:t>noted</w:t>
      </w:r>
      <w:r w:rsidR="3D4649E9">
        <w:t xml:space="preserve"> that </w:t>
      </w:r>
      <w:r w:rsidR="0BD03B41">
        <w:t xml:space="preserve">the Perth </w:t>
      </w:r>
      <w:r w:rsidR="5EC0D73E">
        <w:t>M</w:t>
      </w:r>
      <w:r w:rsidR="0BD03B41">
        <w:t xml:space="preserve">agistrates </w:t>
      </w:r>
      <w:r w:rsidR="5EC0D73E">
        <w:t>C</w:t>
      </w:r>
      <w:r w:rsidR="0BD03B41">
        <w:t xml:space="preserve">ourt served a unique function </w:t>
      </w:r>
      <w:r w:rsidR="1B08D801">
        <w:t>in that it</w:t>
      </w:r>
      <w:r w:rsidR="6278E238">
        <w:t>s expenses include substantial overheads</w:t>
      </w:r>
      <w:r w:rsidR="1B08D801">
        <w:t xml:space="preserve"> </w:t>
      </w:r>
      <w:r w:rsidR="213C9021">
        <w:t xml:space="preserve">that are </w:t>
      </w:r>
      <w:proofErr w:type="gramStart"/>
      <w:r w:rsidR="213C9021">
        <w:t>similar to</w:t>
      </w:r>
      <w:proofErr w:type="gramEnd"/>
      <w:r w:rsidR="213C9021">
        <w:t xml:space="preserve"> central costs</w:t>
      </w:r>
      <w:r w:rsidR="68461E8F">
        <w:t xml:space="preserve">. It </w:t>
      </w:r>
      <w:r w:rsidR="281A0FB3">
        <w:t>indicated</w:t>
      </w:r>
      <w:r w:rsidR="68461E8F">
        <w:t xml:space="preserve"> </w:t>
      </w:r>
      <w:r w:rsidR="213C9021">
        <w:t xml:space="preserve">that </w:t>
      </w:r>
      <w:r w:rsidR="5A92632D">
        <w:t>the Perth Magistrates Court</w:t>
      </w:r>
      <w:r w:rsidR="213C9021">
        <w:t xml:space="preserve"> hosts </w:t>
      </w:r>
      <w:proofErr w:type="gramStart"/>
      <w:r w:rsidR="784F6344">
        <w:t>the vast majority of</w:t>
      </w:r>
      <w:proofErr w:type="gramEnd"/>
      <w:r w:rsidR="784F6344">
        <w:t xml:space="preserve"> complex </w:t>
      </w:r>
      <w:r w:rsidR="29BF787E">
        <w:t>multiday trials</w:t>
      </w:r>
      <w:r w:rsidR="5F14554A">
        <w:t xml:space="preserve"> and specialist courts</w:t>
      </w:r>
      <w:r w:rsidR="29BF787E">
        <w:t xml:space="preserve">, </w:t>
      </w:r>
      <w:r w:rsidR="3E5EB7E9">
        <w:t xml:space="preserve">that </w:t>
      </w:r>
      <w:r w:rsidR="2F27F406">
        <w:t xml:space="preserve">prosecuting agencies log </w:t>
      </w:r>
      <w:r w:rsidR="08C20DDB">
        <w:t>some of the most serious cases</w:t>
      </w:r>
      <w:r w:rsidR="2F27F406">
        <w:t xml:space="preserve"> </w:t>
      </w:r>
      <w:r w:rsidR="4558EA9A">
        <w:t xml:space="preserve">at </w:t>
      </w:r>
      <w:r w:rsidR="082F7160">
        <w:t>the court</w:t>
      </w:r>
      <w:r w:rsidR="4558EA9A">
        <w:t xml:space="preserve"> and </w:t>
      </w:r>
      <w:r w:rsidR="32B03232">
        <w:t xml:space="preserve">that it is the only court </w:t>
      </w:r>
      <w:r w:rsidR="1B22DADC">
        <w:t>that</w:t>
      </w:r>
      <w:r w:rsidR="32B03232">
        <w:t xml:space="preserve"> </w:t>
      </w:r>
      <w:r w:rsidR="7F606B16">
        <w:t>process</w:t>
      </w:r>
      <w:r w:rsidR="3F77B41D">
        <w:t>es</w:t>
      </w:r>
      <w:r w:rsidR="7F606B16">
        <w:t xml:space="preserve"> custodial hearing</w:t>
      </w:r>
      <w:r w:rsidR="70F0CD95">
        <w:t>s</w:t>
      </w:r>
      <w:r w:rsidR="7F606B16">
        <w:t xml:space="preserve"> via video conferencing on the weekend. </w:t>
      </w:r>
      <w:r w:rsidR="37E2FAE2">
        <w:t>B</w:t>
      </w:r>
      <w:r w:rsidR="4D9F05BF">
        <w:t>ecause th</w:t>
      </w:r>
      <w:r w:rsidR="1ADC1584">
        <w:t xml:space="preserve">is </w:t>
      </w:r>
      <w:r w:rsidR="538C32D3">
        <w:t>court</w:t>
      </w:r>
      <w:r w:rsidR="1ADC1584">
        <w:t xml:space="preserve"> and other</w:t>
      </w:r>
      <w:r w:rsidR="5954C301">
        <w:t xml:space="preserve"> state</w:t>
      </w:r>
      <w:r w:rsidR="719766D5">
        <w:t>s’</w:t>
      </w:r>
      <w:r w:rsidR="1ADC1584">
        <w:t xml:space="preserve"> </w:t>
      </w:r>
      <w:r w:rsidR="7F56924B">
        <w:t>metropolitan</w:t>
      </w:r>
      <w:r w:rsidR="4D9F05BF">
        <w:t xml:space="preserve"> courts </w:t>
      </w:r>
      <w:r w:rsidR="7A7C6B89">
        <w:t xml:space="preserve">had </w:t>
      </w:r>
      <w:r w:rsidR="5954C301">
        <w:t xml:space="preserve">these unique </w:t>
      </w:r>
      <w:r w:rsidR="719766D5">
        <w:t>circumstance</w:t>
      </w:r>
      <w:r w:rsidR="42F26EC1">
        <w:t xml:space="preserve">s, </w:t>
      </w:r>
      <w:r w:rsidR="1DBF50F0">
        <w:t xml:space="preserve">it </w:t>
      </w:r>
      <w:r w:rsidR="5CE2DC85">
        <w:t>considered that the</w:t>
      </w:r>
      <w:r w:rsidR="50B82D0A">
        <w:t>se courts significantly impacted the</w:t>
      </w:r>
      <w:r w:rsidR="5CE2DC85">
        <w:t xml:space="preserve"> cost per </w:t>
      </w:r>
      <w:r w:rsidR="50B82D0A">
        <w:t>defendant</w:t>
      </w:r>
      <w:r w:rsidR="0B176C60">
        <w:t xml:space="preserve"> in non-regional areas. </w:t>
      </w:r>
      <w:r w:rsidR="0480D3DA">
        <w:t xml:space="preserve">Western Australia said that </w:t>
      </w:r>
      <w:r w:rsidR="0B95C326">
        <w:t xml:space="preserve">due to uncertainty </w:t>
      </w:r>
      <w:r w:rsidR="5E2E1594">
        <w:t xml:space="preserve">in </w:t>
      </w:r>
      <w:r w:rsidR="2EF4994E">
        <w:t xml:space="preserve">the cost data </w:t>
      </w:r>
      <w:r w:rsidR="06720571">
        <w:t xml:space="preserve">the general regional </w:t>
      </w:r>
      <w:r w:rsidR="6662C196">
        <w:t>costs</w:t>
      </w:r>
      <w:r w:rsidR="06720571">
        <w:t xml:space="preserve"> gradient should be applied to the criminal courts and other legal services</w:t>
      </w:r>
      <w:r w:rsidR="0480D3DA">
        <w:t>.</w:t>
      </w:r>
    </w:p>
    <w:p w14:paraId="78374999" w14:textId="19933269" w:rsidR="00A601A7" w:rsidRPr="0090144E" w:rsidRDefault="005255E9" w:rsidP="007E471B">
      <w:pPr>
        <w:pStyle w:val="CGCParaNumber"/>
        <w:numPr>
          <w:ilvl w:val="1"/>
          <w:numId w:val="16"/>
        </w:numPr>
      </w:pPr>
      <w:r w:rsidRPr="00996B6A">
        <w:t xml:space="preserve">The </w:t>
      </w:r>
      <w:r>
        <w:t>Northern T</w:t>
      </w:r>
      <w:r w:rsidRPr="00996B6A">
        <w:t xml:space="preserve">erritory </w:t>
      </w:r>
      <w:r w:rsidR="00BE11C3">
        <w:t>said</w:t>
      </w:r>
      <w:r w:rsidRPr="00996B6A">
        <w:t xml:space="preserve"> there is a strong conceptual case that </w:t>
      </w:r>
      <w:r>
        <w:t>remoteness</w:t>
      </w:r>
      <w:r w:rsidRPr="00996B6A">
        <w:t xml:space="preserve"> costs exist</w:t>
      </w:r>
      <w:r>
        <w:t xml:space="preserve">. </w:t>
      </w:r>
      <w:r w:rsidR="00A601A7">
        <w:t xml:space="preserve">The Northern Territory </w:t>
      </w:r>
      <w:r w:rsidR="005B4B01">
        <w:t xml:space="preserve">said that </w:t>
      </w:r>
      <w:r w:rsidR="005B4778">
        <w:t xml:space="preserve">the </w:t>
      </w:r>
      <w:r w:rsidR="00A16688">
        <w:t>Commission</w:t>
      </w:r>
      <w:r w:rsidR="005B4778">
        <w:t xml:space="preserve"> should </w:t>
      </w:r>
      <w:r w:rsidR="007E4C4E">
        <w:t>retain the 2020</w:t>
      </w:r>
      <w:r w:rsidR="000850AC">
        <w:t> </w:t>
      </w:r>
      <w:r w:rsidR="00A16688">
        <w:t>Review gradient</w:t>
      </w:r>
      <w:r w:rsidR="009C1016">
        <w:t xml:space="preserve">, </w:t>
      </w:r>
      <w:r w:rsidR="00A16688">
        <w:t>apply the general regional and service delivery scale gradient</w:t>
      </w:r>
      <w:r w:rsidR="009C1016">
        <w:t xml:space="preserve"> </w:t>
      </w:r>
      <w:r w:rsidR="007E1F8F">
        <w:t xml:space="preserve">or apply </w:t>
      </w:r>
      <w:r w:rsidR="009763E4">
        <w:t xml:space="preserve">just </w:t>
      </w:r>
      <w:r w:rsidR="004015F1">
        <w:t>the</w:t>
      </w:r>
      <w:r w:rsidR="009763E4">
        <w:t xml:space="preserve"> general</w:t>
      </w:r>
      <w:r w:rsidR="007E1F8F">
        <w:t xml:space="preserve"> service delivery scale gradient</w:t>
      </w:r>
      <w:r w:rsidR="00A16688">
        <w:t xml:space="preserve">. </w:t>
      </w:r>
      <w:r w:rsidR="008D56FA">
        <w:t>The Northern Territory argued that</w:t>
      </w:r>
      <w:r w:rsidR="00A16688">
        <w:t xml:space="preserve"> </w:t>
      </w:r>
      <w:r w:rsidR="005B4B01">
        <w:t>case complexity contributes to costs and obscures the observable</w:t>
      </w:r>
      <w:r w:rsidR="00353897">
        <w:t xml:space="preserve"> </w:t>
      </w:r>
      <w:r w:rsidR="005B4778">
        <w:t xml:space="preserve">relationship between region and costs. </w:t>
      </w:r>
      <w:r w:rsidR="00C72962">
        <w:t xml:space="preserve">The Northern Territory said that </w:t>
      </w:r>
      <w:r w:rsidR="002C7AD9">
        <w:t xml:space="preserve">the data provided to the Commission only allow for high level analysis and </w:t>
      </w:r>
      <w:r w:rsidR="00B25267">
        <w:t xml:space="preserve">that this does not account for </w:t>
      </w:r>
      <w:r w:rsidR="0016010E">
        <w:t xml:space="preserve">various factors </w:t>
      </w:r>
      <w:r w:rsidR="00E711A0">
        <w:t>that</w:t>
      </w:r>
      <w:r w:rsidR="0016010E">
        <w:t xml:space="preserve"> may </w:t>
      </w:r>
      <w:r w:rsidR="00781739">
        <w:t xml:space="preserve">obscure the relationship between region and costs. </w:t>
      </w:r>
      <w:r w:rsidR="00C41AB2">
        <w:t>The Northern Territory said that the r</w:t>
      </w:r>
      <w:r w:rsidR="00C41AB2" w:rsidRPr="00996B6A">
        <w:t xml:space="preserve">emoval of the regional loading based solely on the total cost per finalisation conflates possible drivers and </w:t>
      </w:r>
      <w:r w:rsidR="00766FAD">
        <w:t xml:space="preserve">that this issue </w:t>
      </w:r>
      <w:r w:rsidR="00C41AB2" w:rsidRPr="00996B6A">
        <w:t>warrants further consideration</w:t>
      </w:r>
      <w:r w:rsidR="003D39CD">
        <w:t xml:space="preserve"> in </w:t>
      </w:r>
      <w:r w:rsidR="00BC6B71">
        <w:t>a future r</w:t>
      </w:r>
      <w:r w:rsidR="003D39CD">
        <w:t>eview.</w:t>
      </w:r>
    </w:p>
    <w:p w14:paraId="277702DD" w14:textId="6AF1D2B2" w:rsidR="00240C10" w:rsidRDefault="00240C10" w:rsidP="00240C10">
      <w:pPr>
        <w:pStyle w:val="Heading4"/>
      </w:pPr>
      <w:r>
        <w:t>Commission response</w:t>
      </w:r>
    </w:p>
    <w:p w14:paraId="7453658E" w14:textId="7558C5B4" w:rsidR="00C364B5" w:rsidRDefault="00440E47" w:rsidP="007E471B">
      <w:pPr>
        <w:pStyle w:val="CGCParaNumber"/>
        <w:numPr>
          <w:ilvl w:val="1"/>
          <w:numId w:val="16"/>
        </w:numPr>
      </w:pPr>
      <w:r>
        <w:t xml:space="preserve">Like 2022–23 data, </w:t>
      </w:r>
      <w:r w:rsidR="00F97829">
        <w:t>2023</w:t>
      </w:r>
      <w:r w:rsidR="00411A28">
        <w:t>–</w:t>
      </w:r>
      <w:r w:rsidR="00F97829">
        <w:t>24 data</w:t>
      </w:r>
      <w:r w:rsidR="00C07428">
        <w:t xml:space="preserve"> </w:t>
      </w:r>
      <w:r w:rsidR="00E1711A">
        <w:t>show</w:t>
      </w:r>
      <w:r w:rsidR="007F43AA">
        <w:t>ed</w:t>
      </w:r>
      <w:r w:rsidR="00F97829">
        <w:t xml:space="preserve"> </w:t>
      </w:r>
      <w:r w:rsidR="00E1711A">
        <w:t>an</w:t>
      </w:r>
      <w:r w:rsidR="008B3BA1">
        <w:t xml:space="preserve"> absence of a clear relationship between </w:t>
      </w:r>
      <w:r w:rsidR="00032172">
        <w:t xml:space="preserve">remoteness and </w:t>
      </w:r>
      <w:r w:rsidR="006923C9">
        <w:t>court expenses</w:t>
      </w:r>
      <w:r w:rsidR="009A2586">
        <w:t xml:space="preserve"> (Figure </w:t>
      </w:r>
      <w:r w:rsidR="00FA2911">
        <w:t>2</w:t>
      </w:r>
      <w:r w:rsidR="009A2586">
        <w:t>)</w:t>
      </w:r>
      <w:r w:rsidR="00E1711A">
        <w:t>.</w:t>
      </w:r>
      <w:r w:rsidR="00C364B5">
        <w:t xml:space="preserve"> </w:t>
      </w:r>
      <w:r w:rsidR="009A2586">
        <w:t>This includes when remoteness areas are aggr</w:t>
      </w:r>
      <w:r w:rsidR="00554426">
        <w:t>eg</w:t>
      </w:r>
      <w:r w:rsidR="00555F62">
        <w:t>ated</w:t>
      </w:r>
      <w:r w:rsidR="00251B01">
        <w:t xml:space="preserve"> to remote and non-remote </w:t>
      </w:r>
      <w:r w:rsidR="00C364B5">
        <w:t>regions.</w:t>
      </w:r>
    </w:p>
    <w:p w14:paraId="1F380D46" w14:textId="3DAFA915" w:rsidR="00D85CF8" w:rsidRDefault="00E529DB" w:rsidP="00BC7210">
      <w:pPr>
        <w:pStyle w:val="CGC2025Caption"/>
        <w:keepNext/>
        <w:ind w:left="1134" w:hanging="1134"/>
      </w:pPr>
      <w:r>
        <w:lastRenderedPageBreak/>
        <w:t xml:space="preserve">Figure </w:t>
      </w:r>
      <w:r w:rsidR="00FA2911">
        <w:t>2</w:t>
      </w:r>
      <w:r w:rsidR="008D17E7">
        <w:tab/>
      </w:r>
      <w:r w:rsidR="004A3D45">
        <w:t xml:space="preserve">Cost per defendant in </w:t>
      </w:r>
      <w:proofErr w:type="gramStart"/>
      <w:r w:rsidR="004A3D45">
        <w:t>magist</w:t>
      </w:r>
      <w:r w:rsidR="00FB1189">
        <w:t>rates</w:t>
      </w:r>
      <w:proofErr w:type="gramEnd"/>
      <w:r w:rsidR="00FB1189">
        <w:t xml:space="preserve"> courts by remoteness area</w:t>
      </w:r>
      <w:r w:rsidR="008D17E7">
        <w:t xml:space="preserve">, </w:t>
      </w:r>
      <w:r w:rsidR="00507266">
        <w:t>2022–23</w:t>
      </w:r>
      <w:r w:rsidR="00CE7BC0">
        <w:t xml:space="preserve"> and </w:t>
      </w:r>
      <w:r w:rsidR="008D17E7">
        <w:t>2023–24</w:t>
      </w:r>
      <w:r w:rsidR="00782095">
        <w:t xml:space="preserve"> data</w:t>
      </w:r>
    </w:p>
    <w:p w14:paraId="153D08CD" w14:textId="76D45EDF" w:rsidR="00D85CF8" w:rsidRDefault="00D37B44" w:rsidP="00C5795F">
      <w:pPr>
        <w:pStyle w:val="CGCParaNumber"/>
        <w:numPr>
          <w:ilvl w:val="0"/>
          <w:numId w:val="0"/>
        </w:numPr>
      </w:pPr>
      <w:r>
        <w:rPr>
          <w:noProof/>
        </w:rPr>
        <w:drawing>
          <wp:inline distT="0" distB="0" distL="0" distR="0" wp14:anchorId="10160B22" wp14:editId="17EC1391">
            <wp:extent cx="5731510" cy="3410585"/>
            <wp:effectExtent l="0" t="0" r="2540" b="18415"/>
            <wp:docPr id="1453864090" name="Chart 1">
              <a:extLst xmlns:a="http://schemas.openxmlformats.org/drawingml/2006/main">
                <a:ext uri="{FF2B5EF4-FFF2-40B4-BE49-F238E27FC236}">
                  <a16:creationId xmlns:a16="http://schemas.microsoft.com/office/drawing/2014/main" id="{CD30D37A-6618-59FB-6496-C86D5A71F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0CCEF4" w14:textId="30EA942D" w:rsidR="00C364B5" w:rsidRPr="00FB5E65" w:rsidRDefault="0DE62A7C" w:rsidP="76F14935">
      <w:pPr>
        <w:pStyle w:val="CGCParaNumber"/>
      </w:pPr>
      <w:r>
        <w:t>Six</w:t>
      </w:r>
      <w:r w:rsidR="6AB0F83C">
        <w:t xml:space="preserve"> out of </w:t>
      </w:r>
      <w:r w:rsidR="53B89066">
        <w:t>eight</w:t>
      </w:r>
      <w:r w:rsidR="6AB0F83C">
        <w:t xml:space="preserve"> states provided </w:t>
      </w:r>
      <w:r w:rsidR="33727B39">
        <w:t>2023</w:t>
      </w:r>
      <w:r w:rsidR="002E67AA">
        <w:t>–</w:t>
      </w:r>
      <w:r w:rsidR="33727B39">
        <w:t xml:space="preserve">24 </w:t>
      </w:r>
      <w:r w:rsidR="6AB0F83C">
        <w:t>data that could be used to analyse th</w:t>
      </w:r>
      <w:r w:rsidR="6DC4E826">
        <w:t>e</w:t>
      </w:r>
      <w:r w:rsidR="6AB0F83C">
        <w:t xml:space="preserve"> relationship</w:t>
      </w:r>
      <w:r w:rsidR="6DC4E826">
        <w:t xml:space="preserve"> between </w:t>
      </w:r>
      <w:r w:rsidR="3DEA4F06">
        <w:t xml:space="preserve">remoteness and </w:t>
      </w:r>
      <w:r w:rsidR="7CFA1A21">
        <w:t>criminal court expenses</w:t>
      </w:r>
      <w:r w:rsidR="6AB0F83C">
        <w:t>, including Queensland</w:t>
      </w:r>
      <w:r>
        <w:t>,</w:t>
      </w:r>
      <w:r w:rsidR="6AB0F83C">
        <w:t xml:space="preserve"> whose 2022–23 data were </w:t>
      </w:r>
      <w:r w:rsidR="00D80592">
        <w:t>un</w:t>
      </w:r>
      <w:r w:rsidR="6AB0F83C">
        <w:t>suitable.</w:t>
      </w:r>
      <w:r w:rsidR="00217A02" w:rsidRPr="000554DA">
        <w:rPr>
          <w:rStyle w:val="FootnoteReference"/>
          <w:vertAlign w:val="superscript"/>
        </w:rPr>
        <w:footnoteReference w:id="4"/>
      </w:r>
      <w:r w:rsidR="6AB0F83C">
        <w:t xml:space="preserve"> </w:t>
      </w:r>
      <w:r w:rsidR="600F9940">
        <w:t>The Commission consider</w:t>
      </w:r>
      <w:r w:rsidR="269E0913">
        <w:t>s</w:t>
      </w:r>
      <w:r w:rsidR="600F9940">
        <w:t xml:space="preserve"> these d</w:t>
      </w:r>
      <w:r w:rsidR="6AB0F83C">
        <w:t xml:space="preserve">ata </w:t>
      </w:r>
      <w:r w:rsidR="084396DF">
        <w:t xml:space="preserve">are representative of the average experience of all states because </w:t>
      </w:r>
      <w:r w:rsidR="74400313">
        <w:t xml:space="preserve">they </w:t>
      </w:r>
      <w:r w:rsidR="084396DF">
        <w:t>were from states of varying size and remoteness profiles</w:t>
      </w:r>
      <w:r w:rsidR="339F3AFB">
        <w:t xml:space="preserve">, including those with the </w:t>
      </w:r>
      <w:r w:rsidR="2C3C3CF4">
        <w:t>largest</w:t>
      </w:r>
      <w:r w:rsidR="339F3AFB">
        <w:t xml:space="preserve"> remote pop</w:t>
      </w:r>
      <w:r w:rsidR="5E4EEAD4">
        <w:t>ulations</w:t>
      </w:r>
      <w:r w:rsidR="084396DF">
        <w:t>.</w:t>
      </w:r>
    </w:p>
    <w:p w14:paraId="61C81A62" w14:textId="26A1E231" w:rsidR="00D04E70" w:rsidRPr="006B701E" w:rsidRDefault="001006E8" w:rsidP="007E471B">
      <w:pPr>
        <w:pStyle w:val="CGCParaNumber"/>
        <w:numPr>
          <w:ilvl w:val="1"/>
          <w:numId w:val="16"/>
        </w:numPr>
      </w:pPr>
      <w:r>
        <w:t xml:space="preserve">While case complexity and some centralised expenses likely affect the cost per </w:t>
      </w:r>
      <w:r w:rsidR="00770FC3">
        <w:t>defendant</w:t>
      </w:r>
      <w:r>
        <w:t xml:space="preserve"> and measurable gradient, data limitations prevent the Commission from quantifying their impact. </w:t>
      </w:r>
      <w:r w:rsidR="002F1C2C" w:rsidRPr="006B701E">
        <w:t xml:space="preserve">However, </w:t>
      </w:r>
      <w:r w:rsidR="007250E2" w:rsidRPr="006B701E">
        <w:t xml:space="preserve">the Commission does not consider that these factors </w:t>
      </w:r>
      <w:r w:rsidR="00AA14CF" w:rsidRPr="006B701E">
        <w:t xml:space="preserve">significantly impact </w:t>
      </w:r>
      <w:r w:rsidR="004F4D3B">
        <w:t xml:space="preserve">the assessment of </w:t>
      </w:r>
      <w:r w:rsidR="00866301">
        <w:t xml:space="preserve">criminal court </w:t>
      </w:r>
      <w:r w:rsidR="00CD2BC6">
        <w:t>expense needs</w:t>
      </w:r>
      <w:r w:rsidR="00872202">
        <w:t xml:space="preserve">. </w:t>
      </w:r>
      <w:r w:rsidR="00CA086A">
        <w:t>One</w:t>
      </w:r>
      <w:r w:rsidR="00872202">
        <w:t xml:space="preserve"> state</w:t>
      </w:r>
      <w:r w:rsidR="00736D91">
        <w:t xml:space="preserve"> provided </w:t>
      </w:r>
      <w:r w:rsidR="002E459A">
        <w:t>centralised</w:t>
      </w:r>
      <w:r w:rsidR="00D2342A">
        <w:t xml:space="preserve"> </w:t>
      </w:r>
      <w:r w:rsidR="002E459A">
        <w:t>budget</w:t>
      </w:r>
      <w:r w:rsidR="00C83658">
        <w:t xml:space="preserve"> </w:t>
      </w:r>
      <w:r w:rsidR="00DD7326">
        <w:t>data</w:t>
      </w:r>
      <w:r w:rsidR="00C83658">
        <w:t>, while</w:t>
      </w:r>
      <w:r w:rsidR="00D22C82">
        <w:t xml:space="preserve"> </w:t>
      </w:r>
      <w:r w:rsidR="00046E8F" w:rsidRPr="006B701E">
        <w:t>data from</w:t>
      </w:r>
      <w:r w:rsidR="005C5C92">
        <w:t xml:space="preserve"> other states </w:t>
      </w:r>
      <w:r w:rsidR="004276D4">
        <w:t xml:space="preserve">do not indicate </w:t>
      </w:r>
      <w:r w:rsidR="00124B4B" w:rsidRPr="00124B4B">
        <w:t>substantial</w:t>
      </w:r>
      <w:r w:rsidR="00A8696F">
        <w:t xml:space="preserve"> </w:t>
      </w:r>
      <w:r w:rsidR="004276D4">
        <w:t xml:space="preserve">overhead </w:t>
      </w:r>
      <w:r w:rsidR="00010C9B" w:rsidRPr="006B701E">
        <w:t>expenses</w:t>
      </w:r>
      <w:r w:rsidR="004276D4" w:rsidRPr="006B701E">
        <w:t xml:space="preserve"> </w:t>
      </w:r>
      <w:r w:rsidR="004276D4">
        <w:t xml:space="preserve">are being </w:t>
      </w:r>
      <w:r w:rsidR="00B04774">
        <w:t>captured</w:t>
      </w:r>
      <w:r w:rsidR="004276D4">
        <w:t xml:space="preserve"> </w:t>
      </w:r>
      <w:r w:rsidR="008513F9">
        <w:t xml:space="preserve">in </w:t>
      </w:r>
      <w:r w:rsidR="00E36B48" w:rsidRPr="006B701E">
        <w:t>metropolitan</w:t>
      </w:r>
      <w:r w:rsidR="000F2121" w:rsidRPr="006B701E">
        <w:t xml:space="preserve"> </w:t>
      </w:r>
      <w:r w:rsidR="00D54BAB" w:rsidRPr="006B701E">
        <w:t>courts</w:t>
      </w:r>
      <w:r w:rsidR="008513F9" w:rsidRPr="006B701E">
        <w:t>.</w:t>
      </w:r>
      <w:r w:rsidR="008513F9">
        <w:t xml:space="preserve"> </w:t>
      </w:r>
      <w:r w:rsidR="007162B9" w:rsidRPr="006B701E">
        <w:t>Th</w:t>
      </w:r>
      <w:r w:rsidR="00887FF0">
        <w:t>is</w:t>
      </w:r>
      <w:r w:rsidR="00E75756">
        <w:t xml:space="preserve"> appears to be unique to the Perth </w:t>
      </w:r>
      <w:r w:rsidR="00C60981">
        <w:t>Magistrates Court.</w:t>
      </w:r>
      <w:r w:rsidR="00EF4310">
        <w:t xml:space="preserve"> </w:t>
      </w:r>
    </w:p>
    <w:p w14:paraId="09860164" w14:textId="2CAB34F5" w:rsidR="001006E8" w:rsidRDefault="00EF4310" w:rsidP="007E471B">
      <w:pPr>
        <w:pStyle w:val="CGCParaNumber"/>
        <w:numPr>
          <w:ilvl w:val="1"/>
          <w:numId w:val="16"/>
        </w:numPr>
      </w:pPr>
      <w:r w:rsidRPr="009109CF">
        <w:t>The Commission tested</w:t>
      </w:r>
      <w:r w:rsidR="00F27147" w:rsidRPr="009109CF">
        <w:t xml:space="preserve"> </w:t>
      </w:r>
      <w:r w:rsidRPr="009109CF">
        <w:t>r</w:t>
      </w:r>
      <w:r w:rsidR="00F27147" w:rsidRPr="009109CF">
        <w:t>emoving th</w:t>
      </w:r>
      <w:r w:rsidR="009A3378" w:rsidRPr="009109CF">
        <w:t>e Perth Magistrates</w:t>
      </w:r>
      <w:r w:rsidR="00F27147" w:rsidRPr="009109CF">
        <w:t xml:space="preserve"> </w:t>
      </w:r>
      <w:r w:rsidR="00546CDB" w:rsidRPr="009109CF">
        <w:t>C</w:t>
      </w:r>
      <w:r w:rsidR="00F27147" w:rsidRPr="009109CF">
        <w:t>ourt f</w:t>
      </w:r>
      <w:r w:rsidR="00842FA5">
        <w:t>rom</w:t>
      </w:r>
      <w:r w:rsidR="00F27147" w:rsidRPr="009109CF">
        <w:t xml:space="preserve"> analysis</w:t>
      </w:r>
      <w:r w:rsidR="00842FA5">
        <w:t xml:space="preserve"> for the purpose of determining its impact</w:t>
      </w:r>
      <w:r w:rsidR="00D04E70" w:rsidRPr="009109CF">
        <w:t>. This re</w:t>
      </w:r>
      <w:r w:rsidR="00FA7D84" w:rsidRPr="009109CF">
        <w:t xml:space="preserve">duced the cost per defendant in </w:t>
      </w:r>
      <w:r w:rsidR="00B87DA3" w:rsidRPr="009109CF">
        <w:t xml:space="preserve">major </w:t>
      </w:r>
      <w:r w:rsidR="005470CF" w:rsidRPr="009109CF">
        <w:t>cities,</w:t>
      </w:r>
      <w:r w:rsidRPr="009109CF">
        <w:t xml:space="preserve"> but </w:t>
      </w:r>
      <w:r w:rsidR="00F27147" w:rsidRPr="009109CF">
        <w:t xml:space="preserve">did not </w:t>
      </w:r>
      <w:r w:rsidR="0060667D" w:rsidRPr="009109CF">
        <w:t>produce a positive re</w:t>
      </w:r>
      <w:r w:rsidR="00AA5050" w:rsidRPr="009109CF">
        <w:t>gional</w:t>
      </w:r>
      <w:r w:rsidR="0060667D" w:rsidRPr="009109CF">
        <w:t xml:space="preserve"> gradient.</w:t>
      </w:r>
    </w:p>
    <w:p w14:paraId="3E513B00" w14:textId="02EAF0AD" w:rsidR="001F5E5B" w:rsidRPr="009109CF" w:rsidRDefault="00CE72A9" w:rsidP="007E471B">
      <w:pPr>
        <w:pStyle w:val="CGCParaNumber"/>
        <w:numPr>
          <w:ilvl w:val="1"/>
          <w:numId w:val="16"/>
        </w:numPr>
      </w:pPr>
      <w:r>
        <w:t>T</w:t>
      </w:r>
      <w:r w:rsidR="00813460">
        <w:t xml:space="preserve">he </w:t>
      </w:r>
      <w:r w:rsidR="007D210A">
        <w:t xml:space="preserve">Commission </w:t>
      </w:r>
      <w:r w:rsidR="008C7BC2">
        <w:t>does not have data to determine</w:t>
      </w:r>
      <w:r w:rsidR="00033E41">
        <w:t xml:space="preserve"> how case complexity affects</w:t>
      </w:r>
      <w:r>
        <w:t xml:space="preserve"> criminal court expenses and so </w:t>
      </w:r>
      <w:r w:rsidR="00433903">
        <w:t xml:space="preserve">weights </w:t>
      </w:r>
      <w:r w:rsidR="00470B05">
        <w:t xml:space="preserve">all cases </w:t>
      </w:r>
      <w:r w:rsidR="00FB74D8">
        <w:t xml:space="preserve">equally. </w:t>
      </w:r>
      <w:r w:rsidR="000E7565">
        <w:t>This is</w:t>
      </w:r>
      <w:r w:rsidR="00033E41">
        <w:t xml:space="preserve"> </w:t>
      </w:r>
      <w:r w:rsidR="000E7565">
        <w:t>c</w:t>
      </w:r>
      <w:r>
        <w:t>onsistent with the treatment of not weighting offenders by the seriousness of crimes in the police component</w:t>
      </w:r>
      <w:r w:rsidR="000523F7">
        <w:t>.</w:t>
      </w:r>
      <w:r w:rsidR="0065500C">
        <w:t xml:space="preserve"> </w:t>
      </w:r>
      <w:r w:rsidR="00735EA5">
        <w:t xml:space="preserve">Even if an adjustment for case complexity could be applied, </w:t>
      </w:r>
      <w:r w:rsidR="004430D8">
        <w:t>t</w:t>
      </w:r>
      <w:r w:rsidR="00F25CFC">
        <w:t xml:space="preserve">he </w:t>
      </w:r>
      <w:r w:rsidR="00A07F8D">
        <w:t>Commission consider</w:t>
      </w:r>
      <w:r w:rsidR="00881CFF">
        <w:t>s</w:t>
      </w:r>
      <w:r w:rsidR="00A07F8D">
        <w:t xml:space="preserve"> it likely that</w:t>
      </w:r>
      <w:r w:rsidR="0009541C">
        <w:t xml:space="preserve"> </w:t>
      </w:r>
      <w:r w:rsidR="00D94760">
        <w:t xml:space="preserve">any adjustment </w:t>
      </w:r>
      <w:r w:rsidR="005B561A">
        <w:t xml:space="preserve">would offset </w:t>
      </w:r>
      <w:r w:rsidR="001E18AD">
        <w:t xml:space="preserve">any regional </w:t>
      </w:r>
      <w:r w:rsidR="001E18AD">
        <w:lastRenderedPageBreak/>
        <w:t>gra</w:t>
      </w:r>
      <w:r w:rsidR="00054939">
        <w:t>dient</w:t>
      </w:r>
      <w:r w:rsidR="001D7E76">
        <w:t xml:space="preserve">, </w:t>
      </w:r>
      <w:r w:rsidR="00064D73">
        <w:t xml:space="preserve">leading to a similar outcome </w:t>
      </w:r>
      <w:r w:rsidR="003851C2">
        <w:t>as</w:t>
      </w:r>
      <w:r w:rsidR="00064D73">
        <w:t xml:space="preserve"> the proposed assessment</w:t>
      </w:r>
      <w:r w:rsidR="00827C90">
        <w:t xml:space="preserve">. </w:t>
      </w:r>
      <w:r w:rsidR="0009541C">
        <w:t xml:space="preserve">For this reason, </w:t>
      </w:r>
      <w:r w:rsidR="009D7333">
        <w:t>t</w:t>
      </w:r>
      <w:r w:rsidR="00735DF0">
        <w:t>he Commission does not consider</w:t>
      </w:r>
      <w:r w:rsidR="00BA058E">
        <w:t xml:space="preserve"> that</w:t>
      </w:r>
      <w:r w:rsidR="00482902">
        <w:t>,</w:t>
      </w:r>
      <w:r w:rsidR="00BA058E">
        <w:t xml:space="preserve"> in combination</w:t>
      </w:r>
      <w:r w:rsidR="00482902">
        <w:t>,</w:t>
      </w:r>
      <w:r w:rsidR="00735DF0">
        <w:t xml:space="preserve"> </w:t>
      </w:r>
      <w:r w:rsidR="004115D4">
        <w:t xml:space="preserve">case complexity </w:t>
      </w:r>
      <w:r w:rsidR="00482902">
        <w:t>and regional costs</w:t>
      </w:r>
      <w:r w:rsidR="004115D4">
        <w:t xml:space="preserve"> significantly affect </w:t>
      </w:r>
      <w:r w:rsidR="00593E63">
        <w:t xml:space="preserve">the </w:t>
      </w:r>
      <w:r w:rsidR="00C26105">
        <w:t>estimate</w:t>
      </w:r>
      <w:r w:rsidR="00A25F1C">
        <w:t>d</w:t>
      </w:r>
      <w:r w:rsidR="00593E63">
        <w:t xml:space="preserve"> </w:t>
      </w:r>
      <w:r w:rsidR="00274003">
        <w:t>criminal court expense needs.</w:t>
      </w:r>
      <w:r w:rsidR="004F521F">
        <w:t xml:space="preserve"> </w:t>
      </w:r>
    </w:p>
    <w:p w14:paraId="1B38B5CA" w14:textId="280945BF" w:rsidR="0038172E" w:rsidRDefault="00065C30" w:rsidP="007E471B">
      <w:pPr>
        <w:pStyle w:val="CGCParaNumber"/>
        <w:numPr>
          <w:ilvl w:val="1"/>
          <w:numId w:val="16"/>
        </w:numPr>
      </w:pPr>
      <w:r>
        <w:t xml:space="preserve">Retaining the </w:t>
      </w:r>
      <w:r w:rsidR="00B00584">
        <w:t xml:space="preserve">2020 Review gradient would not be appropriate as </w:t>
      </w:r>
      <w:r w:rsidR="002476F3">
        <w:t xml:space="preserve">it </w:t>
      </w:r>
      <w:r w:rsidR="00FC3116">
        <w:t xml:space="preserve">would </w:t>
      </w:r>
      <w:r w:rsidR="00D11647">
        <w:t xml:space="preserve">be based on </w:t>
      </w:r>
      <w:r w:rsidR="00145EC1">
        <w:t xml:space="preserve">non-contemporaneous data </w:t>
      </w:r>
      <w:r w:rsidR="003940DC">
        <w:t>that no longer reflect what states do in providing</w:t>
      </w:r>
      <w:r w:rsidR="00792E91">
        <w:t xml:space="preserve"> </w:t>
      </w:r>
      <w:r w:rsidR="00BB3620">
        <w:t>court services.</w:t>
      </w:r>
      <w:r w:rsidR="00E41BE3">
        <w:t xml:space="preserve"> </w:t>
      </w:r>
      <w:r w:rsidR="00CC04B4">
        <w:t>It would also be inappropriate to</w:t>
      </w:r>
      <w:r w:rsidR="00E41BE3">
        <w:t xml:space="preserve"> </w:t>
      </w:r>
      <w:r w:rsidR="00705114">
        <w:t xml:space="preserve">maintain the </w:t>
      </w:r>
      <w:r w:rsidR="0029294E">
        <w:t>gradient in the</w:t>
      </w:r>
      <w:r w:rsidR="001E2C30">
        <w:t xml:space="preserve"> recurrent assessment to </w:t>
      </w:r>
      <w:r w:rsidR="008F56B4">
        <w:t>recognise</w:t>
      </w:r>
      <w:r w:rsidR="00B417FD">
        <w:t xml:space="preserve"> </w:t>
      </w:r>
      <w:r w:rsidR="00AC2290">
        <w:t xml:space="preserve">capital </w:t>
      </w:r>
      <w:r w:rsidR="00F314E8">
        <w:t>works costs as the</w:t>
      </w:r>
      <w:r w:rsidR="00461AE3">
        <w:t>se</w:t>
      </w:r>
      <w:r w:rsidR="00F314E8">
        <w:t xml:space="preserve"> are </w:t>
      </w:r>
      <w:r w:rsidR="006574F6">
        <w:t xml:space="preserve">covered in the </w:t>
      </w:r>
      <w:r w:rsidR="00F16613">
        <w:t>C</w:t>
      </w:r>
      <w:r w:rsidR="006574F6">
        <w:t>ommission’s investment category.</w:t>
      </w:r>
    </w:p>
    <w:p w14:paraId="5F15323C" w14:textId="432DECD7" w:rsidR="00AD46DF" w:rsidRDefault="00AD46DF" w:rsidP="007E471B">
      <w:pPr>
        <w:pStyle w:val="CGCParaNumber"/>
        <w:numPr>
          <w:ilvl w:val="1"/>
          <w:numId w:val="16"/>
        </w:numPr>
      </w:pPr>
      <w:r>
        <w:t xml:space="preserve">The </w:t>
      </w:r>
      <w:r w:rsidR="007E67FC">
        <w:t xml:space="preserve">conceptual case for </w:t>
      </w:r>
      <w:r w:rsidR="009B1420">
        <w:t xml:space="preserve">regional costs in courts </w:t>
      </w:r>
      <w:r w:rsidR="00D33C7F">
        <w:t>ha</w:t>
      </w:r>
      <w:r w:rsidR="009B1420">
        <w:t>s</w:t>
      </w:r>
      <w:r w:rsidR="00D33C7F">
        <w:t xml:space="preserve"> been</w:t>
      </w:r>
      <w:r w:rsidR="009B1420">
        <w:t xml:space="preserve"> </w:t>
      </w:r>
      <w:r w:rsidR="00457E68">
        <w:t xml:space="preserve">weakened by the </w:t>
      </w:r>
      <w:r w:rsidR="00277037">
        <w:t xml:space="preserve">adoption of </w:t>
      </w:r>
      <w:r w:rsidR="007816AC">
        <w:t>audiovisual technology</w:t>
      </w:r>
      <w:r w:rsidR="001407AF">
        <w:t>.</w:t>
      </w:r>
      <w:r w:rsidR="007E2441">
        <w:t xml:space="preserve"> </w:t>
      </w:r>
      <w:r w:rsidR="00686F20">
        <w:t>The Commission conducted a</w:t>
      </w:r>
      <w:r w:rsidR="000F282A">
        <w:t xml:space="preserve"> literature re</w:t>
      </w:r>
      <w:r w:rsidR="008E0072">
        <w:t xml:space="preserve">view </w:t>
      </w:r>
      <w:r w:rsidR="00A966E7">
        <w:t xml:space="preserve">prior to the release of </w:t>
      </w:r>
      <w:r w:rsidR="009849B1">
        <w:t>the justice</w:t>
      </w:r>
      <w:r w:rsidR="00EC454C">
        <w:t xml:space="preserve"> draft position </w:t>
      </w:r>
      <w:r w:rsidR="00D15A4B">
        <w:t>paper</w:t>
      </w:r>
      <w:r w:rsidR="00A548CC">
        <w:t>,</w:t>
      </w:r>
      <w:r w:rsidR="00D15A4B">
        <w:t xml:space="preserve"> </w:t>
      </w:r>
      <w:r w:rsidR="008146DF">
        <w:t xml:space="preserve">which </w:t>
      </w:r>
      <w:r w:rsidR="00A966E7">
        <w:t>suggested</w:t>
      </w:r>
      <w:r w:rsidR="00846400">
        <w:t xml:space="preserve"> that </w:t>
      </w:r>
      <w:r w:rsidR="008146DF">
        <w:t xml:space="preserve">the </w:t>
      </w:r>
      <w:r w:rsidR="00751CB4">
        <w:t>uptake of audio</w:t>
      </w:r>
      <w:r w:rsidR="00212743">
        <w:noBreakHyphen/>
      </w:r>
      <w:r w:rsidR="00751CB4">
        <w:t xml:space="preserve">visual technology in courts was </w:t>
      </w:r>
      <w:r w:rsidR="00B52B3E">
        <w:t>strong</w:t>
      </w:r>
      <w:r w:rsidR="009849B1">
        <w:t>.</w:t>
      </w:r>
      <w:r w:rsidR="000F282A">
        <w:t xml:space="preserve"> </w:t>
      </w:r>
      <w:r w:rsidR="00AB66DA">
        <w:t xml:space="preserve">The </w:t>
      </w:r>
      <w:r w:rsidR="008673AC">
        <w:t xml:space="preserve">increasing use of this </w:t>
      </w:r>
      <w:r w:rsidR="003F2782">
        <w:t>technology</w:t>
      </w:r>
      <w:r w:rsidR="008673AC">
        <w:t xml:space="preserve"> means that </w:t>
      </w:r>
      <w:r w:rsidR="00A16D6F">
        <w:t xml:space="preserve">states have </w:t>
      </w:r>
      <w:r w:rsidR="003F2782">
        <w:t xml:space="preserve">reduced </w:t>
      </w:r>
      <w:r w:rsidR="00ED61DA">
        <w:t>court expenses</w:t>
      </w:r>
      <w:r w:rsidR="0064026C">
        <w:t>, particularly</w:t>
      </w:r>
      <w:r w:rsidR="00ED61DA">
        <w:t xml:space="preserve"> </w:t>
      </w:r>
      <w:proofErr w:type="gramStart"/>
      <w:r w:rsidR="00ED61DA">
        <w:t>in regard to</w:t>
      </w:r>
      <w:proofErr w:type="gramEnd"/>
      <w:r w:rsidR="00ED61DA">
        <w:t xml:space="preserve"> travel</w:t>
      </w:r>
      <w:r w:rsidR="00831827">
        <w:t>.</w:t>
      </w:r>
      <w:r w:rsidR="000F6C6D">
        <w:t xml:space="preserve"> </w:t>
      </w:r>
      <w:r w:rsidR="00D75D44">
        <w:t xml:space="preserve">The Commission considers </w:t>
      </w:r>
      <w:r w:rsidR="006254F8">
        <w:t>t</w:t>
      </w:r>
      <w:r w:rsidR="001C7EDC">
        <w:t>h</w:t>
      </w:r>
      <w:r w:rsidR="00A233AF">
        <w:t>e</w:t>
      </w:r>
      <w:r w:rsidR="00D51C66">
        <w:t>re</w:t>
      </w:r>
      <w:r w:rsidR="007F4FA8">
        <w:t xml:space="preserve"> to</w:t>
      </w:r>
      <w:r w:rsidR="006254F8">
        <w:t xml:space="preserve"> be </w:t>
      </w:r>
      <w:r w:rsidR="003A30CA">
        <w:t>insufficient</w:t>
      </w:r>
      <w:r w:rsidR="001D5DFB">
        <w:t xml:space="preserve"> grounds</w:t>
      </w:r>
      <w:r w:rsidR="003A30CA">
        <w:t xml:space="preserve"> </w:t>
      </w:r>
      <w:r w:rsidR="003C465A">
        <w:t>for</w:t>
      </w:r>
      <w:r w:rsidR="0065754E">
        <w:t xml:space="preserve"> </w:t>
      </w:r>
      <w:r w:rsidR="00990ECB">
        <w:t>us</w:t>
      </w:r>
      <w:r w:rsidR="003C465A">
        <w:t>ing</w:t>
      </w:r>
      <w:r w:rsidR="00990ECB">
        <w:t xml:space="preserve"> the general</w:t>
      </w:r>
      <w:r w:rsidR="0065754E">
        <w:t xml:space="preserve"> gradient</w:t>
      </w:r>
      <w:r w:rsidR="00990ECB">
        <w:t>.</w:t>
      </w:r>
      <w:r w:rsidR="0065754E">
        <w:t xml:space="preserve"> </w:t>
      </w:r>
    </w:p>
    <w:p w14:paraId="23E293F6" w14:textId="30DB541E" w:rsidR="0090144E" w:rsidRDefault="0090144E" w:rsidP="00240C10">
      <w:pPr>
        <w:pStyle w:val="Heading4"/>
      </w:pPr>
      <w:r w:rsidRPr="0090144E">
        <w:t>Commission</w:t>
      </w:r>
      <w:r w:rsidR="00CF3FA6">
        <w:t xml:space="preserve"> final draft</w:t>
      </w:r>
      <w:r w:rsidRPr="0090144E">
        <w:t xml:space="preserve"> position</w:t>
      </w:r>
    </w:p>
    <w:p w14:paraId="6B7F6C36" w14:textId="030F4BFF" w:rsidR="00665F2C" w:rsidRPr="00665F2C" w:rsidRDefault="00A54DEB" w:rsidP="007E471B">
      <w:pPr>
        <w:pStyle w:val="CGCParaNumber"/>
        <w:numPr>
          <w:ilvl w:val="1"/>
          <w:numId w:val="16"/>
        </w:numPr>
      </w:pPr>
      <w:r>
        <w:t xml:space="preserve">The Commission proposes to discontinue </w:t>
      </w:r>
      <w:r w:rsidR="00540633">
        <w:t xml:space="preserve">assessing regional costs for criminal and </w:t>
      </w:r>
      <w:r w:rsidR="00A114B5">
        <w:t xml:space="preserve">civil courts. </w:t>
      </w:r>
    </w:p>
    <w:p w14:paraId="6EE59BAB" w14:textId="4311E0B5" w:rsidR="0068378D" w:rsidRDefault="00B24C14" w:rsidP="00B24C14">
      <w:pPr>
        <w:pStyle w:val="Heading3"/>
      </w:pPr>
      <w:r>
        <w:t>Prisons assessment</w:t>
      </w:r>
    </w:p>
    <w:p w14:paraId="6297D2EF" w14:textId="48130AE3" w:rsidR="00B24C14" w:rsidRPr="00240C10" w:rsidRDefault="009D5317" w:rsidP="005E16F1">
      <w:pPr>
        <w:pStyle w:val="Heading35"/>
      </w:pPr>
      <w:r>
        <w:t>Is</w:t>
      </w:r>
      <w:r w:rsidR="006B0B36">
        <w:t xml:space="preserve"> a</w:t>
      </w:r>
      <w:r w:rsidR="00B24C14" w:rsidRPr="00240C10">
        <w:t xml:space="preserve"> juvenile detainee</w:t>
      </w:r>
      <w:r w:rsidR="0005420D">
        <w:t xml:space="preserve"> cost weight</w:t>
      </w:r>
      <w:r w:rsidR="00B24C14" w:rsidRPr="00240C10">
        <w:t xml:space="preserve"> </w:t>
      </w:r>
      <w:r>
        <w:t>or</w:t>
      </w:r>
      <w:r w:rsidR="0005420D">
        <w:t xml:space="preserve"> separate assessment for</w:t>
      </w:r>
      <w:r w:rsidR="00E61374">
        <w:t xml:space="preserve"> community corrections </w:t>
      </w:r>
      <w:r w:rsidR="00B24C14" w:rsidRPr="00240C10">
        <w:t>material?</w:t>
      </w:r>
    </w:p>
    <w:p w14:paraId="6900565A" w14:textId="77777777" w:rsidR="0090144E" w:rsidRDefault="0090144E" w:rsidP="00240C10">
      <w:pPr>
        <w:pStyle w:val="Heading4"/>
      </w:pPr>
      <w:r w:rsidRPr="0090144E">
        <w:t>Background</w:t>
      </w:r>
    </w:p>
    <w:p w14:paraId="1B071D51" w14:textId="3D3DE8E0" w:rsidR="00665F2C" w:rsidRDefault="00D543B4" w:rsidP="007E471B">
      <w:pPr>
        <w:pStyle w:val="CGCParaNumber"/>
        <w:numPr>
          <w:ilvl w:val="1"/>
          <w:numId w:val="16"/>
        </w:numPr>
      </w:pPr>
      <w:r>
        <w:t>The Commission proposed to retest the materiality of a juvenile detainee cost weight and an assessment of community corrections when 2023–24 data are available.</w:t>
      </w:r>
      <w:r w:rsidR="007843F7">
        <w:t xml:space="preserve"> Neither approach was material when tested </w:t>
      </w:r>
      <w:r w:rsidR="00C330B9">
        <w:t>with 2022</w:t>
      </w:r>
      <w:r w:rsidR="00C507CE">
        <w:t>–</w:t>
      </w:r>
      <w:r w:rsidR="00C330B9">
        <w:t>23 data</w:t>
      </w:r>
      <w:r w:rsidR="002A5ED4">
        <w:t>.</w:t>
      </w:r>
    </w:p>
    <w:p w14:paraId="240FB4A0" w14:textId="0B4ED713" w:rsidR="005F1E7A" w:rsidRDefault="007843F7" w:rsidP="00040D92">
      <w:pPr>
        <w:pStyle w:val="CGCBullet1"/>
        <w:ind w:left="924" w:hanging="357"/>
      </w:pPr>
      <w:r>
        <w:t>The inclusion of a juvenile detainee cost weight was close to being material for one state, moving $38 per capita</w:t>
      </w:r>
      <w:r w:rsidR="00C330B9">
        <w:t>.</w:t>
      </w:r>
    </w:p>
    <w:p w14:paraId="70FD8163" w14:textId="724759B0" w:rsidR="00D543B4" w:rsidRPr="0090144E" w:rsidRDefault="005F1E7A" w:rsidP="00040D92">
      <w:pPr>
        <w:pStyle w:val="CGCBullet1"/>
        <w:ind w:left="924" w:hanging="357"/>
      </w:pPr>
      <w:r>
        <w:t>The inclusion of a community corrections assessment was found not to be material, moving $29 per capita for one state.</w:t>
      </w:r>
    </w:p>
    <w:p w14:paraId="4CFDAF0F" w14:textId="77777777" w:rsidR="0090144E" w:rsidRDefault="0090144E" w:rsidP="00240C10">
      <w:pPr>
        <w:pStyle w:val="Heading4"/>
      </w:pPr>
      <w:r w:rsidRPr="0090144E">
        <w:t>State views</w:t>
      </w:r>
    </w:p>
    <w:p w14:paraId="54DCC2F1" w14:textId="2BB89E20" w:rsidR="00B71155" w:rsidRDefault="00AA3FCA" w:rsidP="00793BA9">
      <w:pPr>
        <w:pStyle w:val="Heading5"/>
      </w:pPr>
      <w:r>
        <w:t>J</w:t>
      </w:r>
      <w:r w:rsidR="0032675C">
        <w:t>uvenile detainees</w:t>
      </w:r>
    </w:p>
    <w:p w14:paraId="38583DEE" w14:textId="012668B9" w:rsidR="00665F2C" w:rsidRDefault="005A0F8B" w:rsidP="007E471B">
      <w:pPr>
        <w:pStyle w:val="CGCParaNumber"/>
        <w:numPr>
          <w:ilvl w:val="1"/>
          <w:numId w:val="16"/>
        </w:numPr>
      </w:pPr>
      <w:r>
        <w:t>New South Wales, Queensland, Western Australia</w:t>
      </w:r>
      <w:r w:rsidR="00485A3A">
        <w:t xml:space="preserve"> and</w:t>
      </w:r>
      <w:r>
        <w:t xml:space="preserve"> Tasmania</w:t>
      </w:r>
      <w:r w:rsidR="007B23CB">
        <w:t xml:space="preserve"> support</w:t>
      </w:r>
      <w:r w:rsidR="003C4AE8">
        <w:t>ed</w:t>
      </w:r>
      <w:r w:rsidR="007B23CB">
        <w:t xml:space="preserve"> inclu</w:t>
      </w:r>
      <w:r w:rsidR="00E5518E">
        <w:t>ding</w:t>
      </w:r>
      <w:r w:rsidR="007B23CB">
        <w:t xml:space="preserve"> a juvenile </w:t>
      </w:r>
      <w:proofErr w:type="gramStart"/>
      <w:r w:rsidR="007B23CB">
        <w:t>detainees</w:t>
      </w:r>
      <w:proofErr w:type="gramEnd"/>
      <w:r w:rsidR="007B23CB">
        <w:t xml:space="preserve"> assessment</w:t>
      </w:r>
      <w:r w:rsidR="005E2EA1">
        <w:t xml:space="preserve"> into the justice </w:t>
      </w:r>
      <w:r w:rsidR="00AF3994">
        <w:t>method</w:t>
      </w:r>
      <w:r w:rsidR="007B23CB">
        <w:t>, if material</w:t>
      </w:r>
      <w:r w:rsidR="005E2EA1">
        <w:t>.</w:t>
      </w:r>
    </w:p>
    <w:p w14:paraId="23A49F82" w14:textId="24966B5D" w:rsidR="00DB4115" w:rsidRDefault="00B273A5" w:rsidP="007E471B">
      <w:pPr>
        <w:pStyle w:val="CGCParaNumber"/>
        <w:numPr>
          <w:ilvl w:val="1"/>
          <w:numId w:val="16"/>
        </w:numPr>
      </w:pPr>
      <w:r>
        <w:t xml:space="preserve">Queensland said that </w:t>
      </w:r>
      <w:r w:rsidR="00871D42">
        <w:t>the Commission should use cost per bed night</w:t>
      </w:r>
      <w:r w:rsidR="00777554">
        <w:t xml:space="preserve"> based on </w:t>
      </w:r>
      <w:r w:rsidR="00B45DBA">
        <w:t xml:space="preserve">the </w:t>
      </w:r>
      <w:r w:rsidR="00777554" w:rsidRPr="005E16F1">
        <w:rPr>
          <w:i/>
        </w:rPr>
        <w:t>Report on Government Services</w:t>
      </w:r>
      <w:r w:rsidR="00777554">
        <w:t xml:space="preserve"> da</w:t>
      </w:r>
      <w:r w:rsidR="00443B10">
        <w:t>ta to account for shorter average lengths of stay in juvenile detention.</w:t>
      </w:r>
      <w:r w:rsidR="00BD2347">
        <w:t xml:space="preserve"> </w:t>
      </w:r>
      <w:r w:rsidR="00AB3488">
        <w:t>Queensland also said that costs and detainee populations should be updated annually.</w:t>
      </w:r>
      <w:r w:rsidR="00D342CD">
        <w:t xml:space="preserve"> Queensland argued that </w:t>
      </w:r>
      <w:r w:rsidR="00CC3DF2">
        <w:t xml:space="preserve">failing to apply a cost weight for juvenile detainees </w:t>
      </w:r>
      <w:r w:rsidR="00A6430A">
        <w:t xml:space="preserve">would not </w:t>
      </w:r>
      <w:r w:rsidR="00B81923">
        <w:t>adequately</w:t>
      </w:r>
      <w:r w:rsidR="00FA00CA">
        <w:t xml:space="preserve"> reflect the substantially higher costs that </w:t>
      </w:r>
      <w:r w:rsidR="00FA00CA">
        <w:lastRenderedPageBreak/>
        <w:t xml:space="preserve">juvenile detainees have over </w:t>
      </w:r>
      <w:r w:rsidR="00B81923">
        <w:t xml:space="preserve">adult prisoners. </w:t>
      </w:r>
      <w:r w:rsidR="00F942E7">
        <w:t xml:space="preserve">Queensland </w:t>
      </w:r>
      <w:r w:rsidR="00CC4B50">
        <w:t xml:space="preserve">noted that </w:t>
      </w:r>
      <w:r w:rsidR="00211218">
        <w:t>whil</w:t>
      </w:r>
      <w:r w:rsidR="00137576">
        <w:t>e</w:t>
      </w:r>
      <w:r w:rsidR="00211218">
        <w:t xml:space="preserve"> the Report on Government Services data </w:t>
      </w:r>
      <w:r w:rsidR="00AD389B">
        <w:t>included a qualifier</w:t>
      </w:r>
      <w:r w:rsidR="00EE2A2E">
        <w:t xml:space="preserve"> on comparability across jurisdictions, </w:t>
      </w:r>
      <w:r w:rsidR="00B562F1">
        <w:t xml:space="preserve">it remains the best available source for determining cost differences between adult prisoners and juvenile detainees. </w:t>
      </w:r>
    </w:p>
    <w:p w14:paraId="2AF39990" w14:textId="76A99A65" w:rsidR="005E4183" w:rsidRDefault="005E4183" w:rsidP="007E471B">
      <w:pPr>
        <w:pStyle w:val="CGCParaNumber"/>
        <w:numPr>
          <w:ilvl w:val="1"/>
          <w:numId w:val="16"/>
        </w:numPr>
      </w:pPr>
      <w:r>
        <w:t xml:space="preserve">The ACT </w:t>
      </w:r>
      <w:r w:rsidR="00983C53">
        <w:t>support</w:t>
      </w:r>
      <w:r w:rsidR="00450363">
        <w:t>ed</w:t>
      </w:r>
      <w:r w:rsidR="00983C53">
        <w:t xml:space="preserve"> retesting </w:t>
      </w:r>
      <w:r w:rsidR="001B52D5">
        <w:t xml:space="preserve">the materiality of the </w:t>
      </w:r>
      <w:r w:rsidR="00B8639B">
        <w:t xml:space="preserve">juvenile </w:t>
      </w:r>
      <w:proofErr w:type="gramStart"/>
      <w:r w:rsidR="00B8639B">
        <w:t>detainees</w:t>
      </w:r>
      <w:proofErr w:type="gramEnd"/>
      <w:r w:rsidR="00B8639B">
        <w:t xml:space="preserve"> </w:t>
      </w:r>
      <w:r w:rsidR="00DC251A">
        <w:t xml:space="preserve">assessment and </w:t>
      </w:r>
      <w:r w:rsidR="00FF0767">
        <w:t xml:space="preserve">further consultation with states before making a change. </w:t>
      </w:r>
    </w:p>
    <w:p w14:paraId="0F173971" w14:textId="0E56BE7C" w:rsidR="00E61374" w:rsidRDefault="00B62EA9" w:rsidP="007E471B">
      <w:pPr>
        <w:pStyle w:val="CGCParaNumber"/>
        <w:numPr>
          <w:ilvl w:val="1"/>
          <w:numId w:val="16"/>
        </w:numPr>
      </w:pPr>
      <w:r>
        <w:t xml:space="preserve">Victoria </w:t>
      </w:r>
      <w:r w:rsidR="004211F9">
        <w:t>did not support the inclusion of a</w:t>
      </w:r>
      <w:r w:rsidR="005E4208">
        <w:t>n</w:t>
      </w:r>
      <w:r w:rsidR="004211F9">
        <w:t xml:space="preserve"> assessment</w:t>
      </w:r>
      <w:r w:rsidR="005E4208">
        <w:t xml:space="preserve"> of juvenile detainees </w:t>
      </w:r>
      <w:r w:rsidR="00E6361E">
        <w:t>based on data from the</w:t>
      </w:r>
      <w:r w:rsidR="004257BD">
        <w:t xml:space="preserve"> </w:t>
      </w:r>
      <w:r w:rsidR="00491928">
        <w:t>Report on Government Services</w:t>
      </w:r>
      <w:r w:rsidR="00E6361E">
        <w:t>.</w:t>
      </w:r>
      <w:r w:rsidR="005E4208">
        <w:t xml:space="preserve"> </w:t>
      </w:r>
      <w:r w:rsidR="00E67F26">
        <w:t>It</w:t>
      </w:r>
      <w:r w:rsidR="00FF36E0">
        <w:t xml:space="preserve"> </w:t>
      </w:r>
      <w:r w:rsidR="00736B8B">
        <w:t xml:space="preserve">said </w:t>
      </w:r>
      <w:r w:rsidR="00FF36E0">
        <w:t>that</w:t>
      </w:r>
      <w:r w:rsidR="00E67F26">
        <w:t xml:space="preserve"> </w:t>
      </w:r>
      <w:r w:rsidR="005E4208">
        <w:t>t</w:t>
      </w:r>
      <w:r w:rsidR="006B2B69">
        <w:t>he Productivity Commission continue</w:t>
      </w:r>
      <w:r w:rsidR="00B01227">
        <w:t>s</w:t>
      </w:r>
      <w:r w:rsidR="006B2B69">
        <w:t xml:space="preserve"> to advise that data are not comparable </w:t>
      </w:r>
      <w:r w:rsidR="005E4208">
        <w:t>across jurisdiction</w:t>
      </w:r>
      <w:r w:rsidR="00D96197">
        <w:t>s</w:t>
      </w:r>
      <w:r w:rsidR="006A5E9F">
        <w:t>. As such,</w:t>
      </w:r>
      <w:r w:rsidR="00D96197">
        <w:t xml:space="preserve"> </w:t>
      </w:r>
      <w:r w:rsidR="007D7253">
        <w:t>Victoria</w:t>
      </w:r>
      <w:r w:rsidR="006A5E9F">
        <w:t xml:space="preserve"> </w:t>
      </w:r>
      <w:r w:rsidR="003A1A27">
        <w:t>did</w:t>
      </w:r>
      <w:r w:rsidR="006A5E9F">
        <w:t xml:space="preserve"> not consider data </w:t>
      </w:r>
      <w:r w:rsidR="003A1A27">
        <w:t>to be</w:t>
      </w:r>
      <w:r w:rsidR="006A5E9F">
        <w:t xml:space="preserve"> fit for purpose.</w:t>
      </w:r>
    </w:p>
    <w:p w14:paraId="6DA38CD5" w14:textId="3054F655" w:rsidR="00E61374" w:rsidRDefault="00E61374" w:rsidP="00E61374">
      <w:pPr>
        <w:pStyle w:val="Heading5"/>
      </w:pPr>
      <w:r>
        <w:t>Community corrections</w:t>
      </w:r>
    </w:p>
    <w:p w14:paraId="6FD31713" w14:textId="6DFE25B9" w:rsidR="00B62EA9" w:rsidRDefault="006E6EF3" w:rsidP="007E471B">
      <w:pPr>
        <w:pStyle w:val="CGCParaNumber"/>
        <w:numPr>
          <w:ilvl w:val="1"/>
          <w:numId w:val="16"/>
        </w:numPr>
      </w:pPr>
      <w:r>
        <w:t>N</w:t>
      </w:r>
      <w:r w:rsidR="00705576">
        <w:t xml:space="preserve">ew South Wales, Western Australia and the ACT </w:t>
      </w:r>
      <w:r w:rsidR="003A2F5F">
        <w:t xml:space="preserve">supported the inclusion of </w:t>
      </w:r>
      <w:r w:rsidR="006E4411">
        <w:t xml:space="preserve">a community corrections assessment, if material, in the justice method. </w:t>
      </w:r>
    </w:p>
    <w:p w14:paraId="1795FEA3" w14:textId="1C1F13AB" w:rsidR="00914EE3" w:rsidRDefault="00914EE3" w:rsidP="007E471B">
      <w:pPr>
        <w:pStyle w:val="CGCParaNumber"/>
        <w:numPr>
          <w:ilvl w:val="1"/>
          <w:numId w:val="16"/>
        </w:numPr>
      </w:pPr>
      <w:r>
        <w:t xml:space="preserve">New South Wales </w:t>
      </w:r>
      <w:r w:rsidR="000317E5">
        <w:t>said the</w:t>
      </w:r>
      <w:r w:rsidR="00D6166A">
        <w:t xml:space="preserve"> </w:t>
      </w:r>
      <w:r w:rsidR="00F66A93">
        <w:t>use of weighted average</w:t>
      </w:r>
      <w:r w:rsidR="00255604">
        <w:t xml:space="preserve"> service </w:t>
      </w:r>
      <w:r w:rsidR="000317E5">
        <w:t>levels across all state</w:t>
      </w:r>
      <w:r w:rsidR="002A59E7">
        <w:t>s</w:t>
      </w:r>
      <w:r w:rsidR="000317E5">
        <w:t xml:space="preserve"> ensures </w:t>
      </w:r>
      <w:r w:rsidR="008D6C35">
        <w:t xml:space="preserve">that </w:t>
      </w:r>
      <w:r w:rsidR="000317E5">
        <w:t>the assessment w</w:t>
      </w:r>
      <w:r w:rsidR="008D6C35">
        <w:t>ill</w:t>
      </w:r>
      <w:r w:rsidR="000317E5">
        <w:t xml:space="preserve"> be policy neutral. </w:t>
      </w:r>
    </w:p>
    <w:p w14:paraId="1CABCCA2" w14:textId="1015B7A9" w:rsidR="005D5FFF" w:rsidRDefault="005D5FFF" w:rsidP="007E471B">
      <w:pPr>
        <w:pStyle w:val="CGCParaNumber"/>
        <w:numPr>
          <w:ilvl w:val="1"/>
          <w:numId w:val="16"/>
        </w:numPr>
      </w:pPr>
      <w:r>
        <w:t>Queensland did not support the incorporation of a community corrections assessment into the justice method</w:t>
      </w:r>
      <w:r w:rsidR="000F5A58">
        <w:t xml:space="preserve">. </w:t>
      </w:r>
    </w:p>
    <w:p w14:paraId="584FD4D8" w14:textId="045C9626" w:rsidR="006C244B" w:rsidRDefault="006C244B" w:rsidP="007E471B">
      <w:pPr>
        <w:pStyle w:val="CGCParaNumber"/>
        <w:numPr>
          <w:ilvl w:val="1"/>
          <w:numId w:val="16"/>
        </w:numPr>
      </w:pPr>
      <w:r>
        <w:t xml:space="preserve">Queensland said that materiality in this assessment is driven by New South Wales policy to </w:t>
      </w:r>
      <w:r w:rsidR="0029748E">
        <w:t>use community corrections orders at a much higher rate tha</w:t>
      </w:r>
      <w:r w:rsidR="004B55D6">
        <w:t>n</w:t>
      </w:r>
      <w:r w:rsidR="0029748E">
        <w:t xml:space="preserve"> other states. If this issue is material, there needs to be a consideration o</w:t>
      </w:r>
      <w:r w:rsidR="003E332E">
        <w:t>f</w:t>
      </w:r>
      <w:r w:rsidR="0029748E">
        <w:t xml:space="preserve"> the </w:t>
      </w:r>
      <w:r w:rsidR="00CE0482">
        <w:t xml:space="preserve">complexity and </w:t>
      </w:r>
      <w:r w:rsidR="0029748E">
        <w:t xml:space="preserve">policy neutrality of data. </w:t>
      </w:r>
    </w:p>
    <w:p w14:paraId="38F9AA9C" w14:textId="0DF18491" w:rsidR="0072357E" w:rsidRDefault="13A8F8A7" w:rsidP="76F14935">
      <w:pPr>
        <w:pStyle w:val="CGCParaNumber"/>
      </w:pPr>
      <w:r>
        <w:t>Victoria argued that data on community corrections are not comparable between states due to differences in state classifications of community corrections orders</w:t>
      </w:r>
      <w:r w:rsidR="4BADF7E1">
        <w:t xml:space="preserve">, particularly with </w:t>
      </w:r>
      <w:r w:rsidR="00198FC9">
        <w:t xml:space="preserve">New South </w:t>
      </w:r>
      <w:proofErr w:type="spellStart"/>
      <w:r w:rsidR="00198FC9">
        <w:t>Wales</w:t>
      </w:r>
      <w:r w:rsidR="097FA9A2">
        <w:t>’</w:t>
      </w:r>
      <w:proofErr w:type="spellEnd"/>
      <w:r w:rsidR="00198FC9">
        <w:t xml:space="preserve"> policy choices</w:t>
      </w:r>
      <w:r>
        <w:t xml:space="preserve">. If an assessment is material, an adjustment to account for differences in state classifications should be considered and the method </w:t>
      </w:r>
      <w:r w:rsidR="0019407E">
        <w:t xml:space="preserve">be </w:t>
      </w:r>
      <w:r>
        <w:t xml:space="preserve">consulted on further with states. </w:t>
      </w:r>
    </w:p>
    <w:p w14:paraId="389AF363" w14:textId="6AF874E5" w:rsidR="00940BBF" w:rsidRPr="0090144E" w:rsidRDefault="00940BBF" w:rsidP="007E471B">
      <w:pPr>
        <w:pStyle w:val="CGCParaNumber"/>
        <w:numPr>
          <w:ilvl w:val="1"/>
          <w:numId w:val="16"/>
        </w:numPr>
      </w:pPr>
      <w:r>
        <w:t xml:space="preserve">Tasmania </w:t>
      </w:r>
      <w:r w:rsidR="0058777F">
        <w:t xml:space="preserve">and the ACT </w:t>
      </w:r>
      <w:r>
        <w:t>supported retesting this assessment with 2023</w:t>
      </w:r>
      <w:r w:rsidR="00C507CE">
        <w:t>–</w:t>
      </w:r>
      <w:r>
        <w:t>24 data</w:t>
      </w:r>
      <w:r w:rsidR="0019659F">
        <w:t xml:space="preserve"> and consulting with states further before making a change</w:t>
      </w:r>
      <w:r>
        <w:t xml:space="preserve">. </w:t>
      </w:r>
    </w:p>
    <w:p w14:paraId="4F4583C0" w14:textId="32B2AD23" w:rsidR="00240C10" w:rsidRDefault="00240C10" w:rsidP="00240C10">
      <w:pPr>
        <w:pStyle w:val="Heading4"/>
      </w:pPr>
      <w:r>
        <w:t>Commission response</w:t>
      </w:r>
    </w:p>
    <w:p w14:paraId="3E8742B8" w14:textId="31EE96C2" w:rsidR="004941B1" w:rsidRDefault="00734FF4" w:rsidP="006A3F6A">
      <w:pPr>
        <w:pStyle w:val="Heading5"/>
      </w:pPr>
      <w:r>
        <w:t>Juvenile detainees</w:t>
      </w:r>
    </w:p>
    <w:p w14:paraId="743D3E78" w14:textId="47DF5EB4" w:rsidR="00653E42" w:rsidRDefault="00B03A2F" w:rsidP="007E471B">
      <w:pPr>
        <w:pStyle w:val="CGCParaNumber"/>
        <w:numPr>
          <w:ilvl w:val="1"/>
          <w:numId w:val="16"/>
        </w:numPr>
      </w:pPr>
      <w:r>
        <w:t xml:space="preserve">The Commission has retested </w:t>
      </w:r>
      <w:r w:rsidR="001A68D5">
        <w:t>a</w:t>
      </w:r>
      <w:r w:rsidR="00FA0400">
        <w:t xml:space="preserve"> juvenile detainee cost weight</w:t>
      </w:r>
      <w:r w:rsidR="00317010">
        <w:t xml:space="preserve"> using 2023–24 data</w:t>
      </w:r>
      <w:r w:rsidR="00FA0400">
        <w:t xml:space="preserve"> </w:t>
      </w:r>
      <w:r w:rsidR="001A68D5">
        <w:t xml:space="preserve">and </w:t>
      </w:r>
      <w:r w:rsidR="00F536B5">
        <w:t>found</w:t>
      </w:r>
      <w:r w:rsidR="001A68D5">
        <w:t xml:space="preserve"> it to be</w:t>
      </w:r>
      <w:r w:rsidR="00FA0400">
        <w:t xml:space="preserve"> material, moving $4</w:t>
      </w:r>
      <w:r w:rsidR="00A64880">
        <w:t>8</w:t>
      </w:r>
      <w:r w:rsidR="00FA0400">
        <w:t xml:space="preserve"> per capita for</w:t>
      </w:r>
      <w:r w:rsidR="00FA0400" w:rsidRPr="0044175C">
        <w:t xml:space="preserve"> </w:t>
      </w:r>
      <w:r w:rsidR="00FA0400">
        <w:t>one state.</w:t>
      </w:r>
      <w:r w:rsidR="008D5F70">
        <w:t xml:space="preserve"> The cost weights are presented in Table </w:t>
      </w:r>
      <w:r w:rsidR="00EE7993">
        <w:t>3</w:t>
      </w:r>
      <w:r w:rsidR="008D5F70">
        <w:t xml:space="preserve"> and will be updated annually using the latest </w:t>
      </w:r>
      <w:r w:rsidR="00091F6E">
        <w:t>ABS</w:t>
      </w:r>
      <w:r w:rsidR="00B12DD8">
        <w:t> </w:t>
      </w:r>
      <w:r w:rsidR="00091F6E">
        <w:t xml:space="preserve">Prisoner and Report on Government </w:t>
      </w:r>
      <w:r w:rsidR="00317010">
        <w:t>S</w:t>
      </w:r>
      <w:r w:rsidR="00091F6E">
        <w:t>ervices data.</w:t>
      </w:r>
      <w:r w:rsidR="006C2D9E">
        <w:t xml:space="preserve"> </w:t>
      </w:r>
    </w:p>
    <w:p w14:paraId="0B2781B1" w14:textId="3026F4FC" w:rsidR="00B954BB" w:rsidRDefault="00B954BB" w:rsidP="000A4E9D">
      <w:pPr>
        <w:pStyle w:val="CGC2025Caption"/>
        <w:keepNext/>
        <w:tabs>
          <w:tab w:val="left" w:pos="1134"/>
        </w:tabs>
      </w:pPr>
      <w:r>
        <w:lastRenderedPageBreak/>
        <w:t xml:space="preserve">Table </w:t>
      </w:r>
      <w:r w:rsidR="00EE7993">
        <w:t>3</w:t>
      </w:r>
      <w:r w:rsidRPr="00CE1397">
        <w:tab/>
      </w:r>
      <w:r>
        <w:t>Calculating the juvenile detainee cost weight</w:t>
      </w:r>
    </w:p>
    <w:tbl>
      <w:tblPr>
        <w:tblW w:w="8940" w:type="dxa"/>
        <w:tblLook w:val="04A0" w:firstRow="1" w:lastRow="0" w:firstColumn="1" w:lastColumn="0" w:noHBand="0" w:noVBand="1"/>
      </w:tblPr>
      <w:tblGrid>
        <w:gridCol w:w="6060"/>
        <w:gridCol w:w="960"/>
        <w:gridCol w:w="960"/>
        <w:gridCol w:w="960"/>
      </w:tblGrid>
      <w:tr w:rsidR="002C44E7" w:rsidRPr="002C44E7" w14:paraId="1AB63B9F" w14:textId="77777777" w:rsidTr="002C44E7">
        <w:trPr>
          <w:trHeight w:val="381"/>
        </w:trPr>
        <w:tc>
          <w:tcPr>
            <w:tcW w:w="6060" w:type="dxa"/>
            <w:tcBorders>
              <w:top w:val="nil"/>
              <w:left w:val="nil"/>
              <w:bottom w:val="nil"/>
              <w:right w:val="nil"/>
            </w:tcBorders>
            <w:shd w:val="clear" w:color="000000" w:fill="006991"/>
            <w:vAlign w:val="center"/>
            <w:hideMark/>
          </w:tcPr>
          <w:p w14:paraId="4743FC16" w14:textId="77777777" w:rsidR="002C44E7" w:rsidRPr="002C44E7" w:rsidRDefault="002C44E7" w:rsidP="001436C4">
            <w:pPr>
              <w:keepNext/>
              <w:spacing w:after="0" w:line="240" w:lineRule="auto"/>
              <w:rPr>
                <w:rFonts w:ascii="Open Sans Semibold" w:eastAsia="Times New Roman" w:hAnsi="Open Sans Semibold" w:cs="Open Sans Semibold"/>
                <w:color w:val="FFFFFF"/>
                <w:sz w:val="16"/>
                <w:szCs w:val="16"/>
                <w:lang w:eastAsia="en-AU"/>
              </w:rPr>
            </w:pPr>
            <w:r w:rsidRPr="002C44E7">
              <w:rPr>
                <w:rFonts w:ascii="Open Sans Semibold" w:eastAsia="Times New Roman" w:hAnsi="Open Sans Semibold" w:cs="Open Sans Semibold"/>
                <w:color w:val="FFFFFF"/>
                <w:sz w:val="16"/>
                <w:szCs w:val="16"/>
                <w:lang w:eastAsia="en-AU"/>
              </w:rPr>
              <w:t> </w:t>
            </w:r>
          </w:p>
        </w:tc>
        <w:tc>
          <w:tcPr>
            <w:tcW w:w="960" w:type="dxa"/>
            <w:tcBorders>
              <w:top w:val="nil"/>
              <w:left w:val="nil"/>
              <w:bottom w:val="nil"/>
              <w:right w:val="nil"/>
            </w:tcBorders>
            <w:shd w:val="clear" w:color="000000" w:fill="006991"/>
            <w:vAlign w:val="center"/>
            <w:hideMark/>
          </w:tcPr>
          <w:p w14:paraId="162AB162" w14:textId="5C33A77B" w:rsidR="002C44E7" w:rsidRPr="002C44E7" w:rsidRDefault="002C44E7" w:rsidP="001436C4">
            <w:pPr>
              <w:keepNext/>
              <w:spacing w:after="0" w:line="240" w:lineRule="auto"/>
              <w:jc w:val="right"/>
              <w:rPr>
                <w:rFonts w:ascii="Open Sans Semibold" w:eastAsia="Times New Roman" w:hAnsi="Open Sans Semibold" w:cs="Open Sans Semibold"/>
                <w:color w:val="FFFFFF"/>
                <w:sz w:val="16"/>
                <w:szCs w:val="16"/>
                <w:lang w:eastAsia="en-AU"/>
              </w:rPr>
            </w:pPr>
            <w:r w:rsidRPr="002C44E7">
              <w:rPr>
                <w:rFonts w:ascii="Open Sans Semibold" w:eastAsia="Times New Roman" w:hAnsi="Open Sans Semibold" w:cs="Open Sans Semibold"/>
                <w:color w:val="FFFFFF"/>
                <w:sz w:val="16"/>
                <w:szCs w:val="16"/>
                <w:lang w:eastAsia="en-AU"/>
              </w:rPr>
              <w:t>2021</w:t>
            </w:r>
            <w:r w:rsidR="00966999">
              <w:rPr>
                <w:rFonts w:ascii="Open Sans Semibold" w:eastAsia="Times New Roman" w:hAnsi="Open Sans Semibold" w:cs="Open Sans Semibold"/>
                <w:color w:val="FFFFFF"/>
                <w:sz w:val="16"/>
                <w:szCs w:val="16"/>
                <w:lang w:eastAsia="en-AU"/>
              </w:rPr>
              <w:t>–</w:t>
            </w:r>
            <w:r w:rsidRPr="002C44E7">
              <w:rPr>
                <w:rFonts w:ascii="Open Sans Semibold" w:eastAsia="Times New Roman" w:hAnsi="Open Sans Semibold" w:cs="Open Sans Semibold"/>
                <w:color w:val="FFFFFF"/>
                <w:sz w:val="16"/>
                <w:szCs w:val="16"/>
                <w:lang w:eastAsia="en-AU"/>
              </w:rPr>
              <w:t>22</w:t>
            </w:r>
          </w:p>
        </w:tc>
        <w:tc>
          <w:tcPr>
            <w:tcW w:w="960" w:type="dxa"/>
            <w:tcBorders>
              <w:top w:val="nil"/>
              <w:left w:val="nil"/>
              <w:bottom w:val="nil"/>
              <w:right w:val="nil"/>
            </w:tcBorders>
            <w:shd w:val="clear" w:color="000000" w:fill="006991"/>
            <w:vAlign w:val="center"/>
            <w:hideMark/>
          </w:tcPr>
          <w:p w14:paraId="7EE3CAD3" w14:textId="3CF28BBA" w:rsidR="002C44E7" w:rsidRPr="002C44E7" w:rsidRDefault="002C44E7" w:rsidP="001436C4">
            <w:pPr>
              <w:keepNext/>
              <w:spacing w:after="0" w:line="240" w:lineRule="auto"/>
              <w:jc w:val="right"/>
              <w:rPr>
                <w:rFonts w:ascii="Open Sans Semibold" w:eastAsia="Times New Roman" w:hAnsi="Open Sans Semibold" w:cs="Open Sans Semibold"/>
                <w:color w:val="FFFFFF"/>
                <w:sz w:val="16"/>
                <w:szCs w:val="16"/>
                <w:lang w:eastAsia="en-AU"/>
              </w:rPr>
            </w:pPr>
            <w:r w:rsidRPr="002C44E7">
              <w:rPr>
                <w:rFonts w:ascii="Open Sans Semibold" w:eastAsia="Times New Roman" w:hAnsi="Open Sans Semibold" w:cs="Open Sans Semibold"/>
                <w:color w:val="FFFFFF"/>
                <w:sz w:val="16"/>
                <w:szCs w:val="16"/>
                <w:lang w:eastAsia="en-AU"/>
              </w:rPr>
              <w:t>2022</w:t>
            </w:r>
            <w:r w:rsidR="00966999">
              <w:rPr>
                <w:rFonts w:ascii="Open Sans Semibold" w:eastAsia="Times New Roman" w:hAnsi="Open Sans Semibold" w:cs="Open Sans Semibold"/>
                <w:color w:val="FFFFFF"/>
                <w:sz w:val="16"/>
                <w:szCs w:val="16"/>
                <w:lang w:eastAsia="en-AU"/>
              </w:rPr>
              <w:t>–</w:t>
            </w:r>
            <w:r w:rsidRPr="002C44E7">
              <w:rPr>
                <w:rFonts w:ascii="Open Sans Semibold" w:eastAsia="Times New Roman" w:hAnsi="Open Sans Semibold" w:cs="Open Sans Semibold"/>
                <w:color w:val="FFFFFF"/>
                <w:sz w:val="16"/>
                <w:szCs w:val="16"/>
                <w:lang w:eastAsia="en-AU"/>
              </w:rPr>
              <w:t>23</w:t>
            </w:r>
          </w:p>
        </w:tc>
        <w:tc>
          <w:tcPr>
            <w:tcW w:w="960" w:type="dxa"/>
            <w:tcBorders>
              <w:top w:val="nil"/>
              <w:left w:val="nil"/>
              <w:bottom w:val="nil"/>
              <w:right w:val="nil"/>
            </w:tcBorders>
            <w:shd w:val="clear" w:color="000000" w:fill="006991"/>
            <w:vAlign w:val="center"/>
            <w:hideMark/>
          </w:tcPr>
          <w:p w14:paraId="03E8F2C6" w14:textId="24C221F0" w:rsidR="002C44E7" w:rsidRPr="002C44E7" w:rsidRDefault="002C44E7" w:rsidP="001436C4">
            <w:pPr>
              <w:keepNext/>
              <w:spacing w:after="0" w:line="240" w:lineRule="auto"/>
              <w:jc w:val="right"/>
              <w:rPr>
                <w:rFonts w:ascii="Open Sans Semibold" w:eastAsia="Times New Roman" w:hAnsi="Open Sans Semibold" w:cs="Open Sans Semibold"/>
                <w:color w:val="FFFFFF"/>
                <w:sz w:val="16"/>
                <w:szCs w:val="16"/>
                <w:lang w:eastAsia="en-AU"/>
              </w:rPr>
            </w:pPr>
            <w:r w:rsidRPr="002C44E7">
              <w:rPr>
                <w:rFonts w:ascii="Open Sans Semibold" w:eastAsia="Times New Roman" w:hAnsi="Open Sans Semibold" w:cs="Open Sans Semibold"/>
                <w:color w:val="FFFFFF"/>
                <w:sz w:val="16"/>
                <w:szCs w:val="16"/>
                <w:lang w:eastAsia="en-AU"/>
              </w:rPr>
              <w:t>2023</w:t>
            </w:r>
            <w:r w:rsidR="00966999">
              <w:rPr>
                <w:rFonts w:ascii="Open Sans Semibold" w:eastAsia="Times New Roman" w:hAnsi="Open Sans Semibold" w:cs="Open Sans Semibold"/>
                <w:color w:val="FFFFFF"/>
                <w:sz w:val="16"/>
                <w:szCs w:val="16"/>
                <w:lang w:eastAsia="en-AU"/>
              </w:rPr>
              <w:t>–</w:t>
            </w:r>
            <w:r w:rsidRPr="002C44E7">
              <w:rPr>
                <w:rFonts w:ascii="Open Sans Semibold" w:eastAsia="Times New Roman" w:hAnsi="Open Sans Semibold" w:cs="Open Sans Semibold"/>
                <w:color w:val="FFFFFF"/>
                <w:sz w:val="16"/>
                <w:szCs w:val="16"/>
                <w:lang w:eastAsia="en-AU"/>
              </w:rPr>
              <w:t>24</w:t>
            </w:r>
          </w:p>
        </w:tc>
      </w:tr>
      <w:tr w:rsidR="002C44E7" w:rsidRPr="002C44E7" w14:paraId="39363380" w14:textId="77777777" w:rsidTr="002C44E7">
        <w:trPr>
          <w:trHeight w:val="321"/>
        </w:trPr>
        <w:tc>
          <w:tcPr>
            <w:tcW w:w="6060" w:type="dxa"/>
            <w:tcBorders>
              <w:top w:val="single" w:sz="4" w:space="0" w:color="ADD6EA"/>
              <w:left w:val="nil"/>
              <w:bottom w:val="nil"/>
              <w:right w:val="nil"/>
            </w:tcBorders>
            <w:shd w:val="clear" w:color="000000" w:fill="FFFFFF"/>
            <w:vAlign w:val="bottom"/>
            <w:hideMark/>
          </w:tcPr>
          <w:p w14:paraId="5C1A043F" w14:textId="77777777" w:rsidR="002C44E7" w:rsidRPr="002C44E7" w:rsidRDefault="002C44E7" w:rsidP="001436C4">
            <w:pPr>
              <w:keepNext/>
              <w:spacing w:after="0" w:line="240" w:lineRule="auto"/>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Cost Juvenile detention ($m)</w:t>
            </w:r>
          </w:p>
        </w:tc>
        <w:tc>
          <w:tcPr>
            <w:tcW w:w="960" w:type="dxa"/>
            <w:tcBorders>
              <w:top w:val="single" w:sz="4" w:space="0" w:color="ADD6EA"/>
              <w:left w:val="nil"/>
              <w:bottom w:val="nil"/>
              <w:right w:val="nil"/>
            </w:tcBorders>
            <w:shd w:val="clear" w:color="000000" w:fill="FFFFFF"/>
            <w:vAlign w:val="bottom"/>
            <w:hideMark/>
          </w:tcPr>
          <w:p w14:paraId="6D21DBA5"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895</w:t>
            </w:r>
          </w:p>
        </w:tc>
        <w:tc>
          <w:tcPr>
            <w:tcW w:w="960" w:type="dxa"/>
            <w:tcBorders>
              <w:top w:val="single" w:sz="4" w:space="0" w:color="ADD6EA"/>
              <w:left w:val="nil"/>
              <w:bottom w:val="nil"/>
              <w:right w:val="nil"/>
            </w:tcBorders>
            <w:shd w:val="clear" w:color="000000" w:fill="FFFFFF"/>
            <w:vAlign w:val="bottom"/>
            <w:hideMark/>
          </w:tcPr>
          <w:p w14:paraId="46F44553"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908</w:t>
            </w:r>
          </w:p>
        </w:tc>
        <w:tc>
          <w:tcPr>
            <w:tcW w:w="960" w:type="dxa"/>
            <w:tcBorders>
              <w:top w:val="single" w:sz="4" w:space="0" w:color="ADD6EA"/>
              <w:left w:val="nil"/>
              <w:bottom w:val="nil"/>
              <w:right w:val="nil"/>
            </w:tcBorders>
            <w:shd w:val="clear" w:color="000000" w:fill="FFFFFF"/>
            <w:vAlign w:val="bottom"/>
            <w:hideMark/>
          </w:tcPr>
          <w:p w14:paraId="241448B6"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1,003</w:t>
            </w:r>
          </w:p>
        </w:tc>
      </w:tr>
      <w:tr w:rsidR="002C44E7" w:rsidRPr="002C44E7" w14:paraId="19ED255E" w14:textId="77777777" w:rsidTr="002C44E7">
        <w:trPr>
          <w:trHeight w:val="321"/>
        </w:trPr>
        <w:tc>
          <w:tcPr>
            <w:tcW w:w="6060" w:type="dxa"/>
            <w:tcBorders>
              <w:top w:val="single" w:sz="4" w:space="0" w:color="ADD6EA"/>
              <w:left w:val="nil"/>
              <w:bottom w:val="nil"/>
              <w:right w:val="nil"/>
            </w:tcBorders>
            <w:shd w:val="clear" w:color="000000" w:fill="FFFFFF"/>
            <w:vAlign w:val="bottom"/>
            <w:hideMark/>
          </w:tcPr>
          <w:p w14:paraId="6F6296FB" w14:textId="77777777" w:rsidR="002C44E7" w:rsidRPr="002C44E7" w:rsidRDefault="002C44E7" w:rsidP="001436C4">
            <w:pPr>
              <w:keepNext/>
              <w:spacing w:after="0" w:line="240" w:lineRule="auto"/>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Cost adult prisons ($m)</w:t>
            </w:r>
          </w:p>
        </w:tc>
        <w:tc>
          <w:tcPr>
            <w:tcW w:w="960" w:type="dxa"/>
            <w:tcBorders>
              <w:top w:val="single" w:sz="4" w:space="0" w:color="ADD6EA"/>
              <w:left w:val="nil"/>
              <w:bottom w:val="nil"/>
              <w:right w:val="nil"/>
            </w:tcBorders>
            <w:shd w:val="clear" w:color="000000" w:fill="FFFFFF"/>
            <w:vAlign w:val="bottom"/>
            <w:hideMark/>
          </w:tcPr>
          <w:p w14:paraId="34470116"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4,863</w:t>
            </w:r>
          </w:p>
        </w:tc>
        <w:tc>
          <w:tcPr>
            <w:tcW w:w="960" w:type="dxa"/>
            <w:tcBorders>
              <w:top w:val="single" w:sz="4" w:space="0" w:color="ADD6EA"/>
              <w:left w:val="nil"/>
              <w:bottom w:val="nil"/>
              <w:right w:val="nil"/>
            </w:tcBorders>
            <w:shd w:val="clear" w:color="000000" w:fill="FFFFFF"/>
            <w:vAlign w:val="bottom"/>
            <w:hideMark/>
          </w:tcPr>
          <w:p w14:paraId="23018408"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4,853</w:t>
            </w:r>
          </w:p>
        </w:tc>
        <w:tc>
          <w:tcPr>
            <w:tcW w:w="960" w:type="dxa"/>
            <w:tcBorders>
              <w:top w:val="single" w:sz="4" w:space="0" w:color="ADD6EA"/>
              <w:left w:val="nil"/>
              <w:bottom w:val="nil"/>
              <w:right w:val="nil"/>
            </w:tcBorders>
            <w:shd w:val="clear" w:color="000000" w:fill="FFFFFF"/>
            <w:vAlign w:val="bottom"/>
            <w:hideMark/>
          </w:tcPr>
          <w:p w14:paraId="0C32F4FC"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5,016</w:t>
            </w:r>
          </w:p>
        </w:tc>
      </w:tr>
      <w:tr w:rsidR="002C44E7" w:rsidRPr="002C44E7" w14:paraId="68F03263" w14:textId="77777777" w:rsidTr="002C44E7">
        <w:trPr>
          <w:trHeight w:val="321"/>
        </w:trPr>
        <w:tc>
          <w:tcPr>
            <w:tcW w:w="6060" w:type="dxa"/>
            <w:tcBorders>
              <w:top w:val="single" w:sz="4" w:space="0" w:color="ADD6EA"/>
              <w:left w:val="nil"/>
              <w:bottom w:val="nil"/>
              <w:right w:val="nil"/>
            </w:tcBorders>
            <w:shd w:val="clear" w:color="000000" w:fill="FFFFFF"/>
            <w:vAlign w:val="bottom"/>
            <w:hideMark/>
          </w:tcPr>
          <w:p w14:paraId="39BF3501" w14:textId="77777777" w:rsidR="002C44E7" w:rsidRPr="002C44E7" w:rsidRDefault="002C44E7" w:rsidP="001436C4">
            <w:pPr>
              <w:keepNext/>
              <w:spacing w:after="0" w:line="240" w:lineRule="auto"/>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Juvenile detainees (No.)</w:t>
            </w:r>
          </w:p>
        </w:tc>
        <w:tc>
          <w:tcPr>
            <w:tcW w:w="960" w:type="dxa"/>
            <w:tcBorders>
              <w:top w:val="single" w:sz="4" w:space="0" w:color="ADD6EA"/>
              <w:left w:val="nil"/>
              <w:bottom w:val="nil"/>
              <w:right w:val="nil"/>
            </w:tcBorders>
            <w:shd w:val="clear" w:color="000000" w:fill="FFFFFF"/>
            <w:vAlign w:val="bottom"/>
            <w:hideMark/>
          </w:tcPr>
          <w:p w14:paraId="7761477E"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826</w:t>
            </w:r>
          </w:p>
        </w:tc>
        <w:tc>
          <w:tcPr>
            <w:tcW w:w="960" w:type="dxa"/>
            <w:tcBorders>
              <w:top w:val="single" w:sz="4" w:space="0" w:color="ADD6EA"/>
              <w:left w:val="nil"/>
              <w:bottom w:val="nil"/>
              <w:right w:val="nil"/>
            </w:tcBorders>
            <w:shd w:val="clear" w:color="000000" w:fill="FFFFFF"/>
            <w:vAlign w:val="bottom"/>
            <w:hideMark/>
          </w:tcPr>
          <w:p w14:paraId="6A00AEB2"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835</w:t>
            </w:r>
          </w:p>
        </w:tc>
        <w:tc>
          <w:tcPr>
            <w:tcW w:w="960" w:type="dxa"/>
            <w:tcBorders>
              <w:top w:val="single" w:sz="4" w:space="0" w:color="ADD6EA"/>
              <w:left w:val="nil"/>
              <w:bottom w:val="nil"/>
              <w:right w:val="nil"/>
            </w:tcBorders>
            <w:shd w:val="clear" w:color="000000" w:fill="FFFFFF"/>
            <w:vAlign w:val="bottom"/>
            <w:hideMark/>
          </w:tcPr>
          <w:p w14:paraId="373AE1AB"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827</w:t>
            </w:r>
          </w:p>
        </w:tc>
      </w:tr>
      <w:tr w:rsidR="002C44E7" w:rsidRPr="002C44E7" w14:paraId="7CF18D73" w14:textId="77777777" w:rsidTr="002C44E7">
        <w:trPr>
          <w:trHeight w:val="321"/>
        </w:trPr>
        <w:tc>
          <w:tcPr>
            <w:tcW w:w="6060" w:type="dxa"/>
            <w:tcBorders>
              <w:top w:val="single" w:sz="4" w:space="0" w:color="ADD6EA"/>
              <w:left w:val="nil"/>
              <w:bottom w:val="nil"/>
              <w:right w:val="nil"/>
            </w:tcBorders>
            <w:shd w:val="clear" w:color="000000" w:fill="FFFFFF"/>
            <w:vAlign w:val="bottom"/>
            <w:hideMark/>
          </w:tcPr>
          <w:p w14:paraId="61C9F4ED" w14:textId="77777777" w:rsidR="002C44E7" w:rsidRPr="002C44E7" w:rsidRDefault="002C44E7" w:rsidP="001436C4">
            <w:pPr>
              <w:keepNext/>
              <w:spacing w:after="0" w:line="240" w:lineRule="auto"/>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Adult prisoners (No.)</w:t>
            </w:r>
          </w:p>
        </w:tc>
        <w:tc>
          <w:tcPr>
            <w:tcW w:w="960" w:type="dxa"/>
            <w:tcBorders>
              <w:top w:val="single" w:sz="4" w:space="0" w:color="ADD6EA"/>
              <w:left w:val="nil"/>
              <w:bottom w:val="nil"/>
              <w:right w:val="nil"/>
            </w:tcBorders>
            <w:shd w:val="clear" w:color="000000" w:fill="FFFFFF"/>
            <w:vAlign w:val="bottom"/>
            <w:hideMark/>
          </w:tcPr>
          <w:p w14:paraId="1BC616B2"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40,342</w:t>
            </w:r>
          </w:p>
        </w:tc>
        <w:tc>
          <w:tcPr>
            <w:tcW w:w="960" w:type="dxa"/>
            <w:tcBorders>
              <w:top w:val="single" w:sz="4" w:space="0" w:color="ADD6EA"/>
              <w:left w:val="nil"/>
              <w:bottom w:val="nil"/>
              <w:right w:val="nil"/>
            </w:tcBorders>
            <w:shd w:val="clear" w:color="000000" w:fill="FFFFFF"/>
            <w:vAlign w:val="bottom"/>
            <w:hideMark/>
          </w:tcPr>
          <w:p w14:paraId="1961620A"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41,814</w:t>
            </w:r>
          </w:p>
        </w:tc>
        <w:tc>
          <w:tcPr>
            <w:tcW w:w="960" w:type="dxa"/>
            <w:tcBorders>
              <w:top w:val="single" w:sz="4" w:space="0" w:color="ADD6EA"/>
              <w:left w:val="nil"/>
              <w:bottom w:val="nil"/>
              <w:right w:val="nil"/>
            </w:tcBorders>
            <w:shd w:val="clear" w:color="000000" w:fill="FFFFFF"/>
            <w:vAlign w:val="bottom"/>
            <w:hideMark/>
          </w:tcPr>
          <w:p w14:paraId="47FAD606"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44,159</w:t>
            </w:r>
          </w:p>
        </w:tc>
      </w:tr>
      <w:tr w:rsidR="002C44E7" w:rsidRPr="002C44E7" w14:paraId="1029225D" w14:textId="77777777" w:rsidTr="002C44E7">
        <w:trPr>
          <w:trHeight w:val="321"/>
        </w:trPr>
        <w:tc>
          <w:tcPr>
            <w:tcW w:w="6060" w:type="dxa"/>
            <w:tcBorders>
              <w:top w:val="single" w:sz="4" w:space="0" w:color="ADD6EA"/>
              <w:left w:val="nil"/>
              <w:bottom w:val="nil"/>
              <w:right w:val="nil"/>
            </w:tcBorders>
            <w:shd w:val="clear" w:color="000000" w:fill="FFFFFF"/>
            <w:vAlign w:val="bottom"/>
            <w:hideMark/>
          </w:tcPr>
          <w:p w14:paraId="59CC7CD9" w14:textId="2E78B805" w:rsidR="002C44E7" w:rsidRPr="002C44E7" w:rsidRDefault="002C44E7" w:rsidP="001436C4">
            <w:pPr>
              <w:keepNext/>
              <w:spacing w:after="0" w:line="240" w:lineRule="auto"/>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 xml:space="preserve">Yearly cost per </w:t>
            </w:r>
            <w:r>
              <w:rPr>
                <w:rFonts w:ascii="Open Sans Light" w:eastAsia="Times New Roman" w:hAnsi="Open Sans Light" w:cs="Open Sans Light"/>
                <w:color w:val="000000"/>
                <w:sz w:val="16"/>
                <w:szCs w:val="16"/>
                <w:lang w:eastAsia="en-AU"/>
              </w:rPr>
              <w:t>j</w:t>
            </w:r>
            <w:r w:rsidRPr="002C44E7">
              <w:rPr>
                <w:rFonts w:ascii="Open Sans Light" w:eastAsia="Times New Roman" w:hAnsi="Open Sans Light" w:cs="Open Sans Light"/>
                <w:color w:val="000000"/>
                <w:sz w:val="16"/>
                <w:szCs w:val="16"/>
                <w:lang w:eastAsia="en-AU"/>
              </w:rPr>
              <w:t>uvenile detainee ($)</w:t>
            </w:r>
          </w:p>
        </w:tc>
        <w:tc>
          <w:tcPr>
            <w:tcW w:w="960" w:type="dxa"/>
            <w:tcBorders>
              <w:top w:val="single" w:sz="4" w:space="0" w:color="ADD6EA"/>
              <w:left w:val="nil"/>
              <w:bottom w:val="nil"/>
              <w:right w:val="nil"/>
            </w:tcBorders>
            <w:shd w:val="clear" w:color="000000" w:fill="FFFFFF"/>
            <w:vAlign w:val="bottom"/>
            <w:hideMark/>
          </w:tcPr>
          <w:p w14:paraId="14DE6547"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1,083,542</w:t>
            </w:r>
          </w:p>
        </w:tc>
        <w:tc>
          <w:tcPr>
            <w:tcW w:w="960" w:type="dxa"/>
            <w:tcBorders>
              <w:top w:val="single" w:sz="4" w:space="0" w:color="ADD6EA"/>
              <w:left w:val="nil"/>
              <w:bottom w:val="nil"/>
              <w:right w:val="nil"/>
            </w:tcBorders>
            <w:shd w:val="clear" w:color="000000" w:fill="FFFFFF"/>
            <w:vAlign w:val="bottom"/>
            <w:hideMark/>
          </w:tcPr>
          <w:p w14:paraId="32E02378"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1,087,568</w:t>
            </w:r>
          </w:p>
        </w:tc>
        <w:tc>
          <w:tcPr>
            <w:tcW w:w="960" w:type="dxa"/>
            <w:tcBorders>
              <w:top w:val="single" w:sz="4" w:space="0" w:color="ADD6EA"/>
              <w:left w:val="nil"/>
              <w:bottom w:val="nil"/>
              <w:right w:val="nil"/>
            </w:tcBorders>
            <w:shd w:val="clear" w:color="000000" w:fill="FFFFFF"/>
            <w:vAlign w:val="bottom"/>
            <w:hideMark/>
          </w:tcPr>
          <w:p w14:paraId="5BBD81CB"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1,212,486</w:t>
            </w:r>
          </w:p>
        </w:tc>
      </w:tr>
      <w:tr w:rsidR="002C44E7" w:rsidRPr="002C44E7" w14:paraId="47985927" w14:textId="77777777" w:rsidTr="002C44E7">
        <w:trPr>
          <w:trHeight w:val="321"/>
        </w:trPr>
        <w:tc>
          <w:tcPr>
            <w:tcW w:w="6060" w:type="dxa"/>
            <w:tcBorders>
              <w:top w:val="single" w:sz="4" w:space="0" w:color="ADD6EA"/>
              <w:left w:val="nil"/>
              <w:bottom w:val="nil"/>
              <w:right w:val="nil"/>
            </w:tcBorders>
            <w:shd w:val="clear" w:color="000000" w:fill="FFFFFF"/>
            <w:vAlign w:val="bottom"/>
            <w:hideMark/>
          </w:tcPr>
          <w:p w14:paraId="1518068E" w14:textId="064B51F0" w:rsidR="002C44E7" w:rsidRPr="002C44E7" w:rsidRDefault="002C44E7" w:rsidP="001436C4">
            <w:pPr>
              <w:keepNext/>
              <w:spacing w:after="0" w:line="240" w:lineRule="auto"/>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Yearly cost per adult prisoner ($)</w:t>
            </w:r>
          </w:p>
        </w:tc>
        <w:tc>
          <w:tcPr>
            <w:tcW w:w="960" w:type="dxa"/>
            <w:tcBorders>
              <w:top w:val="single" w:sz="4" w:space="0" w:color="ADD6EA"/>
              <w:left w:val="nil"/>
              <w:bottom w:val="nil"/>
              <w:right w:val="nil"/>
            </w:tcBorders>
            <w:shd w:val="clear" w:color="000000" w:fill="FFFFFF"/>
            <w:vAlign w:val="bottom"/>
            <w:hideMark/>
          </w:tcPr>
          <w:p w14:paraId="55C034F9"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120,544</w:t>
            </w:r>
          </w:p>
        </w:tc>
        <w:tc>
          <w:tcPr>
            <w:tcW w:w="960" w:type="dxa"/>
            <w:tcBorders>
              <w:top w:val="single" w:sz="4" w:space="0" w:color="ADD6EA"/>
              <w:left w:val="nil"/>
              <w:bottom w:val="nil"/>
              <w:right w:val="nil"/>
            </w:tcBorders>
            <w:shd w:val="clear" w:color="000000" w:fill="FFFFFF"/>
            <w:vAlign w:val="bottom"/>
            <w:hideMark/>
          </w:tcPr>
          <w:p w14:paraId="49BD27EC"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116,065</w:t>
            </w:r>
          </w:p>
        </w:tc>
        <w:tc>
          <w:tcPr>
            <w:tcW w:w="960" w:type="dxa"/>
            <w:tcBorders>
              <w:top w:val="single" w:sz="4" w:space="0" w:color="ADD6EA"/>
              <w:left w:val="nil"/>
              <w:bottom w:val="nil"/>
              <w:right w:val="nil"/>
            </w:tcBorders>
            <w:shd w:val="clear" w:color="000000" w:fill="FFFFFF"/>
            <w:vAlign w:val="bottom"/>
            <w:hideMark/>
          </w:tcPr>
          <w:p w14:paraId="78B15F0C" w14:textId="77777777" w:rsidR="002C44E7" w:rsidRPr="002C44E7" w:rsidRDefault="002C44E7" w:rsidP="001436C4">
            <w:pPr>
              <w:keepNext/>
              <w:spacing w:after="0" w:line="240" w:lineRule="auto"/>
              <w:jc w:val="right"/>
              <w:rPr>
                <w:rFonts w:ascii="Open Sans Light" w:eastAsia="Times New Roman" w:hAnsi="Open Sans Light" w:cs="Open Sans Light"/>
                <w:color w:val="000000"/>
                <w:sz w:val="16"/>
                <w:szCs w:val="16"/>
                <w:lang w:eastAsia="en-AU"/>
              </w:rPr>
            </w:pPr>
            <w:r w:rsidRPr="002C44E7">
              <w:rPr>
                <w:rFonts w:ascii="Open Sans Light" w:eastAsia="Times New Roman" w:hAnsi="Open Sans Light" w:cs="Open Sans Light"/>
                <w:color w:val="000000"/>
                <w:sz w:val="16"/>
                <w:szCs w:val="16"/>
                <w:lang w:eastAsia="en-AU"/>
              </w:rPr>
              <w:t>113,591</w:t>
            </w:r>
          </w:p>
        </w:tc>
      </w:tr>
      <w:tr w:rsidR="002C44E7" w:rsidRPr="002C44E7" w14:paraId="5D6DA8B6" w14:textId="77777777" w:rsidTr="002C44E7">
        <w:trPr>
          <w:trHeight w:val="321"/>
        </w:trPr>
        <w:tc>
          <w:tcPr>
            <w:tcW w:w="6060" w:type="dxa"/>
            <w:tcBorders>
              <w:top w:val="single" w:sz="4" w:space="0" w:color="ADD6EA"/>
              <w:left w:val="nil"/>
              <w:bottom w:val="single" w:sz="4" w:space="0" w:color="ADD6EA"/>
              <w:right w:val="nil"/>
            </w:tcBorders>
            <w:shd w:val="clear" w:color="000000" w:fill="D6E7F0"/>
            <w:vAlign w:val="bottom"/>
            <w:hideMark/>
          </w:tcPr>
          <w:p w14:paraId="3AA10882" w14:textId="77777777" w:rsidR="002C44E7" w:rsidRPr="002C44E7" w:rsidRDefault="002C44E7" w:rsidP="001436C4">
            <w:pPr>
              <w:keepNext/>
              <w:spacing w:after="0" w:line="240" w:lineRule="auto"/>
              <w:rPr>
                <w:rFonts w:ascii="Open Sans Semibold" w:eastAsia="Times New Roman" w:hAnsi="Open Sans Semibold" w:cs="Open Sans Semibold"/>
                <w:color w:val="000000"/>
                <w:sz w:val="16"/>
                <w:szCs w:val="16"/>
                <w:lang w:eastAsia="en-AU"/>
              </w:rPr>
            </w:pPr>
            <w:r w:rsidRPr="002C44E7">
              <w:rPr>
                <w:rFonts w:ascii="Open Sans Semibold" w:eastAsia="Times New Roman" w:hAnsi="Open Sans Semibold" w:cs="Open Sans Semibold"/>
                <w:color w:val="000000"/>
                <w:sz w:val="16"/>
                <w:szCs w:val="16"/>
                <w:lang w:eastAsia="en-AU"/>
              </w:rPr>
              <w:t>Cost weight - juvenile detainees</w:t>
            </w:r>
          </w:p>
        </w:tc>
        <w:tc>
          <w:tcPr>
            <w:tcW w:w="960" w:type="dxa"/>
            <w:tcBorders>
              <w:top w:val="single" w:sz="4" w:space="0" w:color="ADD6EA"/>
              <w:left w:val="nil"/>
              <w:bottom w:val="single" w:sz="4" w:space="0" w:color="ADD6EA"/>
              <w:right w:val="nil"/>
            </w:tcBorders>
            <w:shd w:val="clear" w:color="000000" w:fill="D6E7F0"/>
            <w:vAlign w:val="bottom"/>
            <w:hideMark/>
          </w:tcPr>
          <w:p w14:paraId="4ED026D0" w14:textId="77777777" w:rsidR="002C44E7" w:rsidRPr="002C44E7" w:rsidRDefault="002C44E7" w:rsidP="001436C4">
            <w:pPr>
              <w:keepNext/>
              <w:spacing w:after="0" w:line="240" w:lineRule="auto"/>
              <w:jc w:val="right"/>
              <w:rPr>
                <w:rFonts w:ascii="Open Sans Semibold" w:eastAsia="Times New Roman" w:hAnsi="Open Sans Semibold" w:cs="Open Sans Semibold"/>
                <w:color w:val="000000"/>
                <w:sz w:val="16"/>
                <w:szCs w:val="16"/>
                <w:lang w:eastAsia="en-AU"/>
              </w:rPr>
            </w:pPr>
            <w:r w:rsidRPr="002C44E7">
              <w:rPr>
                <w:rFonts w:ascii="Open Sans Semibold" w:eastAsia="Times New Roman" w:hAnsi="Open Sans Semibold" w:cs="Open Sans Semibold"/>
                <w:color w:val="000000"/>
                <w:sz w:val="16"/>
                <w:szCs w:val="16"/>
                <w:lang w:eastAsia="en-AU"/>
              </w:rPr>
              <w:t>8.99</w:t>
            </w:r>
          </w:p>
        </w:tc>
        <w:tc>
          <w:tcPr>
            <w:tcW w:w="960" w:type="dxa"/>
            <w:tcBorders>
              <w:top w:val="single" w:sz="4" w:space="0" w:color="ADD6EA"/>
              <w:left w:val="nil"/>
              <w:bottom w:val="single" w:sz="4" w:space="0" w:color="ADD6EA"/>
              <w:right w:val="nil"/>
            </w:tcBorders>
            <w:shd w:val="clear" w:color="000000" w:fill="D6E7F0"/>
            <w:vAlign w:val="bottom"/>
            <w:hideMark/>
          </w:tcPr>
          <w:p w14:paraId="226DCD42" w14:textId="77777777" w:rsidR="002C44E7" w:rsidRPr="002C44E7" w:rsidRDefault="002C44E7" w:rsidP="001436C4">
            <w:pPr>
              <w:keepNext/>
              <w:spacing w:after="0" w:line="240" w:lineRule="auto"/>
              <w:jc w:val="right"/>
              <w:rPr>
                <w:rFonts w:ascii="Open Sans Semibold" w:eastAsia="Times New Roman" w:hAnsi="Open Sans Semibold" w:cs="Open Sans Semibold"/>
                <w:color w:val="000000"/>
                <w:sz w:val="16"/>
                <w:szCs w:val="16"/>
                <w:lang w:eastAsia="en-AU"/>
              </w:rPr>
            </w:pPr>
            <w:r w:rsidRPr="002C44E7">
              <w:rPr>
                <w:rFonts w:ascii="Open Sans Semibold" w:eastAsia="Times New Roman" w:hAnsi="Open Sans Semibold" w:cs="Open Sans Semibold"/>
                <w:color w:val="000000"/>
                <w:sz w:val="16"/>
                <w:szCs w:val="16"/>
                <w:lang w:eastAsia="en-AU"/>
              </w:rPr>
              <w:t>9.37</w:t>
            </w:r>
          </w:p>
        </w:tc>
        <w:tc>
          <w:tcPr>
            <w:tcW w:w="960" w:type="dxa"/>
            <w:tcBorders>
              <w:top w:val="single" w:sz="4" w:space="0" w:color="ADD6EA"/>
              <w:left w:val="nil"/>
              <w:bottom w:val="single" w:sz="4" w:space="0" w:color="ADD6EA"/>
              <w:right w:val="nil"/>
            </w:tcBorders>
            <w:shd w:val="clear" w:color="000000" w:fill="D6E7F0"/>
            <w:vAlign w:val="bottom"/>
            <w:hideMark/>
          </w:tcPr>
          <w:p w14:paraId="696832B1" w14:textId="77777777" w:rsidR="002C44E7" w:rsidRPr="002C44E7" w:rsidRDefault="002C44E7" w:rsidP="001436C4">
            <w:pPr>
              <w:keepNext/>
              <w:spacing w:after="0" w:line="240" w:lineRule="auto"/>
              <w:jc w:val="right"/>
              <w:rPr>
                <w:rFonts w:ascii="Open Sans Semibold" w:eastAsia="Times New Roman" w:hAnsi="Open Sans Semibold" w:cs="Open Sans Semibold"/>
                <w:color w:val="000000"/>
                <w:sz w:val="16"/>
                <w:szCs w:val="16"/>
                <w:lang w:eastAsia="en-AU"/>
              </w:rPr>
            </w:pPr>
            <w:r w:rsidRPr="002C44E7">
              <w:rPr>
                <w:rFonts w:ascii="Open Sans Semibold" w:eastAsia="Times New Roman" w:hAnsi="Open Sans Semibold" w:cs="Open Sans Semibold"/>
                <w:color w:val="000000"/>
                <w:sz w:val="16"/>
                <w:szCs w:val="16"/>
                <w:lang w:eastAsia="en-AU"/>
              </w:rPr>
              <w:t>10.67</w:t>
            </w:r>
          </w:p>
        </w:tc>
      </w:tr>
    </w:tbl>
    <w:p w14:paraId="1D847146" w14:textId="1407D696" w:rsidR="006E1741" w:rsidRDefault="00A241A8" w:rsidP="00BF7A7C">
      <w:pPr>
        <w:pStyle w:val="CGC2025TableNote"/>
        <w:tabs>
          <w:tab w:val="clear" w:pos="567"/>
          <w:tab w:val="clear" w:pos="680"/>
          <w:tab w:val="left" w:pos="851"/>
          <w:tab w:val="left" w:pos="993"/>
        </w:tabs>
        <w:ind w:left="709" w:hanging="596"/>
      </w:pPr>
      <w:r>
        <w:t xml:space="preserve">Note: </w:t>
      </w:r>
      <w:r w:rsidR="00BF7A7C">
        <w:tab/>
      </w:r>
      <w:r>
        <w:t>The juvenile detainee cost weight is calculated by dividing the yearly cost per juvenile detainee by the yearly cost per adult prisoner.</w:t>
      </w:r>
    </w:p>
    <w:p w14:paraId="0477FC9D" w14:textId="5610A3CD" w:rsidR="0010611E" w:rsidRDefault="0010611E" w:rsidP="000A4E9D">
      <w:pPr>
        <w:pStyle w:val="CGC2025TableNote"/>
        <w:ind w:left="709" w:hanging="596"/>
      </w:pPr>
      <w:r>
        <w:t>Source</w:t>
      </w:r>
      <w:r w:rsidR="00077C1B">
        <w:t xml:space="preserve">: </w:t>
      </w:r>
      <w:r w:rsidR="00573E29">
        <w:t>Productivity Commission’s Report on Government Services 202</w:t>
      </w:r>
      <w:r w:rsidR="008B5082">
        <w:t>5</w:t>
      </w:r>
      <w:r w:rsidR="00573E29">
        <w:t xml:space="preserve">, </w:t>
      </w:r>
      <w:r w:rsidR="00E5395F">
        <w:t>y</w:t>
      </w:r>
      <w:r w:rsidR="00573E29">
        <w:t>outh justice services Table 17A.2</w:t>
      </w:r>
      <w:r w:rsidR="005F7B69">
        <w:t>0</w:t>
      </w:r>
      <w:r w:rsidR="00573E29">
        <w:t>, Corrective services 8A.2 and ABS Prisoners in Australia 202</w:t>
      </w:r>
      <w:r w:rsidR="0038785B">
        <w:t>4</w:t>
      </w:r>
      <w:r w:rsidR="00573E29">
        <w:t xml:space="preserve"> Table 21.</w:t>
      </w:r>
    </w:p>
    <w:p w14:paraId="5868BB25" w14:textId="76C32942" w:rsidR="003D0961" w:rsidRDefault="003D0961" w:rsidP="007E471B">
      <w:pPr>
        <w:pStyle w:val="CGCParaNumber"/>
        <w:numPr>
          <w:ilvl w:val="1"/>
          <w:numId w:val="16"/>
        </w:numPr>
      </w:pPr>
      <w:r>
        <w:t>The Commission acknowledges the Productivity Commission’s caveat that the Report on Government Services juvenile detention expenditure data are not comparable across states.</w:t>
      </w:r>
      <w:r w:rsidR="009B1264" w:rsidRPr="00B32938">
        <w:rPr>
          <w:rStyle w:val="FootnoteReference"/>
          <w:vertAlign w:val="superscript"/>
        </w:rPr>
        <w:footnoteReference w:id="5"/>
      </w:r>
      <w:r w:rsidRPr="00B32938">
        <w:rPr>
          <w:vertAlign w:val="superscript"/>
        </w:rPr>
        <w:t xml:space="preserve"> </w:t>
      </w:r>
      <w:r>
        <w:t>However, currently they are the best available data for determining adult prisoner versus juvenile detainee cost differences. The Commission considers</w:t>
      </w:r>
      <w:r w:rsidR="00A62A2B">
        <w:t xml:space="preserve"> using</w:t>
      </w:r>
      <w:r>
        <w:t xml:space="preserve"> national </w:t>
      </w:r>
      <w:r w:rsidR="00A62A2B">
        <w:t>averaged</w:t>
      </w:r>
      <w:r>
        <w:t xml:space="preserve"> data will smooth out policy influences from any one state. </w:t>
      </w:r>
    </w:p>
    <w:p w14:paraId="233D6874" w14:textId="3AA771BD" w:rsidR="00FA0400" w:rsidRDefault="00580815" w:rsidP="007E471B">
      <w:pPr>
        <w:pStyle w:val="CGCParaNumber"/>
        <w:numPr>
          <w:ilvl w:val="1"/>
          <w:numId w:val="16"/>
        </w:numPr>
      </w:pPr>
      <w:r>
        <w:t xml:space="preserve">To facilitate </w:t>
      </w:r>
      <w:r w:rsidR="001522FD">
        <w:t>the i</w:t>
      </w:r>
      <w:r w:rsidR="005E51DB">
        <w:t>ntroduc</w:t>
      </w:r>
      <w:r w:rsidR="001522FD">
        <w:t>tion of the juvenile detainee cost weight</w:t>
      </w:r>
      <w:r w:rsidR="006E1741">
        <w:t>, the Commission</w:t>
      </w:r>
      <w:r w:rsidR="00720A99">
        <w:t xml:space="preserve"> will</w:t>
      </w:r>
      <w:r w:rsidR="00562C07">
        <w:t xml:space="preserve"> use</w:t>
      </w:r>
      <w:r w:rsidR="00271C9A">
        <w:t xml:space="preserve"> new age groups</w:t>
      </w:r>
      <w:r w:rsidR="0079716A">
        <w:t xml:space="preserve"> ac</w:t>
      </w:r>
      <w:r w:rsidR="00CE48B9">
        <w:t>ross the justice assessment</w:t>
      </w:r>
      <w:r w:rsidR="00271C9A">
        <w:t>.</w:t>
      </w:r>
      <w:r w:rsidR="00CE48B9">
        <w:t xml:space="preserve"> The new age groups will</w:t>
      </w:r>
      <w:r w:rsidR="00562C07">
        <w:t xml:space="preserve"> </w:t>
      </w:r>
      <w:r w:rsidR="006231CC">
        <w:t xml:space="preserve">be </w:t>
      </w:r>
      <w:r w:rsidR="00562C07">
        <w:t>0–</w:t>
      </w:r>
      <w:r w:rsidR="00980531">
        <w:rPr>
          <w:rFonts w:ascii="Times New Roman" w:hAnsi="Times New Roman" w:cs="Times New Roman" w:hint="eastAsia"/>
          <w:rtl/>
        </w:rPr>
        <w:t>‍</w:t>
      </w:r>
      <w:r w:rsidR="00562C07">
        <w:t>17, 18</w:t>
      </w:r>
      <w:r w:rsidR="00980531">
        <w:t>–24, 25–</w:t>
      </w:r>
      <w:r w:rsidR="003E7FBE">
        <w:t xml:space="preserve">44, </w:t>
      </w:r>
      <w:r w:rsidR="00225F4B">
        <w:t>45–64 and 65+.</w:t>
      </w:r>
      <w:r w:rsidR="00CE48B9">
        <w:t xml:space="preserve"> </w:t>
      </w:r>
      <w:r w:rsidR="00EE28CE">
        <w:t xml:space="preserve">The </w:t>
      </w:r>
      <w:r w:rsidR="001774B3">
        <w:t>juvenile detainee</w:t>
      </w:r>
      <w:r w:rsidR="00EE28CE">
        <w:t xml:space="preserve"> cost weights </w:t>
      </w:r>
      <w:r w:rsidR="001774B3">
        <w:t>will be</w:t>
      </w:r>
      <w:r w:rsidR="00EE28CE">
        <w:t xml:space="preserve"> applied to all assessed prisoners in the 0–17 age group.</w:t>
      </w:r>
    </w:p>
    <w:p w14:paraId="49A8322B" w14:textId="570626A5" w:rsidR="00271C9A" w:rsidRDefault="00891186" w:rsidP="007E471B">
      <w:pPr>
        <w:pStyle w:val="CGCParaNumber"/>
        <w:numPr>
          <w:ilvl w:val="1"/>
          <w:numId w:val="16"/>
        </w:numPr>
      </w:pPr>
      <w:r>
        <w:t xml:space="preserve">The Commission </w:t>
      </w:r>
      <w:r w:rsidR="008E5353">
        <w:t>investigated</w:t>
      </w:r>
      <w:r>
        <w:t xml:space="preserve"> Queensland</w:t>
      </w:r>
      <w:r w:rsidR="00264C32">
        <w:t>’s</w:t>
      </w:r>
      <w:r>
        <w:t xml:space="preserve"> suggestion of using </w:t>
      </w:r>
      <w:r w:rsidR="00F21809">
        <w:t xml:space="preserve">cost per bed night as a </w:t>
      </w:r>
      <w:r w:rsidR="00D30891">
        <w:t xml:space="preserve">basis for </w:t>
      </w:r>
      <w:r w:rsidR="00B84F22">
        <w:t xml:space="preserve">calculating </w:t>
      </w:r>
      <w:r w:rsidR="00677461">
        <w:t xml:space="preserve">a juvenile cost weight but found it </w:t>
      </w:r>
      <w:r w:rsidR="00A047B9">
        <w:t xml:space="preserve">overstated </w:t>
      </w:r>
      <w:r w:rsidR="00EB3FC4">
        <w:t xml:space="preserve">expenses when </w:t>
      </w:r>
      <w:r w:rsidR="00AA0958">
        <w:t>applied to</w:t>
      </w:r>
      <w:r w:rsidR="00EB3FC4">
        <w:t xml:space="preserve"> </w:t>
      </w:r>
      <w:r w:rsidR="00292C53">
        <w:t xml:space="preserve">the daily average </w:t>
      </w:r>
      <w:r w:rsidR="00224069">
        <w:t xml:space="preserve">number of juvenile detainees. </w:t>
      </w:r>
      <w:r w:rsidR="00CA5935">
        <w:t xml:space="preserve">By </w:t>
      </w:r>
      <w:r w:rsidR="00C46522">
        <w:t>calculating</w:t>
      </w:r>
      <w:r w:rsidR="00CA5935">
        <w:t xml:space="preserve"> the</w:t>
      </w:r>
      <w:r w:rsidR="006663E9">
        <w:t xml:space="preserve"> </w:t>
      </w:r>
      <w:r w:rsidR="00321F7B">
        <w:t>annual average</w:t>
      </w:r>
      <w:r w:rsidR="009C37CD">
        <w:t xml:space="preserve"> daily</w:t>
      </w:r>
      <w:r w:rsidR="00321F7B">
        <w:t xml:space="preserve"> cost per juvenile detainee</w:t>
      </w:r>
      <w:r w:rsidR="00C46522">
        <w:t xml:space="preserve"> using</w:t>
      </w:r>
      <w:r w:rsidR="000603C4">
        <w:t xml:space="preserve"> the</w:t>
      </w:r>
      <w:r w:rsidR="00C46522">
        <w:t xml:space="preserve"> </w:t>
      </w:r>
      <w:r w:rsidR="003A5B46">
        <w:t>daily average</w:t>
      </w:r>
      <w:r w:rsidR="000603C4">
        <w:t xml:space="preserve"> number of</w:t>
      </w:r>
      <w:r w:rsidR="00704F55">
        <w:t xml:space="preserve"> juvenile detainees (827 for 2023–24) and the </w:t>
      </w:r>
      <w:r w:rsidR="00F5521A">
        <w:t>total</w:t>
      </w:r>
      <w:r w:rsidR="009F0CDA">
        <w:t xml:space="preserve"> actual</w:t>
      </w:r>
      <w:r w:rsidR="00F5521A">
        <w:t xml:space="preserve"> annual cost</w:t>
      </w:r>
      <w:r w:rsidR="002A4899">
        <w:t xml:space="preserve"> of juvenile </w:t>
      </w:r>
      <w:r w:rsidR="002832FF">
        <w:t>detention (</w:t>
      </w:r>
      <w:r w:rsidR="000C183E">
        <w:t>$1,00</w:t>
      </w:r>
      <w:r w:rsidR="00A83E87">
        <w:t>3</w:t>
      </w:r>
      <w:r w:rsidR="000C183E">
        <w:t xml:space="preserve"> million</w:t>
      </w:r>
      <w:r w:rsidR="006C2ECF">
        <w:t xml:space="preserve"> for </w:t>
      </w:r>
      <w:r w:rsidR="000C7D24">
        <w:t>2023</w:t>
      </w:r>
      <w:r w:rsidR="00451660">
        <w:t>–</w:t>
      </w:r>
      <w:r w:rsidR="000C7D24">
        <w:t>24</w:t>
      </w:r>
      <w:r w:rsidR="000C183E">
        <w:t>)</w:t>
      </w:r>
      <w:r w:rsidR="00D34C4E">
        <w:t>,</w:t>
      </w:r>
      <w:r w:rsidR="006B644C">
        <w:t xml:space="preserve"> </w:t>
      </w:r>
      <w:r w:rsidR="000F4BCB">
        <w:t>the</w:t>
      </w:r>
      <w:r w:rsidR="00A41B76">
        <w:t xml:space="preserve"> </w:t>
      </w:r>
      <w:r w:rsidR="006C3AF2">
        <w:t>Commission’s</w:t>
      </w:r>
      <w:r w:rsidR="00A41B76">
        <w:t xml:space="preserve"> proposed</w:t>
      </w:r>
      <w:r w:rsidR="000F4BCB">
        <w:t xml:space="preserve"> </w:t>
      </w:r>
      <w:r w:rsidR="00DA3A3D">
        <w:t xml:space="preserve">cost weight </w:t>
      </w:r>
      <w:r w:rsidR="00914581">
        <w:t>reflect</w:t>
      </w:r>
      <w:r w:rsidR="00DA3A3D">
        <w:t>s</w:t>
      </w:r>
      <w:r w:rsidR="00914581">
        <w:t xml:space="preserve"> actual state expenses for the year</w:t>
      </w:r>
      <w:r w:rsidR="00927786">
        <w:t xml:space="preserve"> as re</w:t>
      </w:r>
      <w:r w:rsidR="002452D4">
        <w:t>corded in Report on Gover</w:t>
      </w:r>
      <w:r w:rsidR="00841903">
        <w:t>nment Services data</w:t>
      </w:r>
      <w:r w:rsidR="00914581">
        <w:t xml:space="preserve">. </w:t>
      </w:r>
      <w:r w:rsidR="000F7A02">
        <w:t>Applying</w:t>
      </w:r>
      <w:r w:rsidR="00D335B8">
        <w:t xml:space="preserve"> </w:t>
      </w:r>
      <w:r w:rsidR="00E9682D">
        <w:t>the</w:t>
      </w:r>
      <w:r w:rsidR="00D335B8">
        <w:t xml:space="preserve"> </w:t>
      </w:r>
      <w:r w:rsidR="000977B2">
        <w:t xml:space="preserve">cost per </w:t>
      </w:r>
      <w:r w:rsidR="00D5691D">
        <w:t>bed night</w:t>
      </w:r>
      <w:r w:rsidR="000A419D">
        <w:t xml:space="preserve"> (</w:t>
      </w:r>
      <w:r w:rsidR="007D7986">
        <w:t>$3,875</w:t>
      </w:r>
      <w:r w:rsidR="00552782">
        <w:t xml:space="preserve"> for 2023–</w:t>
      </w:r>
      <w:r w:rsidR="0024112A">
        <w:rPr>
          <w:rFonts w:ascii="Times New Roman" w:hAnsi="Times New Roman" w:cs="Times New Roman" w:hint="eastAsia"/>
          <w:rtl/>
        </w:rPr>
        <w:t>‍</w:t>
      </w:r>
      <w:r w:rsidR="00552782">
        <w:t>24)</w:t>
      </w:r>
      <w:r w:rsidR="009B4D32">
        <w:t xml:space="preserve"> to the </w:t>
      </w:r>
      <w:r w:rsidR="003A5B46">
        <w:t xml:space="preserve">daily average number of </w:t>
      </w:r>
      <w:r w:rsidR="002C56CF">
        <w:t xml:space="preserve">juvenile detainees </w:t>
      </w:r>
      <w:r w:rsidR="00C6417C">
        <w:t>produces an annual</w:t>
      </w:r>
      <w:r w:rsidR="008274BD">
        <w:t xml:space="preserve"> </w:t>
      </w:r>
      <w:r w:rsidR="0089700E">
        <w:t xml:space="preserve">expected </w:t>
      </w:r>
      <w:r w:rsidR="008274BD">
        <w:t>expense</w:t>
      </w:r>
      <w:r w:rsidR="00C6417C">
        <w:t xml:space="preserve"> total of </w:t>
      </w:r>
      <w:r w:rsidR="00EB7C66">
        <w:t>$</w:t>
      </w:r>
      <w:r w:rsidR="004840D4">
        <w:t>1,1</w:t>
      </w:r>
      <w:r w:rsidR="00534EFC">
        <w:t>4</w:t>
      </w:r>
      <w:r w:rsidR="00EB7C66">
        <w:t>0 million</w:t>
      </w:r>
      <w:r w:rsidR="00B01D8D">
        <w:t xml:space="preserve"> for 2023</w:t>
      </w:r>
      <w:r w:rsidR="00917FA4">
        <w:t>–24</w:t>
      </w:r>
      <w:r w:rsidR="00EB7C66">
        <w:t>.</w:t>
      </w:r>
      <w:r w:rsidR="005265B3">
        <w:t xml:space="preserve"> </w:t>
      </w:r>
      <w:r w:rsidR="00E82D77">
        <w:t xml:space="preserve">While </w:t>
      </w:r>
      <w:r w:rsidR="00D758A9" w:rsidRPr="00D758A9">
        <w:t>the annual daily average cost per juvenile detainee</w:t>
      </w:r>
      <w:r w:rsidR="00D758A9">
        <w:t xml:space="preserve"> does</w:t>
      </w:r>
      <w:r w:rsidR="00077027">
        <w:t xml:space="preserve"> not</w:t>
      </w:r>
      <w:r w:rsidR="00D758A9">
        <w:t xml:space="preserve"> account for </w:t>
      </w:r>
      <w:r w:rsidR="001D1040">
        <w:t>shorter</w:t>
      </w:r>
      <w:r w:rsidR="00077027">
        <w:t xml:space="preserve"> </w:t>
      </w:r>
      <w:r w:rsidR="008F2059">
        <w:t xml:space="preserve">juvenile detainee stays, </w:t>
      </w:r>
      <w:r w:rsidR="00756F21">
        <w:t>the me</w:t>
      </w:r>
      <w:r w:rsidR="00F14A61">
        <w:t xml:space="preserve">asure </w:t>
      </w:r>
      <w:r w:rsidR="003E0783">
        <w:t xml:space="preserve">smooths </w:t>
      </w:r>
      <w:r w:rsidR="00171472">
        <w:t xml:space="preserve">the effect of </w:t>
      </w:r>
      <w:r w:rsidR="007504BD">
        <w:t xml:space="preserve">a higher cost per bed night </w:t>
      </w:r>
      <w:r w:rsidR="009D3734">
        <w:t xml:space="preserve">across the </w:t>
      </w:r>
      <w:r w:rsidR="000269B7">
        <w:t>whole year</w:t>
      </w:r>
      <w:r w:rsidR="00FE214F">
        <w:t>.</w:t>
      </w:r>
    </w:p>
    <w:p w14:paraId="742B8594" w14:textId="49F5436A" w:rsidR="00734FF4" w:rsidRDefault="00734FF4" w:rsidP="00734FF4">
      <w:pPr>
        <w:pStyle w:val="Heading5"/>
      </w:pPr>
      <w:r>
        <w:t>Community corrections</w:t>
      </w:r>
    </w:p>
    <w:p w14:paraId="2D8E134D" w14:textId="27B7BC96" w:rsidR="004941B1" w:rsidRDefault="008D559E" w:rsidP="007E471B">
      <w:pPr>
        <w:pStyle w:val="CGCParaNumber"/>
        <w:numPr>
          <w:ilvl w:val="1"/>
          <w:numId w:val="16"/>
        </w:numPr>
      </w:pPr>
      <w:r>
        <w:t>The Commission found that a</w:t>
      </w:r>
      <w:r w:rsidR="00E42F4E">
        <w:t xml:space="preserve"> community corrections</w:t>
      </w:r>
      <w:r w:rsidR="00A47273">
        <w:t xml:space="preserve"> assessment </w:t>
      </w:r>
      <w:r>
        <w:t>wa</w:t>
      </w:r>
      <w:r w:rsidR="00046A46">
        <w:t xml:space="preserve">s not material, moving </w:t>
      </w:r>
      <w:r w:rsidR="00DB2685">
        <w:t>$</w:t>
      </w:r>
      <w:r w:rsidR="00A27357">
        <w:t>21</w:t>
      </w:r>
      <w:r w:rsidR="00DB2685">
        <w:t xml:space="preserve"> per capita</w:t>
      </w:r>
      <w:r w:rsidR="008518BC">
        <w:t xml:space="preserve"> for one state</w:t>
      </w:r>
      <w:r w:rsidR="00DB2685">
        <w:t>.</w:t>
      </w:r>
      <w:r w:rsidR="004E67F5">
        <w:t xml:space="preserve"> Therefore, it </w:t>
      </w:r>
      <w:r w:rsidR="00961B7C">
        <w:t>proposes to not introduce a</w:t>
      </w:r>
      <w:r w:rsidR="00FD5F98">
        <w:t>n</w:t>
      </w:r>
      <w:r w:rsidR="00961B7C">
        <w:t xml:space="preserve"> </w:t>
      </w:r>
      <w:r w:rsidR="00FA29D8">
        <w:t>assessment for community corrections.</w:t>
      </w:r>
      <w:r w:rsidR="00342DA4">
        <w:t xml:space="preserve"> </w:t>
      </w:r>
    </w:p>
    <w:p w14:paraId="4D810096" w14:textId="36612333" w:rsidR="0090144E" w:rsidRDefault="0090144E" w:rsidP="00240C10">
      <w:pPr>
        <w:pStyle w:val="Heading4"/>
      </w:pPr>
      <w:r w:rsidRPr="0090144E">
        <w:lastRenderedPageBreak/>
        <w:t>Commission</w:t>
      </w:r>
      <w:r w:rsidR="00CF3FA6">
        <w:t xml:space="preserve"> final draft</w:t>
      </w:r>
      <w:r w:rsidRPr="0090144E">
        <w:t xml:space="preserve"> position</w:t>
      </w:r>
    </w:p>
    <w:p w14:paraId="7AD36C3E" w14:textId="087E2483" w:rsidR="00665F2C" w:rsidRPr="00665F2C" w:rsidRDefault="00B240F8" w:rsidP="007E471B">
      <w:pPr>
        <w:pStyle w:val="CGCParaNumber"/>
        <w:numPr>
          <w:ilvl w:val="1"/>
          <w:numId w:val="16"/>
        </w:numPr>
      </w:pPr>
      <w:r>
        <w:t xml:space="preserve">The Commission proposes to </w:t>
      </w:r>
      <w:r w:rsidR="00E5495C">
        <w:t xml:space="preserve">apply a </w:t>
      </w:r>
      <w:r w:rsidR="00044DD9">
        <w:t>juvenile detainee cost weight in the prisons assessment</w:t>
      </w:r>
      <w:r w:rsidR="00A003B0">
        <w:t xml:space="preserve"> and not </w:t>
      </w:r>
      <w:r w:rsidR="0099365C">
        <w:t xml:space="preserve">introduce a </w:t>
      </w:r>
      <w:r w:rsidR="00952E66">
        <w:t>community corrections assessment.</w:t>
      </w:r>
    </w:p>
    <w:p w14:paraId="4228B17E" w14:textId="149E71A7" w:rsidR="00B24C14" w:rsidRPr="00240C10" w:rsidRDefault="00B24C14" w:rsidP="004776DD">
      <w:pPr>
        <w:pStyle w:val="Heading35"/>
        <w:rPr>
          <w:i w:val="0"/>
          <w:iCs w:val="0"/>
        </w:rPr>
      </w:pPr>
      <w:r w:rsidRPr="00240C10">
        <w:t>Do data support an assessment of regional costs for prisons?</w:t>
      </w:r>
    </w:p>
    <w:p w14:paraId="16F745DF" w14:textId="77777777" w:rsidR="0090144E" w:rsidRDefault="0090144E" w:rsidP="00240C10">
      <w:pPr>
        <w:pStyle w:val="Heading4"/>
      </w:pPr>
      <w:r>
        <w:t>Background</w:t>
      </w:r>
    </w:p>
    <w:p w14:paraId="74EE6FD9" w14:textId="21369286" w:rsidR="004F1F41" w:rsidRPr="00665F2C" w:rsidRDefault="00297544" w:rsidP="007E471B">
      <w:pPr>
        <w:pStyle w:val="CGCParaNumber"/>
        <w:numPr>
          <w:ilvl w:val="1"/>
          <w:numId w:val="16"/>
        </w:numPr>
      </w:pPr>
      <w:r>
        <w:t>The Commission proposed to use the general service delivery scale cost gradient (discounted by 25%) to assess service delivery scale in prisons and not assess regional costs.</w:t>
      </w:r>
      <w:r w:rsidR="00EB7821">
        <w:t xml:space="preserve"> The Commission proposed to discontinue the prisons regression. </w:t>
      </w:r>
    </w:p>
    <w:p w14:paraId="27403449" w14:textId="77777777" w:rsidR="0090144E" w:rsidRDefault="0090144E" w:rsidP="00240C10">
      <w:pPr>
        <w:pStyle w:val="Heading4"/>
      </w:pPr>
      <w:r>
        <w:t>State views</w:t>
      </w:r>
    </w:p>
    <w:p w14:paraId="03DF44CB" w14:textId="73626221" w:rsidR="00382CC3" w:rsidRDefault="009C0776" w:rsidP="007E471B">
      <w:pPr>
        <w:pStyle w:val="CGCParaNumber"/>
        <w:numPr>
          <w:ilvl w:val="1"/>
          <w:numId w:val="16"/>
        </w:numPr>
      </w:pPr>
      <w:r>
        <w:t xml:space="preserve">Tasmania </w:t>
      </w:r>
      <w:r w:rsidR="007F7282">
        <w:t xml:space="preserve">and the Northern Territory </w:t>
      </w:r>
      <w:r>
        <w:t xml:space="preserve">supported the </w:t>
      </w:r>
      <w:r w:rsidR="003153B3">
        <w:t>Commission’s</w:t>
      </w:r>
      <w:r>
        <w:t xml:space="preserve"> proposal to use the general service delivery scale gradient</w:t>
      </w:r>
      <w:r w:rsidR="00213F50">
        <w:t xml:space="preserve"> in the prisons assessment. </w:t>
      </w:r>
    </w:p>
    <w:p w14:paraId="323F9B3B" w14:textId="75B38AC3" w:rsidR="009C0776" w:rsidRDefault="007B0725" w:rsidP="007E471B">
      <w:pPr>
        <w:pStyle w:val="CGCParaNumber"/>
        <w:numPr>
          <w:ilvl w:val="1"/>
          <w:numId w:val="16"/>
        </w:numPr>
      </w:pPr>
      <w:r>
        <w:t xml:space="preserve">Tasmania said that </w:t>
      </w:r>
      <w:r w:rsidR="0049448A">
        <w:t xml:space="preserve">it supported the conceptual case for </w:t>
      </w:r>
      <w:r w:rsidR="00D87E3A">
        <w:t xml:space="preserve">service delivery scale in prisons and </w:t>
      </w:r>
      <w:r w:rsidR="004510EF">
        <w:t>acknowledged</w:t>
      </w:r>
      <w:r w:rsidR="00A50351">
        <w:t xml:space="preserve"> that data </w:t>
      </w:r>
      <w:r w:rsidR="004510EF">
        <w:t xml:space="preserve">limitations precluded </w:t>
      </w:r>
      <w:r w:rsidR="006E596A">
        <w:t xml:space="preserve">the option of calculating a </w:t>
      </w:r>
      <w:r w:rsidR="0074653C">
        <w:t xml:space="preserve">prisons specific service delivery scale gradient. </w:t>
      </w:r>
    </w:p>
    <w:p w14:paraId="5049CFA6" w14:textId="24446DB9" w:rsidR="006D5CD3" w:rsidRDefault="006D5CD3" w:rsidP="007E471B">
      <w:pPr>
        <w:pStyle w:val="CGCParaNumber"/>
        <w:numPr>
          <w:ilvl w:val="1"/>
          <w:numId w:val="16"/>
        </w:numPr>
      </w:pPr>
      <w:r w:rsidRPr="006D5CD3">
        <w:t xml:space="preserve">The Northern Territory said that the lack of observable relationships in prisons was due to data limitations. </w:t>
      </w:r>
      <w:r w:rsidR="00DF16BF">
        <w:t xml:space="preserve">The Northern Territory supported the </w:t>
      </w:r>
      <w:r w:rsidR="00F709E4">
        <w:t xml:space="preserve">removal of the </w:t>
      </w:r>
      <w:r w:rsidR="00AD5997">
        <w:t xml:space="preserve">2020 Review </w:t>
      </w:r>
      <w:r w:rsidR="007B657B">
        <w:t xml:space="preserve">prisons </w:t>
      </w:r>
      <w:r w:rsidR="00F709E4">
        <w:t>regional gradient</w:t>
      </w:r>
      <w:r w:rsidR="00AD5997">
        <w:t xml:space="preserve"> and </w:t>
      </w:r>
      <w:r w:rsidR="00DD0F28">
        <w:t xml:space="preserve">applying the </w:t>
      </w:r>
      <w:r w:rsidR="00920844">
        <w:t xml:space="preserve">general service delivery scale gradient instead. </w:t>
      </w:r>
      <w:r w:rsidR="00400B09">
        <w:t>As an alternative, t</w:t>
      </w:r>
      <w:r w:rsidR="00920844">
        <w:t xml:space="preserve">he Northern Territory </w:t>
      </w:r>
      <w:r w:rsidR="0047147D">
        <w:t>suggested</w:t>
      </w:r>
      <w:r w:rsidR="007656E9">
        <w:t xml:space="preserve"> </w:t>
      </w:r>
      <w:r w:rsidR="00B22728">
        <w:t>the Commission could apply the general regional and service delivery scale gradient</w:t>
      </w:r>
      <w:r w:rsidR="004A298D">
        <w:t xml:space="preserve">. </w:t>
      </w:r>
      <w:r w:rsidR="00461D58">
        <w:t xml:space="preserve">The Northern Territory also </w:t>
      </w:r>
      <w:r w:rsidR="007F74A4">
        <w:t>said</w:t>
      </w:r>
      <w:r w:rsidR="00461D58">
        <w:t xml:space="preserve"> that if the </w:t>
      </w:r>
      <w:r w:rsidR="00C90E9F">
        <w:t xml:space="preserve">service delivery scale gradient is adjusted to group together remote and non-remote regions, then the 25% discount should be removed. </w:t>
      </w:r>
    </w:p>
    <w:p w14:paraId="2C4B8E36" w14:textId="50A8A674" w:rsidR="000053DE" w:rsidRDefault="000053DE" w:rsidP="007E471B">
      <w:pPr>
        <w:pStyle w:val="CGCParaNumber"/>
        <w:numPr>
          <w:ilvl w:val="1"/>
          <w:numId w:val="16"/>
        </w:numPr>
      </w:pPr>
      <w:r>
        <w:t>The ACT supported assessing service delivery scale costs in prisons but did not support the use of the general service delivery scale gradient in the assessment.</w:t>
      </w:r>
      <w:r w:rsidRPr="000053DE">
        <w:t xml:space="preserve"> </w:t>
      </w:r>
      <w:r>
        <w:t xml:space="preserve">The ACT </w:t>
      </w:r>
      <w:r w:rsidR="009360AC">
        <w:t xml:space="preserve">agreed </w:t>
      </w:r>
      <w:r>
        <w:t xml:space="preserve">with the conceptual case for recognising a service delivery scale driver in prisons but </w:t>
      </w:r>
      <w:r w:rsidR="00A0502D">
        <w:t>did</w:t>
      </w:r>
      <w:r>
        <w:t xml:space="preserve"> not believe that applying the general service delivery scale gradient would be appropriate. The ACT said that there was a lack of evidence that service delivery scale in schools and health </w:t>
      </w:r>
      <w:proofErr w:type="gramStart"/>
      <w:r>
        <w:t>are</w:t>
      </w:r>
      <w:proofErr w:type="gramEnd"/>
      <w:r>
        <w:t xml:space="preserve"> similar to those in prisons. </w:t>
      </w:r>
      <w:r w:rsidR="00964512">
        <w:t>It recommended</w:t>
      </w:r>
      <w:r>
        <w:t xml:space="preserve"> that this issue could be further explored in the </w:t>
      </w:r>
      <w:r w:rsidR="00B37FC0">
        <w:t>Data Working Group</w:t>
      </w:r>
      <w:r>
        <w:t xml:space="preserve">. The ACT said that if a gradient was applied, it should be discounted further and the cost weight applied to remote and non-remote areas should be combined. The ACT </w:t>
      </w:r>
      <w:r w:rsidR="007A5D7A">
        <w:t>suggested</w:t>
      </w:r>
      <w:r>
        <w:t xml:space="preserve"> that the Commission should explore the impact of investments in detainee health, welfare and education opportunities and compliance with human rights frameworks on costs in prisons.  </w:t>
      </w:r>
    </w:p>
    <w:p w14:paraId="5C5FFAEE" w14:textId="240510A3" w:rsidR="00665F2C" w:rsidRDefault="00D34C45" w:rsidP="007E471B">
      <w:pPr>
        <w:pStyle w:val="CGCParaNumber"/>
        <w:numPr>
          <w:ilvl w:val="1"/>
          <w:numId w:val="16"/>
        </w:numPr>
      </w:pPr>
      <w:r>
        <w:t>Queensland</w:t>
      </w:r>
      <w:r w:rsidR="00382CC3">
        <w:t xml:space="preserve"> and</w:t>
      </w:r>
      <w:r w:rsidR="00682362">
        <w:t xml:space="preserve"> Western Australia</w:t>
      </w:r>
      <w:r w:rsidR="00C20464">
        <w:t xml:space="preserve"> </w:t>
      </w:r>
      <w:r w:rsidR="00E323BC">
        <w:t xml:space="preserve">said that the Commission should </w:t>
      </w:r>
      <w:r w:rsidR="00DF67B9">
        <w:t>recognise</w:t>
      </w:r>
      <w:r w:rsidR="00E323BC">
        <w:t xml:space="preserve"> </w:t>
      </w:r>
      <w:r w:rsidR="001A5B14">
        <w:t>regional and</w:t>
      </w:r>
      <w:r w:rsidR="00E323BC">
        <w:t xml:space="preserve"> service delivery scale </w:t>
      </w:r>
      <w:r w:rsidR="00DF67B9">
        <w:t>costs</w:t>
      </w:r>
      <w:r w:rsidR="00C728C7">
        <w:t xml:space="preserve"> </w:t>
      </w:r>
      <w:r w:rsidR="00DF67B9">
        <w:t>in</w:t>
      </w:r>
      <w:r w:rsidR="00C728C7">
        <w:t xml:space="preserve"> the prisons assessment. </w:t>
      </w:r>
    </w:p>
    <w:p w14:paraId="6D4F8AD1" w14:textId="5AE3976D" w:rsidR="00C66072" w:rsidRDefault="008D4258" w:rsidP="007E471B">
      <w:pPr>
        <w:pStyle w:val="CGCParaNumber"/>
        <w:numPr>
          <w:ilvl w:val="1"/>
          <w:numId w:val="16"/>
        </w:numPr>
      </w:pPr>
      <w:r>
        <w:t xml:space="preserve">Queensland said that there was a strong conceptual case for regional costs in prisons </w:t>
      </w:r>
      <w:r w:rsidR="009E6FC5">
        <w:t xml:space="preserve">and that the </w:t>
      </w:r>
      <w:r w:rsidR="006508D5">
        <w:t>2020 Review</w:t>
      </w:r>
      <w:r w:rsidR="009E6FC5">
        <w:t xml:space="preserve"> model should be retained until a new suitable approac</w:t>
      </w:r>
      <w:r w:rsidR="00C66072">
        <w:t>h is developed</w:t>
      </w:r>
      <w:r w:rsidR="009E6FC5">
        <w:t>.</w:t>
      </w:r>
      <w:r w:rsidR="00FF55D2">
        <w:t xml:space="preserve"> Queensland said that it is average policy for states with </w:t>
      </w:r>
      <w:r w:rsidR="00FF55D2">
        <w:lastRenderedPageBreak/>
        <w:t xml:space="preserve">remote populations </w:t>
      </w:r>
      <w:r w:rsidR="005F318F">
        <w:t>to have remote prisons</w:t>
      </w:r>
      <w:r w:rsidR="00716830">
        <w:t>.</w:t>
      </w:r>
      <w:r w:rsidR="00283C82">
        <w:t xml:space="preserve"> Queensland cited </w:t>
      </w:r>
      <w:r w:rsidR="00B346F5">
        <w:t xml:space="preserve">that </w:t>
      </w:r>
      <w:r w:rsidR="00A70F6D">
        <w:t>its corrective services department</w:t>
      </w:r>
      <w:r w:rsidR="000B70E6">
        <w:t xml:space="preserve">, in its approach to prisoner placement, </w:t>
      </w:r>
      <w:proofErr w:type="gramStart"/>
      <w:r w:rsidR="000B70E6">
        <w:t>gives consideration to</w:t>
      </w:r>
      <w:proofErr w:type="gramEnd"/>
      <w:r w:rsidR="000B70E6">
        <w:t xml:space="preserve"> maintaining a person’s family and community ties</w:t>
      </w:r>
      <w:r w:rsidR="004F581D">
        <w:t xml:space="preserve">. This obligation is enshrined in legislation for First Nations people. </w:t>
      </w:r>
    </w:p>
    <w:p w14:paraId="0D0C6A15" w14:textId="6CB48E41" w:rsidR="003859EF" w:rsidRDefault="00E44893" w:rsidP="007E471B">
      <w:pPr>
        <w:pStyle w:val="CGCParaNumber"/>
        <w:numPr>
          <w:ilvl w:val="1"/>
          <w:numId w:val="16"/>
        </w:numPr>
      </w:pPr>
      <w:r>
        <w:t xml:space="preserve">Western Australia </w:t>
      </w:r>
      <w:r w:rsidR="004C5395">
        <w:t xml:space="preserve">said that the Commission should apply the general regional and service delivery scale gradient </w:t>
      </w:r>
      <w:r w:rsidR="00F911D1">
        <w:t xml:space="preserve">to the prisons assessment. Western Australia </w:t>
      </w:r>
      <w:r w:rsidR="004A6386">
        <w:t>cons</w:t>
      </w:r>
      <w:r w:rsidR="006605B7">
        <w:t>idered</w:t>
      </w:r>
      <w:r w:rsidR="00D503B7">
        <w:t xml:space="preserve"> that circumstances in prisons had not changed s</w:t>
      </w:r>
      <w:r w:rsidR="00806B90">
        <w:t xml:space="preserve">ignificantly since the last </w:t>
      </w:r>
      <w:r w:rsidR="00615C4E">
        <w:t xml:space="preserve">review, </w:t>
      </w:r>
      <w:r w:rsidR="00780177">
        <w:t>unlike in courts where there has been an uptake of video conferencing technology.</w:t>
      </w:r>
      <w:r w:rsidR="003859EF">
        <w:t xml:space="preserve"> </w:t>
      </w:r>
      <w:r w:rsidR="00375720">
        <w:t xml:space="preserve">Conceptually, </w:t>
      </w:r>
      <w:r w:rsidR="00401FE2">
        <w:t xml:space="preserve">Western Australia said that </w:t>
      </w:r>
      <w:r w:rsidR="008F0610">
        <w:t xml:space="preserve">there </w:t>
      </w:r>
      <w:r w:rsidR="00401FE2">
        <w:t>wa</w:t>
      </w:r>
      <w:r w:rsidR="008F0610">
        <w:t>s a strong case for prisons to be more expensive</w:t>
      </w:r>
      <w:r w:rsidR="00375720">
        <w:t xml:space="preserve"> </w:t>
      </w:r>
      <w:r w:rsidR="004A7F12">
        <w:t>in regional areas</w:t>
      </w:r>
      <w:r w:rsidR="00E06184">
        <w:t xml:space="preserve"> in that there are higher costs to transport </w:t>
      </w:r>
      <w:r w:rsidR="00401FE2">
        <w:t>prisoners</w:t>
      </w:r>
      <w:r w:rsidR="00E06184">
        <w:t xml:space="preserve"> to remote locations, build and maintain remote facilities, attract and house staff and </w:t>
      </w:r>
      <w:r w:rsidR="004B51D9">
        <w:t xml:space="preserve">operate </w:t>
      </w:r>
      <w:r w:rsidR="004C33F7">
        <w:t>facilities that house both sexes in an appropriate way</w:t>
      </w:r>
      <w:r w:rsidR="00401FE2">
        <w:t xml:space="preserve"> (only done outside of metropolitan areas)</w:t>
      </w:r>
      <w:r w:rsidR="004C33F7">
        <w:t xml:space="preserve">. </w:t>
      </w:r>
      <w:r w:rsidR="003859EF">
        <w:t xml:space="preserve">Western Australia argued that </w:t>
      </w:r>
      <w:r w:rsidR="000B70F9">
        <w:t xml:space="preserve">limitations in prisons data and </w:t>
      </w:r>
      <w:r w:rsidR="003F53D9">
        <w:t xml:space="preserve">the poor explanatory power of </w:t>
      </w:r>
      <w:r w:rsidR="00FB73DB">
        <w:t xml:space="preserve">the </w:t>
      </w:r>
      <w:proofErr w:type="gramStart"/>
      <w:r w:rsidR="00FB73DB">
        <w:t>prisons</w:t>
      </w:r>
      <w:proofErr w:type="gramEnd"/>
      <w:r w:rsidR="00FB73DB">
        <w:t xml:space="preserve"> regression do not infer a lack of a relationship between remoteness and increased costs. </w:t>
      </w:r>
      <w:r w:rsidR="0062349B">
        <w:t xml:space="preserve">Western Australia </w:t>
      </w:r>
      <w:r w:rsidR="000D6881">
        <w:t>said that many prisons serve unique functions</w:t>
      </w:r>
      <w:r w:rsidR="00AC57B1">
        <w:t xml:space="preserve"> which are not controlled for in the </w:t>
      </w:r>
      <w:proofErr w:type="gramStart"/>
      <w:r w:rsidR="00C41C2B">
        <w:t>prisons</w:t>
      </w:r>
      <w:proofErr w:type="gramEnd"/>
      <w:r w:rsidR="00C41C2B">
        <w:t xml:space="preserve"> </w:t>
      </w:r>
      <w:r w:rsidR="00AC57B1">
        <w:t>regression</w:t>
      </w:r>
      <w:r w:rsidR="00125A95">
        <w:t xml:space="preserve">, and which </w:t>
      </w:r>
      <w:r w:rsidR="002364DF">
        <w:t>inflate metropolitan costs</w:t>
      </w:r>
      <w:r w:rsidR="00914E38">
        <w:t>.</w:t>
      </w:r>
      <w:r w:rsidR="002364DF">
        <w:t xml:space="preserve"> </w:t>
      </w:r>
    </w:p>
    <w:p w14:paraId="4298E76F" w14:textId="51A48031" w:rsidR="00213F50" w:rsidRDefault="00213F50" w:rsidP="007E471B">
      <w:pPr>
        <w:pStyle w:val="CGCParaNumber"/>
        <w:numPr>
          <w:ilvl w:val="1"/>
          <w:numId w:val="16"/>
        </w:numPr>
      </w:pPr>
      <w:r>
        <w:t>New South Wales</w:t>
      </w:r>
      <w:r w:rsidR="001A08A7">
        <w:t xml:space="preserve"> and</w:t>
      </w:r>
      <w:r w:rsidR="00D409A7">
        <w:t xml:space="preserve"> </w:t>
      </w:r>
      <w:r w:rsidR="009C3412">
        <w:t>Victoria</w:t>
      </w:r>
      <w:r w:rsidR="00D409A7">
        <w:t xml:space="preserve"> </w:t>
      </w:r>
      <w:r w:rsidR="00E95C4B">
        <w:t xml:space="preserve">did not support </w:t>
      </w:r>
      <w:r w:rsidR="00DD6B0C">
        <w:t>recognising</w:t>
      </w:r>
      <w:r w:rsidR="00E95C4B">
        <w:t xml:space="preserve"> </w:t>
      </w:r>
      <w:r w:rsidR="0076762F">
        <w:t xml:space="preserve">regional costs or service delivery scale </w:t>
      </w:r>
      <w:r w:rsidR="00DD6B0C">
        <w:t>drivers</w:t>
      </w:r>
      <w:r w:rsidR="0076762F">
        <w:t xml:space="preserve"> in the prisons assessment. </w:t>
      </w:r>
    </w:p>
    <w:p w14:paraId="14434C46" w14:textId="3512A62F" w:rsidR="007E1499" w:rsidRDefault="00E307A7" w:rsidP="007E471B">
      <w:pPr>
        <w:pStyle w:val="CGCParaNumber"/>
        <w:numPr>
          <w:ilvl w:val="1"/>
          <w:numId w:val="16"/>
        </w:numPr>
      </w:pPr>
      <w:r>
        <w:t>New South Wales argued that the relationship between costs and prison size does not hold</w:t>
      </w:r>
      <w:r w:rsidR="00141A12">
        <w:t xml:space="preserve"> across remoteness areas. </w:t>
      </w:r>
      <w:r w:rsidR="00E12A00">
        <w:t>New South Wales said that p</w:t>
      </w:r>
      <w:r w:rsidR="00141A12">
        <w:t>rison costs are driven by security classification and prison function</w:t>
      </w:r>
      <w:r w:rsidR="00442169">
        <w:t xml:space="preserve"> as opposed to service delivery scale</w:t>
      </w:r>
      <w:r w:rsidR="00141A12">
        <w:t>.</w:t>
      </w:r>
      <w:r w:rsidR="00E91E18">
        <w:t xml:space="preserve"> </w:t>
      </w:r>
      <w:r w:rsidR="00CB0E29">
        <w:t xml:space="preserve">New South Wales argued that </w:t>
      </w:r>
      <w:r w:rsidR="00892B71">
        <w:t xml:space="preserve">there should be no general service delivery scale </w:t>
      </w:r>
      <w:r w:rsidR="00BB746B">
        <w:t xml:space="preserve">gradient applied to prisons but, </w:t>
      </w:r>
      <w:r w:rsidR="00CB0E29">
        <w:t>i</w:t>
      </w:r>
      <w:r w:rsidR="00141A12">
        <w:t xml:space="preserve">f </w:t>
      </w:r>
      <w:r w:rsidR="00A57C6E">
        <w:t>it</w:t>
      </w:r>
      <w:r w:rsidR="00141A12">
        <w:t xml:space="preserve"> </w:t>
      </w:r>
      <w:r w:rsidR="0067193B">
        <w:t>is</w:t>
      </w:r>
      <w:r w:rsidR="00141A12">
        <w:t xml:space="preserve"> applied, </w:t>
      </w:r>
      <w:r w:rsidR="0050214D">
        <w:t xml:space="preserve">it should be </w:t>
      </w:r>
      <w:r w:rsidR="00141A12">
        <w:t>discount</w:t>
      </w:r>
      <w:r w:rsidR="00E12A00">
        <w:t>ed</w:t>
      </w:r>
      <w:r w:rsidR="00141A12">
        <w:t xml:space="preserve"> by 50%</w:t>
      </w:r>
      <w:r w:rsidR="00544895">
        <w:t>. This would be</w:t>
      </w:r>
      <w:r w:rsidR="00261A0E">
        <w:t xml:space="preserve"> </w:t>
      </w:r>
      <w:r w:rsidR="000A3C5D">
        <w:t>to acknowledg</w:t>
      </w:r>
      <w:r w:rsidR="00C238E8">
        <w:t xml:space="preserve">e </w:t>
      </w:r>
      <w:r w:rsidR="001640D5">
        <w:t>that</w:t>
      </w:r>
      <w:r w:rsidR="00EF37AE">
        <w:t xml:space="preserve"> the </w:t>
      </w:r>
      <w:r w:rsidR="00833B30">
        <w:t>economies of scale</w:t>
      </w:r>
      <w:r w:rsidR="001E3F6E">
        <w:t xml:space="preserve"> in </w:t>
      </w:r>
      <w:r w:rsidR="009E6BD2">
        <w:t xml:space="preserve">the </w:t>
      </w:r>
      <w:r w:rsidR="001E3F6E">
        <w:t xml:space="preserve">health and education </w:t>
      </w:r>
      <w:r w:rsidR="00B87746">
        <w:t>sectors</w:t>
      </w:r>
      <w:r w:rsidR="001E3F6E">
        <w:t xml:space="preserve"> do not apply to justice </w:t>
      </w:r>
      <w:r w:rsidR="00B87746">
        <w:t>service</w:t>
      </w:r>
      <w:r w:rsidR="00C01113">
        <w:t>s</w:t>
      </w:r>
      <w:r w:rsidR="00EF37AE">
        <w:t>.</w:t>
      </w:r>
    </w:p>
    <w:p w14:paraId="2E57797C" w14:textId="02EB46AB" w:rsidR="000D7C08" w:rsidRPr="000D7C08" w:rsidRDefault="00F07BFA" w:rsidP="007E471B">
      <w:pPr>
        <w:pStyle w:val="CGCParaNumber"/>
        <w:numPr>
          <w:ilvl w:val="1"/>
          <w:numId w:val="16"/>
        </w:numPr>
      </w:pPr>
      <w:r>
        <w:t xml:space="preserve">Victoria </w:t>
      </w:r>
      <w:r w:rsidR="004A2294">
        <w:t>said that the conceptual and empirical evidence to support a remoteness cost weight was weak.</w:t>
      </w:r>
      <w:r>
        <w:t xml:space="preserve"> </w:t>
      </w:r>
      <w:r w:rsidR="000D7C08">
        <w:t>Victoria said that many states, including Victoria, do not locate prisoners based on their place of residence</w:t>
      </w:r>
      <w:r>
        <w:t xml:space="preserve"> nor do they place prisons based on the </w:t>
      </w:r>
      <w:r w:rsidR="004A2294">
        <w:t>proximity of the</w:t>
      </w:r>
      <w:r>
        <w:t xml:space="preserve"> population they will serve.</w:t>
      </w:r>
      <w:r w:rsidR="005E12BA">
        <w:t xml:space="preserve"> Victoria </w:t>
      </w:r>
      <w:r w:rsidR="00B12987">
        <w:t>consider</w:t>
      </w:r>
      <w:r w:rsidR="00B735AA">
        <w:t>ed</w:t>
      </w:r>
      <w:r w:rsidR="000E3C1E">
        <w:t xml:space="preserve"> </w:t>
      </w:r>
      <w:r w:rsidR="005E12BA">
        <w:t xml:space="preserve">that differences in </w:t>
      </w:r>
      <w:r w:rsidR="00A01248">
        <w:t xml:space="preserve">prison size are </w:t>
      </w:r>
      <w:r w:rsidR="00F7342A">
        <w:t xml:space="preserve">policy driven </w:t>
      </w:r>
      <w:r w:rsidR="00EB4D7C">
        <w:t xml:space="preserve">and that differences between states in costs per </w:t>
      </w:r>
      <w:r w:rsidR="0030503E">
        <w:t>prisoner</w:t>
      </w:r>
      <w:r w:rsidR="00EB4D7C">
        <w:t xml:space="preserve"> can be influenced by the types of programs </w:t>
      </w:r>
      <w:r w:rsidR="006115FC">
        <w:t xml:space="preserve">provided, staffing levels and the number and type of facilities available in prisons. </w:t>
      </w:r>
      <w:r w:rsidR="00C26C7B">
        <w:t xml:space="preserve">It can also be influenced by the collection of daily average costs as opposed to the total number of prisoners in a year. </w:t>
      </w:r>
      <w:r w:rsidR="0058384F">
        <w:t xml:space="preserve">This makes it difficult to quantify a relationship between remoteness and costs. </w:t>
      </w:r>
      <w:r w:rsidR="00862F2F">
        <w:t xml:space="preserve">Victoria agreed that there may be diseconomies of scale for states that make the choice to build remote prisons. However, </w:t>
      </w:r>
      <w:r w:rsidR="00A854DC">
        <w:t xml:space="preserve">it </w:t>
      </w:r>
      <w:r w:rsidR="003072F8">
        <w:t>did</w:t>
      </w:r>
      <w:r w:rsidR="00EA6E80">
        <w:t xml:space="preserve"> not believe that the conceptual case for </w:t>
      </w:r>
      <w:r w:rsidR="00F45128">
        <w:t>regional costs or</w:t>
      </w:r>
      <w:r w:rsidR="00EA6E80">
        <w:t xml:space="preserve"> service delivery scale </w:t>
      </w:r>
      <w:r w:rsidR="00E6748A">
        <w:t>is true across all 5</w:t>
      </w:r>
      <w:r w:rsidR="00BA0265">
        <w:t> </w:t>
      </w:r>
      <w:r w:rsidR="00E6748A">
        <w:t xml:space="preserve">remoteness quintiles </w:t>
      </w:r>
      <w:r w:rsidR="0076621A">
        <w:t xml:space="preserve">and for all states. </w:t>
      </w:r>
      <w:r w:rsidR="00B65AF1">
        <w:t>Victoria did not believe that remote workcamps should be considered prisons, because they are a prisoner rehabilitation initiative rather than a population</w:t>
      </w:r>
      <w:r w:rsidR="005C1FB6">
        <w:t>-</w:t>
      </w:r>
      <w:r w:rsidR="00B65AF1">
        <w:t xml:space="preserve">based local imprisonment service. </w:t>
      </w:r>
      <w:r w:rsidR="00CC30CC">
        <w:t>Victoria</w:t>
      </w:r>
      <w:r w:rsidR="00D341FD">
        <w:t xml:space="preserve"> said that the service delivery scale general gradient</w:t>
      </w:r>
      <w:r w:rsidR="00CC30CC">
        <w:t>, which</w:t>
      </w:r>
      <w:r w:rsidR="00D341FD">
        <w:t xml:space="preserve"> is based on health and </w:t>
      </w:r>
      <w:proofErr w:type="gramStart"/>
      <w:r w:rsidR="00D341FD">
        <w:t>schools</w:t>
      </w:r>
      <w:proofErr w:type="gramEnd"/>
      <w:r w:rsidR="00D341FD">
        <w:t xml:space="preserve"> </w:t>
      </w:r>
      <w:r w:rsidR="00D341FD">
        <w:lastRenderedPageBreak/>
        <w:t>data</w:t>
      </w:r>
      <w:r w:rsidR="00CC30CC">
        <w:t xml:space="preserve">, would not </w:t>
      </w:r>
      <w:r w:rsidR="0004354F">
        <w:t xml:space="preserve">capture a universal cost-relationship between service delivery scale </w:t>
      </w:r>
      <w:r w:rsidR="00A14B52">
        <w:t xml:space="preserve">costs </w:t>
      </w:r>
      <w:r w:rsidR="0004354F">
        <w:t xml:space="preserve">and </w:t>
      </w:r>
      <w:r w:rsidR="00A14B52">
        <w:t>remoteness</w:t>
      </w:r>
      <w:r w:rsidR="0004354F">
        <w:t xml:space="preserve">. </w:t>
      </w:r>
    </w:p>
    <w:p w14:paraId="3CF5B2DA" w14:textId="03A01E06" w:rsidR="00240C10" w:rsidRDefault="00240C10" w:rsidP="00240C10">
      <w:pPr>
        <w:pStyle w:val="Heading4"/>
      </w:pPr>
      <w:r w:rsidRPr="00B83900">
        <w:t>Commission response</w:t>
      </w:r>
    </w:p>
    <w:p w14:paraId="50EA370B" w14:textId="293832BF" w:rsidR="004941B1" w:rsidRDefault="004941B1" w:rsidP="004941B1">
      <w:pPr>
        <w:pStyle w:val="Heading5"/>
      </w:pPr>
      <w:r w:rsidRPr="004941B1">
        <w:t>Does the inclusion of 2023</w:t>
      </w:r>
      <w:r w:rsidR="00C507CE">
        <w:t>–</w:t>
      </w:r>
      <w:r w:rsidRPr="004941B1">
        <w:t>24 data affect this issue?</w:t>
      </w:r>
    </w:p>
    <w:p w14:paraId="480CB10C" w14:textId="60C8D7A2" w:rsidR="005912AE" w:rsidRDefault="007D2D28" w:rsidP="007E471B">
      <w:pPr>
        <w:pStyle w:val="CGCParaNumber"/>
        <w:numPr>
          <w:ilvl w:val="1"/>
          <w:numId w:val="16"/>
        </w:numPr>
      </w:pPr>
      <w:r>
        <w:t>The Comm</w:t>
      </w:r>
      <w:r w:rsidR="00D6750E">
        <w:t>ission ret</w:t>
      </w:r>
      <w:r w:rsidR="00B07A1F">
        <w:t>ested the pri</w:t>
      </w:r>
      <w:r w:rsidR="00472531">
        <w:t>s</w:t>
      </w:r>
      <w:r w:rsidR="00B07A1F">
        <w:t>ons regression using 2022</w:t>
      </w:r>
      <w:r w:rsidR="00F825C0">
        <w:t>–</w:t>
      </w:r>
      <w:r w:rsidR="00B07A1F">
        <w:t>23 and 2023</w:t>
      </w:r>
      <w:r w:rsidR="00F825C0">
        <w:t>–</w:t>
      </w:r>
      <w:r w:rsidR="00B07A1F">
        <w:t>24 state data</w:t>
      </w:r>
      <w:r w:rsidR="004A29C9">
        <w:t xml:space="preserve"> and</w:t>
      </w:r>
      <w:r w:rsidR="007224E8">
        <w:t xml:space="preserve"> found that </w:t>
      </w:r>
      <w:r w:rsidR="00BB4EA5">
        <w:t>the results produced w</w:t>
      </w:r>
      <w:r w:rsidR="006E063F">
        <w:t>ere</w:t>
      </w:r>
      <w:r w:rsidR="00BB4EA5">
        <w:t xml:space="preserve"> once again </w:t>
      </w:r>
      <w:r w:rsidR="002457CA">
        <w:t>to</w:t>
      </w:r>
      <w:r w:rsidR="009010A4">
        <w:t>o</w:t>
      </w:r>
      <w:r w:rsidR="002457CA">
        <w:t xml:space="preserve"> weak to incorporate into the </w:t>
      </w:r>
      <w:r w:rsidR="009010A4">
        <w:t xml:space="preserve">justice </w:t>
      </w:r>
      <w:r w:rsidR="002457CA">
        <w:t>assessment.</w:t>
      </w:r>
    </w:p>
    <w:p w14:paraId="377E1584" w14:textId="77777777" w:rsidR="00AC5411" w:rsidRDefault="00A83A54" w:rsidP="007E471B">
      <w:pPr>
        <w:pStyle w:val="CGCParaNumber"/>
        <w:numPr>
          <w:ilvl w:val="1"/>
          <w:numId w:val="16"/>
        </w:numPr>
      </w:pPr>
      <w:r>
        <w:t>The Commission believes that there is a strong conceptual case for service delivery scale and regional costs in pri</w:t>
      </w:r>
      <w:r w:rsidR="006E063F">
        <w:t>s</w:t>
      </w:r>
      <w:r>
        <w:t xml:space="preserve">ons. </w:t>
      </w:r>
      <w:r w:rsidR="008E33AC">
        <w:t xml:space="preserve">State provided data and submissions clearly indicate that it is average policy for states with large remote areas to </w:t>
      </w:r>
      <w:r w:rsidR="008E73CD">
        <w:t>have remote prisons</w:t>
      </w:r>
      <w:r w:rsidR="0051486E">
        <w:t xml:space="preserve"> or workcamps</w:t>
      </w:r>
      <w:r w:rsidR="008E73CD">
        <w:t xml:space="preserve">, and that those prisons are generally smaller than prisons in regional and </w:t>
      </w:r>
      <w:r w:rsidR="00791D35">
        <w:t>major city areas</w:t>
      </w:r>
      <w:r w:rsidR="00EB3401">
        <w:t xml:space="preserve"> (see Figure </w:t>
      </w:r>
      <w:r w:rsidR="00D536D9">
        <w:t>3</w:t>
      </w:r>
      <w:r w:rsidR="00EB3401">
        <w:t>)</w:t>
      </w:r>
      <w:r w:rsidR="00791D35">
        <w:t xml:space="preserve">. </w:t>
      </w:r>
    </w:p>
    <w:p w14:paraId="30AAB8E5" w14:textId="658EEF45" w:rsidR="00E63B99" w:rsidRDefault="00AC5411" w:rsidP="0071368D">
      <w:pPr>
        <w:pStyle w:val="CGC2025Caption"/>
        <w:keepNext/>
        <w:tabs>
          <w:tab w:val="left" w:pos="1134"/>
        </w:tabs>
      </w:pPr>
      <w:r>
        <w:t xml:space="preserve">Figure 3 </w:t>
      </w:r>
      <w:r>
        <w:tab/>
        <w:t>Average prison size by remoteness area, 2022–23 and 2023–24</w:t>
      </w:r>
    </w:p>
    <w:p w14:paraId="2E823041" w14:textId="20C7AED5" w:rsidR="00472531" w:rsidRDefault="00D83BEB" w:rsidP="005E5EE5">
      <w:pPr>
        <w:pStyle w:val="CGC2025Caption"/>
      </w:pPr>
      <w:r>
        <w:rPr>
          <w:noProof/>
        </w:rPr>
        <w:drawing>
          <wp:inline distT="0" distB="0" distL="0" distR="0" wp14:anchorId="15FC5F77" wp14:editId="0DE712AE">
            <wp:extent cx="5703570" cy="3420745"/>
            <wp:effectExtent l="0" t="0" r="11430" b="8255"/>
            <wp:docPr id="1214241634" name="Chart 1" descr="P384#yIS1">
              <a:extLst xmlns:a="http://schemas.openxmlformats.org/drawingml/2006/main">
                <a:ext uri="{FF2B5EF4-FFF2-40B4-BE49-F238E27FC236}">
                  <a16:creationId xmlns:a16="http://schemas.microsoft.com/office/drawing/2014/main" id="{62832923-D91A-4F4E-B148-213BBAECB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C04A52" w14:textId="3D4B1163" w:rsidR="00314F2B" w:rsidRDefault="003D4268" w:rsidP="007E471B">
      <w:pPr>
        <w:pStyle w:val="CGCParaNumber"/>
        <w:numPr>
          <w:ilvl w:val="1"/>
          <w:numId w:val="16"/>
        </w:numPr>
      </w:pPr>
      <w:r w:rsidRPr="003D4268">
        <w:t xml:space="preserve">Figure </w:t>
      </w:r>
      <w:r w:rsidR="00C04F31">
        <w:t>4</w:t>
      </w:r>
      <w:r w:rsidRPr="003D4268">
        <w:t xml:space="preserve"> shows that broadly, smaller prisons continue to be costlier on a per prisoner basis than larger prisons. </w:t>
      </w:r>
      <w:r w:rsidRPr="00E16244">
        <w:t>The inclusion of 2023</w:t>
      </w:r>
      <w:r w:rsidR="003C6B31">
        <w:t>–</w:t>
      </w:r>
      <w:r w:rsidRPr="00E16244">
        <w:t>24 state prison data continued to s</w:t>
      </w:r>
      <w:r w:rsidR="00E16244">
        <w:t xml:space="preserve">how </w:t>
      </w:r>
      <w:r w:rsidRPr="00E16244">
        <w:t>no consistent relationship between remoteness and per prisoner costs</w:t>
      </w:r>
      <w:r w:rsidR="002709D8">
        <w:t>.</w:t>
      </w:r>
    </w:p>
    <w:p w14:paraId="74DB6681" w14:textId="78C2C8CB" w:rsidR="003D4268" w:rsidRDefault="003D4268" w:rsidP="007E471B">
      <w:pPr>
        <w:pStyle w:val="CGCParaNumber"/>
        <w:numPr>
          <w:ilvl w:val="1"/>
          <w:numId w:val="16"/>
        </w:numPr>
      </w:pPr>
      <w:r w:rsidRPr="003D4268">
        <w:t xml:space="preserve">The Commission acknowledges that economies of scale </w:t>
      </w:r>
      <w:r w:rsidR="00314F2B">
        <w:t>are</w:t>
      </w:r>
      <w:r w:rsidRPr="003D4268">
        <w:t xml:space="preserve"> not entirely uniform across the data</w:t>
      </w:r>
      <w:r w:rsidR="00FF07E1">
        <w:t>.</w:t>
      </w:r>
      <w:r w:rsidR="00A3542E">
        <w:t xml:space="preserve"> </w:t>
      </w:r>
      <w:r w:rsidR="00C46619">
        <w:t>Data</w:t>
      </w:r>
      <w:r w:rsidRPr="003D4268">
        <w:t xml:space="preserve"> showed that the smallest very remote prisons were the least expensive </w:t>
      </w:r>
      <w:r w:rsidR="00BC4ACE">
        <w:t xml:space="preserve">of all prisons </w:t>
      </w:r>
      <w:r w:rsidRPr="003D4268">
        <w:t xml:space="preserve">while the second smallest prisons cost less, on average, than prisons in the middle 20%. However, considering the limited sample size and data quality concerns, a perfect relationship </w:t>
      </w:r>
      <w:r w:rsidR="00610830">
        <w:t>is not un</w:t>
      </w:r>
      <w:r w:rsidRPr="003D4268">
        <w:t>expected.</w:t>
      </w:r>
    </w:p>
    <w:p w14:paraId="04E32A3C" w14:textId="10D30FA9" w:rsidR="003D4268" w:rsidRDefault="003D4268" w:rsidP="003D3F35">
      <w:pPr>
        <w:pStyle w:val="CGC2025Caption"/>
        <w:keepNext/>
        <w:ind w:left="1134" w:hanging="1134"/>
      </w:pPr>
      <w:r>
        <w:lastRenderedPageBreak/>
        <w:t xml:space="preserve">Figure </w:t>
      </w:r>
      <w:r w:rsidR="00C04F31">
        <w:t>4</w:t>
      </w:r>
      <w:r>
        <w:t xml:space="preserve"> </w:t>
      </w:r>
      <w:r>
        <w:tab/>
        <w:t>Cost per prisoner by remoteness area and prison size, 2022–23 and 2023</w:t>
      </w:r>
      <w:r w:rsidR="00966999">
        <w:t>–</w:t>
      </w:r>
      <w:r w:rsidR="00966999">
        <w:rPr>
          <w:rFonts w:ascii="Times New Roman" w:hAnsi="Times New Roman" w:cs="Times New Roman"/>
        </w:rPr>
        <w:t>‍</w:t>
      </w:r>
      <w:r>
        <w:t>24</w:t>
      </w:r>
    </w:p>
    <w:p w14:paraId="11541618" w14:textId="21F21099" w:rsidR="003D4268" w:rsidRPr="003D4268" w:rsidRDefault="00C24149" w:rsidP="00C5795F">
      <w:pPr>
        <w:pStyle w:val="CGCParaNumber"/>
        <w:numPr>
          <w:ilvl w:val="0"/>
          <w:numId w:val="0"/>
        </w:numPr>
      </w:pPr>
      <w:r>
        <w:rPr>
          <w:noProof/>
        </w:rPr>
        <w:drawing>
          <wp:inline distT="0" distB="0" distL="0" distR="0" wp14:anchorId="5E7386A3" wp14:editId="2767E109">
            <wp:extent cx="5731510" cy="3533775"/>
            <wp:effectExtent l="0" t="0" r="2540" b="9525"/>
            <wp:docPr id="1763087764" name="Chart 1" descr="P347#yIS1">
              <a:extLst xmlns:a="http://schemas.openxmlformats.org/drawingml/2006/main">
                <a:ext uri="{FF2B5EF4-FFF2-40B4-BE49-F238E27FC236}">
                  <a16:creationId xmlns:a16="http://schemas.microsoft.com/office/drawing/2014/main" id="{E66B16B1-F6EE-47CE-B59B-D91B08E9A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7B6538" w14:textId="44AF44FD" w:rsidR="0092074A" w:rsidRPr="004E0870" w:rsidRDefault="004E0870" w:rsidP="007E471B">
      <w:pPr>
        <w:pStyle w:val="CGCParaNumber"/>
        <w:numPr>
          <w:ilvl w:val="1"/>
          <w:numId w:val="16"/>
        </w:numPr>
      </w:pPr>
      <w:r w:rsidRPr="004E0870">
        <w:t>T</w:t>
      </w:r>
      <w:r w:rsidR="00C2302A" w:rsidRPr="004E0870">
        <w:t xml:space="preserve">he Commission </w:t>
      </w:r>
      <w:r w:rsidR="00B465FD">
        <w:t xml:space="preserve">acknowledges </w:t>
      </w:r>
      <w:r w:rsidR="00C6256B">
        <w:t xml:space="preserve">that several factors influence </w:t>
      </w:r>
      <w:r w:rsidR="00936E82">
        <w:t xml:space="preserve">where a prisoner is </w:t>
      </w:r>
      <w:r w:rsidR="006316DC">
        <w:t>imprisoned</w:t>
      </w:r>
      <w:r w:rsidR="000444CF">
        <w:t xml:space="preserve">, but </w:t>
      </w:r>
      <w:r w:rsidR="00BE665C">
        <w:t xml:space="preserve">for remote prisoners </w:t>
      </w:r>
      <w:r w:rsidR="00332ADB">
        <w:t xml:space="preserve">there is a reasonable link </w:t>
      </w:r>
      <w:r w:rsidR="00B71096">
        <w:t xml:space="preserve">between </w:t>
      </w:r>
      <w:r w:rsidR="00387EB0">
        <w:t>the</w:t>
      </w:r>
      <w:r w:rsidR="0065798E">
        <w:t xml:space="preserve">ir usual address and </w:t>
      </w:r>
      <w:r w:rsidR="000E5CF7">
        <w:t xml:space="preserve">their placement in </w:t>
      </w:r>
      <w:r w:rsidR="00A13C57">
        <w:t>a remote prison.</w:t>
      </w:r>
      <w:r w:rsidR="00DC04E5">
        <w:t xml:space="preserve"> This view is supported by </w:t>
      </w:r>
      <w:r w:rsidR="00311EBB">
        <w:t xml:space="preserve">several </w:t>
      </w:r>
      <w:r w:rsidR="00DC04E5">
        <w:t>state submission</w:t>
      </w:r>
      <w:r w:rsidR="00323036">
        <w:t>s</w:t>
      </w:r>
      <w:r w:rsidR="00025E62">
        <w:t>,</w:t>
      </w:r>
      <w:r w:rsidR="00DC04E5">
        <w:t xml:space="preserve"> which </w:t>
      </w:r>
      <w:r w:rsidR="001E28FD">
        <w:t>refer to</w:t>
      </w:r>
      <w:r w:rsidR="00DC04E5">
        <w:t xml:space="preserve"> </w:t>
      </w:r>
      <w:r w:rsidR="00690AED">
        <w:t>prisoner placement policies</w:t>
      </w:r>
      <w:r w:rsidR="00AF350A">
        <w:t xml:space="preserve"> </w:t>
      </w:r>
      <w:r w:rsidR="00063DEC">
        <w:t xml:space="preserve">and legislative </w:t>
      </w:r>
      <w:r w:rsidR="00D8318B">
        <w:t>requirements.</w:t>
      </w:r>
    </w:p>
    <w:p w14:paraId="4149BE00" w14:textId="44002CBF" w:rsidR="008D68B0" w:rsidRDefault="001A7480" w:rsidP="007E471B">
      <w:pPr>
        <w:pStyle w:val="CGCParaNumber"/>
        <w:numPr>
          <w:ilvl w:val="1"/>
          <w:numId w:val="16"/>
        </w:numPr>
      </w:pPr>
      <w:r w:rsidRPr="004E0870">
        <w:t xml:space="preserve">The Commission </w:t>
      </w:r>
      <w:r w:rsidR="001F3D67">
        <w:t>considers</w:t>
      </w:r>
      <w:r w:rsidRPr="004E0870">
        <w:t xml:space="preserve"> that other prison </w:t>
      </w:r>
      <w:r w:rsidR="007814B8">
        <w:t>or prisoner</w:t>
      </w:r>
      <w:r w:rsidRPr="004E0870">
        <w:t xml:space="preserve"> characteristics, such as security classification, can significantly influence costs and that prison sizes can be policy influenced. It also</w:t>
      </w:r>
      <w:r w:rsidRPr="004E0870" w:rsidDel="00CA1BF8">
        <w:t xml:space="preserve"> </w:t>
      </w:r>
      <w:r w:rsidR="00CA1BF8">
        <w:t>acknowledges</w:t>
      </w:r>
      <w:r w:rsidRPr="004E0870">
        <w:t xml:space="preserve"> that </w:t>
      </w:r>
      <w:r w:rsidR="002004BB">
        <w:t xml:space="preserve">issues of </w:t>
      </w:r>
      <w:r w:rsidR="00CA1BF8">
        <w:t>data</w:t>
      </w:r>
      <w:r w:rsidR="00323281" w:rsidRPr="004E0870">
        <w:t xml:space="preserve"> </w:t>
      </w:r>
      <w:r w:rsidR="009D3444" w:rsidRPr="004E0870">
        <w:t>comparability</w:t>
      </w:r>
      <w:r w:rsidRPr="004E0870">
        <w:t xml:space="preserve"> can </w:t>
      </w:r>
      <w:r w:rsidR="001D4FFB" w:rsidRPr="004E0870">
        <w:t>undermine</w:t>
      </w:r>
      <w:r w:rsidRPr="004E0870">
        <w:t xml:space="preserve"> the reliability of measures and assumptions derived from the</w:t>
      </w:r>
      <w:r w:rsidR="001D4FFB" w:rsidRPr="004E0870">
        <w:t>m</w:t>
      </w:r>
      <w:r w:rsidRPr="004E0870">
        <w:t xml:space="preserve">. </w:t>
      </w:r>
    </w:p>
    <w:p w14:paraId="5EDB1E4D" w14:textId="612ED8E3" w:rsidR="0015444B" w:rsidRPr="0015444B" w:rsidRDefault="001A7480" w:rsidP="007E471B">
      <w:pPr>
        <w:pStyle w:val="CGCParaNumber"/>
        <w:numPr>
          <w:ilvl w:val="1"/>
          <w:numId w:val="16"/>
        </w:numPr>
      </w:pPr>
      <w:r w:rsidRPr="004E0870">
        <w:t xml:space="preserve">However, the Commission </w:t>
      </w:r>
      <w:r w:rsidR="00BE0A7A">
        <w:t>considers</w:t>
      </w:r>
      <w:r w:rsidR="00BE0A7A" w:rsidRPr="004E0870">
        <w:t xml:space="preserve"> </w:t>
      </w:r>
      <w:r w:rsidRPr="004E0870">
        <w:t xml:space="preserve">that if data were </w:t>
      </w:r>
      <w:r w:rsidR="001D4FFB" w:rsidRPr="004E0870">
        <w:t>more</w:t>
      </w:r>
      <w:r w:rsidRPr="004E0870">
        <w:t xml:space="preserve"> comparable and other drivers of cost could be </w:t>
      </w:r>
      <w:r w:rsidR="001D4FFB" w:rsidRPr="004E0870">
        <w:t>accurately</w:t>
      </w:r>
      <w:r w:rsidRPr="004E0870">
        <w:t xml:space="preserve"> controlled for, that evidence of economies of scale in prisons would </w:t>
      </w:r>
      <w:r w:rsidR="00E93835">
        <w:t xml:space="preserve">exist because </w:t>
      </w:r>
      <w:r w:rsidR="005B26C6">
        <w:t xml:space="preserve">the conceptual case is </w:t>
      </w:r>
      <w:r w:rsidR="002C0140">
        <w:t>strong</w:t>
      </w:r>
      <w:r w:rsidRPr="004E0870">
        <w:t xml:space="preserve">. It also notes that under the proposed assessment, states building </w:t>
      </w:r>
      <w:r w:rsidR="00A05E29">
        <w:t>more</w:t>
      </w:r>
      <w:r w:rsidRPr="004E0870">
        <w:t xml:space="preserve"> smaller prisons than required </w:t>
      </w:r>
      <w:r w:rsidR="00A05E29">
        <w:t>under average policy</w:t>
      </w:r>
      <w:r w:rsidRPr="004E0870">
        <w:t xml:space="preserve"> </w:t>
      </w:r>
      <w:r w:rsidR="00D82C52">
        <w:t xml:space="preserve">would not </w:t>
      </w:r>
      <w:r w:rsidR="00B547FA">
        <w:t xml:space="preserve">increase their </w:t>
      </w:r>
      <w:r w:rsidR="007C0C3D">
        <w:t>GST distribution</w:t>
      </w:r>
      <w:r w:rsidRPr="004E0870">
        <w:t xml:space="preserve"> through such policy choices.</w:t>
      </w:r>
    </w:p>
    <w:p w14:paraId="411B1437" w14:textId="786819CB" w:rsidR="003E0FA7" w:rsidRDefault="00D30136" w:rsidP="007E471B">
      <w:pPr>
        <w:pStyle w:val="CGCParaNumber"/>
        <w:numPr>
          <w:ilvl w:val="1"/>
          <w:numId w:val="16"/>
        </w:numPr>
      </w:pPr>
      <w:r>
        <w:t>While the</w:t>
      </w:r>
      <w:r w:rsidR="004F2298">
        <w:t xml:space="preserve"> Commission acknowledges that </w:t>
      </w:r>
      <w:r w:rsidR="007C5448">
        <w:t xml:space="preserve">there is a </w:t>
      </w:r>
      <w:r w:rsidR="000E3B4D">
        <w:t>conceptual</w:t>
      </w:r>
      <w:r w:rsidR="007C5448">
        <w:t xml:space="preserve"> case for regional </w:t>
      </w:r>
      <w:r w:rsidR="0020346B">
        <w:t xml:space="preserve">and service delivery scale </w:t>
      </w:r>
      <w:r w:rsidR="007C5448">
        <w:t>costs</w:t>
      </w:r>
      <w:r w:rsidR="00217B81">
        <w:t xml:space="preserve">, </w:t>
      </w:r>
      <w:r w:rsidR="00A16C6E">
        <w:t>it</w:t>
      </w:r>
      <w:r w:rsidR="00364F97">
        <w:t xml:space="preserve"> is concerned that applying the combined </w:t>
      </w:r>
      <w:r w:rsidR="001A4A8B">
        <w:t xml:space="preserve">general </w:t>
      </w:r>
      <w:r w:rsidR="00364F97">
        <w:t xml:space="preserve">regional </w:t>
      </w:r>
      <w:r w:rsidR="00A30D41">
        <w:t xml:space="preserve">and service delivery scale </w:t>
      </w:r>
      <w:r w:rsidR="00364F97">
        <w:t xml:space="preserve">gradient will overstate the need of </w:t>
      </w:r>
      <w:r w:rsidR="00A44B0C">
        <w:t>remote states</w:t>
      </w:r>
      <w:r w:rsidR="00E94110">
        <w:t xml:space="preserve"> and produce an in</w:t>
      </w:r>
      <w:r w:rsidR="00745E5F">
        <w:t>f</w:t>
      </w:r>
      <w:r w:rsidR="00766FF7">
        <w:t>erior</w:t>
      </w:r>
      <w:r w:rsidR="00E94110">
        <w:t xml:space="preserve"> </w:t>
      </w:r>
      <w:r w:rsidR="000B3FD5">
        <w:t>horizontal fiscal equalisation outcome</w:t>
      </w:r>
      <w:r w:rsidR="00A44B0C">
        <w:t>.</w:t>
      </w:r>
      <w:r w:rsidR="00D02C86">
        <w:t xml:space="preserve"> </w:t>
      </w:r>
    </w:p>
    <w:p w14:paraId="295C9989" w14:textId="5C27472A" w:rsidR="00364F97" w:rsidRPr="0015444B" w:rsidRDefault="00780249" w:rsidP="007E471B">
      <w:pPr>
        <w:pStyle w:val="CGCParaNumber"/>
        <w:numPr>
          <w:ilvl w:val="1"/>
          <w:numId w:val="16"/>
        </w:numPr>
      </w:pPr>
      <w:r>
        <w:t>Figure</w:t>
      </w:r>
      <w:r w:rsidR="001B2FB8">
        <w:t xml:space="preserve"> </w:t>
      </w:r>
      <w:r w:rsidR="00C04F31">
        <w:t>5</w:t>
      </w:r>
      <w:r w:rsidR="001B2FB8">
        <w:t xml:space="preserve"> below </w:t>
      </w:r>
      <w:r w:rsidR="00D533C9">
        <w:t xml:space="preserve">shows that the </w:t>
      </w:r>
      <w:r w:rsidR="001A4A8B">
        <w:t xml:space="preserve">2025 Review </w:t>
      </w:r>
      <w:r w:rsidR="00A56507">
        <w:t xml:space="preserve">general </w:t>
      </w:r>
      <w:r w:rsidR="001A4A8B">
        <w:t>service delivery scale</w:t>
      </w:r>
      <w:r w:rsidR="00A56507">
        <w:t xml:space="preserve"> gradient </w:t>
      </w:r>
      <w:r w:rsidR="00B91C55">
        <w:t xml:space="preserve">is </w:t>
      </w:r>
      <w:r w:rsidR="001A4A8B">
        <w:t xml:space="preserve">more consistent with the </w:t>
      </w:r>
      <w:r w:rsidR="00A56507">
        <w:t>2020 Review gradient</w:t>
      </w:r>
      <w:r w:rsidR="001A4A8B">
        <w:t>, which was derived using prison specific data.</w:t>
      </w:r>
      <w:r w:rsidR="00A46B78">
        <w:t xml:space="preserve"> Combined with the inability to identify the presence of regional costs </w:t>
      </w:r>
      <w:r w:rsidR="00A46B78">
        <w:lastRenderedPageBreak/>
        <w:t xml:space="preserve">separate from service delivery scale in the available data, the Commission proposes to apply the service delivery scale general gradient only. </w:t>
      </w:r>
    </w:p>
    <w:p w14:paraId="246893D7" w14:textId="77054BE0" w:rsidR="006031F0" w:rsidRDefault="00780249" w:rsidP="003D3F35">
      <w:pPr>
        <w:pStyle w:val="CGC2025Caption"/>
        <w:ind w:left="1134" w:hanging="1134"/>
      </w:pPr>
      <w:r>
        <w:t>Figure</w:t>
      </w:r>
      <w:r w:rsidR="006031F0">
        <w:t xml:space="preserve"> </w:t>
      </w:r>
      <w:r w:rsidR="00C04F31">
        <w:t>5</w:t>
      </w:r>
      <w:r w:rsidR="005E5EE5">
        <w:tab/>
      </w:r>
      <w:r w:rsidR="00122C61">
        <w:t xml:space="preserve">Comparison of </w:t>
      </w:r>
      <w:r w:rsidR="00A54D77">
        <w:t xml:space="preserve">regional and service delivery scale cost </w:t>
      </w:r>
      <w:r w:rsidR="00122C61">
        <w:t>gradients in the prisons assessment</w:t>
      </w:r>
    </w:p>
    <w:p w14:paraId="0A52CF81" w14:textId="5A924DF1" w:rsidR="000F307C" w:rsidRDefault="00B4646B" w:rsidP="00C5795F">
      <w:pPr>
        <w:pStyle w:val="CGCParaNumber"/>
        <w:numPr>
          <w:ilvl w:val="0"/>
          <w:numId w:val="0"/>
        </w:numPr>
      </w:pPr>
      <w:r>
        <w:rPr>
          <w:noProof/>
        </w:rPr>
        <w:drawing>
          <wp:inline distT="0" distB="0" distL="0" distR="0" wp14:anchorId="39C50C90" wp14:editId="3DA4DD10">
            <wp:extent cx="5731510" cy="3777615"/>
            <wp:effectExtent l="0" t="0" r="2540" b="13335"/>
            <wp:docPr id="1202075170" name="Chart 1">
              <a:extLst xmlns:a="http://schemas.openxmlformats.org/drawingml/2006/main">
                <a:ext uri="{FF2B5EF4-FFF2-40B4-BE49-F238E27FC236}">
                  <a16:creationId xmlns:a16="http://schemas.microsoft.com/office/drawing/2014/main" id="{F7D23D22-02AA-E7FD-92A8-CCC9CB6F3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99819E0" w14:textId="7B882E34" w:rsidR="000A6879" w:rsidRPr="00096E48" w:rsidRDefault="000A6879" w:rsidP="0061620F">
      <w:pPr>
        <w:pStyle w:val="CGC2025TableNote"/>
        <w:keepNext/>
        <w:tabs>
          <w:tab w:val="clear" w:pos="567"/>
          <w:tab w:val="left" w:pos="709"/>
        </w:tabs>
        <w:ind w:left="532" w:hanging="419"/>
      </w:pPr>
      <w:r w:rsidRPr="00096E48">
        <w:t>Note:</w:t>
      </w:r>
      <w:r w:rsidR="00096E48">
        <w:t xml:space="preserve"> </w:t>
      </w:r>
      <w:r w:rsidR="00D76869" w:rsidRPr="00096E48">
        <w:t xml:space="preserve">The service delivery scale general gradient and the regional and service delivery scale general gradient </w:t>
      </w:r>
      <w:r w:rsidR="00096E48">
        <w:t>are</w:t>
      </w:r>
      <w:r w:rsidR="00D76869" w:rsidRPr="00096E48">
        <w:t xml:space="preserve"> updated annually</w:t>
      </w:r>
      <w:r w:rsidR="00096E48">
        <w:t xml:space="preserve"> with new data</w:t>
      </w:r>
      <w:r w:rsidR="00D76869" w:rsidRPr="00096E48">
        <w:t xml:space="preserve">. </w:t>
      </w:r>
      <w:r w:rsidR="00804278">
        <w:t xml:space="preserve">General gradients are unique for each </w:t>
      </w:r>
      <w:r w:rsidR="006340F3">
        <w:t xml:space="preserve">assessment </w:t>
      </w:r>
      <w:r w:rsidR="00804278">
        <w:t xml:space="preserve">year and </w:t>
      </w:r>
      <w:r w:rsidR="00AC21D4">
        <w:t xml:space="preserve">would be </w:t>
      </w:r>
      <w:r w:rsidR="00804278">
        <w:t>applied to the assessed prisoners calculated for th</w:t>
      </w:r>
      <w:r w:rsidR="00C610DE">
        <w:t xml:space="preserve">e corresponding </w:t>
      </w:r>
      <w:r w:rsidR="00AC21D4">
        <w:t xml:space="preserve">assessment </w:t>
      </w:r>
      <w:r w:rsidR="00C610DE">
        <w:t>year</w:t>
      </w:r>
      <w:r w:rsidR="00C4241E">
        <w:t xml:space="preserve"> (for example</w:t>
      </w:r>
      <w:r w:rsidR="00532879">
        <w:t>, the 2019</w:t>
      </w:r>
      <w:r w:rsidR="00966999">
        <w:t>–</w:t>
      </w:r>
      <w:r w:rsidR="00532879">
        <w:t xml:space="preserve">20 service delivery scale general gradient would be applied to assessed prisoners and juvenile detainees for </w:t>
      </w:r>
      <w:r w:rsidR="001268EA">
        <w:t>2019</w:t>
      </w:r>
      <w:r w:rsidR="00966999">
        <w:t>–</w:t>
      </w:r>
      <w:r w:rsidR="001268EA">
        <w:t>20)</w:t>
      </w:r>
      <w:r w:rsidR="00C610DE">
        <w:t xml:space="preserve">. </w:t>
      </w:r>
    </w:p>
    <w:p w14:paraId="67D9070E" w14:textId="6BCC8FDB" w:rsidR="00137B6D" w:rsidRPr="0043091C" w:rsidRDefault="00491155" w:rsidP="007E471B">
      <w:pPr>
        <w:pStyle w:val="CGCParaNumber"/>
        <w:numPr>
          <w:ilvl w:val="1"/>
          <w:numId w:val="16"/>
        </w:numPr>
      </w:pPr>
      <w:r>
        <w:t xml:space="preserve">The </w:t>
      </w:r>
      <w:r w:rsidRPr="0043091C">
        <w:t xml:space="preserve">Commission notes that </w:t>
      </w:r>
      <w:r w:rsidR="002F3284" w:rsidRPr="0043091C">
        <w:t xml:space="preserve">the general service delivery scale gradient is already discounted by </w:t>
      </w:r>
      <w:r w:rsidR="00473FF4" w:rsidRPr="0043091C">
        <w:t>25% to account for the use</w:t>
      </w:r>
      <w:r w:rsidR="00B15E44" w:rsidRPr="0043091C">
        <w:t xml:space="preserve"> of</w:t>
      </w:r>
      <w:r w:rsidR="00473FF4" w:rsidRPr="0043091C">
        <w:t xml:space="preserve"> proxy data.</w:t>
      </w:r>
      <w:r w:rsidR="00F10C60" w:rsidRPr="0043091C">
        <w:t xml:space="preserve"> </w:t>
      </w:r>
      <w:r w:rsidR="00A57427" w:rsidRPr="0043091C">
        <w:t xml:space="preserve">The degree of </w:t>
      </w:r>
      <w:r w:rsidR="00050E4A" w:rsidRPr="0043091C">
        <w:t xml:space="preserve">additional </w:t>
      </w:r>
      <w:r w:rsidR="00B912EF" w:rsidRPr="0043091C">
        <w:t>uncertainty in the data cannot be quantified</w:t>
      </w:r>
      <w:r w:rsidR="00D676FF" w:rsidRPr="0043091C">
        <w:t xml:space="preserve">. </w:t>
      </w:r>
      <w:r w:rsidR="006101A6" w:rsidRPr="0043091C">
        <w:t xml:space="preserve">As such, the Commission proposes to not </w:t>
      </w:r>
      <w:r w:rsidR="00B15E44" w:rsidRPr="0043091C">
        <w:t xml:space="preserve">add an additional </w:t>
      </w:r>
      <w:r w:rsidR="006101A6" w:rsidRPr="0043091C">
        <w:t>discount</w:t>
      </w:r>
      <w:r w:rsidR="004C7E78" w:rsidRPr="0043091C">
        <w:t xml:space="preserve"> to</w:t>
      </w:r>
      <w:r w:rsidR="006101A6" w:rsidRPr="0043091C">
        <w:t xml:space="preserve"> the</w:t>
      </w:r>
      <w:r w:rsidR="0009375B" w:rsidRPr="0043091C">
        <w:t xml:space="preserve"> service delivery scale </w:t>
      </w:r>
      <w:r w:rsidR="00D90916" w:rsidRPr="0043091C">
        <w:t xml:space="preserve">general </w:t>
      </w:r>
      <w:r w:rsidR="0009375B" w:rsidRPr="0043091C">
        <w:t>g</w:t>
      </w:r>
      <w:r w:rsidR="006101A6" w:rsidRPr="0043091C">
        <w:t xml:space="preserve">radient. </w:t>
      </w:r>
    </w:p>
    <w:p w14:paraId="4160BAA7" w14:textId="407B6BDA" w:rsidR="00B24C14" w:rsidRDefault="0090144E" w:rsidP="00240C10">
      <w:pPr>
        <w:pStyle w:val="Heading4"/>
      </w:pPr>
      <w:r w:rsidRPr="0043091C">
        <w:t>Commission</w:t>
      </w:r>
      <w:r w:rsidR="00CF3FA6" w:rsidRPr="0043091C">
        <w:t xml:space="preserve"> final draft</w:t>
      </w:r>
      <w:r w:rsidRPr="0043091C">
        <w:t xml:space="preserve"> position</w:t>
      </w:r>
    </w:p>
    <w:p w14:paraId="402996AD" w14:textId="16AD8A63" w:rsidR="00665F2C" w:rsidRPr="00665F2C" w:rsidRDefault="0017559E" w:rsidP="007E471B">
      <w:pPr>
        <w:pStyle w:val="CGCParaNumber"/>
        <w:numPr>
          <w:ilvl w:val="1"/>
          <w:numId w:val="16"/>
        </w:numPr>
      </w:pPr>
      <w:r>
        <w:t xml:space="preserve">The Commission proposes </w:t>
      </w:r>
      <w:r w:rsidR="001E61E5">
        <w:t>to</w:t>
      </w:r>
      <w:r w:rsidR="0000493F">
        <w:t xml:space="preserve"> </w:t>
      </w:r>
      <w:r w:rsidR="00C86775">
        <w:t xml:space="preserve">discontinue the prisons regression, not assess regional costs and apply the service delivery scale </w:t>
      </w:r>
      <w:r w:rsidR="004961F8">
        <w:t xml:space="preserve">general gradient </w:t>
      </w:r>
      <w:r w:rsidR="00C86775">
        <w:t xml:space="preserve">to assess needs in prisons. </w:t>
      </w:r>
    </w:p>
    <w:p w14:paraId="397C95E1" w14:textId="712D0864" w:rsidR="008609D9" w:rsidRDefault="00C70BAA" w:rsidP="002D5B00">
      <w:pPr>
        <w:pStyle w:val="Heading2"/>
        <w:keepNext/>
      </w:pPr>
      <w:r>
        <w:lastRenderedPageBreak/>
        <w:t xml:space="preserve">Other state </w:t>
      </w:r>
      <w:r w:rsidR="008609D9">
        <w:t>views</w:t>
      </w:r>
    </w:p>
    <w:p w14:paraId="24F72927" w14:textId="63500D20" w:rsidR="00AB1603" w:rsidRDefault="00E70CD6" w:rsidP="005E5EE5">
      <w:pPr>
        <w:pStyle w:val="Heading3"/>
        <w:keepNext/>
      </w:pPr>
      <w:r>
        <w:t xml:space="preserve">Should </w:t>
      </w:r>
      <w:r w:rsidR="002D6F84">
        <w:t xml:space="preserve">non-stated </w:t>
      </w:r>
      <w:r w:rsidR="00E07DD8">
        <w:t>responses</w:t>
      </w:r>
      <w:r w:rsidR="003C6568">
        <w:t xml:space="preserve"> not be a</w:t>
      </w:r>
      <w:r w:rsidR="00D0514E">
        <w:t>llocated</w:t>
      </w:r>
      <w:r w:rsidR="003C6568">
        <w:t xml:space="preserve"> in </w:t>
      </w:r>
      <w:r w:rsidR="00D0514E">
        <w:t>courts or should they</w:t>
      </w:r>
      <w:r w:rsidR="002D6F84">
        <w:t xml:space="preserve"> be removed from the prisoner socio</w:t>
      </w:r>
      <w:r w:rsidR="00BF1C67">
        <w:noBreakHyphen/>
      </w:r>
      <w:r w:rsidR="002D6F84">
        <w:t>econ</w:t>
      </w:r>
      <w:r w:rsidR="00E07DD8">
        <w:t>omic</w:t>
      </w:r>
      <w:r w:rsidR="00BF1C67">
        <w:t xml:space="preserve"> status proxy?</w:t>
      </w:r>
      <w:r w:rsidR="00E07DD8">
        <w:t xml:space="preserve"> </w:t>
      </w:r>
    </w:p>
    <w:p w14:paraId="294C92FC" w14:textId="434C2CB0" w:rsidR="00AB1603" w:rsidRDefault="004F2592" w:rsidP="00832447">
      <w:pPr>
        <w:pStyle w:val="Heading4"/>
      </w:pPr>
      <w:r>
        <w:t>State views</w:t>
      </w:r>
    </w:p>
    <w:p w14:paraId="72ACAF17" w14:textId="13AF6ADB" w:rsidR="004F2592" w:rsidRPr="004F2592" w:rsidRDefault="00406C69" w:rsidP="007E471B">
      <w:pPr>
        <w:pStyle w:val="CGCParaNumber"/>
        <w:numPr>
          <w:ilvl w:val="1"/>
          <w:numId w:val="16"/>
        </w:numPr>
      </w:pPr>
      <w:r>
        <w:t xml:space="preserve">The Northern </w:t>
      </w:r>
      <w:r w:rsidR="00396DF3">
        <w:t>Territory said that the</w:t>
      </w:r>
      <w:r w:rsidR="007F7ED6">
        <w:t xml:space="preserve"> demographic characteristics of </w:t>
      </w:r>
      <w:r w:rsidR="00ED7FAD">
        <w:t>non</w:t>
      </w:r>
      <w:r w:rsidR="000322B4">
        <w:noBreakHyphen/>
      </w:r>
      <w:r w:rsidR="00ED7FAD">
        <w:t xml:space="preserve">stated defendants </w:t>
      </w:r>
      <w:r w:rsidR="009D63C1">
        <w:t>are</w:t>
      </w:r>
      <w:r w:rsidR="00ED7FAD">
        <w:t xml:space="preserve"> different to </w:t>
      </w:r>
      <w:r w:rsidR="009D63C1">
        <w:t xml:space="preserve">those of </w:t>
      </w:r>
      <w:r w:rsidR="00956578">
        <w:t>stated defendants.</w:t>
      </w:r>
      <w:r w:rsidR="00AE7342">
        <w:t xml:space="preserve"> It suggested that</w:t>
      </w:r>
      <w:r w:rsidR="00EF4E10">
        <w:t xml:space="preserve"> either the non-stated responses</w:t>
      </w:r>
      <w:r w:rsidR="000A656E">
        <w:t xml:space="preserve"> for Indigenous status</w:t>
      </w:r>
      <w:r w:rsidR="00EF4E10">
        <w:t xml:space="preserve"> not be </w:t>
      </w:r>
      <w:r w:rsidR="003C7945">
        <w:t xml:space="preserve">allocated or that </w:t>
      </w:r>
      <w:r w:rsidR="00A02877">
        <w:t>socio-economic status</w:t>
      </w:r>
      <w:r w:rsidR="00E262C8">
        <w:t xml:space="preserve"> </w:t>
      </w:r>
      <w:r w:rsidR="00270394">
        <w:t xml:space="preserve">proxy used in prisons </w:t>
      </w:r>
      <w:r w:rsidR="002500B9">
        <w:t xml:space="preserve">should exclude the influence of </w:t>
      </w:r>
      <w:r w:rsidR="00691249">
        <w:t>non</w:t>
      </w:r>
      <w:r w:rsidR="006C003D">
        <w:t>-stated defendants.</w:t>
      </w:r>
      <w:r w:rsidR="00A02877">
        <w:t xml:space="preserve"> </w:t>
      </w:r>
      <w:r w:rsidR="00AE7342">
        <w:t xml:space="preserve"> </w:t>
      </w:r>
      <w:r w:rsidR="00396DF3">
        <w:t xml:space="preserve"> </w:t>
      </w:r>
    </w:p>
    <w:p w14:paraId="492D0CEA" w14:textId="4B0D63A2" w:rsidR="00EC31EF" w:rsidRPr="004F2592" w:rsidRDefault="00EC31EF" w:rsidP="007E471B">
      <w:pPr>
        <w:pStyle w:val="CGCParaNumber"/>
        <w:numPr>
          <w:ilvl w:val="1"/>
          <w:numId w:val="16"/>
        </w:numPr>
      </w:pPr>
      <w:r>
        <w:t xml:space="preserve">Queensland supported the </w:t>
      </w:r>
      <w:r w:rsidR="00634681">
        <w:t xml:space="preserve">Commission’s </w:t>
      </w:r>
      <w:r w:rsidR="00E25702">
        <w:t>draft position</w:t>
      </w:r>
      <w:r>
        <w:t xml:space="preserve"> to use the Indigen</w:t>
      </w:r>
      <w:r w:rsidR="009F7939">
        <w:t>ous status of stated responses as the basis for attributing Indigenous status to non</w:t>
      </w:r>
      <w:r w:rsidR="00F63221">
        <w:noBreakHyphen/>
      </w:r>
      <w:r w:rsidR="009F7939">
        <w:t xml:space="preserve">stated responses as the most practical option. </w:t>
      </w:r>
      <w:r w:rsidR="002862D6">
        <w:t xml:space="preserve">Queensland </w:t>
      </w:r>
      <w:r w:rsidR="007345BE">
        <w:t>agree</w:t>
      </w:r>
      <w:r w:rsidR="00A155E2">
        <w:t>d</w:t>
      </w:r>
      <w:r w:rsidR="007345BE">
        <w:t xml:space="preserve"> with the Commission that </w:t>
      </w:r>
      <w:r w:rsidR="00330D3E">
        <w:t xml:space="preserve">attributing Indigenous status in this manner is unlikely to materially impact the results or overestimate the number of First Nations finalised defendants. Queensland said that this approach would ensure a reasonable and equitable approach to addressing data gaps </w:t>
      </w:r>
      <w:r w:rsidR="00436A0C">
        <w:t>and</w:t>
      </w:r>
      <w:r w:rsidR="00330D3E">
        <w:t xml:space="preserve"> maintain the integrity of the assessment.</w:t>
      </w:r>
    </w:p>
    <w:p w14:paraId="34AEC7FF" w14:textId="6B448EA1" w:rsidR="004F2592" w:rsidRDefault="004F2592" w:rsidP="00832447">
      <w:pPr>
        <w:pStyle w:val="Heading4"/>
      </w:pPr>
      <w:r>
        <w:t>Commission response</w:t>
      </w:r>
    </w:p>
    <w:p w14:paraId="7C1E9944" w14:textId="55FF5D16" w:rsidR="004F2592" w:rsidRDefault="001F7DE2" w:rsidP="007E471B">
      <w:pPr>
        <w:pStyle w:val="CGCParaNumber"/>
        <w:numPr>
          <w:ilvl w:val="1"/>
          <w:numId w:val="16"/>
        </w:numPr>
      </w:pPr>
      <w:r>
        <w:t xml:space="preserve">As part of </w:t>
      </w:r>
      <w:r w:rsidR="00C77FE2">
        <w:t xml:space="preserve">creating the defendant </w:t>
      </w:r>
      <w:r w:rsidR="004F4AD1">
        <w:t>socio-demographic composition</w:t>
      </w:r>
      <w:r w:rsidR="00B366D4">
        <w:t xml:space="preserve"> profiles</w:t>
      </w:r>
      <w:r w:rsidR="004F4AD1">
        <w:t xml:space="preserve">, state data are scaled to </w:t>
      </w:r>
      <w:r w:rsidR="003E651D">
        <w:t xml:space="preserve">ABS totals to improve the </w:t>
      </w:r>
      <w:r w:rsidR="0004269C">
        <w:t xml:space="preserve">comparability of data. </w:t>
      </w:r>
      <w:r w:rsidR="00785098">
        <w:t>Scaling data with non</w:t>
      </w:r>
      <w:r w:rsidR="00785098">
        <w:noBreakHyphen/>
        <w:t xml:space="preserve">stated responses removed would </w:t>
      </w:r>
      <w:r w:rsidR="00E23E80">
        <w:t xml:space="preserve">effectively </w:t>
      </w:r>
      <w:r w:rsidR="005B0FD0">
        <w:t>add</w:t>
      </w:r>
      <w:r w:rsidR="00FE2DAE">
        <w:t xml:space="preserve"> </w:t>
      </w:r>
      <w:r w:rsidR="00F15592">
        <w:t>the influence of non</w:t>
      </w:r>
      <w:r w:rsidR="00966999">
        <w:noBreakHyphen/>
      </w:r>
      <w:r w:rsidR="00F15592">
        <w:t xml:space="preserve">stated responses in a </w:t>
      </w:r>
      <w:r w:rsidR="007E6015">
        <w:t>less precise</w:t>
      </w:r>
      <w:r w:rsidR="00F15592">
        <w:t xml:space="preserve"> manner. </w:t>
      </w:r>
      <w:r w:rsidR="00DD0B07">
        <w:t xml:space="preserve">The </w:t>
      </w:r>
      <w:r w:rsidR="000D1BC9">
        <w:t>Commission’s</w:t>
      </w:r>
      <w:r w:rsidR="00DD0B07">
        <w:t xml:space="preserve"> </w:t>
      </w:r>
      <w:r w:rsidR="00390F29">
        <w:t>proposed</w:t>
      </w:r>
      <w:r w:rsidR="00DD0B07">
        <w:t xml:space="preserve"> </w:t>
      </w:r>
      <w:r w:rsidR="00970B43">
        <w:t>attributi</w:t>
      </w:r>
      <w:r w:rsidR="001D15FF">
        <w:t>on</w:t>
      </w:r>
      <w:r w:rsidR="00DD0B07">
        <w:t xml:space="preserve"> </w:t>
      </w:r>
      <w:r w:rsidR="002D50A9">
        <w:t>method accounts for different age</w:t>
      </w:r>
      <w:r w:rsidR="00E23630">
        <w:t>, socio-economic status and remoteness</w:t>
      </w:r>
      <w:r w:rsidR="002D50A9">
        <w:t xml:space="preserve"> profiles of defendants</w:t>
      </w:r>
      <w:r w:rsidR="00F817BE">
        <w:t>.</w:t>
      </w:r>
    </w:p>
    <w:p w14:paraId="76CC72C5" w14:textId="2852C8BB" w:rsidR="00F817BE" w:rsidRPr="004F2592" w:rsidRDefault="00362DAB" w:rsidP="007E471B">
      <w:pPr>
        <w:pStyle w:val="CGCParaNumber"/>
        <w:numPr>
          <w:ilvl w:val="1"/>
          <w:numId w:val="16"/>
        </w:numPr>
      </w:pPr>
      <w:r>
        <w:t xml:space="preserve">The simplest option for removing the </w:t>
      </w:r>
      <w:r w:rsidR="00B70E3A">
        <w:t xml:space="preserve">influence of </w:t>
      </w:r>
      <w:r w:rsidR="0012248A">
        <w:t xml:space="preserve">non-stated responses would be to </w:t>
      </w:r>
      <w:r w:rsidR="00CF7B26">
        <w:t>not scale to the</w:t>
      </w:r>
      <w:r w:rsidR="0059398A">
        <w:t xml:space="preserve"> ABS totals. However, this would have implications for data comparabili</w:t>
      </w:r>
      <w:r w:rsidR="00687001">
        <w:t>ty</w:t>
      </w:r>
      <w:r w:rsidR="00355559">
        <w:t xml:space="preserve">. </w:t>
      </w:r>
      <w:r w:rsidR="002562AA">
        <w:t xml:space="preserve">The Commission considers </w:t>
      </w:r>
      <w:r w:rsidR="002B762B">
        <w:t xml:space="preserve">the </w:t>
      </w:r>
      <w:r w:rsidR="002562AA">
        <w:t xml:space="preserve">scaling </w:t>
      </w:r>
      <w:r w:rsidR="002B762B">
        <w:t>of defendant data</w:t>
      </w:r>
      <w:r w:rsidR="002562AA">
        <w:t xml:space="preserve"> </w:t>
      </w:r>
      <w:r w:rsidR="002B762B">
        <w:t xml:space="preserve">an important step </w:t>
      </w:r>
      <w:r w:rsidR="000C7711">
        <w:t xml:space="preserve">in improving data comparability and </w:t>
      </w:r>
      <w:r w:rsidR="005F5C71">
        <w:t>robustness of the</w:t>
      </w:r>
      <w:r w:rsidR="002566F3">
        <w:t xml:space="preserve"> assessment.</w:t>
      </w:r>
    </w:p>
    <w:p w14:paraId="73CA38AE" w14:textId="721F6227" w:rsidR="002566F3" w:rsidRPr="004F2592" w:rsidRDefault="002C0804" w:rsidP="007E471B">
      <w:pPr>
        <w:pStyle w:val="CGCParaNumber"/>
        <w:numPr>
          <w:ilvl w:val="1"/>
          <w:numId w:val="16"/>
        </w:numPr>
      </w:pPr>
      <w:r>
        <w:t xml:space="preserve">The Commission considers </w:t>
      </w:r>
      <w:r w:rsidR="00FC31E7">
        <w:t xml:space="preserve">defendant </w:t>
      </w:r>
      <w:r w:rsidR="00324F11">
        <w:t>socio-economic stat</w:t>
      </w:r>
      <w:r w:rsidR="004E2AE8">
        <w:t xml:space="preserve">us </w:t>
      </w:r>
      <w:r w:rsidR="00561563">
        <w:t xml:space="preserve">remains an appropriate </w:t>
      </w:r>
      <w:r w:rsidR="00E95CB3">
        <w:t xml:space="preserve">proxy for </w:t>
      </w:r>
      <w:r w:rsidR="007C2A41">
        <w:t xml:space="preserve">prisoner </w:t>
      </w:r>
      <w:r w:rsidR="00F9111E">
        <w:t>socio-economic status.</w:t>
      </w:r>
      <w:r>
        <w:t xml:space="preserve"> </w:t>
      </w:r>
    </w:p>
    <w:p w14:paraId="3FAEF143" w14:textId="2EED0F34" w:rsidR="004F2592" w:rsidRDefault="004F2592" w:rsidP="00832447">
      <w:pPr>
        <w:pStyle w:val="Heading4"/>
      </w:pPr>
      <w:r>
        <w:t>Commission</w:t>
      </w:r>
      <w:r w:rsidR="00DF7AD5">
        <w:t xml:space="preserve"> final draft</w:t>
      </w:r>
      <w:r>
        <w:t xml:space="preserve"> position</w:t>
      </w:r>
    </w:p>
    <w:p w14:paraId="6FBE3D7A" w14:textId="3B4CAB5C" w:rsidR="004F2592" w:rsidRDefault="00031E19" w:rsidP="007E471B">
      <w:pPr>
        <w:pStyle w:val="CGCParaNumber"/>
        <w:numPr>
          <w:ilvl w:val="1"/>
          <w:numId w:val="16"/>
        </w:numPr>
      </w:pPr>
      <w:r>
        <w:t xml:space="preserve">The Commission proposes to </w:t>
      </w:r>
      <w:r w:rsidR="00491420">
        <w:t>a</w:t>
      </w:r>
      <w:r w:rsidR="00167ED7">
        <w:t>ttribute</w:t>
      </w:r>
      <w:r w:rsidR="00EA5C5E">
        <w:t xml:space="preserve"> the Indigenous status of</w:t>
      </w:r>
      <w:r w:rsidR="0006567C">
        <w:t xml:space="preserve"> non-stated</w:t>
      </w:r>
      <w:r w:rsidR="00491420">
        <w:t xml:space="preserve"> defendants </w:t>
      </w:r>
      <w:r w:rsidR="00A319CE">
        <w:t>using the proportion of stated response</w:t>
      </w:r>
      <w:r w:rsidR="00EB2F54">
        <w:t>s.</w:t>
      </w:r>
      <w:r w:rsidR="00EF1FFD">
        <w:t xml:space="preserve"> </w:t>
      </w:r>
    </w:p>
    <w:p w14:paraId="696E9621" w14:textId="0784970E" w:rsidR="00824F69" w:rsidRDefault="004C17D9" w:rsidP="00F64297">
      <w:pPr>
        <w:pStyle w:val="Heading3"/>
        <w:keepNext/>
      </w:pPr>
      <w:r>
        <w:lastRenderedPageBreak/>
        <w:t>Should</w:t>
      </w:r>
      <w:r w:rsidR="00484CBD">
        <w:t xml:space="preserve"> </w:t>
      </w:r>
      <w:r w:rsidR="007F184C">
        <w:t>R</w:t>
      </w:r>
      <w:r w:rsidR="00484CBD">
        <w:t xml:space="preserve">eport on </w:t>
      </w:r>
      <w:r w:rsidR="007F184C">
        <w:t>G</w:t>
      </w:r>
      <w:r w:rsidR="00484CBD">
        <w:t xml:space="preserve">overnment </w:t>
      </w:r>
      <w:r w:rsidR="007F184C">
        <w:t>S</w:t>
      </w:r>
      <w:r w:rsidR="00484CBD">
        <w:t xml:space="preserve">ervices data </w:t>
      </w:r>
      <w:r w:rsidR="00F64297">
        <w:t>be used</w:t>
      </w:r>
      <w:r w:rsidR="00484CBD">
        <w:t xml:space="preserve"> to calculate the criminal courts and other legal services </w:t>
      </w:r>
      <w:r w:rsidR="00765287">
        <w:t>expense spli</w:t>
      </w:r>
      <w:r w:rsidR="00484CBD">
        <w:t>t</w:t>
      </w:r>
      <w:r w:rsidR="00F64297">
        <w:t>?</w:t>
      </w:r>
    </w:p>
    <w:p w14:paraId="25862B5A" w14:textId="52936A8D" w:rsidR="000979FA" w:rsidRDefault="000979FA" w:rsidP="000979FA">
      <w:pPr>
        <w:pStyle w:val="Heading4"/>
      </w:pPr>
      <w:r>
        <w:t>State views</w:t>
      </w:r>
    </w:p>
    <w:p w14:paraId="024F2272" w14:textId="4A737A4C" w:rsidR="00392009" w:rsidRPr="000979FA" w:rsidRDefault="00EA3663" w:rsidP="007E471B">
      <w:pPr>
        <w:pStyle w:val="CGCParaNumber"/>
        <w:numPr>
          <w:ilvl w:val="1"/>
          <w:numId w:val="16"/>
        </w:numPr>
      </w:pPr>
      <w:r>
        <w:t xml:space="preserve">Victoria said, in </w:t>
      </w:r>
      <w:r w:rsidR="0050717B">
        <w:t>its</w:t>
      </w:r>
      <w:r>
        <w:t xml:space="preserve"> tranche 1 submission, that the Commission should use Report on Government Services data to split the </w:t>
      </w:r>
      <w:r w:rsidR="00392009">
        <w:t xml:space="preserve">expenditure between criminal courts and other legal services. Victoria argued that </w:t>
      </w:r>
      <w:r w:rsidR="009C746F">
        <w:t>state collected data w</w:t>
      </w:r>
      <w:r w:rsidR="0054612D">
        <w:t>ere</w:t>
      </w:r>
      <w:r w:rsidR="009C746F">
        <w:t xml:space="preserve"> not comparable, likely due to inconsistencies in what each state captured under its expenses.</w:t>
      </w:r>
    </w:p>
    <w:p w14:paraId="7B706584" w14:textId="0C35482F" w:rsidR="009C746F" w:rsidRPr="000979FA" w:rsidRDefault="00A0290B" w:rsidP="007E471B">
      <w:pPr>
        <w:pStyle w:val="CGCParaNumber"/>
        <w:numPr>
          <w:ilvl w:val="1"/>
          <w:numId w:val="16"/>
        </w:numPr>
      </w:pPr>
      <w:r>
        <w:t>In</w:t>
      </w:r>
      <w:r w:rsidR="005A2B9B">
        <w:t xml:space="preserve"> the </w:t>
      </w:r>
      <w:r w:rsidR="0001377D">
        <w:t>2025 Review</w:t>
      </w:r>
      <w:r w:rsidR="00063BBD">
        <w:t>,</w:t>
      </w:r>
      <w:r w:rsidR="0001377D">
        <w:t xml:space="preserve"> </w:t>
      </w:r>
      <w:r w:rsidR="0001377D" w:rsidRPr="000528A1">
        <w:rPr>
          <w:i/>
        </w:rPr>
        <w:t>Review Outcomes</w:t>
      </w:r>
      <w:r w:rsidR="0001377D">
        <w:t xml:space="preserve">, the Commission said that </w:t>
      </w:r>
      <w:r w:rsidR="00FC5EBB">
        <w:t xml:space="preserve">using Report on Government Services data for splitting criminal courts and other legal services </w:t>
      </w:r>
      <w:r w:rsidR="00C00DBF">
        <w:t>was</w:t>
      </w:r>
      <w:r w:rsidR="00FC5EBB">
        <w:t xml:space="preserve"> unsuitable</w:t>
      </w:r>
      <w:r w:rsidR="00600953">
        <w:t xml:space="preserve"> </w:t>
      </w:r>
      <w:r w:rsidR="00FF4E0C">
        <w:t>because</w:t>
      </w:r>
      <w:r w:rsidR="000E6300">
        <w:t xml:space="preserve"> </w:t>
      </w:r>
      <w:r w:rsidR="00FC5EBB">
        <w:t xml:space="preserve">some legal services related to both criminal courts and other legal services </w:t>
      </w:r>
      <w:r w:rsidR="00537775">
        <w:t xml:space="preserve">that </w:t>
      </w:r>
      <w:r w:rsidR="00FC5EBB">
        <w:t xml:space="preserve">are excluded from these data. </w:t>
      </w:r>
      <w:r w:rsidR="00E02DD8">
        <w:t xml:space="preserve">Victoria agreed that </w:t>
      </w:r>
      <w:r w:rsidR="00D12EE0">
        <w:t xml:space="preserve">there are limitations to using </w:t>
      </w:r>
      <w:r w:rsidR="00127ABE">
        <w:t xml:space="preserve">Report on Government Services data alone. However, </w:t>
      </w:r>
      <w:r w:rsidR="00602728">
        <w:t xml:space="preserve">Victoria </w:t>
      </w:r>
      <w:r w:rsidR="00C25A2C">
        <w:t>considered</w:t>
      </w:r>
      <w:r w:rsidR="00602728">
        <w:t xml:space="preserve"> that using this data will create a better horizontal fiscal equalisation outcome as opposed to retaining the </w:t>
      </w:r>
      <w:r w:rsidR="00E31661">
        <w:t xml:space="preserve">2020 </w:t>
      </w:r>
      <w:r w:rsidR="00205764">
        <w:t>Review</w:t>
      </w:r>
      <w:r w:rsidR="00E31661">
        <w:t xml:space="preserve"> </w:t>
      </w:r>
      <w:r w:rsidR="00602728">
        <w:t xml:space="preserve">method which uses, in Victoria’s opinion, incomparable data. </w:t>
      </w:r>
    </w:p>
    <w:p w14:paraId="37F915DD" w14:textId="41A4BBE9" w:rsidR="000979FA" w:rsidRDefault="000979FA" w:rsidP="000979FA">
      <w:pPr>
        <w:pStyle w:val="Heading4"/>
      </w:pPr>
      <w:r>
        <w:t>Commission response</w:t>
      </w:r>
    </w:p>
    <w:p w14:paraId="60D6D9D4" w14:textId="67044512" w:rsidR="000979FA" w:rsidRPr="000979FA" w:rsidRDefault="00602728" w:rsidP="007E471B">
      <w:pPr>
        <w:pStyle w:val="CGCParaNumber"/>
        <w:numPr>
          <w:ilvl w:val="1"/>
          <w:numId w:val="16"/>
        </w:numPr>
      </w:pPr>
      <w:r>
        <w:t xml:space="preserve">The Commission </w:t>
      </w:r>
      <w:r w:rsidR="00651ADB">
        <w:t xml:space="preserve">is committed to using the best available data </w:t>
      </w:r>
      <w:r w:rsidR="00D95C07">
        <w:t xml:space="preserve">in its assessments. </w:t>
      </w:r>
      <w:r w:rsidR="009C46CC">
        <w:t xml:space="preserve">The Commission analysed </w:t>
      </w:r>
      <w:r w:rsidR="004904B5">
        <w:t xml:space="preserve">Report on Government Services data on criminal court expenses </w:t>
      </w:r>
      <w:r w:rsidR="005F6DB7">
        <w:t>in the Draft Report</w:t>
      </w:r>
      <w:r w:rsidR="004904B5">
        <w:t xml:space="preserve"> and found that </w:t>
      </w:r>
      <w:r w:rsidR="00465A0A">
        <w:t>these were</w:t>
      </w:r>
      <w:r w:rsidR="004904B5">
        <w:t xml:space="preserve"> not </w:t>
      </w:r>
      <w:r w:rsidR="00BF3859">
        <w:t>the best available data</w:t>
      </w:r>
      <w:r w:rsidR="00EB1CB7">
        <w:t xml:space="preserve"> </w:t>
      </w:r>
      <w:r w:rsidR="003613AD">
        <w:t>with which</w:t>
      </w:r>
      <w:r w:rsidR="00EB1CB7">
        <w:t xml:space="preserve"> to </w:t>
      </w:r>
      <w:r w:rsidR="005F6DB7">
        <w:t>split the criminal courts component of</w:t>
      </w:r>
      <w:r w:rsidR="00EB1CB7">
        <w:t xml:space="preserve"> </w:t>
      </w:r>
      <w:r w:rsidR="00BF3859">
        <w:t xml:space="preserve">expenses. </w:t>
      </w:r>
    </w:p>
    <w:p w14:paraId="12CD119E" w14:textId="2FE814E4" w:rsidR="000979FA" w:rsidRDefault="000979FA" w:rsidP="000979FA">
      <w:pPr>
        <w:pStyle w:val="Heading4"/>
      </w:pPr>
      <w:r>
        <w:t xml:space="preserve">Commission </w:t>
      </w:r>
      <w:r w:rsidR="00DF7AD5">
        <w:t xml:space="preserve">final draft </w:t>
      </w:r>
      <w:r>
        <w:t>position</w:t>
      </w:r>
    </w:p>
    <w:p w14:paraId="5EA7FD24" w14:textId="241D09F4" w:rsidR="00484CBD" w:rsidRDefault="002D29BD" w:rsidP="007E471B">
      <w:pPr>
        <w:pStyle w:val="CGCParaNumber"/>
        <w:numPr>
          <w:ilvl w:val="1"/>
          <w:numId w:val="16"/>
        </w:numPr>
      </w:pPr>
      <w:r>
        <w:t xml:space="preserve">The Commission proposes to </w:t>
      </w:r>
      <w:r w:rsidR="006C5AE2">
        <w:t xml:space="preserve">continue using state data to calculate the split between </w:t>
      </w:r>
      <w:r w:rsidR="00642BCF">
        <w:t>expenses in the criminal courts</w:t>
      </w:r>
      <w:r w:rsidR="006C5AE2">
        <w:t xml:space="preserve"> and </w:t>
      </w:r>
      <w:r w:rsidR="00642BCF">
        <w:t xml:space="preserve">other legal services </w:t>
      </w:r>
      <w:r w:rsidR="007724C0">
        <w:t xml:space="preserve">components. </w:t>
      </w:r>
    </w:p>
    <w:p w14:paraId="40205F8F" w14:textId="0DBFDD2D" w:rsidR="00381A0E" w:rsidRDefault="00745402" w:rsidP="00745402">
      <w:pPr>
        <w:pStyle w:val="Heading2"/>
      </w:pPr>
      <w:r>
        <w:t>Discounting</w:t>
      </w:r>
    </w:p>
    <w:p w14:paraId="29FDD4BF" w14:textId="3ADDD93E" w:rsidR="00745402" w:rsidRDefault="00F71B55" w:rsidP="007E471B">
      <w:pPr>
        <w:pStyle w:val="CGCParaNumber"/>
        <w:numPr>
          <w:ilvl w:val="1"/>
          <w:numId w:val="16"/>
        </w:numPr>
        <w:rPr>
          <w:rStyle w:val="PageNumber"/>
        </w:rPr>
      </w:pPr>
      <w:r>
        <w:rPr>
          <w:rStyle w:val="PageNumber"/>
        </w:rPr>
        <w:t>During the 2025 Review process</w:t>
      </w:r>
      <w:r w:rsidR="007C06EE">
        <w:rPr>
          <w:rStyle w:val="PageNumber"/>
        </w:rPr>
        <w:t>, the Commission said t</w:t>
      </w:r>
      <w:r w:rsidR="007F7AC3">
        <w:rPr>
          <w:rStyle w:val="PageNumber"/>
        </w:rPr>
        <w:t>hat</w:t>
      </w:r>
      <w:r w:rsidR="00C23694">
        <w:rPr>
          <w:rStyle w:val="PageNumber"/>
        </w:rPr>
        <w:t xml:space="preserve"> </w:t>
      </w:r>
      <w:r>
        <w:rPr>
          <w:rStyle w:val="PageNumber"/>
        </w:rPr>
        <w:t>the use of discounts in the justice assessment would be considered</w:t>
      </w:r>
      <w:r w:rsidR="003B2FFE">
        <w:rPr>
          <w:rStyle w:val="PageNumber"/>
        </w:rPr>
        <w:t xml:space="preserve"> as part of the consultation process </w:t>
      </w:r>
      <w:r w:rsidR="00E014F8">
        <w:rPr>
          <w:rStyle w:val="PageNumber"/>
        </w:rPr>
        <w:t>for</w:t>
      </w:r>
      <w:r w:rsidR="003B2FFE">
        <w:rPr>
          <w:rStyle w:val="PageNumber"/>
        </w:rPr>
        <w:t xml:space="preserve"> the revised justice method in the 2026 Update. </w:t>
      </w:r>
    </w:p>
    <w:p w14:paraId="689AEE1B" w14:textId="58CA04CC" w:rsidR="00960846" w:rsidRPr="00360EE4" w:rsidRDefault="00360EE4" w:rsidP="007E471B">
      <w:pPr>
        <w:pStyle w:val="CGCParaNumber"/>
        <w:numPr>
          <w:ilvl w:val="1"/>
          <w:numId w:val="16"/>
        </w:numPr>
        <w:rPr>
          <w:rStyle w:val="PageNumber"/>
        </w:rPr>
      </w:pPr>
      <w:r w:rsidRPr="00360EE4">
        <w:rPr>
          <w:rStyle w:val="PageNumber"/>
        </w:rPr>
        <w:t>T</w:t>
      </w:r>
      <w:r w:rsidR="002F4603">
        <w:rPr>
          <w:rStyle w:val="PageNumber"/>
        </w:rPr>
        <w:t xml:space="preserve">able </w:t>
      </w:r>
      <w:r w:rsidR="00EE7993">
        <w:rPr>
          <w:rStyle w:val="PageNumber"/>
        </w:rPr>
        <w:t>4</w:t>
      </w:r>
      <w:r w:rsidR="002F4603">
        <w:rPr>
          <w:rStyle w:val="PageNumber"/>
        </w:rPr>
        <w:t xml:space="preserve"> lists the discounts proposed by states throughout the 2025 Review process. T</w:t>
      </w:r>
      <w:r w:rsidR="00B17941">
        <w:rPr>
          <w:rStyle w:val="PageNumber"/>
        </w:rPr>
        <w:t xml:space="preserve">he Commission </w:t>
      </w:r>
      <w:r w:rsidR="00E8251C">
        <w:rPr>
          <w:rStyle w:val="PageNumber"/>
        </w:rPr>
        <w:t xml:space="preserve">addressed many of these issues in the </w:t>
      </w:r>
      <w:r w:rsidR="00B90408">
        <w:rPr>
          <w:rStyle w:val="PageNumber"/>
        </w:rPr>
        <w:t>R</w:t>
      </w:r>
      <w:r w:rsidR="00CC1617">
        <w:rPr>
          <w:rStyle w:val="PageNumber"/>
        </w:rPr>
        <w:t xml:space="preserve">eview </w:t>
      </w:r>
      <w:r w:rsidR="00B90408">
        <w:rPr>
          <w:rStyle w:val="PageNumber"/>
        </w:rPr>
        <w:t>O</w:t>
      </w:r>
      <w:r w:rsidR="00CC1617">
        <w:rPr>
          <w:rStyle w:val="PageNumber"/>
        </w:rPr>
        <w:t>utcomes</w:t>
      </w:r>
      <w:r w:rsidR="002A59F3">
        <w:rPr>
          <w:rStyle w:val="PageNumber"/>
        </w:rPr>
        <w:t xml:space="preserve"> </w:t>
      </w:r>
      <w:r w:rsidR="00667B02">
        <w:rPr>
          <w:rStyle w:val="PageNumber"/>
        </w:rPr>
        <w:t>chapter on</w:t>
      </w:r>
      <w:r w:rsidR="002A59F3">
        <w:rPr>
          <w:rStyle w:val="PageNumber"/>
        </w:rPr>
        <w:t xml:space="preserve"> justice in the</w:t>
      </w:r>
      <w:r w:rsidR="00C45EFD">
        <w:rPr>
          <w:rStyle w:val="PageNumber"/>
        </w:rPr>
        <w:t xml:space="preserve"> 2025 Review. </w:t>
      </w:r>
    </w:p>
    <w:p w14:paraId="2E3E5DA8" w14:textId="77777777" w:rsidR="009864E6" w:rsidRDefault="002C0CF6" w:rsidP="007E471B">
      <w:pPr>
        <w:pStyle w:val="CGCParaNumber"/>
        <w:numPr>
          <w:ilvl w:val="1"/>
          <w:numId w:val="16"/>
        </w:numPr>
        <w:rPr>
          <w:rStyle w:val="PageNumber"/>
        </w:rPr>
      </w:pPr>
      <w:r>
        <w:rPr>
          <w:rStyle w:val="PageNumber"/>
        </w:rPr>
        <w:t xml:space="preserve">The Commission does not believe that </w:t>
      </w:r>
      <w:r w:rsidR="002B3758">
        <w:rPr>
          <w:rStyle w:val="PageNumber"/>
        </w:rPr>
        <w:t xml:space="preserve">further discounting of the justice assessment is warranted, except </w:t>
      </w:r>
      <w:r w:rsidR="00826275">
        <w:rPr>
          <w:rStyle w:val="PageNumber"/>
        </w:rPr>
        <w:t xml:space="preserve">for </w:t>
      </w:r>
      <w:r w:rsidR="007149AA">
        <w:rPr>
          <w:rStyle w:val="PageNumber"/>
        </w:rPr>
        <w:t xml:space="preserve">the </w:t>
      </w:r>
      <w:r w:rsidR="00315CD3">
        <w:rPr>
          <w:rStyle w:val="PageNumber"/>
        </w:rPr>
        <w:t>discount applied to the general</w:t>
      </w:r>
      <w:r w:rsidR="00377114">
        <w:rPr>
          <w:rStyle w:val="PageNumber"/>
        </w:rPr>
        <w:t xml:space="preserve"> service delivery scale general gradient</w:t>
      </w:r>
      <w:r w:rsidR="00AA01D3">
        <w:rPr>
          <w:rStyle w:val="PageNumber"/>
        </w:rPr>
        <w:t xml:space="preserve">. </w:t>
      </w:r>
    </w:p>
    <w:p w14:paraId="5520B9E0" w14:textId="77777777" w:rsidR="00D12804" w:rsidRDefault="00D12804" w:rsidP="00D12804">
      <w:pPr>
        <w:pStyle w:val="Heading4"/>
      </w:pPr>
      <w:r>
        <w:lastRenderedPageBreak/>
        <w:t>Commission final draft position</w:t>
      </w:r>
    </w:p>
    <w:p w14:paraId="6387A947" w14:textId="77777777" w:rsidR="00D12804" w:rsidRPr="00EE7993" w:rsidRDefault="00D12804" w:rsidP="00D12804">
      <w:pPr>
        <w:pStyle w:val="CGCParaNumber"/>
        <w:numPr>
          <w:ilvl w:val="1"/>
          <w:numId w:val="16"/>
        </w:numPr>
      </w:pPr>
      <w:r>
        <w:t xml:space="preserve">The Commission proposes to not apply any discounts to the updated justice assessment method outside of the already discounted service delivery scale general gradient. </w:t>
      </w:r>
    </w:p>
    <w:p w14:paraId="39CC8ED3" w14:textId="1AC4D926" w:rsidR="009864E6" w:rsidRDefault="009864E6" w:rsidP="007E471B">
      <w:pPr>
        <w:pStyle w:val="CGCParaNumber"/>
        <w:numPr>
          <w:ilvl w:val="1"/>
          <w:numId w:val="16"/>
        </w:numPr>
        <w:rPr>
          <w:rStyle w:val="PageNumber"/>
        </w:rPr>
        <w:sectPr w:rsidR="009864E6" w:rsidSect="00382669">
          <w:pgSz w:w="11906" w:h="16838"/>
          <w:pgMar w:top="1440" w:right="1440" w:bottom="1440" w:left="1440" w:header="708" w:footer="708" w:gutter="0"/>
          <w:cols w:space="708"/>
          <w:titlePg/>
          <w:docGrid w:linePitch="360"/>
        </w:sectPr>
      </w:pPr>
    </w:p>
    <w:p w14:paraId="674538ED" w14:textId="45C99B4F" w:rsidR="003449F1" w:rsidRPr="003449F1" w:rsidRDefault="003449F1" w:rsidP="00D71E55">
      <w:pPr>
        <w:pStyle w:val="CGC2025Caption"/>
        <w:keepNext/>
        <w:tabs>
          <w:tab w:val="left" w:pos="1134"/>
        </w:tabs>
      </w:pPr>
      <w:r>
        <w:lastRenderedPageBreak/>
        <w:t xml:space="preserve">Table </w:t>
      </w:r>
      <w:r w:rsidR="00EE7993">
        <w:t>4</w:t>
      </w:r>
      <w:r w:rsidRPr="00CE1397">
        <w:tab/>
      </w:r>
      <w:r>
        <w:rPr>
          <w:rStyle w:val="PageNumber"/>
        </w:rPr>
        <w:t>Discounts proposed by states for the revised justice assessment</w:t>
      </w:r>
    </w:p>
    <w:tbl>
      <w:tblPr>
        <w:tblW w:w="14175" w:type="dxa"/>
        <w:tblLook w:val="04A0" w:firstRow="1" w:lastRow="0" w:firstColumn="1" w:lastColumn="0" w:noHBand="0" w:noVBand="1"/>
      </w:tblPr>
      <w:tblGrid>
        <w:gridCol w:w="1500"/>
        <w:gridCol w:w="7856"/>
        <w:gridCol w:w="4819"/>
      </w:tblGrid>
      <w:tr w:rsidR="000322B4" w:rsidRPr="000322B4" w14:paraId="6B9E585B" w14:textId="77777777" w:rsidTr="00EF2D97">
        <w:trPr>
          <w:trHeight w:val="375"/>
          <w:tblHeader/>
        </w:trPr>
        <w:tc>
          <w:tcPr>
            <w:tcW w:w="1500" w:type="dxa"/>
            <w:tcBorders>
              <w:top w:val="single" w:sz="4" w:space="0" w:color="ADD6EA"/>
              <w:left w:val="nil"/>
              <w:bottom w:val="single" w:sz="4" w:space="0" w:color="ADD6EA"/>
              <w:right w:val="nil"/>
            </w:tcBorders>
            <w:shd w:val="clear" w:color="000000" w:fill="006991"/>
            <w:noWrap/>
            <w:vAlign w:val="center"/>
            <w:hideMark/>
          </w:tcPr>
          <w:p w14:paraId="018F65FD" w14:textId="77777777" w:rsidR="000322B4" w:rsidRPr="000322B4" w:rsidRDefault="000322B4" w:rsidP="000322B4">
            <w:pPr>
              <w:spacing w:after="0" w:line="240" w:lineRule="auto"/>
              <w:rPr>
                <w:rFonts w:ascii="Open Sans Semibold" w:eastAsia="Times New Roman" w:hAnsi="Open Sans Semibold" w:cs="Open Sans Semibold"/>
                <w:color w:val="FFFFFF"/>
                <w:sz w:val="16"/>
                <w:szCs w:val="16"/>
                <w:lang w:eastAsia="en-AU"/>
              </w:rPr>
            </w:pPr>
            <w:r w:rsidRPr="000322B4">
              <w:rPr>
                <w:rFonts w:ascii="Open Sans Semibold" w:eastAsia="Times New Roman" w:hAnsi="Open Sans Semibold" w:cs="Open Sans Semibold"/>
                <w:color w:val="FFFFFF"/>
                <w:sz w:val="16"/>
                <w:szCs w:val="16"/>
                <w:lang w:eastAsia="en-AU"/>
              </w:rPr>
              <w:t>Component</w:t>
            </w:r>
          </w:p>
        </w:tc>
        <w:tc>
          <w:tcPr>
            <w:tcW w:w="7856" w:type="dxa"/>
            <w:tcBorders>
              <w:top w:val="single" w:sz="4" w:space="0" w:color="ADD6EA"/>
              <w:left w:val="nil"/>
              <w:bottom w:val="single" w:sz="4" w:space="0" w:color="ADD6EA"/>
              <w:right w:val="nil"/>
            </w:tcBorders>
            <w:shd w:val="clear" w:color="000000" w:fill="006991"/>
            <w:noWrap/>
            <w:vAlign w:val="center"/>
            <w:hideMark/>
          </w:tcPr>
          <w:p w14:paraId="75485281" w14:textId="77777777" w:rsidR="000322B4" w:rsidRPr="000322B4" w:rsidRDefault="000322B4" w:rsidP="000322B4">
            <w:pPr>
              <w:spacing w:after="0" w:line="240" w:lineRule="auto"/>
              <w:rPr>
                <w:rFonts w:ascii="Open Sans Semibold" w:eastAsia="Times New Roman" w:hAnsi="Open Sans Semibold" w:cs="Open Sans Semibold"/>
                <w:color w:val="FFFFFF"/>
                <w:sz w:val="16"/>
                <w:szCs w:val="16"/>
                <w:lang w:eastAsia="en-AU"/>
              </w:rPr>
            </w:pPr>
            <w:r w:rsidRPr="000322B4">
              <w:rPr>
                <w:rFonts w:ascii="Open Sans Semibold" w:eastAsia="Times New Roman" w:hAnsi="Open Sans Semibold" w:cs="Open Sans Semibold"/>
                <w:color w:val="FFFFFF"/>
                <w:sz w:val="16"/>
                <w:szCs w:val="16"/>
                <w:lang w:eastAsia="en-AU"/>
              </w:rPr>
              <w:t>Proposal</w:t>
            </w:r>
          </w:p>
        </w:tc>
        <w:tc>
          <w:tcPr>
            <w:tcW w:w="4819" w:type="dxa"/>
            <w:tcBorders>
              <w:top w:val="single" w:sz="4" w:space="0" w:color="ADD6EA"/>
              <w:left w:val="nil"/>
              <w:bottom w:val="single" w:sz="4" w:space="0" w:color="ADD6EA"/>
              <w:right w:val="nil"/>
            </w:tcBorders>
            <w:shd w:val="clear" w:color="000000" w:fill="006991"/>
            <w:noWrap/>
            <w:vAlign w:val="center"/>
            <w:hideMark/>
          </w:tcPr>
          <w:p w14:paraId="729224E5" w14:textId="4CEBA074" w:rsidR="000322B4" w:rsidRPr="000322B4" w:rsidRDefault="00C615C4" w:rsidP="000322B4">
            <w:pPr>
              <w:spacing w:after="0" w:line="240" w:lineRule="auto"/>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Rationale for no discount</w:t>
            </w:r>
          </w:p>
        </w:tc>
      </w:tr>
      <w:tr w:rsidR="000322B4" w:rsidRPr="000322B4" w14:paraId="50DFD0FB" w14:textId="77777777" w:rsidTr="00EB10C2">
        <w:trPr>
          <w:trHeight w:val="657"/>
        </w:trPr>
        <w:tc>
          <w:tcPr>
            <w:tcW w:w="1500" w:type="dxa"/>
            <w:tcBorders>
              <w:top w:val="nil"/>
              <w:left w:val="nil"/>
              <w:bottom w:val="single" w:sz="4" w:space="0" w:color="ADD6EA"/>
              <w:right w:val="nil"/>
            </w:tcBorders>
            <w:hideMark/>
          </w:tcPr>
          <w:p w14:paraId="3587AD5C" w14:textId="77777777"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Whole of assessment</w:t>
            </w:r>
          </w:p>
        </w:tc>
        <w:tc>
          <w:tcPr>
            <w:tcW w:w="7856" w:type="dxa"/>
            <w:tcBorders>
              <w:top w:val="nil"/>
              <w:left w:val="nil"/>
              <w:bottom w:val="single" w:sz="4" w:space="0" w:color="ADD6EA"/>
              <w:right w:val="nil"/>
            </w:tcBorders>
            <w:hideMark/>
          </w:tcPr>
          <w:p w14:paraId="74F4B2BC" w14:textId="53B79C77" w:rsidR="00F25C12"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 xml:space="preserve">Victoria </w:t>
            </w:r>
            <w:r w:rsidR="00C573A9">
              <w:rPr>
                <w:rFonts w:ascii="Open Sans Light" w:eastAsia="Times New Roman" w:hAnsi="Open Sans Light" w:cs="Open Sans Light"/>
                <w:color w:val="000000"/>
                <w:sz w:val="16"/>
                <w:szCs w:val="16"/>
                <w:lang w:eastAsia="en-AU"/>
              </w:rPr>
              <w:t>-</w:t>
            </w:r>
            <w:r w:rsidRPr="000322B4">
              <w:rPr>
                <w:rFonts w:ascii="Open Sans Light" w:eastAsia="Times New Roman" w:hAnsi="Open Sans Light" w:cs="Open Sans Light"/>
                <w:color w:val="000000"/>
                <w:sz w:val="16"/>
                <w:szCs w:val="16"/>
                <w:lang w:eastAsia="en-AU"/>
              </w:rPr>
              <w:t xml:space="preserve"> the range of data used in the assessment is not fit for purpose and </w:t>
            </w:r>
            <w:r w:rsidR="00A40E96">
              <w:rPr>
                <w:rFonts w:ascii="Open Sans Light" w:eastAsia="Times New Roman" w:hAnsi="Open Sans Light" w:cs="Open Sans Light"/>
                <w:color w:val="000000"/>
                <w:sz w:val="16"/>
                <w:szCs w:val="16"/>
                <w:lang w:eastAsia="en-AU"/>
              </w:rPr>
              <w:t>data do not</w:t>
            </w:r>
            <w:r w:rsidR="00FF0C0D">
              <w:rPr>
                <w:rFonts w:ascii="Open Sans Light" w:eastAsia="Times New Roman" w:hAnsi="Open Sans Light" w:cs="Open Sans Light"/>
                <w:color w:val="000000"/>
                <w:sz w:val="16"/>
                <w:szCs w:val="16"/>
                <w:lang w:eastAsia="en-AU"/>
              </w:rPr>
              <w:t xml:space="preserve"> reflect </w:t>
            </w:r>
            <w:r w:rsidR="000C0A35">
              <w:rPr>
                <w:rFonts w:ascii="Open Sans Light" w:eastAsia="Times New Roman" w:hAnsi="Open Sans Light" w:cs="Open Sans Light"/>
                <w:color w:val="000000"/>
                <w:sz w:val="16"/>
                <w:szCs w:val="16"/>
                <w:lang w:eastAsia="en-AU"/>
              </w:rPr>
              <w:t xml:space="preserve">preventative policing activities </w:t>
            </w:r>
          </w:p>
          <w:p w14:paraId="10E2245E" w14:textId="77777777" w:rsidR="00B20EDF" w:rsidRDefault="00B20EDF" w:rsidP="000322B4">
            <w:pPr>
              <w:spacing w:after="0" w:line="240" w:lineRule="auto"/>
              <w:rPr>
                <w:rFonts w:ascii="Open Sans Light" w:eastAsia="Times New Roman" w:hAnsi="Open Sans Light" w:cs="Open Sans Light"/>
                <w:color w:val="000000"/>
                <w:sz w:val="16"/>
                <w:szCs w:val="16"/>
                <w:lang w:eastAsia="en-AU"/>
              </w:rPr>
            </w:pPr>
          </w:p>
          <w:p w14:paraId="0203D298" w14:textId="5E484D3B" w:rsidR="000322B4" w:rsidRDefault="00B20EDF" w:rsidP="000322B4">
            <w:pPr>
              <w:spacing w:after="0"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Victoria</w:t>
            </w:r>
            <w:r w:rsidR="00F25C12" w:rsidRPr="000322B4">
              <w:rPr>
                <w:rFonts w:ascii="Open Sans Light" w:eastAsia="Times New Roman" w:hAnsi="Open Sans Light" w:cs="Open Sans Light"/>
                <w:color w:val="000000"/>
                <w:sz w:val="16"/>
                <w:szCs w:val="16"/>
                <w:lang w:eastAsia="en-AU"/>
              </w:rPr>
              <w:t xml:space="preserve"> </w:t>
            </w:r>
            <w:r w:rsidR="009E2875">
              <w:rPr>
                <w:rFonts w:ascii="Open Sans Light" w:eastAsia="Times New Roman" w:hAnsi="Open Sans Light" w:cs="Open Sans Light"/>
                <w:color w:val="000000"/>
                <w:sz w:val="16"/>
                <w:szCs w:val="16"/>
                <w:lang w:eastAsia="en-AU"/>
              </w:rPr>
              <w:t>-</w:t>
            </w:r>
            <w:r w:rsidR="00F25C12" w:rsidRPr="000322B4">
              <w:rPr>
                <w:rFonts w:ascii="Open Sans Light" w:eastAsia="Times New Roman" w:hAnsi="Open Sans Light" w:cs="Open Sans Light"/>
                <w:color w:val="000000"/>
                <w:sz w:val="16"/>
                <w:szCs w:val="16"/>
                <w:lang w:eastAsia="en-AU"/>
              </w:rPr>
              <w:t xml:space="preserve"> </w:t>
            </w:r>
            <w:r w:rsidR="00131AF1">
              <w:rPr>
                <w:rFonts w:ascii="Open Sans Light" w:eastAsia="Times New Roman" w:hAnsi="Open Sans Light" w:cs="Open Sans Light"/>
                <w:color w:val="000000"/>
                <w:sz w:val="16"/>
                <w:szCs w:val="16"/>
                <w:lang w:eastAsia="en-AU"/>
              </w:rPr>
              <w:t>apply</w:t>
            </w:r>
            <w:r w:rsidR="00F25C12" w:rsidRPr="000322B4">
              <w:rPr>
                <w:rFonts w:ascii="Open Sans Light" w:eastAsia="Times New Roman" w:hAnsi="Open Sans Light" w:cs="Open Sans Light"/>
                <w:color w:val="000000"/>
                <w:sz w:val="16"/>
                <w:szCs w:val="16"/>
                <w:lang w:eastAsia="en-AU"/>
              </w:rPr>
              <w:t xml:space="preserve"> EPC assessment components and discounts or exclusions to account for uncertain supporting evidence and the direction of causality in the justice assessment.</w:t>
            </w:r>
          </w:p>
          <w:p w14:paraId="56B6A308" w14:textId="77777777" w:rsidR="00B20EDF" w:rsidRDefault="00B20EDF" w:rsidP="000322B4">
            <w:pPr>
              <w:spacing w:after="0" w:line="240" w:lineRule="auto"/>
              <w:rPr>
                <w:rFonts w:ascii="Open Sans Light" w:eastAsia="Times New Roman" w:hAnsi="Open Sans Light" w:cs="Open Sans Light"/>
                <w:color w:val="000000"/>
                <w:sz w:val="16"/>
                <w:szCs w:val="16"/>
                <w:lang w:eastAsia="en-AU"/>
              </w:rPr>
            </w:pPr>
          </w:p>
          <w:p w14:paraId="31127EA9" w14:textId="1BE4F446" w:rsidR="00F25C12" w:rsidRPr="000322B4" w:rsidRDefault="00F25C12"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 xml:space="preserve">The Victorian consultant </w:t>
            </w:r>
            <w:r w:rsidR="00BA21BC">
              <w:rPr>
                <w:rFonts w:ascii="Open Sans Light" w:eastAsia="Times New Roman" w:hAnsi="Open Sans Light" w:cs="Open Sans Light"/>
                <w:color w:val="000000"/>
                <w:sz w:val="16"/>
                <w:szCs w:val="16"/>
                <w:lang w:eastAsia="en-AU"/>
              </w:rPr>
              <w:t>-</w:t>
            </w:r>
            <w:r w:rsidR="000B517E">
              <w:rPr>
                <w:rFonts w:ascii="Open Sans Light" w:eastAsia="Times New Roman" w:hAnsi="Open Sans Light" w:cs="Open Sans Light"/>
                <w:color w:val="000000"/>
                <w:sz w:val="16"/>
                <w:szCs w:val="16"/>
                <w:lang w:eastAsia="en-AU"/>
              </w:rPr>
              <w:t xml:space="preserve"> </w:t>
            </w:r>
            <w:r w:rsidRPr="000322B4">
              <w:rPr>
                <w:rFonts w:ascii="Open Sans Light" w:eastAsia="Times New Roman" w:hAnsi="Open Sans Light" w:cs="Open Sans Light"/>
                <w:color w:val="000000"/>
                <w:sz w:val="16"/>
                <w:szCs w:val="16"/>
                <w:lang w:eastAsia="en-AU"/>
              </w:rPr>
              <w:t xml:space="preserve">varying methodologies and classifications used by states in reporting justice data can lead to inconsistencies that undermine the reliability of comparative assessments. </w:t>
            </w:r>
          </w:p>
        </w:tc>
        <w:tc>
          <w:tcPr>
            <w:tcW w:w="4819" w:type="dxa"/>
            <w:tcBorders>
              <w:top w:val="nil"/>
              <w:left w:val="nil"/>
              <w:bottom w:val="single" w:sz="4" w:space="0" w:color="ADD6EA"/>
              <w:right w:val="nil"/>
            </w:tcBorders>
            <w:hideMark/>
          </w:tcPr>
          <w:p w14:paraId="1EF0784F" w14:textId="3EF482F8" w:rsidR="003E57AD" w:rsidRDefault="00E50300" w:rsidP="000322B4">
            <w:pPr>
              <w:spacing w:after="0" w:line="240" w:lineRule="auto"/>
              <w:rPr>
                <w:rFonts w:ascii="Open Sans Light" w:hAnsi="Open Sans Light" w:cs="Open Sans Light"/>
                <w:sz w:val="16"/>
                <w:szCs w:val="16"/>
              </w:rPr>
            </w:pPr>
            <w:r w:rsidRPr="00923AB7">
              <w:rPr>
                <w:rFonts w:ascii="Open Sans Light" w:hAnsi="Open Sans Light" w:cs="Open Sans Light"/>
                <w:sz w:val="16"/>
                <w:szCs w:val="16"/>
              </w:rPr>
              <w:t>The Commission considers</w:t>
            </w:r>
            <w:r w:rsidR="006363FD">
              <w:rPr>
                <w:rFonts w:ascii="Open Sans Light" w:hAnsi="Open Sans Light" w:cs="Open Sans Light"/>
                <w:sz w:val="16"/>
                <w:szCs w:val="16"/>
              </w:rPr>
              <w:t xml:space="preserve"> data used in the proposed method </w:t>
            </w:r>
            <w:r w:rsidR="00893246">
              <w:rPr>
                <w:rFonts w:ascii="Open Sans Light" w:hAnsi="Open Sans Light" w:cs="Open Sans Light"/>
                <w:sz w:val="16"/>
                <w:szCs w:val="16"/>
              </w:rPr>
              <w:t>are the best available and are</w:t>
            </w:r>
            <w:r w:rsidR="006363FD">
              <w:rPr>
                <w:rFonts w:ascii="Open Sans Light" w:hAnsi="Open Sans Light" w:cs="Open Sans Light"/>
                <w:sz w:val="16"/>
                <w:szCs w:val="16"/>
              </w:rPr>
              <w:t xml:space="preserve"> fit for purpose.</w:t>
            </w:r>
            <w:r w:rsidR="003E57AD">
              <w:rPr>
                <w:rFonts w:ascii="Open Sans Light" w:hAnsi="Open Sans Light" w:cs="Open Sans Light"/>
                <w:sz w:val="16"/>
                <w:szCs w:val="16"/>
              </w:rPr>
              <w:t xml:space="preserve"> The Commission is </w:t>
            </w:r>
            <w:r w:rsidR="00F8124C">
              <w:rPr>
                <w:rFonts w:ascii="Open Sans Light" w:hAnsi="Open Sans Light" w:cs="Open Sans Light"/>
                <w:sz w:val="16"/>
                <w:szCs w:val="16"/>
              </w:rPr>
              <w:t xml:space="preserve">satisfied the assessments account for preventative and reactive </w:t>
            </w:r>
            <w:r w:rsidR="00B20EDF">
              <w:rPr>
                <w:rFonts w:ascii="Open Sans Light" w:hAnsi="Open Sans Light" w:cs="Open Sans Light"/>
                <w:sz w:val="16"/>
                <w:szCs w:val="16"/>
              </w:rPr>
              <w:t>justice</w:t>
            </w:r>
            <w:r w:rsidR="00F8124C">
              <w:rPr>
                <w:rFonts w:ascii="Open Sans Light" w:hAnsi="Open Sans Light" w:cs="Open Sans Light"/>
                <w:sz w:val="16"/>
                <w:szCs w:val="16"/>
              </w:rPr>
              <w:t xml:space="preserve"> measures appropriately</w:t>
            </w:r>
            <w:r w:rsidR="00B20EDF">
              <w:rPr>
                <w:rFonts w:ascii="Open Sans Light" w:hAnsi="Open Sans Light" w:cs="Open Sans Light"/>
                <w:sz w:val="16"/>
                <w:szCs w:val="16"/>
              </w:rPr>
              <w:t>.</w:t>
            </w:r>
          </w:p>
          <w:p w14:paraId="57D1F2C3" w14:textId="7532F8CD" w:rsidR="000322B4" w:rsidRDefault="006363FD" w:rsidP="000322B4">
            <w:pPr>
              <w:spacing w:after="0" w:line="240" w:lineRule="auto"/>
              <w:rPr>
                <w:rFonts w:ascii="Open Sans Light" w:hAnsi="Open Sans Light" w:cs="Open Sans Light"/>
                <w:sz w:val="16"/>
                <w:szCs w:val="16"/>
              </w:rPr>
            </w:pPr>
            <w:r>
              <w:rPr>
                <w:rFonts w:ascii="Open Sans Light" w:hAnsi="Open Sans Light" w:cs="Open Sans Light"/>
                <w:sz w:val="16"/>
                <w:szCs w:val="16"/>
              </w:rPr>
              <w:t>V</w:t>
            </w:r>
            <w:r w:rsidR="00E50300" w:rsidRPr="00923AB7">
              <w:rPr>
                <w:rFonts w:ascii="Open Sans Light" w:hAnsi="Open Sans Light" w:cs="Open Sans Light"/>
                <w:sz w:val="16"/>
                <w:szCs w:val="16"/>
              </w:rPr>
              <w:t>ariability in</w:t>
            </w:r>
            <w:r w:rsidR="00F0083A">
              <w:rPr>
                <w:rFonts w:ascii="Open Sans Light" w:hAnsi="Open Sans Light" w:cs="Open Sans Light"/>
                <w:sz w:val="16"/>
                <w:szCs w:val="16"/>
              </w:rPr>
              <w:t xml:space="preserve"> data</w:t>
            </w:r>
            <w:r w:rsidR="00E50300" w:rsidRPr="00923AB7">
              <w:rPr>
                <w:rFonts w:ascii="Open Sans Light" w:hAnsi="Open Sans Light" w:cs="Open Sans Light"/>
                <w:sz w:val="16"/>
                <w:szCs w:val="16"/>
              </w:rPr>
              <w:t xml:space="preserve"> across states does not necessarily signify uncertainties in the data that would warrant dis</w:t>
            </w:r>
            <w:r w:rsidR="0044403E">
              <w:rPr>
                <w:rFonts w:ascii="Open Sans Light" w:hAnsi="Open Sans Light" w:cs="Open Sans Light"/>
                <w:sz w:val="16"/>
                <w:szCs w:val="16"/>
              </w:rPr>
              <w:t xml:space="preserve">counting. </w:t>
            </w:r>
            <w:r w:rsidR="009717DA">
              <w:rPr>
                <w:rFonts w:ascii="Open Sans Light" w:hAnsi="Open Sans Light" w:cs="Open Sans Light"/>
                <w:sz w:val="16"/>
                <w:szCs w:val="16"/>
              </w:rPr>
              <w:t xml:space="preserve">While the variability is likely due partly to states </w:t>
            </w:r>
            <w:r w:rsidR="00F34075">
              <w:rPr>
                <w:rFonts w:ascii="Open Sans Light" w:hAnsi="Open Sans Light" w:cs="Open Sans Light"/>
                <w:sz w:val="16"/>
                <w:szCs w:val="16"/>
              </w:rPr>
              <w:t>different policy choices</w:t>
            </w:r>
            <w:r w:rsidR="00486A04">
              <w:rPr>
                <w:rFonts w:ascii="Open Sans Light" w:hAnsi="Open Sans Light" w:cs="Open Sans Light"/>
                <w:sz w:val="16"/>
                <w:szCs w:val="16"/>
              </w:rPr>
              <w:t>, u</w:t>
            </w:r>
            <w:r w:rsidR="00F34075">
              <w:rPr>
                <w:rFonts w:ascii="Open Sans Light" w:hAnsi="Open Sans Light" w:cs="Open Sans Light"/>
                <w:sz w:val="16"/>
                <w:szCs w:val="16"/>
              </w:rPr>
              <w:t xml:space="preserve">sing national average data smooth </w:t>
            </w:r>
            <w:r w:rsidR="000B5280">
              <w:rPr>
                <w:rFonts w:ascii="Open Sans Light" w:hAnsi="Open Sans Light" w:cs="Open Sans Light"/>
                <w:sz w:val="16"/>
                <w:szCs w:val="16"/>
              </w:rPr>
              <w:t xml:space="preserve">the impact </w:t>
            </w:r>
            <w:r w:rsidR="00F34075">
              <w:rPr>
                <w:rFonts w:ascii="Open Sans Light" w:hAnsi="Open Sans Light" w:cs="Open Sans Light"/>
                <w:sz w:val="16"/>
                <w:szCs w:val="16"/>
              </w:rPr>
              <w:t>policy differences across states</w:t>
            </w:r>
            <w:r>
              <w:rPr>
                <w:rFonts w:ascii="Open Sans Light" w:hAnsi="Open Sans Light" w:cs="Open Sans Light"/>
                <w:sz w:val="16"/>
                <w:szCs w:val="16"/>
              </w:rPr>
              <w:t>.</w:t>
            </w:r>
            <w:r w:rsidR="00C615C4">
              <w:rPr>
                <w:rFonts w:ascii="Open Sans Light" w:hAnsi="Open Sans Light" w:cs="Open Sans Light"/>
                <w:sz w:val="16"/>
                <w:szCs w:val="16"/>
              </w:rPr>
              <w:t xml:space="preserve"> </w:t>
            </w:r>
          </w:p>
          <w:p w14:paraId="2D91E3E0" w14:textId="4107563E" w:rsidR="00F25C12" w:rsidRPr="000322B4" w:rsidRDefault="00F25C12" w:rsidP="000322B4">
            <w:pPr>
              <w:spacing w:after="0" w:line="240" w:lineRule="auto"/>
              <w:rPr>
                <w:rFonts w:ascii="Open Sans Light" w:eastAsia="Times New Roman" w:hAnsi="Open Sans Light" w:cs="Open Sans Light"/>
                <w:color w:val="000000"/>
                <w:sz w:val="16"/>
                <w:szCs w:val="16"/>
                <w:lang w:eastAsia="en-AU"/>
              </w:rPr>
            </w:pPr>
            <w:r w:rsidRPr="009E3B94">
              <w:rPr>
                <w:rFonts w:ascii="Open Sans Light" w:hAnsi="Open Sans Light" w:cs="Open Sans Light"/>
                <w:sz w:val="16"/>
                <w:szCs w:val="16"/>
              </w:rPr>
              <w:t xml:space="preserve">The Commission has not identified sufficient concerns with the data to support a discount or </w:t>
            </w:r>
            <w:r w:rsidR="00887CF4">
              <w:rPr>
                <w:rFonts w:ascii="Open Sans Light" w:hAnsi="Open Sans Light" w:cs="Open Sans Light"/>
                <w:sz w:val="16"/>
                <w:szCs w:val="16"/>
              </w:rPr>
              <w:t xml:space="preserve">to </w:t>
            </w:r>
            <w:r w:rsidRPr="009E3B94">
              <w:rPr>
                <w:rFonts w:ascii="Open Sans Light" w:hAnsi="Open Sans Light" w:cs="Open Sans Light"/>
                <w:sz w:val="16"/>
                <w:szCs w:val="16"/>
              </w:rPr>
              <w:t>pursue an equal per capita assessment.</w:t>
            </w:r>
          </w:p>
        </w:tc>
      </w:tr>
      <w:tr w:rsidR="000322B4" w:rsidRPr="000322B4" w14:paraId="7015D6E1" w14:textId="77777777" w:rsidTr="00EB10C2">
        <w:trPr>
          <w:trHeight w:val="750"/>
        </w:trPr>
        <w:tc>
          <w:tcPr>
            <w:tcW w:w="1500" w:type="dxa"/>
            <w:tcBorders>
              <w:top w:val="nil"/>
              <w:left w:val="nil"/>
              <w:bottom w:val="single" w:sz="4" w:space="0" w:color="ADD6EA"/>
              <w:right w:val="nil"/>
            </w:tcBorders>
            <w:hideMark/>
          </w:tcPr>
          <w:p w14:paraId="02E3BC31" w14:textId="77777777"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Police</w:t>
            </w:r>
          </w:p>
        </w:tc>
        <w:tc>
          <w:tcPr>
            <w:tcW w:w="7856" w:type="dxa"/>
            <w:tcBorders>
              <w:top w:val="nil"/>
              <w:left w:val="nil"/>
              <w:bottom w:val="single" w:sz="4" w:space="0" w:color="ADD6EA"/>
              <w:right w:val="nil"/>
            </w:tcBorders>
            <w:hideMark/>
          </w:tcPr>
          <w:p w14:paraId="75B750FB" w14:textId="0A756A6A"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 xml:space="preserve">NSW </w:t>
            </w:r>
            <w:r w:rsidR="00BA21BC">
              <w:rPr>
                <w:rFonts w:ascii="Open Sans Light" w:eastAsia="Times New Roman" w:hAnsi="Open Sans Light" w:cs="Open Sans Light"/>
                <w:color w:val="000000"/>
                <w:sz w:val="16"/>
                <w:szCs w:val="16"/>
                <w:lang w:eastAsia="en-AU"/>
              </w:rPr>
              <w:t>-</w:t>
            </w:r>
            <w:r w:rsidRPr="000322B4">
              <w:rPr>
                <w:rFonts w:ascii="Open Sans Light" w:eastAsia="Times New Roman" w:hAnsi="Open Sans Light" w:cs="Open Sans Light"/>
                <w:color w:val="000000"/>
                <w:sz w:val="16"/>
                <w:szCs w:val="16"/>
                <w:lang w:eastAsia="en-AU"/>
              </w:rPr>
              <w:t xml:space="preserve"> 25% discount to the regional cost gradient of police to account for higher non-remote usage (per person) of centrally provided police costs. </w:t>
            </w:r>
          </w:p>
        </w:tc>
        <w:tc>
          <w:tcPr>
            <w:tcW w:w="4819" w:type="dxa"/>
            <w:tcBorders>
              <w:top w:val="nil"/>
              <w:left w:val="nil"/>
              <w:bottom w:val="single" w:sz="4" w:space="0" w:color="ADD6EA"/>
              <w:right w:val="nil"/>
            </w:tcBorders>
            <w:hideMark/>
          </w:tcPr>
          <w:p w14:paraId="14AA9B55" w14:textId="3F1BD2F2" w:rsidR="000322B4" w:rsidRPr="000322B4" w:rsidRDefault="007F4399" w:rsidP="000322B4">
            <w:pPr>
              <w:spacing w:after="0"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The Commission</w:t>
            </w:r>
            <w:r w:rsidR="00F7491A">
              <w:rPr>
                <w:rFonts w:ascii="Open Sans Light" w:eastAsia="Times New Roman" w:hAnsi="Open Sans Light" w:cs="Open Sans Light"/>
                <w:color w:val="000000"/>
                <w:sz w:val="16"/>
                <w:szCs w:val="16"/>
                <w:lang w:eastAsia="en-AU"/>
              </w:rPr>
              <w:t>’s proposed method for allocating central cost</w:t>
            </w:r>
            <w:r w:rsidR="00827521">
              <w:rPr>
                <w:rFonts w:ascii="Open Sans Light" w:eastAsia="Times New Roman" w:hAnsi="Open Sans Light" w:cs="Open Sans Light"/>
                <w:color w:val="000000"/>
                <w:sz w:val="16"/>
                <w:szCs w:val="16"/>
                <w:lang w:eastAsia="en-AU"/>
              </w:rPr>
              <w:t>s better reflects the distribution of police costs</w:t>
            </w:r>
            <w:r w:rsidR="00D4315F">
              <w:rPr>
                <w:rFonts w:ascii="Open Sans Light" w:eastAsia="Times New Roman" w:hAnsi="Open Sans Light" w:cs="Open Sans Light"/>
                <w:color w:val="000000"/>
                <w:sz w:val="16"/>
                <w:szCs w:val="16"/>
                <w:lang w:eastAsia="en-AU"/>
              </w:rPr>
              <w:t xml:space="preserve"> across </w:t>
            </w:r>
            <w:r w:rsidR="004C6F3E">
              <w:rPr>
                <w:rFonts w:ascii="Open Sans Light" w:eastAsia="Times New Roman" w:hAnsi="Open Sans Light" w:cs="Open Sans Light"/>
                <w:color w:val="000000"/>
                <w:sz w:val="16"/>
                <w:szCs w:val="16"/>
                <w:lang w:eastAsia="en-AU"/>
              </w:rPr>
              <w:t>region</w:t>
            </w:r>
            <w:r w:rsidR="00782FB6">
              <w:rPr>
                <w:rFonts w:ascii="Open Sans Light" w:eastAsia="Times New Roman" w:hAnsi="Open Sans Light" w:cs="Open Sans Light"/>
                <w:color w:val="000000"/>
                <w:sz w:val="16"/>
                <w:szCs w:val="16"/>
                <w:lang w:eastAsia="en-AU"/>
              </w:rPr>
              <w:t>s.</w:t>
            </w:r>
          </w:p>
        </w:tc>
      </w:tr>
      <w:tr w:rsidR="000322B4" w:rsidRPr="000322B4" w14:paraId="243B4EDC" w14:textId="77777777" w:rsidTr="00EB10C2">
        <w:trPr>
          <w:trHeight w:val="1587"/>
        </w:trPr>
        <w:tc>
          <w:tcPr>
            <w:tcW w:w="1500" w:type="dxa"/>
            <w:tcBorders>
              <w:top w:val="nil"/>
              <w:left w:val="nil"/>
              <w:bottom w:val="single" w:sz="4" w:space="0" w:color="ADD6EA"/>
              <w:right w:val="nil"/>
            </w:tcBorders>
            <w:hideMark/>
          </w:tcPr>
          <w:p w14:paraId="10E16F20" w14:textId="77777777"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Police</w:t>
            </w:r>
          </w:p>
        </w:tc>
        <w:tc>
          <w:tcPr>
            <w:tcW w:w="7856" w:type="dxa"/>
            <w:tcBorders>
              <w:top w:val="nil"/>
              <w:left w:val="nil"/>
              <w:bottom w:val="single" w:sz="4" w:space="0" w:color="ADD6EA"/>
              <w:right w:val="nil"/>
            </w:tcBorders>
            <w:hideMark/>
          </w:tcPr>
          <w:p w14:paraId="3370DBFE" w14:textId="47D43D29"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 xml:space="preserve">Victoria </w:t>
            </w:r>
            <w:r w:rsidR="004B5B8D">
              <w:rPr>
                <w:rFonts w:ascii="Open Sans Light" w:eastAsia="Times New Roman" w:hAnsi="Open Sans Light" w:cs="Open Sans Light"/>
                <w:color w:val="000000"/>
                <w:sz w:val="16"/>
                <w:szCs w:val="16"/>
                <w:lang w:eastAsia="en-AU"/>
              </w:rPr>
              <w:t xml:space="preserve">- </w:t>
            </w:r>
            <w:r w:rsidRPr="000322B4">
              <w:rPr>
                <w:rFonts w:ascii="Open Sans Light" w:eastAsia="Times New Roman" w:hAnsi="Open Sans Light" w:cs="Open Sans Light"/>
                <w:color w:val="000000"/>
                <w:sz w:val="16"/>
                <w:szCs w:val="16"/>
                <w:lang w:eastAsia="en-AU"/>
              </w:rPr>
              <w:t xml:space="preserve">discount assessed offenders to counter state policy influence. </w:t>
            </w:r>
            <w:r w:rsidR="00684670">
              <w:rPr>
                <w:rFonts w:ascii="Open Sans Light" w:eastAsia="Times New Roman" w:hAnsi="Open Sans Light" w:cs="Open Sans Light"/>
                <w:color w:val="000000"/>
                <w:sz w:val="16"/>
                <w:szCs w:val="16"/>
                <w:lang w:eastAsia="en-AU"/>
              </w:rPr>
              <w:t>T</w:t>
            </w:r>
            <w:r w:rsidRPr="000322B4">
              <w:rPr>
                <w:rFonts w:ascii="Open Sans Light" w:eastAsia="Times New Roman" w:hAnsi="Open Sans Light" w:cs="Open Sans Light"/>
                <w:color w:val="000000"/>
                <w:sz w:val="16"/>
                <w:szCs w:val="16"/>
                <w:lang w:eastAsia="en-AU"/>
              </w:rPr>
              <w:t xml:space="preserve">he high variability between states in offence rates are at least partially driven by policy differences. Unless the Commission can adjust assessments for differences in state policy, the police regression should not be </w:t>
            </w:r>
            <w:proofErr w:type="gramStart"/>
            <w:r w:rsidRPr="000322B4">
              <w:rPr>
                <w:rFonts w:ascii="Open Sans Light" w:eastAsia="Times New Roman" w:hAnsi="Open Sans Light" w:cs="Open Sans Light"/>
                <w:color w:val="000000"/>
                <w:sz w:val="16"/>
                <w:szCs w:val="16"/>
                <w:lang w:eastAsia="en-AU"/>
              </w:rPr>
              <w:t>used</w:t>
            </w:r>
            <w:proofErr w:type="gramEnd"/>
            <w:r w:rsidRPr="000322B4">
              <w:rPr>
                <w:rFonts w:ascii="Open Sans Light" w:eastAsia="Times New Roman" w:hAnsi="Open Sans Light" w:cs="Open Sans Light"/>
                <w:color w:val="000000"/>
                <w:sz w:val="16"/>
                <w:szCs w:val="16"/>
                <w:lang w:eastAsia="en-AU"/>
              </w:rPr>
              <w:t xml:space="preserve"> or a discount should be applied.</w:t>
            </w:r>
            <w:r w:rsidRPr="000322B4">
              <w:rPr>
                <w:rFonts w:ascii="Open Sans Light" w:eastAsia="Times New Roman" w:hAnsi="Open Sans Light" w:cs="Open Sans Light"/>
                <w:color w:val="000000"/>
                <w:sz w:val="16"/>
                <w:szCs w:val="16"/>
                <w:lang w:eastAsia="en-AU"/>
              </w:rPr>
              <w:br/>
            </w:r>
            <w:r w:rsidRPr="000322B4">
              <w:rPr>
                <w:rFonts w:ascii="Open Sans Light" w:eastAsia="Times New Roman" w:hAnsi="Open Sans Light" w:cs="Open Sans Light"/>
                <w:color w:val="000000"/>
                <w:sz w:val="16"/>
                <w:szCs w:val="16"/>
                <w:lang w:eastAsia="en-AU"/>
              </w:rPr>
              <w:br/>
              <w:t xml:space="preserve">The Victorian consultant </w:t>
            </w:r>
            <w:r w:rsidR="00430FB2">
              <w:rPr>
                <w:rFonts w:ascii="Open Sans Light" w:eastAsia="Times New Roman" w:hAnsi="Open Sans Light" w:cs="Open Sans Light"/>
                <w:color w:val="000000"/>
                <w:sz w:val="16"/>
                <w:szCs w:val="16"/>
                <w:lang w:eastAsia="en-AU"/>
              </w:rPr>
              <w:t>-</w:t>
            </w:r>
            <w:r w:rsidR="00EE6932">
              <w:rPr>
                <w:rFonts w:ascii="Open Sans Light" w:eastAsia="Times New Roman" w:hAnsi="Open Sans Light" w:cs="Open Sans Light"/>
                <w:color w:val="000000"/>
                <w:sz w:val="16"/>
                <w:szCs w:val="16"/>
                <w:lang w:eastAsia="en-AU"/>
              </w:rPr>
              <w:t xml:space="preserve"> o</w:t>
            </w:r>
            <w:r w:rsidRPr="000322B4">
              <w:rPr>
                <w:rFonts w:ascii="Open Sans Light" w:eastAsia="Times New Roman" w:hAnsi="Open Sans Light" w:cs="Open Sans Light"/>
                <w:color w:val="000000"/>
                <w:sz w:val="16"/>
                <w:szCs w:val="16"/>
                <w:lang w:eastAsia="en-AU"/>
              </w:rPr>
              <w:t xml:space="preserve">ffence rates can be influenced by local policy choices. </w:t>
            </w:r>
            <w:r w:rsidR="007D0BAF">
              <w:rPr>
                <w:rFonts w:ascii="Open Sans Light" w:eastAsia="Times New Roman" w:hAnsi="Open Sans Light" w:cs="Open Sans Light"/>
                <w:color w:val="000000"/>
                <w:sz w:val="16"/>
                <w:szCs w:val="16"/>
                <w:lang w:eastAsia="en-AU"/>
              </w:rPr>
              <w:t>D</w:t>
            </w:r>
            <w:r w:rsidRPr="000322B4">
              <w:rPr>
                <w:rFonts w:ascii="Open Sans Light" w:eastAsia="Times New Roman" w:hAnsi="Open Sans Light" w:cs="Open Sans Light"/>
                <w:color w:val="000000"/>
                <w:sz w:val="16"/>
                <w:szCs w:val="16"/>
                <w:lang w:eastAsia="en-AU"/>
              </w:rPr>
              <w:t xml:space="preserve">iscount </w:t>
            </w:r>
            <w:r w:rsidR="007D0BAF">
              <w:rPr>
                <w:rFonts w:ascii="Open Sans Light" w:eastAsia="Times New Roman" w:hAnsi="Open Sans Light" w:cs="Open Sans Light"/>
                <w:color w:val="000000"/>
                <w:sz w:val="16"/>
                <w:szCs w:val="16"/>
                <w:lang w:eastAsia="en-AU"/>
              </w:rPr>
              <w:t xml:space="preserve">required </w:t>
            </w:r>
            <w:r w:rsidRPr="000322B4">
              <w:rPr>
                <w:rFonts w:ascii="Open Sans Light" w:eastAsia="Times New Roman" w:hAnsi="Open Sans Light" w:cs="Open Sans Light"/>
                <w:color w:val="000000"/>
                <w:sz w:val="16"/>
                <w:szCs w:val="16"/>
                <w:lang w:eastAsia="en-AU"/>
              </w:rPr>
              <w:t xml:space="preserve">to mitigate the risk of misrepresenting police needs. </w:t>
            </w:r>
          </w:p>
        </w:tc>
        <w:tc>
          <w:tcPr>
            <w:tcW w:w="4819" w:type="dxa"/>
            <w:tcBorders>
              <w:top w:val="nil"/>
              <w:left w:val="nil"/>
              <w:bottom w:val="single" w:sz="4" w:space="0" w:color="ADD6EA"/>
              <w:right w:val="nil"/>
            </w:tcBorders>
            <w:hideMark/>
          </w:tcPr>
          <w:p w14:paraId="7A708D7F" w14:textId="57977730" w:rsidR="00D753EF" w:rsidRDefault="00D753EF" w:rsidP="00D753EF">
            <w:pPr>
              <w:spacing w:after="0" w:line="240" w:lineRule="auto"/>
              <w:rPr>
                <w:rFonts w:ascii="Open Sans Light" w:hAnsi="Open Sans Light" w:cs="Open Sans Light"/>
                <w:sz w:val="16"/>
                <w:szCs w:val="16"/>
              </w:rPr>
            </w:pPr>
            <w:r>
              <w:rPr>
                <w:rFonts w:ascii="Open Sans Light" w:hAnsi="Open Sans Light" w:cs="Open Sans Light"/>
                <w:sz w:val="16"/>
                <w:szCs w:val="16"/>
              </w:rPr>
              <w:t>V</w:t>
            </w:r>
            <w:r w:rsidRPr="00923AB7">
              <w:rPr>
                <w:rFonts w:ascii="Open Sans Light" w:hAnsi="Open Sans Light" w:cs="Open Sans Light"/>
                <w:sz w:val="16"/>
                <w:szCs w:val="16"/>
              </w:rPr>
              <w:t>ariability in</w:t>
            </w:r>
            <w:r>
              <w:rPr>
                <w:rFonts w:ascii="Open Sans Light" w:hAnsi="Open Sans Light" w:cs="Open Sans Light"/>
                <w:sz w:val="16"/>
                <w:szCs w:val="16"/>
              </w:rPr>
              <w:t xml:space="preserve"> data</w:t>
            </w:r>
            <w:r w:rsidRPr="00923AB7">
              <w:rPr>
                <w:rFonts w:ascii="Open Sans Light" w:hAnsi="Open Sans Light" w:cs="Open Sans Light"/>
                <w:sz w:val="16"/>
                <w:szCs w:val="16"/>
              </w:rPr>
              <w:t xml:space="preserve"> across states does not necessarily signify uncertainties in the data that would warrant dis</w:t>
            </w:r>
            <w:r>
              <w:rPr>
                <w:rFonts w:ascii="Open Sans Light" w:hAnsi="Open Sans Light" w:cs="Open Sans Light"/>
                <w:sz w:val="16"/>
                <w:szCs w:val="16"/>
              </w:rPr>
              <w:t>counting. While the variability is likely due partly to states different policy choices</w:t>
            </w:r>
            <w:r w:rsidR="00F45412">
              <w:rPr>
                <w:rFonts w:ascii="Open Sans Light" w:hAnsi="Open Sans Light" w:cs="Open Sans Light"/>
                <w:sz w:val="16"/>
                <w:szCs w:val="16"/>
              </w:rPr>
              <w:t>, u</w:t>
            </w:r>
            <w:r>
              <w:rPr>
                <w:rFonts w:ascii="Open Sans Light" w:hAnsi="Open Sans Light" w:cs="Open Sans Light"/>
                <w:sz w:val="16"/>
                <w:szCs w:val="16"/>
              </w:rPr>
              <w:t xml:space="preserve">sing national average data smooth </w:t>
            </w:r>
            <w:r w:rsidR="004629C5">
              <w:rPr>
                <w:rFonts w:ascii="Open Sans Light" w:hAnsi="Open Sans Light" w:cs="Open Sans Light"/>
                <w:sz w:val="16"/>
                <w:szCs w:val="16"/>
              </w:rPr>
              <w:t xml:space="preserve">the impact of </w:t>
            </w:r>
            <w:r>
              <w:rPr>
                <w:rFonts w:ascii="Open Sans Light" w:hAnsi="Open Sans Light" w:cs="Open Sans Light"/>
                <w:sz w:val="16"/>
                <w:szCs w:val="16"/>
              </w:rPr>
              <w:t xml:space="preserve">policy differences across states. </w:t>
            </w:r>
          </w:p>
          <w:p w14:paraId="0BB4700D" w14:textId="285C5D35"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p>
        </w:tc>
      </w:tr>
      <w:tr w:rsidR="000322B4" w:rsidRPr="000322B4" w14:paraId="32C1C12D" w14:textId="77777777" w:rsidTr="00EB10C2">
        <w:trPr>
          <w:trHeight w:val="750"/>
        </w:trPr>
        <w:tc>
          <w:tcPr>
            <w:tcW w:w="1500" w:type="dxa"/>
            <w:tcBorders>
              <w:top w:val="nil"/>
              <w:left w:val="nil"/>
              <w:bottom w:val="single" w:sz="4" w:space="0" w:color="ADD6EA"/>
              <w:right w:val="nil"/>
            </w:tcBorders>
            <w:hideMark/>
          </w:tcPr>
          <w:p w14:paraId="124D00E0" w14:textId="77777777"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Police</w:t>
            </w:r>
          </w:p>
        </w:tc>
        <w:tc>
          <w:tcPr>
            <w:tcW w:w="7856" w:type="dxa"/>
            <w:tcBorders>
              <w:top w:val="nil"/>
              <w:left w:val="nil"/>
              <w:bottom w:val="single" w:sz="4" w:space="0" w:color="ADD6EA"/>
              <w:right w:val="nil"/>
            </w:tcBorders>
            <w:hideMark/>
          </w:tcPr>
          <w:p w14:paraId="2F2758A2" w14:textId="423E2CAA"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 xml:space="preserve">The Victorian consultant </w:t>
            </w:r>
            <w:r w:rsidR="00FE106D">
              <w:rPr>
                <w:rFonts w:ascii="Open Sans Light" w:eastAsia="Times New Roman" w:hAnsi="Open Sans Light" w:cs="Open Sans Light"/>
                <w:color w:val="000000"/>
                <w:sz w:val="16"/>
                <w:szCs w:val="16"/>
                <w:lang w:eastAsia="en-AU"/>
              </w:rPr>
              <w:t>–</w:t>
            </w:r>
            <w:r w:rsidRPr="000322B4">
              <w:rPr>
                <w:rFonts w:ascii="Open Sans Light" w:eastAsia="Times New Roman" w:hAnsi="Open Sans Light" w:cs="Open Sans Light"/>
                <w:color w:val="000000"/>
                <w:sz w:val="16"/>
                <w:szCs w:val="16"/>
                <w:lang w:eastAsia="en-AU"/>
              </w:rPr>
              <w:t xml:space="preserve"> </w:t>
            </w:r>
            <w:r w:rsidR="00FE106D">
              <w:rPr>
                <w:rFonts w:ascii="Open Sans Light" w:eastAsia="Times New Roman" w:hAnsi="Open Sans Light" w:cs="Open Sans Light"/>
                <w:color w:val="000000"/>
                <w:sz w:val="16"/>
                <w:szCs w:val="16"/>
                <w:lang w:eastAsia="en-AU"/>
              </w:rPr>
              <w:t xml:space="preserve">the assessment does not recognise the </w:t>
            </w:r>
            <w:r w:rsidRPr="000322B4">
              <w:rPr>
                <w:rFonts w:ascii="Open Sans Light" w:eastAsia="Times New Roman" w:hAnsi="Open Sans Light" w:cs="Open Sans Light"/>
                <w:color w:val="000000"/>
                <w:sz w:val="16"/>
                <w:szCs w:val="16"/>
                <w:lang w:eastAsia="en-AU"/>
              </w:rPr>
              <w:t>variability and complexities of costs of different crimes</w:t>
            </w:r>
            <w:r w:rsidR="00CE381C">
              <w:rPr>
                <w:rFonts w:ascii="Open Sans Light" w:eastAsia="Times New Roman" w:hAnsi="Open Sans Light" w:cs="Open Sans Light"/>
                <w:color w:val="000000"/>
                <w:sz w:val="16"/>
                <w:szCs w:val="16"/>
                <w:lang w:eastAsia="en-AU"/>
              </w:rPr>
              <w:t>.</w:t>
            </w:r>
          </w:p>
        </w:tc>
        <w:tc>
          <w:tcPr>
            <w:tcW w:w="4819" w:type="dxa"/>
            <w:tcBorders>
              <w:top w:val="nil"/>
              <w:left w:val="nil"/>
              <w:bottom w:val="single" w:sz="4" w:space="0" w:color="ADD6EA"/>
              <w:right w:val="nil"/>
            </w:tcBorders>
            <w:hideMark/>
          </w:tcPr>
          <w:p w14:paraId="13800EBA" w14:textId="73E1E80E" w:rsidR="000322B4" w:rsidRPr="000322B4" w:rsidRDefault="003F2303" w:rsidP="000322B4">
            <w:pPr>
              <w:spacing w:after="0" w:line="240" w:lineRule="auto"/>
              <w:rPr>
                <w:rFonts w:ascii="Open Sans Light" w:eastAsia="Times New Roman" w:hAnsi="Open Sans Light" w:cs="Open Sans Light"/>
                <w:color w:val="000000"/>
                <w:sz w:val="16"/>
                <w:szCs w:val="16"/>
                <w:lang w:eastAsia="en-AU"/>
              </w:rPr>
            </w:pPr>
            <w:r w:rsidRPr="00AB4B45">
              <w:rPr>
                <w:rFonts w:ascii="Open Sans Light" w:hAnsi="Open Sans Light" w:cs="Open Sans Light"/>
                <w:sz w:val="16"/>
                <w:szCs w:val="16"/>
              </w:rPr>
              <w:t>The Commissio</w:t>
            </w:r>
            <w:r w:rsidR="00166EC8">
              <w:rPr>
                <w:rFonts w:ascii="Open Sans Light" w:hAnsi="Open Sans Light" w:cs="Open Sans Light"/>
                <w:sz w:val="16"/>
                <w:szCs w:val="16"/>
              </w:rPr>
              <w:t>n</w:t>
            </w:r>
            <w:r w:rsidR="009675D9">
              <w:t xml:space="preserve"> </w:t>
            </w:r>
            <w:r w:rsidR="00D83E9B">
              <w:rPr>
                <w:rFonts w:ascii="Open Sans Light" w:hAnsi="Open Sans Light" w:cs="Open Sans Light"/>
                <w:sz w:val="16"/>
                <w:szCs w:val="16"/>
              </w:rPr>
              <w:t>ac</w:t>
            </w:r>
            <w:r w:rsidR="009675D9" w:rsidRPr="009675D9">
              <w:rPr>
                <w:rFonts w:ascii="Open Sans Light" w:hAnsi="Open Sans Light" w:cs="Open Sans Light"/>
                <w:sz w:val="16"/>
                <w:szCs w:val="16"/>
              </w:rPr>
              <w:t>knowledges that states incur different costs for different types of offences and there are some differences in the way states collect data. However, it is currently not aware of any evidence suggesting that these differences are having a material impact on its estimate of states’ police expense need</w:t>
            </w:r>
            <w:r w:rsidR="00A76F5C">
              <w:rPr>
                <w:rFonts w:ascii="Open Sans Light" w:hAnsi="Open Sans Light" w:cs="Open Sans Light"/>
                <w:sz w:val="16"/>
                <w:szCs w:val="16"/>
              </w:rPr>
              <w:t>s.</w:t>
            </w:r>
          </w:p>
        </w:tc>
      </w:tr>
      <w:tr w:rsidR="000322B4" w:rsidRPr="000322B4" w14:paraId="19420A50" w14:textId="77777777" w:rsidTr="00EB10C2">
        <w:trPr>
          <w:trHeight w:val="1700"/>
        </w:trPr>
        <w:tc>
          <w:tcPr>
            <w:tcW w:w="1500" w:type="dxa"/>
            <w:tcBorders>
              <w:top w:val="nil"/>
              <w:left w:val="nil"/>
              <w:bottom w:val="single" w:sz="4" w:space="0" w:color="ADD6EA"/>
              <w:right w:val="nil"/>
            </w:tcBorders>
            <w:hideMark/>
          </w:tcPr>
          <w:p w14:paraId="4E1C9963" w14:textId="77777777"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Criminal courts</w:t>
            </w:r>
          </w:p>
        </w:tc>
        <w:tc>
          <w:tcPr>
            <w:tcW w:w="7856" w:type="dxa"/>
            <w:tcBorders>
              <w:top w:val="nil"/>
              <w:left w:val="nil"/>
              <w:bottom w:val="single" w:sz="4" w:space="0" w:color="ADD6EA"/>
              <w:right w:val="nil"/>
            </w:tcBorders>
            <w:hideMark/>
          </w:tcPr>
          <w:p w14:paraId="3A355417" w14:textId="630A73A0"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 xml:space="preserve">Victoria </w:t>
            </w:r>
            <w:r w:rsidR="00713E3C">
              <w:rPr>
                <w:rFonts w:ascii="Open Sans Light" w:eastAsia="Times New Roman" w:hAnsi="Open Sans Light" w:cs="Open Sans Light"/>
                <w:color w:val="000000"/>
                <w:sz w:val="16"/>
                <w:szCs w:val="16"/>
                <w:lang w:eastAsia="en-AU"/>
              </w:rPr>
              <w:t>-</w:t>
            </w:r>
            <w:r w:rsidRPr="000322B4">
              <w:rPr>
                <w:rFonts w:ascii="Open Sans Light" w:eastAsia="Times New Roman" w:hAnsi="Open Sans Light" w:cs="Open Sans Light"/>
                <w:color w:val="000000"/>
                <w:sz w:val="16"/>
                <w:szCs w:val="16"/>
                <w:lang w:eastAsia="en-AU"/>
              </w:rPr>
              <w:t xml:space="preserve"> the national dataset relating to socio</w:t>
            </w:r>
            <w:r w:rsidR="006D0C32">
              <w:rPr>
                <w:rFonts w:ascii="Open Sans Light" w:eastAsia="Times New Roman" w:hAnsi="Open Sans Light" w:cs="Open Sans Light"/>
                <w:color w:val="000000"/>
                <w:sz w:val="16"/>
                <w:szCs w:val="16"/>
                <w:lang w:eastAsia="en-AU"/>
              </w:rPr>
              <w:t>-</w:t>
            </w:r>
            <w:r w:rsidRPr="000322B4">
              <w:rPr>
                <w:rFonts w:ascii="Open Sans Light" w:eastAsia="Times New Roman" w:hAnsi="Open Sans Light" w:cs="Open Sans Light"/>
                <w:color w:val="000000"/>
                <w:sz w:val="16"/>
                <w:szCs w:val="16"/>
                <w:lang w:eastAsia="en-AU"/>
              </w:rPr>
              <w:t xml:space="preserve">demographic composition </w:t>
            </w:r>
            <w:r w:rsidR="00FE6012">
              <w:rPr>
                <w:rFonts w:ascii="Open Sans Light" w:eastAsia="Times New Roman" w:hAnsi="Open Sans Light" w:cs="Open Sans Light"/>
                <w:color w:val="000000"/>
                <w:sz w:val="16"/>
                <w:szCs w:val="16"/>
                <w:lang w:eastAsia="en-AU"/>
              </w:rPr>
              <w:t xml:space="preserve">of </w:t>
            </w:r>
            <w:r w:rsidRPr="000322B4">
              <w:rPr>
                <w:rFonts w:ascii="Open Sans Light" w:eastAsia="Times New Roman" w:hAnsi="Open Sans Light" w:cs="Open Sans Light"/>
                <w:color w:val="000000"/>
                <w:sz w:val="16"/>
                <w:szCs w:val="16"/>
                <w:lang w:eastAsia="en-AU"/>
              </w:rPr>
              <w:t xml:space="preserve">finalisations </w:t>
            </w:r>
            <w:r w:rsidR="000C5E93">
              <w:rPr>
                <w:rFonts w:ascii="Open Sans Light" w:eastAsia="Times New Roman" w:hAnsi="Open Sans Light" w:cs="Open Sans Light"/>
                <w:color w:val="000000"/>
                <w:sz w:val="16"/>
                <w:szCs w:val="16"/>
                <w:lang w:eastAsia="en-AU"/>
              </w:rPr>
              <w:t xml:space="preserve">and regional cost data </w:t>
            </w:r>
            <w:r w:rsidRPr="000322B4">
              <w:rPr>
                <w:rFonts w:ascii="Open Sans Light" w:eastAsia="Times New Roman" w:hAnsi="Open Sans Light" w:cs="Open Sans Light"/>
                <w:color w:val="000000"/>
                <w:sz w:val="16"/>
                <w:szCs w:val="16"/>
                <w:lang w:eastAsia="en-AU"/>
              </w:rPr>
              <w:t xml:space="preserve">is incomplete and likely </w:t>
            </w:r>
            <w:r w:rsidR="00E66B0C">
              <w:rPr>
                <w:rFonts w:ascii="Open Sans Light" w:eastAsia="Times New Roman" w:hAnsi="Open Sans Light" w:cs="Open Sans Light"/>
                <w:color w:val="000000"/>
                <w:sz w:val="16"/>
                <w:szCs w:val="16"/>
                <w:lang w:eastAsia="en-AU"/>
              </w:rPr>
              <w:t>distort the assessment</w:t>
            </w:r>
            <w:r w:rsidR="001366F2">
              <w:rPr>
                <w:rFonts w:ascii="Open Sans Light" w:eastAsia="Times New Roman" w:hAnsi="Open Sans Light" w:cs="Open Sans Light"/>
                <w:color w:val="000000"/>
                <w:sz w:val="16"/>
                <w:szCs w:val="16"/>
                <w:lang w:eastAsia="en-AU"/>
              </w:rPr>
              <w:t>. I</w:t>
            </w:r>
            <w:r w:rsidRPr="000322B4">
              <w:rPr>
                <w:rFonts w:ascii="Open Sans Light" w:eastAsia="Times New Roman" w:hAnsi="Open Sans Light" w:cs="Open Sans Light"/>
                <w:color w:val="000000"/>
                <w:sz w:val="16"/>
                <w:szCs w:val="16"/>
                <w:lang w:eastAsia="en-AU"/>
              </w:rPr>
              <w:t xml:space="preserve">f data availability is the same as </w:t>
            </w:r>
            <w:r w:rsidR="001051B8" w:rsidRPr="001051B8">
              <w:rPr>
                <w:rFonts w:ascii="Open Sans Light" w:eastAsia="Times New Roman" w:hAnsi="Open Sans Light" w:cs="Open Sans Light"/>
                <w:color w:val="000000"/>
                <w:sz w:val="16"/>
                <w:szCs w:val="16"/>
                <w:lang w:eastAsia="en-AU"/>
              </w:rPr>
              <w:t>for</w:t>
            </w:r>
            <w:r w:rsidRPr="000322B4">
              <w:rPr>
                <w:rFonts w:ascii="Open Sans Light" w:eastAsia="Times New Roman" w:hAnsi="Open Sans Light" w:cs="Open Sans Light"/>
                <w:color w:val="000000"/>
                <w:sz w:val="16"/>
                <w:szCs w:val="16"/>
                <w:lang w:eastAsia="en-AU"/>
              </w:rPr>
              <w:t xml:space="preserve"> the 2020 </w:t>
            </w:r>
            <w:r w:rsidR="000F1358">
              <w:rPr>
                <w:rFonts w:ascii="Open Sans Light" w:eastAsia="Times New Roman" w:hAnsi="Open Sans Light" w:cs="Open Sans Light"/>
                <w:color w:val="000000"/>
                <w:sz w:val="16"/>
                <w:szCs w:val="16"/>
                <w:lang w:eastAsia="en-AU"/>
              </w:rPr>
              <w:t>Review</w:t>
            </w:r>
            <w:r w:rsidRPr="000322B4">
              <w:rPr>
                <w:rFonts w:ascii="Open Sans Light" w:eastAsia="Times New Roman" w:hAnsi="Open Sans Light" w:cs="Open Sans Light"/>
                <w:color w:val="000000"/>
                <w:sz w:val="16"/>
                <w:szCs w:val="16"/>
                <w:lang w:eastAsia="en-AU"/>
              </w:rPr>
              <w:t>, a</w:t>
            </w:r>
            <w:r w:rsidR="00223645">
              <w:rPr>
                <w:rFonts w:ascii="Open Sans Light" w:eastAsia="Times New Roman" w:hAnsi="Open Sans Light" w:cs="Open Sans Light"/>
                <w:color w:val="000000"/>
                <w:sz w:val="16"/>
                <w:szCs w:val="16"/>
                <w:lang w:eastAsia="en-AU"/>
              </w:rPr>
              <w:t>pply</w:t>
            </w:r>
            <w:r w:rsidRPr="000322B4">
              <w:rPr>
                <w:rFonts w:ascii="Open Sans Light" w:eastAsia="Times New Roman" w:hAnsi="Open Sans Light" w:cs="Open Sans Light"/>
                <w:color w:val="000000"/>
                <w:sz w:val="16"/>
                <w:szCs w:val="16"/>
                <w:lang w:eastAsia="en-AU"/>
              </w:rPr>
              <w:t xml:space="preserve"> </w:t>
            </w:r>
            <w:r w:rsidR="002F3391">
              <w:rPr>
                <w:rFonts w:ascii="Open Sans Light" w:eastAsia="Times New Roman" w:hAnsi="Open Sans Light" w:cs="Open Sans Light"/>
                <w:color w:val="000000"/>
                <w:sz w:val="16"/>
                <w:szCs w:val="16"/>
                <w:lang w:eastAsia="en-AU"/>
              </w:rPr>
              <w:t>a</w:t>
            </w:r>
            <w:r w:rsidRPr="000322B4">
              <w:rPr>
                <w:rFonts w:ascii="Open Sans Light" w:eastAsia="Times New Roman" w:hAnsi="Open Sans Light" w:cs="Open Sans Light"/>
                <w:color w:val="000000"/>
                <w:sz w:val="16"/>
                <w:szCs w:val="16"/>
                <w:lang w:eastAsia="en-AU"/>
              </w:rPr>
              <w:t xml:space="preserve"> 50% discount</w:t>
            </w:r>
            <w:r w:rsidR="00223645">
              <w:rPr>
                <w:rFonts w:ascii="Open Sans Light" w:eastAsia="Times New Roman" w:hAnsi="Open Sans Light" w:cs="Open Sans Light"/>
                <w:color w:val="000000"/>
                <w:sz w:val="16"/>
                <w:szCs w:val="16"/>
                <w:lang w:eastAsia="en-AU"/>
              </w:rPr>
              <w:t>.</w:t>
            </w:r>
            <w:r w:rsidRPr="000322B4">
              <w:rPr>
                <w:rFonts w:ascii="Open Sans Light" w:eastAsia="Times New Roman" w:hAnsi="Open Sans Light" w:cs="Open Sans Light"/>
                <w:color w:val="000000"/>
                <w:sz w:val="16"/>
                <w:szCs w:val="16"/>
                <w:lang w:eastAsia="en-AU"/>
              </w:rPr>
              <w:br/>
            </w:r>
            <w:r w:rsidRPr="000322B4">
              <w:rPr>
                <w:rFonts w:ascii="Open Sans Light" w:eastAsia="Times New Roman" w:hAnsi="Open Sans Light" w:cs="Open Sans Light"/>
                <w:color w:val="000000"/>
                <w:sz w:val="16"/>
                <w:szCs w:val="16"/>
                <w:lang w:eastAsia="en-AU"/>
              </w:rPr>
              <w:br/>
              <w:t xml:space="preserve">The ACT </w:t>
            </w:r>
            <w:r w:rsidR="007551DD">
              <w:rPr>
                <w:rFonts w:ascii="Open Sans Light" w:eastAsia="Times New Roman" w:hAnsi="Open Sans Light" w:cs="Open Sans Light"/>
                <w:color w:val="000000"/>
                <w:sz w:val="16"/>
                <w:szCs w:val="16"/>
                <w:lang w:eastAsia="en-AU"/>
              </w:rPr>
              <w:t xml:space="preserve">- </w:t>
            </w:r>
            <w:r w:rsidRPr="000322B4">
              <w:rPr>
                <w:rFonts w:ascii="Open Sans Light" w:eastAsia="Times New Roman" w:hAnsi="Open Sans Light" w:cs="Open Sans Light"/>
                <w:color w:val="000000"/>
                <w:sz w:val="16"/>
                <w:szCs w:val="16"/>
                <w:lang w:eastAsia="en-AU"/>
              </w:rPr>
              <w:t xml:space="preserve">25% discount to account for data limitations. </w:t>
            </w:r>
          </w:p>
        </w:tc>
        <w:tc>
          <w:tcPr>
            <w:tcW w:w="4819" w:type="dxa"/>
            <w:tcBorders>
              <w:top w:val="nil"/>
              <w:left w:val="nil"/>
              <w:bottom w:val="single" w:sz="4" w:space="0" w:color="ADD6EA"/>
              <w:right w:val="nil"/>
            </w:tcBorders>
            <w:hideMark/>
          </w:tcPr>
          <w:p w14:paraId="2AE7CA20" w14:textId="47FD9629" w:rsidR="000322B4" w:rsidRPr="000322B4" w:rsidRDefault="008640DB" w:rsidP="000322B4">
            <w:pPr>
              <w:spacing w:after="0"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The Commission consider</w:t>
            </w:r>
            <w:r w:rsidR="007A1A9A">
              <w:rPr>
                <w:rFonts w:ascii="Open Sans Light" w:eastAsia="Times New Roman" w:hAnsi="Open Sans Light" w:cs="Open Sans Light"/>
                <w:color w:val="000000"/>
                <w:sz w:val="16"/>
                <w:szCs w:val="16"/>
                <w:lang w:eastAsia="en-AU"/>
              </w:rPr>
              <w:t>s</w:t>
            </w:r>
            <w:r>
              <w:rPr>
                <w:rFonts w:ascii="Open Sans Light" w:eastAsia="Times New Roman" w:hAnsi="Open Sans Light" w:cs="Open Sans Light"/>
                <w:color w:val="000000"/>
                <w:sz w:val="16"/>
                <w:szCs w:val="16"/>
                <w:lang w:eastAsia="en-AU"/>
              </w:rPr>
              <w:t xml:space="preserve"> the defendant data provided by all states to be </w:t>
            </w:r>
            <w:r w:rsidR="002D1F56">
              <w:rPr>
                <w:rFonts w:ascii="Open Sans Light" w:eastAsia="Times New Roman" w:hAnsi="Open Sans Light" w:cs="Open Sans Light"/>
                <w:color w:val="000000"/>
                <w:sz w:val="16"/>
                <w:szCs w:val="16"/>
                <w:lang w:eastAsia="en-AU"/>
              </w:rPr>
              <w:t>fit for purpose</w:t>
            </w:r>
            <w:r>
              <w:rPr>
                <w:rFonts w:ascii="Open Sans Light" w:eastAsia="Times New Roman" w:hAnsi="Open Sans Light" w:cs="Open Sans Light"/>
                <w:color w:val="000000"/>
                <w:sz w:val="16"/>
                <w:szCs w:val="16"/>
                <w:lang w:eastAsia="en-AU"/>
              </w:rPr>
              <w:t xml:space="preserve"> for use in the assessment.</w:t>
            </w:r>
            <w:r w:rsidR="00F429DE">
              <w:rPr>
                <w:rFonts w:ascii="Open Sans Light" w:eastAsia="Times New Roman" w:hAnsi="Open Sans Light" w:cs="Open Sans Light"/>
                <w:color w:val="000000"/>
                <w:sz w:val="16"/>
                <w:szCs w:val="16"/>
                <w:lang w:eastAsia="en-AU"/>
              </w:rPr>
              <w:t xml:space="preserve"> </w:t>
            </w:r>
          </w:p>
        </w:tc>
      </w:tr>
      <w:tr w:rsidR="000322B4" w:rsidRPr="000322B4" w14:paraId="1E7D3FE0" w14:textId="77777777" w:rsidTr="008F47F1">
        <w:trPr>
          <w:trHeight w:val="1100"/>
        </w:trPr>
        <w:tc>
          <w:tcPr>
            <w:tcW w:w="1500" w:type="dxa"/>
            <w:tcBorders>
              <w:top w:val="nil"/>
              <w:left w:val="nil"/>
              <w:bottom w:val="single" w:sz="4" w:space="0" w:color="ADD6EA"/>
              <w:right w:val="nil"/>
            </w:tcBorders>
            <w:hideMark/>
          </w:tcPr>
          <w:p w14:paraId="15926CFE" w14:textId="77777777"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lastRenderedPageBreak/>
              <w:t>Criminal courts</w:t>
            </w:r>
          </w:p>
        </w:tc>
        <w:tc>
          <w:tcPr>
            <w:tcW w:w="7856" w:type="dxa"/>
            <w:tcBorders>
              <w:top w:val="nil"/>
              <w:left w:val="nil"/>
              <w:bottom w:val="single" w:sz="4" w:space="0" w:color="ADD6EA"/>
              <w:right w:val="nil"/>
            </w:tcBorders>
            <w:hideMark/>
          </w:tcPr>
          <w:p w14:paraId="2D6BFC27" w14:textId="0C4259A6" w:rsidR="000322B4" w:rsidRPr="008B59C1" w:rsidRDefault="000322B4" w:rsidP="008F47F1">
            <w:pPr>
              <w:pStyle w:val="Bullet"/>
              <w:numPr>
                <w:ilvl w:val="0"/>
                <w:numId w:val="0"/>
              </w:numPr>
              <w:rPr>
                <w:rFonts w:ascii="Open Sans Light" w:hAnsi="Open Sans Light" w:cs="Open Sans Light"/>
                <w:sz w:val="16"/>
                <w:szCs w:val="16"/>
                <w:lang w:eastAsia="en-AU"/>
              </w:rPr>
            </w:pPr>
            <w:r w:rsidRPr="008B59C1">
              <w:rPr>
                <w:rFonts w:ascii="Open Sans Light" w:hAnsi="Open Sans Light" w:cs="Open Sans Light"/>
                <w:sz w:val="16"/>
                <w:szCs w:val="16"/>
                <w:lang w:eastAsia="en-AU"/>
              </w:rPr>
              <w:t xml:space="preserve">Victoria </w:t>
            </w:r>
            <w:r w:rsidR="00BD51D9">
              <w:rPr>
                <w:rFonts w:ascii="Open Sans Light" w:hAnsi="Open Sans Light" w:cs="Open Sans Light"/>
                <w:sz w:val="16"/>
                <w:szCs w:val="16"/>
                <w:lang w:eastAsia="en-AU"/>
              </w:rPr>
              <w:t xml:space="preserve">- </w:t>
            </w:r>
            <w:r w:rsidR="006C386E">
              <w:rPr>
                <w:rFonts w:ascii="Open Sans Light" w:hAnsi="Open Sans Light" w:cs="Open Sans Light"/>
                <w:sz w:val="16"/>
                <w:szCs w:val="16"/>
                <w:lang w:eastAsia="en-AU"/>
              </w:rPr>
              <w:t>if</w:t>
            </w:r>
            <w:r w:rsidRPr="008B59C1">
              <w:rPr>
                <w:rFonts w:ascii="Open Sans Light" w:hAnsi="Open Sans Light" w:cs="Open Sans Light"/>
                <w:sz w:val="16"/>
                <w:szCs w:val="16"/>
                <w:lang w:eastAsia="en-AU"/>
              </w:rPr>
              <w:t xml:space="preserve"> a </w:t>
            </w:r>
            <w:r w:rsidR="002000FF">
              <w:rPr>
                <w:rFonts w:ascii="Open Sans Light" w:hAnsi="Open Sans Light" w:cs="Open Sans Light"/>
                <w:sz w:val="16"/>
                <w:szCs w:val="16"/>
                <w:lang w:eastAsia="en-AU"/>
              </w:rPr>
              <w:t xml:space="preserve">new </w:t>
            </w:r>
            <w:r w:rsidRPr="008B59C1">
              <w:rPr>
                <w:rFonts w:ascii="Open Sans Light" w:hAnsi="Open Sans Light" w:cs="Open Sans Light"/>
                <w:sz w:val="16"/>
                <w:szCs w:val="16"/>
                <w:lang w:eastAsia="en-AU"/>
              </w:rPr>
              <w:t xml:space="preserve">methodology </w:t>
            </w:r>
            <w:r w:rsidR="00F9670B">
              <w:rPr>
                <w:rFonts w:ascii="Open Sans Light" w:hAnsi="Open Sans Light" w:cs="Open Sans Light"/>
                <w:sz w:val="16"/>
                <w:szCs w:val="16"/>
                <w:lang w:eastAsia="en-AU"/>
              </w:rPr>
              <w:t xml:space="preserve">that </w:t>
            </w:r>
            <w:r w:rsidRPr="008B59C1">
              <w:rPr>
                <w:rFonts w:ascii="Open Sans Light" w:hAnsi="Open Sans Light" w:cs="Open Sans Light"/>
                <w:sz w:val="16"/>
                <w:szCs w:val="16"/>
                <w:lang w:eastAsia="en-AU"/>
              </w:rPr>
              <w:t>better explain</w:t>
            </w:r>
            <w:r w:rsidR="00CB3663">
              <w:rPr>
                <w:rFonts w:ascii="Open Sans Light" w:hAnsi="Open Sans Light" w:cs="Open Sans Light"/>
                <w:sz w:val="16"/>
                <w:szCs w:val="16"/>
                <w:lang w:eastAsia="en-AU"/>
              </w:rPr>
              <w:t>s</w:t>
            </w:r>
            <w:r w:rsidRPr="008B59C1">
              <w:rPr>
                <w:rFonts w:ascii="Open Sans Light" w:hAnsi="Open Sans Light" w:cs="Open Sans Light"/>
                <w:sz w:val="16"/>
                <w:szCs w:val="16"/>
                <w:lang w:eastAsia="en-AU"/>
              </w:rPr>
              <w:t xml:space="preserve"> the variability in expenditure between states</w:t>
            </w:r>
            <w:r w:rsidR="00F9670B">
              <w:rPr>
                <w:rFonts w:ascii="Open Sans Light" w:hAnsi="Open Sans Light" w:cs="Open Sans Light"/>
                <w:sz w:val="16"/>
                <w:szCs w:val="16"/>
                <w:lang w:eastAsia="en-AU"/>
              </w:rPr>
              <w:t xml:space="preserve"> is not </w:t>
            </w:r>
            <w:r w:rsidR="00CF53D4">
              <w:rPr>
                <w:rFonts w:ascii="Open Sans Light" w:hAnsi="Open Sans Light" w:cs="Open Sans Light"/>
                <w:sz w:val="16"/>
                <w:szCs w:val="16"/>
                <w:lang w:eastAsia="en-AU"/>
              </w:rPr>
              <w:t>deve</w:t>
            </w:r>
            <w:r w:rsidR="00CB742B">
              <w:rPr>
                <w:rFonts w:ascii="Open Sans Light" w:hAnsi="Open Sans Light" w:cs="Open Sans Light"/>
                <w:sz w:val="16"/>
                <w:szCs w:val="16"/>
                <w:lang w:eastAsia="en-AU"/>
              </w:rPr>
              <w:t>loped</w:t>
            </w:r>
            <w:r w:rsidR="00DE5BDC">
              <w:rPr>
                <w:rFonts w:ascii="Open Sans Light" w:hAnsi="Open Sans Light" w:cs="Open Sans Light"/>
                <w:sz w:val="16"/>
                <w:szCs w:val="16"/>
                <w:lang w:eastAsia="en-AU"/>
              </w:rPr>
              <w:t xml:space="preserve">, </w:t>
            </w:r>
            <w:r w:rsidR="00753B6F">
              <w:rPr>
                <w:rFonts w:ascii="Open Sans Light" w:hAnsi="Open Sans Light" w:cs="Open Sans Light"/>
                <w:sz w:val="16"/>
                <w:szCs w:val="16"/>
                <w:lang w:eastAsia="en-AU"/>
              </w:rPr>
              <w:t>a</w:t>
            </w:r>
            <w:r w:rsidRPr="008B59C1">
              <w:rPr>
                <w:rFonts w:ascii="Open Sans Light" w:hAnsi="Open Sans Light" w:cs="Open Sans Light"/>
                <w:sz w:val="16"/>
                <w:szCs w:val="16"/>
                <w:lang w:eastAsia="en-AU"/>
              </w:rPr>
              <w:t xml:space="preserve"> discount</w:t>
            </w:r>
            <w:r w:rsidR="000812DC">
              <w:rPr>
                <w:rFonts w:ascii="Open Sans Light" w:hAnsi="Open Sans Light" w:cs="Open Sans Light"/>
                <w:sz w:val="16"/>
                <w:szCs w:val="16"/>
                <w:lang w:eastAsia="en-AU"/>
              </w:rPr>
              <w:t xml:space="preserve"> should be applied to </w:t>
            </w:r>
            <w:r w:rsidRPr="008B59C1">
              <w:rPr>
                <w:rFonts w:ascii="Open Sans Light" w:hAnsi="Open Sans Light" w:cs="Open Sans Light"/>
                <w:sz w:val="16"/>
                <w:szCs w:val="16"/>
                <w:lang w:eastAsia="en-AU"/>
              </w:rPr>
              <w:t xml:space="preserve">account for the lack of adequately descriptive </w:t>
            </w:r>
            <w:r w:rsidR="000812DC">
              <w:rPr>
                <w:rFonts w:ascii="Open Sans Light" w:hAnsi="Open Sans Light" w:cs="Open Sans Light"/>
                <w:sz w:val="16"/>
                <w:szCs w:val="16"/>
                <w:lang w:eastAsia="en-AU"/>
              </w:rPr>
              <w:t>data.</w:t>
            </w:r>
          </w:p>
        </w:tc>
        <w:tc>
          <w:tcPr>
            <w:tcW w:w="4819" w:type="dxa"/>
            <w:tcBorders>
              <w:top w:val="nil"/>
              <w:left w:val="nil"/>
              <w:bottom w:val="single" w:sz="4" w:space="0" w:color="ADD6EA"/>
              <w:right w:val="nil"/>
            </w:tcBorders>
            <w:hideMark/>
          </w:tcPr>
          <w:p w14:paraId="22B540A2" w14:textId="3E417947" w:rsidR="000322B4" w:rsidRPr="000322B4" w:rsidRDefault="00F90128" w:rsidP="000322B4">
            <w:pPr>
              <w:spacing w:after="0" w:line="240" w:lineRule="auto"/>
              <w:rPr>
                <w:rFonts w:ascii="Open Sans Light" w:eastAsia="Times New Roman" w:hAnsi="Open Sans Light" w:cs="Open Sans Light"/>
                <w:color w:val="000000"/>
                <w:sz w:val="16"/>
                <w:szCs w:val="16"/>
                <w:lang w:eastAsia="en-AU"/>
              </w:rPr>
            </w:pPr>
            <w:r>
              <w:rPr>
                <w:rFonts w:ascii="Open Sans Light" w:hAnsi="Open Sans Light" w:cs="Open Sans Light"/>
                <w:sz w:val="16"/>
                <w:szCs w:val="16"/>
              </w:rPr>
              <w:t>The</w:t>
            </w:r>
            <w:r w:rsidR="00616E34">
              <w:rPr>
                <w:rFonts w:ascii="Open Sans Light" w:hAnsi="Open Sans Light" w:cs="Open Sans Light"/>
                <w:sz w:val="16"/>
                <w:szCs w:val="16"/>
              </w:rPr>
              <w:t xml:space="preserve"> Commission consider</w:t>
            </w:r>
            <w:r w:rsidR="00DB320D">
              <w:rPr>
                <w:rFonts w:ascii="Open Sans Light" w:hAnsi="Open Sans Light" w:cs="Open Sans Light"/>
                <w:sz w:val="16"/>
                <w:szCs w:val="16"/>
              </w:rPr>
              <w:t>s</w:t>
            </w:r>
            <w:r w:rsidR="00616E34">
              <w:rPr>
                <w:rFonts w:ascii="Open Sans Light" w:hAnsi="Open Sans Light" w:cs="Open Sans Light"/>
                <w:sz w:val="16"/>
                <w:szCs w:val="16"/>
              </w:rPr>
              <w:t xml:space="preserve"> the </w:t>
            </w:r>
            <w:r w:rsidR="00F74896">
              <w:rPr>
                <w:rFonts w:ascii="Open Sans Light" w:hAnsi="Open Sans Light" w:cs="Open Sans Light"/>
                <w:sz w:val="16"/>
                <w:szCs w:val="16"/>
              </w:rPr>
              <w:t xml:space="preserve">use and </w:t>
            </w:r>
            <w:r w:rsidR="00616E34">
              <w:rPr>
                <w:rFonts w:ascii="Open Sans Light" w:hAnsi="Open Sans Light" w:cs="Open Sans Light"/>
                <w:sz w:val="16"/>
                <w:szCs w:val="16"/>
              </w:rPr>
              <w:t>cost data provided by states to be fit for purpose and representative</w:t>
            </w:r>
            <w:r w:rsidR="000F7F6B">
              <w:rPr>
                <w:rFonts w:ascii="Open Sans Light" w:hAnsi="Open Sans Light" w:cs="Open Sans Light"/>
                <w:sz w:val="16"/>
                <w:szCs w:val="16"/>
              </w:rPr>
              <w:t xml:space="preserve">. However, the proposal to remove the regional gradient in courts </w:t>
            </w:r>
            <w:r w:rsidR="00490891">
              <w:rPr>
                <w:rFonts w:ascii="Open Sans Light" w:hAnsi="Open Sans Light" w:cs="Open Sans Light"/>
                <w:sz w:val="16"/>
                <w:szCs w:val="16"/>
              </w:rPr>
              <w:t xml:space="preserve">and the other legal services components </w:t>
            </w:r>
            <w:r w:rsidR="00800C6B">
              <w:rPr>
                <w:rFonts w:ascii="Open Sans Light" w:hAnsi="Open Sans Light" w:cs="Open Sans Light"/>
                <w:sz w:val="16"/>
                <w:szCs w:val="16"/>
              </w:rPr>
              <w:t xml:space="preserve">means that cost data are no longer </w:t>
            </w:r>
            <w:r w:rsidR="00490891">
              <w:rPr>
                <w:rFonts w:ascii="Open Sans Light" w:hAnsi="Open Sans Light" w:cs="Open Sans Light"/>
                <w:sz w:val="16"/>
                <w:szCs w:val="16"/>
              </w:rPr>
              <w:t>used.</w:t>
            </w:r>
          </w:p>
        </w:tc>
      </w:tr>
      <w:tr w:rsidR="000322B4" w:rsidRPr="000322B4" w14:paraId="2606FA95" w14:textId="77777777" w:rsidTr="00EB10C2">
        <w:trPr>
          <w:trHeight w:val="2714"/>
        </w:trPr>
        <w:tc>
          <w:tcPr>
            <w:tcW w:w="1500" w:type="dxa"/>
            <w:tcBorders>
              <w:top w:val="nil"/>
              <w:left w:val="nil"/>
              <w:bottom w:val="single" w:sz="4" w:space="0" w:color="ADD6EA"/>
              <w:right w:val="nil"/>
            </w:tcBorders>
            <w:hideMark/>
          </w:tcPr>
          <w:p w14:paraId="4608309E" w14:textId="77777777"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Prisons</w:t>
            </w:r>
          </w:p>
        </w:tc>
        <w:tc>
          <w:tcPr>
            <w:tcW w:w="7856" w:type="dxa"/>
            <w:tcBorders>
              <w:top w:val="nil"/>
              <w:left w:val="nil"/>
              <w:bottom w:val="single" w:sz="4" w:space="0" w:color="ADD6EA"/>
              <w:right w:val="nil"/>
            </w:tcBorders>
            <w:hideMark/>
          </w:tcPr>
          <w:p w14:paraId="433DF8BC" w14:textId="6F331D73"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 xml:space="preserve">New South Wales </w:t>
            </w:r>
            <w:r w:rsidR="002A4577">
              <w:rPr>
                <w:rFonts w:ascii="Open Sans Light" w:eastAsia="Times New Roman" w:hAnsi="Open Sans Light" w:cs="Open Sans Light"/>
                <w:color w:val="000000"/>
                <w:sz w:val="16"/>
                <w:szCs w:val="16"/>
                <w:lang w:eastAsia="en-AU"/>
              </w:rPr>
              <w:t>–</w:t>
            </w:r>
            <w:r w:rsidR="002D71BC">
              <w:rPr>
                <w:rFonts w:ascii="Open Sans Light" w:eastAsia="Times New Roman" w:hAnsi="Open Sans Light" w:cs="Open Sans Light"/>
                <w:color w:val="000000"/>
                <w:sz w:val="16"/>
                <w:szCs w:val="16"/>
                <w:lang w:eastAsia="en-AU"/>
              </w:rPr>
              <w:t xml:space="preserve"> </w:t>
            </w:r>
            <w:r w:rsidR="002A4577">
              <w:rPr>
                <w:rFonts w:ascii="Open Sans Light" w:eastAsia="Times New Roman" w:hAnsi="Open Sans Light" w:cs="Open Sans Light"/>
                <w:color w:val="000000"/>
                <w:sz w:val="16"/>
                <w:szCs w:val="16"/>
                <w:lang w:eastAsia="en-AU"/>
              </w:rPr>
              <w:t>apply a 50% discount to the</w:t>
            </w:r>
            <w:r w:rsidR="002D71BC">
              <w:rPr>
                <w:rFonts w:ascii="Open Sans Light" w:eastAsia="Times New Roman" w:hAnsi="Open Sans Light" w:cs="Open Sans Light"/>
                <w:color w:val="000000"/>
                <w:sz w:val="16"/>
                <w:szCs w:val="16"/>
                <w:lang w:eastAsia="en-AU"/>
              </w:rPr>
              <w:t xml:space="preserve"> general service delivery</w:t>
            </w:r>
            <w:r w:rsidR="004E369C">
              <w:rPr>
                <w:rFonts w:ascii="Open Sans Light" w:eastAsia="Times New Roman" w:hAnsi="Open Sans Light" w:cs="Open Sans Light"/>
                <w:color w:val="000000"/>
                <w:sz w:val="16"/>
                <w:szCs w:val="16"/>
                <w:lang w:eastAsia="en-AU"/>
              </w:rPr>
              <w:t xml:space="preserve"> </w:t>
            </w:r>
            <w:r w:rsidRPr="000322B4">
              <w:rPr>
                <w:rFonts w:ascii="Open Sans Light" w:eastAsia="Times New Roman" w:hAnsi="Open Sans Light" w:cs="Open Sans Light"/>
                <w:color w:val="000000"/>
                <w:sz w:val="16"/>
                <w:szCs w:val="16"/>
                <w:lang w:eastAsia="en-AU"/>
              </w:rPr>
              <w:t xml:space="preserve">scale gradient </w:t>
            </w:r>
            <w:r w:rsidR="00432A1A">
              <w:rPr>
                <w:rFonts w:ascii="Open Sans Light" w:eastAsia="Times New Roman" w:hAnsi="Open Sans Light" w:cs="Open Sans Light"/>
                <w:color w:val="000000"/>
                <w:sz w:val="16"/>
                <w:szCs w:val="16"/>
                <w:lang w:eastAsia="en-AU"/>
              </w:rPr>
              <w:t>to</w:t>
            </w:r>
            <w:r w:rsidRPr="000322B4">
              <w:rPr>
                <w:rFonts w:ascii="Open Sans Light" w:eastAsia="Times New Roman" w:hAnsi="Open Sans Light" w:cs="Open Sans Light"/>
                <w:color w:val="000000"/>
                <w:sz w:val="16"/>
                <w:szCs w:val="16"/>
                <w:lang w:eastAsia="en-AU"/>
              </w:rPr>
              <w:t xml:space="preserve"> acknowledge that economies of scale in health and education sectors do not apply to justice. NSW proposed (in its tranche 1 submission), as an alternative to replacing the remoteness variable in prisons with a major </w:t>
            </w:r>
            <w:proofErr w:type="gramStart"/>
            <w:r w:rsidRPr="000322B4">
              <w:rPr>
                <w:rFonts w:ascii="Open Sans Light" w:eastAsia="Times New Roman" w:hAnsi="Open Sans Light" w:cs="Open Sans Light"/>
                <w:color w:val="000000"/>
                <w:sz w:val="16"/>
                <w:szCs w:val="16"/>
                <w:lang w:eastAsia="en-AU"/>
              </w:rPr>
              <w:t>cities</w:t>
            </w:r>
            <w:proofErr w:type="gramEnd"/>
            <w:r w:rsidRPr="000322B4">
              <w:rPr>
                <w:rFonts w:ascii="Open Sans Light" w:eastAsia="Times New Roman" w:hAnsi="Open Sans Light" w:cs="Open Sans Light"/>
                <w:color w:val="000000"/>
                <w:sz w:val="16"/>
                <w:szCs w:val="16"/>
                <w:lang w:eastAsia="en-AU"/>
              </w:rPr>
              <w:t xml:space="preserve"> variable, to discount the remoteness and service delivery scale effects to recognise the standard errors and uncertainty in the remote cost model. </w:t>
            </w:r>
            <w:r w:rsidRPr="000322B4">
              <w:rPr>
                <w:rFonts w:ascii="Open Sans Light" w:eastAsia="Times New Roman" w:hAnsi="Open Sans Light" w:cs="Open Sans Light"/>
                <w:color w:val="000000"/>
                <w:sz w:val="16"/>
                <w:szCs w:val="16"/>
                <w:lang w:eastAsia="en-AU"/>
              </w:rPr>
              <w:br/>
            </w:r>
            <w:r w:rsidRPr="000322B4">
              <w:rPr>
                <w:rFonts w:ascii="Open Sans Light" w:eastAsia="Times New Roman" w:hAnsi="Open Sans Light" w:cs="Open Sans Light"/>
                <w:color w:val="000000"/>
                <w:sz w:val="16"/>
                <w:szCs w:val="16"/>
                <w:lang w:eastAsia="en-AU"/>
              </w:rPr>
              <w:br/>
              <w:t xml:space="preserve">Victoria </w:t>
            </w:r>
            <w:r w:rsidR="00135B7C">
              <w:rPr>
                <w:rFonts w:ascii="Open Sans Light" w:eastAsia="Times New Roman" w:hAnsi="Open Sans Light" w:cs="Open Sans Light"/>
                <w:color w:val="000000"/>
                <w:sz w:val="16"/>
                <w:szCs w:val="16"/>
                <w:lang w:eastAsia="en-AU"/>
              </w:rPr>
              <w:t>–</w:t>
            </w:r>
            <w:r w:rsidR="00974677">
              <w:rPr>
                <w:rFonts w:ascii="Open Sans Light" w:eastAsia="Times New Roman" w:hAnsi="Open Sans Light" w:cs="Open Sans Light"/>
                <w:color w:val="000000"/>
                <w:sz w:val="16"/>
                <w:szCs w:val="16"/>
                <w:lang w:eastAsia="en-AU"/>
              </w:rPr>
              <w:t xml:space="preserve"> if </w:t>
            </w:r>
            <w:r w:rsidR="00881316">
              <w:rPr>
                <w:rFonts w:ascii="Open Sans Light" w:eastAsia="Times New Roman" w:hAnsi="Open Sans Light" w:cs="Open Sans Light"/>
                <w:color w:val="000000"/>
                <w:sz w:val="16"/>
                <w:szCs w:val="16"/>
                <w:lang w:eastAsia="en-AU"/>
              </w:rPr>
              <w:t>service delivery scale or regional costs gradient is applied</w:t>
            </w:r>
            <w:r w:rsidR="00D408C0">
              <w:rPr>
                <w:rFonts w:ascii="Open Sans Light" w:eastAsia="Times New Roman" w:hAnsi="Open Sans Light" w:cs="Open Sans Light"/>
                <w:color w:val="000000"/>
                <w:sz w:val="16"/>
                <w:szCs w:val="16"/>
                <w:lang w:eastAsia="en-AU"/>
              </w:rPr>
              <w:t xml:space="preserve"> apply high discount </w:t>
            </w:r>
            <w:r w:rsidR="00135B7C">
              <w:rPr>
                <w:rFonts w:ascii="Open Sans Light" w:eastAsia="Times New Roman" w:hAnsi="Open Sans Light" w:cs="Open Sans Light"/>
                <w:color w:val="000000"/>
                <w:sz w:val="16"/>
                <w:szCs w:val="16"/>
                <w:lang w:eastAsia="en-AU"/>
              </w:rPr>
              <w:t>to account for the</w:t>
            </w:r>
            <w:r w:rsidRPr="000322B4">
              <w:rPr>
                <w:rFonts w:ascii="Open Sans Light" w:eastAsia="Times New Roman" w:hAnsi="Open Sans Light" w:cs="Open Sans Light"/>
                <w:color w:val="000000"/>
                <w:sz w:val="16"/>
                <w:szCs w:val="16"/>
                <w:lang w:eastAsia="en-AU"/>
              </w:rPr>
              <w:t xml:space="preserve"> weak conceptual case and lack of robust evidence</w:t>
            </w:r>
            <w:r w:rsidR="00D86F19">
              <w:rPr>
                <w:rFonts w:ascii="Open Sans Light" w:eastAsia="Times New Roman" w:hAnsi="Open Sans Light" w:cs="Open Sans Light"/>
                <w:color w:val="000000"/>
                <w:sz w:val="16"/>
                <w:szCs w:val="16"/>
                <w:lang w:eastAsia="en-AU"/>
              </w:rPr>
              <w:t>.</w:t>
            </w:r>
            <w:r w:rsidR="00974677">
              <w:rPr>
                <w:rFonts w:ascii="Open Sans Light" w:eastAsia="Times New Roman" w:hAnsi="Open Sans Light" w:cs="Open Sans Light"/>
                <w:color w:val="000000"/>
                <w:sz w:val="16"/>
                <w:szCs w:val="16"/>
                <w:lang w:eastAsia="en-AU"/>
              </w:rPr>
              <w:t xml:space="preserve"> </w:t>
            </w:r>
            <w:r w:rsidRPr="000322B4">
              <w:rPr>
                <w:rFonts w:ascii="Open Sans Light" w:eastAsia="Times New Roman" w:hAnsi="Open Sans Light" w:cs="Open Sans Light"/>
                <w:color w:val="000000"/>
                <w:sz w:val="16"/>
                <w:szCs w:val="16"/>
                <w:lang w:eastAsia="en-AU"/>
              </w:rPr>
              <w:br/>
            </w:r>
            <w:r w:rsidRPr="000322B4">
              <w:rPr>
                <w:rFonts w:ascii="Open Sans Light" w:eastAsia="Times New Roman" w:hAnsi="Open Sans Light" w:cs="Open Sans Light"/>
                <w:color w:val="000000"/>
                <w:sz w:val="16"/>
                <w:szCs w:val="16"/>
                <w:lang w:eastAsia="en-AU"/>
              </w:rPr>
              <w:br/>
              <w:t>The ACT</w:t>
            </w:r>
            <w:r w:rsidR="009F4515">
              <w:rPr>
                <w:rFonts w:ascii="Open Sans Light" w:eastAsia="Times New Roman" w:hAnsi="Open Sans Light" w:cs="Open Sans Light"/>
                <w:color w:val="000000"/>
                <w:sz w:val="16"/>
                <w:szCs w:val="16"/>
                <w:lang w:eastAsia="en-AU"/>
              </w:rPr>
              <w:t xml:space="preserve"> – if service delivery scale </w:t>
            </w:r>
            <w:r w:rsidR="0091355A">
              <w:rPr>
                <w:rFonts w:ascii="Open Sans Light" w:eastAsia="Times New Roman" w:hAnsi="Open Sans Light" w:cs="Open Sans Light"/>
                <w:color w:val="000000"/>
                <w:sz w:val="16"/>
                <w:szCs w:val="16"/>
                <w:lang w:eastAsia="en-AU"/>
              </w:rPr>
              <w:t>gradient is applied</w:t>
            </w:r>
            <w:r w:rsidR="00FE711B">
              <w:rPr>
                <w:rFonts w:ascii="Open Sans Light" w:eastAsia="Times New Roman" w:hAnsi="Open Sans Light" w:cs="Open Sans Light"/>
                <w:color w:val="000000"/>
                <w:sz w:val="16"/>
                <w:szCs w:val="16"/>
                <w:lang w:eastAsia="en-AU"/>
              </w:rPr>
              <w:t xml:space="preserve"> apply a further discount.</w:t>
            </w:r>
          </w:p>
        </w:tc>
        <w:tc>
          <w:tcPr>
            <w:tcW w:w="4819" w:type="dxa"/>
            <w:tcBorders>
              <w:top w:val="nil"/>
              <w:left w:val="nil"/>
              <w:bottom w:val="single" w:sz="4" w:space="0" w:color="ADD6EA"/>
              <w:right w:val="nil"/>
            </w:tcBorders>
            <w:hideMark/>
          </w:tcPr>
          <w:p w14:paraId="3B7C2E3F" w14:textId="62AE64D5" w:rsidR="000322B4" w:rsidRPr="000322B4" w:rsidRDefault="00490891" w:rsidP="000322B4">
            <w:pPr>
              <w:spacing w:after="0"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 xml:space="preserve">The general </w:t>
            </w:r>
            <w:r w:rsidR="00F179DB">
              <w:rPr>
                <w:rFonts w:ascii="Open Sans Light" w:eastAsia="Times New Roman" w:hAnsi="Open Sans Light" w:cs="Open Sans Light"/>
                <w:color w:val="000000"/>
                <w:sz w:val="16"/>
                <w:szCs w:val="16"/>
                <w:lang w:eastAsia="en-AU"/>
              </w:rPr>
              <w:t xml:space="preserve">service delivery gradient is </w:t>
            </w:r>
            <w:r w:rsidR="00E01E02">
              <w:rPr>
                <w:rFonts w:ascii="Open Sans Light" w:eastAsia="Times New Roman" w:hAnsi="Open Sans Light" w:cs="Open Sans Light"/>
                <w:color w:val="000000"/>
                <w:sz w:val="16"/>
                <w:szCs w:val="16"/>
                <w:lang w:eastAsia="en-AU"/>
              </w:rPr>
              <w:t xml:space="preserve">already </w:t>
            </w:r>
            <w:r w:rsidR="00F179DB">
              <w:rPr>
                <w:rFonts w:ascii="Open Sans Light" w:eastAsia="Times New Roman" w:hAnsi="Open Sans Light" w:cs="Open Sans Light"/>
                <w:color w:val="000000"/>
                <w:sz w:val="16"/>
                <w:szCs w:val="16"/>
                <w:lang w:eastAsia="en-AU"/>
              </w:rPr>
              <w:t xml:space="preserve">discounted by 25% to account for </w:t>
            </w:r>
            <w:r w:rsidR="001848E4">
              <w:rPr>
                <w:rFonts w:ascii="Open Sans Light" w:eastAsia="Times New Roman" w:hAnsi="Open Sans Light" w:cs="Open Sans Light"/>
                <w:color w:val="000000"/>
                <w:sz w:val="16"/>
                <w:szCs w:val="16"/>
                <w:lang w:eastAsia="en-AU"/>
              </w:rPr>
              <w:t>the use of proxy data</w:t>
            </w:r>
            <w:r w:rsidR="00E01E02">
              <w:rPr>
                <w:rFonts w:ascii="Open Sans Light" w:eastAsia="Times New Roman" w:hAnsi="Open Sans Light" w:cs="Open Sans Light"/>
                <w:color w:val="000000"/>
                <w:sz w:val="16"/>
                <w:szCs w:val="16"/>
                <w:lang w:eastAsia="en-AU"/>
              </w:rPr>
              <w:t>. A further discount is not required.</w:t>
            </w:r>
          </w:p>
        </w:tc>
      </w:tr>
      <w:tr w:rsidR="000322B4" w:rsidRPr="000322B4" w14:paraId="4214A02A" w14:textId="77777777" w:rsidTr="00EB10C2">
        <w:trPr>
          <w:trHeight w:val="1220"/>
        </w:trPr>
        <w:tc>
          <w:tcPr>
            <w:tcW w:w="1500" w:type="dxa"/>
            <w:tcBorders>
              <w:top w:val="nil"/>
              <w:left w:val="nil"/>
              <w:bottom w:val="single" w:sz="4" w:space="0" w:color="ADD6EA"/>
              <w:right w:val="nil"/>
            </w:tcBorders>
            <w:hideMark/>
          </w:tcPr>
          <w:p w14:paraId="74C7FBD8" w14:textId="77777777"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Prisons</w:t>
            </w:r>
          </w:p>
        </w:tc>
        <w:tc>
          <w:tcPr>
            <w:tcW w:w="7856" w:type="dxa"/>
            <w:tcBorders>
              <w:top w:val="nil"/>
              <w:left w:val="nil"/>
              <w:bottom w:val="single" w:sz="4" w:space="0" w:color="ADD6EA"/>
              <w:right w:val="nil"/>
            </w:tcBorders>
            <w:hideMark/>
          </w:tcPr>
          <w:p w14:paraId="371585E1" w14:textId="61D369FD"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 xml:space="preserve">Victoria </w:t>
            </w:r>
            <w:r w:rsidR="00FE711B">
              <w:rPr>
                <w:rFonts w:ascii="Open Sans Light" w:eastAsia="Times New Roman" w:hAnsi="Open Sans Light" w:cs="Open Sans Light"/>
                <w:color w:val="000000"/>
                <w:sz w:val="16"/>
                <w:szCs w:val="16"/>
                <w:lang w:eastAsia="en-AU"/>
              </w:rPr>
              <w:t>-</w:t>
            </w:r>
            <w:r w:rsidRPr="000322B4">
              <w:rPr>
                <w:rFonts w:ascii="Open Sans Light" w:eastAsia="Times New Roman" w:hAnsi="Open Sans Light" w:cs="Open Sans Light"/>
                <w:color w:val="000000"/>
                <w:sz w:val="16"/>
                <w:szCs w:val="16"/>
                <w:lang w:eastAsia="en-AU"/>
              </w:rPr>
              <w:t xml:space="preserve"> because state defendant data are incomplete and likely biased, prisoner socio-economic status should be discounted. </w:t>
            </w:r>
            <w:r w:rsidR="007254FB">
              <w:rPr>
                <w:rFonts w:ascii="Open Sans Light" w:eastAsia="Times New Roman" w:hAnsi="Open Sans Light" w:cs="Open Sans Light"/>
                <w:color w:val="000000"/>
                <w:sz w:val="16"/>
                <w:szCs w:val="16"/>
                <w:lang w:eastAsia="en-AU"/>
              </w:rPr>
              <w:t>T</w:t>
            </w:r>
            <w:r w:rsidRPr="000322B4">
              <w:rPr>
                <w:rFonts w:ascii="Open Sans Light" w:eastAsia="Times New Roman" w:hAnsi="Open Sans Light" w:cs="Open Sans Light"/>
                <w:color w:val="000000"/>
                <w:sz w:val="16"/>
                <w:szCs w:val="16"/>
                <w:lang w:eastAsia="en-AU"/>
              </w:rPr>
              <w:t>he use of defendant socio</w:t>
            </w:r>
            <w:r w:rsidR="004B5C08">
              <w:rPr>
                <w:rFonts w:ascii="Open Sans Light" w:eastAsia="Times New Roman" w:hAnsi="Open Sans Light" w:cs="Open Sans Light"/>
                <w:color w:val="000000"/>
                <w:sz w:val="16"/>
                <w:szCs w:val="16"/>
                <w:lang w:eastAsia="en-AU"/>
              </w:rPr>
              <w:t>-</w:t>
            </w:r>
            <w:r w:rsidRPr="000322B4">
              <w:rPr>
                <w:rFonts w:ascii="Open Sans Light" w:eastAsia="Times New Roman" w:hAnsi="Open Sans Light" w:cs="Open Sans Light"/>
                <w:color w:val="000000"/>
                <w:sz w:val="16"/>
                <w:szCs w:val="16"/>
                <w:lang w:eastAsia="en-AU"/>
              </w:rPr>
              <w:t xml:space="preserve">economic status data as a proxy for prisoner data is inappropriate and that it should be excluded from the prisons </w:t>
            </w:r>
            <w:proofErr w:type="gramStart"/>
            <w:r w:rsidRPr="000322B4">
              <w:rPr>
                <w:rFonts w:ascii="Open Sans Light" w:eastAsia="Times New Roman" w:hAnsi="Open Sans Light" w:cs="Open Sans Light"/>
                <w:color w:val="000000"/>
                <w:sz w:val="16"/>
                <w:szCs w:val="16"/>
                <w:lang w:eastAsia="en-AU"/>
              </w:rPr>
              <w:t>assessment</w:t>
            </w:r>
            <w:proofErr w:type="gramEnd"/>
            <w:r w:rsidRPr="000322B4">
              <w:rPr>
                <w:rFonts w:ascii="Open Sans Light" w:eastAsia="Times New Roman" w:hAnsi="Open Sans Light" w:cs="Open Sans Light"/>
                <w:color w:val="000000"/>
                <w:sz w:val="16"/>
                <w:szCs w:val="16"/>
                <w:lang w:eastAsia="en-AU"/>
              </w:rPr>
              <w:t xml:space="preserve"> or an additional discount should be applied.</w:t>
            </w:r>
          </w:p>
        </w:tc>
        <w:tc>
          <w:tcPr>
            <w:tcW w:w="4819" w:type="dxa"/>
            <w:tcBorders>
              <w:top w:val="nil"/>
              <w:left w:val="nil"/>
              <w:bottom w:val="single" w:sz="4" w:space="0" w:color="ADD6EA"/>
              <w:right w:val="nil"/>
            </w:tcBorders>
            <w:hideMark/>
          </w:tcPr>
          <w:p w14:paraId="4FBDDEAE" w14:textId="755FBD7A" w:rsidR="000322B4" w:rsidRPr="004D6A87" w:rsidRDefault="000D0FB1" w:rsidP="000322B4">
            <w:pPr>
              <w:spacing w:after="0" w:line="240" w:lineRule="auto"/>
              <w:rPr>
                <w:rFonts w:ascii="Open Sans Light" w:eastAsia="Times New Roman" w:hAnsi="Open Sans Light" w:cs="Open Sans Light"/>
                <w:color w:val="000000"/>
                <w:sz w:val="16"/>
                <w:szCs w:val="16"/>
                <w:highlight w:val="yellow"/>
                <w:lang w:eastAsia="en-AU"/>
              </w:rPr>
            </w:pPr>
            <w:r w:rsidRPr="00737C1F">
              <w:rPr>
                <w:rFonts w:ascii="Open Sans Light" w:hAnsi="Open Sans Light" w:cs="Open Sans Light"/>
                <w:sz w:val="16"/>
                <w:szCs w:val="16"/>
              </w:rPr>
              <w:t xml:space="preserve">The Commission </w:t>
            </w:r>
            <w:r w:rsidR="005044FF" w:rsidRPr="00737C1F">
              <w:rPr>
                <w:rFonts w:ascii="Open Sans Light" w:hAnsi="Open Sans Light" w:cs="Open Sans Light"/>
                <w:sz w:val="16"/>
                <w:szCs w:val="16"/>
              </w:rPr>
              <w:t xml:space="preserve">considers the </w:t>
            </w:r>
            <w:r w:rsidRPr="00737C1F">
              <w:rPr>
                <w:rFonts w:ascii="Open Sans Light" w:hAnsi="Open Sans Light" w:cs="Open Sans Light"/>
                <w:sz w:val="16"/>
                <w:szCs w:val="16"/>
              </w:rPr>
              <w:t xml:space="preserve">defendant socio-economic status </w:t>
            </w:r>
            <w:r w:rsidR="00317267" w:rsidRPr="00737C1F">
              <w:rPr>
                <w:rFonts w:ascii="Open Sans Light" w:hAnsi="Open Sans Light" w:cs="Open Sans Light"/>
                <w:sz w:val="16"/>
                <w:szCs w:val="16"/>
              </w:rPr>
              <w:t>is a suitable</w:t>
            </w:r>
            <w:r w:rsidRPr="00737C1F">
              <w:rPr>
                <w:rFonts w:ascii="Open Sans Light" w:hAnsi="Open Sans Light" w:cs="Open Sans Light"/>
                <w:sz w:val="16"/>
                <w:szCs w:val="16"/>
              </w:rPr>
              <w:t xml:space="preserve"> proxy for prisoner socio-economic status</w:t>
            </w:r>
            <w:r w:rsidR="00317267" w:rsidRPr="00737C1F">
              <w:rPr>
                <w:rFonts w:ascii="Open Sans Light" w:hAnsi="Open Sans Light" w:cs="Open Sans Light"/>
                <w:sz w:val="16"/>
                <w:szCs w:val="16"/>
              </w:rPr>
              <w:t>.</w:t>
            </w:r>
          </w:p>
        </w:tc>
      </w:tr>
      <w:tr w:rsidR="000322B4" w:rsidRPr="000322B4" w14:paraId="025DD0E4" w14:textId="77777777" w:rsidTr="00EB10C2">
        <w:trPr>
          <w:trHeight w:val="800"/>
        </w:trPr>
        <w:tc>
          <w:tcPr>
            <w:tcW w:w="1500" w:type="dxa"/>
            <w:tcBorders>
              <w:top w:val="nil"/>
              <w:left w:val="nil"/>
              <w:bottom w:val="single" w:sz="4" w:space="0" w:color="ADD6EA"/>
              <w:right w:val="nil"/>
            </w:tcBorders>
            <w:hideMark/>
          </w:tcPr>
          <w:p w14:paraId="2C5134C4" w14:textId="77777777"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Prisons</w:t>
            </w:r>
          </w:p>
        </w:tc>
        <w:tc>
          <w:tcPr>
            <w:tcW w:w="7856" w:type="dxa"/>
            <w:tcBorders>
              <w:top w:val="nil"/>
              <w:left w:val="nil"/>
              <w:bottom w:val="single" w:sz="4" w:space="0" w:color="ADD6EA"/>
              <w:right w:val="nil"/>
            </w:tcBorders>
            <w:hideMark/>
          </w:tcPr>
          <w:p w14:paraId="4261FDF2" w14:textId="7072054B" w:rsidR="000322B4" w:rsidRPr="000322B4" w:rsidRDefault="000322B4" w:rsidP="000322B4">
            <w:pPr>
              <w:spacing w:after="0" w:line="240" w:lineRule="auto"/>
              <w:rPr>
                <w:rFonts w:ascii="Open Sans Light" w:eastAsia="Times New Roman" w:hAnsi="Open Sans Light" w:cs="Open Sans Light"/>
                <w:color w:val="000000"/>
                <w:sz w:val="16"/>
                <w:szCs w:val="16"/>
                <w:lang w:eastAsia="en-AU"/>
              </w:rPr>
            </w:pPr>
            <w:r w:rsidRPr="000322B4">
              <w:rPr>
                <w:rFonts w:ascii="Open Sans Light" w:eastAsia="Times New Roman" w:hAnsi="Open Sans Light" w:cs="Open Sans Light"/>
                <w:color w:val="000000"/>
                <w:sz w:val="16"/>
                <w:szCs w:val="16"/>
                <w:lang w:eastAsia="en-AU"/>
              </w:rPr>
              <w:t xml:space="preserve">Victoria </w:t>
            </w:r>
            <w:r w:rsidR="000B1713">
              <w:rPr>
                <w:rFonts w:ascii="Open Sans Light" w:eastAsia="Times New Roman" w:hAnsi="Open Sans Light" w:cs="Open Sans Light"/>
                <w:color w:val="000000"/>
                <w:sz w:val="16"/>
                <w:szCs w:val="16"/>
                <w:lang w:eastAsia="en-AU"/>
              </w:rPr>
              <w:t>– if a</w:t>
            </w:r>
            <w:r w:rsidRPr="000322B4">
              <w:rPr>
                <w:rFonts w:ascii="Open Sans Light" w:eastAsia="Times New Roman" w:hAnsi="Open Sans Light" w:cs="Open Sans Light"/>
                <w:color w:val="000000"/>
                <w:sz w:val="16"/>
                <w:szCs w:val="16"/>
                <w:lang w:eastAsia="en-AU"/>
              </w:rPr>
              <w:t xml:space="preserve"> juvenile detainee cost-weight</w:t>
            </w:r>
            <w:r w:rsidR="000B1713">
              <w:rPr>
                <w:rFonts w:ascii="Open Sans Light" w:eastAsia="Times New Roman" w:hAnsi="Open Sans Light" w:cs="Open Sans Light"/>
                <w:color w:val="000000"/>
                <w:sz w:val="16"/>
                <w:szCs w:val="16"/>
                <w:lang w:eastAsia="en-AU"/>
              </w:rPr>
              <w:t xml:space="preserve"> is applied</w:t>
            </w:r>
            <w:r w:rsidR="00570B58">
              <w:rPr>
                <w:rFonts w:ascii="Open Sans Light" w:eastAsia="Times New Roman" w:hAnsi="Open Sans Light" w:cs="Open Sans Light"/>
                <w:color w:val="000000"/>
                <w:sz w:val="16"/>
                <w:szCs w:val="16"/>
                <w:lang w:eastAsia="en-AU"/>
              </w:rPr>
              <w:t xml:space="preserve">, apply a </w:t>
            </w:r>
            <w:r w:rsidR="003B490A">
              <w:rPr>
                <w:rFonts w:ascii="Open Sans Light" w:eastAsia="Times New Roman" w:hAnsi="Open Sans Light" w:cs="Open Sans Light"/>
                <w:color w:val="000000"/>
                <w:sz w:val="16"/>
                <w:szCs w:val="16"/>
                <w:lang w:eastAsia="en-AU"/>
              </w:rPr>
              <w:t>50% discount</w:t>
            </w:r>
            <w:r w:rsidR="008A44F8">
              <w:rPr>
                <w:rFonts w:ascii="Open Sans Light" w:eastAsia="Times New Roman" w:hAnsi="Open Sans Light" w:cs="Open Sans Light"/>
                <w:color w:val="000000"/>
                <w:sz w:val="16"/>
                <w:szCs w:val="16"/>
                <w:lang w:eastAsia="en-AU"/>
              </w:rPr>
              <w:t xml:space="preserve"> because</w:t>
            </w:r>
            <w:r w:rsidRPr="000322B4">
              <w:rPr>
                <w:rFonts w:ascii="Open Sans Light" w:eastAsia="Times New Roman" w:hAnsi="Open Sans Light" w:cs="Open Sans Light"/>
                <w:color w:val="000000"/>
                <w:sz w:val="16"/>
                <w:szCs w:val="16"/>
                <w:lang w:eastAsia="en-AU"/>
              </w:rPr>
              <w:t xml:space="preserve"> state data are not comparable (</w:t>
            </w:r>
            <w:r w:rsidR="00C02088">
              <w:rPr>
                <w:rFonts w:ascii="Open Sans Light" w:eastAsia="Times New Roman" w:hAnsi="Open Sans Light" w:cs="Open Sans Light"/>
                <w:color w:val="000000"/>
                <w:sz w:val="16"/>
                <w:szCs w:val="16"/>
                <w:lang w:eastAsia="en-AU"/>
              </w:rPr>
              <w:t>t</w:t>
            </w:r>
            <w:r w:rsidR="005B5179">
              <w:rPr>
                <w:rFonts w:ascii="Open Sans Light" w:eastAsia="Times New Roman" w:hAnsi="Open Sans Light" w:cs="Open Sans Light"/>
                <w:color w:val="000000"/>
                <w:sz w:val="16"/>
                <w:szCs w:val="16"/>
                <w:lang w:eastAsia="en-AU"/>
              </w:rPr>
              <w:t xml:space="preserve">he </w:t>
            </w:r>
            <w:r w:rsidRPr="000322B4">
              <w:rPr>
                <w:rFonts w:ascii="Open Sans Light" w:eastAsia="Times New Roman" w:hAnsi="Open Sans Light" w:cs="Open Sans Light"/>
                <w:color w:val="000000"/>
                <w:sz w:val="16"/>
                <w:szCs w:val="16"/>
                <w:lang w:eastAsia="en-AU"/>
              </w:rPr>
              <w:t>R</w:t>
            </w:r>
            <w:r w:rsidR="00B260B4">
              <w:rPr>
                <w:rFonts w:ascii="Open Sans Light" w:eastAsia="Times New Roman" w:hAnsi="Open Sans Light" w:cs="Open Sans Light"/>
                <w:color w:val="000000"/>
                <w:sz w:val="16"/>
                <w:szCs w:val="16"/>
                <w:lang w:eastAsia="en-AU"/>
              </w:rPr>
              <w:t xml:space="preserve">eport </w:t>
            </w:r>
            <w:r w:rsidRPr="000322B4">
              <w:rPr>
                <w:rFonts w:ascii="Open Sans Light" w:eastAsia="Times New Roman" w:hAnsi="Open Sans Light" w:cs="Open Sans Light"/>
                <w:color w:val="000000"/>
                <w:sz w:val="16"/>
                <w:szCs w:val="16"/>
                <w:lang w:eastAsia="en-AU"/>
              </w:rPr>
              <w:t>o</w:t>
            </w:r>
            <w:r w:rsidR="00B260B4">
              <w:rPr>
                <w:rFonts w:ascii="Open Sans Light" w:eastAsia="Times New Roman" w:hAnsi="Open Sans Light" w:cs="Open Sans Light"/>
                <w:color w:val="000000"/>
                <w:sz w:val="16"/>
                <w:szCs w:val="16"/>
                <w:lang w:eastAsia="en-AU"/>
              </w:rPr>
              <w:t xml:space="preserve">n </w:t>
            </w:r>
            <w:r w:rsidRPr="000322B4">
              <w:rPr>
                <w:rFonts w:ascii="Open Sans Light" w:eastAsia="Times New Roman" w:hAnsi="Open Sans Light" w:cs="Open Sans Light"/>
                <w:color w:val="000000"/>
                <w:sz w:val="16"/>
                <w:szCs w:val="16"/>
                <w:lang w:eastAsia="en-AU"/>
              </w:rPr>
              <w:t>G</w:t>
            </w:r>
            <w:r w:rsidR="00B260B4">
              <w:rPr>
                <w:rFonts w:ascii="Open Sans Light" w:eastAsia="Times New Roman" w:hAnsi="Open Sans Light" w:cs="Open Sans Light"/>
                <w:color w:val="000000"/>
                <w:sz w:val="16"/>
                <w:szCs w:val="16"/>
                <w:lang w:eastAsia="en-AU"/>
              </w:rPr>
              <w:t xml:space="preserve">overnment </w:t>
            </w:r>
            <w:r w:rsidRPr="000322B4">
              <w:rPr>
                <w:rFonts w:ascii="Open Sans Light" w:eastAsia="Times New Roman" w:hAnsi="Open Sans Light" w:cs="Open Sans Light"/>
                <w:color w:val="000000"/>
                <w:sz w:val="16"/>
                <w:szCs w:val="16"/>
                <w:lang w:eastAsia="en-AU"/>
              </w:rPr>
              <w:t>S</w:t>
            </w:r>
            <w:r w:rsidR="00B260B4">
              <w:rPr>
                <w:rFonts w:ascii="Open Sans Light" w:eastAsia="Times New Roman" w:hAnsi="Open Sans Light" w:cs="Open Sans Light"/>
                <w:color w:val="000000"/>
                <w:sz w:val="16"/>
                <w:szCs w:val="16"/>
                <w:lang w:eastAsia="en-AU"/>
              </w:rPr>
              <w:t>ervices</w:t>
            </w:r>
            <w:r w:rsidRPr="000322B4">
              <w:rPr>
                <w:rFonts w:ascii="Open Sans Light" w:eastAsia="Times New Roman" w:hAnsi="Open Sans Light" w:cs="Open Sans Light"/>
                <w:color w:val="000000"/>
                <w:sz w:val="16"/>
                <w:szCs w:val="16"/>
                <w:lang w:eastAsia="en-AU"/>
              </w:rPr>
              <w:t xml:space="preserve"> has a qualifier on the data)</w:t>
            </w:r>
            <w:r w:rsidR="00CD6C8F">
              <w:rPr>
                <w:rFonts w:ascii="Open Sans Light" w:eastAsia="Times New Roman" w:hAnsi="Open Sans Light" w:cs="Open Sans Light"/>
                <w:color w:val="000000"/>
                <w:sz w:val="16"/>
                <w:szCs w:val="16"/>
                <w:lang w:eastAsia="en-AU"/>
              </w:rPr>
              <w:t>.</w:t>
            </w:r>
          </w:p>
        </w:tc>
        <w:tc>
          <w:tcPr>
            <w:tcW w:w="4819" w:type="dxa"/>
            <w:tcBorders>
              <w:top w:val="nil"/>
              <w:left w:val="nil"/>
              <w:bottom w:val="single" w:sz="4" w:space="0" w:color="ADD6EA"/>
              <w:right w:val="nil"/>
            </w:tcBorders>
            <w:hideMark/>
          </w:tcPr>
          <w:p w14:paraId="44581657" w14:textId="7A1A760F" w:rsidR="000322B4" w:rsidRPr="000322B4" w:rsidRDefault="00317311" w:rsidP="000322B4">
            <w:pPr>
              <w:spacing w:after="0"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The Commission consider</w:t>
            </w:r>
            <w:r w:rsidR="00DB320D">
              <w:rPr>
                <w:rFonts w:ascii="Open Sans Light" w:eastAsia="Times New Roman" w:hAnsi="Open Sans Light" w:cs="Open Sans Light"/>
                <w:color w:val="000000"/>
                <w:sz w:val="16"/>
                <w:szCs w:val="16"/>
                <w:lang w:eastAsia="en-AU"/>
              </w:rPr>
              <w:t>s</w:t>
            </w:r>
            <w:r>
              <w:rPr>
                <w:rFonts w:ascii="Open Sans Light" w:eastAsia="Times New Roman" w:hAnsi="Open Sans Light" w:cs="Open Sans Light"/>
                <w:color w:val="000000"/>
                <w:sz w:val="16"/>
                <w:szCs w:val="16"/>
                <w:lang w:eastAsia="en-AU"/>
              </w:rPr>
              <w:t xml:space="preserve"> </w:t>
            </w:r>
            <w:r w:rsidR="00C02088">
              <w:rPr>
                <w:rFonts w:ascii="Open Sans Light" w:eastAsia="Times New Roman" w:hAnsi="Open Sans Light" w:cs="Open Sans Light"/>
                <w:color w:val="000000"/>
                <w:sz w:val="16"/>
                <w:szCs w:val="16"/>
                <w:lang w:eastAsia="en-AU"/>
              </w:rPr>
              <w:t xml:space="preserve">the </w:t>
            </w:r>
            <w:r>
              <w:rPr>
                <w:rFonts w:ascii="Open Sans Light" w:eastAsia="Times New Roman" w:hAnsi="Open Sans Light" w:cs="Open Sans Light"/>
                <w:color w:val="000000"/>
                <w:sz w:val="16"/>
                <w:szCs w:val="16"/>
                <w:lang w:eastAsia="en-AU"/>
              </w:rPr>
              <w:t>R</w:t>
            </w:r>
            <w:r w:rsidR="00C02088">
              <w:rPr>
                <w:rFonts w:ascii="Open Sans Light" w:eastAsia="Times New Roman" w:hAnsi="Open Sans Light" w:cs="Open Sans Light"/>
                <w:color w:val="000000"/>
                <w:sz w:val="16"/>
                <w:szCs w:val="16"/>
                <w:lang w:eastAsia="en-AU"/>
              </w:rPr>
              <w:t xml:space="preserve">eport </w:t>
            </w:r>
            <w:r>
              <w:rPr>
                <w:rFonts w:ascii="Open Sans Light" w:eastAsia="Times New Roman" w:hAnsi="Open Sans Light" w:cs="Open Sans Light"/>
                <w:color w:val="000000"/>
                <w:sz w:val="16"/>
                <w:szCs w:val="16"/>
                <w:lang w:eastAsia="en-AU"/>
              </w:rPr>
              <w:t>o</w:t>
            </w:r>
            <w:r w:rsidR="00C02088">
              <w:rPr>
                <w:rFonts w:ascii="Open Sans Light" w:eastAsia="Times New Roman" w:hAnsi="Open Sans Light" w:cs="Open Sans Light"/>
                <w:color w:val="000000"/>
                <w:sz w:val="16"/>
                <w:szCs w:val="16"/>
                <w:lang w:eastAsia="en-AU"/>
              </w:rPr>
              <w:t>n Government Services</w:t>
            </w:r>
            <w:r>
              <w:rPr>
                <w:rFonts w:ascii="Open Sans Light" w:eastAsia="Times New Roman" w:hAnsi="Open Sans Light" w:cs="Open Sans Light"/>
                <w:color w:val="000000"/>
                <w:sz w:val="16"/>
                <w:szCs w:val="16"/>
                <w:lang w:eastAsia="en-AU"/>
              </w:rPr>
              <w:t xml:space="preserve"> data </w:t>
            </w:r>
            <w:r w:rsidR="008A55BE">
              <w:rPr>
                <w:rFonts w:ascii="Open Sans Light" w:eastAsia="Times New Roman" w:hAnsi="Open Sans Light" w:cs="Open Sans Light"/>
                <w:color w:val="000000"/>
                <w:sz w:val="16"/>
                <w:szCs w:val="16"/>
                <w:lang w:eastAsia="en-AU"/>
              </w:rPr>
              <w:t>are</w:t>
            </w:r>
            <w:r>
              <w:rPr>
                <w:rFonts w:ascii="Open Sans Light" w:eastAsia="Times New Roman" w:hAnsi="Open Sans Light" w:cs="Open Sans Light"/>
                <w:color w:val="000000"/>
                <w:sz w:val="16"/>
                <w:szCs w:val="16"/>
                <w:lang w:eastAsia="en-AU"/>
              </w:rPr>
              <w:t xml:space="preserve"> fit for purpose for use in the assessment</w:t>
            </w:r>
            <w:r w:rsidR="00737C1F">
              <w:rPr>
                <w:rFonts w:ascii="Open Sans Light" w:eastAsia="Times New Roman" w:hAnsi="Open Sans Light" w:cs="Open Sans Light"/>
                <w:color w:val="000000"/>
                <w:sz w:val="16"/>
                <w:szCs w:val="16"/>
                <w:lang w:eastAsia="en-AU"/>
              </w:rPr>
              <w:t>.</w:t>
            </w:r>
          </w:p>
        </w:tc>
      </w:tr>
    </w:tbl>
    <w:p w14:paraId="67C189E1" w14:textId="048334C1" w:rsidR="005D5F89" w:rsidRDefault="0032700C" w:rsidP="00C5795F">
      <w:pPr>
        <w:pStyle w:val="CGCParaNumber"/>
        <w:numPr>
          <w:ilvl w:val="0"/>
          <w:numId w:val="0"/>
        </w:numPr>
        <w:rPr>
          <w:rStyle w:val="PageNumber"/>
          <w:sz w:val="16"/>
          <w:szCs w:val="16"/>
        </w:rPr>
        <w:sectPr w:rsidR="005D5F89" w:rsidSect="00285135">
          <w:pgSz w:w="16838" w:h="11906" w:orient="landscape"/>
          <w:pgMar w:top="1440" w:right="1440" w:bottom="1440" w:left="1440" w:header="708" w:footer="708" w:gutter="0"/>
          <w:cols w:space="708"/>
          <w:titlePg/>
          <w:docGrid w:linePitch="360"/>
        </w:sectPr>
      </w:pPr>
      <w:r w:rsidRPr="00D12804">
        <w:rPr>
          <w:rStyle w:val="CGC2025TableNoteChar"/>
        </w:rPr>
        <w:t>Note:</w:t>
      </w:r>
      <w:r w:rsidR="008C3842" w:rsidRPr="00D12804">
        <w:rPr>
          <w:rStyle w:val="CGC2025TableNoteChar"/>
        </w:rPr>
        <w:t xml:space="preserve"> </w:t>
      </w:r>
      <w:bookmarkStart w:id="1" w:name="_Toc143786736"/>
      <w:r w:rsidR="00EA339D" w:rsidRPr="00D12804">
        <w:rPr>
          <w:rStyle w:val="CGC2025TableNoteChar"/>
        </w:rPr>
        <w:t xml:space="preserve">The </w:t>
      </w:r>
      <w:r w:rsidR="008B3E5F" w:rsidRPr="00D12804">
        <w:rPr>
          <w:rStyle w:val="CGC2025TableNoteChar"/>
        </w:rPr>
        <w:t xml:space="preserve">general regional cost gradient and the </w:t>
      </w:r>
      <w:r w:rsidR="00EA339D" w:rsidRPr="00D12804">
        <w:rPr>
          <w:rStyle w:val="CGC2025TableNoteChar"/>
        </w:rPr>
        <w:t xml:space="preserve">general service delivery scale gradient </w:t>
      </w:r>
      <w:r w:rsidR="008B3E5F" w:rsidRPr="00D12804">
        <w:rPr>
          <w:rStyle w:val="CGC2025TableNoteChar"/>
        </w:rPr>
        <w:t>are</w:t>
      </w:r>
      <w:r w:rsidR="00E216E2" w:rsidRPr="00D12804">
        <w:rPr>
          <w:rStyle w:val="CGC2025TableNoteChar"/>
        </w:rPr>
        <w:t xml:space="preserve"> </w:t>
      </w:r>
      <w:r w:rsidR="00D22DB2" w:rsidRPr="00D12804">
        <w:rPr>
          <w:rStyle w:val="CGC2025TableNoteChar"/>
        </w:rPr>
        <w:t>built with a</w:t>
      </w:r>
      <w:r w:rsidR="008B3E5F" w:rsidRPr="00D12804">
        <w:rPr>
          <w:rStyle w:val="CGC2025TableNoteChar"/>
        </w:rPr>
        <w:t xml:space="preserve"> 25%</w:t>
      </w:r>
      <w:r w:rsidR="00D22DB2" w:rsidRPr="00D12804">
        <w:rPr>
          <w:rStyle w:val="CGC2025TableNoteChar"/>
        </w:rPr>
        <w:t xml:space="preserve"> discount</w:t>
      </w:r>
      <w:r w:rsidR="00D22DB2" w:rsidRPr="006A659B">
        <w:rPr>
          <w:rStyle w:val="PageNumber"/>
          <w:sz w:val="16"/>
          <w:szCs w:val="16"/>
        </w:rPr>
        <w:t xml:space="preserve">. </w:t>
      </w:r>
    </w:p>
    <w:p w14:paraId="32BB86E6" w14:textId="5ACA44A9" w:rsidR="00381A0E" w:rsidRPr="00AE09EB" w:rsidRDefault="00381A0E" w:rsidP="00381A0E">
      <w:pPr>
        <w:pStyle w:val="Heading2"/>
        <w:keepNext/>
      </w:pPr>
      <w:r w:rsidRPr="00AE09EB">
        <w:lastRenderedPageBreak/>
        <w:t xml:space="preserve">Draft </w:t>
      </w:r>
      <w:r>
        <w:t>2026 Update a</w:t>
      </w:r>
      <w:r w:rsidRPr="00AE09EB">
        <w:t xml:space="preserve">ssessment </w:t>
      </w:r>
      <w:r>
        <w:t>m</w:t>
      </w:r>
      <w:r w:rsidRPr="00AE09EB">
        <w:t>ethod</w:t>
      </w:r>
      <w:bookmarkEnd w:id="1"/>
    </w:p>
    <w:p w14:paraId="5F32EEE8" w14:textId="1A0464DC" w:rsidR="00381A0E" w:rsidRPr="00FD6D62" w:rsidRDefault="00381A0E" w:rsidP="007E471B">
      <w:pPr>
        <w:pStyle w:val="CGCParaNumber"/>
        <w:numPr>
          <w:ilvl w:val="1"/>
          <w:numId w:val="16"/>
        </w:numPr>
      </w:pPr>
      <w:r>
        <w:t xml:space="preserve">Table </w:t>
      </w:r>
      <w:r w:rsidR="00EE7993">
        <w:t>5</w:t>
      </w:r>
      <w:r>
        <w:t xml:space="preserve"> </w:t>
      </w:r>
      <w:r w:rsidRPr="00FD6D62">
        <w:t xml:space="preserve">shows the proposed structure for the 2025 Review </w:t>
      </w:r>
      <w:r>
        <w:t>j</w:t>
      </w:r>
      <w:r w:rsidRPr="00FD6D62">
        <w:t>ustice assessment.</w:t>
      </w:r>
    </w:p>
    <w:p w14:paraId="400433D1" w14:textId="47EDCAF6" w:rsidR="00381A0E" w:rsidRPr="00211078" w:rsidRDefault="00381A0E" w:rsidP="00EB1C0A">
      <w:pPr>
        <w:pStyle w:val="CGC2025Caption"/>
        <w:keepNext/>
        <w:tabs>
          <w:tab w:val="left" w:pos="1134"/>
        </w:tabs>
      </w:pPr>
      <w:bookmarkStart w:id="2" w:name="_Ref167804993"/>
      <w:r>
        <w:t xml:space="preserve">Table </w:t>
      </w:r>
      <w:bookmarkEnd w:id="2"/>
      <w:r w:rsidR="00EE7993">
        <w:t>5</w:t>
      </w:r>
      <w:r w:rsidRPr="00CE1397">
        <w:tab/>
        <w:t>Proposed</w:t>
      </w:r>
      <w:r>
        <w:t xml:space="preserve"> structure of the</w:t>
      </w:r>
      <w:r w:rsidRPr="00CE1397">
        <w:t xml:space="preserve"> </w:t>
      </w:r>
      <w:r>
        <w:t>revised</w:t>
      </w:r>
      <w:r w:rsidRPr="00CE1397">
        <w:t xml:space="preserve"> justice assessment</w:t>
      </w:r>
    </w:p>
    <w:tbl>
      <w:tblPr>
        <w:tblW w:w="89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3"/>
        <w:gridCol w:w="124"/>
        <w:gridCol w:w="1625"/>
        <w:gridCol w:w="3495"/>
        <w:gridCol w:w="142"/>
        <w:gridCol w:w="20"/>
        <w:gridCol w:w="2532"/>
        <w:gridCol w:w="20"/>
      </w:tblGrid>
      <w:tr w:rsidR="00381A0E" w:rsidRPr="00433DCB" w14:paraId="46D1504C" w14:textId="77777777" w:rsidTr="004667B0">
        <w:trPr>
          <w:trHeight w:val="374"/>
        </w:trPr>
        <w:tc>
          <w:tcPr>
            <w:tcW w:w="993" w:type="dxa"/>
            <w:tcBorders>
              <w:top w:val="nil"/>
              <w:left w:val="nil"/>
              <w:bottom w:val="single" w:sz="6" w:space="0" w:color="ADD6EA"/>
              <w:right w:val="nil"/>
            </w:tcBorders>
            <w:shd w:val="clear" w:color="auto" w:fill="006991"/>
            <w:vAlign w:val="center"/>
            <w:hideMark/>
          </w:tcPr>
          <w:p w14:paraId="7C44A43A" w14:textId="77777777" w:rsidR="00381A0E" w:rsidRPr="00EC24C6" w:rsidRDefault="00381A0E">
            <w:pPr>
              <w:keepNext/>
              <w:keepLines/>
              <w:widowControl w:val="0"/>
              <w:spacing w:line="240" w:lineRule="auto"/>
              <w:ind w:firstLine="70"/>
              <w:textAlignment w:val="baseline"/>
              <w:rPr>
                <w:rFonts w:ascii="Open Sans Semibold" w:eastAsia="Times New Roman" w:hAnsi="Open Sans Semibold" w:cs="Open Sans Semibold"/>
                <w:sz w:val="18"/>
                <w:szCs w:val="18"/>
                <w:lang w:eastAsia="en-AU"/>
              </w:rPr>
            </w:pPr>
            <w:r w:rsidRPr="00EC24C6">
              <w:rPr>
                <w:rFonts w:ascii="Open Sans Semibold" w:eastAsia="Times New Roman" w:hAnsi="Open Sans Semibold" w:cs="Open Sans Semibold"/>
                <w:color w:val="FFFFFF"/>
                <w:sz w:val="16"/>
                <w:szCs w:val="16"/>
                <w:lang w:eastAsia="en-AU"/>
              </w:rPr>
              <w:t>Component</w:t>
            </w:r>
          </w:p>
        </w:tc>
        <w:tc>
          <w:tcPr>
            <w:tcW w:w="124" w:type="dxa"/>
            <w:tcBorders>
              <w:top w:val="nil"/>
              <w:left w:val="nil"/>
              <w:bottom w:val="single" w:sz="6" w:space="0" w:color="ADD6EA"/>
              <w:right w:val="nil"/>
            </w:tcBorders>
            <w:shd w:val="clear" w:color="auto" w:fill="006991"/>
            <w:vAlign w:val="center"/>
            <w:hideMark/>
          </w:tcPr>
          <w:p w14:paraId="705D33F6" w14:textId="77777777" w:rsidR="00381A0E" w:rsidRPr="00EC24C6" w:rsidRDefault="00381A0E">
            <w:pPr>
              <w:keepNext/>
              <w:keepLines/>
              <w:widowControl w:val="0"/>
              <w:spacing w:line="240" w:lineRule="auto"/>
              <w:textAlignment w:val="baseline"/>
              <w:rPr>
                <w:rFonts w:ascii="Open Sans Semibold" w:eastAsia="Times New Roman" w:hAnsi="Open Sans Semibold" w:cs="Open Sans Semibold"/>
                <w:sz w:val="18"/>
                <w:szCs w:val="18"/>
                <w:lang w:eastAsia="en-AU"/>
              </w:rPr>
            </w:pPr>
            <w:r w:rsidRPr="00EC24C6">
              <w:rPr>
                <w:rFonts w:ascii="Arial" w:eastAsia="Times New Roman" w:hAnsi="Arial" w:cs="Arial"/>
                <w:color w:val="FFFFFF"/>
                <w:sz w:val="16"/>
                <w:szCs w:val="16"/>
                <w:lang w:eastAsia="en-AU"/>
              </w:rPr>
              <w:t> </w:t>
            </w:r>
          </w:p>
        </w:tc>
        <w:tc>
          <w:tcPr>
            <w:tcW w:w="1625" w:type="dxa"/>
            <w:tcBorders>
              <w:top w:val="nil"/>
              <w:left w:val="nil"/>
              <w:bottom w:val="single" w:sz="6" w:space="0" w:color="ADD6EA"/>
              <w:right w:val="nil"/>
            </w:tcBorders>
            <w:shd w:val="clear" w:color="auto" w:fill="006991"/>
            <w:vAlign w:val="center"/>
            <w:hideMark/>
          </w:tcPr>
          <w:p w14:paraId="429F5DFA" w14:textId="77777777" w:rsidR="00381A0E" w:rsidRPr="00EC24C6" w:rsidRDefault="00381A0E">
            <w:pPr>
              <w:keepNext/>
              <w:keepLines/>
              <w:widowControl w:val="0"/>
              <w:spacing w:line="240" w:lineRule="auto"/>
              <w:ind w:right="-2"/>
              <w:textAlignment w:val="baseline"/>
              <w:rPr>
                <w:rFonts w:ascii="Open Sans Semibold" w:eastAsia="Times New Roman" w:hAnsi="Open Sans Semibold" w:cs="Open Sans Semibold"/>
                <w:sz w:val="18"/>
                <w:szCs w:val="18"/>
                <w:lang w:eastAsia="en-AU"/>
              </w:rPr>
            </w:pPr>
            <w:r w:rsidRPr="00EC24C6">
              <w:rPr>
                <w:rFonts w:ascii="Open Sans Semibold" w:eastAsia="Times New Roman" w:hAnsi="Open Sans Semibold" w:cs="Open Sans Semibold"/>
                <w:color w:val="FFFFFF"/>
                <w:sz w:val="16"/>
                <w:szCs w:val="16"/>
                <w:lang w:eastAsia="en-AU"/>
              </w:rPr>
              <w:t>Driver</w:t>
            </w:r>
          </w:p>
        </w:tc>
        <w:tc>
          <w:tcPr>
            <w:tcW w:w="3495" w:type="dxa"/>
            <w:tcBorders>
              <w:top w:val="nil"/>
              <w:left w:val="nil"/>
              <w:bottom w:val="single" w:sz="6" w:space="0" w:color="ADD6EA"/>
              <w:right w:val="nil"/>
            </w:tcBorders>
            <w:shd w:val="clear" w:color="auto" w:fill="006991"/>
            <w:vAlign w:val="center"/>
            <w:hideMark/>
          </w:tcPr>
          <w:p w14:paraId="76E5122A" w14:textId="77777777" w:rsidR="00381A0E" w:rsidRPr="00EC24C6" w:rsidRDefault="00381A0E">
            <w:pPr>
              <w:keepNext/>
              <w:keepLines/>
              <w:widowControl w:val="0"/>
              <w:spacing w:line="240" w:lineRule="auto"/>
              <w:textAlignment w:val="baseline"/>
              <w:rPr>
                <w:rFonts w:ascii="Open Sans Semibold" w:eastAsia="Times New Roman" w:hAnsi="Open Sans Semibold" w:cs="Open Sans Semibold"/>
                <w:sz w:val="18"/>
                <w:szCs w:val="18"/>
                <w:lang w:eastAsia="en-AU"/>
              </w:rPr>
            </w:pPr>
            <w:r w:rsidRPr="00EC24C6">
              <w:rPr>
                <w:rFonts w:ascii="Open Sans Semibold" w:eastAsia="Times New Roman" w:hAnsi="Open Sans Semibold" w:cs="Open Sans Semibold"/>
                <w:color w:val="FFFFFF"/>
                <w:sz w:val="16"/>
                <w:szCs w:val="16"/>
                <w:lang w:eastAsia="en-AU"/>
              </w:rPr>
              <w:t>Influence measured by driver</w:t>
            </w:r>
          </w:p>
        </w:tc>
        <w:tc>
          <w:tcPr>
            <w:tcW w:w="142" w:type="dxa"/>
            <w:tcBorders>
              <w:top w:val="nil"/>
              <w:left w:val="nil"/>
              <w:bottom w:val="single" w:sz="6" w:space="0" w:color="ADD6EA"/>
              <w:right w:val="nil"/>
            </w:tcBorders>
            <w:shd w:val="clear" w:color="auto" w:fill="006991"/>
            <w:vAlign w:val="center"/>
          </w:tcPr>
          <w:p w14:paraId="4CF6C700" w14:textId="77777777" w:rsidR="00381A0E" w:rsidRPr="00EC24C6" w:rsidRDefault="00381A0E">
            <w:pPr>
              <w:keepNext/>
              <w:keepLines/>
              <w:widowControl w:val="0"/>
              <w:spacing w:line="240" w:lineRule="auto"/>
              <w:textAlignment w:val="baseline"/>
              <w:rPr>
                <w:rFonts w:ascii="Open Sans Semibold" w:eastAsia="Times New Roman" w:hAnsi="Open Sans Semibold" w:cs="Open Sans Semibold"/>
                <w:color w:val="FFFFFF"/>
                <w:sz w:val="16"/>
                <w:szCs w:val="16"/>
                <w:lang w:eastAsia="en-AU"/>
              </w:rPr>
            </w:pPr>
          </w:p>
        </w:tc>
        <w:tc>
          <w:tcPr>
            <w:tcW w:w="20" w:type="dxa"/>
            <w:tcBorders>
              <w:top w:val="nil"/>
              <w:left w:val="nil"/>
              <w:bottom w:val="single" w:sz="6" w:space="0" w:color="ADD6EA"/>
              <w:right w:val="nil"/>
            </w:tcBorders>
            <w:shd w:val="clear" w:color="auto" w:fill="006991"/>
            <w:vAlign w:val="center"/>
          </w:tcPr>
          <w:p w14:paraId="323D1AA6" w14:textId="77777777" w:rsidR="00381A0E" w:rsidRPr="00EC24C6" w:rsidRDefault="00381A0E">
            <w:pPr>
              <w:keepNext/>
              <w:keepLines/>
              <w:widowControl w:val="0"/>
              <w:spacing w:line="240" w:lineRule="auto"/>
              <w:textAlignment w:val="baseline"/>
              <w:rPr>
                <w:rFonts w:ascii="Open Sans Semibold" w:eastAsia="Times New Roman" w:hAnsi="Open Sans Semibold" w:cs="Open Sans Semibold"/>
                <w:color w:val="FFFFFF"/>
                <w:sz w:val="16"/>
                <w:szCs w:val="16"/>
                <w:lang w:eastAsia="en-AU"/>
              </w:rPr>
            </w:pPr>
          </w:p>
        </w:tc>
        <w:tc>
          <w:tcPr>
            <w:tcW w:w="2532" w:type="dxa"/>
            <w:tcBorders>
              <w:top w:val="nil"/>
              <w:left w:val="nil"/>
              <w:bottom w:val="single" w:sz="6" w:space="0" w:color="ADD6EA"/>
              <w:right w:val="nil"/>
            </w:tcBorders>
            <w:shd w:val="clear" w:color="auto" w:fill="006991"/>
            <w:vAlign w:val="center"/>
          </w:tcPr>
          <w:p w14:paraId="6D342F5D" w14:textId="77777777" w:rsidR="00381A0E" w:rsidRPr="00EC24C6" w:rsidRDefault="00381A0E">
            <w:pPr>
              <w:keepNext/>
              <w:keepLines/>
              <w:widowControl w:val="0"/>
              <w:spacing w:line="240" w:lineRule="auto"/>
              <w:textAlignment w:val="baseline"/>
              <w:rPr>
                <w:rFonts w:ascii="Open Sans Semibold" w:eastAsia="Times New Roman" w:hAnsi="Open Sans Semibold" w:cs="Open Sans Semibold"/>
                <w:color w:val="FFFFFF"/>
                <w:sz w:val="16"/>
                <w:szCs w:val="16"/>
                <w:lang w:eastAsia="en-AU"/>
              </w:rPr>
            </w:pPr>
            <w:r w:rsidRPr="00EC24C6">
              <w:rPr>
                <w:rFonts w:ascii="Open Sans Semibold" w:eastAsia="Times New Roman" w:hAnsi="Open Sans Semibold" w:cs="Open Sans Semibold"/>
                <w:color w:val="FFFFFF" w:themeColor="background1"/>
                <w:sz w:val="16"/>
                <w:szCs w:val="16"/>
                <w:lang w:eastAsia="en-AU"/>
              </w:rPr>
              <w:t>Change since 2020 Review?</w:t>
            </w:r>
          </w:p>
        </w:tc>
        <w:tc>
          <w:tcPr>
            <w:tcW w:w="20" w:type="dxa"/>
            <w:tcBorders>
              <w:top w:val="nil"/>
              <w:left w:val="nil"/>
              <w:bottom w:val="single" w:sz="6" w:space="0" w:color="ADD6EA"/>
              <w:right w:val="nil"/>
            </w:tcBorders>
            <w:shd w:val="clear" w:color="auto" w:fill="006991"/>
          </w:tcPr>
          <w:p w14:paraId="0609F38E" w14:textId="77777777" w:rsidR="00381A0E" w:rsidRPr="00433DCB" w:rsidRDefault="00381A0E">
            <w:pPr>
              <w:keepNext/>
              <w:keepLines/>
              <w:widowControl w:val="0"/>
              <w:spacing w:line="240" w:lineRule="auto"/>
              <w:textAlignment w:val="baseline"/>
              <w:rPr>
                <w:rFonts w:ascii="Open Sans Semibold" w:eastAsia="Times New Roman" w:hAnsi="Open Sans Semibold" w:cs="Segoe UI"/>
                <w:color w:val="FFFFFF"/>
                <w:sz w:val="16"/>
                <w:szCs w:val="16"/>
                <w:lang w:eastAsia="en-AU"/>
              </w:rPr>
            </w:pPr>
          </w:p>
        </w:tc>
      </w:tr>
      <w:tr w:rsidR="00381A0E" w:rsidRPr="00433DCB" w14:paraId="1156D8D2" w14:textId="77777777" w:rsidTr="00A72958">
        <w:trPr>
          <w:trHeight w:val="249"/>
        </w:trPr>
        <w:tc>
          <w:tcPr>
            <w:tcW w:w="993" w:type="dxa"/>
            <w:tcBorders>
              <w:top w:val="nil"/>
              <w:left w:val="nil"/>
              <w:bottom w:val="single" w:sz="6" w:space="0" w:color="ADD6EA"/>
              <w:right w:val="nil"/>
            </w:tcBorders>
            <w:shd w:val="clear" w:color="auto" w:fill="B6D5E4"/>
            <w:vAlign w:val="center"/>
            <w:hideMark/>
          </w:tcPr>
          <w:p w14:paraId="670258E9" w14:textId="77777777" w:rsidR="00381A0E" w:rsidRPr="00433DCB" w:rsidRDefault="00381A0E">
            <w:pPr>
              <w:keepNext/>
              <w:keepLines/>
              <w:widowControl w:val="0"/>
              <w:spacing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124" w:type="dxa"/>
            <w:tcBorders>
              <w:top w:val="nil"/>
              <w:left w:val="nil"/>
              <w:bottom w:val="single" w:sz="6" w:space="0" w:color="ADD6EA"/>
              <w:right w:val="nil"/>
            </w:tcBorders>
            <w:shd w:val="clear" w:color="auto" w:fill="B6D5E4"/>
            <w:vAlign w:val="center"/>
            <w:hideMark/>
          </w:tcPr>
          <w:p w14:paraId="6019D2A9" w14:textId="77777777" w:rsidR="00381A0E" w:rsidRPr="00433DCB" w:rsidRDefault="00381A0E">
            <w:pPr>
              <w:keepNext/>
              <w:keepLines/>
              <w:widowControl w:val="0"/>
              <w:spacing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1625" w:type="dxa"/>
            <w:tcBorders>
              <w:top w:val="nil"/>
              <w:left w:val="nil"/>
              <w:bottom w:val="single" w:sz="6" w:space="0" w:color="ADD6EA"/>
              <w:right w:val="nil"/>
            </w:tcBorders>
            <w:shd w:val="clear" w:color="auto" w:fill="B6D5E4"/>
            <w:vAlign w:val="center"/>
            <w:hideMark/>
          </w:tcPr>
          <w:p w14:paraId="59B38C70" w14:textId="77777777" w:rsidR="00381A0E" w:rsidRPr="00433DCB" w:rsidRDefault="00381A0E">
            <w:pPr>
              <w:keepNext/>
              <w:keepLines/>
              <w:widowControl w:val="0"/>
              <w:spacing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3495" w:type="dxa"/>
            <w:tcBorders>
              <w:top w:val="nil"/>
              <w:left w:val="nil"/>
              <w:bottom w:val="single" w:sz="6" w:space="0" w:color="ADD6EA"/>
              <w:right w:val="nil"/>
            </w:tcBorders>
            <w:shd w:val="clear" w:color="auto" w:fill="B6D5E4"/>
            <w:vAlign w:val="center"/>
            <w:hideMark/>
          </w:tcPr>
          <w:p w14:paraId="581F85DE" w14:textId="77777777" w:rsidR="00381A0E" w:rsidRPr="00433DCB" w:rsidRDefault="00381A0E">
            <w:pPr>
              <w:keepNext/>
              <w:keepLines/>
              <w:widowControl w:val="0"/>
              <w:spacing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142" w:type="dxa"/>
            <w:tcBorders>
              <w:top w:val="nil"/>
              <w:left w:val="nil"/>
              <w:bottom w:val="single" w:sz="6" w:space="0" w:color="ADD6EA"/>
              <w:right w:val="nil"/>
            </w:tcBorders>
            <w:shd w:val="clear" w:color="auto" w:fill="B6D5E4"/>
          </w:tcPr>
          <w:p w14:paraId="4C5F860A" w14:textId="77777777" w:rsidR="00381A0E" w:rsidRPr="00433DCB" w:rsidRDefault="00381A0E">
            <w:pPr>
              <w:keepNext/>
              <w:keepLines/>
              <w:widowControl w:val="0"/>
              <w:spacing w:line="240" w:lineRule="auto"/>
              <w:jc w:val="right"/>
              <w:textAlignment w:val="baseline"/>
              <w:rPr>
                <w:rFonts w:ascii="Open Sans Semibold" w:eastAsia="Times New Roman" w:hAnsi="Open Sans Semibold" w:cs="Times New Roman"/>
                <w:color w:val="000000"/>
                <w:sz w:val="16"/>
                <w:szCs w:val="16"/>
                <w:lang w:eastAsia="en-AU"/>
              </w:rPr>
            </w:pPr>
          </w:p>
        </w:tc>
        <w:tc>
          <w:tcPr>
            <w:tcW w:w="20" w:type="dxa"/>
            <w:tcBorders>
              <w:top w:val="nil"/>
              <w:left w:val="nil"/>
              <w:bottom w:val="single" w:sz="6" w:space="0" w:color="ADD6EA"/>
              <w:right w:val="nil"/>
            </w:tcBorders>
            <w:shd w:val="clear" w:color="auto" w:fill="B6D5E4"/>
          </w:tcPr>
          <w:p w14:paraId="07A61929" w14:textId="7A56844A" w:rsidR="00381A0E" w:rsidRPr="00433DCB" w:rsidRDefault="00381A0E">
            <w:pPr>
              <w:keepNext/>
              <w:keepLines/>
              <w:widowControl w:val="0"/>
              <w:spacing w:line="240" w:lineRule="auto"/>
              <w:jc w:val="right"/>
              <w:textAlignment w:val="baseline"/>
              <w:rPr>
                <w:rFonts w:ascii="Open Sans Semibold" w:eastAsia="Times New Roman" w:hAnsi="Open Sans Semibold" w:cs="Times New Roman"/>
                <w:color w:val="000000"/>
                <w:sz w:val="16"/>
                <w:szCs w:val="16"/>
                <w:lang w:eastAsia="en-AU"/>
              </w:rPr>
            </w:pPr>
          </w:p>
        </w:tc>
        <w:tc>
          <w:tcPr>
            <w:tcW w:w="2532" w:type="dxa"/>
            <w:tcBorders>
              <w:top w:val="nil"/>
              <w:left w:val="nil"/>
              <w:bottom w:val="single" w:sz="6" w:space="0" w:color="ADD6EA"/>
              <w:right w:val="nil"/>
            </w:tcBorders>
            <w:shd w:val="clear" w:color="auto" w:fill="B6D5E4"/>
          </w:tcPr>
          <w:p w14:paraId="0A1FE01D" w14:textId="77777777" w:rsidR="00381A0E" w:rsidRPr="00433DCB" w:rsidRDefault="00381A0E">
            <w:pPr>
              <w:keepNext/>
              <w:keepLines/>
              <w:widowControl w:val="0"/>
              <w:spacing w:line="240" w:lineRule="auto"/>
              <w:jc w:val="right"/>
              <w:textAlignment w:val="baseline"/>
              <w:rPr>
                <w:rFonts w:ascii="Open Sans Semibold" w:eastAsia="Times New Roman" w:hAnsi="Open Sans Semibold" w:cs="Times New Roman"/>
                <w:color w:val="000000"/>
                <w:sz w:val="16"/>
                <w:szCs w:val="16"/>
                <w:lang w:eastAsia="en-AU"/>
              </w:rPr>
            </w:pPr>
          </w:p>
        </w:tc>
        <w:tc>
          <w:tcPr>
            <w:tcW w:w="20" w:type="dxa"/>
            <w:tcBorders>
              <w:top w:val="nil"/>
              <w:left w:val="nil"/>
              <w:bottom w:val="single" w:sz="6" w:space="0" w:color="ADD6EA"/>
              <w:right w:val="nil"/>
            </w:tcBorders>
            <w:shd w:val="clear" w:color="auto" w:fill="B6D5E4"/>
          </w:tcPr>
          <w:p w14:paraId="03E55E14" w14:textId="77777777" w:rsidR="00381A0E" w:rsidRPr="00433DCB" w:rsidRDefault="00381A0E">
            <w:pPr>
              <w:keepNext/>
              <w:keepLines/>
              <w:widowControl w:val="0"/>
              <w:spacing w:line="240" w:lineRule="auto"/>
              <w:jc w:val="right"/>
              <w:textAlignment w:val="baseline"/>
              <w:rPr>
                <w:rFonts w:ascii="Open Sans Semibold" w:eastAsia="Times New Roman" w:hAnsi="Open Sans Semibold" w:cs="Times New Roman"/>
                <w:color w:val="000000"/>
                <w:sz w:val="16"/>
                <w:szCs w:val="16"/>
                <w:lang w:eastAsia="en-AU"/>
              </w:rPr>
            </w:pPr>
          </w:p>
        </w:tc>
      </w:tr>
      <w:tr w:rsidR="00381A0E" w:rsidRPr="00433DCB" w14:paraId="4F2308D5" w14:textId="77777777">
        <w:trPr>
          <w:trHeight w:val="20"/>
        </w:trPr>
        <w:tc>
          <w:tcPr>
            <w:tcW w:w="993" w:type="dxa"/>
            <w:tcBorders>
              <w:top w:val="single" w:sz="6" w:space="0" w:color="ADD6EA"/>
              <w:left w:val="nil"/>
              <w:bottom w:val="single" w:sz="6" w:space="0" w:color="ADD6EA"/>
              <w:right w:val="nil"/>
            </w:tcBorders>
          </w:tcPr>
          <w:p w14:paraId="4BC8A291" w14:textId="77777777" w:rsidR="00381A0E" w:rsidRPr="005621C9" w:rsidRDefault="00381A0E">
            <w:pPr>
              <w:pStyle w:val="NormalWeb"/>
              <w:keepNext/>
              <w:keepLines/>
              <w:widowControl w:val="0"/>
              <w:ind w:firstLine="84"/>
              <w:rPr>
                <w:rFonts w:ascii="Open Sans Light" w:hAnsi="Open Sans Light" w:cs="Open Sans Light"/>
                <w:color w:val="000000"/>
                <w:sz w:val="16"/>
                <w:szCs w:val="16"/>
              </w:rPr>
            </w:pPr>
            <w:r w:rsidRPr="005621C9">
              <w:rPr>
                <w:rFonts w:ascii="Open Sans Light" w:hAnsi="Open Sans Light" w:cs="Open Sans Light"/>
                <w:color w:val="000000"/>
                <w:sz w:val="16"/>
                <w:szCs w:val="16"/>
              </w:rPr>
              <w:t>Police (a)</w:t>
            </w:r>
          </w:p>
        </w:tc>
        <w:tc>
          <w:tcPr>
            <w:tcW w:w="124" w:type="dxa"/>
            <w:tcBorders>
              <w:top w:val="single" w:sz="6" w:space="0" w:color="ADD6EA"/>
              <w:left w:val="nil"/>
              <w:bottom w:val="single" w:sz="6" w:space="0" w:color="ADD6EA"/>
              <w:right w:val="nil"/>
            </w:tcBorders>
            <w:vAlign w:val="bottom"/>
          </w:tcPr>
          <w:p w14:paraId="6B1169F1" w14:textId="77777777" w:rsidR="00381A0E" w:rsidRPr="00A72958" w:rsidRDefault="00381A0E">
            <w:pPr>
              <w:keepNext/>
              <w:keepLines/>
              <w:widowControl w:val="0"/>
              <w:spacing w:line="240" w:lineRule="auto"/>
              <w:jc w:val="right"/>
              <w:textAlignment w:val="baseline"/>
              <w:rPr>
                <w:rFonts w:ascii="Open Sans Light" w:eastAsia="Times New Roman" w:hAnsi="Open Sans Light" w:cs="Open Sans Light"/>
                <w:sz w:val="16"/>
                <w:szCs w:val="16"/>
                <w:lang w:eastAsia="en-AU"/>
              </w:rPr>
            </w:pPr>
          </w:p>
        </w:tc>
        <w:tc>
          <w:tcPr>
            <w:tcW w:w="1625" w:type="dxa"/>
            <w:tcBorders>
              <w:top w:val="single" w:sz="6" w:space="0" w:color="ADD6EA"/>
              <w:left w:val="nil"/>
              <w:bottom w:val="single" w:sz="6" w:space="0" w:color="ADD6EA"/>
              <w:right w:val="nil"/>
            </w:tcBorders>
          </w:tcPr>
          <w:p w14:paraId="161A3784"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Regional costs</w:t>
            </w:r>
          </w:p>
        </w:tc>
        <w:tc>
          <w:tcPr>
            <w:tcW w:w="3495" w:type="dxa"/>
            <w:tcBorders>
              <w:top w:val="single" w:sz="6" w:space="0" w:color="ADD6EA"/>
              <w:left w:val="nil"/>
              <w:bottom w:val="single" w:sz="6" w:space="0" w:color="ADD6EA"/>
              <w:right w:val="nil"/>
            </w:tcBorders>
          </w:tcPr>
          <w:p w14:paraId="06D08B43"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 xml:space="preserve">Recognises the cost of providing police services increases as the level of remoteness increases. </w:t>
            </w:r>
          </w:p>
        </w:tc>
        <w:tc>
          <w:tcPr>
            <w:tcW w:w="142" w:type="dxa"/>
            <w:tcBorders>
              <w:top w:val="single" w:sz="6" w:space="0" w:color="ADD6EA"/>
              <w:left w:val="nil"/>
              <w:bottom w:val="single" w:sz="6" w:space="0" w:color="ADD6EA"/>
              <w:right w:val="nil"/>
            </w:tcBorders>
          </w:tcPr>
          <w:p w14:paraId="097B47AF"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0" w:type="dxa"/>
            <w:tcBorders>
              <w:top w:val="single" w:sz="6" w:space="0" w:color="ADD6EA"/>
              <w:left w:val="nil"/>
              <w:bottom w:val="single" w:sz="6" w:space="0" w:color="ADD6EA"/>
              <w:right w:val="nil"/>
            </w:tcBorders>
          </w:tcPr>
          <w:p w14:paraId="5979BCD8"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532" w:type="dxa"/>
            <w:tcBorders>
              <w:top w:val="single" w:sz="6" w:space="0" w:color="ADD6EA"/>
              <w:left w:val="nil"/>
              <w:bottom w:val="single" w:sz="6" w:space="0" w:color="ADD6EA"/>
              <w:right w:val="nil"/>
            </w:tcBorders>
          </w:tcPr>
          <w:p w14:paraId="2E4E941E" w14:textId="44549B83"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r w:rsidRPr="00A72958">
              <w:rPr>
                <w:rFonts w:ascii="Open Sans Light" w:eastAsia="Times New Roman" w:hAnsi="Open Sans Light" w:cs="Open Sans Light"/>
                <w:color w:val="000000"/>
                <w:sz w:val="16"/>
                <w:szCs w:val="16"/>
                <w:lang w:eastAsia="en-AU"/>
              </w:rPr>
              <w:t xml:space="preserve">Yes – the Commission is proposing to combine the remote and very remote cost weights and to apportion central costs </w:t>
            </w:r>
            <w:proofErr w:type="gramStart"/>
            <w:r w:rsidRPr="00A72958">
              <w:rPr>
                <w:rFonts w:ascii="Open Sans Light" w:eastAsia="Times New Roman" w:hAnsi="Open Sans Light" w:cs="Open Sans Light"/>
                <w:color w:val="000000"/>
                <w:sz w:val="16"/>
                <w:szCs w:val="16"/>
                <w:lang w:eastAsia="en-AU"/>
              </w:rPr>
              <w:t>on the bas</w:t>
            </w:r>
            <w:r w:rsidR="00956FDC">
              <w:rPr>
                <w:rFonts w:ascii="Open Sans Light" w:eastAsia="Times New Roman" w:hAnsi="Open Sans Light" w:cs="Open Sans Light"/>
                <w:color w:val="000000"/>
                <w:sz w:val="16"/>
                <w:szCs w:val="16"/>
                <w:lang w:eastAsia="en-AU"/>
              </w:rPr>
              <w:t>i</w:t>
            </w:r>
            <w:r w:rsidRPr="00A72958">
              <w:rPr>
                <w:rFonts w:ascii="Open Sans Light" w:eastAsia="Times New Roman" w:hAnsi="Open Sans Light" w:cs="Open Sans Light"/>
                <w:color w:val="000000"/>
                <w:sz w:val="16"/>
                <w:szCs w:val="16"/>
                <w:lang w:eastAsia="en-AU"/>
              </w:rPr>
              <w:t>s of</w:t>
            </w:r>
            <w:proofErr w:type="gramEnd"/>
            <w:r w:rsidRPr="00A72958">
              <w:rPr>
                <w:rFonts w:ascii="Open Sans Light" w:eastAsia="Times New Roman" w:hAnsi="Open Sans Light" w:cs="Open Sans Light"/>
                <w:color w:val="000000"/>
                <w:sz w:val="16"/>
                <w:szCs w:val="16"/>
                <w:lang w:eastAsia="en-AU"/>
              </w:rPr>
              <w:t xml:space="preserve"> 50% </w:t>
            </w:r>
            <w:r w:rsidR="0048556C" w:rsidRPr="00A72958">
              <w:rPr>
                <w:rFonts w:ascii="Open Sans Light" w:eastAsia="Times New Roman" w:hAnsi="Open Sans Light" w:cs="Open Sans Light"/>
                <w:color w:val="000000"/>
                <w:sz w:val="16"/>
                <w:szCs w:val="16"/>
                <w:lang w:eastAsia="en-AU"/>
              </w:rPr>
              <w:t>full-time equivalent</w:t>
            </w:r>
            <w:r w:rsidR="00956FDC">
              <w:rPr>
                <w:rFonts w:ascii="Open Sans Light" w:eastAsia="Times New Roman" w:hAnsi="Open Sans Light" w:cs="Open Sans Light"/>
                <w:color w:val="000000"/>
                <w:sz w:val="16"/>
                <w:szCs w:val="16"/>
                <w:lang w:eastAsia="en-AU"/>
              </w:rPr>
              <w:t xml:space="preserve"> staff</w:t>
            </w:r>
            <w:r w:rsidRPr="00A72958">
              <w:rPr>
                <w:rFonts w:ascii="Open Sans Light" w:eastAsia="Times New Roman" w:hAnsi="Open Sans Light" w:cs="Open Sans Light"/>
                <w:color w:val="000000"/>
                <w:sz w:val="16"/>
                <w:szCs w:val="16"/>
                <w:lang w:eastAsia="en-AU"/>
              </w:rPr>
              <w:t xml:space="preserve"> and 50% district expenses.</w:t>
            </w:r>
          </w:p>
        </w:tc>
        <w:tc>
          <w:tcPr>
            <w:tcW w:w="20" w:type="dxa"/>
            <w:tcBorders>
              <w:top w:val="nil"/>
              <w:left w:val="nil"/>
              <w:bottom w:val="nil"/>
              <w:right w:val="nil"/>
            </w:tcBorders>
          </w:tcPr>
          <w:p w14:paraId="17952116" w14:textId="77777777" w:rsidR="00381A0E" w:rsidRPr="00433DCB" w:rsidRDefault="00381A0E">
            <w:pPr>
              <w:keepNext/>
              <w:keepLines/>
              <w:widowControl w:val="0"/>
              <w:spacing w:line="240" w:lineRule="auto"/>
              <w:textAlignment w:val="baseline"/>
              <w:rPr>
                <w:rFonts w:eastAsia="Times New Roman" w:cs="Segoe UI"/>
                <w:color w:val="000000"/>
                <w:sz w:val="16"/>
                <w:szCs w:val="16"/>
                <w:lang w:eastAsia="en-AU"/>
              </w:rPr>
            </w:pPr>
          </w:p>
        </w:tc>
      </w:tr>
      <w:tr w:rsidR="00381A0E" w:rsidRPr="00433DCB" w14:paraId="1FF085A9" w14:textId="77777777">
        <w:trPr>
          <w:trHeight w:val="20"/>
        </w:trPr>
        <w:tc>
          <w:tcPr>
            <w:tcW w:w="993" w:type="dxa"/>
            <w:tcBorders>
              <w:top w:val="single" w:sz="6" w:space="0" w:color="ADD6EA"/>
              <w:left w:val="nil"/>
              <w:bottom w:val="single" w:sz="6" w:space="0" w:color="ADD6EA"/>
              <w:right w:val="nil"/>
            </w:tcBorders>
          </w:tcPr>
          <w:p w14:paraId="0E16A3EE" w14:textId="77777777" w:rsidR="00381A0E" w:rsidRPr="005621C9" w:rsidRDefault="00381A0E">
            <w:pPr>
              <w:pStyle w:val="NormalWeb"/>
              <w:keepNext/>
              <w:keepLines/>
              <w:widowControl w:val="0"/>
              <w:rPr>
                <w:rFonts w:ascii="Open Sans Light" w:hAnsi="Open Sans Light" w:cs="Open Sans Light"/>
                <w:color w:val="000000"/>
                <w:sz w:val="16"/>
                <w:szCs w:val="16"/>
              </w:rPr>
            </w:pPr>
          </w:p>
        </w:tc>
        <w:tc>
          <w:tcPr>
            <w:tcW w:w="124" w:type="dxa"/>
            <w:tcBorders>
              <w:top w:val="single" w:sz="6" w:space="0" w:color="ADD6EA"/>
              <w:left w:val="nil"/>
              <w:bottom w:val="single" w:sz="6" w:space="0" w:color="ADD6EA"/>
              <w:right w:val="nil"/>
            </w:tcBorders>
            <w:vAlign w:val="bottom"/>
          </w:tcPr>
          <w:p w14:paraId="159B9F0E" w14:textId="77777777" w:rsidR="00381A0E" w:rsidRPr="00A72958" w:rsidRDefault="00381A0E">
            <w:pPr>
              <w:keepNext/>
              <w:keepLines/>
              <w:widowControl w:val="0"/>
              <w:spacing w:line="240" w:lineRule="auto"/>
              <w:jc w:val="right"/>
              <w:textAlignment w:val="baseline"/>
              <w:rPr>
                <w:rFonts w:ascii="Open Sans Light" w:eastAsia="Times New Roman" w:hAnsi="Open Sans Light" w:cs="Open Sans Light"/>
                <w:sz w:val="16"/>
                <w:szCs w:val="16"/>
                <w:lang w:eastAsia="en-AU"/>
              </w:rPr>
            </w:pPr>
          </w:p>
        </w:tc>
        <w:tc>
          <w:tcPr>
            <w:tcW w:w="1625" w:type="dxa"/>
            <w:tcBorders>
              <w:top w:val="single" w:sz="6" w:space="0" w:color="ADD6EA"/>
              <w:left w:val="nil"/>
              <w:bottom w:val="single" w:sz="6" w:space="0" w:color="ADD6EA"/>
              <w:right w:val="nil"/>
            </w:tcBorders>
          </w:tcPr>
          <w:p w14:paraId="0E319B67"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 xml:space="preserve">Socio-demographic composition  </w:t>
            </w:r>
          </w:p>
        </w:tc>
        <w:tc>
          <w:tcPr>
            <w:tcW w:w="3495" w:type="dxa"/>
            <w:tcBorders>
              <w:top w:val="single" w:sz="6" w:space="0" w:color="ADD6EA"/>
              <w:left w:val="nil"/>
              <w:bottom w:val="single" w:sz="6" w:space="0" w:color="ADD6EA"/>
              <w:right w:val="nil"/>
            </w:tcBorders>
          </w:tcPr>
          <w:p w14:paraId="2023848E"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Recognises that certain population characteristics (Indigenous status, age, and SES) affect the degree of police activity.</w:t>
            </w:r>
          </w:p>
        </w:tc>
        <w:tc>
          <w:tcPr>
            <w:tcW w:w="142" w:type="dxa"/>
            <w:tcBorders>
              <w:top w:val="single" w:sz="6" w:space="0" w:color="ADD6EA"/>
              <w:left w:val="nil"/>
              <w:bottom w:val="single" w:sz="6" w:space="0" w:color="ADD6EA"/>
              <w:right w:val="nil"/>
            </w:tcBorders>
          </w:tcPr>
          <w:p w14:paraId="0DA0EFAA"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0" w:type="dxa"/>
            <w:tcBorders>
              <w:top w:val="single" w:sz="6" w:space="0" w:color="ADD6EA"/>
              <w:left w:val="nil"/>
              <w:bottom w:val="single" w:sz="6" w:space="0" w:color="ADD6EA"/>
              <w:right w:val="nil"/>
            </w:tcBorders>
          </w:tcPr>
          <w:p w14:paraId="72170972"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532" w:type="dxa"/>
            <w:tcBorders>
              <w:top w:val="single" w:sz="6" w:space="0" w:color="ADD6EA"/>
              <w:left w:val="nil"/>
              <w:bottom w:val="single" w:sz="6" w:space="0" w:color="ADD6EA"/>
              <w:right w:val="nil"/>
            </w:tcBorders>
          </w:tcPr>
          <w:p w14:paraId="78D25F8F"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r w:rsidRPr="00A72958">
              <w:rPr>
                <w:rFonts w:ascii="Open Sans Light" w:eastAsia="Times New Roman" w:hAnsi="Open Sans Light" w:cs="Open Sans Light"/>
                <w:color w:val="000000"/>
                <w:sz w:val="16"/>
                <w:szCs w:val="16"/>
                <w:lang w:eastAsia="en-AU"/>
              </w:rPr>
              <w:t>Yes – the Commission is proposing to use a 5-tier structure for First Nations socio-economic status.</w:t>
            </w:r>
          </w:p>
        </w:tc>
        <w:tc>
          <w:tcPr>
            <w:tcW w:w="20" w:type="dxa"/>
            <w:tcBorders>
              <w:top w:val="nil"/>
              <w:left w:val="nil"/>
              <w:bottom w:val="nil"/>
              <w:right w:val="nil"/>
            </w:tcBorders>
          </w:tcPr>
          <w:p w14:paraId="39A8E89C" w14:textId="77777777" w:rsidR="00381A0E" w:rsidRPr="00433DCB" w:rsidRDefault="00381A0E">
            <w:pPr>
              <w:keepNext/>
              <w:keepLines/>
              <w:widowControl w:val="0"/>
              <w:spacing w:line="240" w:lineRule="auto"/>
              <w:textAlignment w:val="baseline"/>
              <w:rPr>
                <w:rFonts w:eastAsia="Times New Roman" w:cs="Segoe UI"/>
                <w:color w:val="000000"/>
                <w:sz w:val="16"/>
                <w:szCs w:val="16"/>
                <w:lang w:eastAsia="en-AU"/>
              </w:rPr>
            </w:pPr>
          </w:p>
        </w:tc>
      </w:tr>
      <w:tr w:rsidR="00381A0E" w:rsidRPr="00433DCB" w14:paraId="179DE988" w14:textId="77777777">
        <w:trPr>
          <w:trHeight w:val="20"/>
        </w:trPr>
        <w:tc>
          <w:tcPr>
            <w:tcW w:w="993" w:type="dxa"/>
            <w:tcBorders>
              <w:top w:val="single" w:sz="6" w:space="0" w:color="ADD6EA"/>
              <w:left w:val="nil"/>
              <w:bottom w:val="single" w:sz="6" w:space="0" w:color="ADD6EA"/>
              <w:right w:val="nil"/>
            </w:tcBorders>
          </w:tcPr>
          <w:p w14:paraId="694467D4" w14:textId="77777777" w:rsidR="00381A0E" w:rsidRPr="005621C9" w:rsidRDefault="00381A0E">
            <w:pPr>
              <w:pStyle w:val="NormalWeb"/>
              <w:keepNext/>
              <w:keepLines/>
              <w:widowControl w:val="0"/>
              <w:rPr>
                <w:rFonts w:ascii="Open Sans Light" w:hAnsi="Open Sans Light" w:cs="Open Sans Light"/>
                <w:color w:val="000000"/>
                <w:sz w:val="16"/>
                <w:szCs w:val="16"/>
              </w:rPr>
            </w:pPr>
          </w:p>
        </w:tc>
        <w:tc>
          <w:tcPr>
            <w:tcW w:w="124" w:type="dxa"/>
            <w:tcBorders>
              <w:top w:val="single" w:sz="6" w:space="0" w:color="ADD6EA"/>
              <w:left w:val="nil"/>
              <w:bottom w:val="single" w:sz="6" w:space="0" w:color="ADD6EA"/>
              <w:right w:val="nil"/>
            </w:tcBorders>
            <w:vAlign w:val="bottom"/>
          </w:tcPr>
          <w:p w14:paraId="00501C24" w14:textId="77777777" w:rsidR="00381A0E" w:rsidRPr="00A72958" w:rsidRDefault="00381A0E">
            <w:pPr>
              <w:keepNext/>
              <w:keepLines/>
              <w:widowControl w:val="0"/>
              <w:spacing w:line="240" w:lineRule="auto"/>
              <w:jc w:val="right"/>
              <w:textAlignment w:val="baseline"/>
              <w:rPr>
                <w:rFonts w:ascii="Open Sans Light" w:eastAsia="Times New Roman" w:hAnsi="Open Sans Light" w:cs="Open Sans Light"/>
                <w:sz w:val="16"/>
                <w:szCs w:val="16"/>
                <w:lang w:eastAsia="en-AU"/>
              </w:rPr>
            </w:pPr>
          </w:p>
        </w:tc>
        <w:tc>
          <w:tcPr>
            <w:tcW w:w="1625" w:type="dxa"/>
            <w:tcBorders>
              <w:top w:val="single" w:sz="6" w:space="0" w:color="ADD6EA"/>
              <w:left w:val="nil"/>
              <w:bottom w:val="single" w:sz="6" w:space="0" w:color="ADD6EA"/>
              <w:right w:val="nil"/>
            </w:tcBorders>
          </w:tcPr>
          <w:p w14:paraId="1C5448AD"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Wage costs (c)</w:t>
            </w:r>
          </w:p>
        </w:tc>
        <w:tc>
          <w:tcPr>
            <w:tcW w:w="3495" w:type="dxa"/>
            <w:tcBorders>
              <w:top w:val="single" w:sz="6" w:space="0" w:color="ADD6EA"/>
              <w:left w:val="nil"/>
              <w:bottom w:val="single" w:sz="6" w:space="0" w:color="ADD6EA"/>
              <w:right w:val="nil"/>
            </w:tcBorders>
          </w:tcPr>
          <w:p w14:paraId="6874E625"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Recognises differences in wage costs between states.</w:t>
            </w:r>
          </w:p>
        </w:tc>
        <w:tc>
          <w:tcPr>
            <w:tcW w:w="142" w:type="dxa"/>
            <w:tcBorders>
              <w:top w:val="single" w:sz="6" w:space="0" w:color="ADD6EA"/>
              <w:left w:val="nil"/>
              <w:bottom w:val="single" w:sz="6" w:space="0" w:color="ADD6EA"/>
              <w:right w:val="nil"/>
            </w:tcBorders>
          </w:tcPr>
          <w:p w14:paraId="67AE04BD"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0" w:type="dxa"/>
            <w:tcBorders>
              <w:top w:val="single" w:sz="6" w:space="0" w:color="ADD6EA"/>
              <w:left w:val="nil"/>
              <w:bottom w:val="single" w:sz="6" w:space="0" w:color="ADD6EA"/>
              <w:right w:val="nil"/>
            </w:tcBorders>
          </w:tcPr>
          <w:p w14:paraId="19F8A4B3"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532" w:type="dxa"/>
            <w:tcBorders>
              <w:top w:val="single" w:sz="6" w:space="0" w:color="ADD6EA"/>
              <w:left w:val="nil"/>
              <w:bottom w:val="single" w:sz="6" w:space="0" w:color="ADD6EA"/>
              <w:right w:val="nil"/>
            </w:tcBorders>
          </w:tcPr>
          <w:p w14:paraId="72D318ED"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r w:rsidRPr="00A72958">
              <w:rPr>
                <w:rFonts w:ascii="Open Sans Light" w:eastAsia="Times New Roman" w:hAnsi="Open Sans Light" w:cs="Open Sans Light"/>
                <w:color w:val="000000"/>
                <w:sz w:val="16"/>
                <w:szCs w:val="16"/>
                <w:lang w:eastAsia="en-AU"/>
              </w:rPr>
              <w:t xml:space="preserve">No </w:t>
            </w:r>
          </w:p>
        </w:tc>
        <w:tc>
          <w:tcPr>
            <w:tcW w:w="20" w:type="dxa"/>
            <w:tcBorders>
              <w:top w:val="nil"/>
              <w:left w:val="nil"/>
              <w:bottom w:val="nil"/>
              <w:right w:val="nil"/>
            </w:tcBorders>
          </w:tcPr>
          <w:p w14:paraId="27703B41" w14:textId="77777777" w:rsidR="00381A0E" w:rsidRPr="00433DCB" w:rsidRDefault="00381A0E">
            <w:pPr>
              <w:keepNext/>
              <w:keepLines/>
              <w:widowControl w:val="0"/>
              <w:spacing w:line="240" w:lineRule="auto"/>
              <w:textAlignment w:val="baseline"/>
              <w:rPr>
                <w:rFonts w:eastAsia="Times New Roman" w:cs="Segoe UI"/>
                <w:color w:val="000000"/>
                <w:sz w:val="16"/>
                <w:szCs w:val="16"/>
                <w:lang w:eastAsia="en-AU"/>
              </w:rPr>
            </w:pPr>
          </w:p>
        </w:tc>
      </w:tr>
      <w:tr w:rsidR="00381A0E" w:rsidRPr="00FF64C4" w14:paraId="58F475B3" w14:textId="77777777">
        <w:trPr>
          <w:trHeight w:val="20"/>
        </w:trPr>
        <w:tc>
          <w:tcPr>
            <w:tcW w:w="993" w:type="dxa"/>
            <w:tcBorders>
              <w:top w:val="single" w:sz="6" w:space="0" w:color="ADD6EA"/>
              <w:left w:val="nil"/>
              <w:bottom w:val="single" w:sz="6" w:space="0" w:color="ADD6EA"/>
              <w:right w:val="nil"/>
            </w:tcBorders>
          </w:tcPr>
          <w:p w14:paraId="2014D3BC" w14:textId="77777777" w:rsidR="00381A0E" w:rsidRPr="005621C9" w:rsidRDefault="00381A0E">
            <w:pPr>
              <w:pStyle w:val="NormalWeb"/>
              <w:keepNext/>
              <w:keepLines/>
              <w:widowControl w:val="0"/>
              <w:rPr>
                <w:rFonts w:ascii="Open Sans Light" w:hAnsi="Open Sans Light" w:cs="Open Sans Light"/>
                <w:color w:val="000000"/>
                <w:sz w:val="16"/>
                <w:szCs w:val="16"/>
              </w:rPr>
            </w:pPr>
            <w:r w:rsidRPr="005621C9">
              <w:rPr>
                <w:rFonts w:ascii="Open Sans Light" w:hAnsi="Open Sans Light" w:cs="Open Sans Light"/>
                <w:color w:val="000000"/>
                <w:sz w:val="16"/>
                <w:szCs w:val="16"/>
              </w:rPr>
              <w:t>Criminal courts (b)</w:t>
            </w:r>
          </w:p>
        </w:tc>
        <w:tc>
          <w:tcPr>
            <w:tcW w:w="124" w:type="dxa"/>
            <w:tcBorders>
              <w:top w:val="single" w:sz="6" w:space="0" w:color="ADD6EA"/>
              <w:left w:val="nil"/>
              <w:bottom w:val="single" w:sz="6" w:space="0" w:color="ADD6EA"/>
              <w:right w:val="nil"/>
            </w:tcBorders>
            <w:vAlign w:val="bottom"/>
          </w:tcPr>
          <w:p w14:paraId="5A0B9828" w14:textId="77777777" w:rsidR="00381A0E" w:rsidRPr="00A72958" w:rsidRDefault="00381A0E">
            <w:pPr>
              <w:keepNext/>
              <w:keepLines/>
              <w:widowControl w:val="0"/>
              <w:spacing w:line="240" w:lineRule="auto"/>
              <w:jc w:val="right"/>
              <w:textAlignment w:val="baseline"/>
              <w:rPr>
                <w:rFonts w:ascii="Open Sans Light" w:eastAsia="Times New Roman" w:hAnsi="Open Sans Light" w:cs="Open Sans Light"/>
                <w:sz w:val="16"/>
                <w:szCs w:val="16"/>
                <w:lang w:eastAsia="en-AU"/>
              </w:rPr>
            </w:pPr>
          </w:p>
        </w:tc>
        <w:tc>
          <w:tcPr>
            <w:tcW w:w="1625" w:type="dxa"/>
            <w:tcBorders>
              <w:top w:val="single" w:sz="6" w:space="0" w:color="ADD6EA"/>
              <w:left w:val="nil"/>
              <w:bottom w:val="single" w:sz="6" w:space="0" w:color="ADD6EA"/>
              <w:right w:val="nil"/>
            </w:tcBorders>
          </w:tcPr>
          <w:p w14:paraId="09D90D9A"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 xml:space="preserve">Socio-demographic composition </w:t>
            </w:r>
          </w:p>
        </w:tc>
        <w:tc>
          <w:tcPr>
            <w:tcW w:w="3495" w:type="dxa"/>
            <w:tcBorders>
              <w:top w:val="single" w:sz="6" w:space="0" w:color="ADD6EA"/>
              <w:left w:val="nil"/>
              <w:bottom w:val="single" w:sz="6" w:space="0" w:color="ADD6EA"/>
              <w:right w:val="nil"/>
            </w:tcBorders>
          </w:tcPr>
          <w:p w14:paraId="66EB82F7"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Recognises that certain population characteristics (Indigenous status, age, and SES) affect the use of criminal court services.</w:t>
            </w:r>
          </w:p>
        </w:tc>
        <w:tc>
          <w:tcPr>
            <w:tcW w:w="142" w:type="dxa"/>
            <w:tcBorders>
              <w:top w:val="single" w:sz="6" w:space="0" w:color="ADD6EA"/>
              <w:left w:val="nil"/>
              <w:bottom w:val="single" w:sz="6" w:space="0" w:color="ADD6EA"/>
              <w:right w:val="nil"/>
            </w:tcBorders>
          </w:tcPr>
          <w:p w14:paraId="740C3C82"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0" w:type="dxa"/>
            <w:tcBorders>
              <w:top w:val="single" w:sz="6" w:space="0" w:color="ADD6EA"/>
              <w:left w:val="nil"/>
              <w:bottom w:val="single" w:sz="6" w:space="0" w:color="ADD6EA"/>
              <w:right w:val="nil"/>
            </w:tcBorders>
          </w:tcPr>
          <w:p w14:paraId="147A2DF5"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532" w:type="dxa"/>
            <w:tcBorders>
              <w:top w:val="single" w:sz="6" w:space="0" w:color="ADD6EA"/>
              <w:left w:val="nil"/>
              <w:bottom w:val="single" w:sz="6" w:space="0" w:color="ADD6EA"/>
              <w:right w:val="nil"/>
            </w:tcBorders>
          </w:tcPr>
          <w:p w14:paraId="2E41C4AE"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r w:rsidRPr="00A72958">
              <w:rPr>
                <w:rFonts w:ascii="Open Sans Light" w:eastAsia="Times New Roman" w:hAnsi="Open Sans Light" w:cs="Open Sans Light"/>
                <w:color w:val="000000"/>
                <w:sz w:val="16"/>
                <w:szCs w:val="16"/>
                <w:lang w:eastAsia="en-AU"/>
              </w:rPr>
              <w:t>Yes – not-stated Indigenous status responses will be attributed in proportion to stated responses.</w:t>
            </w:r>
          </w:p>
        </w:tc>
        <w:tc>
          <w:tcPr>
            <w:tcW w:w="20" w:type="dxa"/>
            <w:tcBorders>
              <w:top w:val="nil"/>
              <w:left w:val="nil"/>
              <w:bottom w:val="nil"/>
              <w:right w:val="nil"/>
            </w:tcBorders>
          </w:tcPr>
          <w:p w14:paraId="2C23154A" w14:textId="77777777" w:rsidR="00381A0E" w:rsidRPr="00FF64C4" w:rsidRDefault="00381A0E">
            <w:pPr>
              <w:keepNext/>
              <w:keepLines/>
              <w:widowControl w:val="0"/>
              <w:spacing w:line="240" w:lineRule="auto"/>
              <w:textAlignment w:val="baseline"/>
              <w:rPr>
                <w:rFonts w:eastAsia="Times New Roman" w:cs="Segoe UI"/>
                <w:color w:val="000000"/>
                <w:sz w:val="16"/>
                <w:szCs w:val="16"/>
                <w:lang w:eastAsia="en-AU"/>
              </w:rPr>
            </w:pPr>
          </w:p>
        </w:tc>
      </w:tr>
      <w:tr w:rsidR="00381A0E" w:rsidRPr="00FF64C4" w14:paraId="40722018" w14:textId="77777777">
        <w:trPr>
          <w:trHeight w:val="20"/>
        </w:trPr>
        <w:tc>
          <w:tcPr>
            <w:tcW w:w="993" w:type="dxa"/>
            <w:tcBorders>
              <w:top w:val="single" w:sz="6" w:space="0" w:color="ADD6EA"/>
              <w:left w:val="nil"/>
              <w:bottom w:val="single" w:sz="6" w:space="0" w:color="ADD6EA"/>
              <w:right w:val="nil"/>
            </w:tcBorders>
          </w:tcPr>
          <w:p w14:paraId="3554283F" w14:textId="77777777" w:rsidR="00381A0E" w:rsidRPr="005621C9" w:rsidRDefault="00381A0E">
            <w:pPr>
              <w:pStyle w:val="NormalWeb"/>
              <w:keepNext/>
              <w:keepLines/>
              <w:widowControl w:val="0"/>
              <w:rPr>
                <w:rFonts w:ascii="Open Sans Light" w:hAnsi="Open Sans Light" w:cs="Open Sans Light"/>
                <w:color w:val="000000"/>
                <w:sz w:val="16"/>
                <w:szCs w:val="16"/>
              </w:rPr>
            </w:pPr>
          </w:p>
        </w:tc>
        <w:tc>
          <w:tcPr>
            <w:tcW w:w="124" w:type="dxa"/>
            <w:tcBorders>
              <w:top w:val="single" w:sz="6" w:space="0" w:color="ADD6EA"/>
              <w:left w:val="nil"/>
              <w:bottom w:val="single" w:sz="6" w:space="0" w:color="ADD6EA"/>
              <w:right w:val="nil"/>
            </w:tcBorders>
            <w:vAlign w:val="bottom"/>
          </w:tcPr>
          <w:p w14:paraId="7898D904" w14:textId="77777777" w:rsidR="00381A0E" w:rsidRPr="00A72958" w:rsidRDefault="00381A0E">
            <w:pPr>
              <w:keepNext/>
              <w:keepLines/>
              <w:widowControl w:val="0"/>
              <w:spacing w:line="240" w:lineRule="auto"/>
              <w:jc w:val="right"/>
              <w:textAlignment w:val="baseline"/>
              <w:rPr>
                <w:rFonts w:ascii="Open Sans Light" w:eastAsia="Times New Roman" w:hAnsi="Open Sans Light" w:cs="Open Sans Light"/>
                <w:sz w:val="16"/>
                <w:szCs w:val="16"/>
                <w:lang w:eastAsia="en-AU"/>
              </w:rPr>
            </w:pPr>
          </w:p>
        </w:tc>
        <w:tc>
          <w:tcPr>
            <w:tcW w:w="1625" w:type="dxa"/>
            <w:tcBorders>
              <w:top w:val="single" w:sz="6" w:space="0" w:color="ADD6EA"/>
              <w:left w:val="nil"/>
              <w:bottom w:val="single" w:sz="6" w:space="0" w:color="ADD6EA"/>
              <w:right w:val="nil"/>
            </w:tcBorders>
          </w:tcPr>
          <w:p w14:paraId="1ACA7062"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Wage costs (c)</w:t>
            </w:r>
          </w:p>
        </w:tc>
        <w:tc>
          <w:tcPr>
            <w:tcW w:w="3495" w:type="dxa"/>
            <w:tcBorders>
              <w:top w:val="single" w:sz="6" w:space="0" w:color="ADD6EA"/>
              <w:left w:val="nil"/>
              <w:bottom w:val="single" w:sz="6" w:space="0" w:color="ADD6EA"/>
              <w:right w:val="nil"/>
            </w:tcBorders>
          </w:tcPr>
          <w:p w14:paraId="634611E0"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Recognises differences in wage costs between states.</w:t>
            </w:r>
          </w:p>
        </w:tc>
        <w:tc>
          <w:tcPr>
            <w:tcW w:w="142" w:type="dxa"/>
            <w:tcBorders>
              <w:top w:val="single" w:sz="6" w:space="0" w:color="ADD6EA"/>
              <w:left w:val="nil"/>
              <w:bottom w:val="single" w:sz="6" w:space="0" w:color="ADD6EA"/>
              <w:right w:val="nil"/>
            </w:tcBorders>
          </w:tcPr>
          <w:p w14:paraId="1228BA03"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0" w:type="dxa"/>
            <w:tcBorders>
              <w:top w:val="single" w:sz="6" w:space="0" w:color="ADD6EA"/>
              <w:left w:val="nil"/>
              <w:bottom w:val="single" w:sz="6" w:space="0" w:color="ADD6EA"/>
              <w:right w:val="nil"/>
            </w:tcBorders>
          </w:tcPr>
          <w:p w14:paraId="3F74AD54"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532" w:type="dxa"/>
            <w:tcBorders>
              <w:top w:val="single" w:sz="6" w:space="0" w:color="ADD6EA"/>
              <w:left w:val="nil"/>
              <w:bottom w:val="single" w:sz="6" w:space="0" w:color="ADD6EA"/>
              <w:right w:val="nil"/>
            </w:tcBorders>
          </w:tcPr>
          <w:p w14:paraId="7A2A37BE"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r w:rsidRPr="00A72958">
              <w:rPr>
                <w:rFonts w:ascii="Open Sans Light" w:eastAsia="Times New Roman" w:hAnsi="Open Sans Light" w:cs="Open Sans Light"/>
                <w:color w:val="000000"/>
                <w:sz w:val="16"/>
                <w:szCs w:val="16"/>
                <w:lang w:eastAsia="en-AU"/>
              </w:rPr>
              <w:t xml:space="preserve">No </w:t>
            </w:r>
          </w:p>
        </w:tc>
        <w:tc>
          <w:tcPr>
            <w:tcW w:w="20" w:type="dxa"/>
            <w:tcBorders>
              <w:top w:val="nil"/>
              <w:left w:val="nil"/>
              <w:bottom w:val="nil"/>
              <w:right w:val="nil"/>
            </w:tcBorders>
          </w:tcPr>
          <w:p w14:paraId="40A9781F" w14:textId="77777777" w:rsidR="00381A0E" w:rsidRPr="00FF64C4" w:rsidRDefault="00381A0E">
            <w:pPr>
              <w:keepNext/>
              <w:keepLines/>
              <w:widowControl w:val="0"/>
              <w:spacing w:line="240" w:lineRule="auto"/>
              <w:textAlignment w:val="baseline"/>
              <w:rPr>
                <w:rFonts w:eastAsia="Times New Roman" w:cs="Segoe UI"/>
                <w:color w:val="000000"/>
                <w:sz w:val="16"/>
                <w:szCs w:val="16"/>
                <w:lang w:eastAsia="en-AU"/>
              </w:rPr>
            </w:pPr>
          </w:p>
        </w:tc>
      </w:tr>
      <w:tr w:rsidR="00381A0E" w:rsidRPr="00FF64C4" w14:paraId="25D2795C" w14:textId="77777777">
        <w:trPr>
          <w:trHeight w:val="20"/>
        </w:trPr>
        <w:tc>
          <w:tcPr>
            <w:tcW w:w="993" w:type="dxa"/>
            <w:tcBorders>
              <w:top w:val="single" w:sz="6" w:space="0" w:color="ADD6EA"/>
              <w:left w:val="nil"/>
              <w:bottom w:val="single" w:sz="6" w:space="0" w:color="ADD6EA"/>
              <w:right w:val="nil"/>
            </w:tcBorders>
          </w:tcPr>
          <w:p w14:paraId="75460298" w14:textId="77777777" w:rsidR="00381A0E" w:rsidRPr="005621C9" w:rsidRDefault="00381A0E">
            <w:pPr>
              <w:pStyle w:val="NormalWeb"/>
              <w:keepNext/>
              <w:keepLines/>
              <w:widowControl w:val="0"/>
              <w:rPr>
                <w:rFonts w:ascii="Open Sans Light" w:hAnsi="Open Sans Light" w:cs="Open Sans Light"/>
                <w:color w:val="000000"/>
                <w:sz w:val="16"/>
                <w:szCs w:val="16"/>
              </w:rPr>
            </w:pPr>
            <w:r w:rsidRPr="005621C9">
              <w:rPr>
                <w:rFonts w:ascii="Open Sans Light" w:hAnsi="Open Sans Light" w:cs="Open Sans Light"/>
                <w:color w:val="000000"/>
                <w:sz w:val="16"/>
                <w:szCs w:val="16"/>
              </w:rPr>
              <w:t>Other legal services (b)</w:t>
            </w:r>
          </w:p>
        </w:tc>
        <w:tc>
          <w:tcPr>
            <w:tcW w:w="124" w:type="dxa"/>
            <w:tcBorders>
              <w:top w:val="single" w:sz="6" w:space="0" w:color="ADD6EA"/>
              <w:left w:val="nil"/>
              <w:bottom w:val="single" w:sz="6" w:space="0" w:color="ADD6EA"/>
              <w:right w:val="nil"/>
            </w:tcBorders>
            <w:vAlign w:val="bottom"/>
          </w:tcPr>
          <w:p w14:paraId="19DE852C" w14:textId="77777777" w:rsidR="00381A0E" w:rsidRPr="00A72958" w:rsidRDefault="00381A0E">
            <w:pPr>
              <w:keepNext/>
              <w:keepLines/>
              <w:widowControl w:val="0"/>
              <w:spacing w:line="240" w:lineRule="auto"/>
              <w:jc w:val="right"/>
              <w:textAlignment w:val="baseline"/>
              <w:rPr>
                <w:rFonts w:ascii="Open Sans Light" w:eastAsia="Times New Roman" w:hAnsi="Open Sans Light" w:cs="Open Sans Light"/>
                <w:sz w:val="16"/>
                <w:szCs w:val="16"/>
                <w:lang w:eastAsia="en-AU"/>
              </w:rPr>
            </w:pPr>
          </w:p>
        </w:tc>
        <w:tc>
          <w:tcPr>
            <w:tcW w:w="1625" w:type="dxa"/>
            <w:tcBorders>
              <w:top w:val="single" w:sz="6" w:space="0" w:color="ADD6EA"/>
              <w:left w:val="nil"/>
              <w:bottom w:val="single" w:sz="6" w:space="0" w:color="ADD6EA"/>
              <w:right w:val="nil"/>
            </w:tcBorders>
          </w:tcPr>
          <w:p w14:paraId="08A79785"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Non-deliberative equal per capita</w:t>
            </w:r>
          </w:p>
        </w:tc>
        <w:tc>
          <w:tcPr>
            <w:tcW w:w="3495" w:type="dxa"/>
            <w:tcBorders>
              <w:top w:val="single" w:sz="6" w:space="0" w:color="ADD6EA"/>
              <w:left w:val="nil"/>
              <w:bottom w:val="single" w:sz="6" w:space="0" w:color="ADD6EA"/>
              <w:right w:val="nil"/>
            </w:tcBorders>
          </w:tcPr>
          <w:p w14:paraId="206C7514"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These expenses are not differentially assessed.</w:t>
            </w:r>
          </w:p>
        </w:tc>
        <w:tc>
          <w:tcPr>
            <w:tcW w:w="142" w:type="dxa"/>
            <w:tcBorders>
              <w:top w:val="single" w:sz="6" w:space="0" w:color="ADD6EA"/>
              <w:left w:val="nil"/>
              <w:bottom w:val="single" w:sz="6" w:space="0" w:color="ADD6EA"/>
              <w:right w:val="nil"/>
            </w:tcBorders>
          </w:tcPr>
          <w:p w14:paraId="7BD436BC"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0" w:type="dxa"/>
            <w:tcBorders>
              <w:top w:val="single" w:sz="6" w:space="0" w:color="ADD6EA"/>
              <w:left w:val="nil"/>
              <w:bottom w:val="single" w:sz="6" w:space="0" w:color="ADD6EA"/>
              <w:right w:val="nil"/>
            </w:tcBorders>
          </w:tcPr>
          <w:p w14:paraId="1744CC86"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532" w:type="dxa"/>
            <w:tcBorders>
              <w:top w:val="single" w:sz="6" w:space="0" w:color="ADD6EA"/>
              <w:left w:val="nil"/>
              <w:bottom w:val="single" w:sz="6" w:space="0" w:color="ADD6EA"/>
              <w:right w:val="nil"/>
            </w:tcBorders>
          </w:tcPr>
          <w:p w14:paraId="4566FED4"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r w:rsidRPr="00A72958">
              <w:rPr>
                <w:rFonts w:ascii="Open Sans Light" w:eastAsia="Times New Roman" w:hAnsi="Open Sans Light" w:cs="Open Sans Light"/>
                <w:color w:val="000000"/>
                <w:sz w:val="16"/>
                <w:szCs w:val="16"/>
                <w:lang w:eastAsia="en-AU"/>
              </w:rPr>
              <w:t>No</w:t>
            </w:r>
          </w:p>
        </w:tc>
        <w:tc>
          <w:tcPr>
            <w:tcW w:w="20" w:type="dxa"/>
            <w:tcBorders>
              <w:top w:val="nil"/>
              <w:left w:val="nil"/>
              <w:bottom w:val="nil"/>
              <w:right w:val="nil"/>
            </w:tcBorders>
          </w:tcPr>
          <w:p w14:paraId="1B4AF62A" w14:textId="77777777" w:rsidR="00381A0E" w:rsidRPr="00FF64C4" w:rsidRDefault="00381A0E">
            <w:pPr>
              <w:keepNext/>
              <w:keepLines/>
              <w:widowControl w:val="0"/>
              <w:spacing w:line="240" w:lineRule="auto"/>
              <w:textAlignment w:val="baseline"/>
              <w:rPr>
                <w:rFonts w:eastAsia="Times New Roman" w:cs="Segoe UI"/>
                <w:color w:val="000000"/>
                <w:sz w:val="16"/>
                <w:szCs w:val="16"/>
                <w:lang w:eastAsia="en-AU"/>
              </w:rPr>
            </w:pPr>
          </w:p>
        </w:tc>
      </w:tr>
      <w:tr w:rsidR="00381A0E" w:rsidRPr="00FF64C4" w14:paraId="73FA19D1" w14:textId="77777777">
        <w:trPr>
          <w:trHeight w:val="20"/>
        </w:trPr>
        <w:tc>
          <w:tcPr>
            <w:tcW w:w="993" w:type="dxa"/>
            <w:tcBorders>
              <w:top w:val="single" w:sz="6" w:space="0" w:color="ADD6EA"/>
              <w:left w:val="nil"/>
              <w:bottom w:val="single" w:sz="6" w:space="0" w:color="ADD6EA"/>
              <w:right w:val="nil"/>
            </w:tcBorders>
          </w:tcPr>
          <w:p w14:paraId="16867892" w14:textId="77777777" w:rsidR="00381A0E" w:rsidRPr="005621C9" w:rsidRDefault="00381A0E">
            <w:pPr>
              <w:pStyle w:val="NormalWeb"/>
              <w:keepNext/>
              <w:keepLines/>
              <w:widowControl w:val="0"/>
              <w:rPr>
                <w:rFonts w:ascii="Open Sans Light" w:hAnsi="Open Sans Light" w:cs="Open Sans Light"/>
                <w:color w:val="000000"/>
                <w:sz w:val="16"/>
                <w:szCs w:val="16"/>
              </w:rPr>
            </w:pPr>
          </w:p>
        </w:tc>
        <w:tc>
          <w:tcPr>
            <w:tcW w:w="124" w:type="dxa"/>
            <w:tcBorders>
              <w:top w:val="single" w:sz="6" w:space="0" w:color="ADD6EA"/>
              <w:left w:val="nil"/>
              <w:bottom w:val="single" w:sz="6" w:space="0" w:color="ADD6EA"/>
              <w:right w:val="nil"/>
            </w:tcBorders>
            <w:vAlign w:val="bottom"/>
          </w:tcPr>
          <w:p w14:paraId="3FCC2AB8" w14:textId="77777777" w:rsidR="00381A0E" w:rsidRPr="00A72958" w:rsidRDefault="00381A0E">
            <w:pPr>
              <w:keepNext/>
              <w:keepLines/>
              <w:widowControl w:val="0"/>
              <w:spacing w:line="240" w:lineRule="auto"/>
              <w:jc w:val="right"/>
              <w:textAlignment w:val="baseline"/>
              <w:rPr>
                <w:rFonts w:ascii="Open Sans Light" w:eastAsia="Times New Roman" w:hAnsi="Open Sans Light" w:cs="Open Sans Light"/>
                <w:sz w:val="16"/>
                <w:szCs w:val="16"/>
                <w:lang w:eastAsia="en-AU"/>
              </w:rPr>
            </w:pPr>
          </w:p>
        </w:tc>
        <w:tc>
          <w:tcPr>
            <w:tcW w:w="1625" w:type="dxa"/>
            <w:tcBorders>
              <w:top w:val="single" w:sz="6" w:space="0" w:color="ADD6EA"/>
              <w:left w:val="nil"/>
              <w:bottom w:val="single" w:sz="6" w:space="0" w:color="ADD6EA"/>
              <w:right w:val="nil"/>
            </w:tcBorders>
          </w:tcPr>
          <w:p w14:paraId="168F98BB"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Wage costs (c)</w:t>
            </w:r>
          </w:p>
        </w:tc>
        <w:tc>
          <w:tcPr>
            <w:tcW w:w="3495" w:type="dxa"/>
            <w:tcBorders>
              <w:top w:val="single" w:sz="6" w:space="0" w:color="ADD6EA"/>
              <w:left w:val="nil"/>
              <w:bottom w:val="single" w:sz="6" w:space="0" w:color="ADD6EA"/>
              <w:right w:val="nil"/>
            </w:tcBorders>
          </w:tcPr>
          <w:p w14:paraId="1DE30724"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Recognises differences in wage costs between states.</w:t>
            </w:r>
          </w:p>
        </w:tc>
        <w:tc>
          <w:tcPr>
            <w:tcW w:w="142" w:type="dxa"/>
            <w:tcBorders>
              <w:top w:val="single" w:sz="6" w:space="0" w:color="ADD6EA"/>
              <w:left w:val="nil"/>
              <w:bottom w:val="single" w:sz="6" w:space="0" w:color="ADD6EA"/>
              <w:right w:val="nil"/>
            </w:tcBorders>
          </w:tcPr>
          <w:p w14:paraId="2995B550"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0" w:type="dxa"/>
            <w:tcBorders>
              <w:top w:val="single" w:sz="6" w:space="0" w:color="ADD6EA"/>
              <w:left w:val="nil"/>
              <w:bottom w:val="single" w:sz="6" w:space="0" w:color="ADD6EA"/>
              <w:right w:val="nil"/>
            </w:tcBorders>
          </w:tcPr>
          <w:p w14:paraId="6F59919B"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532" w:type="dxa"/>
            <w:tcBorders>
              <w:top w:val="single" w:sz="6" w:space="0" w:color="ADD6EA"/>
              <w:left w:val="nil"/>
              <w:bottom w:val="single" w:sz="6" w:space="0" w:color="ADD6EA"/>
              <w:right w:val="nil"/>
            </w:tcBorders>
          </w:tcPr>
          <w:p w14:paraId="5A33D574"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r w:rsidRPr="00A72958">
              <w:rPr>
                <w:rFonts w:ascii="Open Sans Light" w:eastAsia="Times New Roman" w:hAnsi="Open Sans Light" w:cs="Open Sans Light"/>
                <w:color w:val="000000"/>
                <w:sz w:val="16"/>
                <w:szCs w:val="16"/>
                <w:lang w:eastAsia="en-AU"/>
              </w:rPr>
              <w:t>No</w:t>
            </w:r>
          </w:p>
        </w:tc>
        <w:tc>
          <w:tcPr>
            <w:tcW w:w="20" w:type="dxa"/>
            <w:tcBorders>
              <w:top w:val="nil"/>
              <w:left w:val="nil"/>
              <w:bottom w:val="nil"/>
              <w:right w:val="nil"/>
            </w:tcBorders>
          </w:tcPr>
          <w:p w14:paraId="11909D95" w14:textId="77777777" w:rsidR="00381A0E" w:rsidRPr="00FF64C4" w:rsidRDefault="00381A0E">
            <w:pPr>
              <w:keepNext/>
              <w:keepLines/>
              <w:widowControl w:val="0"/>
              <w:spacing w:line="240" w:lineRule="auto"/>
              <w:textAlignment w:val="baseline"/>
              <w:rPr>
                <w:rFonts w:eastAsia="Times New Roman" w:cs="Segoe UI"/>
                <w:color w:val="000000"/>
                <w:sz w:val="16"/>
                <w:szCs w:val="16"/>
                <w:lang w:eastAsia="en-AU"/>
              </w:rPr>
            </w:pPr>
          </w:p>
        </w:tc>
      </w:tr>
      <w:tr w:rsidR="00381A0E" w:rsidRPr="00FF64C4" w14:paraId="789662B9" w14:textId="77777777">
        <w:trPr>
          <w:trHeight w:val="20"/>
        </w:trPr>
        <w:tc>
          <w:tcPr>
            <w:tcW w:w="993" w:type="dxa"/>
            <w:tcBorders>
              <w:top w:val="single" w:sz="6" w:space="0" w:color="ADD6EA"/>
              <w:left w:val="nil"/>
              <w:bottom w:val="single" w:sz="6" w:space="0" w:color="ADD6EA"/>
              <w:right w:val="nil"/>
            </w:tcBorders>
          </w:tcPr>
          <w:p w14:paraId="5CBD6C12" w14:textId="77777777" w:rsidR="00381A0E" w:rsidRPr="005621C9" w:rsidRDefault="00381A0E">
            <w:pPr>
              <w:pStyle w:val="NormalWeb"/>
              <w:keepNext/>
              <w:keepLines/>
              <w:widowControl w:val="0"/>
              <w:ind w:firstLine="126"/>
              <w:rPr>
                <w:rFonts w:ascii="Open Sans Light" w:hAnsi="Open Sans Light" w:cs="Open Sans Light"/>
                <w:color w:val="000000"/>
                <w:sz w:val="16"/>
                <w:szCs w:val="16"/>
              </w:rPr>
            </w:pPr>
            <w:r w:rsidRPr="005621C9">
              <w:rPr>
                <w:rFonts w:ascii="Open Sans Light" w:hAnsi="Open Sans Light" w:cs="Open Sans Light"/>
                <w:color w:val="000000"/>
                <w:sz w:val="16"/>
                <w:szCs w:val="16"/>
              </w:rPr>
              <w:t>Prisons</w:t>
            </w:r>
          </w:p>
        </w:tc>
        <w:tc>
          <w:tcPr>
            <w:tcW w:w="124" w:type="dxa"/>
            <w:tcBorders>
              <w:top w:val="single" w:sz="6" w:space="0" w:color="ADD6EA"/>
              <w:left w:val="nil"/>
              <w:bottom w:val="single" w:sz="6" w:space="0" w:color="ADD6EA"/>
              <w:right w:val="nil"/>
            </w:tcBorders>
          </w:tcPr>
          <w:p w14:paraId="69E7E633"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sz w:val="16"/>
                <w:szCs w:val="16"/>
                <w:lang w:eastAsia="en-AU"/>
              </w:rPr>
            </w:pPr>
          </w:p>
        </w:tc>
        <w:tc>
          <w:tcPr>
            <w:tcW w:w="1625" w:type="dxa"/>
            <w:tcBorders>
              <w:top w:val="single" w:sz="6" w:space="0" w:color="ADD6EA"/>
              <w:left w:val="nil"/>
              <w:bottom w:val="single" w:sz="6" w:space="0" w:color="ADD6EA"/>
              <w:right w:val="nil"/>
            </w:tcBorders>
          </w:tcPr>
          <w:p w14:paraId="00770F71"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Service delivery scale (SDS)</w:t>
            </w:r>
          </w:p>
        </w:tc>
        <w:tc>
          <w:tcPr>
            <w:tcW w:w="3495" w:type="dxa"/>
            <w:tcBorders>
              <w:top w:val="single" w:sz="6" w:space="0" w:color="ADD6EA"/>
              <w:left w:val="nil"/>
              <w:bottom w:val="single" w:sz="6" w:space="0" w:color="ADD6EA"/>
              <w:right w:val="nil"/>
            </w:tcBorders>
          </w:tcPr>
          <w:p w14:paraId="72981E84" w14:textId="749D7C55"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Recognises the additional costs of small, dispersed prisons</w:t>
            </w:r>
            <w:r w:rsidR="006E2FE1" w:rsidRPr="00A72958">
              <w:rPr>
                <w:rFonts w:ascii="Open Sans Light" w:hAnsi="Open Sans Light" w:cs="Open Sans Light"/>
                <w:color w:val="000000"/>
                <w:sz w:val="16"/>
                <w:szCs w:val="16"/>
              </w:rPr>
              <w:t>.</w:t>
            </w:r>
          </w:p>
        </w:tc>
        <w:tc>
          <w:tcPr>
            <w:tcW w:w="142" w:type="dxa"/>
            <w:tcBorders>
              <w:top w:val="single" w:sz="6" w:space="0" w:color="ADD6EA"/>
              <w:left w:val="nil"/>
              <w:bottom w:val="single" w:sz="6" w:space="0" w:color="ADD6EA"/>
              <w:right w:val="nil"/>
            </w:tcBorders>
          </w:tcPr>
          <w:p w14:paraId="50D79E32"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0" w:type="dxa"/>
            <w:tcBorders>
              <w:top w:val="single" w:sz="6" w:space="0" w:color="ADD6EA"/>
              <w:left w:val="nil"/>
              <w:bottom w:val="single" w:sz="6" w:space="0" w:color="ADD6EA"/>
              <w:right w:val="nil"/>
            </w:tcBorders>
          </w:tcPr>
          <w:p w14:paraId="7ADCCD49"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532" w:type="dxa"/>
            <w:tcBorders>
              <w:top w:val="single" w:sz="6" w:space="0" w:color="ADD6EA"/>
              <w:left w:val="nil"/>
              <w:bottom w:val="single" w:sz="6" w:space="0" w:color="ADD6EA"/>
              <w:right w:val="nil"/>
            </w:tcBorders>
          </w:tcPr>
          <w:p w14:paraId="03BC63A8"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r w:rsidRPr="00A72958">
              <w:rPr>
                <w:rFonts w:ascii="Open Sans Light" w:eastAsia="Times New Roman" w:hAnsi="Open Sans Light" w:cs="Open Sans Light"/>
                <w:color w:val="000000"/>
                <w:sz w:val="16"/>
                <w:szCs w:val="16"/>
                <w:lang w:eastAsia="en-AU"/>
              </w:rPr>
              <w:t xml:space="preserve">Yes – the Commission is proposing to assess SDS using the general gradient and to not assess remoteness costs. </w:t>
            </w:r>
          </w:p>
        </w:tc>
        <w:tc>
          <w:tcPr>
            <w:tcW w:w="20" w:type="dxa"/>
            <w:tcBorders>
              <w:top w:val="nil"/>
              <w:left w:val="nil"/>
              <w:bottom w:val="nil"/>
              <w:right w:val="nil"/>
            </w:tcBorders>
          </w:tcPr>
          <w:p w14:paraId="6D47DA80" w14:textId="77777777" w:rsidR="00381A0E" w:rsidRPr="00FF64C4" w:rsidRDefault="00381A0E">
            <w:pPr>
              <w:keepNext/>
              <w:keepLines/>
              <w:widowControl w:val="0"/>
              <w:spacing w:line="240" w:lineRule="auto"/>
              <w:textAlignment w:val="baseline"/>
              <w:rPr>
                <w:rFonts w:eastAsia="Times New Roman" w:cs="Segoe UI"/>
                <w:color w:val="000000"/>
                <w:sz w:val="16"/>
                <w:szCs w:val="16"/>
                <w:lang w:eastAsia="en-AU"/>
              </w:rPr>
            </w:pPr>
          </w:p>
        </w:tc>
      </w:tr>
      <w:tr w:rsidR="00381A0E" w:rsidRPr="00FF64C4" w14:paraId="5FAA75FF" w14:textId="77777777">
        <w:trPr>
          <w:trHeight w:val="20"/>
        </w:trPr>
        <w:tc>
          <w:tcPr>
            <w:tcW w:w="993" w:type="dxa"/>
            <w:tcBorders>
              <w:top w:val="single" w:sz="6" w:space="0" w:color="ADD6EA"/>
              <w:left w:val="nil"/>
              <w:bottom w:val="single" w:sz="6" w:space="0" w:color="ADD6EA"/>
              <w:right w:val="nil"/>
            </w:tcBorders>
          </w:tcPr>
          <w:p w14:paraId="3C5647B9" w14:textId="77777777" w:rsidR="00381A0E" w:rsidRPr="005621C9" w:rsidRDefault="00381A0E">
            <w:pPr>
              <w:pStyle w:val="NormalWeb"/>
              <w:keepNext/>
              <w:keepLines/>
              <w:widowControl w:val="0"/>
              <w:rPr>
                <w:rFonts w:ascii="Open Sans Light" w:hAnsi="Open Sans Light" w:cs="Open Sans Light"/>
                <w:color w:val="000000"/>
                <w:sz w:val="16"/>
                <w:szCs w:val="16"/>
              </w:rPr>
            </w:pPr>
          </w:p>
        </w:tc>
        <w:tc>
          <w:tcPr>
            <w:tcW w:w="124" w:type="dxa"/>
            <w:tcBorders>
              <w:top w:val="single" w:sz="6" w:space="0" w:color="ADD6EA"/>
              <w:left w:val="nil"/>
              <w:bottom w:val="single" w:sz="6" w:space="0" w:color="ADD6EA"/>
              <w:right w:val="nil"/>
            </w:tcBorders>
            <w:vAlign w:val="bottom"/>
          </w:tcPr>
          <w:p w14:paraId="550A4911" w14:textId="77777777" w:rsidR="00381A0E" w:rsidRPr="00A72958" w:rsidRDefault="00381A0E">
            <w:pPr>
              <w:keepNext/>
              <w:keepLines/>
              <w:widowControl w:val="0"/>
              <w:spacing w:line="240" w:lineRule="auto"/>
              <w:jc w:val="right"/>
              <w:textAlignment w:val="baseline"/>
              <w:rPr>
                <w:rFonts w:ascii="Open Sans Light" w:eastAsia="Times New Roman" w:hAnsi="Open Sans Light" w:cs="Open Sans Light"/>
                <w:sz w:val="16"/>
                <w:szCs w:val="16"/>
                <w:lang w:eastAsia="en-AU"/>
              </w:rPr>
            </w:pPr>
          </w:p>
        </w:tc>
        <w:tc>
          <w:tcPr>
            <w:tcW w:w="1625" w:type="dxa"/>
            <w:tcBorders>
              <w:top w:val="single" w:sz="6" w:space="0" w:color="ADD6EA"/>
              <w:left w:val="nil"/>
              <w:bottom w:val="single" w:sz="6" w:space="0" w:color="ADD6EA"/>
              <w:right w:val="nil"/>
            </w:tcBorders>
          </w:tcPr>
          <w:p w14:paraId="06A1E83F"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Juvenile detainee costs</w:t>
            </w:r>
          </w:p>
        </w:tc>
        <w:tc>
          <w:tcPr>
            <w:tcW w:w="3495" w:type="dxa"/>
            <w:tcBorders>
              <w:top w:val="single" w:sz="6" w:space="0" w:color="ADD6EA"/>
              <w:left w:val="nil"/>
              <w:bottom w:val="single" w:sz="6" w:space="0" w:color="ADD6EA"/>
              <w:right w:val="nil"/>
            </w:tcBorders>
          </w:tcPr>
          <w:p w14:paraId="0C576EEA" w14:textId="53611E8E"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Recognises the additional costs of providing corrective services to juvenile detainees</w:t>
            </w:r>
            <w:r w:rsidR="00616ACC" w:rsidRPr="00A72958">
              <w:rPr>
                <w:rFonts w:ascii="Open Sans Light" w:hAnsi="Open Sans Light" w:cs="Open Sans Light"/>
                <w:color w:val="000000"/>
                <w:sz w:val="16"/>
                <w:szCs w:val="16"/>
              </w:rPr>
              <w:t>.</w:t>
            </w:r>
          </w:p>
        </w:tc>
        <w:tc>
          <w:tcPr>
            <w:tcW w:w="142" w:type="dxa"/>
            <w:tcBorders>
              <w:top w:val="single" w:sz="6" w:space="0" w:color="ADD6EA"/>
              <w:left w:val="nil"/>
              <w:bottom w:val="single" w:sz="6" w:space="0" w:color="ADD6EA"/>
              <w:right w:val="nil"/>
            </w:tcBorders>
          </w:tcPr>
          <w:p w14:paraId="1146B910"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0" w:type="dxa"/>
            <w:tcBorders>
              <w:top w:val="single" w:sz="6" w:space="0" w:color="ADD6EA"/>
              <w:left w:val="nil"/>
              <w:bottom w:val="single" w:sz="6" w:space="0" w:color="ADD6EA"/>
              <w:right w:val="nil"/>
            </w:tcBorders>
          </w:tcPr>
          <w:p w14:paraId="61365B2D"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532" w:type="dxa"/>
            <w:tcBorders>
              <w:top w:val="single" w:sz="6" w:space="0" w:color="ADD6EA"/>
              <w:left w:val="nil"/>
              <w:bottom w:val="single" w:sz="6" w:space="0" w:color="ADD6EA"/>
              <w:right w:val="nil"/>
            </w:tcBorders>
          </w:tcPr>
          <w:p w14:paraId="7D54A84F" w14:textId="1154E8CE" w:rsidR="00381A0E" w:rsidRPr="00A72958" w:rsidRDefault="00843774">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r w:rsidRPr="00A72958">
              <w:rPr>
                <w:rFonts w:ascii="Open Sans Light" w:eastAsia="Times New Roman" w:hAnsi="Open Sans Light" w:cs="Open Sans Light"/>
                <w:color w:val="000000"/>
                <w:sz w:val="16"/>
                <w:szCs w:val="16"/>
                <w:lang w:eastAsia="en-AU"/>
              </w:rPr>
              <w:t>Yes –</w:t>
            </w:r>
            <w:r w:rsidR="00E06B66">
              <w:rPr>
                <w:rFonts w:ascii="Open Sans Light" w:eastAsia="Times New Roman" w:hAnsi="Open Sans Light" w:cs="Open Sans Light"/>
                <w:color w:val="000000"/>
                <w:sz w:val="16"/>
                <w:szCs w:val="16"/>
                <w:lang w:eastAsia="en-AU"/>
              </w:rPr>
              <w:t xml:space="preserve"> </w:t>
            </w:r>
            <w:r w:rsidRPr="00A72958">
              <w:rPr>
                <w:rFonts w:ascii="Open Sans Light" w:eastAsia="Times New Roman" w:hAnsi="Open Sans Light" w:cs="Open Sans Light"/>
                <w:color w:val="000000"/>
                <w:sz w:val="16"/>
                <w:szCs w:val="16"/>
                <w:lang w:eastAsia="en-AU"/>
              </w:rPr>
              <w:t xml:space="preserve">an assessment of juvenile detainees </w:t>
            </w:r>
            <w:r w:rsidR="00B92545" w:rsidRPr="00A72958">
              <w:rPr>
                <w:rFonts w:ascii="Open Sans Light" w:eastAsia="Times New Roman" w:hAnsi="Open Sans Light" w:cs="Open Sans Light"/>
                <w:color w:val="000000"/>
                <w:sz w:val="16"/>
                <w:szCs w:val="16"/>
                <w:lang w:eastAsia="en-AU"/>
              </w:rPr>
              <w:t>will be included</w:t>
            </w:r>
            <w:r w:rsidR="00095C37" w:rsidRPr="00A72958">
              <w:rPr>
                <w:rFonts w:ascii="Open Sans Light" w:eastAsia="Times New Roman" w:hAnsi="Open Sans Light" w:cs="Open Sans Light"/>
                <w:color w:val="000000"/>
                <w:sz w:val="16"/>
                <w:szCs w:val="16"/>
                <w:lang w:eastAsia="en-AU"/>
              </w:rPr>
              <w:t>.</w:t>
            </w:r>
          </w:p>
        </w:tc>
        <w:tc>
          <w:tcPr>
            <w:tcW w:w="20" w:type="dxa"/>
            <w:tcBorders>
              <w:top w:val="nil"/>
              <w:left w:val="nil"/>
              <w:bottom w:val="nil"/>
              <w:right w:val="nil"/>
            </w:tcBorders>
          </w:tcPr>
          <w:p w14:paraId="33C9CC2C" w14:textId="77777777" w:rsidR="00381A0E" w:rsidRPr="00FF64C4" w:rsidRDefault="00381A0E">
            <w:pPr>
              <w:keepNext/>
              <w:keepLines/>
              <w:widowControl w:val="0"/>
              <w:spacing w:line="240" w:lineRule="auto"/>
              <w:textAlignment w:val="baseline"/>
              <w:rPr>
                <w:rFonts w:eastAsia="Times New Roman" w:cs="Segoe UI"/>
                <w:color w:val="000000"/>
                <w:sz w:val="16"/>
                <w:szCs w:val="16"/>
                <w:lang w:eastAsia="en-AU"/>
              </w:rPr>
            </w:pPr>
          </w:p>
        </w:tc>
      </w:tr>
      <w:tr w:rsidR="00381A0E" w:rsidRPr="00FF64C4" w14:paraId="0EE3DD87" w14:textId="77777777">
        <w:trPr>
          <w:trHeight w:val="20"/>
        </w:trPr>
        <w:tc>
          <w:tcPr>
            <w:tcW w:w="993" w:type="dxa"/>
            <w:tcBorders>
              <w:top w:val="single" w:sz="6" w:space="0" w:color="ADD6EA"/>
              <w:left w:val="nil"/>
              <w:bottom w:val="single" w:sz="6" w:space="0" w:color="ADD6EA"/>
              <w:right w:val="nil"/>
            </w:tcBorders>
          </w:tcPr>
          <w:p w14:paraId="297D9274" w14:textId="77777777" w:rsidR="00381A0E" w:rsidRPr="005621C9" w:rsidRDefault="00381A0E">
            <w:pPr>
              <w:pStyle w:val="NormalWeb"/>
              <w:keepNext/>
              <w:keepLines/>
              <w:widowControl w:val="0"/>
              <w:rPr>
                <w:rFonts w:ascii="Open Sans Light" w:hAnsi="Open Sans Light" w:cs="Open Sans Light"/>
                <w:color w:val="000000"/>
                <w:sz w:val="16"/>
                <w:szCs w:val="16"/>
              </w:rPr>
            </w:pPr>
          </w:p>
        </w:tc>
        <w:tc>
          <w:tcPr>
            <w:tcW w:w="124" w:type="dxa"/>
            <w:tcBorders>
              <w:top w:val="single" w:sz="6" w:space="0" w:color="ADD6EA"/>
              <w:left w:val="nil"/>
              <w:bottom w:val="single" w:sz="6" w:space="0" w:color="ADD6EA"/>
              <w:right w:val="nil"/>
            </w:tcBorders>
            <w:vAlign w:val="bottom"/>
          </w:tcPr>
          <w:p w14:paraId="5168254F" w14:textId="77777777" w:rsidR="00381A0E" w:rsidRPr="00A72958" w:rsidRDefault="00381A0E">
            <w:pPr>
              <w:keepNext/>
              <w:keepLines/>
              <w:widowControl w:val="0"/>
              <w:spacing w:line="240" w:lineRule="auto"/>
              <w:jc w:val="right"/>
              <w:textAlignment w:val="baseline"/>
              <w:rPr>
                <w:rFonts w:ascii="Open Sans Light" w:eastAsia="Times New Roman" w:hAnsi="Open Sans Light" w:cs="Open Sans Light"/>
                <w:sz w:val="16"/>
                <w:szCs w:val="16"/>
                <w:lang w:eastAsia="en-AU"/>
              </w:rPr>
            </w:pPr>
          </w:p>
        </w:tc>
        <w:tc>
          <w:tcPr>
            <w:tcW w:w="1625" w:type="dxa"/>
            <w:tcBorders>
              <w:top w:val="single" w:sz="6" w:space="0" w:color="ADD6EA"/>
              <w:left w:val="nil"/>
              <w:bottom w:val="single" w:sz="6" w:space="0" w:color="ADD6EA"/>
              <w:right w:val="nil"/>
            </w:tcBorders>
          </w:tcPr>
          <w:p w14:paraId="236C383E"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 xml:space="preserve">Socio-demographic composition </w:t>
            </w:r>
          </w:p>
        </w:tc>
        <w:tc>
          <w:tcPr>
            <w:tcW w:w="3495" w:type="dxa"/>
            <w:tcBorders>
              <w:top w:val="single" w:sz="6" w:space="0" w:color="ADD6EA"/>
              <w:left w:val="nil"/>
              <w:bottom w:val="single" w:sz="6" w:space="0" w:color="ADD6EA"/>
              <w:right w:val="nil"/>
            </w:tcBorders>
          </w:tcPr>
          <w:p w14:paraId="09B6759F"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 xml:space="preserve">Recognises that certain population characteristics (Indigenous status, age and SES) affect the use of </w:t>
            </w:r>
            <w:r w:rsidRPr="00A72958">
              <w:rPr>
                <w:rFonts w:ascii="Open Sans Light" w:hAnsi="Open Sans Light" w:cs="Open Sans Light"/>
                <w:sz w:val="16"/>
                <w:szCs w:val="16"/>
              </w:rPr>
              <w:t>prisons</w:t>
            </w:r>
            <w:r w:rsidRPr="00A72958">
              <w:rPr>
                <w:rFonts w:ascii="Open Sans Light" w:hAnsi="Open Sans Light" w:cs="Open Sans Light"/>
                <w:i/>
                <w:iCs/>
                <w:sz w:val="16"/>
                <w:szCs w:val="16"/>
              </w:rPr>
              <w:t>.</w:t>
            </w:r>
          </w:p>
        </w:tc>
        <w:tc>
          <w:tcPr>
            <w:tcW w:w="142" w:type="dxa"/>
            <w:tcBorders>
              <w:top w:val="single" w:sz="6" w:space="0" w:color="ADD6EA"/>
              <w:left w:val="nil"/>
              <w:bottom w:val="single" w:sz="6" w:space="0" w:color="ADD6EA"/>
              <w:right w:val="nil"/>
            </w:tcBorders>
          </w:tcPr>
          <w:p w14:paraId="37CB1919"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0" w:type="dxa"/>
            <w:tcBorders>
              <w:top w:val="single" w:sz="6" w:space="0" w:color="ADD6EA"/>
              <w:left w:val="nil"/>
              <w:bottom w:val="single" w:sz="6" w:space="0" w:color="ADD6EA"/>
              <w:right w:val="nil"/>
            </w:tcBorders>
          </w:tcPr>
          <w:p w14:paraId="058EA0BD"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532" w:type="dxa"/>
            <w:tcBorders>
              <w:top w:val="single" w:sz="6" w:space="0" w:color="ADD6EA"/>
              <w:left w:val="nil"/>
              <w:bottom w:val="single" w:sz="6" w:space="0" w:color="ADD6EA"/>
              <w:right w:val="nil"/>
            </w:tcBorders>
          </w:tcPr>
          <w:p w14:paraId="4BB91F2B" w14:textId="057DCDF0"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r w:rsidRPr="00A72958">
              <w:rPr>
                <w:rFonts w:ascii="Open Sans Light" w:eastAsia="Times New Roman" w:hAnsi="Open Sans Light" w:cs="Open Sans Light"/>
                <w:color w:val="000000"/>
                <w:sz w:val="16"/>
                <w:szCs w:val="16"/>
                <w:lang w:eastAsia="en-AU"/>
              </w:rPr>
              <w:t>No</w:t>
            </w:r>
          </w:p>
        </w:tc>
        <w:tc>
          <w:tcPr>
            <w:tcW w:w="20" w:type="dxa"/>
            <w:tcBorders>
              <w:top w:val="nil"/>
              <w:left w:val="nil"/>
              <w:bottom w:val="nil"/>
              <w:right w:val="nil"/>
            </w:tcBorders>
          </w:tcPr>
          <w:p w14:paraId="17ED8A6B" w14:textId="77777777" w:rsidR="00381A0E" w:rsidRPr="00FF64C4" w:rsidRDefault="00381A0E">
            <w:pPr>
              <w:keepNext/>
              <w:keepLines/>
              <w:widowControl w:val="0"/>
              <w:spacing w:line="240" w:lineRule="auto"/>
              <w:textAlignment w:val="baseline"/>
              <w:rPr>
                <w:rFonts w:eastAsia="Times New Roman" w:cs="Segoe UI"/>
                <w:color w:val="000000"/>
                <w:sz w:val="16"/>
                <w:szCs w:val="16"/>
                <w:lang w:eastAsia="en-AU"/>
              </w:rPr>
            </w:pPr>
          </w:p>
        </w:tc>
      </w:tr>
      <w:tr w:rsidR="00381A0E" w:rsidRPr="00FF64C4" w14:paraId="2E3174AA" w14:textId="77777777">
        <w:trPr>
          <w:trHeight w:val="20"/>
        </w:trPr>
        <w:tc>
          <w:tcPr>
            <w:tcW w:w="993" w:type="dxa"/>
            <w:tcBorders>
              <w:top w:val="single" w:sz="6" w:space="0" w:color="ADD6EA"/>
              <w:left w:val="nil"/>
              <w:bottom w:val="single" w:sz="6" w:space="0" w:color="ADD6EA"/>
              <w:right w:val="nil"/>
            </w:tcBorders>
          </w:tcPr>
          <w:p w14:paraId="1BF8D06D" w14:textId="77777777" w:rsidR="00381A0E" w:rsidRPr="005621C9" w:rsidRDefault="00381A0E">
            <w:pPr>
              <w:pStyle w:val="NormalWeb"/>
              <w:keepNext/>
              <w:keepLines/>
              <w:widowControl w:val="0"/>
              <w:rPr>
                <w:rFonts w:ascii="Open Sans Light" w:hAnsi="Open Sans Light" w:cs="Open Sans Light"/>
                <w:color w:val="000000"/>
                <w:sz w:val="16"/>
                <w:szCs w:val="16"/>
              </w:rPr>
            </w:pPr>
          </w:p>
        </w:tc>
        <w:tc>
          <w:tcPr>
            <w:tcW w:w="124" w:type="dxa"/>
            <w:tcBorders>
              <w:top w:val="single" w:sz="6" w:space="0" w:color="ADD6EA"/>
              <w:left w:val="nil"/>
              <w:bottom w:val="single" w:sz="6" w:space="0" w:color="ADD6EA"/>
              <w:right w:val="nil"/>
            </w:tcBorders>
            <w:vAlign w:val="bottom"/>
          </w:tcPr>
          <w:p w14:paraId="3360A609" w14:textId="77777777" w:rsidR="00381A0E" w:rsidRPr="00A72958" w:rsidRDefault="00381A0E">
            <w:pPr>
              <w:keepNext/>
              <w:keepLines/>
              <w:widowControl w:val="0"/>
              <w:spacing w:line="240" w:lineRule="auto"/>
              <w:jc w:val="right"/>
              <w:textAlignment w:val="baseline"/>
              <w:rPr>
                <w:rFonts w:ascii="Open Sans Light" w:eastAsia="Times New Roman" w:hAnsi="Open Sans Light" w:cs="Open Sans Light"/>
                <w:sz w:val="16"/>
                <w:szCs w:val="16"/>
                <w:lang w:eastAsia="en-AU"/>
              </w:rPr>
            </w:pPr>
          </w:p>
        </w:tc>
        <w:tc>
          <w:tcPr>
            <w:tcW w:w="1625" w:type="dxa"/>
            <w:tcBorders>
              <w:top w:val="single" w:sz="6" w:space="0" w:color="ADD6EA"/>
              <w:left w:val="nil"/>
              <w:bottom w:val="single" w:sz="6" w:space="0" w:color="ADD6EA"/>
              <w:right w:val="nil"/>
            </w:tcBorders>
          </w:tcPr>
          <w:p w14:paraId="1DCE8934"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Wage costs (c)</w:t>
            </w:r>
          </w:p>
        </w:tc>
        <w:tc>
          <w:tcPr>
            <w:tcW w:w="3495" w:type="dxa"/>
            <w:tcBorders>
              <w:top w:val="single" w:sz="6" w:space="0" w:color="ADD6EA"/>
              <w:left w:val="nil"/>
              <w:bottom w:val="single" w:sz="6" w:space="0" w:color="ADD6EA"/>
              <w:right w:val="nil"/>
            </w:tcBorders>
          </w:tcPr>
          <w:p w14:paraId="177252E1" w14:textId="77777777" w:rsidR="00381A0E" w:rsidRPr="00A72958" w:rsidRDefault="00381A0E">
            <w:pPr>
              <w:keepNext/>
              <w:keepLines/>
              <w:widowControl w:val="0"/>
              <w:spacing w:line="240" w:lineRule="auto"/>
              <w:textAlignment w:val="baseline"/>
              <w:rPr>
                <w:rFonts w:ascii="Open Sans Light" w:hAnsi="Open Sans Light" w:cs="Open Sans Light"/>
                <w:color w:val="000000"/>
                <w:sz w:val="16"/>
                <w:szCs w:val="16"/>
              </w:rPr>
            </w:pPr>
            <w:r w:rsidRPr="00A72958">
              <w:rPr>
                <w:rFonts w:ascii="Open Sans Light" w:hAnsi="Open Sans Light" w:cs="Open Sans Light"/>
                <w:color w:val="000000"/>
                <w:sz w:val="16"/>
                <w:szCs w:val="16"/>
              </w:rPr>
              <w:t>Recognises differences in wage costs between states.</w:t>
            </w:r>
          </w:p>
        </w:tc>
        <w:tc>
          <w:tcPr>
            <w:tcW w:w="142" w:type="dxa"/>
            <w:tcBorders>
              <w:top w:val="single" w:sz="6" w:space="0" w:color="ADD6EA"/>
              <w:left w:val="nil"/>
              <w:bottom w:val="single" w:sz="6" w:space="0" w:color="ADD6EA"/>
              <w:right w:val="nil"/>
            </w:tcBorders>
          </w:tcPr>
          <w:p w14:paraId="17E2440D"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0" w:type="dxa"/>
            <w:tcBorders>
              <w:top w:val="single" w:sz="6" w:space="0" w:color="ADD6EA"/>
              <w:left w:val="nil"/>
              <w:bottom w:val="single" w:sz="6" w:space="0" w:color="ADD6EA"/>
              <w:right w:val="nil"/>
            </w:tcBorders>
          </w:tcPr>
          <w:p w14:paraId="5E59770B"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p>
        </w:tc>
        <w:tc>
          <w:tcPr>
            <w:tcW w:w="2532" w:type="dxa"/>
            <w:tcBorders>
              <w:top w:val="single" w:sz="6" w:space="0" w:color="ADD6EA"/>
              <w:left w:val="nil"/>
              <w:bottom w:val="single" w:sz="6" w:space="0" w:color="ADD6EA"/>
              <w:right w:val="nil"/>
            </w:tcBorders>
          </w:tcPr>
          <w:p w14:paraId="2938D669" w14:textId="77777777" w:rsidR="00381A0E" w:rsidRPr="00A72958" w:rsidRDefault="00381A0E">
            <w:pPr>
              <w:keepNext/>
              <w:keepLines/>
              <w:widowControl w:val="0"/>
              <w:spacing w:line="240" w:lineRule="auto"/>
              <w:textAlignment w:val="baseline"/>
              <w:rPr>
                <w:rFonts w:ascii="Open Sans Light" w:eastAsia="Times New Roman" w:hAnsi="Open Sans Light" w:cs="Open Sans Light"/>
                <w:color w:val="000000"/>
                <w:sz w:val="16"/>
                <w:szCs w:val="16"/>
                <w:lang w:eastAsia="en-AU"/>
              </w:rPr>
            </w:pPr>
            <w:r w:rsidRPr="00A72958">
              <w:rPr>
                <w:rFonts w:ascii="Open Sans Light" w:eastAsia="Times New Roman" w:hAnsi="Open Sans Light" w:cs="Open Sans Light"/>
                <w:color w:val="000000"/>
                <w:sz w:val="16"/>
                <w:szCs w:val="16"/>
                <w:lang w:eastAsia="en-AU"/>
              </w:rPr>
              <w:t>No</w:t>
            </w:r>
          </w:p>
        </w:tc>
        <w:tc>
          <w:tcPr>
            <w:tcW w:w="20" w:type="dxa"/>
            <w:tcBorders>
              <w:top w:val="nil"/>
              <w:left w:val="nil"/>
              <w:bottom w:val="nil"/>
              <w:right w:val="nil"/>
            </w:tcBorders>
          </w:tcPr>
          <w:p w14:paraId="048645D3" w14:textId="77777777" w:rsidR="00381A0E" w:rsidRPr="00FF64C4" w:rsidRDefault="00381A0E">
            <w:pPr>
              <w:keepNext/>
              <w:keepLines/>
              <w:widowControl w:val="0"/>
              <w:spacing w:line="240" w:lineRule="auto"/>
              <w:textAlignment w:val="baseline"/>
              <w:rPr>
                <w:rFonts w:eastAsia="Times New Roman" w:cs="Segoe UI"/>
                <w:color w:val="000000"/>
                <w:sz w:val="16"/>
                <w:szCs w:val="16"/>
                <w:lang w:eastAsia="en-AU"/>
              </w:rPr>
            </w:pPr>
          </w:p>
        </w:tc>
      </w:tr>
    </w:tbl>
    <w:p w14:paraId="3A555C66" w14:textId="77777777" w:rsidR="00381A0E" w:rsidRPr="00FA482B" w:rsidRDefault="00381A0E" w:rsidP="00381A0E">
      <w:pPr>
        <w:pStyle w:val="CGC2025TableNote"/>
        <w:tabs>
          <w:tab w:val="clear" w:pos="567"/>
          <w:tab w:val="clear" w:pos="680"/>
          <w:tab w:val="left" w:pos="851"/>
          <w:tab w:val="left" w:pos="993"/>
        </w:tabs>
        <w:ind w:left="709" w:hanging="596"/>
      </w:pPr>
      <w:r w:rsidRPr="00FA482B">
        <w:t>Note</w:t>
      </w:r>
      <w:r>
        <w:t>s</w:t>
      </w:r>
      <w:r w:rsidRPr="00FA482B">
        <w:t>:</w:t>
      </w:r>
      <w:r w:rsidRPr="00FA482B">
        <w:tab/>
      </w:r>
    </w:p>
    <w:p w14:paraId="77C68932" w14:textId="77777777" w:rsidR="00381A0E" w:rsidRDefault="00381A0E" w:rsidP="00381A0E">
      <w:pPr>
        <w:pStyle w:val="CGC2025TableNote"/>
        <w:numPr>
          <w:ilvl w:val="0"/>
          <w:numId w:val="39"/>
        </w:numPr>
      </w:pPr>
      <w:r w:rsidRPr="002F523D">
        <w:t>The 2020 Review method included an assessment of national capital policing costs</w:t>
      </w:r>
      <w:r>
        <w:t>.</w:t>
      </w:r>
      <w:r w:rsidRPr="002F523D">
        <w:t xml:space="preserve"> </w:t>
      </w:r>
      <w:r>
        <w:t xml:space="preserve">The Commission suspended the national capital assessment for the police component following state consultation in the 2024 Update and discontinued the assessment in the 2025 Review. Please see the national capital chapter of </w:t>
      </w:r>
      <w:r>
        <w:rPr>
          <w:i/>
        </w:rPr>
        <w:t xml:space="preserve">Review </w:t>
      </w:r>
      <w:r>
        <w:rPr>
          <w:i/>
          <w:iCs/>
        </w:rPr>
        <w:t>Outcomes</w:t>
      </w:r>
      <w:r>
        <w:t xml:space="preserve"> for the 2025 Review for more information. </w:t>
      </w:r>
    </w:p>
    <w:p w14:paraId="168A42B2" w14:textId="77777777" w:rsidR="00381A0E" w:rsidRPr="00EE5404" w:rsidRDefault="00381A0E" w:rsidP="00381A0E">
      <w:pPr>
        <w:pStyle w:val="CGC2025TableNote"/>
        <w:numPr>
          <w:ilvl w:val="0"/>
          <w:numId w:val="39"/>
        </w:numPr>
      </w:pPr>
      <w:r w:rsidRPr="00B056B1">
        <w:t xml:space="preserve">The 2020 Review method included an assessment of </w:t>
      </w:r>
      <w:r>
        <w:t>regional</w:t>
      </w:r>
      <w:r w:rsidRPr="00B056B1">
        <w:t xml:space="preserve"> costs</w:t>
      </w:r>
      <w:r>
        <w:t xml:space="preserve"> in criminal and civil courts.</w:t>
      </w:r>
      <w:r w:rsidRPr="00B056B1">
        <w:t xml:space="preserve"> </w:t>
      </w:r>
      <w:r w:rsidRPr="00A05A82">
        <w:t>The Commission has</w:t>
      </w:r>
      <w:r>
        <w:t xml:space="preserve"> proposed to</w:t>
      </w:r>
      <w:r w:rsidRPr="00A05A82">
        <w:t xml:space="preserve"> discontinue the regional costs assessment in the criminal courts and other legal services components.</w:t>
      </w:r>
    </w:p>
    <w:p w14:paraId="512D6022" w14:textId="77777777" w:rsidR="00381A0E" w:rsidRDefault="00381A0E" w:rsidP="00381A0E">
      <w:pPr>
        <w:pStyle w:val="CGC2025TableNote"/>
        <w:numPr>
          <w:ilvl w:val="0"/>
          <w:numId w:val="39"/>
        </w:numPr>
      </w:pPr>
      <w:r w:rsidRPr="00FA482B">
        <w:t>The Commission separately consult</w:t>
      </w:r>
      <w:r>
        <w:t>ed</w:t>
      </w:r>
      <w:r w:rsidRPr="00FA482B">
        <w:t xml:space="preserve"> with states on the wages assessment</w:t>
      </w:r>
      <w:r>
        <w:t xml:space="preserve"> as part of the 2025 Review</w:t>
      </w:r>
      <w:r w:rsidRPr="00FA482B">
        <w:t>.</w:t>
      </w:r>
      <w:r>
        <w:t xml:space="preserve"> The Commission now applies the 2025 Review method to assess wage costs in the justice assessment. </w:t>
      </w:r>
    </w:p>
    <w:p w14:paraId="38587C23" w14:textId="77777777" w:rsidR="00EE7993" w:rsidRDefault="00EE7993" w:rsidP="00381A0E">
      <w:pPr>
        <w:pStyle w:val="Heading2"/>
        <w:rPr>
          <w:highlight w:val="yellow"/>
        </w:rPr>
      </w:pPr>
    </w:p>
    <w:p w14:paraId="54CDDE67" w14:textId="500058B8" w:rsidR="00381A0E" w:rsidRPr="004D68F9" w:rsidRDefault="00381A0E" w:rsidP="00381A0E">
      <w:pPr>
        <w:pStyle w:val="Heading2"/>
      </w:pPr>
      <w:r w:rsidRPr="001731BE">
        <w:lastRenderedPageBreak/>
        <w:t>Indicative distribution impacts</w:t>
      </w:r>
    </w:p>
    <w:p w14:paraId="78D9FE64" w14:textId="6C5A146D" w:rsidR="00381A0E" w:rsidRDefault="00381A0E" w:rsidP="007E471B">
      <w:pPr>
        <w:pStyle w:val="CGCParaNumber"/>
        <w:numPr>
          <w:ilvl w:val="1"/>
          <w:numId w:val="16"/>
        </w:numPr>
      </w:pPr>
      <w:r w:rsidRPr="00374AFD">
        <w:t>The</w:t>
      </w:r>
      <w:r>
        <w:t xml:space="preserve"> indicative</w:t>
      </w:r>
      <w:r w:rsidRPr="00374AFD">
        <w:t xml:space="preserve"> impact on the GST distribution in </w:t>
      </w:r>
      <w:r w:rsidRPr="0054342E">
        <w:t>2025–26</w:t>
      </w:r>
      <w:r w:rsidRPr="00374AFD">
        <w:t xml:space="preserve"> from</w:t>
      </w:r>
      <w:r>
        <w:t xml:space="preserve"> data updates and</w:t>
      </w:r>
      <w:r w:rsidRPr="00374AFD">
        <w:t xml:space="preserve"> proposed method changes</w:t>
      </w:r>
      <w:r w:rsidR="00FD0066">
        <w:t xml:space="preserve"> on the recurrent justice assessment</w:t>
      </w:r>
      <w:r w:rsidRPr="00374AFD">
        <w:t xml:space="preserve"> is shown in Table </w:t>
      </w:r>
      <w:r w:rsidR="00EE7993">
        <w:t>6</w:t>
      </w:r>
      <w:r w:rsidRPr="00374AFD">
        <w:t xml:space="preserve">. </w:t>
      </w:r>
    </w:p>
    <w:p w14:paraId="104EC4FE" w14:textId="4AEA0D85" w:rsidR="00FD0066" w:rsidRPr="00374AFD" w:rsidRDefault="00FD0066" w:rsidP="007E471B">
      <w:pPr>
        <w:pStyle w:val="CGCParaNumber"/>
        <w:numPr>
          <w:ilvl w:val="1"/>
          <w:numId w:val="16"/>
        </w:numPr>
      </w:pPr>
      <w:r>
        <w:t xml:space="preserve">Table </w:t>
      </w:r>
      <w:r w:rsidR="00EE7993">
        <w:t>7</w:t>
      </w:r>
      <w:r>
        <w:t xml:space="preserve"> shows the </w:t>
      </w:r>
      <w:r w:rsidR="007C6F91">
        <w:t xml:space="preserve">subsequent impact on the </w:t>
      </w:r>
      <w:r w:rsidR="00B25D0F">
        <w:t>justice i</w:t>
      </w:r>
      <w:r w:rsidR="0048399F">
        <w:t xml:space="preserve">nvestment assessment and </w:t>
      </w:r>
      <w:r w:rsidR="00255611">
        <w:t>general regional gradient.</w:t>
      </w:r>
    </w:p>
    <w:p w14:paraId="5E012E86" w14:textId="0D8ECD5D" w:rsidR="00381A0E" w:rsidRDefault="00381A0E" w:rsidP="00AC352B">
      <w:pPr>
        <w:pStyle w:val="CGC2025Caption"/>
        <w:keepNext/>
        <w:keepLines/>
        <w:tabs>
          <w:tab w:val="clear" w:pos="567"/>
          <w:tab w:val="left" w:pos="1134"/>
        </w:tabs>
        <w:ind w:left="1134" w:hanging="1134"/>
      </w:pPr>
      <w:bookmarkStart w:id="3" w:name="_Ref142638597"/>
      <w:r>
        <w:t xml:space="preserve">Table </w:t>
      </w:r>
      <w:bookmarkEnd w:id="3"/>
      <w:r w:rsidR="00EE7993">
        <w:t>6</w:t>
      </w:r>
      <w:r>
        <w:tab/>
        <w:t xml:space="preserve">Indicative impact on GST distribution </w:t>
      </w:r>
      <w:r w:rsidR="00F85C44">
        <w:t xml:space="preserve">of data and method changes to the </w:t>
      </w:r>
      <w:r>
        <w:t>recurrent</w:t>
      </w:r>
      <w:r w:rsidR="004433E2">
        <w:t xml:space="preserve"> justice assessment</w:t>
      </w:r>
      <w:r>
        <w:t xml:space="preserve"> (difference from an equal per capita distribution), </w:t>
      </w:r>
      <w:r w:rsidRPr="0054342E">
        <w:t>2025–26</w:t>
      </w:r>
    </w:p>
    <w:tbl>
      <w:tblPr>
        <w:tblW w:w="8942" w:type="dxa"/>
        <w:tblLook w:val="04A0" w:firstRow="1" w:lastRow="0" w:firstColumn="1" w:lastColumn="0" w:noHBand="0" w:noVBand="1"/>
      </w:tblPr>
      <w:tblGrid>
        <w:gridCol w:w="2221"/>
        <w:gridCol w:w="331"/>
        <w:gridCol w:w="710"/>
        <w:gridCol w:w="710"/>
        <w:gridCol w:w="710"/>
        <w:gridCol w:w="710"/>
        <w:gridCol w:w="710"/>
        <w:gridCol w:w="710"/>
        <w:gridCol w:w="710"/>
        <w:gridCol w:w="710"/>
        <w:gridCol w:w="710"/>
      </w:tblGrid>
      <w:tr w:rsidR="00E42FDC" w:rsidRPr="00E42FDC" w14:paraId="40776C95" w14:textId="77777777" w:rsidTr="00DF7A92">
        <w:trPr>
          <w:trHeight w:val="381"/>
        </w:trPr>
        <w:tc>
          <w:tcPr>
            <w:tcW w:w="2221" w:type="dxa"/>
            <w:tcBorders>
              <w:top w:val="nil"/>
              <w:left w:val="nil"/>
              <w:bottom w:val="nil"/>
              <w:right w:val="nil"/>
            </w:tcBorders>
            <w:shd w:val="clear" w:color="000000" w:fill="006991"/>
            <w:vAlign w:val="center"/>
            <w:hideMark/>
          </w:tcPr>
          <w:p w14:paraId="59217FB5" w14:textId="77777777" w:rsidR="00E42FDC" w:rsidRPr="00E42FDC" w:rsidRDefault="00E42FDC" w:rsidP="00E42FDC">
            <w:pPr>
              <w:spacing w:after="0" w:line="240" w:lineRule="auto"/>
              <w:rPr>
                <w:rFonts w:ascii="Open Sans Semibold" w:eastAsia="Times New Roman" w:hAnsi="Open Sans Semibold" w:cs="Open Sans Semibold"/>
                <w:color w:val="FFFFFF"/>
                <w:sz w:val="16"/>
                <w:szCs w:val="16"/>
                <w:lang w:eastAsia="en-AU"/>
              </w:rPr>
            </w:pPr>
            <w:r w:rsidRPr="00E42FDC">
              <w:rPr>
                <w:rFonts w:ascii="Open Sans Semibold" w:eastAsia="Times New Roman" w:hAnsi="Open Sans Semibold" w:cs="Open Sans Semibold"/>
                <w:color w:val="FFFFFF"/>
                <w:sz w:val="16"/>
                <w:szCs w:val="16"/>
                <w:lang w:eastAsia="en-AU"/>
              </w:rPr>
              <w:t> </w:t>
            </w:r>
          </w:p>
        </w:tc>
        <w:tc>
          <w:tcPr>
            <w:tcW w:w="331" w:type="dxa"/>
            <w:tcBorders>
              <w:top w:val="nil"/>
              <w:left w:val="nil"/>
              <w:bottom w:val="nil"/>
              <w:right w:val="nil"/>
            </w:tcBorders>
            <w:shd w:val="clear" w:color="000000" w:fill="006991"/>
            <w:vAlign w:val="center"/>
            <w:hideMark/>
          </w:tcPr>
          <w:p w14:paraId="752D18EB" w14:textId="77777777" w:rsidR="00E42FDC" w:rsidRPr="00E42FDC" w:rsidRDefault="00E42FDC" w:rsidP="00E42FDC">
            <w:pPr>
              <w:spacing w:after="0" w:line="240" w:lineRule="auto"/>
              <w:jc w:val="right"/>
              <w:rPr>
                <w:rFonts w:ascii="Open Sans Semibold" w:eastAsia="Times New Roman" w:hAnsi="Open Sans Semibold" w:cs="Open Sans Semibold"/>
                <w:color w:val="FFFFFF"/>
                <w:sz w:val="16"/>
                <w:szCs w:val="16"/>
                <w:lang w:eastAsia="en-AU"/>
              </w:rPr>
            </w:pPr>
            <w:r w:rsidRPr="00E42FDC">
              <w:rPr>
                <w:rFonts w:ascii="Open Sans Semibold" w:eastAsia="Times New Roman" w:hAnsi="Open Sans Semibold" w:cs="Open Sans Semibold"/>
                <w:color w:val="FFFFFF"/>
                <w:sz w:val="16"/>
                <w:szCs w:val="16"/>
                <w:lang w:eastAsia="en-AU"/>
              </w:rPr>
              <w:t> </w:t>
            </w:r>
          </w:p>
        </w:tc>
        <w:tc>
          <w:tcPr>
            <w:tcW w:w="710" w:type="dxa"/>
            <w:tcBorders>
              <w:top w:val="nil"/>
              <w:left w:val="nil"/>
              <w:bottom w:val="nil"/>
              <w:right w:val="nil"/>
            </w:tcBorders>
            <w:shd w:val="clear" w:color="000000" w:fill="006991"/>
            <w:vAlign w:val="center"/>
            <w:hideMark/>
          </w:tcPr>
          <w:p w14:paraId="5E21EB3A" w14:textId="77777777" w:rsidR="00E42FDC" w:rsidRPr="00E42FDC" w:rsidRDefault="00E42FDC" w:rsidP="00E42FDC">
            <w:pPr>
              <w:spacing w:after="0" w:line="240" w:lineRule="auto"/>
              <w:jc w:val="right"/>
              <w:rPr>
                <w:rFonts w:ascii="Open Sans Semibold" w:eastAsia="Times New Roman" w:hAnsi="Open Sans Semibold" w:cs="Open Sans Semibold"/>
                <w:color w:val="FFFFFF"/>
                <w:sz w:val="16"/>
                <w:szCs w:val="16"/>
                <w:lang w:eastAsia="en-AU"/>
              </w:rPr>
            </w:pPr>
            <w:r w:rsidRPr="00E42FDC">
              <w:rPr>
                <w:rFonts w:ascii="Open Sans Semibold" w:eastAsia="Times New Roman" w:hAnsi="Open Sans Semibold" w:cs="Open Sans Semibold"/>
                <w:color w:val="FFFFFF"/>
                <w:sz w:val="16"/>
                <w:szCs w:val="16"/>
                <w:lang w:eastAsia="en-AU"/>
              </w:rPr>
              <w:t>NSW</w:t>
            </w:r>
          </w:p>
        </w:tc>
        <w:tc>
          <w:tcPr>
            <w:tcW w:w="710" w:type="dxa"/>
            <w:tcBorders>
              <w:top w:val="nil"/>
              <w:left w:val="nil"/>
              <w:bottom w:val="nil"/>
              <w:right w:val="nil"/>
            </w:tcBorders>
            <w:shd w:val="clear" w:color="000000" w:fill="006991"/>
            <w:vAlign w:val="center"/>
            <w:hideMark/>
          </w:tcPr>
          <w:p w14:paraId="5649F3A6" w14:textId="77777777" w:rsidR="00E42FDC" w:rsidRPr="00E42FDC" w:rsidRDefault="00E42FDC" w:rsidP="00E42FDC">
            <w:pPr>
              <w:spacing w:after="0" w:line="240" w:lineRule="auto"/>
              <w:jc w:val="right"/>
              <w:rPr>
                <w:rFonts w:ascii="Open Sans Semibold" w:eastAsia="Times New Roman" w:hAnsi="Open Sans Semibold" w:cs="Open Sans Semibold"/>
                <w:color w:val="FFFFFF"/>
                <w:sz w:val="16"/>
                <w:szCs w:val="16"/>
                <w:lang w:eastAsia="en-AU"/>
              </w:rPr>
            </w:pPr>
            <w:r w:rsidRPr="00E42FDC">
              <w:rPr>
                <w:rFonts w:ascii="Open Sans Semibold" w:eastAsia="Times New Roman" w:hAnsi="Open Sans Semibold" w:cs="Open Sans Semibold"/>
                <w:color w:val="FFFFFF"/>
                <w:sz w:val="16"/>
                <w:szCs w:val="16"/>
                <w:lang w:eastAsia="en-AU"/>
              </w:rPr>
              <w:t>Vic</w:t>
            </w:r>
          </w:p>
        </w:tc>
        <w:tc>
          <w:tcPr>
            <w:tcW w:w="710" w:type="dxa"/>
            <w:tcBorders>
              <w:top w:val="nil"/>
              <w:left w:val="nil"/>
              <w:bottom w:val="nil"/>
              <w:right w:val="nil"/>
            </w:tcBorders>
            <w:shd w:val="clear" w:color="000000" w:fill="006991"/>
            <w:vAlign w:val="center"/>
            <w:hideMark/>
          </w:tcPr>
          <w:p w14:paraId="6E151080" w14:textId="77777777" w:rsidR="00E42FDC" w:rsidRPr="00E42FDC" w:rsidRDefault="00E42FDC" w:rsidP="00E42FDC">
            <w:pPr>
              <w:spacing w:after="0" w:line="240" w:lineRule="auto"/>
              <w:jc w:val="right"/>
              <w:rPr>
                <w:rFonts w:ascii="Open Sans Semibold" w:eastAsia="Times New Roman" w:hAnsi="Open Sans Semibold" w:cs="Open Sans Semibold"/>
                <w:color w:val="FFFFFF"/>
                <w:sz w:val="16"/>
                <w:szCs w:val="16"/>
                <w:lang w:eastAsia="en-AU"/>
              </w:rPr>
            </w:pPr>
            <w:r w:rsidRPr="00E42FDC">
              <w:rPr>
                <w:rFonts w:ascii="Open Sans Semibold" w:eastAsia="Times New Roman" w:hAnsi="Open Sans Semibold" w:cs="Open Sans Semibold"/>
                <w:color w:val="FFFFFF"/>
                <w:sz w:val="16"/>
                <w:szCs w:val="16"/>
                <w:lang w:eastAsia="en-AU"/>
              </w:rPr>
              <w:t>Qld</w:t>
            </w:r>
          </w:p>
        </w:tc>
        <w:tc>
          <w:tcPr>
            <w:tcW w:w="710" w:type="dxa"/>
            <w:tcBorders>
              <w:top w:val="nil"/>
              <w:left w:val="nil"/>
              <w:bottom w:val="nil"/>
              <w:right w:val="nil"/>
            </w:tcBorders>
            <w:shd w:val="clear" w:color="000000" w:fill="006991"/>
            <w:vAlign w:val="center"/>
            <w:hideMark/>
          </w:tcPr>
          <w:p w14:paraId="3926FF9A" w14:textId="77777777" w:rsidR="00E42FDC" w:rsidRPr="00E42FDC" w:rsidRDefault="00E42FDC" w:rsidP="00E42FDC">
            <w:pPr>
              <w:spacing w:after="0" w:line="240" w:lineRule="auto"/>
              <w:jc w:val="right"/>
              <w:rPr>
                <w:rFonts w:ascii="Open Sans Semibold" w:eastAsia="Times New Roman" w:hAnsi="Open Sans Semibold" w:cs="Open Sans Semibold"/>
                <w:color w:val="FFFFFF"/>
                <w:sz w:val="16"/>
                <w:szCs w:val="16"/>
                <w:lang w:eastAsia="en-AU"/>
              </w:rPr>
            </w:pPr>
            <w:r w:rsidRPr="00E42FDC">
              <w:rPr>
                <w:rFonts w:ascii="Open Sans Semibold" w:eastAsia="Times New Roman" w:hAnsi="Open Sans Semibold" w:cs="Open Sans Semibold"/>
                <w:color w:val="FFFFFF"/>
                <w:sz w:val="16"/>
                <w:szCs w:val="16"/>
                <w:lang w:eastAsia="en-AU"/>
              </w:rPr>
              <w:t>WA</w:t>
            </w:r>
          </w:p>
        </w:tc>
        <w:tc>
          <w:tcPr>
            <w:tcW w:w="710" w:type="dxa"/>
            <w:tcBorders>
              <w:top w:val="nil"/>
              <w:left w:val="nil"/>
              <w:bottom w:val="nil"/>
              <w:right w:val="nil"/>
            </w:tcBorders>
            <w:shd w:val="clear" w:color="000000" w:fill="006991"/>
            <w:vAlign w:val="center"/>
            <w:hideMark/>
          </w:tcPr>
          <w:p w14:paraId="28288F96" w14:textId="77777777" w:rsidR="00E42FDC" w:rsidRPr="00E42FDC" w:rsidRDefault="00E42FDC" w:rsidP="00E42FDC">
            <w:pPr>
              <w:spacing w:after="0" w:line="240" w:lineRule="auto"/>
              <w:jc w:val="right"/>
              <w:rPr>
                <w:rFonts w:ascii="Open Sans Semibold" w:eastAsia="Times New Roman" w:hAnsi="Open Sans Semibold" w:cs="Open Sans Semibold"/>
                <w:color w:val="FFFFFF"/>
                <w:sz w:val="16"/>
                <w:szCs w:val="16"/>
                <w:lang w:eastAsia="en-AU"/>
              </w:rPr>
            </w:pPr>
            <w:r w:rsidRPr="00E42FDC">
              <w:rPr>
                <w:rFonts w:ascii="Open Sans Semibold" w:eastAsia="Times New Roman" w:hAnsi="Open Sans Semibold" w:cs="Open Sans Semibold"/>
                <w:color w:val="FFFFFF"/>
                <w:sz w:val="16"/>
                <w:szCs w:val="16"/>
                <w:lang w:eastAsia="en-AU"/>
              </w:rPr>
              <w:t>SA</w:t>
            </w:r>
          </w:p>
        </w:tc>
        <w:tc>
          <w:tcPr>
            <w:tcW w:w="710" w:type="dxa"/>
            <w:tcBorders>
              <w:top w:val="nil"/>
              <w:left w:val="nil"/>
              <w:bottom w:val="nil"/>
              <w:right w:val="nil"/>
            </w:tcBorders>
            <w:shd w:val="clear" w:color="000000" w:fill="006991"/>
            <w:vAlign w:val="center"/>
            <w:hideMark/>
          </w:tcPr>
          <w:p w14:paraId="371942C3" w14:textId="77777777" w:rsidR="00E42FDC" w:rsidRPr="00E42FDC" w:rsidRDefault="00E42FDC" w:rsidP="00E42FDC">
            <w:pPr>
              <w:spacing w:after="0" w:line="240" w:lineRule="auto"/>
              <w:jc w:val="right"/>
              <w:rPr>
                <w:rFonts w:ascii="Open Sans Semibold" w:eastAsia="Times New Roman" w:hAnsi="Open Sans Semibold" w:cs="Open Sans Semibold"/>
                <w:color w:val="FFFFFF"/>
                <w:sz w:val="16"/>
                <w:szCs w:val="16"/>
                <w:lang w:eastAsia="en-AU"/>
              </w:rPr>
            </w:pPr>
            <w:r w:rsidRPr="00E42FDC">
              <w:rPr>
                <w:rFonts w:ascii="Open Sans Semibold" w:eastAsia="Times New Roman" w:hAnsi="Open Sans Semibold" w:cs="Open Sans Semibold"/>
                <w:color w:val="FFFFFF"/>
                <w:sz w:val="16"/>
                <w:szCs w:val="16"/>
                <w:lang w:eastAsia="en-AU"/>
              </w:rPr>
              <w:t>Tas</w:t>
            </w:r>
          </w:p>
        </w:tc>
        <w:tc>
          <w:tcPr>
            <w:tcW w:w="710" w:type="dxa"/>
            <w:tcBorders>
              <w:top w:val="nil"/>
              <w:left w:val="nil"/>
              <w:bottom w:val="nil"/>
              <w:right w:val="nil"/>
            </w:tcBorders>
            <w:shd w:val="clear" w:color="000000" w:fill="006991"/>
            <w:vAlign w:val="center"/>
            <w:hideMark/>
          </w:tcPr>
          <w:p w14:paraId="5F230170" w14:textId="77777777" w:rsidR="00E42FDC" w:rsidRPr="00E42FDC" w:rsidRDefault="00E42FDC" w:rsidP="00E42FDC">
            <w:pPr>
              <w:spacing w:after="0" w:line="240" w:lineRule="auto"/>
              <w:jc w:val="right"/>
              <w:rPr>
                <w:rFonts w:ascii="Open Sans Semibold" w:eastAsia="Times New Roman" w:hAnsi="Open Sans Semibold" w:cs="Open Sans Semibold"/>
                <w:color w:val="FFFFFF"/>
                <w:sz w:val="16"/>
                <w:szCs w:val="16"/>
                <w:lang w:eastAsia="en-AU"/>
              </w:rPr>
            </w:pPr>
            <w:r w:rsidRPr="00E42FDC">
              <w:rPr>
                <w:rFonts w:ascii="Open Sans Semibold" w:eastAsia="Times New Roman" w:hAnsi="Open Sans Semibold" w:cs="Open Sans Semibold"/>
                <w:color w:val="FFFFFF"/>
                <w:sz w:val="16"/>
                <w:szCs w:val="16"/>
                <w:lang w:eastAsia="en-AU"/>
              </w:rPr>
              <w:t>ACT</w:t>
            </w:r>
          </w:p>
        </w:tc>
        <w:tc>
          <w:tcPr>
            <w:tcW w:w="710" w:type="dxa"/>
            <w:tcBorders>
              <w:top w:val="nil"/>
              <w:left w:val="nil"/>
              <w:bottom w:val="nil"/>
              <w:right w:val="nil"/>
            </w:tcBorders>
            <w:shd w:val="clear" w:color="000000" w:fill="006991"/>
            <w:vAlign w:val="center"/>
            <w:hideMark/>
          </w:tcPr>
          <w:p w14:paraId="5CFB1448" w14:textId="77777777" w:rsidR="00E42FDC" w:rsidRPr="00E42FDC" w:rsidRDefault="00E42FDC" w:rsidP="00E42FDC">
            <w:pPr>
              <w:spacing w:after="0" w:line="240" w:lineRule="auto"/>
              <w:jc w:val="right"/>
              <w:rPr>
                <w:rFonts w:ascii="Open Sans Semibold" w:eastAsia="Times New Roman" w:hAnsi="Open Sans Semibold" w:cs="Open Sans Semibold"/>
                <w:color w:val="FFFFFF"/>
                <w:sz w:val="16"/>
                <w:szCs w:val="16"/>
                <w:lang w:eastAsia="en-AU"/>
              </w:rPr>
            </w:pPr>
            <w:r w:rsidRPr="00E42FDC">
              <w:rPr>
                <w:rFonts w:ascii="Open Sans Semibold" w:eastAsia="Times New Roman" w:hAnsi="Open Sans Semibold" w:cs="Open Sans Semibold"/>
                <w:color w:val="FFFFFF"/>
                <w:sz w:val="16"/>
                <w:szCs w:val="16"/>
                <w:lang w:eastAsia="en-AU"/>
              </w:rPr>
              <w:t>NT</w:t>
            </w:r>
          </w:p>
        </w:tc>
        <w:tc>
          <w:tcPr>
            <w:tcW w:w="710" w:type="dxa"/>
            <w:tcBorders>
              <w:top w:val="nil"/>
              <w:left w:val="nil"/>
              <w:bottom w:val="nil"/>
              <w:right w:val="nil"/>
            </w:tcBorders>
            <w:shd w:val="clear" w:color="000000" w:fill="006991"/>
            <w:vAlign w:val="center"/>
            <w:hideMark/>
          </w:tcPr>
          <w:p w14:paraId="2745EBE5" w14:textId="77777777" w:rsidR="00E42FDC" w:rsidRPr="00E42FDC" w:rsidRDefault="00E42FDC" w:rsidP="00E42FDC">
            <w:pPr>
              <w:spacing w:after="0" w:line="240" w:lineRule="auto"/>
              <w:jc w:val="right"/>
              <w:rPr>
                <w:rFonts w:ascii="Open Sans Semibold" w:eastAsia="Times New Roman" w:hAnsi="Open Sans Semibold" w:cs="Open Sans Semibold"/>
                <w:color w:val="FFFFFF"/>
                <w:sz w:val="16"/>
                <w:szCs w:val="16"/>
                <w:lang w:eastAsia="en-AU"/>
              </w:rPr>
            </w:pPr>
            <w:r w:rsidRPr="00E42FDC">
              <w:rPr>
                <w:rFonts w:ascii="Open Sans Semibold" w:eastAsia="Times New Roman" w:hAnsi="Open Sans Semibold" w:cs="Open Sans Semibold"/>
                <w:color w:val="FFFFFF"/>
                <w:sz w:val="16"/>
                <w:szCs w:val="16"/>
                <w:lang w:eastAsia="en-AU"/>
              </w:rPr>
              <w:t>Total effect</w:t>
            </w:r>
          </w:p>
        </w:tc>
      </w:tr>
      <w:tr w:rsidR="000517F0" w:rsidRPr="00E42FDC" w14:paraId="50CBC8D2" w14:textId="77777777" w:rsidTr="00DF7A92">
        <w:trPr>
          <w:trHeight w:val="261"/>
        </w:trPr>
        <w:tc>
          <w:tcPr>
            <w:tcW w:w="2552" w:type="dxa"/>
            <w:gridSpan w:val="2"/>
            <w:tcBorders>
              <w:top w:val="single" w:sz="8" w:space="0" w:color="ADD6EA"/>
              <w:left w:val="nil"/>
              <w:bottom w:val="nil"/>
              <w:right w:val="nil"/>
            </w:tcBorders>
            <w:shd w:val="clear" w:color="000000" w:fill="B6D5E4"/>
            <w:vAlign w:val="bottom"/>
            <w:hideMark/>
          </w:tcPr>
          <w:p w14:paraId="408D7967" w14:textId="77777777" w:rsidR="00E42FDC" w:rsidRPr="00E42FDC" w:rsidRDefault="00E42FDC" w:rsidP="00E42FDC">
            <w:pPr>
              <w:spacing w:after="0" w:line="240" w:lineRule="auto"/>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 </w:t>
            </w:r>
          </w:p>
        </w:tc>
        <w:tc>
          <w:tcPr>
            <w:tcW w:w="710" w:type="dxa"/>
            <w:tcBorders>
              <w:top w:val="single" w:sz="8" w:space="0" w:color="ADD6EA"/>
              <w:left w:val="nil"/>
              <w:bottom w:val="nil"/>
              <w:right w:val="nil"/>
            </w:tcBorders>
            <w:shd w:val="clear" w:color="000000" w:fill="B6D5E4"/>
            <w:vAlign w:val="bottom"/>
            <w:hideMark/>
          </w:tcPr>
          <w:p w14:paraId="0E774621"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$m</w:t>
            </w:r>
          </w:p>
        </w:tc>
        <w:tc>
          <w:tcPr>
            <w:tcW w:w="710" w:type="dxa"/>
            <w:tcBorders>
              <w:top w:val="single" w:sz="8" w:space="0" w:color="ADD6EA"/>
              <w:left w:val="nil"/>
              <w:bottom w:val="nil"/>
              <w:right w:val="nil"/>
            </w:tcBorders>
            <w:shd w:val="clear" w:color="000000" w:fill="B6D5E4"/>
            <w:vAlign w:val="bottom"/>
            <w:hideMark/>
          </w:tcPr>
          <w:p w14:paraId="10CA0E13"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$m</w:t>
            </w:r>
          </w:p>
        </w:tc>
        <w:tc>
          <w:tcPr>
            <w:tcW w:w="710" w:type="dxa"/>
            <w:tcBorders>
              <w:top w:val="single" w:sz="8" w:space="0" w:color="ADD6EA"/>
              <w:left w:val="nil"/>
              <w:bottom w:val="nil"/>
              <w:right w:val="nil"/>
            </w:tcBorders>
            <w:shd w:val="clear" w:color="000000" w:fill="B6D5E4"/>
            <w:vAlign w:val="bottom"/>
            <w:hideMark/>
          </w:tcPr>
          <w:p w14:paraId="328A9737"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$m</w:t>
            </w:r>
          </w:p>
        </w:tc>
        <w:tc>
          <w:tcPr>
            <w:tcW w:w="710" w:type="dxa"/>
            <w:tcBorders>
              <w:top w:val="single" w:sz="8" w:space="0" w:color="ADD6EA"/>
              <w:left w:val="nil"/>
              <w:bottom w:val="nil"/>
              <w:right w:val="nil"/>
            </w:tcBorders>
            <w:shd w:val="clear" w:color="000000" w:fill="B6D5E4"/>
            <w:vAlign w:val="bottom"/>
            <w:hideMark/>
          </w:tcPr>
          <w:p w14:paraId="09D7E82F"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$m</w:t>
            </w:r>
          </w:p>
        </w:tc>
        <w:tc>
          <w:tcPr>
            <w:tcW w:w="710" w:type="dxa"/>
            <w:tcBorders>
              <w:top w:val="single" w:sz="8" w:space="0" w:color="ADD6EA"/>
              <w:left w:val="nil"/>
              <w:bottom w:val="nil"/>
              <w:right w:val="nil"/>
            </w:tcBorders>
            <w:shd w:val="clear" w:color="000000" w:fill="B6D5E4"/>
            <w:vAlign w:val="bottom"/>
            <w:hideMark/>
          </w:tcPr>
          <w:p w14:paraId="3AF30653"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$m</w:t>
            </w:r>
          </w:p>
        </w:tc>
        <w:tc>
          <w:tcPr>
            <w:tcW w:w="710" w:type="dxa"/>
            <w:tcBorders>
              <w:top w:val="single" w:sz="8" w:space="0" w:color="ADD6EA"/>
              <w:left w:val="nil"/>
              <w:bottom w:val="nil"/>
              <w:right w:val="nil"/>
            </w:tcBorders>
            <w:shd w:val="clear" w:color="000000" w:fill="B6D5E4"/>
            <w:vAlign w:val="bottom"/>
            <w:hideMark/>
          </w:tcPr>
          <w:p w14:paraId="18468149"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$m</w:t>
            </w:r>
          </w:p>
        </w:tc>
        <w:tc>
          <w:tcPr>
            <w:tcW w:w="710" w:type="dxa"/>
            <w:tcBorders>
              <w:top w:val="single" w:sz="8" w:space="0" w:color="ADD6EA"/>
              <w:left w:val="nil"/>
              <w:bottom w:val="nil"/>
              <w:right w:val="nil"/>
            </w:tcBorders>
            <w:shd w:val="clear" w:color="000000" w:fill="B6D5E4"/>
            <w:vAlign w:val="bottom"/>
            <w:hideMark/>
          </w:tcPr>
          <w:p w14:paraId="63DA8CE8"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$m</w:t>
            </w:r>
          </w:p>
        </w:tc>
        <w:tc>
          <w:tcPr>
            <w:tcW w:w="710" w:type="dxa"/>
            <w:tcBorders>
              <w:top w:val="single" w:sz="8" w:space="0" w:color="ADD6EA"/>
              <w:left w:val="nil"/>
              <w:bottom w:val="nil"/>
              <w:right w:val="nil"/>
            </w:tcBorders>
            <w:shd w:val="clear" w:color="000000" w:fill="B6D5E4"/>
            <w:vAlign w:val="bottom"/>
            <w:hideMark/>
          </w:tcPr>
          <w:p w14:paraId="525C93BF"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$m</w:t>
            </w:r>
          </w:p>
        </w:tc>
        <w:tc>
          <w:tcPr>
            <w:tcW w:w="710" w:type="dxa"/>
            <w:tcBorders>
              <w:top w:val="single" w:sz="8" w:space="0" w:color="ADD6EA"/>
              <w:left w:val="nil"/>
              <w:bottom w:val="nil"/>
              <w:right w:val="nil"/>
            </w:tcBorders>
            <w:shd w:val="clear" w:color="000000" w:fill="B6D5E4"/>
            <w:vAlign w:val="bottom"/>
            <w:hideMark/>
          </w:tcPr>
          <w:p w14:paraId="449CDCB4"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$m</w:t>
            </w:r>
          </w:p>
        </w:tc>
      </w:tr>
      <w:tr w:rsidR="000517F0" w:rsidRPr="00E42FDC" w14:paraId="3C1E93FF" w14:textId="77777777" w:rsidTr="00DF7A92">
        <w:trPr>
          <w:trHeight w:val="321"/>
        </w:trPr>
        <w:tc>
          <w:tcPr>
            <w:tcW w:w="2552" w:type="dxa"/>
            <w:gridSpan w:val="2"/>
            <w:tcBorders>
              <w:top w:val="single" w:sz="4" w:space="0" w:color="ADD6EA"/>
              <w:left w:val="nil"/>
              <w:bottom w:val="nil"/>
              <w:right w:val="nil"/>
            </w:tcBorders>
            <w:shd w:val="clear" w:color="000000" w:fill="FFFFFF"/>
            <w:vAlign w:val="bottom"/>
            <w:hideMark/>
          </w:tcPr>
          <w:p w14:paraId="34E3FB8D" w14:textId="77777777" w:rsidR="00E42FDC" w:rsidRPr="00E42FDC" w:rsidRDefault="00E42FDC" w:rsidP="00E42FDC">
            <w:pPr>
              <w:spacing w:after="0" w:line="240" w:lineRule="auto"/>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R2025 using R2020 methods</w:t>
            </w:r>
          </w:p>
        </w:tc>
        <w:tc>
          <w:tcPr>
            <w:tcW w:w="710" w:type="dxa"/>
            <w:tcBorders>
              <w:top w:val="single" w:sz="4" w:space="0" w:color="ADD6EA"/>
              <w:left w:val="nil"/>
              <w:bottom w:val="nil"/>
              <w:right w:val="nil"/>
            </w:tcBorders>
            <w:shd w:val="clear" w:color="000000" w:fill="FFFFFF"/>
            <w:vAlign w:val="bottom"/>
            <w:hideMark/>
          </w:tcPr>
          <w:p w14:paraId="29363334"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-298</w:t>
            </w:r>
          </w:p>
        </w:tc>
        <w:tc>
          <w:tcPr>
            <w:tcW w:w="710" w:type="dxa"/>
            <w:tcBorders>
              <w:top w:val="single" w:sz="4" w:space="0" w:color="ADD6EA"/>
              <w:left w:val="nil"/>
              <w:bottom w:val="nil"/>
              <w:right w:val="nil"/>
            </w:tcBorders>
            <w:shd w:val="clear" w:color="000000" w:fill="FFFFFF"/>
            <w:vAlign w:val="bottom"/>
            <w:hideMark/>
          </w:tcPr>
          <w:p w14:paraId="1F5729B5"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-1,155</w:t>
            </w:r>
          </w:p>
        </w:tc>
        <w:tc>
          <w:tcPr>
            <w:tcW w:w="710" w:type="dxa"/>
            <w:tcBorders>
              <w:top w:val="single" w:sz="4" w:space="0" w:color="ADD6EA"/>
              <w:left w:val="nil"/>
              <w:bottom w:val="nil"/>
              <w:right w:val="nil"/>
            </w:tcBorders>
            <w:shd w:val="clear" w:color="000000" w:fill="FFFFFF"/>
            <w:vAlign w:val="bottom"/>
            <w:hideMark/>
          </w:tcPr>
          <w:p w14:paraId="6DE7DA18"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416</w:t>
            </w:r>
          </w:p>
        </w:tc>
        <w:tc>
          <w:tcPr>
            <w:tcW w:w="710" w:type="dxa"/>
            <w:tcBorders>
              <w:top w:val="single" w:sz="4" w:space="0" w:color="ADD6EA"/>
              <w:left w:val="nil"/>
              <w:bottom w:val="nil"/>
              <w:right w:val="nil"/>
            </w:tcBorders>
            <w:shd w:val="clear" w:color="000000" w:fill="FFFFFF"/>
            <w:vAlign w:val="bottom"/>
            <w:hideMark/>
          </w:tcPr>
          <w:p w14:paraId="72A6C6A6"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314</w:t>
            </w:r>
          </w:p>
        </w:tc>
        <w:tc>
          <w:tcPr>
            <w:tcW w:w="710" w:type="dxa"/>
            <w:tcBorders>
              <w:top w:val="single" w:sz="4" w:space="0" w:color="ADD6EA"/>
              <w:left w:val="nil"/>
              <w:bottom w:val="nil"/>
              <w:right w:val="nil"/>
            </w:tcBorders>
            <w:shd w:val="clear" w:color="000000" w:fill="FFFFFF"/>
            <w:vAlign w:val="bottom"/>
            <w:hideMark/>
          </w:tcPr>
          <w:p w14:paraId="031FB8EF"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-2</w:t>
            </w:r>
          </w:p>
        </w:tc>
        <w:tc>
          <w:tcPr>
            <w:tcW w:w="710" w:type="dxa"/>
            <w:tcBorders>
              <w:top w:val="single" w:sz="4" w:space="0" w:color="ADD6EA"/>
              <w:left w:val="nil"/>
              <w:bottom w:val="nil"/>
              <w:right w:val="nil"/>
            </w:tcBorders>
            <w:shd w:val="clear" w:color="000000" w:fill="FFFFFF"/>
            <w:vAlign w:val="bottom"/>
            <w:hideMark/>
          </w:tcPr>
          <w:p w14:paraId="73064837"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108</w:t>
            </w:r>
          </w:p>
        </w:tc>
        <w:tc>
          <w:tcPr>
            <w:tcW w:w="710" w:type="dxa"/>
            <w:tcBorders>
              <w:top w:val="single" w:sz="4" w:space="0" w:color="ADD6EA"/>
              <w:left w:val="nil"/>
              <w:bottom w:val="nil"/>
              <w:right w:val="nil"/>
            </w:tcBorders>
            <w:shd w:val="clear" w:color="000000" w:fill="FFFFFF"/>
            <w:vAlign w:val="bottom"/>
            <w:hideMark/>
          </w:tcPr>
          <w:p w14:paraId="530D6A4E"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-127</w:t>
            </w:r>
          </w:p>
        </w:tc>
        <w:tc>
          <w:tcPr>
            <w:tcW w:w="710" w:type="dxa"/>
            <w:tcBorders>
              <w:top w:val="single" w:sz="4" w:space="0" w:color="ADD6EA"/>
              <w:left w:val="nil"/>
              <w:bottom w:val="nil"/>
              <w:right w:val="nil"/>
            </w:tcBorders>
            <w:shd w:val="clear" w:color="000000" w:fill="FFFFFF"/>
            <w:vAlign w:val="bottom"/>
            <w:hideMark/>
          </w:tcPr>
          <w:p w14:paraId="44B41AB6"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744</w:t>
            </w:r>
          </w:p>
        </w:tc>
        <w:tc>
          <w:tcPr>
            <w:tcW w:w="710" w:type="dxa"/>
            <w:tcBorders>
              <w:top w:val="single" w:sz="4" w:space="0" w:color="ADD6EA"/>
              <w:left w:val="nil"/>
              <w:bottom w:val="nil"/>
              <w:right w:val="nil"/>
            </w:tcBorders>
            <w:shd w:val="clear" w:color="000000" w:fill="FFFFFF"/>
            <w:vAlign w:val="bottom"/>
            <w:hideMark/>
          </w:tcPr>
          <w:p w14:paraId="4C7192EE"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1,582</w:t>
            </w:r>
          </w:p>
        </w:tc>
      </w:tr>
      <w:tr w:rsidR="000517F0" w:rsidRPr="00E42FDC" w14:paraId="6F20C4CE" w14:textId="77777777" w:rsidTr="00DF7A92">
        <w:trPr>
          <w:trHeight w:val="321"/>
        </w:trPr>
        <w:tc>
          <w:tcPr>
            <w:tcW w:w="2552" w:type="dxa"/>
            <w:gridSpan w:val="2"/>
            <w:tcBorders>
              <w:top w:val="single" w:sz="8" w:space="0" w:color="ADD6EA"/>
              <w:left w:val="nil"/>
              <w:bottom w:val="nil"/>
              <w:right w:val="nil"/>
            </w:tcBorders>
            <w:shd w:val="clear" w:color="000000" w:fill="FFFFFF"/>
            <w:vAlign w:val="bottom"/>
            <w:hideMark/>
          </w:tcPr>
          <w:p w14:paraId="7C2067D0" w14:textId="77777777" w:rsidR="00E42FDC" w:rsidRPr="00E42FDC" w:rsidRDefault="00E42FDC" w:rsidP="00E42FDC">
            <w:pPr>
              <w:spacing w:after="0" w:line="240" w:lineRule="auto"/>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R2025 using draft U2026 methods</w:t>
            </w:r>
          </w:p>
        </w:tc>
        <w:tc>
          <w:tcPr>
            <w:tcW w:w="710" w:type="dxa"/>
            <w:tcBorders>
              <w:top w:val="single" w:sz="8" w:space="0" w:color="ADD6EA"/>
              <w:left w:val="nil"/>
              <w:bottom w:val="nil"/>
              <w:right w:val="nil"/>
            </w:tcBorders>
            <w:shd w:val="clear" w:color="000000" w:fill="FFFFFF"/>
            <w:vAlign w:val="bottom"/>
            <w:hideMark/>
          </w:tcPr>
          <w:p w14:paraId="023B9006" w14:textId="724D4140"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w:t>
            </w:r>
            <w:r w:rsidR="00FC68AB">
              <w:rPr>
                <w:rFonts w:ascii="Open Sans Light" w:eastAsia="Times New Roman" w:hAnsi="Open Sans Light" w:cs="Open Sans Light"/>
                <w:color w:val="000000"/>
                <w:sz w:val="16"/>
                <w:szCs w:val="16"/>
                <w:lang w:eastAsia="en-AU"/>
              </w:rPr>
              <w:t>9</w:t>
            </w:r>
            <w:r w:rsidR="00E6631E">
              <w:rPr>
                <w:rFonts w:ascii="Open Sans Light" w:eastAsia="Times New Roman" w:hAnsi="Open Sans Light" w:cs="Open Sans Light"/>
                <w:color w:val="000000"/>
                <w:sz w:val="16"/>
                <w:szCs w:val="16"/>
                <w:lang w:eastAsia="en-AU"/>
              </w:rPr>
              <w:t>5</w:t>
            </w:r>
          </w:p>
        </w:tc>
        <w:tc>
          <w:tcPr>
            <w:tcW w:w="710" w:type="dxa"/>
            <w:tcBorders>
              <w:top w:val="single" w:sz="8" w:space="0" w:color="ADD6EA"/>
              <w:left w:val="nil"/>
              <w:bottom w:val="nil"/>
              <w:right w:val="nil"/>
            </w:tcBorders>
            <w:shd w:val="clear" w:color="000000" w:fill="FFFFFF"/>
            <w:vAlign w:val="bottom"/>
            <w:hideMark/>
          </w:tcPr>
          <w:p w14:paraId="4210FA97" w14:textId="10AB4906"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-1,</w:t>
            </w:r>
            <w:r w:rsidR="007E4BF3">
              <w:rPr>
                <w:rFonts w:ascii="Open Sans Light" w:eastAsia="Times New Roman" w:hAnsi="Open Sans Light" w:cs="Open Sans Light"/>
                <w:color w:val="000000"/>
                <w:sz w:val="16"/>
                <w:szCs w:val="16"/>
                <w:lang w:eastAsia="en-AU"/>
              </w:rPr>
              <w:t>37</w:t>
            </w:r>
            <w:r w:rsidR="00E6631E">
              <w:rPr>
                <w:rFonts w:ascii="Open Sans Light" w:eastAsia="Times New Roman" w:hAnsi="Open Sans Light" w:cs="Open Sans Light"/>
                <w:color w:val="000000"/>
                <w:sz w:val="16"/>
                <w:szCs w:val="16"/>
                <w:lang w:eastAsia="en-AU"/>
              </w:rPr>
              <w:t>2</w:t>
            </w:r>
          </w:p>
        </w:tc>
        <w:tc>
          <w:tcPr>
            <w:tcW w:w="710" w:type="dxa"/>
            <w:tcBorders>
              <w:top w:val="single" w:sz="8" w:space="0" w:color="ADD6EA"/>
              <w:left w:val="nil"/>
              <w:bottom w:val="nil"/>
              <w:right w:val="nil"/>
            </w:tcBorders>
            <w:shd w:val="clear" w:color="000000" w:fill="FFFFFF"/>
            <w:vAlign w:val="bottom"/>
            <w:hideMark/>
          </w:tcPr>
          <w:p w14:paraId="206A467B" w14:textId="05376BF9" w:rsidR="00E42FDC" w:rsidRPr="00E42FDC" w:rsidRDefault="007E4BF3" w:rsidP="00E42FDC">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50</w:t>
            </w:r>
            <w:r w:rsidR="00E6631E">
              <w:rPr>
                <w:rFonts w:ascii="Open Sans Light" w:eastAsia="Times New Roman" w:hAnsi="Open Sans Light" w:cs="Open Sans Light"/>
                <w:color w:val="000000"/>
                <w:sz w:val="16"/>
                <w:szCs w:val="16"/>
                <w:lang w:eastAsia="en-AU"/>
              </w:rPr>
              <w:t>6</w:t>
            </w:r>
          </w:p>
        </w:tc>
        <w:tc>
          <w:tcPr>
            <w:tcW w:w="710" w:type="dxa"/>
            <w:tcBorders>
              <w:top w:val="single" w:sz="8" w:space="0" w:color="ADD6EA"/>
              <w:left w:val="nil"/>
              <w:bottom w:val="nil"/>
              <w:right w:val="nil"/>
            </w:tcBorders>
            <w:shd w:val="clear" w:color="000000" w:fill="FFFFFF"/>
            <w:vAlign w:val="bottom"/>
            <w:hideMark/>
          </w:tcPr>
          <w:p w14:paraId="281E9C13" w14:textId="7B8A56F8" w:rsidR="00E42FDC" w:rsidRPr="00E42FDC" w:rsidRDefault="007E4BF3" w:rsidP="00E42FDC">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25</w:t>
            </w:r>
            <w:r w:rsidR="009E0F85">
              <w:rPr>
                <w:rFonts w:ascii="Open Sans Light" w:eastAsia="Times New Roman" w:hAnsi="Open Sans Light" w:cs="Open Sans Light"/>
                <w:color w:val="000000"/>
                <w:sz w:val="16"/>
                <w:szCs w:val="16"/>
                <w:lang w:eastAsia="en-AU"/>
              </w:rPr>
              <w:t>2</w:t>
            </w:r>
          </w:p>
        </w:tc>
        <w:tc>
          <w:tcPr>
            <w:tcW w:w="710" w:type="dxa"/>
            <w:tcBorders>
              <w:top w:val="single" w:sz="8" w:space="0" w:color="ADD6EA"/>
              <w:left w:val="nil"/>
              <w:bottom w:val="nil"/>
              <w:right w:val="nil"/>
            </w:tcBorders>
            <w:shd w:val="clear" w:color="000000" w:fill="FFFFFF"/>
            <w:vAlign w:val="bottom"/>
            <w:hideMark/>
          </w:tcPr>
          <w:p w14:paraId="39565201" w14:textId="519704B4"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w:t>
            </w:r>
            <w:r w:rsidR="006B142C">
              <w:rPr>
                <w:rFonts w:ascii="Open Sans Light" w:eastAsia="Times New Roman" w:hAnsi="Open Sans Light" w:cs="Open Sans Light"/>
                <w:color w:val="000000"/>
                <w:sz w:val="16"/>
                <w:szCs w:val="16"/>
                <w:lang w:eastAsia="en-AU"/>
              </w:rPr>
              <w:t>40</w:t>
            </w:r>
          </w:p>
        </w:tc>
        <w:tc>
          <w:tcPr>
            <w:tcW w:w="710" w:type="dxa"/>
            <w:tcBorders>
              <w:top w:val="single" w:sz="8" w:space="0" w:color="ADD6EA"/>
              <w:left w:val="nil"/>
              <w:bottom w:val="nil"/>
              <w:right w:val="nil"/>
            </w:tcBorders>
            <w:shd w:val="clear" w:color="000000" w:fill="FFFFFF"/>
            <w:vAlign w:val="bottom"/>
            <w:hideMark/>
          </w:tcPr>
          <w:p w14:paraId="3F94C6AE" w14:textId="6E9309C2" w:rsidR="00E42FDC" w:rsidRPr="00E42FDC" w:rsidRDefault="007E4BF3" w:rsidP="00E42FDC">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w:t>
            </w:r>
            <w:r w:rsidR="009E0F85">
              <w:rPr>
                <w:rFonts w:ascii="Open Sans Light" w:eastAsia="Times New Roman" w:hAnsi="Open Sans Light" w:cs="Open Sans Light"/>
                <w:color w:val="000000"/>
                <w:sz w:val="16"/>
                <w:szCs w:val="16"/>
                <w:lang w:eastAsia="en-AU"/>
              </w:rPr>
              <w:t>59</w:t>
            </w:r>
          </w:p>
        </w:tc>
        <w:tc>
          <w:tcPr>
            <w:tcW w:w="710" w:type="dxa"/>
            <w:tcBorders>
              <w:top w:val="single" w:sz="8" w:space="0" w:color="ADD6EA"/>
              <w:left w:val="nil"/>
              <w:bottom w:val="nil"/>
              <w:right w:val="nil"/>
            </w:tcBorders>
            <w:shd w:val="clear" w:color="000000" w:fill="FFFFFF"/>
            <w:vAlign w:val="bottom"/>
            <w:hideMark/>
          </w:tcPr>
          <w:p w14:paraId="4996E4A4" w14:textId="00CF7971"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w:t>
            </w:r>
            <w:r w:rsidR="007E4BF3">
              <w:rPr>
                <w:rFonts w:ascii="Open Sans Light" w:eastAsia="Times New Roman" w:hAnsi="Open Sans Light" w:cs="Open Sans Light"/>
                <w:color w:val="000000"/>
                <w:sz w:val="16"/>
                <w:szCs w:val="16"/>
                <w:lang w:eastAsia="en-AU"/>
              </w:rPr>
              <w:t>141</w:t>
            </w:r>
          </w:p>
        </w:tc>
        <w:tc>
          <w:tcPr>
            <w:tcW w:w="710" w:type="dxa"/>
            <w:tcBorders>
              <w:top w:val="single" w:sz="8" w:space="0" w:color="ADD6EA"/>
              <w:left w:val="nil"/>
              <w:bottom w:val="nil"/>
              <w:right w:val="nil"/>
            </w:tcBorders>
            <w:shd w:val="clear" w:color="000000" w:fill="FFFFFF"/>
            <w:vAlign w:val="bottom"/>
            <w:hideMark/>
          </w:tcPr>
          <w:p w14:paraId="3CCE42D7" w14:textId="1C11C0F2" w:rsidR="00E42FDC" w:rsidRPr="00E42FDC" w:rsidRDefault="007E4BF3" w:rsidP="00E42FDC">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73</w:t>
            </w:r>
            <w:r w:rsidR="009E0F85">
              <w:rPr>
                <w:rFonts w:ascii="Open Sans Light" w:eastAsia="Times New Roman" w:hAnsi="Open Sans Light" w:cs="Open Sans Light"/>
                <w:color w:val="000000"/>
                <w:sz w:val="16"/>
                <w:szCs w:val="16"/>
                <w:lang w:eastAsia="en-AU"/>
              </w:rPr>
              <w:t>1</w:t>
            </w:r>
          </w:p>
        </w:tc>
        <w:tc>
          <w:tcPr>
            <w:tcW w:w="710" w:type="dxa"/>
            <w:tcBorders>
              <w:top w:val="single" w:sz="8" w:space="0" w:color="ADD6EA"/>
              <w:left w:val="nil"/>
              <w:bottom w:val="nil"/>
              <w:right w:val="nil"/>
            </w:tcBorders>
            <w:shd w:val="clear" w:color="000000" w:fill="FFFFFF"/>
            <w:vAlign w:val="bottom"/>
            <w:hideMark/>
          </w:tcPr>
          <w:p w14:paraId="4FE71516" w14:textId="6FE070C1"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1,</w:t>
            </w:r>
            <w:r w:rsidR="003E165E">
              <w:rPr>
                <w:rFonts w:ascii="Open Sans Light" w:eastAsia="Times New Roman" w:hAnsi="Open Sans Light" w:cs="Open Sans Light"/>
                <w:color w:val="000000"/>
                <w:sz w:val="16"/>
                <w:szCs w:val="16"/>
                <w:lang w:eastAsia="en-AU"/>
              </w:rPr>
              <w:t>649</w:t>
            </w:r>
          </w:p>
        </w:tc>
      </w:tr>
      <w:tr w:rsidR="000517F0" w:rsidRPr="00E42FDC" w14:paraId="5B05CE53" w14:textId="77777777" w:rsidTr="00DF7A92">
        <w:trPr>
          <w:trHeight w:val="321"/>
        </w:trPr>
        <w:tc>
          <w:tcPr>
            <w:tcW w:w="2552" w:type="dxa"/>
            <w:gridSpan w:val="2"/>
            <w:tcBorders>
              <w:top w:val="single" w:sz="8" w:space="0" w:color="ADD6EA"/>
              <w:left w:val="nil"/>
              <w:bottom w:val="nil"/>
              <w:right w:val="nil"/>
            </w:tcBorders>
            <w:shd w:val="clear" w:color="000000" w:fill="FFFFFF"/>
            <w:vAlign w:val="bottom"/>
            <w:hideMark/>
          </w:tcPr>
          <w:p w14:paraId="572B0E8B" w14:textId="77777777" w:rsidR="00E42FDC" w:rsidRPr="00E42FDC" w:rsidRDefault="00E42FDC" w:rsidP="00E42FDC">
            <w:pPr>
              <w:spacing w:after="0" w:line="240" w:lineRule="auto"/>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Effect of proposed changes</w:t>
            </w:r>
          </w:p>
        </w:tc>
        <w:tc>
          <w:tcPr>
            <w:tcW w:w="710" w:type="dxa"/>
            <w:tcBorders>
              <w:top w:val="single" w:sz="8" w:space="0" w:color="ADD6EA"/>
              <w:left w:val="nil"/>
              <w:bottom w:val="nil"/>
              <w:right w:val="nil"/>
            </w:tcBorders>
            <w:shd w:val="clear" w:color="000000" w:fill="FFFFFF"/>
            <w:vAlign w:val="bottom"/>
            <w:hideMark/>
          </w:tcPr>
          <w:p w14:paraId="29D9C024" w14:textId="5786C302" w:rsidR="00E42FDC" w:rsidRPr="00E42FDC" w:rsidRDefault="00353CAA" w:rsidP="00E42FDC">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20</w:t>
            </w:r>
            <w:r w:rsidR="003E165E">
              <w:rPr>
                <w:rFonts w:ascii="Open Sans Light" w:eastAsia="Times New Roman" w:hAnsi="Open Sans Light" w:cs="Open Sans Light"/>
                <w:color w:val="000000"/>
                <w:sz w:val="16"/>
                <w:szCs w:val="16"/>
                <w:lang w:eastAsia="en-AU"/>
              </w:rPr>
              <w:t>3</w:t>
            </w:r>
          </w:p>
        </w:tc>
        <w:tc>
          <w:tcPr>
            <w:tcW w:w="710" w:type="dxa"/>
            <w:tcBorders>
              <w:top w:val="single" w:sz="8" w:space="0" w:color="ADD6EA"/>
              <w:left w:val="nil"/>
              <w:bottom w:val="nil"/>
              <w:right w:val="nil"/>
            </w:tcBorders>
            <w:shd w:val="clear" w:color="000000" w:fill="FFFFFF"/>
            <w:vAlign w:val="bottom"/>
            <w:hideMark/>
          </w:tcPr>
          <w:p w14:paraId="21ACF029" w14:textId="66277C81"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w:t>
            </w:r>
            <w:r w:rsidR="00353CAA">
              <w:rPr>
                <w:rFonts w:ascii="Open Sans Light" w:eastAsia="Times New Roman" w:hAnsi="Open Sans Light" w:cs="Open Sans Light"/>
                <w:color w:val="000000"/>
                <w:sz w:val="16"/>
                <w:szCs w:val="16"/>
                <w:lang w:eastAsia="en-AU"/>
              </w:rPr>
              <w:t>2</w:t>
            </w:r>
            <w:r w:rsidR="003E165E">
              <w:rPr>
                <w:rFonts w:ascii="Open Sans Light" w:eastAsia="Times New Roman" w:hAnsi="Open Sans Light" w:cs="Open Sans Light"/>
                <w:color w:val="000000"/>
                <w:sz w:val="16"/>
                <w:szCs w:val="16"/>
                <w:lang w:eastAsia="en-AU"/>
              </w:rPr>
              <w:t>17</w:t>
            </w:r>
          </w:p>
        </w:tc>
        <w:tc>
          <w:tcPr>
            <w:tcW w:w="710" w:type="dxa"/>
            <w:tcBorders>
              <w:top w:val="single" w:sz="8" w:space="0" w:color="ADD6EA"/>
              <w:left w:val="nil"/>
              <w:bottom w:val="nil"/>
              <w:right w:val="nil"/>
            </w:tcBorders>
            <w:shd w:val="clear" w:color="000000" w:fill="FFFFFF"/>
            <w:vAlign w:val="bottom"/>
            <w:hideMark/>
          </w:tcPr>
          <w:p w14:paraId="02860886" w14:textId="22529006" w:rsidR="00E42FDC" w:rsidRPr="00E42FDC" w:rsidRDefault="00353CAA" w:rsidP="00E42FDC">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9</w:t>
            </w:r>
            <w:r w:rsidR="003E165E">
              <w:rPr>
                <w:rFonts w:ascii="Open Sans Light" w:eastAsia="Times New Roman" w:hAnsi="Open Sans Light" w:cs="Open Sans Light"/>
                <w:color w:val="000000"/>
                <w:sz w:val="16"/>
                <w:szCs w:val="16"/>
                <w:lang w:eastAsia="en-AU"/>
              </w:rPr>
              <w:t>0</w:t>
            </w:r>
          </w:p>
        </w:tc>
        <w:tc>
          <w:tcPr>
            <w:tcW w:w="710" w:type="dxa"/>
            <w:tcBorders>
              <w:top w:val="single" w:sz="8" w:space="0" w:color="ADD6EA"/>
              <w:left w:val="nil"/>
              <w:bottom w:val="nil"/>
              <w:right w:val="nil"/>
            </w:tcBorders>
            <w:shd w:val="clear" w:color="000000" w:fill="FFFFFF"/>
            <w:vAlign w:val="bottom"/>
            <w:hideMark/>
          </w:tcPr>
          <w:p w14:paraId="6B01B5EC" w14:textId="73D97446"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w:t>
            </w:r>
            <w:r w:rsidR="00F52BAF">
              <w:rPr>
                <w:rFonts w:ascii="Open Sans Light" w:eastAsia="Times New Roman" w:hAnsi="Open Sans Light" w:cs="Open Sans Light"/>
                <w:color w:val="000000"/>
                <w:sz w:val="16"/>
                <w:szCs w:val="16"/>
                <w:lang w:eastAsia="en-AU"/>
              </w:rPr>
              <w:t>6</w:t>
            </w:r>
            <w:r w:rsidR="003E165E">
              <w:rPr>
                <w:rFonts w:ascii="Open Sans Light" w:eastAsia="Times New Roman" w:hAnsi="Open Sans Light" w:cs="Open Sans Light"/>
                <w:color w:val="000000"/>
                <w:sz w:val="16"/>
                <w:szCs w:val="16"/>
                <w:lang w:eastAsia="en-AU"/>
              </w:rPr>
              <w:t>2</w:t>
            </w:r>
          </w:p>
        </w:tc>
        <w:tc>
          <w:tcPr>
            <w:tcW w:w="710" w:type="dxa"/>
            <w:tcBorders>
              <w:top w:val="single" w:sz="8" w:space="0" w:color="ADD6EA"/>
              <w:left w:val="nil"/>
              <w:bottom w:val="nil"/>
              <w:right w:val="nil"/>
            </w:tcBorders>
            <w:shd w:val="clear" w:color="000000" w:fill="FFFFFF"/>
            <w:vAlign w:val="bottom"/>
            <w:hideMark/>
          </w:tcPr>
          <w:p w14:paraId="3BAD163F" w14:textId="79142600"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-37</w:t>
            </w:r>
          </w:p>
        </w:tc>
        <w:tc>
          <w:tcPr>
            <w:tcW w:w="710" w:type="dxa"/>
            <w:tcBorders>
              <w:top w:val="single" w:sz="8" w:space="0" w:color="ADD6EA"/>
              <w:left w:val="nil"/>
              <w:bottom w:val="nil"/>
              <w:right w:val="nil"/>
            </w:tcBorders>
            <w:shd w:val="clear" w:color="000000" w:fill="FFFFFF"/>
            <w:vAlign w:val="bottom"/>
            <w:hideMark/>
          </w:tcPr>
          <w:p w14:paraId="7A3B54DC" w14:textId="25CB67AB" w:rsidR="00E42FDC" w:rsidRPr="00E42FDC" w:rsidRDefault="00F52BAF" w:rsidP="00E42FDC">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5</w:t>
            </w:r>
            <w:r w:rsidR="003E165E">
              <w:rPr>
                <w:rFonts w:ascii="Open Sans Light" w:eastAsia="Times New Roman" w:hAnsi="Open Sans Light" w:cs="Open Sans Light"/>
                <w:color w:val="000000"/>
                <w:sz w:val="16"/>
                <w:szCs w:val="16"/>
                <w:lang w:eastAsia="en-AU"/>
              </w:rPr>
              <w:t>2</w:t>
            </w:r>
          </w:p>
        </w:tc>
        <w:tc>
          <w:tcPr>
            <w:tcW w:w="710" w:type="dxa"/>
            <w:tcBorders>
              <w:top w:val="single" w:sz="8" w:space="0" w:color="ADD6EA"/>
              <w:left w:val="nil"/>
              <w:bottom w:val="nil"/>
              <w:right w:val="nil"/>
            </w:tcBorders>
            <w:shd w:val="clear" w:color="000000" w:fill="FFFFFF"/>
            <w:vAlign w:val="bottom"/>
            <w:hideMark/>
          </w:tcPr>
          <w:p w14:paraId="5133844A" w14:textId="2531B61A"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-1</w:t>
            </w:r>
            <w:r w:rsidR="003E165E">
              <w:rPr>
                <w:rFonts w:ascii="Open Sans Light" w:eastAsia="Times New Roman" w:hAnsi="Open Sans Light" w:cs="Open Sans Light"/>
                <w:color w:val="000000"/>
                <w:sz w:val="16"/>
                <w:szCs w:val="16"/>
                <w:lang w:eastAsia="en-AU"/>
              </w:rPr>
              <w:t>4</w:t>
            </w:r>
          </w:p>
        </w:tc>
        <w:tc>
          <w:tcPr>
            <w:tcW w:w="710" w:type="dxa"/>
            <w:tcBorders>
              <w:top w:val="single" w:sz="8" w:space="0" w:color="ADD6EA"/>
              <w:left w:val="nil"/>
              <w:bottom w:val="nil"/>
              <w:right w:val="nil"/>
            </w:tcBorders>
            <w:shd w:val="clear" w:color="000000" w:fill="FFFFFF"/>
            <w:vAlign w:val="bottom"/>
            <w:hideMark/>
          </w:tcPr>
          <w:p w14:paraId="4066FB33" w14:textId="30CAE576"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w:t>
            </w:r>
            <w:r w:rsidR="00EB3182">
              <w:rPr>
                <w:rFonts w:ascii="Open Sans Light" w:eastAsia="Times New Roman" w:hAnsi="Open Sans Light" w:cs="Open Sans Light"/>
                <w:color w:val="000000"/>
                <w:sz w:val="16"/>
                <w:szCs w:val="16"/>
                <w:lang w:eastAsia="en-AU"/>
              </w:rPr>
              <w:t>1</w:t>
            </w:r>
            <w:r w:rsidR="003E165E">
              <w:rPr>
                <w:rFonts w:ascii="Open Sans Light" w:eastAsia="Times New Roman" w:hAnsi="Open Sans Light" w:cs="Open Sans Light"/>
                <w:color w:val="000000"/>
                <w:sz w:val="16"/>
                <w:szCs w:val="16"/>
                <w:lang w:eastAsia="en-AU"/>
              </w:rPr>
              <w:t>3</w:t>
            </w:r>
          </w:p>
        </w:tc>
        <w:tc>
          <w:tcPr>
            <w:tcW w:w="710" w:type="dxa"/>
            <w:tcBorders>
              <w:top w:val="single" w:sz="8" w:space="0" w:color="ADD6EA"/>
              <w:left w:val="nil"/>
              <w:bottom w:val="nil"/>
              <w:right w:val="nil"/>
            </w:tcBorders>
            <w:shd w:val="clear" w:color="000000" w:fill="FFFFFF"/>
            <w:vAlign w:val="bottom"/>
            <w:hideMark/>
          </w:tcPr>
          <w:p w14:paraId="49BFB815" w14:textId="64BA1EEE" w:rsidR="00E42FDC" w:rsidRPr="00E42FDC" w:rsidRDefault="00EB3182" w:rsidP="00E42FDC">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34</w:t>
            </w:r>
            <w:r w:rsidR="003E165E">
              <w:rPr>
                <w:rFonts w:ascii="Open Sans Light" w:eastAsia="Times New Roman" w:hAnsi="Open Sans Light" w:cs="Open Sans Light"/>
                <w:color w:val="000000"/>
                <w:sz w:val="16"/>
                <w:szCs w:val="16"/>
                <w:lang w:eastAsia="en-AU"/>
              </w:rPr>
              <w:t>4</w:t>
            </w:r>
          </w:p>
        </w:tc>
      </w:tr>
      <w:tr w:rsidR="000517F0" w:rsidRPr="00E42FDC" w14:paraId="18B21EFE" w14:textId="77777777" w:rsidTr="00DF7A92">
        <w:trPr>
          <w:trHeight w:val="261"/>
        </w:trPr>
        <w:tc>
          <w:tcPr>
            <w:tcW w:w="2552" w:type="dxa"/>
            <w:gridSpan w:val="2"/>
            <w:tcBorders>
              <w:top w:val="single" w:sz="8" w:space="0" w:color="ADD6EA"/>
              <w:left w:val="nil"/>
              <w:bottom w:val="nil"/>
              <w:right w:val="nil"/>
            </w:tcBorders>
            <w:shd w:val="clear" w:color="000000" w:fill="B6D5E4"/>
            <w:vAlign w:val="bottom"/>
            <w:hideMark/>
          </w:tcPr>
          <w:p w14:paraId="08C9380C" w14:textId="77777777" w:rsidR="00E42FDC" w:rsidRPr="00E42FDC" w:rsidRDefault="00E42FDC" w:rsidP="00E42FDC">
            <w:pPr>
              <w:spacing w:after="0" w:line="240" w:lineRule="auto"/>
              <w:rPr>
                <w:rFonts w:ascii="Open Sans Semibold" w:eastAsia="Times New Roman" w:hAnsi="Open Sans Semibold" w:cs="Open Sans Semibold"/>
                <w:color w:val="000000"/>
                <w:sz w:val="16"/>
                <w:szCs w:val="16"/>
                <w:lang w:eastAsia="en-AU"/>
              </w:rPr>
            </w:pPr>
            <w:bookmarkStart w:id="4" w:name="RANGE!A23"/>
            <w:r w:rsidRPr="00E42FDC">
              <w:rPr>
                <w:rFonts w:ascii="Open Sans Semibold" w:eastAsia="Times New Roman" w:hAnsi="Open Sans Semibold" w:cs="Open Sans Semibold"/>
                <w:color w:val="000000"/>
                <w:sz w:val="16"/>
                <w:szCs w:val="16"/>
                <w:lang w:eastAsia="en-AU"/>
              </w:rPr>
              <w:t> </w:t>
            </w:r>
            <w:bookmarkEnd w:id="4"/>
          </w:p>
        </w:tc>
        <w:tc>
          <w:tcPr>
            <w:tcW w:w="710" w:type="dxa"/>
            <w:tcBorders>
              <w:top w:val="single" w:sz="8" w:space="0" w:color="ADD6EA"/>
              <w:left w:val="nil"/>
              <w:bottom w:val="nil"/>
              <w:right w:val="nil"/>
            </w:tcBorders>
            <w:shd w:val="clear" w:color="000000" w:fill="B6D5E4"/>
            <w:vAlign w:val="bottom"/>
            <w:hideMark/>
          </w:tcPr>
          <w:p w14:paraId="2A77DB6F"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$pc</w:t>
            </w:r>
          </w:p>
        </w:tc>
        <w:tc>
          <w:tcPr>
            <w:tcW w:w="710" w:type="dxa"/>
            <w:tcBorders>
              <w:top w:val="single" w:sz="8" w:space="0" w:color="ADD6EA"/>
              <w:left w:val="nil"/>
              <w:bottom w:val="nil"/>
              <w:right w:val="nil"/>
            </w:tcBorders>
            <w:shd w:val="clear" w:color="000000" w:fill="B6D5E4"/>
            <w:vAlign w:val="bottom"/>
            <w:hideMark/>
          </w:tcPr>
          <w:p w14:paraId="5329F835"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$pc</w:t>
            </w:r>
          </w:p>
        </w:tc>
        <w:tc>
          <w:tcPr>
            <w:tcW w:w="710" w:type="dxa"/>
            <w:tcBorders>
              <w:top w:val="single" w:sz="8" w:space="0" w:color="ADD6EA"/>
              <w:left w:val="nil"/>
              <w:bottom w:val="nil"/>
              <w:right w:val="nil"/>
            </w:tcBorders>
            <w:shd w:val="clear" w:color="000000" w:fill="B6D5E4"/>
            <w:vAlign w:val="bottom"/>
            <w:hideMark/>
          </w:tcPr>
          <w:p w14:paraId="0C23DCA7"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$pc</w:t>
            </w:r>
          </w:p>
        </w:tc>
        <w:tc>
          <w:tcPr>
            <w:tcW w:w="710" w:type="dxa"/>
            <w:tcBorders>
              <w:top w:val="single" w:sz="8" w:space="0" w:color="ADD6EA"/>
              <w:left w:val="nil"/>
              <w:bottom w:val="nil"/>
              <w:right w:val="nil"/>
            </w:tcBorders>
            <w:shd w:val="clear" w:color="000000" w:fill="B6D5E4"/>
            <w:vAlign w:val="bottom"/>
            <w:hideMark/>
          </w:tcPr>
          <w:p w14:paraId="56D4AC83"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$pc</w:t>
            </w:r>
          </w:p>
        </w:tc>
        <w:tc>
          <w:tcPr>
            <w:tcW w:w="710" w:type="dxa"/>
            <w:tcBorders>
              <w:top w:val="single" w:sz="8" w:space="0" w:color="ADD6EA"/>
              <w:left w:val="nil"/>
              <w:bottom w:val="nil"/>
              <w:right w:val="nil"/>
            </w:tcBorders>
            <w:shd w:val="clear" w:color="000000" w:fill="B6D5E4"/>
            <w:vAlign w:val="bottom"/>
            <w:hideMark/>
          </w:tcPr>
          <w:p w14:paraId="37EB001F"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$pc</w:t>
            </w:r>
          </w:p>
        </w:tc>
        <w:tc>
          <w:tcPr>
            <w:tcW w:w="710" w:type="dxa"/>
            <w:tcBorders>
              <w:top w:val="single" w:sz="8" w:space="0" w:color="ADD6EA"/>
              <w:left w:val="nil"/>
              <w:bottom w:val="nil"/>
              <w:right w:val="nil"/>
            </w:tcBorders>
            <w:shd w:val="clear" w:color="000000" w:fill="B6D5E4"/>
            <w:vAlign w:val="bottom"/>
            <w:hideMark/>
          </w:tcPr>
          <w:p w14:paraId="4D7079A1"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$pc</w:t>
            </w:r>
          </w:p>
        </w:tc>
        <w:tc>
          <w:tcPr>
            <w:tcW w:w="710" w:type="dxa"/>
            <w:tcBorders>
              <w:top w:val="single" w:sz="8" w:space="0" w:color="ADD6EA"/>
              <w:left w:val="nil"/>
              <w:bottom w:val="nil"/>
              <w:right w:val="nil"/>
            </w:tcBorders>
            <w:shd w:val="clear" w:color="000000" w:fill="B6D5E4"/>
            <w:vAlign w:val="bottom"/>
            <w:hideMark/>
          </w:tcPr>
          <w:p w14:paraId="6EF7038E"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$pc</w:t>
            </w:r>
          </w:p>
        </w:tc>
        <w:tc>
          <w:tcPr>
            <w:tcW w:w="710" w:type="dxa"/>
            <w:tcBorders>
              <w:top w:val="single" w:sz="8" w:space="0" w:color="ADD6EA"/>
              <w:left w:val="nil"/>
              <w:bottom w:val="nil"/>
              <w:right w:val="nil"/>
            </w:tcBorders>
            <w:shd w:val="clear" w:color="000000" w:fill="B6D5E4"/>
            <w:vAlign w:val="bottom"/>
            <w:hideMark/>
          </w:tcPr>
          <w:p w14:paraId="15505846"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$pc</w:t>
            </w:r>
          </w:p>
        </w:tc>
        <w:tc>
          <w:tcPr>
            <w:tcW w:w="710" w:type="dxa"/>
            <w:tcBorders>
              <w:top w:val="single" w:sz="8" w:space="0" w:color="ADD6EA"/>
              <w:left w:val="nil"/>
              <w:bottom w:val="nil"/>
              <w:right w:val="nil"/>
            </w:tcBorders>
            <w:shd w:val="clear" w:color="000000" w:fill="B6D5E4"/>
            <w:vAlign w:val="bottom"/>
            <w:hideMark/>
          </w:tcPr>
          <w:p w14:paraId="4657284E" w14:textId="77777777" w:rsidR="00E42FDC" w:rsidRPr="00E42FDC" w:rsidRDefault="00E42FDC" w:rsidP="00E42FDC">
            <w:pPr>
              <w:spacing w:after="0" w:line="240" w:lineRule="auto"/>
              <w:jc w:val="right"/>
              <w:rPr>
                <w:rFonts w:ascii="Open Sans Semibold" w:eastAsia="Times New Roman" w:hAnsi="Open Sans Semibold" w:cs="Open Sans Semibold"/>
                <w:color w:val="000000"/>
                <w:sz w:val="16"/>
                <w:szCs w:val="16"/>
                <w:lang w:eastAsia="en-AU"/>
              </w:rPr>
            </w:pPr>
            <w:r w:rsidRPr="00E42FDC">
              <w:rPr>
                <w:rFonts w:ascii="Open Sans Semibold" w:eastAsia="Times New Roman" w:hAnsi="Open Sans Semibold" w:cs="Open Sans Semibold"/>
                <w:color w:val="000000"/>
                <w:sz w:val="16"/>
                <w:szCs w:val="16"/>
                <w:lang w:eastAsia="en-AU"/>
              </w:rPr>
              <w:t>$pc</w:t>
            </w:r>
          </w:p>
        </w:tc>
      </w:tr>
      <w:tr w:rsidR="000517F0" w:rsidRPr="00E42FDC" w14:paraId="091E4F05" w14:textId="77777777" w:rsidTr="00DF7A92">
        <w:trPr>
          <w:trHeight w:val="321"/>
        </w:trPr>
        <w:tc>
          <w:tcPr>
            <w:tcW w:w="2552" w:type="dxa"/>
            <w:gridSpan w:val="2"/>
            <w:tcBorders>
              <w:top w:val="single" w:sz="8" w:space="0" w:color="ADD6EA"/>
              <w:left w:val="nil"/>
              <w:bottom w:val="nil"/>
              <w:right w:val="nil"/>
            </w:tcBorders>
            <w:shd w:val="clear" w:color="000000" w:fill="FFFFFF"/>
            <w:vAlign w:val="bottom"/>
            <w:hideMark/>
          </w:tcPr>
          <w:p w14:paraId="045BA3E9" w14:textId="77777777" w:rsidR="00E42FDC" w:rsidRPr="00E42FDC" w:rsidRDefault="00E42FDC" w:rsidP="00E42FDC">
            <w:pPr>
              <w:spacing w:after="0" w:line="240" w:lineRule="auto"/>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R2025 using R2020 methods</w:t>
            </w:r>
          </w:p>
        </w:tc>
        <w:tc>
          <w:tcPr>
            <w:tcW w:w="710" w:type="dxa"/>
            <w:tcBorders>
              <w:top w:val="single" w:sz="8" w:space="0" w:color="ADD6EA"/>
              <w:left w:val="nil"/>
              <w:bottom w:val="nil"/>
              <w:right w:val="nil"/>
            </w:tcBorders>
            <w:shd w:val="clear" w:color="000000" w:fill="FFFFFF"/>
            <w:vAlign w:val="bottom"/>
            <w:hideMark/>
          </w:tcPr>
          <w:p w14:paraId="4AABC682"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-34</w:t>
            </w:r>
          </w:p>
        </w:tc>
        <w:tc>
          <w:tcPr>
            <w:tcW w:w="710" w:type="dxa"/>
            <w:tcBorders>
              <w:top w:val="single" w:sz="8" w:space="0" w:color="ADD6EA"/>
              <w:left w:val="nil"/>
              <w:bottom w:val="nil"/>
              <w:right w:val="nil"/>
            </w:tcBorders>
            <w:shd w:val="clear" w:color="000000" w:fill="FFFFFF"/>
            <w:vAlign w:val="bottom"/>
            <w:hideMark/>
          </w:tcPr>
          <w:p w14:paraId="3AEB5127"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-161</w:t>
            </w:r>
          </w:p>
        </w:tc>
        <w:tc>
          <w:tcPr>
            <w:tcW w:w="710" w:type="dxa"/>
            <w:tcBorders>
              <w:top w:val="single" w:sz="8" w:space="0" w:color="ADD6EA"/>
              <w:left w:val="nil"/>
              <w:bottom w:val="nil"/>
              <w:right w:val="nil"/>
            </w:tcBorders>
            <w:shd w:val="clear" w:color="000000" w:fill="FFFFFF"/>
            <w:vAlign w:val="bottom"/>
            <w:hideMark/>
          </w:tcPr>
          <w:p w14:paraId="70951C88"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73</w:t>
            </w:r>
          </w:p>
        </w:tc>
        <w:tc>
          <w:tcPr>
            <w:tcW w:w="710" w:type="dxa"/>
            <w:tcBorders>
              <w:top w:val="single" w:sz="8" w:space="0" w:color="ADD6EA"/>
              <w:left w:val="nil"/>
              <w:bottom w:val="nil"/>
              <w:right w:val="nil"/>
            </w:tcBorders>
            <w:shd w:val="clear" w:color="000000" w:fill="FFFFFF"/>
            <w:vAlign w:val="bottom"/>
            <w:hideMark/>
          </w:tcPr>
          <w:p w14:paraId="237485AB"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103</w:t>
            </w:r>
          </w:p>
        </w:tc>
        <w:tc>
          <w:tcPr>
            <w:tcW w:w="710" w:type="dxa"/>
            <w:tcBorders>
              <w:top w:val="single" w:sz="8" w:space="0" w:color="ADD6EA"/>
              <w:left w:val="nil"/>
              <w:bottom w:val="nil"/>
              <w:right w:val="nil"/>
            </w:tcBorders>
            <w:shd w:val="clear" w:color="000000" w:fill="FFFFFF"/>
            <w:vAlign w:val="bottom"/>
            <w:hideMark/>
          </w:tcPr>
          <w:p w14:paraId="4838B921"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-1</w:t>
            </w:r>
          </w:p>
        </w:tc>
        <w:tc>
          <w:tcPr>
            <w:tcW w:w="710" w:type="dxa"/>
            <w:tcBorders>
              <w:top w:val="single" w:sz="8" w:space="0" w:color="ADD6EA"/>
              <w:left w:val="nil"/>
              <w:bottom w:val="nil"/>
              <w:right w:val="nil"/>
            </w:tcBorders>
            <w:shd w:val="clear" w:color="000000" w:fill="FFFFFF"/>
            <w:vAlign w:val="bottom"/>
            <w:hideMark/>
          </w:tcPr>
          <w:p w14:paraId="4322EFD2"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186</w:t>
            </w:r>
          </w:p>
        </w:tc>
        <w:tc>
          <w:tcPr>
            <w:tcW w:w="710" w:type="dxa"/>
            <w:tcBorders>
              <w:top w:val="single" w:sz="8" w:space="0" w:color="ADD6EA"/>
              <w:left w:val="nil"/>
              <w:bottom w:val="nil"/>
              <w:right w:val="nil"/>
            </w:tcBorders>
            <w:shd w:val="clear" w:color="000000" w:fill="FFFFFF"/>
            <w:vAlign w:val="bottom"/>
            <w:hideMark/>
          </w:tcPr>
          <w:p w14:paraId="2E57140C"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-262</w:t>
            </w:r>
          </w:p>
        </w:tc>
        <w:tc>
          <w:tcPr>
            <w:tcW w:w="710" w:type="dxa"/>
            <w:tcBorders>
              <w:top w:val="single" w:sz="8" w:space="0" w:color="ADD6EA"/>
              <w:left w:val="nil"/>
              <w:bottom w:val="nil"/>
              <w:right w:val="nil"/>
            </w:tcBorders>
            <w:shd w:val="clear" w:color="000000" w:fill="FFFFFF"/>
            <w:vAlign w:val="bottom"/>
            <w:hideMark/>
          </w:tcPr>
          <w:p w14:paraId="5DA8D225"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2,894</w:t>
            </w:r>
          </w:p>
        </w:tc>
        <w:tc>
          <w:tcPr>
            <w:tcW w:w="710" w:type="dxa"/>
            <w:tcBorders>
              <w:top w:val="single" w:sz="8" w:space="0" w:color="ADD6EA"/>
              <w:left w:val="nil"/>
              <w:bottom w:val="nil"/>
              <w:right w:val="nil"/>
            </w:tcBorders>
            <w:shd w:val="clear" w:color="000000" w:fill="FFFFFF"/>
            <w:vAlign w:val="bottom"/>
            <w:hideMark/>
          </w:tcPr>
          <w:p w14:paraId="3092C1B7" w14:textId="777777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57</w:t>
            </w:r>
          </w:p>
        </w:tc>
      </w:tr>
      <w:tr w:rsidR="000517F0" w:rsidRPr="00E42FDC" w14:paraId="42AFEB54" w14:textId="77777777" w:rsidTr="00DF7A92">
        <w:trPr>
          <w:trHeight w:val="321"/>
        </w:trPr>
        <w:tc>
          <w:tcPr>
            <w:tcW w:w="2552" w:type="dxa"/>
            <w:gridSpan w:val="2"/>
            <w:tcBorders>
              <w:top w:val="single" w:sz="4" w:space="0" w:color="ADD6EA"/>
              <w:left w:val="nil"/>
              <w:bottom w:val="nil"/>
              <w:right w:val="nil"/>
            </w:tcBorders>
            <w:shd w:val="clear" w:color="000000" w:fill="FFFFFF"/>
            <w:vAlign w:val="bottom"/>
            <w:hideMark/>
          </w:tcPr>
          <w:p w14:paraId="6ACA1582" w14:textId="77777777" w:rsidR="00E42FDC" w:rsidRPr="00E42FDC" w:rsidRDefault="00E42FDC" w:rsidP="00E42FDC">
            <w:pPr>
              <w:spacing w:after="0" w:line="240" w:lineRule="auto"/>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R2025 using draft U2026 methods</w:t>
            </w:r>
          </w:p>
        </w:tc>
        <w:tc>
          <w:tcPr>
            <w:tcW w:w="710" w:type="dxa"/>
            <w:tcBorders>
              <w:top w:val="single" w:sz="4" w:space="0" w:color="ADD6EA"/>
              <w:left w:val="nil"/>
              <w:bottom w:val="nil"/>
              <w:right w:val="nil"/>
            </w:tcBorders>
            <w:shd w:val="clear" w:color="000000" w:fill="FFFFFF"/>
            <w:vAlign w:val="bottom"/>
            <w:hideMark/>
          </w:tcPr>
          <w:p w14:paraId="65A7F9E3" w14:textId="08C97DEE"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-11</w:t>
            </w:r>
          </w:p>
        </w:tc>
        <w:tc>
          <w:tcPr>
            <w:tcW w:w="710" w:type="dxa"/>
            <w:tcBorders>
              <w:top w:val="single" w:sz="4" w:space="0" w:color="ADD6EA"/>
              <w:left w:val="nil"/>
              <w:bottom w:val="nil"/>
              <w:right w:val="nil"/>
            </w:tcBorders>
            <w:shd w:val="clear" w:color="000000" w:fill="FFFFFF"/>
            <w:vAlign w:val="bottom"/>
            <w:hideMark/>
          </w:tcPr>
          <w:p w14:paraId="782A5566" w14:textId="6A49104C"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-19</w:t>
            </w:r>
            <w:r w:rsidR="006B142C">
              <w:rPr>
                <w:rFonts w:ascii="Open Sans Light" w:eastAsia="Times New Roman" w:hAnsi="Open Sans Light" w:cs="Open Sans Light"/>
                <w:color w:val="000000"/>
                <w:sz w:val="16"/>
                <w:szCs w:val="16"/>
                <w:lang w:eastAsia="en-AU"/>
              </w:rPr>
              <w:t>1</w:t>
            </w:r>
          </w:p>
        </w:tc>
        <w:tc>
          <w:tcPr>
            <w:tcW w:w="710" w:type="dxa"/>
            <w:tcBorders>
              <w:top w:val="single" w:sz="4" w:space="0" w:color="ADD6EA"/>
              <w:left w:val="nil"/>
              <w:bottom w:val="nil"/>
              <w:right w:val="nil"/>
            </w:tcBorders>
            <w:shd w:val="clear" w:color="000000" w:fill="FFFFFF"/>
            <w:vAlign w:val="bottom"/>
            <w:hideMark/>
          </w:tcPr>
          <w:p w14:paraId="0B1B2564" w14:textId="292D1F10"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8</w:t>
            </w:r>
            <w:r w:rsidR="006B142C">
              <w:rPr>
                <w:rFonts w:ascii="Open Sans Light" w:eastAsia="Times New Roman" w:hAnsi="Open Sans Light" w:cs="Open Sans Light"/>
                <w:color w:val="000000"/>
                <w:sz w:val="16"/>
                <w:szCs w:val="16"/>
                <w:lang w:eastAsia="en-AU"/>
              </w:rPr>
              <w:t>8</w:t>
            </w:r>
          </w:p>
        </w:tc>
        <w:tc>
          <w:tcPr>
            <w:tcW w:w="710" w:type="dxa"/>
            <w:tcBorders>
              <w:top w:val="single" w:sz="4" w:space="0" w:color="ADD6EA"/>
              <w:left w:val="nil"/>
              <w:bottom w:val="nil"/>
              <w:right w:val="nil"/>
            </w:tcBorders>
            <w:shd w:val="clear" w:color="000000" w:fill="FFFFFF"/>
            <w:vAlign w:val="bottom"/>
            <w:hideMark/>
          </w:tcPr>
          <w:p w14:paraId="2B762035" w14:textId="62B8F8A4"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82</w:t>
            </w:r>
          </w:p>
        </w:tc>
        <w:tc>
          <w:tcPr>
            <w:tcW w:w="710" w:type="dxa"/>
            <w:tcBorders>
              <w:top w:val="single" w:sz="4" w:space="0" w:color="ADD6EA"/>
              <w:left w:val="nil"/>
              <w:bottom w:val="nil"/>
              <w:right w:val="nil"/>
            </w:tcBorders>
            <w:shd w:val="clear" w:color="000000" w:fill="FFFFFF"/>
            <w:vAlign w:val="bottom"/>
            <w:hideMark/>
          </w:tcPr>
          <w:p w14:paraId="6DBE518A" w14:textId="063AF735"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-21</w:t>
            </w:r>
          </w:p>
        </w:tc>
        <w:tc>
          <w:tcPr>
            <w:tcW w:w="710" w:type="dxa"/>
            <w:tcBorders>
              <w:top w:val="single" w:sz="4" w:space="0" w:color="ADD6EA"/>
              <w:left w:val="nil"/>
              <w:bottom w:val="nil"/>
              <w:right w:val="nil"/>
            </w:tcBorders>
            <w:shd w:val="clear" w:color="000000" w:fill="FFFFFF"/>
            <w:vAlign w:val="bottom"/>
            <w:hideMark/>
          </w:tcPr>
          <w:p w14:paraId="394B157E" w14:textId="06DF9A81" w:rsidR="00E42FDC" w:rsidRPr="00E42FDC" w:rsidRDefault="009D27E8" w:rsidP="00E42FDC">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27</w:t>
            </w:r>
            <w:r w:rsidR="006B142C">
              <w:rPr>
                <w:rFonts w:ascii="Open Sans Light" w:eastAsia="Times New Roman" w:hAnsi="Open Sans Light" w:cs="Open Sans Light"/>
                <w:color w:val="000000"/>
                <w:sz w:val="16"/>
                <w:szCs w:val="16"/>
                <w:lang w:eastAsia="en-AU"/>
              </w:rPr>
              <w:t>5</w:t>
            </w:r>
          </w:p>
        </w:tc>
        <w:tc>
          <w:tcPr>
            <w:tcW w:w="710" w:type="dxa"/>
            <w:tcBorders>
              <w:top w:val="single" w:sz="4" w:space="0" w:color="ADD6EA"/>
              <w:left w:val="nil"/>
              <w:bottom w:val="nil"/>
              <w:right w:val="nil"/>
            </w:tcBorders>
            <w:shd w:val="clear" w:color="000000" w:fill="FFFFFF"/>
            <w:vAlign w:val="bottom"/>
            <w:hideMark/>
          </w:tcPr>
          <w:p w14:paraId="10844E14" w14:textId="5BBD6C3D"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w:t>
            </w:r>
            <w:r w:rsidR="009D27E8">
              <w:rPr>
                <w:rFonts w:ascii="Open Sans Light" w:eastAsia="Times New Roman" w:hAnsi="Open Sans Light" w:cs="Open Sans Light"/>
                <w:color w:val="000000"/>
                <w:sz w:val="16"/>
                <w:szCs w:val="16"/>
                <w:lang w:eastAsia="en-AU"/>
              </w:rPr>
              <w:t>292</w:t>
            </w:r>
          </w:p>
        </w:tc>
        <w:tc>
          <w:tcPr>
            <w:tcW w:w="710" w:type="dxa"/>
            <w:tcBorders>
              <w:top w:val="single" w:sz="4" w:space="0" w:color="ADD6EA"/>
              <w:left w:val="nil"/>
              <w:bottom w:val="nil"/>
              <w:right w:val="nil"/>
            </w:tcBorders>
            <w:shd w:val="clear" w:color="000000" w:fill="FFFFFF"/>
            <w:vAlign w:val="bottom"/>
            <w:hideMark/>
          </w:tcPr>
          <w:p w14:paraId="3EB41DCC" w14:textId="330FCB34"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2,</w:t>
            </w:r>
            <w:r w:rsidR="00A136C9">
              <w:rPr>
                <w:rFonts w:ascii="Open Sans Light" w:eastAsia="Times New Roman" w:hAnsi="Open Sans Light" w:cs="Open Sans Light"/>
                <w:color w:val="000000"/>
                <w:sz w:val="16"/>
                <w:szCs w:val="16"/>
                <w:lang w:eastAsia="en-AU"/>
              </w:rPr>
              <w:t>84</w:t>
            </w:r>
            <w:r w:rsidR="006B142C">
              <w:rPr>
                <w:rFonts w:ascii="Open Sans Light" w:eastAsia="Times New Roman" w:hAnsi="Open Sans Light" w:cs="Open Sans Light"/>
                <w:color w:val="000000"/>
                <w:sz w:val="16"/>
                <w:szCs w:val="16"/>
                <w:lang w:eastAsia="en-AU"/>
              </w:rPr>
              <w:t>3</w:t>
            </w:r>
          </w:p>
        </w:tc>
        <w:tc>
          <w:tcPr>
            <w:tcW w:w="710" w:type="dxa"/>
            <w:tcBorders>
              <w:top w:val="single" w:sz="4" w:space="0" w:color="ADD6EA"/>
              <w:left w:val="nil"/>
              <w:bottom w:val="nil"/>
              <w:right w:val="nil"/>
            </w:tcBorders>
            <w:shd w:val="clear" w:color="000000" w:fill="FFFFFF"/>
            <w:vAlign w:val="bottom"/>
            <w:hideMark/>
          </w:tcPr>
          <w:p w14:paraId="1EE7EE5B" w14:textId="1434336E"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59</w:t>
            </w:r>
          </w:p>
        </w:tc>
      </w:tr>
      <w:tr w:rsidR="000517F0" w:rsidRPr="00E42FDC" w14:paraId="1743628E" w14:textId="77777777" w:rsidTr="00DF7A92">
        <w:trPr>
          <w:trHeight w:val="321"/>
        </w:trPr>
        <w:tc>
          <w:tcPr>
            <w:tcW w:w="2552" w:type="dxa"/>
            <w:gridSpan w:val="2"/>
            <w:tcBorders>
              <w:top w:val="single" w:sz="4" w:space="0" w:color="ADD6EA"/>
              <w:left w:val="nil"/>
              <w:bottom w:val="single" w:sz="4" w:space="0" w:color="ADD6EA"/>
              <w:right w:val="nil"/>
            </w:tcBorders>
            <w:shd w:val="clear" w:color="000000" w:fill="FFFFFF"/>
            <w:vAlign w:val="bottom"/>
            <w:hideMark/>
          </w:tcPr>
          <w:p w14:paraId="71E3E049" w14:textId="77777777" w:rsidR="00E42FDC" w:rsidRPr="00E42FDC" w:rsidRDefault="00E42FDC" w:rsidP="00E42FDC">
            <w:pPr>
              <w:spacing w:after="0" w:line="240" w:lineRule="auto"/>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Effect of proposed changes</w:t>
            </w:r>
          </w:p>
        </w:tc>
        <w:tc>
          <w:tcPr>
            <w:tcW w:w="710" w:type="dxa"/>
            <w:tcBorders>
              <w:top w:val="single" w:sz="4" w:space="0" w:color="ADD6EA"/>
              <w:left w:val="nil"/>
              <w:bottom w:val="single" w:sz="4" w:space="0" w:color="ADD6EA"/>
              <w:right w:val="nil"/>
            </w:tcBorders>
            <w:shd w:val="clear" w:color="000000" w:fill="FFFFFF"/>
            <w:vAlign w:val="bottom"/>
            <w:hideMark/>
          </w:tcPr>
          <w:p w14:paraId="4E204A81" w14:textId="05053A5E"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23</w:t>
            </w:r>
          </w:p>
        </w:tc>
        <w:tc>
          <w:tcPr>
            <w:tcW w:w="710" w:type="dxa"/>
            <w:tcBorders>
              <w:top w:val="single" w:sz="4" w:space="0" w:color="ADD6EA"/>
              <w:left w:val="nil"/>
              <w:bottom w:val="single" w:sz="4" w:space="0" w:color="ADD6EA"/>
              <w:right w:val="nil"/>
            </w:tcBorders>
            <w:shd w:val="clear" w:color="000000" w:fill="FFFFFF"/>
            <w:vAlign w:val="bottom"/>
            <w:hideMark/>
          </w:tcPr>
          <w:p w14:paraId="47D7059D" w14:textId="70CC5796"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-3</w:t>
            </w:r>
            <w:r w:rsidR="006B142C">
              <w:rPr>
                <w:rFonts w:ascii="Open Sans Light" w:eastAsia="Times New Roman" w:hAnsi="Open Sans Light" w:cs="Open Sans Light"/>
                <w:color w:val="000000"/>
                <w:sz w:val="16"/>
                <w:szCs w:val="16"/>
                <w:lang w:eastAsia="en-AU"/>
              </w:rPr>
              <w:t>0</w:t>
            </w:r>
          </w:p>
        </w:tc>
        <w:tc>
          <w:tcPr>
            <w:tcW w:w="710" w:type="dxa"/>
            <w:tcBorders>
              <w:top w:val="single" w:sz="4" w:space="0" w:color="ADD6EA"/>
              <w:left w:val="nil"/>
              <w:bottom w:val="single" w:sz="4" w:space="0" w:color="ADD6EA"/>
              <w:right w:val="nil"/>
            </w:tcBorders>
            <w:shd w:val="clear" w:color="000000" w:fill="FFFFFF"/>
            <w:vAlign w:val="bottom"/>
            <w:hideMark/>
          </w:tcPr>
          <w:p w14:paraId="1EFF2E34" w14:textId="0FC31F67" w:rsidR="00E42FDC" w:rsidRPr="00E42FDC" w:rsidRDefault="00B1375A" w:rsidP="00E42FDC">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16</w:t>
            </w:r>
          </w:p>
        </w:tc>
        <w:tc>
          <w:tcPr>
            <w:tcW w:w="710" w:type="dxa"/>
            <w:tcBorders>
              <w:top w:val="single" w:sz="4" w:space="0" w:color="ADD6EA"/>
              <w:left w:val="nil"/>
              <w:bottom w:val="single" w:sz="4" w:space="0" w:color="ADD6EA"/>
              <w:right w:val="nil"/>
            </w:tcBorders>
            <w:shd w:val="clear" w:color="000000" w:fill="FFFFFF"/>
            <w:vAlign w:val="bottom"/>
            <w:hideMark/>
          </w:tcPr>
          <w:p w14:paraId="3E9C5662" w14:textId="4ED39D8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w:t>
            </w:r>
            <w:r w:rsidR="00B1375A">
              <w:rPr>
                <w:rFonts w:ascii="Open Sans Light" w:eastAsia="Times New Roman" w:hAnsi="Open Sans Light" w:cs="Open Sans Light"/>
                <w:color w:val="000000"/>
                <w:sz w:val="16"/>
                <w:szCs w:val="16"/>
                <w:lang w:eastAsia="en-AU"/>
              </w:rPr>
              <w:t>2</w:t>
            </w:r>
            <w:r w:rsidR="006B142C">
              <w:rPr>
                <w:rFonts w:ascii="Open Sans Light" w:eastAsia="Times New Roman" w:hAnsi="Open Sans Light" w:cs="Open Sans Light"/>
                <w:color w:val="000000"/>
                <w:sz w:val="16"/>
                <w:szCs w:val="16"/>
                <w:lang w:eastAsia="en-AU"/>
              </w:rPr>
              <w:t>0</w:t>
            </w:r>
          </w:p>
        </w:tc>
        <w:tc>
          <w:tcPr>
            <w:tcW w:w="710" w:type="dxa"/>
            <w:tcBorders>
              <w:top w:val="single" w:sz="4" w:space="0" w:color="ADD6EA"/>
              <w:left w:val="nil"/>
              <w:bottom w:val="single" w:sz="4" w:space="0" w:color="ADD6EA"/>
              <w:right w:val="nil"/>
            </w:tcBorders>
            <w:shd w:val="clear" w:color="000000" w:fill="FFFFFF"/>
            <w:vAlign w:val="bottom"/>
            <w:hideMark/>
          </w:tcPr>
          <w:p w14:paraId="0EAAD11C" w14:textId="4CF1E5E2"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w:t>
            </w:r>
            <w:r w:rsidR="006B142C">
              <w:rPr>
                <w:rFonts w:ascii="Open Sans Light" w:eastAsia="Times New Roman" w:hAnsi="Open Sans Light" w:cs="Open Sans Light"/>
                <w:color w:val="000000"/>
                <w:sz w:val="16"/>
                <w:szCs w:val="16"/>
                <w:lang w:eastAsia="en-AU"/>
              </w:rPr>
              <w:t>20</w:t>
            </w:r>
          </w:p>
        </w:tc>
        <w:tc>
          <w:tcPr>
            <w:tcW w:w="710" w:type="dxa"/>
            <w:tcBorders>
              <w:top w:val="single" w:sz="4" w:space="0" w:color="ADD6EA"/>
              <w:left w:val="nil"/>
              <w:bottom w:val="single" w:sz="4" w:space="0" w:color="ADD6EA"/>
              <w:right w:val="nil"/>
            </w:tcBorders>
            <w:shd w:val="clear" w:color="000000" w:fill="FFFFFF"/>
            <w:vAlign w:val="bottom"/>
            <w:hideMark/>
          </w:tcPr>
          <w:p w14:paraId="4A24DB0A" w14:textId="2A5A027B" w:rsidR="00E42FDC" w:rsidRPr="00E42FDC" w:rsidRDefault="006B142C" w:rsidP="00E42FDC">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89</w:t>
            </w:r>
          </w:p>
        </w:tc>
        <w:tc>
          <w:tcPr>
            <w:tcW w:w="710" w:type="dxa"/>
            <w:tcBorders>
              <w:top w:val="single" w:sz="4" w:space="0" w:color="ADD6EA"/>
              <w:left w:val="nil"/>
              <w:bottom w:val="single" w:sz="4" w:space="0" w:color="ADD6EA"/>
              <w:right w:val="nil"/>
            </w:tcBorders>
            <w:shd w:val="clear" w:color="000000" w:fill="FFFFFF"/>
            <w:vAlign w:val="bottom"/>
            <w:hideMark/>
          </w:tcPr>
          <w:p w14:paraId="02F3ED7F" w14:textId="14173477"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w:t>
            </w:r>
            <w:r w:rsidR="006B142C">
              <w:rPr>
                <w:rFonts w:ascii="Open Sans Light" w:eastAsia="Times New Roman" w:hAnsi="Open Sans Light" w:cs="Open Sans Light"/>
                <w:color w:val="000000"/>
                <w:sz w:val="16"/>
                <w:szCs w:val="16"/>
                <w:lang w:eastAsia="en-AU"/>
              </w:rPr>
              <w:t>29</w:t>
            </w:r>
          </w:p>
        </w:tc>
        <w:tc>
          <w:tcPr>
            <w:tcW w:w="710" w:type="dxa"/>
            <w:tcBorders>
              <w:top w:val="single" w:sz="4" w:space="0" w:color="ADD6EA"/>
              <w:left w:val="nil"/>
              <w:bottom w:val="single" w:sz="4" w:space="0" w:color="ADD6EA"/>
              <w:right w:val="nil"/>
            </w:tcBorders>
            <w:shd w:val="clear" w:color="000000" w:fill="FFFFFF"/>
            <w:vAlign w:val="bottom"/>
            <w:hideMark/>
          </w:tcPr>
          <w:p w14:paraId="62EAD2F6" w14:textId="4EBDBD12"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w:t>
            </w:r>
            <w:r w:rsidR="006B142C">
              <w:rPr>
                <w:rFonts w:ascii="Open Sans Light" w:eastAsia="Times New Roman" w:hAnsi="Open Sans Light" w:cs="Open Sans Light"/>
                <w:color w:val="000000"/>
                <w:sz w:val="16"/>
                <w:szCs w:val="16"/>
                <w:lang w:eastAsia="en-AU"/>
              </w:rPr>
              <w:t>50</w:t>
            </w:r>
          </w:p>
        </w:tc>
        <w:tc>
          <w:tcPr>
            <w:tcW w:w="710" w:type="dxa"/>
            <w:tcBorders>
              <w:top w:val="single" w:sz="4" w:space="0" w:color="ADD6EA"/>
              <w:left w:val="nil"/>
              <w:bottom w:val="single" w:sz="4" w:space="0" w:color="ADD6EA"/>
              <w:right w:val="nil"/>
            </w:tcBorders>
            <w:shd w:val="clear" w:color="000000" w:fill="FFFFFF"/>
            <w:vAlign w:val="bottom"/>
            <w:hideMark/>
          </w:tcPr>
          <w:p w14:paraId="65AC1F8D" w14:textId="3BF231C8" w:rsidR="00E42FDC" w:rsidRPr="00E42FDC" w:rsidRDefault="00E42FDC" w:rsidP="00E42FDC">
            <w:pPr>
              <w:spacing w:after="0" w:line="240" w:lineRule="auto"/>
              <w:jc w:val="right"/>
              <w:rPr>
                <w:rFonts w:ascii="Open Sans Light" w:eastAsia="Times New Roman" w:hAnsi="Open Sans Light" w:cs="Open Sans Light"/>
                <w:color w:val="000000"/>
                <w:sz w:val="16"/>
                <w:szCs w:val="16"/>
                <w:lang w:eastAsia="en-AU"/>
              </w:rPr>
            </w:pPr>
            <w:r w:rsidRPr="00E42FDC">
              <w:rPr>
                <w:rFonts w:ascii="Open Sans Light" w:eastAsia="Times New Roman" w:hAnsi="Open Sans Light" w:cs="Open Sans Light"/>
                <w:color w:val="000000"/>
                <w:sz w:val="16"/>
                <w:szCs w:val="16"/>
                <w:lang w:eastAsia="en-AU"/>
              </w:rPr>
              <w:t>12</w:t>
            </w:r>
          </w:p>
        </w:tc>
      </w:tr>
    </w:tbl>
    <w:p w14:paraId="6703F9A8" w14:textId="7686A342" w:rsidR="00381A0E" w:rsidRDefault="00381A0E" w:rsidP="00381A0E">
      <w:pPr>
        <w:pStyle w:val="CGC2025TableNote"/>
      </w:pPr>
      <w:r>
        <w:t>Note: Includes impact of changes to recurrent justice assessment</w:t>
      </w:r>
      <w:r w:rsidR="00CE0A8A">
        <w:t>.</w:t>
      </w:r>
      <w:r>
        <w:t xml:space="preserve"> </w:t>
      </w:r>
    </w:p>
    <w:p w14:paraId="51C329DE" w14:textId="10D99DB6" w:rsidR="00DB64CE" w:rsidRDefault="00352415" w:rsidP="00381A0E">
      <w:pPr>
        <w:pStyle w:val="CGC2025TableNote"/>
        <w:keepNext/>
        <w:keepLines/>
        <w:ind w:left="532" w:firstLine="0"/>
      </w:pPr>
      <w:r>
        <w:t>The</w:t>
      </w:r>
      <w:r w:rsidR="00DB64CE">
        <w:t xml:space="preserve"> sum of the total</w:t>
      </w:r>
      <w:r>
        <w:t xml:space="preserve"> impact of data and method changes shown in </w:t>
      </w:r>
      <w:r w:rsidR="00DB64CE">
        <w:t>T</w:t>
      </w:r>
      <w:r>
        <w:t xml:space="preserve">ables 8 and 9 </w:t>
      </w:r>
      <w:r w:rsidR="00C123E4">
        <w:t>differ</w:t>
      </w:r>
      <w:r w:rsidR="00652404">
        <w:t xml:space="preserve"> slightly</w:t>
      </w:r>
      <w:r w:rsidR="00C123E4">
        <w:t xml:space="preserve"> from the </w:t>
      </w:r>
      <w:r>
        <w:t xml:space="preserve">total in this table due to rounding. </w:t>
      </w:r>
    </w:p>
    <w:p w14:paraId="1E8D896F" w14:textId="22207207" w:rsidR="00381A0E" w:rsidRDefault="00381A0E" w:rsidP="00381A0E">
      <w:pPr>
        <w:pStyle w:val="CGC2025TableNote"/>
        <w:keepNext/>
        <w:keepLines/>
        <w:ind w:left="532" w:firstLine="0"/>
      </w:pPr>
      <w:r>
        <w:t xml:space="preserve">The GST pool and population estimates are equivalent to those used in the </w:t>
      </w:r>
      <w:r w:rsidRPr="0054342E">
        <w:t xml:space="preserve">2025 </w:t>
      </w:r>
      <w:r>
        <w:t>Review.</w:t>
      </w:r>
    </w:p>
    <w:p w14:paraId="635B7C3A" w14:textId="584F5EC1" w:rsidR="00EB3B54" w:rsidRDefault="00381A0E" w:rsidP="00296B81">
      <w:pPr>
        <w:pStyle w:val="CGC2025TableNote"/>
        <w:keepNext/>
        <w:keepLines/>
        <w:ind w:left="532" w:firstLine="0"/>
      </w:pPr>
      <w:r>
        <w:t xml:space="preserve">Indicative GST impacts are provided for illustrative purposes only and should not be used to </w:t>
      </w:r>
      <w:r w:rsidR="001F0ACD">
        <w:t xml:space="preserve">estimate </w:t>
      </w:r>
      <w:r>
        <w:t xml:space="preserve">impacts on GST distribution for </w:t>
      </w:r>
      <w:r w:rsidRPr="0054342E">
        <w:t>2026–27</w:t>
      </w:r>
      <w:r>
        <w:t>.</w:t>
      </w:r>
    </w:p>
    <w:p w14:paraId="2E6FE61C" w14:textId="21E3A5E8" w:rsidR="000F51C8" w:rsidRDefault="000F51C8" w:rsidP="00AC352B">
      <w:pPr>
        <w:pStyle w:val="CGC2025Caption"/>
        <w:keepNext/>
        <w:keepLines/>
        <w:tabs>
          <w:tab w:val="clear" w:pos="567"/>
          <w:tab w:val="left" w:pos="1134"/>
        </w:tabs>
        <w:ind w:left="1134" w:hanging="1134"/>
      </w:pPr>
      <w:r>
        <w:t xml:space="preserve">Table </w:t>
      </w:r>
      <w:r w:rsidR="00EE7993">
        <w:t>7</w:t>
      </w:r>
      <w:r>
        <w:tab/>
        <w:t>Indicative impact</w:t>
      </w:r>
      <w:r w:rsidR="007D0792">
        <w:t xml:space="preserve"> of justice method changes on </w:t>
      </w:r>
      <w:r>
        <w:t>investment</w:t>
      </w:r>
      <w:r w:rsidR="007B07E1">
        <w:t xml:space="preserve"> in justice and the </w:t>
      </w:r>
      <w:r w:rsidR="00E96FC6">
        <w:t xml:space="preserve">general </w:t>
      </w:r>
      <w:r w:rsidR="007B07E1">
        <w:t xml:space="preserve">regional cost gradient </w:t>
      </w:r>
      <w:r>
        <w:t xml:space="preserve">(difference from an equal per capita distribution), </w:t>
      </w:r>
      <w:r w:rsidRPr="0054342E">
        <w:t>2025–26</w:t>
      </w:r>
    </w:p>
    <w:tbl>
      <w:tblPr>
        <w:tblW w:w="9000" w:type="dxa"/>
        <w:tblLook w:val="04A0" w:firstRow="1" w:lastRow="0" w:firstColumn="1" w:lastColumn="0" w:noHBand="0" w:noVBand="1"/>
      </w:tblPr>
      <w:tblGrid>
        <w:gridCol w:w="2440"/>
        <w:gridCol w:w="80"/>
        <w:gridCol w:w="720"/>
        <w:gridCol w:w="720"/>
        <w:gridCol w:w="720"/>
        <w:gridCol w:w="720"/>
        <w:gridCol w:w="720"/>
        <w:gridCol w:w="720"/>
        <w:gridCol w:w="720"/>
        <w:gridCol w:w="720"/>
        <w:gridCol w:w="720"/>
      </w:tblGrid>
      <w:tr w:rsidR="00296B81" w:rsidRPr="004D0E6C" w14:paraId="70B07FA8" w14:textId="77777777">
        <w:trPr>
          <w:trHeight w:val="381"/>
        </w:trPr>
        <w:tc>
          <w:tcPr>
            <w:tcW w:w="2440" w:type="dxa"/>
            <w:tcBorders>
              <w:top w:val="nil"/>
              <w:left w:val="nil"/>
              <w:bottom w:val="nil"/>
              <w:right w:val="nil"/>
            </w:tcBorders>
            <w:shd w:val="clear" w:color="000000" w:fill="006991"/>
            <w:vAlign w:val="center"/>
            <w:hideMark/>
          </w:tcPr>
          <w:p w14:paraId="696E7B22" w14:textId="77777777" w:rsidR="00296B81" w:rsidRPr="004D0E6C" w:rsidRDefault="00296B81">
            <w:pPr>
              <w:spacing w:after="0" w:line="240" w:lineRule="auto"/>
              <w:rPr>
                <w:rFonts w:ascii="Open Sans Semibold" w:eastAsia="Times New Roman" w:hAnsi="Open Sans Semibold" w:cs="Open Sans Semibold"/>
                <w:color w:val="FFFFFF"/>
                <w:sz w:val="16"/>
                <w:szCs w:val="16"/>
                <w:lang w:eastAsia="en-AU"/>
              </w:rPr>
            </w:pPr>
            <w:r w:rsidRPr="004D0E6C">
              <w:rPr>
                <w:rFonts w:ascii="Open Sans Semibold" w:eastAsia="Times New Roman" w:hAnsi="Open Sans Semibold" w:cs="Open Sans Semibold"/>
                <w:color w:val="FFFFFF"/>
                <w:sz w:val="16"/>
                <w:szCs w:val="16"/>
                <w:lang w:eastAsia="en-AU"/>
              </w:rPr>
              <w:t> </w:t>
            </w:r>
          </w:p>
        </w:tc>
        <w:tc>
          <w:tcPr>
            <w:tcW w:w="800" w:type="dxa"/>
            <w:gridSpan w:val="2"/>
            <w:tcBorders>
              <w:top w:val="nil"/>
              <w:left w:val="nil"/>
              <w:bottom w:val="nil"/>
              <w:right w:val="nil"/>
            </w:tcBorders>
            <w:shd w:val="clear" w:color="000000" w:fill="006991"/>
            <w:vAlign w:val="center"/>
            <w:hideMark/>
          </w:tcPr>
          <w:p w14:paraId="4E76B160" w14:textId="77777777" w:rsidR="00296B81" w:rsidRPr="004D0E6C" w:rsidRDefault="00296B81">
            <w:pPr>
              <w:spacing w:after="0" w:line="240" w:lineRule="auto"/>
              <w:jc w:val="right"/>
              <w:rPr>
                <w:rFonts w:ascii="Open Sans Semibold" w:eastAsia="Times New Roman" w:hAnsi="Open Sans Semibold" w:cs="Open Sans Semibold"/>
                <w:color w:val="FFFFFF"/>
                <w:sz w:val="16"/>
                <w:szCs w:val="16"/>
                <w:lang w:eastAsia="en-AU"/>
              </w:rPr>
            </w:pPr>
            <w:r w:rsidRPr="004D0E6C">
              <w:rPr>
                <w:rFonts w:ascii="Open Sans Semibold" w:eastAsia="Times New Roman" w:hAnsi="Open Sans Semibold" w:cs="Open Sans Semibold"/>
                <w:color w:val="FFFFFF"/>
                <w:sz w:val="16"/>
                <w:szCs w:val="16"/>
                <w:lang w:eastAsia="en-AU"/>
              </w:rPr>
              <w:t>NSW</w:t>
            </w:r>
          </w:p>
        </w:tc>
        <w:tc>
          <w:tcPr>
            <w:tcW w:w="720" w:type="dxa"/>
            <w:tcBorders>
              <w:top w:val="nil"/>
              <w:left w:val="nil"/>
              <w:bottom w:val="nil"/>
              <w:right w:val="nil"/>
            </w:tcBorders>
            <w:shd w:val="clear" w:color="000000" w:fill="006991"/>
            <w:vAlign w:val="center"/>
            <w:hideMark/>
          </w:tcPr>
          <w:p w14:paraId="3A7F8A8A" w14:textId="77777777" w:rsidR="00296B81" w:rsidRPr="004D0E6C" w:rsidRDefault="00296B81">
            <w:pPr>
              <w:spacing w:after="0" w:line="240" w:lineRule="auto"/>
              <w:jc w:val="right"/>
              <w:rPr>
                <w:rFonts w:ascii="Open Sans Semibold" w:eastAsia="Times New Roman" w:hAnsi="Open Sans Semibold" w:cs="Open Sans Semibold"/>
                <w:color w:val="FFFFFF"/>
                <w:sz w:val="16"/>
                <w:szCs w:val="16"/>
                <w:lang w:eastAsia="en-AU"/>
              </w:rPr>
            </w:pPr>
            <w:r w:rsidRPr="004D0E6C">
              <w:rPr>
                <w:rFonts w:ascii="Open Sans Semibold" w:eastAsia="Times New Roman" w:hAnsi="Open Sans Semibold" w:cs="Open Sans Semibold"/>
                <w:color w:val="FFFFFF"/>
                <w:sz w:val="16"/>
                <w:szCs w:val="16"/>
                <w:lang w:eastAsia="en-AU"/>
              </w:rPr>
              <w:t>Vic</w:t>
            </w:r>
          </w:p>
        </w:tc>
        <w:tc>
          <w:tcPr>
            <w:tcW w:w="720" w:type="dxa"/>
            <w:tcBorders>
              <w:top w:val="nil"/>
              <w:left w:val="nil"/>
              <w:bottom w:val="nil"/>
              <w:right w:val="nil"/>
            </w:tcBorders>
            <w:shd w:val="clear" w:color="000000" w:fill="006991"/>
            <w:vAlign w:val="center"/>
            <w:hideMark/>
          </w:tcPr>
          <w:p w14:paraId="49F2A1BB" w14:textId="77777777" w:rsidR="00296B81" w:rsidRPr="004D0E6C" w:rsidRDefault="00296B81">
            <w:pPr>
              <w:spacing w:after="0" w:line="240" w:lineRule="auto"/>
              <w:jc w:val="right"/>
              <w:rPr>
                <w:rFonts w:ascii="Open Sans Semibold" w:eastAsia="Times New Roman" w:hAnsi="Open Sans Semibold" w:cs="Open Sans Semibold"/>
                <w:color w:val="FFFFFF"/>
                <w:sz w:val="16"/>
                <w:szCs w:val="16"/>
                <w:lang w:eastAsia="en-AU"/>
              </w:rPr>
            </w:pPr>
            <w:r w:rsidRPr="004D0E6C">
              <w:rPr>
                <w:rFonts w:ascii="Open Sans Semibold" w:eastAsia="Times New Roman" w:hAnsi="Open Sans Semibold" w:cs="Open Sans Semibold"/>
                <w:color w:val="FFFFFF"/>
                <w:sz w:val="16"/>
                <w:szCs w:val="16"/>
                <w:lang w:eastAsia="en-AU"/>
              </w:rPr>
              <w:t>Qld</w:t>
            </w:r>
          </w:p>
        </w:tc>
        <w:tc>
          <w:tcPr>
            <w:tcW w:w="720" w:type="dxa"/>
            <w:tcBorders>
              <w:top w:val="nil"/>
              <w:left w:val="nil"/>
              <w:bottom w:val="nil"/>
              <w:right w:val="nil"/>
            </w:tcBorders>
            <w:shd w:val="clear" w:color="000000" w:fill="006991"/>
            <w:vAlign w:val="center"/>
            <w:hideMark/>
          </w:tcPr>
          <w:p w14:paraId="7C33555A" w14:textId="77777777" w:rsidR="00296B81" w:rsidRPr="004D0E6C" w:rsidRDefault="00296B81">
            <w:pPr>
              <w:spacing w:after="0" w:line="240" w:lineRule="auto"/>
              <w:jc w:val="right"/>
              <w:rPr>
                <w:rFonts w:ascii="Open Sans Semibold" w:eastAsia="Times New Roman" w:hAnsi="Open Sans Semibold" w:cs="Open Sans Semibold"/>
                <w:color w:val="FFFFFF"/>
                <w:sz w:val="16"/>
                <w:szCs w:val="16"/>
                <w:lang w:eastAsia="en-AU"/>
              </w:rPr>
            </w:pPr>
            <w:r w:rsidRPr="004D0E6C">
              <w:rPr>
                <w:rFonts w:ascii="Open Sans Semibold" w:eastAsia="Times New Roman" w:hAnsi="Open Sans Semibold" w:cs="Open Sans Semibold"/>
                <w:color w:val="FFFFFF"/>
                <w:sz w:val="16"/>
                <w:szCs w:val="16"/>
                <w:lang w:eastAsia="en-AU"/>
              </w:rPr>
              <w:t>WA</w:t>
            </w:r>
          </w:p>
        </w:tc>
        <w:tc>
          <w:tcPr>
            <w:tcW w:w="720" w:type="dxa"/>
            <w:tcBorders>
              <w:top w:val="nil"/>
              <w:left w:val="nil"/>
              <w:bottom w:val="nil"/>
              <w:right w:val="nil"/>
            </w:tcBorders>
            <w:shd w:val="clear" w:color="000000" w:fill="006991"/>
            <w:vAlign w:val="center"/>
            <w:hideMark/>
          </w:tcPr>
          <w:p w14:paraId="585E5667" w14:textId="77777777" w:rsidR="00296B81" w:rsidRPr="004D0E6C" w:rsidRDefault="00296B81">
            <w:pPr>
              <w:spacing w:after="0" w:line="240" w:lineRule="auto"/>
              <w:jc w:val="right"/>
              <w:rPr>
                <w:rFonts w:ascii="Open Sans Semibold" w:eastAsia="Times New Roman" w:hAnsi="Open Sans Semibold" w:cs="Open Sans Semibold"/>
                <w:color w:val="FFFFFF"/>
                <w:sz w:val="16"/>
                <w:szCs w:val="16"/>
                <w:lang w:eastAsia="en-AU"/>
              </w:rPr>
            </w:pPr>
            <w:r w:rsidRPr="004D0E6C">
              <w:rPr>
                <w:rFonts w:ascii="Open Sans Semibold" w:eastAsia="Times New Roman" w:hAnsi="Open Sans Semibold" w:cs="Open Sans Semibold"/>
                <w:color w:val="FFFFFF"/>
                <w:sz w:val="16"/>
                <w:szCs w:val="16"/>
                <w:lang w:eastAsia="en-AU"/>
              </w:rPr>
              <w:t>SA</w:t>
            </w:r>
          </w:p>
        </w:tc>
        <w:tc>
          <w:tcPr>
            <w:tcW w:w="720" w:type="dxa"/>
            <w:tcBorders>
              <w:top w:val="nil"/>
              <w:left w:val="nil"/>
              <w:bottom w:val="nil"/>
              <w:right w:val="nil"/>
            </w:tcBorders>
            <w:shd w:val="clear" w:color="000000" w:fill="006991"/>
            <w:vAlign w:val="center"/>
            <w:hideMark/>
          </w:tcPr>
          <w:p w14:paraId="36259F3C" w14:textId="77777777" w:rsidR="00296B81" w:rsidRPr="004D0E6C" w:rsidRDefault="00296B81">
            <w:pPr>
              <w:spacing w:after="0" w:line="240" w:lineRule="auto"/>
              <w:jc w:val="right"/>
              <w:rPr>
                <w:rFonts w:ascii="Open Sans Semibold" w:eastAsia="Times New Roman" w:hAnsi="Open Sans Semibold" w:cs="Open Sans Semibold"/>
                <w:color w:val="FFFFFF"/>
                <w:sz w:val="16"/>
                <w:szCs w:val="16"/>
                <w:lang w:eastAsia="en-AU"/>
              </w:rPr>
            </w:pPr>
            <w:r w:rsidRPr="004D0E6C">
              <w:rPr>
                <w:rFonts w:ascii="Open Sans Semibold" w:eastAsia="Times New Roman" w:hAnsi="Open Sans Semibold" w:cs="Open Sans Semibold"/>
                <w:color w:val="FFFFFF"/>
                <w:sz w:val="16"/>
                <w:szCs w:val="16"/>
                <w:lang w:eastAsia="en-AU"/>
              </w:rPr>
              <w:t>Tas</w:t>
            </w:r>
          </w:p>
        </w:tc>
        <w:tc>
          <w:tcPr>
            <w:tcW w:w="720" w:type="dxa"/>
            <w:tcBorders>
              <w:top w:val="nil"/>
              <w:left w:val="nil"/>
              <w:bottom w:val="nil"/>
              <w:right w:val="nil"/>
            </w:tcBorders>
            <w:shd w:val="clear" w:color="000000" w:fill="006991"/>
            <w:vAlign w:val="center"/>
            <w:hideMark/>
          </w:tcPr>
          <w:p w14:paraId="5C5A9743" w14:textId="77777777" w:rsidR="00296B81" w:rsidRPr="004D0E6C" w:rsidRDefault="00296B81">
            <w:pPr>
              <w:spacing w:after="0" w:line="240" w:lineRule="auto"/>
              <w:jc w:val="right"/>
              <w:rPr>
                <w:rFonts w:ascii="Open Sans Semibold" w:eastAsia="Times New Roman" w:hAnsi="Open Sans Semibold" w:cs="Open Sans Semibold"/>
                <w:color w:val="FFFFFF"/>
                <w:sz w:val="16"/>
                <w:szCs w:val="16"/>
                <w:lang w:eastAsia="en-AU"/>
              </w:rPr>
            </w:pPr>
            <w:r w:rsidRPr="004D0E6C">
              <w:rPr>
                <w:rFonts w:ascii="Open Sans Semibold" w:eastAsia="Times New Roman" w:hAnsi="Open Sans Semibold" w:cs="Open Sans Semibold"/>
                <w:color w:val="FFFFFF"/>
                <w:sz w:val="16"/>
                <w:szCs w:val="16"/>
                <w:lang w:eastAsia="en-AU"/>
              </w:rPr>
              <w:t>ACT</w:t>
            </w:r>
          </w:p>
        </w:tc>
        <w:tc>
          <w:tcPr>
            <w:tcW w:w="720" w:type="dxa"/>
            <w:tcBorders>
              <w:top w:val="nil"/>
              <w:left w:val="nil"/>
              <w:bottom w:val="nil"/>
              <w:right w:val="nil"/>
            </w:tcBorders>
            <w:shd w:val="clear" w:color="000000" w:fill="006991"/>
            <w:vAlign w:val="center"/>
            <w:hideMark/>
          </w:tcPr>
          <w:p w14:paraId="1A69D6B5" w14:textId="77777777" w:rsidR="00296B81" w:rsidRPr="004D0E6C" w:rsidRDefault="00296B81">
            <w:pPr>
              <w:spacing w:after="0" w:line="240" w:lineRule="auto"/>
              <w:jc w:val="right"/>
              <w:rPr>
                <w:rFonts w:ascii="Open Sans Semibold" w:eastAsia="Times New Roman" w:hAnsi="Open Sans Semibold" w:cs="Open Sans Semibold"/>
                <w:color w:val="FFFFFF"/>
                <w:sz w:val="16"/>
                <w:szCs w:val="16"/>
                <w:lang w:eastAsia="en-AU"/>
              </w:rPr>
            </w:pPr>
            <w:r w:rsidRPr="004D0E6C">
              <w:rPr>
                <w:rFonts w:ascii="Open Sans Semibold" w:eastAsia="Times New Roman" w:hAnsi="Open Sans Semibold" w:cs="Open Sans Semibold"/>
                <w:color w:val="FFFFFF"/>
                <w:sz w:val="16"/>
                <w:szCs w:val="16"/>
                <w:lang w:eastAsia="en-AU"/>
              </w:rPr>
              <w:t>NT</w:t>
            </w:r>
          </w:p>
        </w:tc>
        <w:tc>
          <w:tcPr>
            <w:tcW w:w="720" w:type="dxa"/>
            <w:tcBorders>
              <w:top w:val="nil"/>
              <w:left w:val="nil"/>
              <w:bottom w:val="nil"/>
              <w:right w:val="nil"/>
            </w:tcBorders>
            <w:shd w:val="clear" w:color="000000" w:fill="006991"/>
            <w:vAlign w:val="center"/>
            <w:hideMark/>
          </w:tcPr>
          <w:p w14:paraId="695EB0C6" w14:textId="77777777" w:rsidR="00296B81" w:rsidRPr="004D0E6C" w:rsidRDefault="00296B81">
            <w:pPr>
              <w:spacing w:after="0" w:line="240" w:lineRule="auto"/>
              <w:jc w:val="right"/>
              <w:rPr>
                <w:rFonts w:ascii="Open Sans Semibold" w:eastAsia="Times New Roman" w:hAnsi="Open Sans Semibold" w:cs="Open Sans Semibold"/>
                <w:color w:val="FFFFFF"/>
                <w:sz w:val="16"/>
                <w:szCs w:val="16"/>
                <w:lang w:eastAsia="en-AU"/>
              </w:rPr>
            </w:pPr>
            <w:r w:rsidRPr="004D0E6C">
              <w:rPr>
                <w:rFonts w:ascii="Open Sans Semibold" w:eastAsia="Times New Roman" w:hAnsi="Open Sans Semibold" w:cs="Open Sans Semibold"/>
                <w:color w:val="FFFFFF"/>
                <w:sz w:val="16"/>
                <w:szCs w:val="16"/>
                <w:lang w:eastAsia="en-AU"/>
              </w:rPr>
              <w:t>Total effect</w:t>
            </w:r>
          </w:p>
        </w:tc>
      </w:tr>
      <w:tr w:rsidR="00296B81" w:rsidRPr="004D0E6C" w14:paraId="654DC5A8" w14:textId="77777777">
        <w:trPr>
          <w:trHeight w:val="261"/>
        </w:trPr>
        <w:tc>
          <w:tcPr>
            <w:tcW w:w="2520" w:type="dxa"/>
            <w:gridSpan w:val="2"/>
            <w:tcBorders>
              <w:top w:val="single" w:sz="8" w:space="0" w:color="ADD6EA"/>
              <w:left w:val="nil"/>
              <w:bottom w:val="nil"/>
              <w:right w:val="nil"/>
            </w:tcBorders>
            <w:shd w:val="clear" w:color="000000" w:fill="B6D5E4"/>
            <w:vAlign w:val="bottom"/>
            <w:hideMark/>
          </w:tcPr>
          <w:p w14:paraId="3E1E472B" w14:textId="77777777" w:rsidR="00296B81" w:rsidRPr="004D0E6C" w:rsidRDefault="00296B81">
            <w:pPr>
              <w:spacing w:after="0" w:line="240" w:lineRule="auto"/>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 </w:t>
            </w:r>
          </w:p>
        </w:tc>
        <w:tc>
          <w:tcPr>
            <w:tcW w:w="720" w:type="dxa"/>
            <w:tcBorders>
              <w:top w:val="single" w:sz="8" w:space="0" w:color="ADD6EA"/>
              <w:left w:val="nil"/>
              <w:bottom w:val="nil"/>
              <w:right w:val="nil"/>
            </w:tcBorders>
            <w:shd w:val="clear" w:color="000000" w:fill="B6D5E4"/>
            <w:vAlign w:val="bottom"/>
            <w:hideMark/>
          </w:tcPr>
          <w:p w14:paraId="2A9D0F45"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$m</w:t>
            </w:r>
          </w:p>
        </w:tc>
        <w:tc>
          <w:tcPr>
            <w:tcW w:w="720" w:type="dxa"/>
            <w:tcBorders>
              <w:top w:val="single" w:sz="8" w:space="0" w:color="ADD6EA"/>
              <w:left w:val="nil"/>
              <w:bottom w:val="nil"/>
              <w:right w:val="nil"/>
            </w:tcBorders>
            <w:shd w:val="clear" w:color="000000" w:fill="B6D5E4"/>
            <w:vAlign w:val="bottom"/>
            <w:hideMark/>
          </w:tcPr>
          <w:p w14:paraId="665F8AF4"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$m</w:t>
            </w:r>
          </w:p>
        </w:tc>
        <w:tc>
          <w:tcPr>
            <w:tcW w:w="720" w:type="dxa"/>
            <w:tcBorders>
              <w:top w:val="single" w:sz="8" w:space="0" w:color="ADD6EA"/>
              <w:left w:val="nil"/>
              <w:bottom w:val="nil"/>
              <w:right w:val="nil"/>
            </w:tcBorders>
            <w:shd w:val="clear" w:color="000000" w:fill="B6D5E4"/>
            <w:vAlign w:val="bottom"/>
            <w:hideMark/>
          </w:tcPr>
          <w:p w14:paraId="7A629804"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$m</w:t>
            </w:r>
          </w:p>
        </w:tc>
        <w:tc>
          <w:tcPr>
            <w:tcW w:w="720" w:type="dxa"/>
            <w:tcBorders>
              <w:top w:val="single" w:sz="8" w:space="0" w:color="ADD6EA"/>
              <w:left w:val="nil"/>
              <w:bottom w:val="nil"/>
              <w:right w:val="nil"/>
            </w:tcBorders>
            <w:shd w:val="clear" w:color="000000" w:fill="B6D5E4"/>
            <w:vAlign w:val="bottom"/>
            <w:hideMark/>
          </w:tcPr>
          <w:p w14:paraId="336EC871"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$m</w:t>
            </w:r>
          </w:p>
        </w:tc>
        <w:tc>
          <w:tcPr>
            <w:tcW w:w="720" w:type="dxa"/>
            <w:tcBorders>
              <w:top w:val="single" w:sz="8" w:space="0" w:color="ADD6EA"/>
              <w:left w:val="nil"/>
              <w:bottom w:val="nil"/>
              <w:right w:val="nil"/>
            </w:tcBorders>
            <w:shd w:val="clear" w:color="000000" w:fill="B6D5E4"/>
            <w:vAlign w:val="bottom"/>
            <w:hideMark/>
          </w:tcPr>
          <w:p w14:paraId="3C0C5B9C"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$m</w:t>
            </w:r>
          </w:p>
        </w:tc>
        <w:tc>
          <w:tcPr>
            <w:tcW w:w="720" w:type="dxa"/>
            <w:tcBorders>
              <w:top w:val="single" w:sz="8" w:space="0" w:color="ADD6EA"/>
              <w:left w:val="nil"/>
              <w:bottom w:val="nil"/>
              <w:right w:val="nil"/>
            </w:tcBorders>
            <w:shd w:val="clear" w:color="000000" w:fill="B6D5E4"/>
            <w:vAlign w:val="bottom"/>
            <w:hideMark/>
          </w:tcPr>
          <w:p w14:paraId="4123513B"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$m</w:t>
            </w:r>
          </w:p>
        </w:tc>
        <w:tc>
          <w:tcPr>
            <w:tcW w:w="720" w:type="dxa"/>
            <w:tcBorders>
              <w:top w:val="single" w:sz="8" w:space="0" w:color="ADD6EA"/>
              <w:left w:val="nil"/>
              <w:bottom w:val="nil"/>
              <w:right w:val="nil"/>
            </w:tcBorders>
            <w:shd w:val="clear" w:color="000000" w:fill="B6D5E4"/>
            <w:vAlign w:val="bottom"/>
            <w:hideMark/>
          </w:tcPr>
          <w:p w14:paraId="02F00AF2"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$m</w:t>
            </w:r>
          </w:p>
        </w:tc>
        <w:tc>
          <w:tcPr>
            <w:tcW w:w="720" w:type="dxa"/>
            <w:tcBorders>
              <w:top w:val="single" w:sz="8" w:space="0" w:color="ADD6EA"/>
              <w:left w:val="nil"/>
              <w:bottom w:val="nil"/>
              <w:right w:val="nil"/>
            </w:tcBorders>
            <w:shd w:val="clear" w:color="000000" w:fill="B6D5E4"/>
            <w:vAlign w:val="bottom"/>
            <w:hideMark/>
          </w:tcPr>
          <w:p w14:paraId="4DE09678"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$m</w:t>
            </w:r>
          </w:p>
        </w:tc>
        <w:tc>
          <w:tcPr>
            <w:tcW w:w="720" w:type="dxa"/>
            <w:tcBorders>
              <w:top w:val="single" w:sz="8" w:space="0" w:color="ADD6EA"/>
              <w:left w:val="nil"/>
              <w:bottom w:val="nil"/>
              <w:right w:val="nil"/>
            </w:tcBorders>
            <w:shd w:val="clear" w:color="000000" w:fill="B6D5E4"/>
            <w:vAlign w:val="bottom"/>
            <w:hideMark/>
          </w:tcPr>
          <w:p w14:paraId="3BF9480C"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$m</w:t>
            </w:r>
          </w:p>
        </w:tc>
      </w:tr>
      <w:tr w:rsidR="00296B81" w:rsidRPr="004D0E6C" w14:paraId="7275E9A8" w14:textId="77777777">
        <w:trPr>
          <w:trHeight w:val="321"/>
        </w:trPr>
        <w:tc>
          <w:tcPr>
            <w:tcW w:w="2520" w:type="dxa"/>
            <w:gridSpan w:val="2"/>
            <w:tcBorders>
              <w:top w:val="single" w:sz="4" w:space="0" w:color="ADD6EA"/>
              <w:left w:val="nil"/>
              <w:bottom w:val="nil"/>
              <w:right w:val="nil"/>
            </w:tcBorders>
            <w:shd w:val="clear" w:color="000000" w:fill="FFFFFF"/>
            <w:vAlign w:val="bottom"/>
            <w:hideMark/>
          </w:tcPr>
          <w:p w14:paraId="73A49AF1" w14:textId="77777777" w:rsidR="00296B81" w:rsidRPr="004D0E6C" w:rsidRDefault="00296B81">
            <w:pPr>
              <w:spacing w:after="0" w:line="240" w:lineRule="auto"/>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Investment in justice</w:t>
            </w:r>
          </w:p>
        </w:tc>
        <w:tc>
          <w:tcPr>
            <w:tcW w:w="720" w:type="dxa"/>
            <w:tcBorders>
              <w:top w:val="single" w:sz="4" w:space="0" w:color="ADD6EA"/>
              <w:left w:val="nil"/>
              <w:bottom w:val="nil"/>
              <w:right w:val="nil"/>
            </w:tcBorders>
            <w:shd w:val="clear" w:color="000000" w:fill="FFFFFF"/>
            <w:vAlign w:val="bottom"/>
            <w:hideMark/>
          </w:tcPr>
          <w:p w14:paraId="0CD8F262"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30</w:t>
            </w:r>
          </w:p>
        </w:tc>
        <w:tc>
          <w:tcPr>
            <w:tcW w:w="720" w:type="dxa"/>
            <w:tcBorders>
              <w:top w:val="single" w:sz="4" w:space="0" w:color="ADD6EA"/>
              <w:left w:val="nil"/>
              <w:bottom w:val="nil"/>
              <w:right w:val="nil"/>
            </w:tcBorders>
            <w:shd w:val="clear" w:color="000000" w:fill="FFFFFF"/>
            <w:vAlign w:val="bottom"/>
            <w:hideMark/>
          </w:tcPr>
          <w:p w14:paraId="79D7638D" w14:textId="515CE61D"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-1</w:t>
            </w:r>
            <w:r w:rsidR="003870EC">
              <w:rPr>
                <w:rFonts w:ascii="Open Sans Light" w:eastAsia="Times New Roman" w:hAnsi="Open Sans Light" w:cs="Open Sans Light"/>
                <w:color w:val="000000"/>
                <w:sz w:val="16"/>
                <w:szCs w:val="16"/>
                <w:lang w:eastAsia="en-AU"/>
              </w:rPr>
              <w:t>8</w:t>
            </w:r>
          </w:p>
        </w:tc>
        <w:tc>
          <w:tcPr>
            <w:tcW w:w="720" w:type="dxa"/>
            <w:tcBorders>
              <w:top w:val="single" w:sz="4" w:space="0" w:color="ADD6EA"/>
              <w:left w:val="nil"/>
              <w:bottom w:val="nil"/>
              <w:right w:val="nil"/>
            </w:tcBorders>
            <w:shd w:val="clear" w:color="000000" w:fill="FFFFFF"/>
            <w:vAlign w:val="bottom"/>
            <w:hideMark/>
          </w:tcPr>
          <w:p w14:paraId="57132323"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3</w:t>
            </w:r>
          </w:p>
        </w:tc>
        <w:tc>
          <w:tcPr>
            <w:tcW w:w="720" w:type="dxa"/>
            <w:tcBorders>
              <w:top w:val="single" w:sz="4" w:space="0" w:color="ADD6EA"/>
              <w:left w:val="nil"/>
              <w:bottom w:val="nil"/>
              <w:right w:val="nil"/>
            </w:tcBorders>
            <w:shd w:val="clear" w:color="000000" w:fill="FFFFFF"/>
            <w:vAlign w:val="bottom"/>
            <w:hideMark/>
          </w:tcPr>
          <w:p w14:paraId="1437ECEE"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-14</w:t>
            </w:r>
          </w:p>
        </w:tc>
        <w:tc>
          <w:tcPr>
            <w:tcW w:w="720" w:type="dxa"/>
            <w:tcBorders>
              <w:top w:val="single" w:sz="4" w:space="0" w:color="ADD6EA"/>
              <w:left w:val="nil"/>
              <w:bottom w:val="nil"/>
              <w:right w:val="nil"/>
            </w:tcBorders>
            <w:shd w:val="clear" w:color="000000" w:fill="FFFFFF"/>
            <w:vAlign w:val="bottom"/>
            <w:hideMark/>
          </w:tcPr>
          <w:p w14:paraId="40891990"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-2</w:t>
            </w:r>
          </w:p>
        </w:tc>
        <w:tc>
          <w:tcPr>
            <w:tcW w:w="720" w:type="dxa"/>
            <w:tcBorders>
              <w:top w:val="single" w:sz="4" w:space="0" w:color="ADD6EA"/>
              <w:left w:val="nil"/>
              <w:bottom w:val="nil"/>
              <w:right w:val="nil"/>
            </w:tcBorders>
            <w:shd w:val="clear" w:color="000000" w:fill="FFFFFF"/>
            <w:vAlign w:val="bottom"/>
            <w:hideMark/>
          </w:tcPr>
          <w:p w14:paraId="66A67E81"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6</w:t>
            </w:r>
          </w:p>
        </w:tc>
        <w:tc>
          <w:tcPr>
            <w:tcW w:w="720" w:type="dxa"/>
            <w:tcBorders>
              <w:top w:val="single" w:sz="4" w:space="0" w:color="ADD6EA"/>
              <w:left w:val="nil"/>
              <w:bottom w:val="nil"/>
              <w:right w:val="nil"/>
            </w:tcBorders>
            <w:shd w:val="clear" w:color="000000" w:fill="FFFFFF"/>
            <w:vAlign w:val="bottom"/>
            <w:hideMark/>
          </w:tcPr>
          <w:p w14:paraId="1C5008DC" w14:textId="1223922B" w:rsidR="00296B81" w:rsidRPr="004D0E6C" w:rsidRDefault="003870EC">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w:t>
            </w:r>
          </w:p>
        </w:tc>
        <w:tc>
          <w:tcPr>
            <w:tcW w:w="720" w:type="dxa"/>
            <w:tcBorders>
              <w:top w:val="single" w:sz="4" w:space="0" w:color="ADD6EA"/>
              <w:left w:val="nil"/>
              <w:bottom w:val="nil"/>
              <w:right w:val="nil"/>
            </w:tcBorders>
            <w:shd w:val="clear" w:color="000000" w:fill="FFFFFF"/>
            <w:vAlign w:val="bottom"/>
            <w:hideMark/>
          </w:tcPr>
          <w:p w14:paraId="4570AC46" w14:textId="584666AE"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w:t>
            </w:r>
            <w:r w:rsidR="008B08F6">
              <w:rPr>
                <w:rFonts w:ascii="Open Sans Light" w:eastAsia="Times New Roman" w:hAnsi="Open Sans Light" w:cs="Open Sans Light"/>
                <w:color w:val="000000"/>
                <w:sz w:val="16"/>
                <w:szCs w:val="16"/>
                <w:lang w:eastAsia="en-AU"/>
              </w:rPr>
              <w:t>3</w:t>
            </w:r>
          </w:p>
        </w:tc>
        <w:tc>
          <w:tcPr>
            <w:tcW w:w="720" w:type="dxa"/>
            <w:tcBorders>
              <w:top w:val="single" w:sz="4" w:space="0" w:color="ADD6EA"/>
              <w:left w:val="nil"/>
              <w:bottom w:val="nil"/>
              <w:right w:val="nil"/>
            </w:tcBorders>
            <w:shd w:val="clear" w:color="000000" w:fill="FFFFFF"/>
            <w:vAlign w:val="bottom"/>
            <w:hideMark/>
          </w:tcPr>
          <w:p w14:paraId="0E8DD6CB"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38</w:t>
            </w:r>
          </w:p>
        </w:tc>
      </w:tr>
      <w:tr w:rsidR="00296B81" w:rsidRPr="004D0E6C" w14:paraId="2B69B242" w14:textId="77777777">
        <w:trPr>
          <w:trHeight w:val="321"/>
        </w:trPr>
        <w:tc>
          <w:tcPr>
            <w:tcW w:w="2520" w:type="dxa"/>
            <w:gridSpan w:val="2"/>
            <w:tcBorders>
              <w:top w:val="single" w:sz="8" w:space="0" w:color="ADD6EA"/>
              <w:left w:val="nil"/>
              <w:bottom w:val="nil"/>
              <w:right w:val="nil"/>
            </w:tcBorders>
            <w:shd w:val="clear" w:color="000000" w:fill="FFFFFF"/>
            <w:vAlign w:val="bottom"/>
            <w:hideMark/>
          </w:tcPr>
          <w:p w14:paraId="3091CFE9" w14:textId="77777777" w:rsidR="00296B81" w:rsidRPr="004D0E6C" w:rsidRDefault="00296B81">
            <w:pPr>
              <w:spacing w:after="0" w:line="240" w:lineRule="auto"/>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General regional gradient</w:t>
            </w:r>
          </w:p>
        </w:tc>
        <w:tc>
          <w:tcPr>
            <w:tcW w:w="720" w:type="dxa"/>
            <w:tcBorders>
              <w:top w:val="single" w:sz="8" w:space="0" w:color="ADD6EA"/>
              <w:left w:val="nil"/>
              <w:bottom w:val="nil"/>
              <w:right w:val="nil"/>
            </w:tcBorders>
            <w:shd w:val="clear" w:color="000000" w:fill="FFFFFF"/>
            <w:vAlign w:val="bottom"/>
            <w:hideMark/>
          </w:tcPr>
          <w:p w14:paraId="64E1FD7A"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-8</w:t>
            </w:r>
          </w:p>
        </w:tc>
        <w:tc>
          <w:tcPr>
            <w:tcW w:w="720" w:type="dxa"/>
            <w:tcBorders>
              <w:top w:val="single" w:sz="8" w:space="0" w:color="ADD6EA"/>
              <w:left w:val="nil"/>
              <w:bottom w:val="nil"/>
              <w:right w:val="nil"/>
            </w:tcBorders>
            <w:shd w:val="clear" w:color="000000" w:fill="FFFFFF"/>
            <w:vAlign w:val="bottom"/>
            <w:hideMark/>
          </w:tcPr>
          <w:p w14:paraId="4CC6175F"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-6</w:t>
            </w:r>
          </w:p>
        </w:tc>
        <w:tc>
          <w:tcPr>
            <w:tcW w:w="720" w:type="dxa"/>
            <w:tcBorders>
              <w:top w:val="single" w:sz="8" w:space="0" w:color="ADD6EA"/>
              <w:left w:val="nil"/>
              <w:bottom w:val="nil"/>
              <w:right w:val="nil"/>
            </w:tcBorders>
            <w:shd w:val="clear" w:color="000000" w:fill="FFFFFF"/>
            <w:vAlign w:val="bottom"/>
            <w:hideMark/>
          </w:tcPr>
          <w:p w14:paraId="667B807C"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1</w:t>
            </w:r>
          </w:p>
        </w:tc>
        <w:tc>
          <w:tcPr>
            <w:tcW w:w="720" w:type="dxa"/>
            <w:tcBorders>
              <w:top w:val="single" w:sz="8" w:space="0" w:color="ADD6EA"/>
              <w:left w:val="nil"/>
              <w:bottom w:val="nil"/>
              <w:right w:val="nil"/>
            </w:tcBorders>
            <w:shd w:val="clear" w:color="000000" w:fill="FFFFFF"/>
            <w:vAlign w:val="bottom"/>
            <w:hideMark/>
          </w:tcPr>
          <w:p w14:paraId="2AFD013F"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7</w:t>
            </w:r>
          </w:p>
        </w:tc>
        <w:tc>
          <w:tcPr>
            <w:tcW w:w="720" w:type="dxa"/>
            <w:tcBorders>
              <w:top w:val="single" w:sz="8" w:space="0" w:color="ADD6EA"/>
              <w:left w:val="nil"/>
              <w:bottom w:val="nil"/>
              <w:right w:val="nil"/>
            </w:tcBorders>
            <w:shd w:val="clear" w:color="000000" w:fill="FFFFFF"/>
            <w:vAlign w:val="bottom"/>
            <w:hideMark/>
          </w:tcPr>
          <w:p w14:paraId="47258C74"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0</w:t>
            </w:r>
          </w:p>
        </w:tc>
        <w:tc>
          <w:tcPr>
            <w:tcW w:w="720" w:type="dxa"/>
            <w:tcBorders>
              <w:top w:val="single" w:sz="8" w:space="0" w:color="ADD6EA"/>
              <w:left w:val="nil"/>
              <w:bottom w:val="nil"/>
              <w:right w:val="nil"/>
            </w:tcBorders>
            <w:shd w:val="clear" w:color="000000" w:fill="FFFFFF"/>
            <w:vAlign w:val="bottom"/>
            <w:hideMark/>
          </w:tcPr>
          <w:p w14:paraId="068A0B52"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1</w:t>
            </w:r>
          </w:p>
        </w:tc>
        <w:tc>
          <w:tcPr>
            <w:tcW w:w="720" w:type="dxa"/>
            <w:tcBorders>
              <w:top w:val="single" w:sz="8" w:space="0" w:color="ADD6EA"/>
              <w:left w:val="nil"/>
              <w:bottom w:val="nil"/>
              <w:right w:val="nil"/>
            </w:tcBorders>
            <w:shd w:val="clear" w:color="000000" w:fill="FFFFFF"/>
            <w:vAlign w:val="bottom"/>
            <w:hideMark/>
          </w:tcPr>
          <w:p w14:paraId="78E0FFB5"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-1</w:t>
            </w:r>
          </w:p>
        </w:tc>
        <w:tc>
          <w:tcPr>
            <w:tcW w:w="720" w:type="dxa"/>
            <w:tcBorders>
              <w:top w:val="single" w:sz="8" w:space="0" w:color="ADD6EA"/>
              <w:left w:val="nil"/>
              <w:bottom w:val="nil"/>
              <w:right w:val="nil"/>
            </w:tcBorders>
            <w:shd w:val="clear" w:color="000000" w:fill="FFFFFF"/>
            <w:vAlign w:val="bottom"/>
            <w:hideMark/>
          </w:tcPr>
          <w:p w14:paraId="6ABEC86C"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7</w:t>
            </w:r>
          </w:p>
        </w:tc>
        <w:tc>
          <w:tcPr>
            <w:tcW w:w="720" w:type="dxa"/>
            <w:tcBorders>
              <w:top w:val="single" w:sz="8" w:space="0" w:color="ADD6EA"/>
              <w:left w:val="nil"/>
              <w:bottom w:val="nil"/>
              <w:right w:val="nil"/>
            </w:tcBorders>
            <w:shd w:val="clear" w:color="000000" w:fill="FFFFFF"/>
            <w:vAlign w:val="bottom"/>
            <w:hideMark/>
          </w:tcPr>
          <w:p w14:paraId="341BD93C"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16</w:t>
            </w:r>
          </w:p>
        </w:tc>
      </w:tr>
      <w:tr w:rsidR="00296B81" w:rsidRPr="004D0E6C" w14:paraId="0F93167D" w14:textId="77777777">
        <w:trPr>
          <w:trHeight w:val="261"/>
        </w:trPr>
        <w:tc>
          <w:tcPr>
            <w:tcW w:w="2520" w:type="dxa"/>
            <w:gridSpan w:val="2"/>
            <w:tcBorders>
              <w:top w:val="single" w:sz="8" w:space="0" w:color="ADD6EA"/>
              <w:left w:val="nil"/>
              <w:bottom w:val="nil"/>
              <w:right w:val="nil"/>
            </w:tcBorders>
            <w:shd w:val="clear" w:color="000000" w:fill="B6D5E4"/>
            <w:vAlign w:val="bottom"/>
            <w:hideMark/>
          </w:tcPr>
          <w:p w14:paraId="10E85131" w14:textId="77777777" w:rsidR="00296B81" w:rsidRPr="004D0E6C" w:rsidRDefault="00296B81">
            <w:pPr>
              <w:spacing w:after="0" w:line="240" w:lineRule="auto"/>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 </w:t>
            </w:r>
          </w:p>
        </w:tc>
        <w:tc>
          <w:tcPr>
            <w:tcW w:w="720" w:type="dxa"/>
            <w:tcBorders>
              <w:top w:val="single" w:sz="8" w:space="0" w:color="ADD6EA"/>
              <w:left w:val="nil"/>
              <w:bottom w:val="nil"/>
              <w:right w:val="nil"/>
            </w:tcBorders>
            <w:shd w:val="clear" w:color="000000" w:fill="B6D5E4"/>
            <w:vAlign w:val="bottom"/>
            <w:hideMark/>
          </w:tcPr>
          <w:p w14:paraId="3B7F75A8"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$pc</w:t>
            </w:r>
          </w:p>
        </w:tc>
        <w:tc>
          <w:tcPr>
            <w:tcW w:w="720" w:type="dxa"/>
            <w:tcBorders>
              <w:top w:val="single" w:sz="8" w:space="0" w:color="ADD6EA"/>
              <w:left w:val="nil"/>
              <w:bottom w:val="nil"/>
              <w:right w:val="nil"/>
            </w:tcBorders>
            <w:shd w:val="clear" w:color="000000" w:fill="B6D5E4"/>
            <w:vAlign w:val="bottom"/>
            <w:hideMark/>
          </w:tcPr>
          <w:p w14:paraId="23D171FE"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$pc</w:t>
            </w:r>
          </w:p>
        </w:tc>
        <w:tc>
          <w:tcPr>
            <w:tcW w:w="720" w:type="dxa"/>
            <w:tcBorders>
              <w:top w:val="single" w:sz="8" w:space="0" w:color="ADD6EA"/>
              <w:left w:val="nil"/>
              <w:bottom w:val="nil"/>
              <w:right w:val="nil"/>
            </w:tcBorders>
            <w:shd w:val="clear" w:color="000000" w:fill="B6D5E4"/>
            <w:vAlign w:val="bottom"/>
            <w:hideMark/>
          </w:tcPr>
          <w:p w14:paraId="350EED73"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$pc</w:t>
            </w:r>
          </w:p>
        </w:tc>
        <w:tc>
          <w:tcPr>
            <w:tcW w:w="720" w:type="dxa"/>
            <w:tcBorders>
              <w:top w:val="single" w:sz="8" w:space="0" w:color="ADD6EA"/>
              <w:left w:val="nil"/>
              <w:bottom w:val="nil"/>
              <w:right w:val="nil"/>
            </w:tcBorders>
            <w:shd w:val="clear" w:color="000000" w:fill="B6D5E4"/>
            <w:vAlign w:val="bottom"/>
            <w:hideMark/>
          </w:tcPr>
          <w:p w14:paraId="18B815E5"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$pc</w:t>
            </w:r>
          </w:p>
        </w:tc>
        <w:tc>
          <w:tcPr>
            <w:tcW w:w="720" w:type="dxa"/>
            <w:tcBorders>
              <w:top w:val="single" w:sz="8" w:space="0" w:color="ADD6EA"/>
              <w:left w:val="nil"/>
              <w:bottom w:val="nil"/>
              <w:right w:val="nil"/>
            </w:tcBorders>
            <w:shd w:val="clear" w:color="000000" w:fill="B6D5E4"/>
            <w:vAlign w:val="bottom"/>
            <w:hideMark/>
          </w:tcPr>
          <w:p w14:paraId="692C9FBF"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$pc</w:t>
            </w:r>
          </w:p>
        </w:tc>
        <w:tc>
          <w:tcPr>
            <w:tcW w:w="720" w:type="dxa"/>
            <w:tcBorders>
              <w:top w:val="single" w:sz="8" w:space="0" w:color="ADD6EA"/>
              <w:left w:val="nil"/>
              <w:bottom w:val="nil"/>
              <w:right w:val="nil"/>
            </w:tcBorders>
            <w:shd w:val="clear" w:color="000000" w:fill="B6D5E4"/>
            <w:vAlign w:val="bottom"/>
            <w:hideMark/>
          </w:tcPr>
          <w:p w14:paraId="6FF94D02"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$pc</w:t>
            </w:r>
          </w:p>
        </w:tc>
        <w:tc>
          <w:tcPr>
            <w:tcW w:w="720" w:type="dxa"/>
            <w:tcBorders>
              <w:top w:val="single" w:sz="8" w:space="0" w:color="ADD6EA"/>
              <w:left w:val="nil"/>
              <w:bottom w:val="nil"/>
              <w:right w:val="nil"/>
            </w:tcBorders>
            <w:shd w:val="clear" w:color="000000" w:fill="B6D5E4"/>
            <w:vAlign w:val="bottom"/>
            <w:hideMark/>
          </w:tcPr>
          <w:p w14:paraId="4A0C31C6"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$pc</w:t>
            </w:r>
          </w:p>
        </w:tc>
        <w:tc>
          <w:tcPr>
            <w:tcW w:w="720" w:type="dxa"/>
            <w:tcBorders>
              <w:top w:val="single" w:sz="8" w:space="0" w:color="ADD6EA"/>
              <w:left w:val="nil"/>
              <w:bottom w:val="nil"/>
              <w:right w:val="nil"/>
            </w:tcBorders>
            <w:shd w:val="clear" w:color="000000" w:fill="B6D5E4"/>
            <w:vAlign w:val="bottom"/>
            <w:hideMark/>
          </w:tcPr>
          <w:p w14:paraId="50DE5012"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$pc</w:t>
            </w:r>
          </w:p>
        </w:tc>
        <w:tc>
          <w:tcPr>
            <w:tcW w:w="720" w:type="dxa"/>
            <w:tcBorders>
              <w:top w:val="single" w:sz="8" w:space="0" w:color="ADD6EA"/>
              <w:left w:val="nil"/>
              <w:bottom w:val="nil"/>
              <w:right w:val="nil"/>
            </w:tcBorders>
            <w:shd w:val="clear" w:color="000000" w:fill="B6D5E4"/>
            <w:vAlign w:val="bottom"/>
            <w:hideMark/>
          </w:tcPr>
          <w:p w14:paraId="7BB2A5E4" w14:textId="77777777" w:rsidR="00296B81" w:rsidRPr="004D0E6C" w:rsidRDefault="00296B81">
            <w:pPr>
              <w:spacing w:after="0" w:line="240" w:lineRule="auto"/>
              <w:jc w:val="right"/>
              <w:rPr>
                <w:rFonts w:ascii="Open Sans Semibold" w:eastAsia="Times New Roman" w:hAnsi="Open Sans Semibold" w:cs="Open Sans Semibold"/>
                <w:color w:val="000000"/>
                <w:sz w:val="16"/>
                <w:szCs w:val="16"/>
                <w:lang w:eastAsia="en-AU"/>
              </w:rPr>
            </w:pPr>
            <w:r w:rsidRPr="004D0E6C">
              <w:rPr>
                <w:rFonts w:ascii="Open Sans Semibold" w:eastAsia="Times New Roman" w:hAnsi="Open Sans Semibold" w:cs="Open Sans Semibold"/>
                <w:color w:val="000000"/>
                <w:sz w:val="16"/>
                <w:szCs w:val="16"/>
                <w:lang w:eastAsia="en-AU"/>
              </w:rPr>
              <w:t>$pc</w:t>
            </w:r>
          </w:p>
        </w:tc>
      </w:tr>
      <w:tr w:rsidR="00296B81" w:rsidRPr="004D0E6C" w14:paraId="75C95008" w14:textId="77777777">
        <w:trPr>
          <w:trHeight w:val="321"/>
        </w:trPr>
        <w:tc>
          <w:tcPr>
            <w:tcW w:w="2520" w:type="dxa"/>
            <w:gridSpan w:val="2"/>
            <w:tcBorders>
              <w:top w:val="single" w:sz="8" w:space="0" w:color="ADD6EA"/>
              <w:left w:val="nil"/>
              <w:bottom w:val="nil"/>
              <w:right w:val="nil"/>
            </w:tcBorders>
            <w:shd w:val="clear" w:color="000000" w:fill="FFFFFF"/>
            <w:vAlign w:val="bottom"/>
            <w:hideMark/>
          </w:tcPr>
          <w:p w14:paraId="18D27A3A" w14:textId="77777777" w:rsidR="00296B81" w:rsidRPr="004D0E6C" w:rsidRDefault="00296B81">
            <w:pPr>
              <w:spacing w:after="0" w:line="240" w:lineRule="auto"/>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Investment in justice</w:t>
            </w:r>
          </w:p>
        </w:tc>
        <w:tc>
          <w:tcPr>
            <w:tcW w:w="720" w:type="dxa"/>
            <w:tcBorders>
              <w:top w:val="single" w:sz="8" w:space="0" w:color="ADD6EA"/>
              <w:left w:val="nil"/>
              <w:bottom w:val="nil"/>
              <w:right w:val="nil"/>
            </w:tcBorders>
            <w:shd w:val="clear" w:color="000000" w:fill="FFFFFF"/>
            <w:vAlign w:val="bottom"/>
            <w:hideMark/>
          </w:tcPr>
          <w:p w14:paraId="5DA7BB1D"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3</w:t>
            </w:r>
          </w:p>
        </w:tc>
        <w:tc>
          <w:tcPr>
            <w:tcW w:w="720" w:type="dxa"/>
            <w:tcBorders>
              <w:top w:val="single" w:sz="8" w:space="0" w:color="ADD6EA"/>
              <w:left w:val="nil"/>
              <w:bottom w:val="nil"/>
              <w:right w:val="nil"/>
            </w:tcBorders>
            <w:shd w:val="clear" w:color="000000" w:fill="FFFFFF"/>
            <w:vAlign w:val="bottom"/>
            <w:hideMark/>
          </w:tcPr>
          <w:p w14:paraId="06C242A5"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-2</w:t>
            </w:r>
          </w:p>
        </w:tc>
        <w:tc>
          <w:tcPr>
            <w:tcW w:w="720" w:type="dxa"/>
            <w:tcBorders>
              <w:top w:val="single" w:sz="8" w:space="0" w:color="ADD6EA"/>
              <w:left w:val="nil"/>
              <w:bottom w:val="nil"/>
              <w:right w:val="nil"/>
            </w:tcBorders>
            <w:shd w:val="clear" w:color="000000" w:fill="FFFFFF"/>
            <w:vAlign w:val="bottom"/>
            <w:hideMark/>
          </w:tcPr>
          <w:p w14:paraId="65837820"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0</w:t>
            </w:r>
          </w:p>
        </w:tc>
        <w:tc>
          <w:tcPr>
            <w:tcW w:w="720" w:type="dxa"/>
            <w:tcBorders>
              <w:top w:val="single" w:sz="8" w:space="0" w:color="ADD6EA"/>
              <w:left w:val="nil"/>
              <w:bottom w:val="nil"/>
              <w:right w:val="nil"/>
            </w:tcBorders>
            <w:shd w:val="clear" w:color="000000" w:fill="FFFFFF"/>
            <w:vAlign w:val="bottom"/>
            <w:hideMark/>
          </w:tcPr>
          <w:p w14:paraId="7FA448B3"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-5</w:t>
            </w:r>
          </w:p>
        </w:tc>
        <w:tc>
          <w:tcPr>
            <w:tcW w:w="720" w:type="dxa"/>
            <w:tcBorders>
              <w:top w:val="single" w:sz="8" w:space="0" w:color="ADD6EA"/>
              <w:left w:val="nil"/>
              <w:bottom w:val="nil"/>
              <w:right w:val="nil"/>
            </w:tcBorders>
            <w:shd w:val="clear" w:color="000000" w:fill="FFFFFF"/>
            <w:vAlign w:val="bottom"/>
            <w:hideMark/>
          </w:tcPr>
          <w:p w14:paraId="5C85FC81"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-1</w:t>
            </w:r>
          </w:p>
        </w:tc>
        <w:tc>
          <w:tcPr>
            <w:tcW w:w="720" w:type="dxa"/>
            <w:tcBorders>
              <w:top w:val="single" w:sz="8" w:space="0" w:color="ADD6EA"/>
              <w:left w:val="nil"/>
              <w:bottom w:val="nil"/>
              <w:right w:val="nil"/>
            </w:tcBorders>
            <w:shd w:val="clear" w:color="000000" w:fill="FFFFFF"/>
            <w:vAlign w:val="bottom"/>
            <w:hideMark/>
          </w:tcPr>
          <w:p w14:paraId="1B34B5E9"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10</w:t>
            </w:r>
          </w:p>
        </w:tc>
        <w:tc>
          <w:tcPr>
            <w:tcW w:w="720" w:type="dxa"/>
            <w:tcBorders>
              <w:top w:val="single" w:sz="8" w:space="0" w:color="ADD6EA"/>
              <w:left w:val="nil"/>
              <w:bottom w:val="nil"/>
              <w:right w:val="nil"/>
            </w:tcBorders>
            <w:shd w:val="clear" w:color="000000" w:fill="FFFFFF"/>
            <w:vAlign w:val="bottom"/>
            <w:hideMark/>
          </w:tcPr>
          <w:p w14:paraId="50336557"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-1</w:t>
            </w:r>
          </w:p>
        </w:tc>
        <w:tc>
          <w:tcPr>
            <w:tcW w:w="720" w:type="dxa"/>
            <w:tcBorders>
              <w:top w:val="single" w:sz="8" w:space="0" w:color="ADD6EA"/>
              <w:left w:val="nil"/>
              <w:bottom w:val="nil"/>
              <w:right w:val="nil"/>
            </w:tcBorders>
            <w:shd w:val="clear" w:color="000000" w:fill="FFFFFF"/>
            <w:vAlign w:val="bottom"/>
            <w:hideMark/>
          </w:tcPr>
          <w:p w14:paraId="5EC38F33" w14:textId="3B551BD4"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-1</w:t>
            </w:r>
            <w:r w:rsidR="00B41E8C">
              <w:rPr>
                <w:rFonts w:ascii="Open Sans Light" w:eastAsia="Times New Roman" w:hAnsi="Open Sans Light" w:cs="Open Sans Light"/>
                <w:color w:val="000000"/>
                <w:sz w:val="16"/>
                <w:szCs w:val="16"/>
                <w:lang w:eastAsia="en-AU"/>
              </w:rPr>
              <w:t>3</w:t>
            </w:r>
          </w:p>
        </w:tc>
        <w:tc>
          <w:tcPr>
            <w:tcW w:w="720" w:type="dxa"/>
            <w:tcBorders>
              <w:top w:val="single" w:sz="8" w:space="0" w:color="ADD6EA"/>
              <w:left w:val="nil"/>
              <w:bottom w:val="nil"/>
              <w:right w:val="nil"/>
            </w:tcBorders>
            <w:shd w:val="clear" w:color="000000" w:fill="FFFFFF"/>
            <w:vAlign w:val="bottom"/>
            <w:hideMark/>
          </w:tcPr>
          <w:p w14:paraId="0F597424"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1</w:t>
            </w:r>
          </w:p>
        </w:tc>
      </w:tr>
      <w:tr w:rsidR="00296B81" w:rsidRPr="004D0E6C" w14:paraId="2C23D383" w14:textId="77777777">
        <w:trPr>
          <w:trHeight w:val="321"/>
        </w:trPr>
        <w:tc>
          <w:tcPr>
            <w:tcW w:w="2520" w:type="dxa"/>
            <w:gridSpan w:val="2"/>
            <w:tcBorders>
              <w:top w:val="single" w:sz="4" w:space="0" w:color="ADD6EA"/>
              <w:left w:val="nil"/>
              <w:bottom w:val="single" w:sz="4" w:space="0" w:color="ADD6EA"/>
              <w:right w:val="nil"/>
            </w:tcBorders>
            <w:shd w:val="clear" w:color="000000" w:fill="FFFFFF"/>
            <w:vAlign w:val="bottom"/>
            <w:hideMark/>
          </w:tcPr>
          <w:p w14:paraId="471043A2" w14:textId="77777777" w:rsidR="00296B81" w:rsidRPr="004D0E6C" w:rsidRDefault="00296B81">
            <w:pPr>
              <w:spacing w:after="0" w:line="240" w:lineRule="auto"/>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 xml:space="preserve">General regional gradient </w:t>
            </w:r>
          </w:p>
        </w:tc>
        <w:tc>
          <w:tcPr>
            <w:tcW w:w="720" w:type="dxa"/>
            <w:tcBorders>
              <w:top w:val="single" w:sz="4" w:space="0" w:color="ADD6EA"/>
              <w:left w:val="nil"/>
              <w:bottom w:val="single" w:sz="4" w:space="0" w:color="ADD6EA"/>
              <w:right w:val="nil"/>
            </w:tcBorders>
            <w:shd w:val="clear" w:color="000000" w:fill="FFFFFF"/>
            <w:vAlign w:val="bottom"/>
            <w:hideMark/>
          </w:tcPr>
          <w:p w14:paraId="55FF7A16"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-1</w:t>
            </w:r>
          </w:p>
        </w:tc>
        <w:tc>
          <w:tcPr>
            <w:tcW w:w="720" w:type="dxa"/>
            <w:tcBorders>
              <w:top w:val="single" w:sz="4" w:space="0" w:color="ADD6EA"/>
              <w:left w:val="nil"/>
              <w:bottom w:val="single" w:sz="4" w:space="0" w:color="ADD6EA"/>
              <w:right w:val="nil"/>
            </w:tcBorders>
            <w:shd w:val="clear" w:color="000000" w:fill="FFFFFF"/>
            <w:vAlign w:val="bottom"/>
            <w:hideMark/>
          </w:tcPr>
          <w:p w14:paraId="44FB8ED6"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-1</w:t>
            </w:r>
          </w:p>
        </w:tc>
        <w:tc>
          <w:tcPr>
            <w:tcW w:w="720" w:type="dxa"/>
            <w:tcBorders>
              <w:top w:val="single" w:sz="4" w:space="0" w:color="ADD6EA"/>
              <w:left w:val="nil"/>
              <w:bottom w:val="single" w:sz="4" w:space="0" w:color="ADD6EA"/>
              <w:right w:val="nil"/>
            </w:tcBorders>
            <w:shd w:val="clear" w:color="000000" w:fill="FFFFFF"/>
            <w:vAlign w:val="bottom"/>
            <w:hideMark/>
          </w:tcPr>
          <w:p w14:paraId="01A3705A"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0</w:t>
            </w:r>
          </w:p>
        </w:tc>
        <w:tc>
          <w:tcPr>
            <w:tcW w:w="720" w:type="dxa"/>
            <w:tcBorders>
              <w:top w:val="single" w:sz="4" w:space="0" w:color="ADD6EA"/>
              <w:left w:val="nil"/>
              <w:bottom w:val="single" w:sz="4" w:space="0" w:color="ADD6EA"/>
              <w:right w:val="nil"/>
            </w:tcBorders>
            <w:shd w:val="clear" w:color="000000" w:fill="FFFFFF"/>
            <w:vAlign w:val="bottom"/>
            <w:hideMark/>
          </w:tcPr>
          <w:p w14:paraId="7619E08B"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2</w:t>
            </w:r>
          </w:p>
        </w:tc>
        <w:tc>
          <w:tcPr>
            <w:tcW w:w="720" w:type="dxa"/>
            <w:tcBorders>
              <w:top w:val="single" w:sz="4" w:space="0" w:color="ADD6EA"/>
              <w:left w:val="nil"/>
              <w:bottom w:val="single" w:sz="4" w:space="0" w:color="ADD6EA"/>
              <w:right w:val="nil"/>
            </w:tcBorders>
            <w:shd w:val="clear" w:color="000000" w:fill="FFFFFF"/>
            <w:vAlign w:val="bottom"/>
            <w:hideMark/>
          </w:tcPr>
          <w:p w14:paraId="59C82902"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0</w:t>
            </w:r>
          </w:p>
        </w:tc>
        <w:tc>
          <w:tcPr>
            <w:tcW w:w="720" w:type="dxa"/>
            <w:tcBorders>
              <w:top w:val="single" w:sz="4" w:space="0" w:color="ADD6EA"/>
              <w:left w:val="nil"/>
              <w:bottom w:val="single" w:sz="4" w:space="0" w:color="ADD6EA"/>
              <w:right w:val="nil"/>
            </w:tcBorders>
            <w:shd w:val="clear" w:color="000000" w:fill="FFFFFF"/>
            <w:vAlign w:val="bottom"/>
            <w:hideMark/>
          </w:tcPr>
          <w:p w14:paraId="6EDA287C"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2</w:t>
            </w:r>
          </w:p>
        </w:tc>
        <w:tc>
          <w:tcPr>
            <w:tcW w:w="720" w:type="dxa"/>
            <w:tcBorders>
              <w:top w:val="single" w:sz="4" w:space="0" w:color="ADD6EA"/>
              <w:left w:val="nil"/>
              <w:bottom w:val="single" w:sz="4" w:space="0" w:color="ADD6EA"/>
              <w:right w:val="nil"/>
            </w:tcBorders>
            <w:shd w:val="clear" w:color="000000" w:fill="FFFFFF"/>
            <w:vAlign w:val="bottom"/>
            <w:hideMark/>
          </w:tcPr>
          <w:p w14:paraId="4250196E"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-1</w:t>
            </w:r>
          </w:p>
        </w:tc>
        <w:tc>
          <w:tcPr>
            <w:tcW w:w="720" w:type="dxa"/>
            <w:tcBorders>
              <w:top w:val="single" w:sz="4" w:space="0" w:color="ADD6EA"/>
              <w:left w:val="nil"/>
              <w:bottom w:val="single" w:sz="4" w:space="0" w:color="ADD6EA"/>
              <w:right w:val="nil"/>
            </w:tcBorders>
            <w:shd w:val="clear" w:color="000000" w:fill="FFFFFF"/>
            <w:vAlign w:val="bottom"/>
            <w:hideMark/>
          </w:tcPr>
          <w:p w14:paraId="15EC5885"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27</w:t>
            </w:r>
          </w:p>
        </w:tc>
        <w:tc>
          <w:tcPr>
            <w:tcW w:w="720" w:type="dxa"/>
            <w:tcBorders>
              <w:top w:val="single" w:sz="4" w:space="0" w:color="ADD6EA"/>
              <w:left w:val="nil"/>
              <w:bottom w:val="single" w:sz="4" w:space="0" w:color="ADD6EA"/>
              <w:right w:val="nil"/>
            </w:tcBorders>
            <w:shd w:val="clear" w:color="000000" w:fill="FFFFFF"/>
            <w:vAlign w:val="bottom"/>
            <w:hideMark/>
          </w:tcPr>
          <w:p w14:paraId="270CABB4" w14:textId="77777777" w:rsidR="00296B81" w:rsidRPr="004D0E6C" w:rsidRDefault="00296B81">
            <w:pPr>
              <w:spacing w:after="0" w:line="240" w:lineRule="auto"/>
              <w:jc w:val="right"/>
              <w:rPr>
                <w:rFonts w:ascii="Open Sans Light" w:eastAsia="Times New Roman" w:hAnsi="Open Sans Light" w:cs="Open Sans Light"/>
                <w:color w:val="000000"/>
                <w:sz w:val="16"/>
                <w:szCs w:val="16"/>
                <w:lang w:eastAsia="en-AU"/>
              </w:rPr>
            </w:pPr>
            <w:r w:rsidRPr="004D0E6C">
              <w:rPr>
                <w:rFonts w:ascii="Open Sans Light" w:eastAsia="Times New Roman" w:hAnsi="Open Sans Light" w:cs="Open Sans Light"/>
                <w:color w:val="000000"/>
                <w:sz w:val="16"/>
                <w:szCs w:val="16"/>
                <w:lang w:eastAsia="en-AU"/>
              </w:rPr>
              <w:t>1</w:t>
            </w:r>
          </w:p>
        </w:tc>
      </w:tr>
    </w:tbl>
    <w:p w14:paraId="0277E4AD" w14:textId="4C473DD2" w:rsidR="00B31523" w:rsidRDefault="00A952E3" w:rsidP="00AC352B">
      <w:pPr>
        <w:pStyle w:val="CGC2025TableNote"/>
        <w:tabs>
          <w:tab w:val="clear" w:pos="567"/>
          <w:tab w:val="left" w:pos="709"/>
        </w:tabs>
        <w:ind w:left="532" w:hanging="419"/>
      </w:pPr>
      <w:r>
        <w:t xml:space="preserve">Note: </w:t>
      </w:r>
      <w:r w:rsidR="00C10E73">
        <w:t>Under the proposed changes the general regional and SDS gradient</w:t>
      </w:r>
      <w:r w:rsidR="009A4D9A">
        <w:t>(</w:t>
      </w:r>
      <w:r w:rsidR="00C10E73">
        <w:t>s</w:t>
      </w:r>
      <w:r w:rsidR="009A4D9A">
        <w:t>)</w:t>
      </w:r>
      <w:r w:rsidR="00C10E73">
        <w:t xml:space="preserve"> are no longer informed by </w:t>
      </w:r>
      <w:r w:rsidR="00A15C5B">
        <w:t>gradients relating to</w:t>
      </w:r>
      <w:r w:rsidR="00C10E73">
        <w:t xml:space="preserve"> prisons </w:t>
      </w:r>
      <w:r w:rsidR="006E267B">
        <w:t xml:space="preserve">or </w:t>
      </w:r>
      <w:r w:rsidR="00C10E73">
        <w:t>criminal</w:t>
      </w:r>
      <w:r w:rsidR="00C82690">
        <w:t xml:space="preserve"> </w:t>
      </w:r>
      <w:r w:rsidR="00C10E73">
        <w:t>courts</w:t>
      </w:r>
      <w:r w:rsidR="00EE1224">
        <w:t xml:space="preserve">, the impact of this change </w:t>
      </w:r>
      <w:r w:rsidR="003D5A9B">
        <w:t xml:space="preserve">is shown in this table. </w:t>
      </w:r>
    </w:p>
    <w:p w14:paraId="646227E1" w14:textId="6428CF48" w:rsidR="00A952E3" w:rsidRDefault="00A952E3" w:rsidP="00F570AD">
      <w:pPr>
        <w:pStyle w:val="CGC2025TableNote"/>
        <w:keepNext/>
        <w:keepLines/>
        <w:ind w:left="532" w:firstLine="0"/>
      </w:pPr>
      <w:r>
        <w:t xml:space="preserve">The GST pool and population estimates are equivalent to those used in the </w:t>
      </w:r>
      <w:r w:rsidRPr="0054342E">
        <w:t xml:space="preserve">2025 </w:t>
      </w:r>
      <w:r>
        <w:t>Review.</w:t>
      </w:r>
    </w:p>
    <w:p w14:paraId="53CCA367" w14:textId="6875EEB2" w:rsidR="001731BE" w:rsidRPr="0031186B" w:rsidRDefault="00A952E3" w:rsidP="00DF7A92">
      <w:pPr>
        <w:pStyle w:val="CGC2025TableNote"/>
        <w:keepNext/>
        <w:keepLines/>
        <w:ind w:left="532" w:firstLine="0"/>
      </w:pPr>
      <w:r>
        <w:t xml:space="preserve">Indicative GST impacts are provided for illustrative purposes only and should not be used to </w:t>
      </w:r>
      <w:r w:rsidR="001F0ACD">
        <w:t xml:space="preserve">estimate </w:t>
      </w:r>
      <w:r>
        <w:t xml:space="preserve">impacts on GST distribution for </w:t>
      </w:r>
      <w:r w:rsidRPr="0054342E">
        <w:t>2026–27</w:t>
      </w:r>
      <w:r>
        <w:t>.</w:t>
      </w:r>
    </w:p>
    <w:p w14:paraId="597893A8" w14:textId="77777777" w:rsidR="00381A0E" w:rsidRPr="00C13C12" w:rsidRDefault="00381A0E" w:rsidP="00381A0E">
      <w:pPr>
        <w:pStyle w:val="Heading3"/>
      </w:pPr>
      <w:r>
        <w:t>Impact of data updates</w:t>
      </w:r>
    </w:p>
    <w:p w14:paraId="01C56E8C" w14:textId="49DFF952" w:rsidR="00381A0E" w:rsidRDefault="00381A0E" w:rsidP="007E471B">
      <w:pPr>
        <w:pStyle w:val="CGCParaNumber"/>
        <w:numPr>
          <w:ilvl w:val="1"/>
          <w:numId w:val="16"/>
        </w:numPr>
      </w:pPr>
      <w:r>
        <w:t xml:space="preserve">The indicative impact of updates to data in the justice assessment on GST distribution in 2025–26 </w:t>
      </w:r>
      <w:r w:rsidR="00651CD1">
        <w:t>is</w:t>
      </w:r>
      <w:r>
        <w:t xml:space="preserve"> shown </w:t>
      </w:r>
      <w:r w:rsidRPr="0048487F">
        <w:t xml:space="preserve">in Table </w:t>
      </w:r>
      <w:r w:rsidR="00EE7993">
        <w:t>8</w:t>
      </w:r>
      <w:r w:rsidRPr="0048487F">
        <w:t>.</w:t>
      </w:r>
      <w:r>
        <w:t xml:space="preserve"> </w:t>
      </w:r>
    </w:p>
    <w:p w14:paraId="0E2EB486" w14:textId="77777777" w:rsidR="00381A0E" w:rsidRDefault="00381A0E" w:rsidP="007E471B">
      <w:pPr>
        <w:pStyle w:val="CGCParaNumber"/>
        <w:numPr>
          <w:ilvl w:val="1"/>
          <w:numId w:val="16"/>
        </w:numPr>
      </w:pPr>
      <w:r>
        <w:lastRenderedPageBreak/>
        <w:t>On a per capita basis, data updates would have the largest impact on distribution to Tasmania and the Northern Territory. The change is due to the inclusion of 2021 Census First Nations population data, and cost and/or use data relating to police, courts and prisons (from states and the ABS). T</w:t>
      </w:r>
      <w:r w:rsidRPr="00D7427F">
        <w:t>he Commission has used projected 2016 Census data</w:t>
      </w:r>
      <w:r>
        <w:t xml:space="preserve"> since the 2020 Review</w:t>
      </w:r>
      <w:r w:rsidRPr="00D7427F">
        <w:t xml:space="preserve"> </w:t>
      </w:r>
      <w:r>
        <w:t>t</w:t>
      </w:r>
      <w:r w:rsidRPr="00D7427F">
        <w:t xml:space="preserve">o ensure that </w:t>
      </w:r>
      <w:r>
        <w:t>GST distribution was not adversely affected by changes in Indigenous status proportions. Given that 2020 Review</w:t>
      </w:r>
      <w:r w:rsidRPr="00D7427F">
        <w:t xml:space="preserve"> use rates </w:t>
      </w:r>
      <w:r>
        <w:t>were</w:t>
      </w:r>
      <w:r w:rsidRPr="00D7427F">
        <w:t xml:space="preserve"> based on 2015–16 and 2016–17 state data</w:t>
      </w:r>
      <w:r>
        <w:t>, applying these use rates to a</w:t>
      </w:r>
      <w:r w:rsidRPr="00D7427F">
        <w:t xml:space="preserve"> population with </w:t>
      </w:r>
      <w:r>
        <w:t>different Indigenous status proportions was considered inappropriate</w:t>
      </w:r>
      <w:r w:rsidRPr="00D7427F" w:rsidDel="000F0637">
        <w:t>.</w:t>
      </w:r>
    </w:p>
    <w:p w14:paraId="30D02CFC" w14:textId="7901FBE7" w:rsidR="00381A0E" w:rsidRDefault="00381A0E" w:rsidP="00AC352B">
      <w:pPr>
        <w:pStyle w:val="CGC2025Caption"/>
        <w:keepNext/>
        <w:keepLines/>
        <w:tabs>
          <w:tab w:val="clear" w:pos="567"/>
          <w:tab w:val="left" w:pos="1134"/>
        </w:tabs>
        <w:ind w:left="1134" w:hanging="1134"/>
      </w:pPr>
      <w:r>
        <w:t xml:space="preserve">Table </w:t>
      </w:r>
      <w:r w:rsidR="00EE7993">
        <w:t>8</w:t>
      </w:r>
      <w:r>
        <w:t xml:space="preserve"> </w:t>
      </w:r>
      <w:r>
        <w:tab/>
        <w:t xml:space="preserve">Indicative impact on GST distribution of data updates (difference between the 2025 Review assessment, and an assessment using updated data), </w:t>
      </w:r>
      <w:r w:rsidRPr="0054342E">
        <w:t>2025–26</w:t>
      </w:r>
    </w:p>
    <w:tbl>
      <w:tblPr>
        <w:tblW w:w="8960" w:type="dxa"/>
        <w:tblLook w:val="04A0" w:firstRow="1" w:lastRow="0" w:firstColumn="1" w:lastColumn="0" w:noHBand="0" w:noVBand="1"/>
      </w:tblPr>
      <w:tblGrid>
        <w:gridCol w:w="2880"/>
        <w:gridCol w:w="640"/>
        <w:gridCol w:w="680"/>
        <w:gridCol w:w="680"/>
        <w:gridCol w:w="680"/>
        <w:gridCol w:w="680"/>
        <w:gridCol w:w="680"/>
        <w:gridCol w:w="680"/>
        <w:gridCol w:w="680"/>
        <w:gridCol w:w="680"/>
      </w:tblGrid>
      <w:tr w:rsidR="00664C88" w:rsidRPr="00664C88" w14:paraId="6C39AC86" w14:textId="77777777" w:rsidTr="00664C88">
        <w:trPr>
          <w:cantSplit/>
          <w:trHeight w:val="381"/>
        </w:trPr>
        <w:tc>
          <w:tcPr>
            <w:tcW w:w="2880" w:type="dxa"/>
            <w:tcBorders>
              <w:top w:val="nil"/>
              <w:left w:val="nil"/>
              <w:bottom w:val="nil"/>
              <w:right w:val="nil"/>
            </w:tcBorders>
            <w:shd w:val="clear" w:color="000000" w:fill="006991"/>
            <w:vAlign w:val="center"/>
            <w:hideMark/>
          </w:tcPr>
          <w:p w14:paraId="305E7E9F" w14:textId="77777777" w:rsidR="00664C88" w:rsidRPr="00664C88" w:rsidRDefault="00664C88" w:rsidP="00664C88">
            <w:pPr>
              <w:spacing w:after="0" w:line="240" w:lineRule="auto"/>
              <w:rPr>
                <w:rFonts w:ascii="Open Sans Semibold" w:eastAsia="Times New Roman" w:hAnsi="Open Sans Semibold" w:cs="Open Sans Semibold"/>
                <w:color w:val="FFFFFF"/>
                <w:sz w:val="16"/>
                <w:szCs w:val="16"/>
                <w:lang w:eastAsia="en-AU"/>
              </w:rPr>
            </w:pPr>
            <w:r w:rsidRPr="00664C88">
              <w:rPr>
                <w:rFonts w:ascii="Open Sans Semibold" w:eastAsia="Times New Roman" w:hAnsi="Open Sans Semibold" w:cs="Open Sans Semibold"/>
                <w:color w:val="FFFFFF"/>
                <w:sz w:val="16"/>
                <w:szCs w:val="16"/>
                <w:lang w:eastAsia="en-AU"/>
              </w:rPr>
              <w:t> </w:t>
            </w:r>
          </w:p>
        </w:tc>
        <w:tc>
          <w:tcPr>
            <w:tcW w:w="640" w:type="dxa"/>
            <w:tcBorders>
              <w:top w:val="nil"/>
              <w:left w:val="nil"/>
              <w:bottom w:val="nil"/>
              <w:right w:val="nil"/>
            </w:tcBorders>
            <w:shd w:val="clear" w:color="000000" w:fill="006991"/>
            <w:vAlign w:val="center"/>
            <w:hideMark/>
          </w:tcPr>
          <w:p w14:paraId="342C7015" w14:textId="77777777" w:rsidR="00664C88" w:rsidRPr="00664C88" w:rsidRDefault="00664C88" w:rsidP="00664C88">
            <w:pPr>
              <w:spacing w:after="0" w:line="240" w:lineRule="auto"/>
              <w:jc w:val="right"/>
              <w:rPr>
                <w:rFonts w:ascii="Open Sans Semibold" w:eastAsia="Times New Roman" w:hAnsi="Open Sans Semibold" w:cs="Open Sans Semibold"/>
                <w:color w:val="FFFFFF"/>
                <w:sz w:val="16"/>
                <w:szCs w:val="16"/>
                <w:lang w:eastAsia="en-AU"/>
              </w:rPr>
            </w:pPr>
            <w:r w:rsidRPr="00664C88">
              <w:rPr>
                <w:rFonts w:ascii="Open Sans Semibold" w:eastAsia="Times New Roman" w:hAnsi="Open Sans Semibold" w:cs="Open Sans Semibold"/>
                <w:color w:val="FFFFFF"/>
                <w:sz w:val="16"/>
                <w:szCs w:val="16"/>
                <w:lang w:eastAsia="en-AU"/>
              </w:rPr>
              <w:t>NSW</w:t>
            </w:r>
          </w:p>
        </w:tc>
        <w:tc>
          <w:tcPr>
            <w:tcW w:w="680" w:type="dxa"/>
            <w:tcBorders>
              <w:top w:val="nil"/>
              <w:left w:val="nil"/>
              <w:bottom w:val="nil"/>
              <w:right w:val="nil"/>
            </w:tcBorders>
            <w:shd w:val="clear" w:color="000000" w:fill="006991"/>
            <w:vAlign w:val="center"/>
            <w:hideMark/>
          </w:tcPr>
          <w:p w14:paraId="27D492B3" w14:textId="77777777" w:rsidR="00664C88" w:rsidRPr="00664C88" w:rsidRDefault="00664C88" w:rsidP="00664C88">
            <w:pPr>
              <w:spacing w:after="0" w:line="240" w:lineRule="auto"/>
              <w:jc w:val="right"/>
              <w:rPr>
                <w:rFonts w:ascii="Open Sans Semibold" w:eastAsia="Times New Roman" w:hAnsi="Open Sans Semibold" w:cs="Open Sans Semibold"/>
                <w:color w:val="FFFFFF"/>
                <w:sz w:val="16"/>
                <w:szCs w:val="16"/>
                <w:lang w:eastAsia="en-AU"/>
              </w:rPr>
            </w:pPr>
            <w:r w:rsidRPr="00664C88">
              <w:rPr>
                <w:rFonts w:ascii="Open Sans Semibold" w:eastAsia="Times New Roman" w:hAnsi="Open Sans Semibold" w:cs="Open Sans Semibold"/>
                <w:color w:val="FFFFFF"/>
                <w:sz w:val="16"/>
                <w:szCs w:val="16"/>
                <w:lang w:eastAsia="en-AU"/>
              </w:rPr>
              <w:t>Vic</w:t>
            </w:r>
          </w:p>
        </w:tc>
        <w:tc>
          <w:tcPr>
            <w:tcW w:w="680" w:type="dxa"/>
            <w:tcBorders>
              <w:top w:val="nil"/>
              <w:left w:val="nil"/>
              <w:bottom w:val="nil"/>
              <w:right w:val="nil"/>
            </w:tcBorders>
            <w:shd w:val="clear" w:color="000000" w:fill="006991"/>
            <w:vAlign w:val="center"/>
            <w:hideMark/>
          </w:tcPr>
          <w:p w14:paraId="210C91EE" w14:textId="77777777" w:rsidR="00664C88" w:rsidRPr="00664C88" w:rsidRDefault="00664C88" w:rsidP="00664C88">
            <w:pPr>
              <w:spacing w:after="0" w:line="240" w:lineRule="auto"/>
              <w:jc w:val="right"/>
              <w:rPr>
                <w:rFonts w:ascii="Open Sans Semibold" w:eastAsia="Times New Roman" w:hAnsi="Open Sans Semibold" w:cs="Open Sans Semibold"/>
                <w:color w:val="FFFFFF"/>
                <w:sz w:val="16"/>
                <w:szCs w:val="16"/>
                <w:lang w:eastAsia="en-AU"/>
              </w:rPr>
            </w:pPr>
            <w:r w:rsidRPr="00664C88">
              <w:rPr>
                <w:rFonts w:ascii="Open Sans Semibold" w:eastAsia="Times New Roman" w:hAnsi="Open Sans Semibold" w:cs="Open Sans Semibold"/>
                <w:color w:val="FFFFFF"/>
                <w:sz w:val="16"/>
                <w:szCs w:val="16"/>
                <w:lang w:eastAsia="en-AU"/>
              </w:rPr>
              <w:t>Qld</w:t>
            </w:r>
          </w:p>
        </w:tc>
        <w:tc>
          <w:tcPr>
            <w:tcW w:w="680" w:type="dxa"/>
            <w:tcBorders>
              <w:top w:val="nil"/>
              <w:left w:val="nil"/>
              <w:bottom w:val="nil"/>
              <w:right w:val="nil"/>
            </w:tcBorders>
            <w:shd w:val="clear" w:color="000000" w:fill="006991"/>
            <w:vAlign w:val="center"/>
            <w:hideMark/>
          </w:tcPr>
          <w:p w14:paraId="7A471413" w14:textId="77777777" w:rsidR="00664C88" w:rsidRPr="00664C88" w:rsidRDefault="00664C88" w:rsidP="00664C88">
            <w:pPr>
              <w:spacing w:after="0" w:line="240" w:lineRule="auto"/>
              <w:jc w:val="right"/>
              <w:rPr>
                <w:rFonts w:ascii="Open Sans Semibold" w:eastAsia="Times New Roman" w:hAnsi="Open Sans Semibold" w:cs="Open Sans Semibold"/>
                <w:color w:val="FFFFFF"/>
                <w:sz w:val="16"/>
                <w:szCs w:val="16"/>
                <w:lang w:eastAsia="en-AU"/>
              </w:rPr>
            </w:pPr>
            <w:r w:rsidRPr="00664C88">
              <w:rPr>
                <w:rFonts w:ascii="Open Sans Semibold" w:eastAsia="Times New Roman" w:hAnsi="Open Sans Semibold" w:cs="Open Sans Semibold"/>
                <w:color w:val="FFFFFF"/>
                <w:sz w:val="16"/>
                <w:szCs w:val="16"/>
                <w:lang w:eastAsia="en-AU"/>
              </w:rPr>
              <w:t>WA</w:t>
            </w:r>
          </w:p>
        </w:tc>
        <w:tc>
          <w:tcPr>
            <w:tcW w:w="680" w:type="dxa"/>
            <w:tcBorders>
              <w:top w:val="nil"/>
              <w:left w:val="nil"/>
              <w:bottom w:val="nil"/>
              <w:right w:val="nil"/>
            </w:tcBorders>
            <w:shd w:val="clear" w:color="000000" w:fill="006991"/>
            <w:vAlign w:val="center"/>
            <w:hideMark/>
          </w:tcPr>
          <w:p w14:paraId="13DA1B16" w14:textId="77777777" w:rsidR="00664C88" w:rsidRPr="00664C88" w:rsidRDefault="00664C88" w:rsidP="00664C88">
            <w:pPr>
              <w:spacing w:after="0" w:line="240" w:lineRule="auto"/>
              <w:jc w:val="right"/>
              <w:rPr>
                <w:rFonts w:ascii="Open Sans Semibold" w:eastAsia="Times New Roman" w:hAnsi="Open Sans Semibold" w:cs="Open Sans Semibold"/>
                <w:color w:val="FFFFFF"/>
                <w:sz w:val="16"/>
                <w:szCs w:val="16"/>
                <w:lang w:eastAsia="en-AU"/>
              </w:rPr>
            </w:pPr>
            <w:r w:rsidRPr="00664C88">
              <w:rPr>
                <w:rFonts w:ascii="Open Sans Semibold" w:eastAsia="Times New Roman" w:hAnsi="Open Sans Semibold" w:cs="Open Sans Semibold"/>
                <w:color w:val="FFFFFF"/>
                <w:sz w:val="16"/>
                <w:szCs w:val="16"/>
                <w:lang w:eastAsia="en-AU"/>
              </w:rPr>
              <w:t>SA</w:t>
            </w:r>
          </w:p>
        </w:tc>
        <w:tc>
          <w:tcPr>
            <w:tcW w:w="680" w:type="dxa"/>
            <w:tcBorders>
              <w:top w:val="nil"/>
              <w:left w:val="nil"/>
              <w:bottom w:val="nil"/>
              <w:right w:val="nil"/>
            </w:tcBorders>
            <w:shd w:val="clear" w:color="000000" w:fill="006991"/>
            <w:vAlign w:val="center"/>
            <w:hideMark/>
          </w:tcPr>
          <w:p w14:paraId="314DC9F9" w14:textId="77777777" w:rsidR="00664C88" w:rsidRPr="00664C88" w:rsidRDefault="00664C88" w:rsidP="00664C88">
            <w:pPr>
              <w:spacing w:after="0" w:line="240" w:lineRule="auto"/>
              <w:jc w:val="right"/>
              <w:rPr>
                <w:rFonts w:ascii="Open Sans Semibold" w:eastAsia="Times New Roman" w:hAnsi="Open Sans Semibold" w:cs="Open Sans Semibold"/>
                <w:color w:val="FFFFFF"/>
                <w:sz w:val="16"/>
                <w:szCs w:val="16"/>
                <w:lang w:eastAsia="en-AU"/>
              </w:rPr>
            </w:pPr>
            <w:r w:rsidRPr="00664C88">
              <w:rPr>
                <w:rFonts w:ascii="Open Sans Semibold" w:eastAsia="Times New Roman" w:hAnsi="Open Sans Semibold" w:cs="Open Sans Semibold"/>
                <w:color w:val="FFFFFF"/>
                <w:sz w:val="16"/>
                <w:szCs w:val="16"/>
                <w:lang w:eastAsia="en-AU"/>
              </w:rPr>
              <w:t>Tas</w:t>
            </w:r>
          </w:p>
        </w:tc>
        <w:tc>
          <w:tcPr>
            <w:tcW w:w="680" w:type="dxa"/>
            <w:tcBorders>
              <w:top w:val="nil"/>
              <w:left w:val="nil"/>
              <w:bottom w:val="nil"/>
              <w:right w:val="nil"/>
            </w:tcBorders>
            <w:shd w:val="clear" w:color="000000" w:fill="006991"/>
            <w:vAlign w:val="center"/>
            <w:hideMark/>
          </w:tcPr>
          <w:p w14:paraId="104A2B07" w14:textId="77777777" w:rsidR="00664C88" w:rsidRPr="00664C88" w:rsidRDefault="00664C88" w:rsidP="00664C88">
            <w:pPr>
              <w:spacing w:after="0" w:line="240" w:lineRule="auto"/>
              <w:jc w:val="right"/>
              <w:rPr>
                <w:rFonts w:ascii="Open Sans Semibold" w:eastAsia="Times New Roman" w:hAnsi="Open Sans Semibold" w:cs="Open Sans Semibold"/>
                <w:color w:val="FFFFFF"/>
                <w:sz w:val="16"/>
                <w:szCs w:val="16"/>
                <w:lang w:eastAsia="en-AU"/>
              </w:rPr>
            </w:pPr>
            <w:r w:rsidRPr="00664C88">
              <w:rPr>
                <w:rFonts w:ascii="Open Sans Semibold" w:eastAsia="Times New Roman" w:hAnsi="Open Sans Semibold" w:cs="Open Sans Semibold"/>
                <w:color w:val="FFFFFF"/>
                <w:sz w:val="16"/>
                <w:szCs w:val="16"/>
                <w:lang w:eastAsia="en-AU"/>
              </w:rPr>
              <w:t>ACT</w:t>
            </w:r>
          </w:p>
        </w:tc>
        <w:tc>
          <w:tcPr>
            <w:tcW w:w="680" w:type="dxa"/>
            <w:tcBorders>
              <w:top w:val="nil"/>
              <w:left w:val="nil"/>
              <w:bottom w:val="nil"/>
              <w:right w:val="nil"/>
            </w:tcBorders>
            <w:shd w:val="clear" w:color="000000" w:fill="006991"/>
            <w:vAlign w:val="center"/>
            <w:hideMark/>
          </w:tcPr>
          <w:p w14:paraId="08616FA8" w14:textId="77777777" w:rsidR="00664C88" w:rsidRPr="00664C88" w:rsidRDefault="00664C88" w:rsidP="00664C88">
            <w:pPr>
              <w:spacing w:after="0" w:line="240" w:lineRule="auto"/>
              <w:jc w:val="right"/>
              <w:rPr>
                <w:rFonts w:ascii="Open Sans Semibold" w:eastAsia="Times New Roman" w:hAnsi="Open Sans Semibold" w:cs="Open Sans Semibold"/>
                <w:color w:val="FFFFFF"/>
                <w:sz w:val="16"/>
                <w:szCs w:val="16"/>
                <w:lang w:eastAsia="en-AU"/>
              </w:rPr>
            </w:pPr>
            <w:r w:rsidRPr="00664C88">
              <w:rPr>
                <w:rFonts w:ascii="Open Sans Semibold" w:eastAsia="Times New Roman" w:hAnsi="Open Sans Semibold" w:cs="Open Sans Semibold"/>
                <w:color w:val="FFFFFF"/>
                <w:sz w:val="16"/>
                <w:szCs w:val="16"/>
                <w:lang w:eastAsia="en-AU"/>
              </w:rPr>
              <w:t>NT</w:t>
            </w:r>
          </w:p>
        </w:tc>
        <w:tc>
          <w:tcPr>
            <w:tcW w:w="680" w:type="dxa"/>
            <w:tcBorders>
              <w:top w:val="nil"/>
              <w:left w:val="nil"/>
              <w:bottom w:val="nil"/>
              <w:right w:val="nil"/>
            </w:tcBorders>
            <w:shd w:val="clear" w:color="000000" w:fill="006991"/>
            <w:vAlign w:val="center"/>
            <w:hideMark/>
          </w:tcPr>
          <w:p w14:paraId="1D0537C8" w14:textId="77777777" w:rsidR="00664C88" w:rsidRPr="00664C88" w:rsidRDefault="00664C88" w:rsidP="00664C88">
            <w:pPr>
              <w:spacing w:after="0" w:line="240" w:lineRule="auto"/>
              <w:jc w:val="right"/>
              <w:rPr>
                <w:rFonts w:ascii="Open Sans Semibold" w:eastAsia="Times New Roman" w:hAnsi="Open Sans Semibold" w:cs="Open Sans Semibold"/>
                <w:color w:val="FFFFFF"/>
                <w:sz w:val="16"/>
                <w:szCs w:val="16"/>
                <w:lang w:eastAsia="en-AU"/>
              </w:rPr>
            </w:pPr>
            <w:r w:rsidRPr="00664C88">
              <w:rPr>
                <w:rFonts w:ascii="Open Sans Semibold" w:eastAsia="Times New Roman" w:hAnsi="Open Sans Semibold" w:cs="Open Sans Semibold"/>
                <w:color w:val="FFFFFF"/>
                <w:sz w:val="16"/>
                <w:szCs w:val="16"/>
                <w:lang w:eastAsia="en-AU"/>
              </w:rPr>
              <w:t>Total</w:t>
            </w:r>
          </w:p>
        </w:tc>
      </w:tr>
      <w:tr w:rsidR="00664C88" w:rsidRPr="00664C88" w14:paraId="10D19EBC" w14:textId="77777777" w:rsidTr="00664C88">
        <w:trPr>
          <w:cantSplit/>
          <w:trHeight w:val="261"/>
        </w:trPr>
        <w:tc>
          <w:tcPr>
            <w:tcW w:w="2880" w:type="dxa"/>
            <w:tcBorders>
              <w:top w:val="single" w:sz="8" w:space="0" w:color="ADD6EA"/>
              <w:left w:val="nil"/>
              <w:bottom w:val="nil"/>
              <w:right w:val="nil"/>
            </w:tcBorders>
            <w:shd w:val="clear" w:color="000000" w:fill="B6D5E4"/>
            <w:vAlign w:val="bottom"/>
            <w:hideMark/>
          </w:tcPr>
          <w:p w14:paraId="7B9C8BB5" w14:textId="77777777" w:rsidR="00664C88" w:rsidRPr="00664C88" w:rsidRDefault="00664C88" w:rsidP="00664C88">
            <w:pPr>
              <w:spacing w:after="0" w:line="240" w:lineRule="auto"/>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 </w:t>
            </w:r>
          </w:p>
        </w:tc>
        <w:tc>
          <w:tcPr>
            <w:tcW w:w="640" w:type="dxa"/>
            <w:tcBorders>
              <w:top w:val="single" w:sz="8" w:space="0" w:color="ADD6EA"/>
              <w:left w:val="nil"/>
              <w:bottom w:val="nil"/>
              <w:right w:val="nil"/>
            </w:tcBorders>
            <w:shd w:val="clear" w:color="000000" w:fill="B6D5E4"/>
            <w:vAlign w:val="bottom"/>
            <w:hideMark/>
          </w:tcPr>
          <w:p w14:paraId="3FA8A8D9"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44625DAE"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0CB0B5AE"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7236830A"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304E04A1"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3C1460D7"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74D3F577"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027CBC83"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06589ED2"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$m</w:t>
            </w:r>
          </w:p>
        </w:tc>
      </w:tr>
      <w:tr w:rsidR="00664C88" w:rsidRPr="00664C88" w14:paraId="63105D64" w14:textId="77777777" w:rsidTr="00664C88">
        <w:trPr>
          <w:cantSplit/>
          <w:trHeight w:val="321"/>
        </w:trPr>
        <w:tc>
          <w:tcPr>
            <w:tcW w:w="2880" w:type="dxa"/>
            <w:tcBorders>
              <w:top w:val="single" w:sz="4" w:space="0" w:color="ADD6EA"/>
              <w:left w:val="nil"/>
              <w:bottom w:val="nil"/>
              <w:right w:val="nil"/>
            </w:tcBorders>
            <w:shd w:val="clear" w:color="000000" w:fill="FFFFFF"/>
            <w:vAlign w:val="bottom"/>
            <w:hideMark/>
          </w:tcPr>
          <w:p w14:paraId="54C33E7F" w14:textId="77777777" w:rsidR="00664C88" w:rsidRPr="00664C88" w:rsidRDefault="00664C88" w:rsidP="00664C88">
            <w:pPr>
              <w:spacing w:after="0" w:line="240" w:lineRule="auto"/>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Police (a)</w:t>
            </w:r>
          </w:p>
        </w:tc>
        <w:tc>
          <w:tcPr>
            <w:tcW w:w="640" w:type="dxa"/>
            <w:tcBorders>
              <w:top w:val="single" w:sz="4" w:space="0" w:color="ADD6EA"/>
              <w:left w:val="nil"/>
              <w:bottom w:val="nil"/>
              <w:right w:val="nil"/>
            </w:tcBorders>
            <w:shd w:val="clear" w:color="000000" w:fill="FFFFFF"/>
            <w:vAlign w:val="bottom"/>
            <w:hideMark/>
          </w:tcPr>
          <w:p w14:paraId="61415F2C" w14:textId="0109B62A"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5</w:t>
            </w:r>
            <w:r w:rsidR="00CC6B8A">
              <w:rPr>
                <w:rFonts w:ascii="Open Sans Light" w:eastAsia="Times New Roman" w:hAnsi="Open Sans Light" w:cs="Open Sans Light"/>
                <w:color w:val="000000"/>
                <w:sz w:val="16"/>
                <w:szCs w:val="16"/>
                <w:lang w:eastAsia="en-AU"/>
              </w:rPr>
              <w:t>5</w:t>
            </w:r>
          </w:p>
        </w:tc>
        <w:tc>
          <w:tcPr>
            <w:tcW w:w="680" w:type="dxa"/>
            <w:tcBorders>
              <w:top w:val="single" w:sz="4" w:space="0" w:color="ADD6EA"/>
              <w:left w:val="nil"/>
              <w:bottom w:val="nil"/>
              <w:right w:val="nil"/>
            </w:tcBorders>
            <w:shd w:val="clear" w:color="000000" w:fill="FFFFFF"/>
            <w:vAlign w:val="bottom"/>
            <w:hideMark/>
          </w:tcPr>
          <w:p w14:paraId="23ECF2A7" w14:textId="3458C04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-1</w:t>
            </w:r>
            <w:r w:rsidR="00CC6B8A">
              <w:rPr>
                <w:rFonts w:ascii="Open Sans Light" w:eastAsia="Times New Roman" w:hAnsi="Open Sans Light" w:cs="Open Sans Light"/>
                <w:color w:val="000000"/>
                <w:sz w:val="16"/>
                <w:szCs w:val="16"/>
                <w:lang w:eastAsia="en-AU"/>
              </w:rPr>
              <w:t>31</w:t>
            </w:r>
          </w:p>
        </w:tc>
        <w:tc>
          <w:tcPr>
            <w:tcW w:w="680" w:type="dxa"/>
            <w:tcBorders>
              <w:top w:val="single" w:sz="4" w:space="0" w:color="ADD6EA"/>
              <w:left w:val="nil"/>
              <w:bottom w:val="nil"/>
              <w:right w:val="nil"/>
            </w:tcBorders>
            <w:shd w:val="clear" w:color="000000" w:fill="FFFFFF"/>
            <w:vAlign w:val="bottom"/>
            <w:hideMark/>
          </w:tcPr>
          <w:p w14:paraId="5425B813" w14:textId="49362DD0"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6</w:t>
            </w:r>
            <w:r w:rsidR="003849E4">
              <w:rPr>
                <w:rFonts w:ascii="Open Sans Light" w:eastAsia="Times New Roman" w:hAnsi="Open Sans Light" w:cs="Open Sans Light"/>
                <w:color w:val="000000"/>
                <w:sz w:val="16"/>
                <w:szCs w:val="16"/>
                <w:lang w:eastAsia="en-AU"/>
              </w:rPr>
              <w:t>6</w:t>
            </w:r>
          </w:p>
        </w:tc>
        <w:tc>
          <w:tcPr>
            <w:tcW w:w="680" w:type="dxa"/>
            <w:tcBorders>
              <w:top w:val="single" w:sz="4" w:space="0" w:color="ADD6EA"/>
              <w:left w:val="nil"/>
              <w:bottom w:val="nil"/>
              <w:right w:val="nil"/>
            </w:tcBorders>
            <w:shd w:val="clear" w:color="000000" w:fill="FFFFFF"/>
            <w:vAlign w:val="bottom"/>
            <w:hideMark/>
          </w:tcPr>
          <w:p w14:paraId="46138EB6"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-20</w:t>
            </w:r>
          </w:p>
        </w:tc>
        <w:tc>
          <w:tcPr>
            <w:tcW w:w="680" w:type="dxa"/>
            <w:tcBorders>
              <w:top w:val="single" w:sz="4" w:space="0" w:color="ADD6EA"/>
              <w:left w:val="nil"/>
              <w:bottom w:val="nil"/>
              <w:right w:val="nil"/>
            </w:tcBorders>
            <w:shd w:val="clear" w:color="000000" w:fill="FFFFFF"/>
            <w:vAlign w:val="bottom"/>
            <w:hideMark/>
          </w:tcPr>
          <w:p w14:paraId="7756C5D7" w14:textId="5B69A13A"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w:t>
            </w:r>
            <w:r w:rsidR="003849E4">
              <w:rPr>
                <w:rFonts w:ascii="Open Sans Light" w:eastAsia="Times New Roman" w:hAnsi="Open Sans Light" w:cs="Open Sans Light"/>
                <w:color w:val="000000"/>
                <w:sz w:val="16"/>
                <w:szCs w:val="16"/>
                <w:lang w:eastAsia="en-AU"/>
              </w:rPr>
              <w:t>20</w:t>
            </w:r>
          </w:p>
        </w:tc>
        <w:tc>
          <w:tcPr>
            <w:tcW w:w="680" w:type="dxa"/>
            <w:tcBorders>
              <w:top w:val="single" w:sz="4" w:space="0" w:color="ADD6EA"/>
              <w:left w:val="nil"/>
              <w:bottom w:val="nil"/>
              <w:right w:val="nil"/>
            </w:tcBorders>
            <w:shd w:val="clear" w:color="000000" w:fill="FFFFFF"/>
            <w:vAlign w:val="bottom"/>
            <w:hideMark/>
          </w:tcPr>
          <w:p w14:paraId="56F0AE42"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27</w:t>
            </w:r>
          </w:p>
        </w:tc>
        <w:tc>
          <w:tcPr>
            <w:tcW w:w="680" w:type="dxa"/>
            <w:tcBorders>
              <w:top w:val="single" w:sz="4" w:space="0" w:color="ADD6EA"/>
              <w:left w:val="nil"/>
              <w:bottom w:val="nil"/>
              <w:right w:val="nil"/>
            </w:tcBorders>
            <w:shd w:val="clear" w:color="000000" w:fill="FFFFFF"/>
            <w:vAlign w:val="bottom"/>
            <w:hideMark/>
          </w:tcPr>
          <w:p w14:paraId="6A59FC35"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-10</w:t>
            </w:r>
          </w:p>
        </w:tc>
        <w:tc>
          <w:tcPr>
            <w:tcW w:w="680" w:type="dxa"/>
            <w:tcBorders>
              <w:top w:val="single" w:sz="4" w:space="0" w:color="ADD6EA"/>
              <w:left w:val="nil"/>
              <w:bottom w:val="nil"/>
              <w:right w:val="nil"/>
            </w:tcBorders>
            <w:shd w:val="clear" w:color="000000" w:fill="FFFFFF"/>
            <w:vAlign w:val="bottom"/>
            <w:hideMark/>
          </w:tcPr>
          <w:p w14:paraId="192D5C1E" w14:textId="1646AE91"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3</w:t>
            </w:r>
            <w:r w:rsidR="003849E4">
              <w:rPr>
                <w:rFonts w:ascii="Open Sans Light" w:eastAsia="Times New Roman" w:hAnsi="Open Sans Light" w:cs="Open Sans Light"/>
                <w:color w:val="000000"/>
                <w:sz w:val="16"/>
                <w:szCs w:val="16"/>
                <w:lang w:eastAsia="en-AU"/>
              </w:rPr>
              <w:t>2</w:t>
            </w:r>
          </w:p>
        </w:tc>
        <w:tc>
          <w:tcPr>
            <w:tcW w:w="680" w:type="dxa"/>
            <w:tcBorders>
              <w:top w:val="single" w:sz="4" w:space="0" w:color="ADD6EA"/>
              <w:left w:val="nil"/>
              <w:bottom w:val="nil"/>
              <w:right w:val="nil"/>
            </w:tcBorders>
            <w:shd w:val="clear" w:color="000000" w:fill="FFFFFF"/>
            <w:vAlign w:val="bottom"/>
            <w:hideMark/>
          </w:tcPr>
          <w:p w14:paraId="7C339CB9" w14:textId="2B7D363E"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1</w:t>
            </w:r>
            <w:r w:rsidR="003849E4">
              <w:rPr>
                <w:rFonts w:ascii="Open Sans Light" w:eastAsia="Times New Roman" w:hAnsi="Open Sans Light" w:cs="Open Sans Light"/>
                <w:color w:val="000000"/>
                <w:sz w:val="16"/>
                <w:szCs w:val="16"/>
                <w:lang w:eastAsia="en-AU"/>
              </w:rPr>
              <w:t>81</w:t>
            </w:r>
          </w:p>
        </w:tc>
      </w:tr>
      <w:tr w:rsidR="00664C88" w:rsidRPr="00664C88" w14:paraId="17B1A852" w14:textId="77777777" w:rsidTr="00664C88">
        <w:trPr>
          <w:cantSplit/>
          <w:trHeight w:val="321"/>
        </w:trPr>
        <w:tc>
          <w:tcPr>
            <w:tcW w:w="2880" w:type="dxa"/>
            <w:tcBorders>
              <w:top w:val="single" w:sz="8" w:space="0" w:color="ADD6EA"/>
              <w:left w:val="nil"/>
              <w:bottom w:val="nil"/>
              <w:right w:val="nil"/>
            </w:tcBorders>
            <w:shd w:val="clear" w:color="000000" w:fill="FFFFFF"/>
            <w:vAlign w:val="bottom"/>
            <w:hideMark/>
          </w:tcPr>
          <w:p w14:paraId="05DBACA8" w14:textId="77777777" w:rsidR="00664C88" w:rsidRPr="00664C88" w:rsidRDefault="00664C88" w:rsidP="00664C88">
            <w:pPr>
              <w:spacing w:after="0" w:line="240" w:lineRule="auto"/>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Criminal Courts (b)</w:t>
            </w:r>
          </w:p>
        </w:tc>
        <w:tc>
          <w:tcPr>
            <w:tcW w:w="640" w:type="dxa"/>
            <w:tcBorders>
              <w:top w:val="single" w:sz="8" w:space="0" w:color="ADD6EA"/>
              <w:left w:val="nil"/>
              <w:bottom w:val="nil"/>
              <w:right w:val="nil"/>
            </w:tcBorders>
            <w:shd w:val="clear" w:color="000000" w:fill="FFFFFF"/>
            <w:vAlign w:val="bottom"/>
            <w:hideMark/>
          </w:tcPr>
          <w:p w14:paraId="577B6F03"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18</w:t>
            </w:r>
          </w:p>
        </w:tc>
        <w:tc>
          <w:tcPr>
            <w:tcW w:w="680" w:type="dxa"/>
            <w:tcBorders>
              <w:top w:val="single" w:sz="8" w:space="0" w:color="ADD6EA"/>
              <w:left w:val="nil"/>
              <w:bottom w:val="nil"/>
              <w:right w:val="nil"/>
            </w:tcBorders>
            <w:shd w:val="clear" w:color="000000" w:fill="FFFFFF"/>
            <w:vAlign w:val="bottom"/>
            <w:hideMark/>
          </w:tcPr>
          <w:p w14:paraId="355EB8F5"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-63</w:t>
            </w:r>
          </w:p>
        </w:tc>
        <w:tc>
          <w:tcPr>
            <w:tcW w:w="680" w:type="dxa"/>
            <w:tcBorders>
              <w:top w:val="single" w:sz="8" w:space="0" w:color="ADD6EA"/>
              <w:left w:val="nil"/>
              <w:bottom w:val="nil"/>
              <w:right w:val="nil"/>
            </w:tcBorders>
            <w:shd w:val="clear" w:color="000000" w:fill="FFFFFF"/>
            <w:vAlign w:val="bottom"/>
            <w:hideMark/>
          </w:tcPr>
          <w:p w14:paraId="0DEA53F1"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16</w:t>
            </w:r>
          </w:p>
        </w:tc>
        <w:tc>
          <w:tcPr>
            <w:tcW w:w="680" w:type="dxa"/>
            <w:tcBorders>
              <w:top w:val="single" w:sz="8" w:space="0" w:color="ADD6EA"/>
              <w:left w:val="nil"/>
              <w:bottom w:val="nil"/>
              <w:right w:val="nil"/>
            </w:tcBorders>
            <w:shd w:val="clear" w:color="000000" w:fill="FFFFFF"/>
            <w:vAlign w:val="bottom"/>
            <w:hideMark/>
          </w:tcPr>
          <w:p w14:paraId="71A2FC38"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11</w:t>
            </w:r>
          </w:p>
        </w:tc>
        <w:tc>
          <w:tcPr>
            <w:tcW w:w="680" w:type="dxa"/>
            <w:tcBorders>
              <w:top w:val="single" w:sz="8" w:space="0" w:color="ADD6EA"/>
              <w:left w:val="nil"/>
              <w:bottom w:val="nil"/>
              <w:right w:val="nil"/>
            </w:tcBorders>
            <w:shd w:val="clear" w:color="000000" w:fill="FFFFFF"/>
            <w:vAlign w:val="bottom"/>
            <w:hideMark/>
          </w:tcPr>
          <w:p w14:paraId="14B2EEFA"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-9</w:t>
            </w:r>
          </w:p>
        </w:tc>
        <w:tc>
          <w:tcPr>
            <w:tcW w:w="680" w:type="dxa"/>
            <w:tcBorders>
              <w:top w:val="single" w:sz="8" w:space="0" w:color="ADD6EA"/>
              <w:left w:val="nil"/>
              <w:bottom w:val="nil"/>
              <w:right w:val="nil"/>
            </w:tcBorders>
            <w:shd w:val="clear" w:color="000000" w:fill="FFFFFF"/>
            <w:vAlign w:val="bottom"/>
            <w:hideMark/>
          </w:tcPr>
          <w:p w14:paraId="2F869F66"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4</w:t>
            </w:r>
          </w:p>
        </w:tc>
        <w:tc>
          <w:tcPr>
            <w:tcW w:w="680" w:type="dxa"/>
            <w:tcBorders>
              <w:top w:val="single" w:sz="8" w:space="0" w:color="ADD6EA"/>
              <w:left w:val="nil"/>
              <w:bottom w:val="nil"/>
              <w:right w:val="nil"/>
            </w:tcBorders>
            <w:shd w:val="clear" w:color="000000" w:fill="FFFFFF"/>
            <w:vAlign w:val="bottom"/>
            <w:hideMark/>
          </w:tcPr>
          <w:p w14:paraId="5A9DD6D5"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74478DDB"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25</w:t>
            </w:r>
          </w:p>
        </w:tc>
        <w:tc>
          <w:tcPr>
            <w:tcW w:w="680" w:type="dxa"/>
            <w:tcBorders>
              <w:top w:val="single" w:sz="8" w:space="0" w:color="ADD6EA"/>
              <w:left w:val="nil"/>
              <w:bottom w:val="nil"/>
              <w:right w:val="nil"/>
            </w:tcBorders>
            <w:shd w:val="clear" w:color="000000" w:fill="FFFFFF"/>
            <w:vAlign w:val="bottom"/>
            <w:hideMark/>
          </w:tcPr>
          <w:p w14:paraId="7819FAA6"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74</w:t>
            </w:r>
          </w:p>
        </w:tc>
      </w:tr>
      <w:tr w:rsidR="00664C88" w:rsidRPr="00664C88" w14:paraId="3D234BFF" w14:textId="77777777" w:rsidTr="00664C88">
        <w:trPr>
          <w:cantSplit/>
          <w:trHeight w:val="321"/>
        </w:trPr>
        <w:tc>
          <w:tcPr>
            <w:tcW w:w="2880" w:type="dxa"/>
            <w:tcBorders>
              <w:top w:val="single" w:sz="8" w:space="0" w:color="ADD6EA"/>
              <w:left w:val="nil"/>
              <w:bottom w:val="nil"/>
              <w:right w:val="nil"/>
            </w:tcBorders>
            <w:shd w:val="clear" w:color="000000" w:fill="FFFFFF"/>
            <w:vAlign w:val="bottom"/>
            <w:hideMark/>
          </w:tcPr>
          <w:p w14:paraId="15930891" w14:textId="77777777" w:rsidR="00664C88" w:rsidRPr="00664C88" w:rsidRDefault="00664C88" w:rsidP="00664C88">
            <w:pPr>
              <w:spacing w:after="0" w:line="240" w:lineRule="auto"/>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Prisons (c)</w:t>
            </w:r>
          </w:p>
        </w:tc>
        <w:tc>
          <w:tcPr>
            <w:tcW w:w="640" w:type="dxa"/>
            <w:tcBorders>
              <w:top w:val="single" w:sz="8" w:space="0" w:color="ADD6EA"/>
              <w:left w:val="nil"/>
              <w:bottom w:val="nil"/>
              <w:right w:val="nil"/>
            </w:tcBorders>
            <w:shd w:val="clear" w:color="000000" w:fill="FFFFFF"/>
            <w:vAlign w:val="bottom"/>
            <w:hideMark/>
          </w:tcPr>
          <w:p w14:paraId="44BC4DAF" w14:textId="555A3B0E"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81</w:t>
            </w:r>
          </w:p>
        </w:tc>
        <w:tc>
          <w:tcPr>
            <w:tcW w:w="680" w:type="dxa"/>
            <w:tcBorders>
              <w:top w:val="single" w:sz="8" w:space="0" w:color="ADD6EA"/>
              <w:left w:val="nil"/>
              <w:bottom w:val="nil"/>
              <w:right w:val="nil"/>
            </w:tcBorders>
            <w:shd w:val="clear" w:color="000000" w:fill="FFFFFF"/>
            <w:vAlign w:val="bottom"/>
            <w:hideMark/>
          </w:tcPr>
          <w:p w14:paraId="06FD1675"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33</w:t>
            </w:r>
          </w:p>
        </w:tc>
        <w:tc>
          <w:tcPr>
            <w:tcW w:w="680" w:type="dxa"/>
            <w:tcBorders>
              <w:top w:val="single" w:sz="8" w:space="0" w:color="ADD6EA"/>
              <w:left w:val="nil"/>
              <w:bottom w:val="nil"/>
              <w:right w:val="nil"/>
            </w:tcBorders>
            <w:shd w:val="clear" w:color="000000" w:fill="FFFFFF"/>
            <w:vAlign w:val="bottom"/>
            <w:hideMark/>
          </w:tcPr>
          <w:p w14:paraId="36533EDA"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-24</w:t>
            </w:r>
          </w:p>
        </w:tc>
        <w:tc>
          <w:tcPr>
            <w:tcW w:w="680" w:type="dxa"/>
            <w:tcBorders>
              <w:top w:val="single" w:sz="8" w:space="0" w:color="ADD6EA"/>
              <w:left w:val="nil"/>
              <w:bottom w:val="nil"/>
              <w:right w:val="nil"/>
            </w:tcBorders>
            <w:shd w:val="clear" w:color="000000" w:fill="FFFFFF"/>
            <w:vAlign w:val="bottom"/>
            <w:hideMark/>
          </w:tcPr>
          <w:p w14:paraId="329EFB73"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-39</w:t>
            </w:r>
          </w:p>
        </w:tc>
        <w:tc>
          <w:tcPr>
            <w:tcW w:w="680" w:type="dxa"/>
            <w:tcBorders>
              <w:top w:val="single" w:sz="8" w:space="0" w:color="ADD6EA"/>
              <w:left w:val="nil"/>
              <w:bottom w:val="nil"/>
              <w:right w:val="nil"/>
            </w:tcBorders>
            <w:shd w:val="clear" w:color="000000" w:fill="FFFFFF"/>
            <w:vAlign w:val="bottom"/>
            <w:hideMark/>
          </w:tcPr>
          <w:p w14:paraId="182144D8"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4F5AD2AF"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13</w:t>
            </w:r>
          </w:p>
        </w:tc>
        <w:tc>
          <w:tcPr>
            <w:tcW w:w="680" w:type="dxa"/>
            <w:tcBorders>
              <w:top w:val="single" w:sz="8" w:space="0" w:color="ADD6EA"/>
              <w:left w:val="nil"/>
              <w:bottom w:val="nil"/>
              <w:right w:val="nil"/>
            </w:tcBorders>
            <w:shd w:val="clear" w:color="000000" w:fill="FFFFFF"/>
            <w:vAlign w:val="bottom"/>
            <w:hideMark/>
          </w:tcPr>
          <w:p w14:paraId="6A515099"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4C8DF34B"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-67</w:t>
            </w:r>
          </w:p>
        </w:tc>
        <w:tc>
          <w:tcPr>
            <w:tcW w:w="680" w:type="dxa"/>
            <w:tcBorders>
              <w:top w:val="single" w:sz="8" w:space="0" w:color="ADD6EA"/>
              <w:left w:val="nil"/>
              <w:bottom w:val="nil"/>
              <w:right w:val="nil"/>
            </w:tcBorders>
            <w:shd w:val="clear" w:color="000000" w:fill="FFFFFF"/>
            <w:vAlign w:val="bottom"/>
            <w:hideMark/>
          </w:tcPr>
          <w:p w14:paraId="7CBB6BCB"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130</w:t>
            </w:r>
          </w:p>
        </w:tc>
      </w:tr>
      <w:tr w:rsidR="00664C88" w:rsidRPr="00664C88" w14:paraId="5E40FB2B" w14:textId="77777777" w:rsidTr="00664C88">
        <w:trPr>
          <w:cantSplit/>
          <w:trHeight w:val="321"/>
        </w:trPr>
        <w:tc>
          <w:tcPr>
            <w:tcW w:w="2880" w:type="dxa"/>
            <w:tcBorders>
              <w:top w:val="single" w:sz="8" w:space="0" w:color="ADD6EA"/>
              <w:left w:val="nil"/>
              <w:bottom w:val="nil"/>
              <w:right w:val="nil"/>
            </w:tcBorders>
            <w:shd w:val="clear" w:color="000000" w:fill="D6E7F0"/>
            <w:vAlign w:val="bottom"/>
            <w:hideMark/>
          </w:tcPr>
          <w:p w14:paraId="0E275C38" w14:textId="77777777" w:rsidR="00664C88" w:rsidRPr="00664C88" w:rsidRDefault="00664C88" w:rsidP="00664C88">
            <w:pPr>
              <w:spacing w:after="0" w:line="240" w:lineRule="auto"/>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 xml:space="preserve">Total </w:t>
            </w:r>
          </w:p>
        </w:tc>
        <w:tc>
          <w:tcPr>
            <w:tcW w:w="640" w:type="dxa"/>
            <w:tcBorders>
              <w:top w:val="single" w:sz="8" w:space="0" w:color="ADD6EA"/>
              <w:left w:val="nil"/>
              <w:bottom w:val="nil"/>
              <w:right w:val="nil"/>
            </w:tcBorders>
            <w:shd w:val="clear" w:color="000000" w:fill="D6E7F0"/>
            <w:vAlign w:val="bottom"/>
            <w:hideMark/>
          </w:tcPr>
          <w:p w14:paraId="17097702" w14:textId="4BBF3A7A"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15</w:t>
            </w:r>
            <w:r w:rsidR="00195493">
              <w:rPr>
                <w:rFonts w:ascii="Open Sans Semibold" w:eastAsia="Times New Roman" w:hAnsi="Open Sans Semibold" w:cs="Open Sans Semibold"/>
                <w:color w:val="000000"/>
                <w:sz w:val="16"/>
                <w:szCs w:val="16"/>
                <w:lang w:eastAsia="en-AU"/>
              </w:rPr>
              <w:t>4</w:t>
            </w:r>
          </w:p>
        </w:tc>
        <w:tc>
          <w:tcPr>
            <w:tcW w:w="680" w:type="dxa"/>
            <w:tcBorders>
              <w:top w:val="single" w:sz="8" w:space="0" w:color="ADD6EA"/>
              <w:left w:val="nil"/>
              <w:bottom w:val="nil"/>
              <w:right w:val="nil"/>
            </w:tcBorders>
            <w:shd w:val="clear" w:color="000000" w:fill="D6E7F0"/>
            <w:vAlign w:val="bottom"/>
            <w:hideMark/>
          </w:tcPr>
          <w:p w14:paraId="61275713" w14:textId="12611FC0"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-1</w:t>
            </w:r>
            <w:r w:rsidR="00C24041">
              <w:rPr>
                <w:rFonts w:ascii="Open Sans Semibold" w:eastAsia="Times New Roman" w:hAnsi="Open Sans Semibold" w:cs="Open Sans Semibold"/>
                <w:color w:val="000000"/>
                <w:sz w:val="16"/>
                <w:szCs w:val="16"/>
                <w:lang w:eastAsia="en-AU"/>
              </w:rPr>
              <w:t>61</w:t>
            </w:r>
          </w:p>
        </w:tc>
        <w:tc>
          <w:tcPr>
            <w:tcW w:w="680" w:type="dxa"/>
            <w:tcBorders>
              <w:top w:val="single" w:sz="8" w:space="0" w:color="ADD6EA"/>
              <w:left w:val="nil"/>
              <w:bottom w:val="nil"/>
              <w:right w:val="nil"/>
            </w:tcBorders>
            <w:shd w:val="clear" w:color="000000" w:fill="D6E7F0"/>
            <w:vAlign w:val="bottom"/>
            <w:hideMark/>
          </w:tcPr>
          <w:p w14:paraId="3D445B74" w14:textId="509670D8"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5</w:t>
            </w:r>
            <w:r w:rsidR="00C24041">
              <w:rPr>
                <w:rFonts w:ascii="Open Sans Semibold" w:eastAsia="Times New Roman" w:hAnsi="Open Sans Semibold" w:cs="Open Sans Semibold"/>
                <w:color w:val="000000"/>
                <w:sz w:val="16"/>
                <w:szCs w:val="16"/>
                <w:lang w:eastAsia="en-AU"/>
              </w:rPr>
              <w:t>8</w:t>
            </w:r>
          </w:p>
        </w:tc>
        <w:tc>
          <w:tcPr>
            <w:tcW w:w="680" w:type="dxa"/>
            <w:tcBorders>
              <w:top w:val="single" w:sz="8" w:space="0" w:color="ADD6EA"/>
              <w:left w:val="nil"/>
              <w:bottom w:val="nil"/>
              <w:right w:val="nil"/>
            </w:tcBorders>
            <w:shd w:val="clear" w:color="000000" w:fill="D6E7F0"/>
            <w:vAlign w:val="bottom"/>
            <w:hideMark/>
          </w:tcPr>
          <w:p w14:paraId="02754C08"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-48</w:t>
            </w:r>
          </w:p>
        </w:tc>
        <w:tc>
          <w:tcPr>
            <w:tcW w:w="680" w:type="dxa"/>
            <w:tcBorders>
              <w:top w:val="single" w:sz="8" w:space="0" w:color="ADD6EA"/>
              <w:left w:val="nil"/>
              <w:bottom w:val="nil"/>
              <w:right w:val="nil"/>
            </w:tcBorders>
            <w:shd w:val="clear" w:color="000000" w:fill="D6E7F0"/>
            <w:vAlign w:val="bottom"/>
            <w:hideMark/>
          </w:tcPr>
          <w:p w14:paraId="68F28F0B"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-26</w:t>
            </w:r>
          </w:p>
        </w:tc>
        <w:tc>
          <w:tcPr>
            <w:tcW w:w="680" w:type="dxa"/>
            <w:tcBorders>
              <w:top w:val="single" w:sz="8" w:space="0" w:color="ADD6EA"/>
              <w:left w:val="nil"/>
              <w:bottom w:val="nil"/>
              <w:right w:val="nil"/>
            </w:tcBorders>
            <w:shd w:val="clear" w:color="000000" w:fill="D6E7F0"/>
            <w:vAlign w:val="bottom"/>
            <w:hideMark/>
          </w:tcPr>
          <w:p w14:paraId="3C66856C" w14:textId="0FAA61CB"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4</w:t>
            </w:r>
            <w:r w:rsidR="009F1EDE">
              <w:rPr>
                <w:rFonts w:ascii="Open Sans Semibold" w:eastAsia="Times New Roman" w:hAnsi="Open Sans Semibold" w:cs="Open Sans Semibold"/>
                <w:color w:val="000000"/>
                <w:sz w:val="16"/>
                <w:szCs w:val="16"/>
                <w:lang w:eastAsia="en-AU"/>
              </w:rPr>
              <w:t>4</w:t>
            </w:r>
          </w:p>
        </w:tc>
        <w:tc>
          <w:tcPr>
            <w:tcW w:w="680" w:type="dxa"/>
            <w:tcBorders>
              <w:top w:val="single" w:sz="8" w:space="0" w:color="ADD6EA"/>
              <w:left w:val="nil"/>
              <w:bottom w:val="nil"/>
              <w:right w:val="nil"/>
            </w:tcBorders>
            <w:shd w:val="clear" w:color="000000" w:fill="D6E7F0"/>
            <w:vAlign w:val="bottom"/>
            <w:hideMark/>
          </w:tcPr>
          <w:p w14:paraId="44194458"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-11</w:t>
            </w:r>
          </w:p>
        </w:tc>
        <w:tc>
          <w:tcPr>
            <w:tcW w:w="680" w:type="dxa"/>
            <w:tcBorders>
              <w:top w:val="single" w:sz="8" w:space="0" w:color="ADD6EA"/>
              <w:left w:val="nil"/>
              <w:bottom w:val="nil"/>
              <w:right w:val="nil"/>
            </w:tcBorders>
            <w:shd w:val="clear" w:color="000000" w:fill="D6E7F0"/>
            <w:vAlign w:val="bottom"/>
            <w:hideMark/>
          </w:tcPr>
          <w:p w14:paraId="185FC215" w14:textId="500F0D4F"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-1</w:t>
            </w:r>
            <w:r w:rsidR="009F1EDE">
              <w:rPr>
                <w:rFonts w:ascii="Open Sans Semibold" w:eastAsia="Times New Roman" w:hAnsi="Open Sans Semibold" w:cs="Open Sans Semibold"/>
                <w:color w:val="000000"/>
                <w:sz w:val="16"/>
                <w:szCs w:val="16"/>
                <w:lang w:eastAsia="en-AU"/>
              </w:rPr>
              <w:t>0</w:t>
            </w:r>
          </w:p>
        </w:tc>
        <w:tc>
          <w:tcPr>
            <w:tcW w:w="680" w:type="dxa"/>
            <w:tcBorders>
              <w:top w:val="single" w:sz="8" w:space="0" w:color="ADD6EA"/>
              <w:left w:val="nil"/>
              <w:bottom w:val="nil"/>
              <w:right w:val="nil"/>
            </w:tcBorders>
            <w:shd w:val="clear" w:color="000000" w:fill="D6E7F0"/>
            <w:vAlign w:val="bottom"/>
            <w:hideMark/>
          </w:tcPr>
          <w:p w14:paraId="2CA55880" w14:textId="2FC80B0C"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25</w:t>
            </w:r>
            <w:r w:rsidR="009F1EDE">
              <w:rPr>
                <w:rFonts w:ascii="Open Sans Semibold" w:eastAsia="Times New Roman" w:hAnsi="Open Sans Semibold" w:cs="Open Sans Semibold"/>
                <w:color w:val="000000"/>
                <w:sz w:val="16"/>
                <w:szCs w:val="16"/>
                <w:lang w:eastAsia="en-AU"/>
              </w:rPr>
              <w:t>6</w:t>
            </w:r>
          </w:p>
        </w:tc>
      </w:tr>
      <w:tr w:rsidR="00664C88" w:rsidRPr="00664C88" w14:paraId="36D03A58" w14:textId="77777777" w:rsidTr="00664C88">
        <w:trPr>
          <w:cantSplit/>
          <w:trHeight w:val="261"/>
        </w:trPr>
        <w:tc>
          <w:tcPr>
            <w:tcW w:w="2880" w:type="dxa"/>
            <w:tcBorders>
              <w:top w:val="single" w:sz="4" w:space="0" w:color="ADD6EA"/>
              <w:left w:val="nil"/>
              <w:bottom w:val="nil"/>
              <w:right w:val="nil"/>
            </w:tcBorders>
            <w:shd w:val="clear" w:color="000000" w:fill="B6D5E4"/>
            <w:vAlign w:val="bottom"/>
            <w:hideMark/>
          </w:tcPr>
          <w:p w14:paraId="7DF08433" w14:textId="77777777" w:rsidR="00664C88" w:rsidRPr="00664C88" w:rsidRDefault="00664C88" w:rsidP="00664C88">
            <w:pPr>
              <w:spacing w:after="0" w:line="240" w:lineRule="auto"/>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 </w:t>
            </w:r>
          </w:p>
        </w:tc>
        <w:tc>
          <w:tcPr>
            <w:tcW w:w="640" w:type="dxa"/>
            <w:tcBorders>
              <w:top w:val="single" w:sz="4" w:space="0" w:color="ADD6EA"/>
              <w:left w:val="nil"/>
              <w:bottom w:val="nil"/>
              <w:right w:val="nil"/>
            </w:tcBorders>
            <w:shd w:val="clear" w:color="000000" w:fill="B6D5E4"/>
            <w:vAlign w:val="bottom"/>
            <w:hideMark/>
          </w:tcPr>
          <w:p w14:paraId="0F0C81BB"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6DD9974E"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4F8E8A44"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2A5B2128"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0513B5D4"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603345A1"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2A03137F"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530FB917"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1D3C8BE9"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$pc</w:t>
            </w:r>
          </w:p>
        </w:tc>
      </w:tr>
      <w:tr w:rsidR="00664C88" w:rsidRPr="00664C88" w14:paraId="00D27DE1" w14:textId="77777777" w:rsidTr="00664C88">
        <w:trPr>
          <w:cantSplit/>
          <w:trHeight w:val="321"/>
        </w:trPr>
        <w:tc>
          <w:tcPr>
            <w:tcW w:w="2880" w:type="dxa"/>
            <w:tcBorders>
              <w:top w:val="single" w:sz="8" w:space="0" w:color="ADD6EA"/>
              <w:left w:val="nil"/>
              <w:bottom w:val="nil"/>
              <w:right w:val="nil"/>
            </w:tcBorders>
            <w:shd w:val="clear" w:color="000000" w:fill="FFFFFF"/>
            <w:vAlign w:val="bottom"/>
            <w:hideMark/>
          </w:tcPr>
          <w:p w14:paraId="6D5B0D7E" w14:textId="77777777" w:rsidR="00664C88" w:rsidRPr="00664C88" w:rsidRDefault="00664C88" w:rsidP="00664C88">
            <w:pPr>
              <w:spacing w:after="0" w:line="240" w:lineRule="auto"/>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Police</w:t>
            </w:r>
          </w:p>
        </w:tc>
        <w:tc>
          <w:tcPr>
            <w:tcW w:w="640" w:type="dxa"/>
            <w:tcBorders>
              <w:top w:val="single" w:sz="8" w:space="0" w:color="ADD6EA"/>
              <w:left w:val="nil"/>
              <w:bottom w:val="nil"/>
              <w:right w:val="nil"/>
            </w:tcBorders>
            <w:shd w:val="clear" w:color="000000" w:fill="FFFFFF"/>
            <w:vAlign w:val="bottom"/>
            <w:hideMark/>
          </w:tcPr>
          <w:p w14:paraId="59219E92"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6</w:t>
            </w:r>
          </w:p>
        </w:tc>
        <w:tc>
          <w:tcPr>
            <w:tcW w:w="680" w:type="dxa"/>
            <w:tcBorders>
              <w:top w:val="single" w:sz="8" w:space="0" w:color="ADD6EA"/>
              <w:left w:val="nil"/>
              <w:bottom w:val="nil"/>
              <w:right w:val="nil"/>
            </w:tcBorders>
            <w:shd w:val="clear" w:color="000000" w:fill="FFFFFF"/>
            <w:vAlign w:val="bottom"/>
            <w:hideMark/>
          </w:tcPr>
          <w:p w14:paraId="79CD345B" w14:textId="088BF4D9"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-1</w:t>
            </w:r>
            <w:r w:rsidR="008C543A">
              <w:rPr>
                <w:rFonts w:ascii="Open Sans Light" w:eastAsia="Times New Roman" w:hAnsi="Open Sans Light" w:cs="Open Sans Light"/>
                <w:color w:val="000000"/>
                <w:sz w:val="16"/>
                <w:szCs w:val="16"/>
                <w:lang w:eastAsia="en-AU"/>
              </w:rPr>
              <w:t>8</w:t>
            </w:r>
          </w:p>
        </w:tc>
        <w:tc>
          <w:tcPr>
            <w:tcW w:w="680" w:type="dxa"/>
            <w:tcBorders>
              <w:top w:val="single" w:sz="8" w:space="0" w:color="ADD6EA"/>
              <w:left w:val="nil"/>
              <w:bottom w:val="nil"/>
              <w:right w:val="nil"/>
            </w:tcBorders>
            <w:shd w:val="clear" w:color="000000" w:fill="FFFFFF"/>
            <w:vAlign w:val="bottom"/>
            <w:hideMark/>
          </w:tcPr>
          <w:p w14:paraId="505E87C9" w14:textId="51080418"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1</w:t>
            </w:r>
            <w:r w:rsidR="00C51E8D">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558C0641" w14:textId="4EBB8E3F"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w:t>
            </w:r>
            <w:r w:rsidR="00C51E8D">
              <w:rPr>
                <w:rFonts w:ascii="Open Sans Light" w:eastAsia="Times New Roman" w:hAnsi="Open Sans Light" w:cs="Open Sans Light"/>
                <w:color w:val="000000"/>
                <w:sz w:val="16"/>
                <w:szCs w:val="16"/>
                <w:lang w:eastAsia="en-AU"/>
              </w:rPr>
              <w:t>6</w:t>
            </w:r>
          </w:p>
        </w:tc>
        <w:tc>
          <w:tcPr>
            <w:tcW w:w="680" w:type="dxa"/>
            <w:tcBorders>
              <w:top w:val="single" w:sz="8" w:space="0" w:color="ADD6EA"/>
              <w:left w:val="nil"/>
              <w:bottom w:val="nil"/>
              <w:right w:val="nil"/>
            </w:tcBorders>
            <w:shd w:val="clear" w:color="000000" w:fill="FFFFFF"/>
            <w:vAlign w:val="bottom"/>
            <w:hideMark/>
          </w:tcPr>
          <w:p w14:paraId="77D8DC74"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-10</w:t>
            </w:r>
          </w:p>
        </w:tc>
        <w:tc>
          <w:tcPr>
            <w:tcW w:w="680" w:type="dxa"/>
            <w:tcBorders>
              <w:top w:val="single" w:sz="8" w:space="0" w:color="ADD6EA"/>
              <w:left w:val="nil"/>
              <w:bottom w:val="nil"/>
              <w:right w:val="nil"/>
            </w:tcBorders>
            <w:shd w:val="clear" w:color="000000" w:fill="FFFFFF"/>
            <w:vAlign w:val="bottom"/>
            <w:hideMark/>
          </w:tcPr>
          <w:p w14:paraId="558E3D1C" w14:textId="476ABEBD"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4</w:t>
            </w:r>
            <w:r w:rsidR="00066BB3">
              <w:rPr>
                <w:rFonts w:ascii="Open Sans Light" w:eastAsia="Times New Roman" w:hAnsi="Open Sans Light" w:cs="Open Sans Light"/>
                <w:color w:val="000000"/>
                <w:sz w:val="16"/>
                <w:szCs w:val="16"/>
                <w:lang w:eastAsia="en-AU"/>
              </w:rPr>
              <w:t>7</w:t>
            </w:r>
          </w:p>
        </w:tc>
        <w:tc>
          <w:tcPr>
            <w:tcW w:w="680" w:type="dxa"/>
            <w:tcBorders>
              <w:top w:val="single" w:sz="8" w:space="0" w:color="ADD6EA"/>
              <w:left w:val="nil"/>
              <w:bottom w:val="nil"/>
              <w:right w:val="nil"/>
            </w:tcBorders>
            <w:shd w:val="clear" w:color="000000" w:fill="FFFFFF"/>
            <w:vAlign w:val="bottom"/>
            <w:hideMark/>
          </w:tcPr>
          <w:p w14:paraId="4CCB3576" w14:textId="1696C48C"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-2</w:t>
            </w:r>
            <w:r w:rsidR="00066BB3">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2ACEC4FD" w14:textId="2E3F275B"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1</w:t>
            </w:r>
            <w:r w:rsidR="00066BB3">
              <w:rPr>
                <w:rFonts w:ascii="Open Sans Light" w:eastAsia="Times New Roman" w:hAnsi="Open Sans Light" w:cs="Open Sans Light"/>
                <w:color w:val="000000"/>
                <w:sz w:val="16"/>
                <w:szCs w:val="16"/>
                <w:lang w:eastAsia="en-AU"/>
              </w:rPr>
              <w:t>24</w:t>
            </w:r>
          </w:p>
        </w:tc>
        <w:tc>
          <w:tcPr>
            <w:tcW w:w="680" w:type="dxa"/>
            <w:tcBorders>
              <w:top w:val="single" w:sz="8" w:space="0" w:color="ADD6EA"/>
              <w:left w:val="nil"/>
              <w:bottom w:val="nil"/>
              <w:right w:val="nil"/>
            </w:tcBorders>
            <w:shd w:val="clear" w:color="000000" w:fill="FFFFFF"/>
            <w:vAlign w:val="bottom"/>
            <w:hideMark/>
          </w:tcPr>
          <w:p w14:paraId="5967DE92"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6</w:t>
            </w:r>
          </w:p>
        </w:tc>
      </w:tr>
      <w:tr w:rsidR="00664C88" w:rsidRPr="00664C88" w14:paraId="5EFAB9BF" w14:textId="77777777" w:rsidTr="00664C88">
        <w:trPr>
          <w:cantSplit/>
          <w:trHeight w:val="321"/>
        </w:trPr>
        <w:tc>
          <w:tcPr>
            <w:tcW w:w="2880" w:type="dxa"/>
            <w:tcBorders>
              <w:top w:val="single" w:sz="8" w:space="0" w:color="ADD6EA"/>
              <w:left w:val="nil"/>
              <w:bottom w:val="nil"/>
              <w:right w:val="nil"/>
            </w:tcBorders>
            <w:shd w:val="clear" w:color="000000" w:fill="FFFFFF"/>
            <w:vAlign w:val="bottom"/>
            <w:hideMark/>
          </w:tcPr>
          <w:p w14:paraId="2633D75D" w14:textId="77777777" w:rsidR="00664C88" w:rsidRPr="00664C88" w:rsidRDefault="00664C88" w:rsidP="00664C88">
            <w:pPr>
              <w:spacing w:after="0" w:line="240" w:lineRule="auto"/>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Criminal Courts</w:t>
            </w:r>
          </w:p>
        </w:tc>
        <w:tc>
          <w:tcPr>
            <w:tcW w:w="640" w:type="dxa"/>
            <w:tcBorders>
              <w:top w:val="single" w:sz="8" w:space="0" w:color="ADD6EA"/>
              <w:left w:val="nil"/>
              <w:bottom w:val="nil"/>
              <w:right w:val="nil"/>
            </w:tcBorders>
            <w:shd w:val="clear" w:color="000000" w:fill="FFFFFF"/>
            <w:vAlign w:val="bottom"/>
            <w:hideMark/>
          </w:tcPr>
          <w:p w14:paraId="2DD9CE39"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17C931F8"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-9</w:t>
            </w:r>
          </w:p>
        </w:tc>
        <w:tc>
          <w:tcPr>
            <w:tcW w:w="680" w:type="dxa"/>
            <w:tcBorders>
              <w:top w:val="single" w:sz="8" w:space="0" w:color="ADD6EA"/>
              <w:left w:val="nil"/>
              <w:bottom w:val="nil"/>
              <w:right w:val="nil"/>
            </w:tcBorders>
            <w:shd w:val="clear" w:color="000000" w:fill="FFFFFF"/>
            <w:vAlign w:val="bottom"/>
            <w:hideMark/>
          </w:tcPr>
          <w:p w14:paraId="1C8EBD57"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2B028451"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4</w:t>
            </w:r>
          </w:p>
        </w:tc>
        <w:tc>
          <w:tcPr>
            <w:tcW w:w="680" w:type="dxa"/>
            <w:tcBorders>
              <w:top w:val="single" w:sz="8" w:space="0" w:color="ADD6EA"/>
              <w:left w:val="nil"/>
              <w:bottom w:val="nil"/>
              <w:right w:val="nil"/>
            </w:tcBorders>
            <w:shd w:val="clear" w:color="000000" w:fill="FFFFFF"/>
            <w:vAlign w:val="bottom"/>
            <w:hideMark/>
          </w:tcPr>
          <w:p w14:paraId="1A9AE11F"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-4</w:t>
            </w:r>
          </w:p>
        </w:tc>
        <w:tc>
          <w:tcPr>
            <w:tcW w:w="680" w:type="dxa"/>
            <w:tcBorders>
              <w:top w:val="single" w:sz="8" w:space="0" w:color="ADD6EA"/>
              <w:left w:val="nil"/>
              <w:bottom w:val="nil"/>
              <w:right w:val="nil"/>
            </w:tcBorders>
            <w:shd w:val="clear" w:color="000000" w:fill="FFFFFF"/>
            <w:vAlign w:val="bottom"/>
            <w:hideMark/>
          </w:tcPr>
          <w:p w14:paraId="42BB1B3F"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7</w:t>
            </w:r>
          </w:p>
        </w:tc>
        <w:tc>
          <w:tcPr>
            <w:tcW w:w="680" w:type="dxa"/>
            <w:tcBorders>
              <w:top w:val="single" w:sz="8" w:space="0" w:color="ADD6EA"/>
              <w:left w:val="nil"/>
              <w:bottom w:val="nil"/>
              <w:right w:val="nil"/>
            </w:tcBorders>
            <w:shd w:val="clear" w:color="000000" w:fill="FFFFFF"/>
            <w:vAlign w:val="bottom"/>
            <w:hideMark/>
          </w:tcPr>
          <w:p w14:paraId="1F110BD4"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-5</w:t>
            </w:r>
          </w:p>
        </w:tc>
        <w:tc>
          <w:tcPr>
            <w:tcW w:w="680" w:type="dxa"/>
            <w:tcBorders>
              <w:top w:val="single" w:sz="8" w:space="0" w:color="ADD6EA"/>
              <w:left w:val="nil"/>
              <w:bottom w:val="nil"/>
              <w:right w:val="nil"/>
            </w:tcBorders>
            <w:shd w:val="clear" w:color="000000" w:fill="FFFFFF"/>
            <w:vAlign w:val="bottom"/>
            <w:hideMark/>
          </w:tcPr>
          <w:p w14:paraId="6BFF8E31"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99</w:t>
            </w:r>
          </w:p>
        </w:tc>
        <w:tc>
          <w:tcPr>
            <w:tcW w:w="680" w:type="dxa"/>
            <w:tcBorders>
              <w:top w:val="single" w:sz="8" w:space="0" w:color="ADD6EA"/>
              <w:left w:val="nil"/>
              <w:bottom w:val="nil"/>
              <w:right w:val="nil"/>
            </w:tcBorders>
            <w:shd w:val="clear" w:color="000000" w:fill="FFFFFF"/>
            <w:vAlign w:val="bottom"/>
            <w:hideMark/>
          </w:tcPr>
          <w:p w14:paraId="45FEE742"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3</w:t>
            </w:r>
          </w:p>
        </w:tc>
      </w:tr>
      <w:tr w:rsidR="00664C88" w:rsidRPr="00664C88" w14:paraId="4C9BF656" w14:textId="77777777" w:rsidTr="00664C88">
        <w:trPr>
          <w:cantSplit/>
          <w:trHeight w:val="321"/>
        </w:trPr>
        <w:tc>
          <w:tcPr>
            <w:tcW w:w="2880" w:type="dxa"/>
            <w:tcBorders>
              <w:top w:val="single" w:sz="8" w:space="0" w:color="ADD6EA"/>
              <w:left w:val="nil"/>
              <w:bottom w:val="nil"/>
              <w:right w:val="nil"/>
            </w:tcBorders>
            <w:shd w:val="clear" w:color="000000" w:fill="FFFFFF"/>
            <w:vAlign w:val="bottom"/>
            <w:hideMark/>
          </w:tcPr>
          <w:p w14:paraId="53B4CE5E" w14:textId="77777777" w:rsidR="00664C88" w:rsidRPr="00664C88" w:rsidRDefault="00664C88" w:rsidP="00664C88">
            <w:pPr>
              <w:spacing w:after="0" w:line="240" w:lineRule="auto"/>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Prisons</w:t>
            </w:r>
          </w:p>
        </w:tc>
        <w:tc>
          <w:tcPr>
            <w:tcW w:w="640" w:type="dxa"/>
            <w:tcBorders>
              <w:top w:val="single" w:sz="8" w:space="0" w:color="ADD6EA"/>
              <w:left w:val="nil"/>
              <w:bottom w:val="nil"/>
              <w:right w:val="nil"/>
            </w:tcBorders>
            <w:shd w:val="clear" w:color="000000" w:fill="FFFFFF"/>
            <w:vAlign w:val="bottom"/>
            <w:hideMark/>
          </w:tcPr>
          <w:p w14:paraId="5A5DE143"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9</w:t>
            </w:r>
          </w:p>
        </w:tc>
        <w:tc>
          <w:tcPr>
            <w:tcW w:w="680" w:type="dxa"/>
            <w:tcBorders>
              <w:top w:val="single" w:sz="8" w:space="0" w:color="ADD6EA"/>
              <w:left w:val="nil"/>
              <w:bottom w:val="nil"/>
              <w:right w:val="nil"/>
            </w:tcBorders>
            <w:shd w:val="clear" w:color="000000" w:fill="FFFFFF"/>
            <w:vAlign w:val="bottom"/>
            <w:hideMark/>
          </w:tcPr>
          <w:p w14:paraId="5E979D81"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5</w:t>
            </w:r>
          </w:p>
        </w:tc>
        <w:tc>
          <w:tcPr>
            <w:tcW w:w="680" w:type="dxa"/>
            <w:tcBorders>
              <w:top w:val="single" w:sz="8" w:space="0" w:color="ADD6EA"/>
              <w:left w:val="nil"/>
              <w:bottom w:val="nil"/>
              <w:right w:val="nil"/>
            </w:tcBorders>
            <w:shd w:val="clear" w:color="000000" w:fill="FFFFFF"/>
            <w:vAlign w:val="bottom"/>
            <w:hideMark/>
          </w:tcPr>
          <w:p w14:paraId="798259B7"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-4</w:t>
            </w:r>
          </w:p>
        </w:tc>
        <w:tc>
          <w:tcPr>
            <w:tcW w:w="680" w:type="dxa"/>
            <w:tcBorders>
              <w:top w:val="single" w:sz="8" w:space="0" w:color="ADD6EA"/>
              <w:left w:val="nil"/>
              <w:bottom w:val="nil"/>
              <w:right w:val="nil"/>
            </w:tcBorders>
            <w:shd w:val="clear" w:color="000000" w:fill="FFFFFF"/>
            <w:vAlign w:val="bottom"/>
            <w:hideMark/>
          </w:tcPr>
          <w:p w14:paraId="18B8CB5A"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-13</w:t>
            </w:r>
          </w:p>
        </w:tc>
        <w:tc>
          <w:tcPr>
            <w:tcW w:w="680" w:type="dxa"/>
            <w:tcBorders>
              <w:top w:val="single" w:sz="8" w:space="0" w:color="ADD6EA"/>
              <w:left w:val="nil"/>
              <w:bottom w:val="nil"/>
              <w:right w:val="nil"/>
            </w:tcBorders>
            <w:shd w:val="clear" w:color="000000" w:fill="FFFFFF"/>
            <w:vAlign w:val="bottom"/>
            <w:hideMark/>
          </w:tcPr>
          <w:p w14:paraId="045DF791"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23EF2E2C"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22</w:t>
            </w:r>
          </w:p>
        </w:tc>
        <w:tc>
          <w:tcPr>
            <w:tcW w:w="680" w:type="dxa"/>
            <w:tcBorders>
              <w:top w:val="single" w:sz="8" w:space="0" w:color="ADD6EA"/>
              <w:left w:val="nil"/>
              <w:bottom w:val="nil"/>
              <w:right w:val="nil"/>
            </w:tcBorders>
            <w:shd w:val="clear" w:color="000000" w:fill="FFFFFF"/>
            <w:vAlign w:val="bottom"/>
            <w:hideMark/>
          </w:tcPr>
          <w:p w14:paraId="29CB262D"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4</w:t>
            </w:r>
          </w:p>
        </w:tc>
        <w:tc>
          <w:tcPr>
            <w:tcW w:w="680" w:type="dxa"/>
            <w:tcBorders>
              <w:top w:val="single" w:sz="8" w:space="0" w:color="ADD6EA"/>
              <w:left w:val="nil"/>
              <w:bottom w:val="nil"/>
              <w:right w:val="nil"/>
            </w:tcBorders>
            <w:shd w:val="clear" w:color="000000" w:fill="FFFFFF"/>
            <w:vAlign w:val="bottom"/>
            <w:hideMark/>
          </w:tcPr>
          <w:p w14:paraId="71845E2B"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-260</w:t>
            </w:r>
          </w:p>
        </w:tc>
        <w:tc>
          <w:tcPr>
            <w:tcW w:w="680" w:type="dxa"/>
            <w:tcBorders>
              <w:top w:val="single" w:sz="8" w:space="0" w:color="ADD6EA"/>
              <w:left w:val="nil"/>
              <w:bottom w:val="nil"/>
              <w:right w:val="nil"/>
            </w:tcBorders>
            <w:shd w:val="clear" w:color="000000" w:fill="FFFFFF"/>
            <w:vAlign w:val="bottom"/>
            <w:hideMark/>
          </w:tcPr>
          <w:p w14:paraId="7E1D7EF2" w14:textId="77777777" w:rsidR="00664C88" w:rsidRPr="00664C88" w:rsidRDefault="00664C88" w:rsidP="00664C88">
            <w:pPr>
              <w:spacing w:after="0" w:line="240" w:lineRule="auto"/>
              <w:jc w:val="right"/>
              <w:rPr>
                <w:rFonts w:ascii="Open Sans Light" w:eastAsia="Times New Roman" w:hAnsi="Open Sans Light" w:cs="Open Sans Light"/>
                <w:color w:val="000000"/>
                <w:sz w:val="16"/>
                <w:szCs w:val="16"/>
                <w:lang w:eastAsia="en-AU"/>
              </w:rPr>
            </w:pPr>
            <w:r w:rsidRPr="00664C88">
              <w:rPr>
                <w:rFonts w:ascii="Open Sans Light" w:eastAsia="Times New Roman" w:hAnsi="Open Sans Light" w:cs="Open Sans Light"/>
                <w:color w:val="000000"/>
                <w:sz w:val="16"/>
                <w:szCs w:val="16"/>
                <w:lang w:eastAsia="en-AU"/>
              </w:rPr>
              <w:t>5</w:t>
            </w:r>
          </w:p>
        </w:tc>
      </w:tr>
      <w:tr w:rsidR="00664C88" w:rsidRPr="00664C88" w14:paraId="49047123" w14:textId="77777777" w:rsidTr="00664C88">
        <w:trPr>
          <w:cantSplit/>
          <w:trHeight w:val="321"/>
        </w:trPr>
        <w:tc>
          <w:tcPr>
            <w:tcW w:w="2880" w:type="dxa"/>
            <w:tcBorders>
              <w:top w:val="single" w:sz="8" w:space="0" w:color="ADD6EA"/>
              <w:left w:val="nil"/>
              <w:bottom w:val="single" w:sz="4" w:space="0" w:color="ADD6EA"/>
              <w:right w:val="nil"/>
            </w:tcBorders>
            <w:shd w:val="clear" w:color="000000" w:fill="D6E7F0"/>
            <w:vAlign w:val="bottom"/>
            <w:hideMark/>
          </w:tcPr>
          <w:p w14:paraId="164614CA" w14:textId="77777777" w:rsidR="00664C88" w:rsidRPr="00664C88" w:rsidRDefault="00664C88" w:rsidP="00664C88">
            <w:pPr>
              <w:spacing w:after="0" w:line="240" w:lineRule="auto"/>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 xml:space="preserve">Total </w:t>
            </w:r>
          </w:p>
        </w:tc>
        <w:tc>
          <w:tcPr>
            <w:tcW w:w="640" w:type="dxa"/>
            <w:tcBorders>
              <w:top w:val="single" w:sz="8" w:space="0" w:color="ADD6EA"/>
              <w:left w:val="nil"/>
              <w:bottom w:val="single" w:sz="4" w:space="0" w:color="ADD6EA"/>
              <w:right w:val="nil"/>
            </w:tcBorders>
            <w:shd w:val="clear" w:color="000000" w:fill="D6E7F0"/>
            <w:vAlign w:val="bottom"/>
            <w:hideMark/>
          </w:tcPr>
          <w:p w14:paraId="1998512B"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18</w:t>
            </w:r>
          </w:p>
        </w:tc>
        <w:tc>
          <w:tcPr>
            <w:tcW w:w="680" w:type="dxa"/>
            <w:tcBorders>
              <w:top w:val="single" w:sz="8" w:space="0" w:color="ADD6EA"/>
              <w:left w:val="nil"/>
              <w:bottom w:val="single" w:sz="4" w:space="0" w:color="ADD6EA"/>
              <w:right w:val="nil"/>
            </w:tcBorders>
            <w:shd w:val="clear" w:color="000000" w:fill="D6E7F0"/>
            <w:vAlign w:val="bottom"/>
            <w:hideMark/>
          </w:tcPr>
          <w:p w14:paraId="036E928D"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-22</w:t>
            </w:r>
          </w:p>
        </w:tc>
        <w:tc>
          <w:tcPr>
            <w:tcW w:w="680" w:type="dxa"/>
            <w:tcBorders>
              <w:top w:val="single" w:sz="8" w:space="0" w:color="ADD6EA"/>
              <w:left w:val="nil"/>
              <w:bottom w:val="single" w:sz="4" w:space="0" w:color="ADD6EA"/>
              <w:right w:val="nil"/>
            </w:tcBorders>
            <w:shd w:val="clear" w:color="000000" w:fill="D6E7F0"/>
            <w:vAlign w:val="bottom"/>
            <w:hideMark/>
          </w:tcPr>
          <w:p w14:paraId="43F8D9FA"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10</w:t>
            </w:r>
          </w:p>
        </w:tc>
        <w:tc>
          <w:tcPr>
            <w:tcW w:w="680" w:type="dxa"/>
            <w:tcBorders>
              <w:top w:val="single" w:sz="8" w:space="0" w:color="ADD6EA"/>
              <w:left w:val="nil"/>
              <w:bottom w:val="single" w:sz="4" w:space="0" w:color="ADD6EA"/>
              <w:right w:val="nil"/>
            </w:tcBorders>
            <w:shd w:val="clear" w:color="000000" w:fill="D6E7F0"/>
            <w:vAlign w:val="bottom"/>
            <w:hideMark/>
          </w:tcPr>
          <w:p w14:paraId="3CCF32D9"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-16</w:t>
            </w:r>
          </w:p>
        </w:tc>
        <w:tc>
          <w:tcPr>
            <w:tcW w:w="680" w:type="dxa"/>
            <w:tcBorders>
              <w:top w:val="single" w:sz="8" w:space="0" w:color="ADD6EA"/>
              <w:left w:val="nil"/>
              <w:bottom w:val="single" w:sz="4" w:space="0" w:color="ADD6EA"/>
              <w:right w:val="nil"/>
            </w:tcBorders>
            <w:shd w:val="clear" w:color="000000" w:fill="D6E7F0"/>
            <w:vAlign w:val="bottom"/>
            <w:hideMark/>
          </w:tcPr>
          <w:p w14:paraId="73DE7F4D"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-14</w:t>
            </w:r>
          </w:p>
        </w:tc>
        <w:tc>
          <w:tcPr>
            <w:tcW w:w="680" w:type="dxa"/>
            <w:tcBorders>
              <w:top w:val="single" w:sz="8" w:space="0" w:color="ADD6EA"/>
              <w:left w:val="nil"/>
              <w:bottom w:val="single" w:sz="4" w:space="0" w:color="ADD6EA"/>
              <w:right w:val="nil"/>
            </w:tcBorders>
            <w:shd w:val="clear" w:color="000000" w:fill="D6E7F0"/>
            <w:vAlign w:val="bottom"/>
            <w:hideMark/>
          </w:tcPr>
          <w:p w14:paraId="39C6B053" w14:textId="41FBA362"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7</w:t>
            </w:r>
            <w:r w:rsidR="00AB7D7C">
              <w:rPr>
                <w:rFonts w:ascii="Open Sans Semibold" w:eastAsia="Times New Roman" w:hAnsi="Open Sans Semibold" w:cs="Open Sans Semibold"/>
                <w:color w:val="000000"/>
                <w:sz w:val="16"/>
                <w:szCs w:val="16"/>
                <w:lang w:eastAsia="en-AU"/>
              </w:rPr>
              <w:t>6</w:t>
            </w:r>
          </w:p>
        </w:tc>
        <w:tc>
          <w:tcPr>
            <w:tcW w:w="680" w:type="dxa"/>
            <w:tcBorders>
              <w:top w:val="single" w:sz="8" w:space="0" w:color="ADD6EA"/>
              <w:left w:val="nil"/>
              <w:bottom w:val="single" w:sz="4" w:space="0" w:color="ADD6EA"/>
              <w:right w:val="nil"/>
            </w:tcBorders>
            <w:shd w:val="clear" w:color="000000" w:fill="D6E7F0"/>
            <w:vAlign w:val="bottom"/>
            <w:hideMark/>
          </w:tcPr>
          <w:p w14:paraId="166723AA" w14:textId="5882643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-2</w:t>
            </w:r>
            <w:r w:rsidR="00DA3E5B">
              <w:rPr>
                <w:rFonts w:ascii="Open Sans Semibold" w:eastAsia="Times New Roman" w:hAnsi="Open Sans Semibold" w:cs="Open Sans Semibold"/>
                <w:color w:val="000000"/>
                <w:sz w:val="16"/>
                <w:szCs w:val="16"/>
                <w:lang w:eastAsia="en-AU"/>
              </w:rPr>
              <w:t>3</w:t>
            </w:r>
          </w:p>
        </w:tc>
        <w:tc>
          <w:tcPr>
            <w:tcW w:w="680" w:type="dxa"/>
            <w:tcBorders>
              <w:top w:val="single" w:sz="8" w:space="0" w:color="ADD6EA"/>
              <w:left w:val="nil"/>
              <w:bottom w:val="single" w:sz="4" w:space="0" w:color="ADD6EA"/>
              <w:right w:val="nil"/>
            </w:tcBorders>
            <w:shd w:val="clear" w:color="000000" w:fill="D6E7F0"/>
            <w:vAlign w:val="bottom"/>
            <w:hideMark/>
          </w:tcPr>
          <w:p w14:paraId="0DCFFD7D" w14:textId="2CE6A4AE"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w:t>
            </w:r>
            <w:r w:rsidR="00DA3E5B">
              <w:rPr>
                <w:rFonts w:ascii="Open Sans Semibold" w:eastAsia="Times New Roman" w:hAnsi="Open Sans Semibold" w:cs="Open Sans Semibold"/>
                <w:color w:val="000000"/>
                <w:sz w:val="16"/>
                <w:szCs w:val="16"/>
                <w:lang w:eastAsia="en-AU"/>
              </w:rPr>
              <w:t>38</w:t>
            </w:r>
          </w:p>
        </w:tc>
        <w:tc>
          <w:tcPr>
            <w:tcW w:w="680" w:type="dxa"/>
            <w:tcBorders>
              <w:top w:val="single" w:sz="8" w:space="0" w:color="ADD6EA"/>
              <w:left w:val="nil"/>
              <w:bottom w:val="single" w:sz="4" w:space="0" w:color="ADD6EA"/>
              <w:right w:val="nil"/>
            </w:tcBorders>
            <w:shd w:val="clear" w:color="000000" w:fill="D6E7F0"/>
            <w:vAlign w:val="bottom"/>
            <w:hideMark/>
          </w:tcPr>
          <w:p w14:paraId="7F3C57E2" w14:textId="77777777" w:rsidR="00664C88" w:rsidRPr="00664C88" w:rsidRDefault="00664C88" w:rsidP="00664C88">
            <w:pPr>
              <w:spacing w:after="0" w:line="240" w:lineRule="auto"/>
              <w:jc w:val="right"/>
              <w:rPr>
                <w:rFonts w:ascii="Open Sans Semibold" w:eastAsia="Times New Roman" w:hAnsi="Open Sans Semibold" w:cs="Open Sans Semibold"/>
                <w:color w:val="000000"/>
                <w:sz w:val="16"/>
                <w:szCs w:val="16"/>
                <w:lang w:eastAsia="en-AU"/>
              </w:rPr>
            </w:pPr>
            <w:r w:rsidRPr="00664C88">
              <w:rPr>
                <w:rFonts w:ascii="Open Sans Semibold" w:eastAsia="Times New Roman" w:hAnsi="Open Sans Semibold" w:cs="Open Sans Semibold"/>
                <w:color w:val="000000"/>
                <w:sz w:val="16"/>
                <w:szCs w:val="16"/>
                <w:lang w:eastAsia="en-AU"/>
              </w:rPr>
              <w:t>9</w:t>
            </w:r>
          </w:p>
        </w:tc>
      </w:tr>
    </w:tbl>
    <w:p w14:paraId="2C710162" w14:textId="77777777" w:rsidR="00381A0E" w:rsidRDefault="00381A0E" w:rsidP="00381A0E">
      <w:pPr>
        <w:pStyle w:val="CGC2025TableNote"/>
      </w:pPr>
      <w:r>
        <w:t>(a) Updated ERP based on 2021 Census, state police district expense and offender data.</w:t>
      </w:r>
    </w:p>
    <w:p w14:paraId="064EDD01" w14:textId="77777777" w:rsidR="00381A0E" w:rsidRDefault="00381A0E" w:rsidP="00381A0E">
      <w:pPr>
        <w:pStyle w:val="CGC2025TableNote"/>
      </w:pPr>
      <w:r>
        <w:t>(b) Updated ERP based on 2021 Census, state criminal cost and other legal services expense data, and defendant data.</w:t>
      </w:r>
    </w:p>
    <w:p w14:paraId="1A811F05" w14:textId="77777777" w:rsidR="00381A0E" w:rsidRPr="005E0ECE" w:rsidRDefault="00381A0E" w:rsidP="00381A0E">
      <w:pPr>
        <w:pStyle w:val="CGC2025TableNote"/>
      </w:pPr>
      <w:r>
        <w:t xml:space="preserve">(c) Updated ERP based on 2021 Census and </w:t>
      </w:r>
      <w:r w:rsidRPr="005E0ECE">
        <w:t>ABS prisoner data and state defendant SES data.</w:t>
      </w:r>
    </w:p>
    <w:p w14:paraId="668FCA5F" w14:textId="527AA8A4" w:rsidR="00381A0E" w:rsidRDefault="00381A0E" w:rsidP="00381A0E">
      <w:pPr>
        <w:pStyle w:val="CGC2025TableNote"/>
        <w:keepNext/>
        <w:keepLines/>
      </w:pPr>
      <w:bookmarkStart w:id="5" w:name="_Hlk201318519"/>
      <w:r>
        <w:t>Note:</w:t>
      </w:r>
      <w:r>
        <w:tab/>
        <w:t>Includes the impact of data changes on the recurrent justice assessment</w:t>
      </w:r>
      <w:r w:rsidR="005A182C">
        <w:t>.</w:t>
      </w:r>
    </w:p>
    <w:bookmarkEnd w:id="5"/>
    <w:p w14:paraId="35538A42" w14:textId="30544183" w:rsidR="00381A0E" w:rsidRDefault="00381A0E" w:rsidP="00381A0E">
      <w:pPr>
        <w:pStyle w:val="CGC2025TableNote"/>
        <w:keepNext/>
        <w:keepLines/>
      </w:pPr>
      <w:r>
        <w:tab/>
      </w:r>
      <w:bookmarkStart w:id="6" w:name="_Hlk201843146"/>
      <w:r w:rsidR="005A182C">
        <w:t xml:space="preserve">    </w:t>
      </w:r>
      <w:r>
        <w:t xml:space="preserve">The GST pool and population estimates are equivalent to those used in the </w:t>
      </w:r>
      <w:r w:rsidRPr="0054342E">
        <w:t xml:space="preserve">2025 </w:t>
      </w:r>
      <w:r>
        <w:t>Review.</w:t>
      </w:r>
    </w:p>
    <w:p w14:paraId="60EBE775" w14:textId="77777777" w:rsidR="00381A0E" w:rsidRDefault="00381A0E" w:rsidP="00381A0E">
      <w:pPr>
        <w:pStyle w:val="CGC2025TableNote"/>
        <w:keepNext/>
        <w:keepLines/>
        <w:ind w:left="532" w:firstLine="0"/>
      </w:pPr>
      <w:r>
        <w:t>The data included in the table have not been subject to full quality assurance processes and, as such, should be treated as indicative only.</w:t>
      </w:r>
    </w:p>
    <w:p w14:paraId="551B5968" w14:textId="345123F5" w:rsidR="00381A0E" w:rsidRDefault="00381A0E" w:rsidP="00381A0E">
      <w:pPr>
        <w:pStyle w:val="CGC2025TableNote"/>
        <w:keepNext/>
        <w:keepLines/>
        <w:ind w:left="532" w:firstLine="0"/>
      </w:pPr>
      <w:r>
        <w:t xml:space="preserve">Indicative GST impacts are provided for illustrative purposes only and should not be used to </w:t>
      </w:r>
      <w:r w:rsidR="005F210B">
        <w:t xml:space="preserve">estimate </w:t>
      </w:r>
      <w:r>
        <w:t xml:space="preserve">impacts on GST distribution for </w:t>
      </w:r>
      <w:r w:rsidRPr="0054342E">
        <w:t>2026–27</w:t>
      </w:r>
      <w:r>
        <w:t>.</w:t>
      </w:r>
    </w:p>
    <w:bookmarkEnd w:id="6"/>
    <w:p w14:paraId="1541C5D2" w14:textId="3597D786" w:rsidR="00381A0E" w:rsidRPr="005F1753" w:rsidRDefault="00381A0E" w:rsidP="007E471B">
      <w:pPr>
        <w:pStyle w:val="CGCParaNumber"/>
        <w:numPr>
          <w:ilvl w:val="1"/>
          <w:numId w:val="16"/>
        </w:numPr>
      </w:pPr>
      <w:r w:rsidRPr="005F1753">
        <w:t>Most change from data updates can be explained by a combination of the following.</w:t>
      </w:r>
    </w:p>
    <w:p w14:paraId="4F3602F8" w14:textId="1464F4DB" w:rsidR="003F3CE2" w:rsidRPr="00232D3C" w:rsidRDefault="00DC5C4A" w:rsidP="00516497">
      <w:pPr>
        <w:pStyle w:val="CGC2025Bullet1"/>
        <w:ind w:left="927"/>
      </w:pPr>
      <w:r w:rsidRPr="00232D3C">
        <w:t xml:space="preserve">Updating state police costs and offender data in the police regression </w:t>
      </w:r>
      <w:r w:rsidR="005A2EEE" w:rsidRPr="00232D3C">
        <w:t>i</w:t>
      </w:r>
      <w:r w:rsidR="00EA36F3" w:rsidRPr="00232D3C">
        <w:t xml:space="preserve">ncreased the cost weight for offenders, </w:t>
      </w:r>
      <w:r w:rsidR="005A2EEE" w:rsidRPr="00232D3C">
        <w:t>increasing</w:t>
      </w:r>
      <w:r w:rsidR="00EA36F3" w:rsidRPr="00232D3C">
        <w:t xml:space="preserve"> the </w:t>
      </w:r>
      <w:r w:rsidR="000F0D32" w:rsidRPr="00232D3C">
        <w:t xml:space="preserve">assessed GST needs of </w:t>
      </w:r>
      <w:r w:rsidR="00EA36F3" w:rsidRPr="00232D3C">
        <w:t>states with greater share</w:t>
      </w:r>
      <w:r w:rsidR="005A2EEE" w:rsidRPr="00232D3C">
        <w:t>s</w:t>
      </w:r>
      <w:r w:rsidR="00EA36F3" w:rsidRPr="00232D3C">
        <w:t xml:space="preserve"> of assessed offenders, such as </w:t>
      </w:r>
      <w:r w:rsidR="00DF11DC" w:rsidRPr="00232D3C">
        <w:t xml:space="preserve">Tasmania and </w:t>
      </w:r>
      <w:r w:rsidR="00EA36F3" w:rsidRPr="00232D3C">
        <w:t>the Northern Territory</w:t>
      </w:r>
      <w:r w:rsidRPr="00232D3C">
        <w:t>. It also increased the regional cost weight applied to inner and outer regional populations</w:t>
      </w:r>
      <w:r w:rsidR="00DF11DC" w:rsidRPr="00232D3C">
        <w:t xml:space="preserve"> and decreased the cost weight applied to very remote areas. This increased</w:t>
      </w:r>
      <w:r w:rsidRPr="00232D3C">
        <w:t xml:space="preserve"> the assessed GST needs of states with a greater share of </w:t>
      </w:r>
      <w:r w:rsidR="00DF11DC" w:rsidRPr="00232D3C">
        <w:t>regional</w:t>
      </w:r>
      <w:r w:rsidRPr="00232D3C">
        <w:t xml:space="preserve"> populations such as Tasmania</w:t>
      </w:r>
      <w:r w:rsidR="00DF11DC" w:rsidRPr="00232D3C">
        <w:t xml:space="preserve"> and decreased the needs of states with greater shares of very remote populations such as the Northern Territory</w:t>
      </w:r>
      <w:r w:rsidRPr="00232D3C">
        <w:t>.</w:t>
      </w:r>
    </w:p>
    <w:p w14:paraId="174ED75E" w14:textId="5D5E03CE" w:rsidR="00AF2FFD" w:rsidRPr="005F1753" w:rsidRDefault="00DC5C4A" w:rsidP="00AF2FFD">
      <w:pPr>
        <w:pStyle w:val="CGC2025Bullet1"/>
        <w:ind w:left="927"/>
      </w:pPr>
      <w:r w:rsidRPr="005F1753">
        <w:t xml:space="preserve">Updating offender and defendant data in the police and criminal courts assessment </w:t>
      </w:r>
      <w:r w:rsidR="00432B03" w:rsidRPr="005F1753">
        <w:t>indicate</w:t>
      </w:r>
      <w:r w:rsidR="009F677B" w:rsidRPr="005F1753">
        <w:t>s</w:t>
      </w:r>
      <w:r w:rsidR="00432B03" w:rsidRPr="005F1753">
        <w:t xml:space="preserve"> </w:t>
      </w:r>
      <w:r w:rsidRPr="005F1753">
        <w:t xml:space="preserve">that First Nations people are </w:t>
      </w:r>
      <w:proofErr w:type="gramStart"/>
      <w:r w:rsidRPr="005F1753">
        <w:t>coming into contact with</w:t>
      </w:r>
      <w:proofErr w:type="gramEnd"/>
      <w:r w:rsidRPr="005F1753">
        <w:t xml:space="preserve"> the justice system at higher rates than was reported in 2016. This would increase the relative use rates of First Nations </w:t>
      </w:r>
      <w:r w:rsidR="0048487F" w:rsidRPr="005F1753">
        <w:t xml:space="preserve">populations </w:t>
      </w:r>
      <w:r w:rsidRPr="005F1753">
        <w:t>and increase the assessed GST needs of states with large First Nations populations, such as the Northern Territory</w:t>
      </w:r>
      <w:r w:rsidR="0048559E" w:rsidRPr="005F1753">
        <w:t>.</w:t>
      </w:r>
      <w:r w:rsidR="006C2B29" w:rsidRPr="005F1753">
        <w:t xml:space="preserve"> </w:t>
      </w:r>
    </w:p>
    <w:p w14:paraId="2FE6A021" w14:textId="72471279" w:rsidR="009C54F5" w:rsidRPr="005F1753" w:rsidRDefault="00934B13" w:rsidP="00AF2FFD">
      <w:pPr>
        <w:pStyle w:val="CGC2025Bullet1"/>
        <w:ind w:left="927"/>
      </w:pPr>
      <w:r w:rsidRPr="005F1753">
        <w:t xml:space="preserve">Updated defendant data </w:t>
      </w:r>
      <w:r w:rsidR="001E110C" w:rsidRPr="005F1753">
        <w:t xml:space="preserve">also </w:t>
      </w:r>
      <w:r w:rsidRPr="005F1753">
        <w:t>indicate</w:t>
      </w:r>
      <w:r w:rsidR="000954B3" w:rsidRPr="005F1753">
        <w:t>s</w:t>
      </w:r>
      <w:r w:rsidRPr="005F1753">
        <w:t xml:space="preserve"> </w:t>
      </w:r>
      <w:r w:rsidR="00892ED2" w:rsidRPr="005F1753">
        <w:t xml:space="preserve">an increase in </w:t>
      </w:r>
      <w:r w:rsidR="003E5CDE" w:rsidRPr="005F1753">
        <w:t xml:space="preserve">First Nations defendants experiencing </w:t>
      </w:r>
      <w:r w:rsidR="00CB25D4" w:rsidRPr="005F1753">
        <w:t>l</w:t>
      </w:r>
      <w:r w:rsidR="004718FA" w:rsidRPr="005F1753">
        <w:t>ower levels of s</w:t>
      </w:r>
      <w:r w:rsidR="00B67206" w:rsidRPr="005F1753">
        <w:t>ocio</w:t>
      </w:r>
      <w:r w:rsidR="003E5CDE" w:rsidRPr="005F1753">
        <w:t>-</w:t>
      </w:r>
      <w:r w:rsidR="00B67206" w:rsidRPr="005F1753">
        <w:t>economi</w:t>
      </w:r>
      <w:r w:rsidR="003E5CDE" w:rsidRPr="005F1753">
        <w:t>c</w:t>
      </w:r>
      <w:r w:rsidR="00B67206" w:rsidRPr="005F1753">
        <w:t xml:space="preserve"> </w:t>
      </w:r>
      <w:r w:rsidR="00CB25D4" w:rsidRPr="005F1753">
        <w:t>disadvantage</w:t>
      </w:r>
      <w:r w:rsidR="003E5CDE" w:rsidRPr="005F1753">
        <w:t xml:space="preserve"> </w:t>
      </w:r>
      <w:r w:rsidR="003360A8" w:rsidRPr="005F1753">
        <w:t xml:space="preserve">relative to </w:t>
      </w:r>
      <w:r w:rsidR="00B171BB" w:rsidRPr="005F1753">
        <w:lastRenderedPageBreak/>
        <w:t>First</w:t>
      </w:r>
      <w:r w:rsidR="00AA1F08">
        <w:t> </w:t>
      </w:r>
      <w:r w:rsidR="00B171BB" w:rsidRPr="005F1753">
        <w:t xml:space="preserve">Nations defendants </w:t>
      </w:r>
      <w:r w:rsidR="007A4F74" w:rsidRPr="005F1753">
        <w:t>experiencing higher leve</w:t>
      </w:r>
      <w:r w:rsidR="004718FA" w:rsidRPr="005F1753">
        <w:t>ls of socio-economic</w:t>
      </w:r>
      <w:r w:rsidR="003E5CDE" w:rsidRPr="005F1753">
        <w:t xml:space="preserve"> </w:t>
      </w:r>
      <w:r w:rsidR="00D113C9" w:rsidRPr="005F1753">
        <w:t>disadvantage</w:t>
      </w:r>
      <w:r w:rsidR="004718FA" w:rsidRPr="005F1753">
        <w:t xml:space="preserve">. </w:t>
      </w:r>
      <w:r w:rsidR="00D113C9" w:rsidRPr="005F1753">
        <w:t xml:space="preserve">This </w:t>
      </w:r>
      <w:r w:rsidR="005A66F9" w:rsidRPr="005F1753">
        <w:t>would</w:t>
      </w:r>
      <w:r w:rsidR="004E0C78" w:rsidRPr="005F1753">
        <w:t xml:space="preserve"> </w:t>
      </w:r>
      <w:r w:rsidR="004718FA" w:rsidRPr="005F1753">
        <w:t xml:space="preserve">reduce </w:t>
      </w:r>
      <w:r w:rsidR="004E0C78" w:rsidRPr="005F1753">
        <w:t xml:space="preserve">the </w:t>
      </w:r>
      <w:r w:rsidR="00590ECB" w:rsidRPr="005F1753">
        <w:t xml:space="preserve">use rates of First Nations populations experiencing the </w:t>
      </w:r>
      <w:r w:rsidR="00EE0635" w:rsidRPr="005F1753">
        <w:t xml:space="preserve">most </w:t>
      </w:r>
      <w:r w:rsidR="003E5CDE" w:rsidRPr="005F1753">
        <w:t>socio</w:t>
      </w:r>
      <w:r w:rsidR="00FE2620" w:rsidRPr="005F1753">
        <w:t>-</w:t>
      </w:r>
      <w:r w:rsidR="003E5CDE" w:rsidRPr="005F1753">
        <w:t xml:space="preserve">economic </w:t>
      </w:r>
      <w:r w:rsidR="00EE0635" w:rsidRPr="005F1753">
        <w:t>disadvantage</w:t>
      </w:r>
      <w:r w:rsidR="00612021" w:rsidRPr="005F1753">
        <w:t xml:space="preserve"> and </w:t>
      </w:r>
      <w:r w:rsidR="00845634" w:rsidRPr="005F1753">
        <w:t xml:space="preserve">decrease the assessed GST needs of states with </w:t>
      </w:r>
      <w:r w:rsidR="00EC28C1" w:rsidRPr="005F1753">
        <w:t xml:space="preserve">large </w:t>
      </w:r>
      <w:r w:rsidR="00290173" w:rsidRPr="005F1753">
        <w:t xml:space="preserve">First Nations populations </w:t>
      </w:r>
      <w:r w:rsidR="005251AC" w:rsidRPr="005F1753">
        <w:t>experiencing high levels of disad</w:t>
      </w:r>
      <w:r w:rsidR="00AD0FF9" w:rsidRPr="005F1753">
        <w:t>vantag</w:t>
      </w:r>
      <w:r w:rsidR="009C54F5" w:rsidRPr="005F1753">
        <w:t xml:space="preserve">e, such as the Northern Territory. </w:t>
      </w:r>
      <w:r w:rsidR="00A75D3E" w:rsidRPr="005F1753">
        <w:t>For the Northern Territory this impact is fully offset by th</w:t>
      </w:r>
      <w:r w:rsidR="0074240F" w:rsidRPr="005F1753">
        <w:t xml:space="preserve">e increase in the First Nations use rate in criminal courts. </w:t>
      </w:r>
      <w:r w:rsidR="00F04B79" w:rsidRPr="005F1753">
        <w:t>However, when</w:t>
      </w:r>
      <w:r w:rsidR="002E75C7" w:rsidRPr="005F1753">
        <w:t xml:space="preserve"> defendant socio-economic status </w:t>
      </w:r>
      <w:r w:rsidR="00E67DD4" w:rsidRPr="005F1753">
        <w:t xml:space="preserve">use rates are applied in the prisons assessment, </w:t>
      </w:r>
      <w:r w:rsidR="00227838" w:rsidRPr="005F1753">
        <w:t xml:space="preserve">there </w:t>
      </w:r>
      <w:r w:rsidR="005F30E4" w:rsidRPr="005F1753">
        <w:t>are</w:t>
      </w:r>
      <w:r w:rsidR="00227838" w:rsidRPr="005F1753">
        <w:t xml:space="preserve"> no offsetting effects. This is because, </w:t>
      </w:r>
      <w:r w:rsidR="006763F3" w:rsidRPr="005F1753">
        <w:t xml:space="preserve">unlike in </w:t>
      </w:r>
      <w:r w:rsidR="004E31E9" w:rsidRPr="005F1753">
        <w:t xml:space="preserve">criminal </w:t>
      </w:r>
      <w:r w:rsidR="006008EC" w:rsidRPr="005F1753">
        <w:t xml:space="preserve">courts, </w:t>
      </w:r>
      <w:r w:rsidR="00944EB2" w:rsidRPr="005F1753">
        <w:t xml:space="preserve">the Commission has been able to </w:t>
      </w:r>
      <w:r w:rsidR="007C2B3C" w:rsidRPr="005F1753">
        <w:t xml:space="preserve">incorporate the increase in First Nations </w:t>
      </w:r>
      <w:r w:rsidR="007D1CD4" w:rsidRPr="005F1753">
        <w:t xml:space="preserve">prisoner </w:t>
      </w:r>
      <w:r w:rsidR="007C2B3C" w:rsidRPr="005F1753">
        <w:t>population</w:t>
      </w:r>
      <w:r w:rsidR="004E31E9" w:rsidRPr="005F1753">
        <w:t xml:space="preserve"> in each annual update</w:t>
      </w:r>
      <w:r w:rsidR="001D5923" w:rsidRPr="005F1753">
        <w:t xml:space="preserve">, </w:t>
      </w:r>
      <w:r w:rsidR="00447353" w:rsidRPr="005F1753">
        <w:t>so the impact in Table 8 only reflect</w:t>
      </w:r>
      <w:r w:rsidR="00A7561A" w:rsidRPr="005F1753">
        <w:t>s</w:t>
      </w:r>
      <w:r w:rsidR="00447353" w:rsidRPr="005F1753">
        <w:t xml:space="preserve"> the </w:t>
      </w:r>
      <w:r w:rsidR="00A7561A" w:rsidRPr="005F1753">
        <w:t xml:space="preserve">impact of </w:t>
      </w:r>
      <w:r w:rsidR="00421C3B" w:rsidRPr="005F1753">
        <w:t>change</w:t>
      </w:r>
      <w:r w:rsidR="00C508CA" w:rsidRPr="005F1753">
        <w:t>s</w:t>
      </w:r>
      <w:r w:rsidR="00421C3B" w:rsidRPr="005F1753">
        <w:t xml:space="preserve"> </w:t>
      </w:r>
      <w:r w:rsidR="00C508CA" w:rsidRPr="005F1753">
        <w:t xml:space="preserve">in use rates </w:t>
      </w:r>
      <w:r w:rsidR="006449E0" w:rsidRPr="005F1753">
        <w:t xml:space="preserve">of </w:t>
      </w:r>
      <w:r w:rsidR="009D6EE0" w:rsidRPr="005F1753">
        <w:t xml:space="preserve">the </w:t>
      </w:r>
      <w:r w:rsidR="00C508CA" w:rsidRPr="005F1753">
        <w:t>First Nations</w:t>
      </w:r>
      <w:r w:rsidR="007330BE" w:rsidRPr="005F1753">
        <w:t xml:space="preserve"> </w:t>
      </w:r>
      <w:r w:rsidR="00421C3B" w:rsidRPr="005F1753">
        <w:t>socio</w:t>
      </w:r>
      <w:r w:rsidR="00AA1F08">
        <w:noBreakHyphen/>
      </w:r>
      <w:r w:rsidR="00421C3B" w:rsidRPr="005F1753">
        <w:t>economic</w:t>
      </w:r>
      <w:r w:rsidR="001D1352" w:rsidRPr="005F1753">
        <w:t xml:space="preserve"> populations. </w:t>
      </w:r>
    </w:p>
    <w:p w14:paraId="238E974C" w14:textId="1E787E4C" w:rsidR="0090748D" w:rsidRPr="002A5BC1" w:rsidRDefault="00BD5340" w:rsidP="00381A0E">
      <w:pPr>
        <w:pStyle w:val="CGC2025Bullet1"/>
        <w:ind w:left="927"/>
      </w:pPr>
      <w:r w:rsidRPr="002A5BC1">
        <w:t xml:space="preserve">The proportion of the population that identifies as First Nations is greater in the 2021 Census than in the 2016 Census. This </w:t>
      </w:r>
      <w:r w:rsidR="00075F67" w:rsidRPr="002A5BC1">
        <w:t xml:space="preserve">has </w:t>
      </w:r>
      <w:r w:rsidRPr="002A5BC1">
        <w:t xml:space="preserve">the effect of reducing the relative use rate of offenders, defendants and prisoners that identify as First Nations. </w:t>
      </w:r>
      <w:r w:rsidR="00275B75" w:rsidRPr="002A5BC1">
        <w:t xml:space="preserve">It </w:t>
      </w:r>
      <w:r w:rsidRPr="002A5BC1">
        <w:t>reduce</w:t>
      </w:r>
      <w:r w:rsidR="00275B75" w:rsidRPr="002A5BC1">
        <w:t>s</w:t>
      </w:r>
      <w:r w:rsidRPr="002A5BC1">
        <w:t xml:space="preserve"> the assessed GST needs of states with large First Nations populations, such as the Northern Territory. For the Northern Territory, the increase in use rates of First Nations and offenders and defendants</w:t>
      </w:r>
      <w:r w:rsidR="00D1100E" w:rsidRPr="002A5BC1">
        <w:t xml:space="preserve"> due to </w:t>
      </w:r>
      <w:r w:rsidR="003103CC" w:rsidRPr="002A5BC1">
        <w:t>updat</w:t>
      </w:r>
      <w:r w:rsidR="005F1753" w:rsidRPr="002A5BC1">
        <w:t>ing</w:t>
      </w:r>
      <w:r w:rsidR="003103CC" w:rsidRPr="002A5BC1">
        <w:t xml:space="preserve"> offender and defendant data</w:t>
      </w:r>
      <w:r w:rsidRPr="002A5BC1">
        <w:t xml:space="preserve"> offset</w:t>
      </w:r>
      <w:r w:rsidR="00DE52BD" w:rsidRPr="002A5BC1">
        <w:t>s</w:t>
      </w:r>
      <w:r w:rsidRPr="002A5BC1">
        <w:t xml:space="preserve"> this impact. However, in the prisons assessment </w:t>
      </w:r>
      <w:r w:rsidR="00600799" w:rsidRPr="002A5BC1">
        <w:t>the</w:t>
      </w:r>
      <w:r w:rsidR="00BC2D3D" w:rsidRPr="002A5BC1">
        <w:t xml:space="preserve"> impact of updating First Nations </w:t>
      </w:r>
      <w:r w:rsidR="008F21FC" w:rsidRPr="002A5BC1">
        <w:t>defendant</w:t>
      </w:r>
      <w:r w:rsidR="00BC2D3D" w:rsidRPr="002A5BC1">
        <w:t xml:space="preserve"> socio-economic status </w:t>
      </w:r>
      <w:r w:rsidR="008D0864" w:rsidRPr="002A5BC1">
        <w:t xml:space="preserve">further </w:t>
      </w:r>
      <w:r w:rsidR="00494A15" w:rsidRPr="002A5BC1">
        <w:t>compounds</w:t>
      </w:r>
      <w:r w:rsidR="004327C2" w:rsidRPr="002A5BC1">
        <w:t xml:space="preserve"> the reduction in </w:t>
      </w:r>
      <w:r w:rsidR="00494A15" w:rsidRPr="002A5BC1">
        <w:t xml:space="preserve">assessed GST needs. </w:t>
      </w:r>
    </w:p>
    <w:p w14:paraId="3AE76E3F" w14:textId="11C8CD2E" w:rsidR="00381A0E" w:rsidRDefault="00381A0E" w:rsidP="00381A0E">
      <w:pPr>
        <w:pStyle w:val="Heading3"/>
      </w:pPr>
      <w:r>
        <w:t>Impact of method changes</w:t>
      </w:r>
    </w:p>
    <w:p w14:paraId="5B7D2E38" w14:textId="716BFBA4" w:rsidR="00381A0E" w:rsidRDefault="00381A0E" w:rsidP="007E471B">
      <w:pPr>
        <w:pStyle w:val="CGCParaNumber"/>
        <w:numPr>
          <w:ilvl w:val="1"/>
          <w:numId w:val="16"/>
        </w:numPr>
      </w:pPr>
      <w:r w:rsidRPr="00AC27E2">
        <w:t xml:space="preserve">The indicative </w:t>
      </w:r>
      <w:r>
        <w:t xml:space="preserve">GST </w:t>
      </w:r>
      <w:r w:rsidRPr="00AC27E2">
        <w:t xml:space="preserve">impact of the proposed changes to the </w:t>
      </w:r>
      <w:r>
        <w:t>justice</w:t>
      </w:r>
      <w:r w:rsidRPr="00AC27E2">
        <w:t xml:space="preserve"> assessmen</w:t>
      </w:r>
      <w:r w:rsidRPr="00AC27E2">
        <w:rPr>
          <w:shd w:val="clear" w:color="auto" w:fill="FFFFFF"/>
        </w:rPr>
        <w:t>t in 20</w:t>
      </w:r>
      <w:r>
        <w:rPr>
          <w:shd w:val="clear" w:color="auto" w:fill="FFFFFF"/>
        </w:rPr>
        <w:t>25</w:t>
      </w:r>
      <w:r>
        <w:rPr>
          <w:shd w:val="clear" w:color="auto" w:fill="FFFFFF"/>
        </w:rPr>
        <w:softHyphen/>
        <w:t xml:space="preserve">–26 </w:t>
      </w:r>
      <w:r w:rsidRPr="00AC27E2">
        <w:rPr>
          <w:shd w:val="clear" w:color="auto" w:fill="FFFFFF"/>
        </w:rPr>
        <w:t>is shown in</w:t>
      </w:r>
      <w:r w:rsidRPr="00AC27E2">
        <w:t xml:space="preserve"> </w:t>
      </w:r>
      <w:r w:rsidRPr="00D167AB">
        <w:t xml:space="preserve">Table </w:t>
      </w:r>
      <w:r w:rsidR="00EE7993">
        <w:t>9</w:t>
      </w:r>
      <w:r>
        <w:t xml:space="preserve">. On a per capita basis, method changes would have the largest impact on </w:t>
      </w:r>
      <w:r w:rsidR="00EA292F" w:rsidRPr="00217FEB">
        <w:t>Tasmania</w:t>
      </w:r>
      <w:r w:rsidRPr="00217FEB">
        <w:t>.</w:t>
      </w:r>
    </w:p>
    <w:p w14:paraId="6C62F12F" w14:textId="77777777" w:rsidR="00381A0E" w:rsidRDefault="00381A0E" w:rsidP="00381A0E">
      <w:pPr>
        <w:pStyle w:val="CGC2025ParaNumbers"/>
        <w:numPr>
          <w:ilvl w:val="1"/>
          <w:numId w:val="16"/>
        </w:numPr>
        <w:tabs>
          <w:tab w:val="clear" w:pos="567"/>
          <w:tab w:val="num" w:pos="993"/>
        </w:tabs>
      </w:pPr>
      <w:r w:rsidRPr="00A51453">
        <w:t xml:space="preserve">The change in the GST distribution compared </w:t>
      </w:r>
      <w:r>
        <w:t>with</w:t>
      </w:r>
      <w:r w:rsidRPr="00A51453">
        <w:t xml:space="preserve"> the 202</w:t>
      </w:r>
      <w:r>
        <w:t>5</w:t>
      </w:r>
      <w:r w:rsidRPr="00A51453">
        <w:t> </w:t>
      </w:r>
      <w:r>
        <w:t>Review</w:t>
      </w:r>
      <w:r w:rsidRPr="00A51453">
        <w:t xml:space="preserve"> </w:t>
      </w:r>
      <w:r>
        <w:t>are</w:t>
      </w:r>
      <w:r w:rsidRPr="00A51453" w:rsidDel="00DF2031">
        <w:t xml:space="preserve"> </w:t>
      </w:r>
      <w:r w:rsidRPr="00A51453">
        <w:t>due largely to</w:t>
      </w:r>
      <w:r>
        <w:t xml:space="preserve"> the proposals to:</w:t>
      </w:r>
    </w:p>
    <w:p w14:paraId="0FF9246B" w14:textId="04C2421A" w:rsidR="00242C81" w:rsidRDefault="006A4851" w:rsidP="00381A0E">
      <w:pPr>
        <w:pStyle w:val="CGC2025Bullet1"/>
        <w:ind w:left="927"/>
      </w:pPr>
      <w:r>
        <w:t>i</w:t>
      </w:r>
      <w:r w:rsidR="00DE229A">
        <w:t>nclude an assessment of juvenile detainees</w:t>
      </w:r>
    </w:p>
    <w:p w14:paraId="2ACB85EC" w14:textId="10D67FFF" w:rsidR="00381A0E" w:rsidRDefault="00381A0E" w:rsidP="00381A0E">
      <w:pPr>
        <w:pStyle w:val="CGC2025Bullet1"/>
        <w:ind w:left="927"/>
      </w:pPr>
      <w:r>
        <w:t>allocate police central costs to police districts on a 50% proportion of police district expenses and 50% proportion of full-time equivalent staff basis</w:t>
      </w:r>
    </w:p>
    <w:p w14:paraId="5CDD6D4C" w14:textId="77777777" w:rsidR="00381A0E" w:rsidRDefault="00381A0E" w:rsidP="00381A0E">
      <w:pPr>
        <w:pStyle w:val="CGC2025Bullet1"/>
        <w:ind w:left="927"/>
      </w:pPr>
      <w:r>
        <w:t>remove the regional gradient in criminal courts and replace the regional gradient in prisons with the general service delivery scale gradient</w:t>
      </w:r>
    </w:p>
    <w:p w14:paraId="519B8E75" w14:textId="77777777" w:rsidR="00D12804" w:rsidRDefault="00381A0E" w:rsidP="00094E4D">
      <w:pPr>
        <w:pStyle w:val="CGC2025Bullet1"/>
        <w:ind w:left="927"/>
      </w:pPr>
      <w:r>
        <w:t>allocate defendants with not-stated Indigenous status responses based on known defendant proportions.</w:t>
      </w:r>
    </w:p>
    <w:p w14:paraId="5685442C" w14:textId="77777777" w:rsidR="00D12804" w:rsidRDefault="00D12804">
      <w:pPr>
        <w:rPr>
          <w:rFonts w:ascii="Work Sans" w:hAnsi="Work Sans"/>
          <w:sz w:val="20"/>
          <w:szCs w:val="20"/>
        </w:rPr>
      </w:pPr>
      <w:r>
        <w:br w:type="page"/>
      </w:r>
    </w:p>
    <w:p w14:paraId="7DDAB4A9" w14:textId="34D98F83" w:rsidR="00381A0E" w:rsidRDefault="00381A0E" w:rsidP="00F0778D">
      <w:pPr>
        <w:pStyle w:val="CGC2025Caption"/>
        <w:keepNext/>
        <w:keepLines/>
        <w:tabs>
          <w:tab w:val="clear" w:pos="567"/>
          <w:tab w:val="left" w:pos="1134"/>
        </w:tabs>
        <w:ind w:left="1134" w:hanging="1134"/>
      </w:pPr>
      <w:r>
        <w:lastRenderedPageBreak/>
        <w:t xml:space="preserve">Table </w:t>
      </w:r>
      <w:r w:rsidR="00EE7993">
        <w:t>9</w:t>
      </w:r>
      <w:r>
        <w:t xml:space="preserve"> </w:t>
      </w:r>
      <w:r>
        <w:tab/>
        <w:t>Indicative impact on GST distribution of method changes</w:t>
      </w:r>
      <w:r w:rsidR="005E0D53">
        <w:t xml:space="preserve"> to the recurrent justice assessment </w:t>
      </w:r>
      <w:r>
        <w:t>(difference between the 2025 Review assessment, and an assessment with proposed method changes)</w:t>
      </w:r>
      <w:r w:rsidRPr="0054342E">
        <w:t xml:space="preserve"> 2025–26</w:t>
      </w:r>
    </w:p>
    <w:tbl>
      <w:tblPr>
        <w:tblW w:w="9000" w:type="dxa"/>
        <w:tblLook w:val="04A0" w:firstRow="1" w:lastRow="0" w:firstColumn="1" w:lastColumn="0" w:noHBand="0" w:noVBand="1"/>
      </w:tblPr>
      <w:tblGrid>
        <w:gridCol w:w="2920"/>
        <w:gridCol w:w="640"/>
        <w:gridCol w:w="680"/>
        <w:gridCol w:w="680"/>
        <w:gridCol w:w="680"/>
        <w:gridCol w:w="680"/>
        <w:gridCol w:w="680"/>
        <w:gridCol w:w="680"/>
        <w:gridCol w:w="680"/>
        <w:gridCol w:w="680"/>
      </w:tblGrid>
      <w:tr w:rsidR="00601869" w:rsidRPr="00601869" w14:paraId="038FD96A" w14:textId="77777777" w:rsidTr="00601869">
        <w:trPr>
          <w:cantSplit/>
          <w:trHeight w:val="381"/>
        </w:trPr>
        <w:tc>
          <w:tcPr>
            <w:tcW w:w="2920" w:type="dxa"/>
            <w:tcBorders>
              <w:top w:val="nil"/>
              <w:left w:val="nil"/>
              <w:bottom w:val="nil"/>
              <w:right w:val="nil"/>
            </w:tcBorders>
            <w:shd w:val="clear" w:color="000000" w:fill="006991"/>
            <w:vAlign w:val="center"/>
            <w:hideMark/>
          </w:tcPr>
          <w:p w14:paraId="5B6052D1" w14:textId="77777777" w:rsidR="00601869" w:rsidRPr="00601869" w:rsidRDefault="00601869" w:rsidP="00601869">
            <w:pPr>
              <w:spacing w:after="0" w:line="240" w:lineRule="auto"/>
              <w:rPr>
                <w:rFonts w:ascii="Open Sans Semibold" w:eastAsia="Times New Roman" w:hAnsi="Open Sans Semibold" w:cs="Open Sans Semibold"/>
                <w:color w:val="FFFFFF"/>
                <w:sz w:val="16"/>
                <w:szCs w:val="16"/>
                <w:lang w:eastAsia="en-AU"/>
              </w:rPr>
            </w:pPr>
            <w:r w:rsidRPr="00601869">
              <w:rPr>
                <w:rFonts w:ascii="Open Sans Semibold" w:eastAsia="Times New Roman" w:hAnsi="Open Sans Semibold" w:cs="Open Sans Semibold"/>
                <w:color w:val="FFFFFF"/>
                <w:sz w:val="16"/>
                <w:szCs w:val="16"/>
                <w:lang w:eastAsia="en-AU"/>
              </w:rPr>
              <w:t> </w:t>
            </w:r>
          </w:p>
        </w:tc>
        <w:tc>
          <w:tcPr>
            <w:tcW w:w="640" w:type="dxa"/>
            <w:tcBorders>
              <w:top w:val="nil"/>
              <w:left w:val="nil"/>
              <w:bottom w:val="nil"/>
              <w:right w:val="nil"/>
            </w:tcBorders>
            <w:shd w:val="clear" w:color="000000" w:fill="006991"/>
            <w:vAlign w:val="center"/>
            <w:hideMark/>
          </w:tcPr>
          <w:p w14:paraId="19560607" w14:textId="77777777" w:rsidR="00601869" w:rsidRPr="00601869" w:rsidRDefault="00601869" w:rsidP="00601869">
            <w:pPr>
              <w:spacing w:after="0" w:line="240" w:lineRule="auto"/>
              <w:jc w:val="right"/>
              <w:rPr>
                <w:rFonts w:ascii="Open Sans Semibold" w:eastAsia="Times New Roman" w:hAnsi="Open Sans Semibold" w:cs="Open Sans Semibold"/>
                <w:color w:val="FFFFFF"/>
                <w:sz w:val="16"/>
                <w:szCs w:val="16"/>
                <w:lang w:eastAsia="en-AU"/>
              </w:rPr>
            </w:pPr>
            <w:r w:rsidRPr="00601869">
              <w:rPr>
                <w:rFonts w:ascii="Open Sans Semibold" w:eastAsia="Times New Roman" w:hAnsi="Open Sans Semibold" w:cs="Open Sans Semibold"/>
                <w:color w:val="FFFFFF"/>
                <w:sz w:val="16"/>
                <w:szCs w:val="16"/>
                <w:lang w:eastAsia="en-AU"/>
              </w:rPr>
              <w:t>NSW</w:t>
            </w:r>
          </w:p>
        </w:tc>
        <w:tc>
          <w:tcPr>
            <w:tcW w:w="680" w:type="dxa"/>
            <w:tcBorders>
              <w:top w:val="nil"/>
              <w:left w:val="nil"/>
              <w:bottom w:val="nil"/>
              <w:right w:val="nil"/>
            </w:tcBorders>
            <w:shd w:val="clear" w:color="000000" w:fill="006991"/>
            <w:vAlign w:val="center"/>
            <w:hideMark/>
          </w:tcPr>
          <w:p w14:paraId="1431F5D0" w14:textId="77777777" w:rsidR="00601869" w:rsidRPr="00601869" w:rsidRDefault="00601869" w:rsidP="00601869">
            <w:pPr>
              <w:spacing w:after="0" w:line="240" w:lineRule="auto"/>
              <w:jc w:val="right"/>
              <w:rPr>
                <w:rFonts w:ascii="Open Sans Semibold" w:eastAsia="Times New Roman" w:hAnsi="Open Sans Semibold" w:cs="Open Sans Semibold"/>
                <w:color w:val="FFFFFF"/>
                <w:sz w:val="16"/>
                <w:szCs w:val="16"/>
                <w:lang w:eastAsia="en-AU"/>
              </w:rPr>
            </w:pPr>
            <w:r w:rsidRPr="00601869">
              <w:rPr>
                <w:rFonts w:ascii="Open Sans Semibold" w:eastAsia="Times New Roman" w:hAnsi="Open Sans Semibold" w:cs="Open Sans Semibold"/>
                <w:color w:val="FFFFFF"/>
                <w:sz w:val="16"/>
                <w:szCs w:val="16"/>
                <w:lang w:eastAsia="en-AU"/>
              </w:rPr>
              <w:t>Vic</w:t>
            </w:r>
          </w:p>
        </w:tc>
        <w:tc>
          <w:tcPr>
            <w:tcW w:w="680" w:type="dxa"/>
            <w:tcBorders>
              <w:top w:val="nil"/>
              <w:left w:val="nil"/>
              <w:bottom w:val="nil"/>
              <w:right w:val="nil"/>
            </w:tcBorders>
            <w:shd w:val="clear" w:color="000000" w:fill="006991"/>
            <w:vAlign w:val="center"/>
            <w:hideMark/>
          </w:tcPr>
          <w:p w14:paraId="5BAFFA09" w14:textId="77777777" w:rsidR="00601869" w:rsidRPr="00601869" w:rsidRDefault="00601869" w:rsidP="00601869">
            <w:pPr>
              <w:spacing w:after="0" w:line="240" w:lineRule="auto"/>
              <w:jc w:val="right"/>
              <w:rPr>
                <w:rFonts w:ascii="Open Sans Semibold" w:eastAsia="Times New Roman" w:hAnsi="Open Sans Semibold" w:cs="Open Sans Semibold"/>
                <w:color w:val="FFFFFF"/>
                <w:sz w:val="16"/>
                <w:szCs w:val="16"/>
                <w:lang w:eastAsia="en-AU"/>
              </w:rPr>
            </w:pPr>
            <w:r w:rsidRPr="00601869">
              <w:rPr>
                <w:rFonts w:ascii="Open Sans Semibold" w:eastAsia="Times New Roman" w:hAnsi="Open Sans Semibold" w:cs="Open Sans Semibold"/>
                <w:color w:val="FFFFFF"/>
                <w:sz w:val="16"/>
                <w:szCs w:val="16"/>
                <w:lang w:eastAsia="en-AU"/>
              </w:rPr>
              <w:t>Qld</w:t>
            </w:r>
          </w:p>
        </w:tc>
        <w:tc>
          <w:tcPr>
            <w:tcW w:w="680" w:type="dxa"/>
            <w:tcBorders>
              <w:top w:val="nil"/>
              <w:left w:val="nil"/>
              <w:bottom w:val="nil"/>
              <w:right w:val="nil"/>
            </w:tcBorders>
            <w:shd w:val="clear" w:color="000000" w:fill="006991"/>
            <w:vAlign w:val="center"/>
            <w:hideMark/>
          </w:tcPr>
          <w:p w14:paraId="0918246F" w14:textId="77777777" w:rsidR="00601869" w:rsidRPr="00601869" w:rsidRDefault="00601869" w:rsidP="00601869">
            <w:pPr>
              <w:spacing w:after="0" w:line="240" w:lineRule="auto"/>
              <w:jc w:val="right"/>
              <w:rPr>
                <w:rFonts w:ascii="Open Sans Semibold" w:eastAsia="Times New Roman" w:hAnsi="Open Sans Semibold" w:cs="Open Sans Semibold"/>
                <w:color w:val="FFFFFF"/>
                <w:sz w:val="16"/>
                <w:szCs w:val="16"/>
                <w:lang w:eastAsia="en-AU"/>
              </w:rPr>
            </w:pPr>
            <w:r w:rsidRPr="00601869">
              <w:rPr>
                <w:rFonts w:ascii="Open Sans Semibold" w:eastAsia="Times New Roman" w:hAnsi="Open Sans Semibold" w:cs="Open Sans Semibold"/>
                <w:color w:val="FFFFFF"/>
                <w:sz w:val="16"/>
                <w:szCs w:val="16"/>
                <w:lang w:eastAsia="en-AU"/>
              </w:rPr>
              <w:t>WA</w:t>
            </w:r>
          </w:p>
        </w:tc>
        <w:tc>
          <w:tcPr>
            <w:tcW w:w="680" w:type="dxa"/>
            <w:tcBorders>
              <w:top w:val="nil"/>
              <w:left w:val="nil"/>
              <w:bottom w:val="nil"/>
              <w:right w:val="nil"/>
            </w:tcBorders>
            <w:shd w:val="clear" w:color="000000" w:fill="006991"/>
            <w:vAlign w:val="center"/>
            <w:hideMark/>
          </w:tcPr>
          <w:p w14:paraId="7E3A5EC8" w14:textId="77777777" w:rsidR="00601869" w:rsidRPr="00601869" w:rsidRDefault="00601869" w:rsidP="00601869">
            <w:pPr>
              <w:spacing w:after="0" w:line="240" w:lineRule="auto"/>
              <w:jc w:val="right"/>
              <w:rPr>
                <w:rFonts w:ascii="Open Sans Semibold" w:eastAsia="Times New Roman" w:hAnsi="Open Sans Semibold" w:cs="Open Sans Semibold"/>
                <w:color w:val="FFFFFF"/>
                <w:sz w:val="16"/>
                <w:szCs w:val="16"/>
                <w:lang w:eastAsia="en-AU"/>
              </w:rPr>
            </w:pPr>
            <w:r w:rsidRPr="00601869">
              <w:rPr>
                <w:rFonts w:ascii="Open Sans Semibold" w:eastAsia="Times New Roman" w:hAnsi="Open Sans Semibold" w:cs="Open Sans Semibold"/>
                <w:color w:val="FFFFFF"/>
                <w:sz w:val="16"/>
                <w:szCs w:val="16"/>
                <w:lang w:eastAsia="en-AU"/>
              </w:rPr>
              <w:t>SA</w:t>
            </w:r>
          </w:p>
        </w:tc>
        <w:tc>
          <w:tcPr>
            <w:tcW w:w="680" w:type="dxa"/>
            <w:tcBorders>
              <w:top w:val="nil"/>
              <w:left w:val="nil"/>
              <w:bottom w:val="nil"/>
              <w:right w:val="nil"/>
            </w:tcBorders>
            <w:shd w:val="clear" w:color="000000" w:fill="006991"/>
            <w:vAlign w:val="center"/>
            <w:hideMark/>
          </w:tcPr>
          <w:p w14:paraId="20532228" w14:textId="77777777" w:rsidR="00601869" w:rsidRPr="00601869" w:rsidRDefault="00601869" w:rsidP="00601869">
            <w:pPr>
              <w:spacing w:after="0" w:line="240" w:lineRule="auto"/>
              <w:jc w:val="right"/>
              <w:rPr>
                <w:rFonts w:ascii="Open Sans Semibold" w:eastAsia="Times New Roman" w:hAnsi="Open Sans Semibold" w:cs="Open Sans Semibold"/>
                <w:color w:val="FFFFFF"/>
                <w:sz w:val="16"/>
                <w:szCs w:val="16"/>
                <w:lang w:eastAsia="en-AU"/>
              </w:rPr>
            </w:pPr>
            <w:r w:rsidRPr="00601869">
              <w:rPr>
                <w:rFonts w:ascii="Open Sans Semibold" w:eastAsia="Times New Roman" w:hAnsi="Open Sans Semibold" w:cs="Open Sans Semibold"/>
                <w:color w:val="FFFFFF"/>
                <w:sz w:val="16"/>
                <w:szCs w:val="16"/>
                <w:lang w:eastAsia="en-AU"/>
              </w:rPr>
              <w:t>Tas</w:t>
            </w:r>
          </w:p>
        </w:tc>
        <w:tc>
          <w:tcPr>
            <w:tcW w:w="680" w:type="dxa"/>
            <w:tcBorders>
              <w:top w:val="nil"/>
              <w:left w:val="nil"/>
              <w:bottom w:val="nil"/>
              <w:right w:val="nil"/>
            </w:tcBorders>
            <w:shd w:val="clear" w:color="000000" w:fill="006991"/>
            <w:vAlign w:val="center"/>
            <w:hideMark/>
          </w:tcPr>
          <w:p w14:paraId="305229FB" w14:textId="77777777" w:rsidR="00601869" w:rsidRPr="00601869" w:rsidRDefault="00601869" w:rsidP="00601869">
            <w:pPr>
              <w:spacing w:after="0" w:line="240" w:lineRule="auto"/>
              <w:jc w:val="right"/>
              <w:rPr>
                <w:rFonts w:ascii="Open Sans Semibold" w:eastAsia="Times New Roman" w:hAnsi="Open Sans Semibold" w:cs="Open Sans Semibold"/>
                <w:color w:val="FFFFFF"/>
                <w:sz w:val="16"/>
                <w:szCs w:val="16"/>
                <w:lang w:eastAsia="en-AU"/>
              </w:rPr>
            </w:pPr>
            <w:r w:rsidRPr="00601869">
              <w:rPr>
                <w:rFonts w:ascii="Open Sans Semibold" w:eastAsia="Times New Roman" w:hAnsi="Open Sans Semibold" w:cs="Open Sans Semibold"/>
                <w:color w:val="FFFFFF"/>
                <w:sz w:val="16"/>
                <w:szCs w:val="16"/>
                <w:lang w:eastAsia="en-AU"/>
              </w:rPr>
              <w:t>ACT</w:t>
            </w:r>
          </w:p>
        </w:tc>
        <w:tc>
          <w:tcPr>
            <w:tcW w:w="680" w:type="dxa"/>
            <w:tcBorders>
              <w:top w:val="nil"/>
              <w:left w:val="nil"/>
              <w:bottom w:val="nil"/>
              <w:right w:val="nil"/>
            </w:tcBorders>
            <w:shd w:val="clear" w:color="000000" w:fill="006991"/>
            <w:vAlign w:val="center"/>
            <w:hideMark/>
          </w:tcPr>
          <w:p w14:paraId="5B2146AB" w14:textId="77777777" w:rsidR="00601869" w:rsidRPr="00601869" w:rsidRDefault="00601869" w:rsidP="00601869">
            <w:pPr>
              <w:spacing w:after="0" w:line="240" w:lineRule="auto"/>
              <w:jc w:val="right"/>
              <w:rPr>
                <w:rFonts w:ascii="Open Sans Semibold" w:eastAsia="Times New Roman" w:hAnsi="Open Sans Semibold" w:cs="Open Sans Semibold"/>
                <w:color w:val="FFFFFF"/>
                <w:sz w:val="16"/>
                <w:szCs w:val="16"/>
                <w:lang w:eastAsia="en-AU"/>
              </w:rPr>
            </w:pPr>
            <w:r w:rsidRPr="00601869">
              <w:rPr>
                <w:rFonts w:ascii="Open Sans Semibold" w:eastAsia="Times New Roman" w:hAnsi="Open Sans Semibold" w:cs="Open Sans Semibold"/>
                <w:color w:val="FFFFFF"/>
                <w:sz w:val="16"/>
                <w:szCs w:val="16"/>
                <w:lang w:eastAsia="en-AU"/>
              </w:rPr>
              <w:t>NT</w:t>
            </w:r>
          </w:p>
        </w:tc>
        <w:tc>
          <w:tcPr>
            <w:tcW w:w="680" w:type="dxa"/>
            <w:tcBorders>
              <w:top w:val="nil"/>
              <w:left w:val="nil"/>
              <w:bottom w:val="nil"/>
              <w:right w:val="nil"/>
            </w:tcBorders>
            <w:shd w:val="clear" w:color="000000" w:fill="006991"/>
            <w:vAlign w:val="center"/>
            <w:hideMark/>
          </w:tcPr>
          <w:p w14:paraId="26A0E8B6" w14:textId="77777777" w:rsidR="00601869" w:rsidRPr="00601869" w:rsidRDefault="00601869" w:rsidP="00601869">
            <w:pPr>
              <w:spacing w:after="0" w:line="240" w:lineRule="auto"/>
              <w:jc w:val="right"/>
              <w:rPr>
                <w:rFonts w:ascii="Open Sans Semibold" w:eastAsia="Times New Roman" w:hAnsi="Open Sans Semibold" w:cs="Open Sans Semibold"/>
                <w:color w:val="FFFFFF"/>
                <w:sz w:val="16"/>
                <w:szCs w:val="16"/>
                <w:lang w:eastAsia="en-AU"/>
              </w:rPr>
            </w:pPr>
            <w:r w:rsidRPr="00601869">
              <w:rPr>
                <w:rFonts w:ascii="Open Sans Semibold" w:eastAsia="Times New Roman" w:hAnsi="Open Sans Semibold" w:cs="Open Sans Semibold"/>
                <w:color w:val="FFFFFF"/>
                <w:sz w:val="16"/>
                <w:szCs w:val="16"/>
                <w:lang w:eastAsia="en-AU"/>
              </w:rPr>
              <w:t>Total</w:t>
            </w:r>
          </w:p>
        </w:tc>
      </w:tr>
      <w:tr w:rsidR="00601869" w:rsidRPr="00601869" w14:paraId="3613352F" w14:textId="77777777" w:rsidTr="00601869">
        <w:trPr>
          <w:cantSplit/>
          <w:trHeight w:val="261"/>
        </w:trPr>
        <w:tc>
          <w:tcPr>
            <w:tcW w:w="2920" w:type="dxa"/>
            <w:tcBorders>
              <w:top w:val="single" w:sz="8" w:space="0" w:color="ADD6EA"/>
              <w:left w:val="nil"/>
              <w:bottom w:val="nil"/>
              <w:right w:val="nil"/>
            </w:tcBorders>
            <w:shd w:val="clear" w:color="000000" w:fill="B6D5E4"/>
            <w:vAlign w:val="bottom"/>
            <w:hideMark/>
          </w:tcPr>
          <w:p w14:paraId="22B56DEE" w14:textId="77777777" w:rsidR="00601869" w:rsidRPr="00601869" w:rsidRDefault="00601869" w:rsidP="00601869">
            <w:pPr>
              <w:spacing w:after="0" w:line="240" w:lineRule="auto"/>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 </w:t>
            </w:r>
          </w:p>
        </w:tc>
        <w:tc>
          <w:tcPr>
            <w:tcW w:w="640" w:type="dxa"/>
            <w:tcBorders>
              <w:top w:val="single" w:sz="8" w:space="0" w:color="ADD6EA"/>
              <w:left w:val="nil"/>
              <w:bottom w:val="nil"/>
              <w:right w:val="nil"/>
            </w:tcBorders>
            <w:shd w:val="clear" w:color="000000" w:fill="B6D5E4"/>
            <w:vAlign w:val="bottom"/>
            <w:hideMark/>
          </w:tcPr>
          <w:p w14:paraId="2547156F"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330E123A"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3DDDF8D0"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079F10D1"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7C54DFD0"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5F1B301D"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3111A4A0"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0CE54AAC"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$m</w:t>
            </w:r>
          </w:p>
        </w:tc>
        <w:tc>
          <w:tcPr>
            <w:tcW w:w="680" w:type="dxa"/>
            <w:tcBorders>
              <w:top w:val="single" w:sz="8" w:space="0" w:color="ADD6EA"/>
              <w:left w:val="nil"/>
              <w:bottom w:val="nil"/>
              <w:right w:val="nil"/>
            </w:tcBorders>
            <w:shd w:val="clear" w:color="000000" w:fill="B6D5E4"/>
            <w:vAlign w:val="bottom"/>
            <w:hideMark/>
          </w:tcPr>
          <w:p w14:paraId="536E52F8"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$m</w:t>
            </w:r>
          </w:p>
        </w:tc>
      </w:tr>
      <w:tr w:rsidR="00601869" w:rsidRPr="00601869" w14:paraId="63464D3F" w14:textId="77777777" w:rsidTr="00601869">
        <w:trPr>
          <w:cantSplit/>
          <w:trHeight w:val="321"/>
        </w:trPr>
        <w:tc>
          <w:tcPr>
            <w:tcW w:w="2920" w:type="dxa"/>
            <w:tcBorders>
              <w:top w:val="single" w:sz="4" w:space="0" w:color="ADD6EA"/>
              <w:left w:val="nil"/>
              <w:bottom w:val="nil"/>
              <w:right w:val="nil"/>
            </w:tcBorders>
            <w:shd w:val="clear" w:color="000000" w:fill="FFFFFF"/>
            <w:vAlign w:val="bottom"/>
            <w:hideMark/>
          </w:tcPr>
          <w:p w14:paraId="0AE7BC25" w14:textId="77777777" w:rsidR="00601869" w:rsidRPr="00601869" w:rsidRDefault="00601869" w:rsidP="00601869">
            <w:pPr>
              <w:spacing w:after="0" w:line="240" w:lineRule="auto"/>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Police</w:t>
            </w:r>
          </w:p>
        </w:tc>
        <w:tc>
          <w:tcPr>
            <w:tcW w:w="640" w:type="dxa"/>
            <w:tcBorders>
              <w:top w:val="single" w:sz="4" w:space="0" w:color="ADD6EA"/>
              <w:left w:val="nil"/>
              <w:bottom w:val="nil"/>
              <w:right w:val="nil"/>
            </w:tcBorders>
            <w:shd w:val="clear" w:color="000000" w:fill="FFFFFF"/>
            <w:vAlign w:val="bottom"/>
            <w:hideMark/>
          </w:tcPr>
          <w:p w14:paraId="77299F12" w14:textId="116418CC"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r w:rsidR="00E73A07">
              <w:rPr>
                <w:rFonts w:ascii="Open Sans Light" w:eastAsia="Times New Roman" w:hAnsi="Open Sans Light" w:cs="Open Sans Light"/>
                <w:b/>
                <w:bCs/>
                <w:color w:val="000000"/>
                <w:sz w:val="16"/>
                <w:szCs w:val="16"/>
                <w:lang w:eastAsia="en-AU"/>
              </w:rPr>
              <w:t>4</w:t>
            </w:r>
          </w:p>
        </w:tc>
        <w:tc>
          <w:tcPr>
            <w:tcW w:w="680" w:type="dxa"/>
            <w:tcBorders>
              <w:top w:val="single" w:sz="4" w:space="0" w:color="ADD6EA"/>
              <w:left w:val="nil"/>
              <w:bottom w:val="nil"/>
              <w:right w:val="nil"/>
            </w:tcBorders>
            <w:shd w:val="clear" w:color="000000" w:fill="FFFFFF"/>
            <w:vAlign w:val="bottom"/>
            <w:hideMark/>
          </w:tcPr>
          <w:p w14:paraId="12C86842"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8</w:t>
            </w:r>
          </w:p>
        </w:tc>
        <w:tc>
          <w:tcPr>
            <w:tcW w:w="680" w:type="dxa"/>
            <w:tcBorders>
              <w:top w:val="single" w:sz="4" w:space="0" w:color="ADD6EA"/>
              <w:left w:val="nil"/>
              <w:bottom w:val="nil"/>
              <w:right w:val="nil"/>
            </w:tcBorders>
            <w:shd w:val="clear" w:color="000000" w:fill="FFFFFF"/>
            <w:vAlign w:val="bottom"/>
            <w:hideMark/>
          </w:tcPr>
          <w:p w14:paraId="2D54630D" w14:textId="339D34A3"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r w:rsidR="00630E9D">
              <w:rPr>
                <w:rFonts w:ascii="Open Sans Light" w:eastAsia="Times New Roman" w:hAnsi="Open Sans Light" w:cs="Open Sans Light"/>
                <w:b/>
                <w:bCs/>
                <w:color w:val="000000"/>
                <w:sz w:val="16"/>
                <w:szCs w:val="16"/>
                <w:lang w:eastAsia="en-AU"/>
              </w:rPr>
              <w:t>7</w:t>
            </w:r>
          </w:p>
        </w:tc>
        <w:tc>
          <w:tcPr>
            <w:tcW w:w="680" w:type="dxa"/>
            <w:tcBorders>
              <w:top w:val="single" w:sz="4" w:space="0" w:color="ADD6EA"/>
              <w:left w:val="nil"/>
              <w:bottom w:val="nil"/>
              <w:right w:val="nil"/>
            </w:tcBorders>
            <w:shd w:val="clear" w:color="000000" w:fill="FFFFFF"/>
            <w:vAlign w:val="bottom"/>
            <w:hideMark/>
          </w:tcPr>
          <w:p w14:paraId="1968B09C"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-3</w:t>
            </w:r>
          </w:p>
        </w:tc>
        <w:tc>
          <w:tcPr>
            <w:tcW w:w="680" w:type="dxa"/>
            <w:tcBorders>
              <w:top w:val="single" w:sz="4" w:space="0" w:color="ADD6EA"/>
              <w:left w:val="nil"/>
              <w:bottom w:val="nil"/>
              <w:right w:val="nil"/>
            </w:tcBorders>
            <w:shd w:val="clear" w:color="000000" w:fill="FFFFFF"/>
            <w:vAlign w:val="bottom"/>
            <w:hideMark/>
          </w:tcPr>
          <w:p w14:paraId="604BFDB4"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4" w:space="0" w:color="ADD6EA"/>
              <w:left w:val="nil"/>
              <w:bottom w:val="nil"/>
              <w:right w:val="nil"/>
            </w:tcBorders>
            <w:shd w:val="clear" w:color="000000" w:fill="FFFFFF"/>
            <w:vAlign w:val="bottom"/>
            <w:hideMark/>
          </w:tcPr>
          <w:p w14:paraId="5E50C299"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4" w:space="0" w:color="ADD6EA"/>
              <w:left w:val="nil"/>
              <w:bottom w:val="nil"/>
              <w:right w:val="nil"/>
            </w:tcBorders>
            <w:shd w:val="clear" w:color="000000" w:fill="FFFFFF"/>
            <w:vAlign w:val="bottom"/>
            <w:hideMark/>
          </w:tcPr>
          <w:p w14:paraId="5B464A1D"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4" w:space="0" w:color="ADD6EA"/>
              <w:left w:val="nil"/>
              <w:bottom w:val="nil"/>
              <w:right w:val="nil"/>
            </w:tcBorders>
            <w:shd w:val="clear" w:color="000000" w:fill="FFFFFF"/>
            <w:vAlign w:val="bottom"/>
            <w:hideMark/>
          </w:tcPr>
          <w:p w14:paraId="32960EE8"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4" w:space="0" w:color="ADD6EA"/>
              <w:left w:val="nil"/>
              <w:bottom w:val="nil"/>
              <w:right w:val="nil"/>
            </w:tcBorders>
            <w:shd w:val="clear" w:color="000000" w:fill="FFFFFF"/>
            <w:vAlign w:val="bottom"/>
            <w:hideMark/>
          </w:tcPr>
          <w:p w14:paraId="41C6A1FD"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22</w:t>
            </w:r>
          </w:p>
        </w:tc>
      </w:tr>
      <w:tr w:rsidR="00601869" w:rsidRPr="00601869" w14:paraId="72C7450A"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6D63C2AC" w14:textId="77777777" w:rsidR="00601869" w:rsidRPr="00601869" w:rsidRDefault="00601869" w:rsidP="00450AA5">
            <w:pPr>
              <w:spacing w:after="0" w:line="240" w:lineRule="auto"/>
              <w:ind w:left="85" w:hanging="85"/>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New allocation of central costs method</w:t>
            </w:r>
          </w:p>
        </w:tc>
        <w:tc>
          <w:tcPr>
            <w:tcW w:w="640" w:type="dxa"/>
            <w:tcBorders>
              <w:top w:val="single" w:sz="8" w:space="0" w:color="ADD6EA"/>
              <w:left w:val="nil"/>
              <w:bottom w:val="nil"/>
              <w:right w:val="nil"/>
            </w:tcBorders>
            <w:shd w:val="clear" w:color="000000" w:fill="FFFFFF"/>
            <w:vAlign w:val="bottom"/>
            <w:hideMark/>
          </w:tcPr>
          <w:p w14:paraId="27302737"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15</w:t>
            </w:r>
          </w:p>
        </w:tc>
        <w:tc>
          <w:tcPr>
            <w:tcW w:w="680" w:type="dxa"/>
            <w:tcBorders>
              <w:top w:val="single" w:sz="8" w:space="0" w:color="ADD6EA"/>
              <w:left w:val="nil"/>
              <w:bottom w:val="nil"/>
              <w:right w:val="nil"/>
            </w:tcBorders>
            <w:shd w:val="clear" w:color="000000" w:fill="FFFFFF"/>
            <w:vAlign w:val="bottom"/>
            <w:hideMark/>
          </w:tcPr>
          <w:p w14:paraId="7D5D1DA7"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15</w:t>
            </w:r>
          </w:p>
        </w:tc>
        <w:tc>
          <w:tcPr>
            <w:tcW w:w="680" w:type="dxa"/>
            <w:tcBorders>
              <w:top w:val="single" w:sz="8" w:space="0" w:color="ADD6EA"/>
              <w:left w:val="nil"/>
              <w:bottom w:val="nil"/>
              <w:right w:val="nil"/>
            </w:tcBorders>
            <w:shd w:val="clear" w:color="000000" w:fill="FFFFFF"/>
            <w:vAlign w:val="bottom"/>
            <w:hideMark/>
          </w:tcPr>
          <w:p w14:paraId="7847841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-4</w:t>
            </w:r>
          </w:p>
        </w:tc>
        <w:tc>
          <w:tcPr>
            <w:tcW w:w="680" w:type="dxa"/>
            <w:tcBorders>
              <w:top w:val="single" w:sz="8" w:space="0" w:color="ADD6EA"/>
              <w:left w:val="nil"/>
              <w:bottom w:val="nil"/>
              <w:right w:val="nil"/>
            </w:tcBorders>
            <w:shd w:val="clear" w:color="000000" w:fill="FFFFFF"/>
            <w:vAlign w:val="bottom"/>
            <w:hideMark/>
          </w:tcPr>
          <w:p w14:paraId="6AA3E423"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-13</w:t>
            </w:r>
          </w:p>
        </w:tc>
        <w:tc>
          <w:tcPr>
            <w:tcW w:w="680" w:type="dxa"/>
            <w:tcBorders>
              <w:top w:val="single" w:sz="8" w:space="0" w:color="ADD6EA"/>
              <w:left w:val="nil"/>
              <w:bottom w:val="nil"/>
              <w:right w:val="nil"/>
            </w:tcBorders>
            <w:shd w:val="clear" w:color="000000" w:fill="FFFFFF"/>
            <w:vAlign w:val="bottom"/>
            <w:hideMark/>
          </w:tcPr>
          <w:p w14:paraId="2C73F4F3"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7788C6C5"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553E721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57ACE128"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-13</w:t>
            </w:r>
          </w:p>
        </w:tc>
        <w:tc>
          <w:tcPr>
            <w:tcW w:w="680" w:type="dxa"/>
            <w:tcBorders>
              <w:top w:val="single" w:sz="8" w:space="0" w:color="ADD6EA"/>
              <w:left w:val="nil"/>
              <w:bottom w:val="nil"/>
              <w:right w:val="nil"/>
            </w:tcBorders>
            <w:shd w:val="clear" w:color="000000" w:fill="FFFFFF"/>
            <w:vAlign w:val="bottom"/>
            <w:hideMark/>
          </w:tcPr>
          <w:p w14:paraId="1E46A9D4"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31</w:t>
            </w:r>
          </w:p>
        </w:tc>
      </w:tr>
      <w:tr w:rsidR="00601869" w:rsidRPr="00601869" w14:paraId="542CF17B"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1D7EE39E" w14:textId="77777777" w:rsidR="00601869" w:rsidRPr="00601869" w:rsidRDefault="00601869" w:rsidP="00450AA5">
            <w:pPr>
              <w:spacing w:after="0" w:line="240" w:lineRule="auto"/>
              <w:ind w:left="85" w:hanging="85"/>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Combining remote and very remote</w:t>
            </w:r>
          </w:p>
        </w:tc>
        <w:tc>
          <w:tcPr>
            <w:tcW w:w="640" w:type="dxa"/>
            <w:tcBorders>
              <w:top w:val="single" w:sz="8" w:space="0" w:color="ADD6EA"/>
              <w:left w:val="nil"/>
              <w:bottom w:val="nil"/>
              <w:right w:val="nil"/>
            </w:tcBorders>
            <w:shd w:val="clear" w:color="000000" w:fill="FFFFFF"/>
            <w:vAlign w:val="bottom"/>
            <w:hideMark/>
          </w:tcPr>
          <w:p w14:paraId="27EEE5D0"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12F325F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15055B6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0990B8B1"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100A2736"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708EEBF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35FFB9D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2E89A68E"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71C75E90"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5</w:t>
            </w:r>
          </w:p>
        </w:tc>
      </w:tr>
      <w:tr w:rsidR="00601869" w:rsidRPr="00601869" w14:paraId="6901C016"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401E7122" w14:textId="77777777" w:rsidR="00601869" w:rsidRPr="00601869" w:rsidRDefault="00601869" w:rsidP="00601869">
            <w:pPr>
              <w:spacing w:after="0" w:line="240" w:lineRule="auto"/>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Changing SES structure</w:t>
            </w:r>
          </w:p>
        </w:tc>
        <w:tc>
          <w:tcPr>
            <w:tcW w:w="640" w:type="dxa"/>
            <w:tcBorders>
              <w:top w:val="single" w:sz="8" w:space="0" w:color="ADD6EA"/>
              <w:left w:val="nil"/>
              <w:bottom w:val="nil"/>
              <w:right w:val="nil"/>
            </w:tcBorders>
            <w:shd w:val="clear" w:color="000000" w:fill="FFFFFF"/>
            <w:vAlign w:val="bottom"/>
            <w:hideMark/>
          </w:tcPr>
          <w:p w14:paraId="6AE6F2F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3904418E"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-7</w:t>
            </w:r>
          </w:p>
        </w:tc>
        <w:tc>
          <w:tcPr>
            <w:tcW w:w="680" w:type="dxa"/>
            <w:tcBorders>
              <w:top w:val="single" w:sz="8" w:space="0" w:color="ADD6EA"/>
              <w:left w:val="nil"/>
              <w:bottom w:val="nil"/>
              <w:right w:val="nil"/>
            </w:tcBorders>
            <w:shd w:val="clear" w:color="000000" w:fill="FFFFFF"/>
            <w:vAlign w:val="bottom"/>
            <w:hideMark/>
          </w:tcPr>
          <w:p w14:paraId="7353AB3E" w14:textId="57ED55FB"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r w:rsidR="0028012B">
              <w:rPr>
                <w:rFonts w:ascii="Open Sans Light" w:eastAsia="Times New Roman" w:hAnsi="Open Sans Light" w:cs="Open Sans Light"/>
                <w:color w:val="000000"/>
                <w:sz w:val="16"/>
                <w:szCs w:val="16"/>
                <w:lang w:eastAsia="en-AU"/>
              </w:rPr>
              <w:t>5</w:t>
            </w:r>
          </w:p>
        </w:tc>
        <w:tc>
          <w:tcPr>
            <w:tcW w:w="680" w:type="dxa"/>
            <w:tcBorders>
              <w:top w:val="single" w:sz="8" w:space="0" w:color="ADD6EA"/>
              <w:left w:val="nil"/>
              <w:bottom w:val="nil"/>
              <w:right w:val="nil"/>
            </w:tcBorders>
            <w:shd w:val="clear" w:color="000000" w:fill="FFFFFF"/>
            <w:vAlign w:val="bottom"/>
            <w:hideMark/>
          </w:tcPr>
          <w:p w14:paraId="6BDD4E60"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9</w:t>
            </w:r>
          </w:p>
        </w:tc>
        <w:tc>
          <w:tcPr>
            <w:tcW w:w="680" w:type="dxa"/>
            <w:tcBorders>
              <w:top w:val="single" w:sz="8" w:space="0" w:color="ADD6EA"/>
              <w:left w:val="nil"/>
              <w:bottom w:val="nil"/>
              <w:right w:val="nil"/>
            </w:tcBorders>
            <w:shd w:val="clear" w:color="000000" w:fill="FFFFFF"/>
            <w:vAlign w:val="bottom"/>
            <w:hideMark/>
          </w:tcPr>
          <w:p w14:paraId="2414A599"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4721A7A3"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7128F5D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4B6D6E29"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9</w:t>
            </w:r>
          </w:p>
        </w:tc>
        <w:tc>
          <w:tcPr>
            <w:tcW w:w="680" w:type="dxa"/>
            <w:tcBorders>
              <w:top w:val="single" w:sz="8" w:space="0" w:color="ADD6EA"/>
              <w:left w:val="nil"/>
              <w:bottom w:val="nil"/>
              <w:right w:val="nil"/>
            </w:tcBorders>
            <w:shd w:val="clear" w:color="000000" w:fill="FFFFFF"/>
            <w:vAlign w:val="bottom"/>
            <w:hideMark/>
          </w:tcPr>
          <w:p w14:paraId="4028085D"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24</w:t>
            </w:r>
          </w:p>
        </w:tc>
      </w:tr>
      <w:tr w:rsidR="00601869" w:rsidRPr="00601869" w14:paraId="20654F64"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5536DFD6" w14:textId="652DFF74" w:rsidR="00601869" w:rsidRPr="00601869" w:rsidRDefault="00601869" w:rsidP="00601869">
            <w:pPr>
              <w:spacing w:after="0" w:line="240" w:lineRule="auto"/>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 xml:space="preserve">Criminal </w:t>
            </w:r>
            <w:r w:rsidR="00115BDE">
              <w:rPr>
                <w:rFonts w:ascii="Open Sans Light" w:eastAsia="Times New Roman" w:hAnsi="Open Sans Light" w:cs="Open Sans Light"/>
                <w:b/>
                <w:bCs/>
                <w:color w:val="000000"/>
                <w:sz w:val="16"/>
                <w:szCs w:val="16"/>
                <w:lang w:eastAsia="en-AU"/>
              </w:rPr>
              <w:t>c</w:t>
            </w:r>
            <w:r w:rsidRPr="00601869">
              <w:rPr>
                <w:rFonts w:ascii="Open Sans Light" w:eastAsia="Times New Roman" w:hAnsi="Open Sans Light" w:cs="Open Sans Light"/>
                <w:b/>
                <w:bCs/>
                <w:color w:val="000000"/>
                <w:sz w:val="16"/>
                <w:szCs w:val="16"/>
                <w:lang w:eastAsia="en-AU"/>
              </w:rPr>
              <w:t>ourts</w:t>
            </w:r>
            <w:r w:rsidR="00567BB2">
              <w:rPr>
                <w:rFonts w:ascii="Open Sans Light" w:eastAsia="Times New Roman" w:hAnsi="Open Sans Light" w:cs="Open Sans Light"/>
                <w:b/>
                <w:bCs/>
                <w:color w:val="000000"/>
                <w:sz w:val="16"/>
                <w:szCs w:val="16"/>
                <w:lang w:eastAsia="en-AU"/>
              </w:rPr>
              <w:t xml:space="preserve"> and </w:t>
            </w:r>
            <w:r w:rsidR="00115BDE">
              <w:rPr>
                <w:rFonts w:ascii="Open Sans Light" w:eastAsia="Times New Roman" w:hAnsi="Open Sans Light" w:cs="Open Sans Light"/>
                <w:b/>
                <w:bCs/>
                <w:color w:val="000000"/>
                <w:sz w:val="16"/>
                <w:szCs w:val="16"/>
                <w:lang w:eastAsia="en-AU"/>
              </w:rPr>
              <w:t>O</w:t>
            </w:r>
            <w:r w:rsidR="00567BB2">
              <w:rPr>
                <w:rFonts w:ascii="Open Sans Light" w:eastAsia="Times New Roman" w:hAnsi="Open Sans Light" w:cs="Open Sans Light"/>
                <w:b/>
                <w:bCs/>
                <w:color w:val="000000"/>
                <w:sz w:val="16"/>
                <w:szCs w:val="16"/>
                <w:lang w:eastAsia="en-AU"/>
              </w:rPr>
              <w:t>LS</w:t>
            </w:r>
            <w:r w:rsidR="00937A27">
              <w:rPr>
                <w:rFonts w:ascii="Open Sans Light" w:eastAsia="Times New Roman" w:hAnsi="Open Sans Light" w:cs="Open Sans Light"/>
                <w:b/>
                <w:bCs/>
                <w:color w:val="000000"/>
                <w:sz w:val="16"/>
                <w:szCs w:val="16"/>
                <w:lang w:eastAsia="en-AU"/>
              </w:rPr>
              <w:t xml:space="preserve"> (a)</w:t>
            </w:r>
          </w:p>
        </w:tc>
        <w:tc>
          <w:tcPr>
            <w:tcW w:w="640" w:type="dxa"/>
            <w:tcBorders>
              <w:top w:val="single" w:sz="8" w:space="0" w:color="ADD6EA"/>
              <w:left w:val="nil"/>
              <w:bottom w:val="nil"/>
              <w:right w:val="nil"/>
            </w:tcBorders>
            <w:shd w:val="clear" w:color="000000" w:fill="FFFFFF"/>
            <w:vAlign w:val="bottom"/>
            <w:hideMark/>
          </w:tcPr>
          <w:p w14:paraId="3535F866"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17</w:t>
            </w:r>
          </w:p>
        </w:tc>
        <w:tc>
          <w:tcPr>
            <w:tcW w:w="680" w:type="dxa"/>
            <w:tcBorders>
              <w:top w:val="single" w:sz="8" w:space="0" w:color="ADD6EA"/>
              <w:left w:val="nil"/>
              <w:bottom w:val="nil"/>
              <w:right w:val="nil"/>
            </w:tcBorders>
            <w:shd w:val="clear" w:color="000000" w:fill="FFFFFF"/>
            <w:vAlign w:val="bottom"/>
            <w:hideMark/>
          </w:tcPr>
          <w:p w14:paraId="72872ADB"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4684108A"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4</w:t>
            </w:r>
          </w:p>
        </w:tc>
        <w:tc>
          <w:tcPr>
            <w:tcW w:w="680" w:type="dxa"/>
            <w:tcBorders>
              <w:top w:val="single" w:sz="8" w:space="0" w:color="ADD6EA"/>
              <w:left w:val="nil"/>
              <w:bottom w:val="nil"/>
              <w:right w:val="nil"/>
            </w:tcBorders>
            <w:shd w:val="clear" w:color="000000" w:fill="FFFFFF"/>
            <w:vAlign w:val="bottom"/>
            <w:hideMark/>
          </w:tcPr>
          <w:p w14:paraId="537B5712"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-9</w:t>
            </w:r>
          </w:p>
        </w:tc>
        <w:tc>
          <w:tcPr>
            <w:tcW w:w="680" w:type="dxa"/>
            <w:tcBorders>
              <w:top w:val="single" w:sz="8" w:space="0" w:color="ADD6EA"/>
              <w:left w:val="nil"/>
              <w:bottom w:val="nil"/>
              <w:right w:val="nil"/>
            </w:tcBorders>
            <w:shd w:val="clear" w:color="000000" w:fill="FFFFFF"/>
            <w:vAlign w:val="bottom"/>
            <w:hideMark/>
          </w:tcPr>
          <w:p w14:paraId="3DC83EAE"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46197DB1"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5AF7B907"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6C82378D"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-14</w:t>
            </w:r>
          </w:p>
        </w:tc>
        <w:tc>
          <w:tcPr>
            <w:tcW w:w="680" w:type="dxa"/>
            <w:tcBorders>
              <w:top w:val="single" w:sz="8" w:space="0" w:color="ADD6EA"/>
              <w:left w:val="nil"/>
              <w:bottom w:val="nil"/>
              <w:right w:val="nil"/>
            </w:tcBorders>
            <w:shd w:val="clear" w:color="000000" w:fill="FFFFFF"/>
            <w:vAlign w:val="bottom"/>
            <w:hideMark/>
          </w:tcPr>
          <w:p w14:paraId="5A9A1FA5"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24</w:t>
            </w:r>
          </w:p>
        </w:tc>
      </w:tr>
      <w:tr w:rsidR="00601869" w:rsidRPr="00601869" w14:paraId="099BEE04"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1BFDE080" w14:textId="77777777" w:rsidR="00601869" w:rsidRPr="00601869" w:rsidRDefault="00601869" w:rsidP="00601869">
            <w:pPr>
              <w:spacing w:after="0" w:line="240" w:lineRule="auto"/>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New non-stated method</w:t>
            </w:r>
          </w:p>
        </w:tc>
        <w:tc>
          <w:tcPr>
            <w:tcW w:w="640" w:type="dxa"/>
            <w:tcBorders>
              <w:top w:val="single" w:sz="8" w:space="0" w:color="ADD6EA"/>
              <w:left w:val="nil"/>
              <w:bottom w:val="nil"/>
              <w:right w:val="nil"/>
            </w:tcBorders>
            <w:shd w:val="clear" w:color="000000" w:fill="FFFFFF"/>
            <w:vAlign w:val="bottom"/>
            <w:hideMark/>
          </w:tcPr>
          <w:p w14:paraId="759A3E3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4</w:t>
            </w:r>
          </w:p>
        </w:tc>
        <w:tc>
          <w:tcPr>
            <w:tcW w:w="680" w:type="dxa"/>
            <w:tcBorders>
              <w:top w:val="single" w:sz="8" w:space="0" w:color="ADD6EA"/>
              <w:left w:val="nil"/>
              <w:bottom w:val="nil"/>
              <w:right w:val="nil"/>
            </w:tcBorders>
            <w:shd w:val="clear" w:color="000000" w:fill="FFFFFF"/>
            <w:vAlign w:val="bottom"/>
            <w:hideMark/>
          </w:tcPr>
          <w:p w14:paraId="39522BF6"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-10</w:t>
            </w:r>
          </w:p>
        </w:tc>
        <w:tc>
          <w:tcPr>
            <w:tcW w:w="680" w:type="dxa"/>
            <w:tcBorders>
              <w:top w:val="single" w:sz="8" w:space="0" w:color="ADD6EA"/>
              <w:left w:val="nil"/>
              <w:bottom w:val="nil"/>
              <w:right w:val="nil"/>
            </w:tcBorders>
            <w:shd w:val="clear" w:color="000000" w:fill="FFFFFF"/>
            <w:vAlign w:val="bottom"/>
            <w:hideMark/>
          </w:tcPr>
          <w:p w14:paraId="206D3DA2"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5</w:t>
            </w:r>
          </w:p>
        </w:tc>
        <w:tc>
          <w:tcPr>
            <w:tcW w:w="680" w:type="dxa"/>
            <w:tcBorders>
              <w:top w:val="single" w:sz="8" w:space="0" w:color="ADD6EA"/>
              <w:left w:val="nil"/>
              <w:bottom w:val="nil"/>
              <w:right w:val="nil"/>
            </w:tcBorders>
            <w:shd w:val="clear" w:color="000000" w:fill="FFFFFF"/>
            <w:vAlign w:val="bottom"/>
            <w:hideMark/>
          </w:tcPr>
          <w:p w14:paraId="19E22B59"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14A5B15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33919021"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725311E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77E3F6C1"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7F7E50E8"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12</w:t>
            </w:r>
          </w:p>
        </w:tc>
      </w:tr>
      <w:tr w:rsidR="00601869" w:rsidRPr="00601869" w14:paraId="58B93030"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1C80F9CC" w14:textId="77777777" w:rsidR="00601869" w:rsidRPr="00601869" w:rsidRDefault="00601869" w:rsidP="00450AA5">
            <w:pPr>
              <w:spacing w:after="0" w:line="240" w:lineRule="auto"/>
              <w:ind w:left="85" w:hanging="85"/>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Removing regional costs in criminal courts</w:t>
            </w:r>
          </w:p>
        </w:tc>
        <w:tc>
          <w:tcPr>
            <w:tcW w:w="640" w:type="dxa"/>
            <w:tcBorders>
              <w:top w:val="single" w:sz="8" w:space="0" w:color="ADD6EA"/>
              <w:left w:val="nil"/>
              <w:bottom w:val="nil"/>
              <w:right w:val="nil"/>
            </w:tcBorders>
            <w:shd w:val="clear" w:color="000000" w:fill="FFFFFF"/>
            <w:vAlign w:val="bottom"/>
            <w:hideMark/>
          </w:tcPr>
          <w:p w14:paraId="1AFBD2C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12</w:t>
            </w:r>
          </w:p>
        </w:tc>
        <w:tc>
          <w:tcPr>
            <w:tcW w:w="680" w:type="dxa"/>
            <w:tcBorders>
              <w:top w:val="single" w:sz="8" w:space="0" w:color="ADD6EA"/>
              <w:left w:val="nil"/>
              <w:bottom w:val="nil"/>
              <w:right w:val="nil"/>
            </w:tcBorders>
            <w:shd w:val="clear" w:color="000000" w:fill="FFFFFF"/>
            <w:vAlign w:val="bottom"/>
            <w:hideMark/>
          </w:tcPr>
          <w:p w14:paraId="49D25464"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10</w:t>
            </w:r>
          </w:p>
        </w:tc>
        <w:tc>
          <w:tcPr>
            <w:tcW w:w="680" w:type="dxa"/>
            <w:tcBorders>
              <w:top w:val="single" w:sz="8" w:space="0" w:color="ADD6EA"/>
              <w:left w:val="nil"/>
              <w:bottom w:val="nil"/>
              <w:right w:val="nil"/>
            </w:tcBorders>
            <w:shd w:val="clear" w:color="000000" w:fill="FFFFFF"/>
            <w:vAlign w:val="bottom"/>
            <w:hideMark/>
          </w:tcPr>
          <w:p w14:paraId="24FC6555"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01C84207"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-8</w:t>
            </w:r>
          </w:p>
        </w:tc>
        <w:tc>
          <w:tcPr>
            <w:tcW w:w="680" w:type="dxa"/>
            <w:tcBorders>
              <w:top w:val="single" w:sz="8" w:space="0" w:color="ADD6EA"/>
              <w:left w:val="nil"/>
              <w:bottom w:val="nil"/>
              <w:right w:val="nil"/>
            </w:tcBorders>
            <w:shd w:val="clear" w:color="000000" w:fill="FFFFFF"/>
            <w:vAlign w:val="bottom"/>
            <w:hideMark/>
          </w:tcPr>
          <w:p w14:paraId="7A99B957"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766844A7"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191EA9C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48646C3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-15</w:t>
            </w:r>
          </w:p>
        </w:tc>
        <w:tc>
          <w:tcPr>
            <w:tcW w:w="680" w:type="dxa"/>
            <w:tcBorders>
              <w:top w:val="single" w:sz="8" w:space="0" w:color="ADD6EA"/>
              <w:left w:val="nil"/>
              <w:bottom w:val="nil"/>
              <w:right w:val="nil"/>
            </w:tcBorders>
            <w:shd w:val="clear" w:color="000000" w:fill="FFFFFF"/>
            <w:vAlign w:val="bottom"/>
            <w:hideMark/>
          </w:tcPr>
          <w:p w14:paraId="4F9979C3"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23</w:t>
            </w:r>
          </w:p>
        </w:tc>
      </w:tr>
      <w:tr w:rsidR="00601869" w:rsidRPr="00601869" w14:paraId="43CF8780"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4F0717D4" w14:textId="64CC3DD9" w:rsidR="00601869" w:rsidRPr="00601869" w:rsidRDefault="00601869" w:rsidP="00601869">
            <w:pPr>
              <w:spacing w:after="0" w:line="240" w:lineRule="auto"/>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Removing regional costs in OLS</w:t>
            </w:r>
            <w:r w:rsidR="002309B9">
              <w:rPr>
                <w:rFonts w:ascii="Open Sans Light" w:eastAsia="Times New Roman" w:hAnsi="Open Sans Light" w:cs="Open Sans Light"/>
                <w:color w:val="000000"/>
                <w:sz w:val="16"/>
                <w:szCs w:val="16"/>
                <w:lang w:eastAsia="en-AU"/>
              </w:rPr>
              <w:t xml:space="preserve"> (a)</w:t>
            </w:r>
          </w:p>
        </w:tc>
        <w:tc>
          <w:tcPr>
            <w:tcW w:w="640" w:type="dxa"/>
            <w:tcBorders>
              <w:top w:val="single" w:sz="8" w:space="0" w:color="ADD6EA"/>
              <w:left w:val="nil"/>
              <w:bottom w:val="nil"/>
              <w:right w:val="nil"/>
            </w:tcBorders>
            <w:shd w:val="clear" w:color="000000" w:fill="FFFFFF"/>
            <w:vAlign w:val="bottom"/>
            <w:hideMark/>
          </w:tcPr>
          <w:p w14:paraId="5E29FA27"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0B6E97B7"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2CBF1063"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38E475B0"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2F83C4F8"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6D282460"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38085F40"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343AF524"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54DB2637"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r>
      <w:tr w:rsidR="00601869" w:rsidRPr="00601869" w14:paraId="605650BD"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5B275AE3" w14:textId="77777777" w:rsidR="00601869" w:rsidRPr="00601869" w:rsidRDefault="00601869" w:rsidP="00601869">
            <w:pPr>
              <w:spacing w:after="0" w:line="240" w:lineRule="auto"/>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Prisons</w:t>
            </w:r>
          </w:p>
        </w:tc>
        <w:tc>
          <w:tcPr>
            <w:tcW w:w="640" w:type="dxa"/>
            <w:tcBorders>
              <w:top w:val="single" w:sz="8" w:space="0" w:color="ADD6EA"/>
              <w:left w:val="nil"/>
              <w:bottom w:val="nil"/>
              <w:right w:val="nil"/>
            </w:tcBorders>
            <w:shd w:val="clear" w:color="000000" w:fill="FFFFFF"/>
            <w:vAlign w:val="bottom"/>
            <w:hideMark/>
          </w:tcPr>
          <w:p w14:paraId="0FD69DCB"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15</w:t>
            </w:r>
          </w:p>
        </w:tc>
        <w:tc>
          <w:tcPr>
            <w:tcW w:w="680" w:type="dxa"/>
            <w:tcBorders>
              <w:top w:val="single" w:sz="8" w:space="0" w:color="ADD6EA"/>
              <w:left w:val="nil"/>
              <w:bottom w:val="nil"/>
              <w:right w:val="nil"/>
            </w:tcBorders>
            <w:shd w:val="clear" w:color="000000" w:fill="FFFFFF"/>
            <w:vAlign w:val="bottom"/>
            <w:hideMark/>
          </w:tcPr>
          <w:p w14:paraId="37703ABB"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-64</w:t>
            </w:r>
          </w:p>
        </w:tc>
        <w:tc>
          <w:tcPr>
            <w:tcW w:w="680" w:type="dxa"/>
            <w:tcBorders>
              <w:top w:val="single" w:sz="8" w:space="0" w:color="ADD6EA"/>
              <w:left w:val="nil"/>
              <w:bottom w:val="nil"/>
              <w:right w:val="nil"/>
            </w:tcBorders>
            <w:shd w:val="clear" w:color="000000" w:fill="FFFFFF"/>
            <w:vAlign w:val="bottom"/>
            <w:hideMark/>
          </w:tcPr>
          <w:p w14:paraId="6789E46F"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47</w:t>
            </w:r>
          </w:p>
        </w:tc>
        <w:tc>
          <w:tcPr>
            <w:tcW w:w="680" w:type="dxa"/>
            <w:tcBorders>
              <w:top w:val="single" w:sz="8" w:space="0" w:color="ADD6EA"/>
              <w:left w:val="nil"/>
              <w:bottom w:val="nil"/>
              <w:right w:val="nil"/>
            </w:tcBorders>
            <w:shd w:val="clear" w:color="000000" w:fill="FFFFFF"/>
            <w:vAlign w:val="bottom"/>
            <w:hideMark/>
          </w:tcPr>
          <w:p w14:paraId="300D619F"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0C66EECD"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-8</w:t>
            </w:r>
          </w:p>
        </w:tc>
        <w:tc>
          <w:tcPr>
            <w:tcW w:w="680" w:type="dxa"/>
            <w:tcBorders>
              <w:top w:val="single" w:sz="8" w:space="0" w:color="ADD6EA"/>
              <w:left w:val="nil"/>
              <w:bottom w:val="nil"/>
              <w:right w:val="nil"/>
            </w:tcBorders>
            <w:shd w:val="clear" w:color="000000" w:fill="FFFFFF"/>
            <w:vAlign w:val="bottom"/>
            <w:hideMark/>
          </w:tcPr>
          <w:p w14:paraId="63E3E05F"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8</w:t>
            </w:r>
          </w:p>
        </w:tc>
        <w:tc>
          <w:tcPr>
            <w:tcW w:w="680" w:type="dxa"/>
            <w:tcBorders>
              <w:top w:val="single" w:sz="8" w:space="0" w:color="ADD6EA"/>
              <w:left w:val="nil"/>
              <w:bottom w:val="nil"/>
              <w:right w:val="nil"/>
            </w:tcBorders>
            <w:shd w:val="clear" w:color="000000" w:fill="FFFFFF"/>
            <w:vAlign w:val="bottom"/>
            <w:hideMark/>
          </w:tcPr>
          <w:p w14:paraId="38239BAA"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-4</w:t>
            </w:r>
          </w:p>
        </w:tc>
        <w:tc>
          <w:tcPr>
            <w:tcW w:w="680" w:type="dxa"/>
            <w:tcBorders>
              <w:top w:val="single" w:sz="8" w:space="0" w:color="ADD6EA"/>
              <w:left w:val="nil"/>
              <w:bottom w:val="nil"/>
              <w:right w:val="nil"/>
            </w:tcBorders>
            <w:shd w:val="clear" w:color="000000" w:fill="FFFFFF"/>
            <w:vAlign w:val="bottom"/>
            <w:hideMark/>
          </w:tcPr>
          <w:p w14:paraId="4917ABF6"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9</w:t>
            </w:r>
          </w:p>
        </w:tc>
        <w:tc>
          <w:tcPr>
            <w:tcW w:w="680" w:type="dxa"/>
            <w:tcBorders>
              <w:top w:val="single" w:sz="8" w:space="0" w:color="ADD6EA"/>
              <w:left w:val="nil"/>
              <w:bottom w:val="nil"/>
              <w:right w:val="nil"/>
            </w:tcBorders>
            <w:shd w:val="clear" w:color="000000" w:fill="FFFFFF"/>
            <w:vAlign w:val="bottom"/>
            <w:hideMark/>
          </w:tcPr>
          <w:p w14:paraId="2C2CE917"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79</w:t>
            </w:r>
          </w:p>
        </w:tc>
      </w:tr>
      <w:tr w:rsidR="00601869" w:rsidRPr="00601869" w14:paraId="6E3611D1"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070919F0" w14:textId="77777777" w:rsidR="00601869" w:rsidRPr="00601869" w:rsidRDefault="00601869" w:rsidP="00601869">
            <w:pPr>
              <w:spacing w:after="0" w:line="240" w:lineRule="auto"/>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New non-stated method</w:t>
            </w:r>
          </w:p>
        </w:tc>
        <w:tc>
          <w:tcPr>
            <w:tcW w:w="640" w:type="dxa"/>
            <w:tcBorders>
              <w:top w:val="single" w:sz="8" w:space="0" w:color="ADD6EA"/>
              <w:left w:val="nil"/>
              <w:bottom w:val="nil"/>
              <w:right w:val="nil"/>
            </w:tcBorders>
            <w:shd w:val="clear" w:color="000000" w:fill="FFFFFF"/>
            <w:vAlign w:val="bottom"/>
            <w:hideMark/>
          </w:tcPr>
          <w:p w14:paraId="0334C5BD"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11</w:t>
            </w:r>
          </w:p>
        </w:tc>
        <w:tc>
          <w:tcPr>
            <w:tcW w:w="680" w:type="dxa"/>
            <w:tcBorders>
              <w:top w:val="single" w:sz="8" w:space="0" w:color="ADD6EA"/>
              <w:left w:val="nil"/>
              <w:bottom w:val="nil"/>
              <w:right w:val="nil"/>
            </w:tcBorders>
            <w:shd w:val="clear" w:color="000000" w:fill="FFFFFF"/>
            <w:vAlign w:val="bottom"/>
            <w:hideMark/>
          </w:tcPr>
          <w:p w14:paraId="1A9283F5"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9</w:t>
            </w:r>
          </w:p>
        </w:tc>
        <w:tc>
          <w:tcPr>
            <w:tcW w:w="680" w:type="dxa"/>
            <w:tcBorders>
              <w:top w:val="single" w:sz="8" w:space="0" w:color="ADD6EA"/>
              <w:left w:val="nil"/>
              <w:bottom w:val="nil"/>
              <w:right w:val="nil"/>
            </w:tcBorders>
            <w:shd w:val="clear" w:color="000000" w:fill="FFFFFF"/>
            <w:vAlign w:val="bottom"/>
            <w:hideMark/>
          </w:tcPr>
          <w:p w14:paraId="01DD0C80"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1835415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-9</w:t>
            </w:r>
          </w:p>
        </w:tc>
        <w:tc>
          <w:tcPr>
            <w:tcW w:w="680" w:type="dxa"/>
            <w:tcBorders>
              <w:top w:val="single" w:sz="8" w:space="0" w:color="ADD6EA"/>
              <w:left w:val="nil"/>
              <w:bottom w:val="nil"/>
              <w:right w:val="nil"/>
            </w:tcBorders>
            <w:shd w:val="clear" w:color="000000" w:fill="FFFFFF"/>
            <w:vAlign w:val="bottom"/>
            <w:hideMark/>
          </w:tcPr>
          <w:p w14:paraId="4E18CBAD"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284A7C3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4C8D52E7"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64B255D6"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-13</w:t>
            </w:r>
          </w:p>
        </w:tc>
        <w:tc>
          <w:tcPr>
            <w:tcW w:w="680" w:type="dxa"/>
            <w:tcBorders>
              <w:top w:val="single" w:sz="8" w:space="0" w:color="ADD6EA"/>
              <w:left w:val="nil"/>
              <w:bottom w:val="nil"/>
              <w:right w:val="nil"/>
            </w:tcBorders>
            <w:shd w:val="clear" w:color="000000" w:fill="FFFFFF"/>
            <w:vAlign w:val="bottom"/>
            <w:hideMark/>
          </w:tcPr>
          <w:p w14:paraId="2893DE7E"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24</w:t>
            </w:r>
          </w:p>
        </w:tc>
      </w:tr>
      <w:tr w:rsidR="00601869" w:rsidRPr="00601869" w14:paraId="7276B334"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4FD20ABB" w14:textId="77777777" w:rsidR="00601869" w:rsidRPr="00601869" w:rsidRDefault="00601869" w:rsidP="00450AA5">
            <w:pPr>
              <w:spacing w:after="0" w:line="240" w:lineRule="auto"/>
              <w:ind w:left="85" w:hanging="85"/>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Replacing regional costs with SDS gradient </w:t>
            </w:r>
          </w:p>
        </w:tc>
        <w:tc>
          <w:tcPr>
            <w:tcW w:w="640" w:type="dxa"/>
            <w:tcBorders>
              <w:top w:val="single" w:sz="8" w:space="0" w:color="ADD6EA"/>
              <w:left w:val="nil"/>
              <w:bottom w:val="nil"/>
              <w:right w:val="nil"/>
            </w:tcBorders>
            <w:shd w:val="clear" w:color="000000" w:fill="FFFFFF"/>
            <w:vAlign w:val="bottom"/>
            <w:hideMark/>
          </w:tcPr>
          <w:p w14:paraId="47F282F9"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-11</w:t>
            </w:r>
          </w:p>
        </w:tc>
        <w:tc>
          <w:tcPr>
            <w:tcW w:w="680" w:type="dxa"/>
            <w:tcBorders>
              <w:top w:val="single" w:sz="8" w:space="0" w:color="ADD6EA"/>
              <w:left w:val="nil"/>
              <w:bottom w:val="nil"/>
              <w:right w:val="nil"/>
            </w:tcBorders>
            <w:shd w:val="clear" w:color="000000" w:fill="FFFFFF"/>
            <w:vAlign w:val="bottom"/>
            <w:hideMark/>
          </w:tcPr>
          <w:p w14:paraId="3D975888"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-12</w:t>
            </w:r>
          </w:p>
        </w:tc>
        <w:tc>
          <w:tcPr>
            <w:tcW w:w="680" w:type="dxa"/>
            <w:tcBorders>
              <w:top w:val="single" w:sz="8" w:space="0" w:color="ADD6EA"/>
              <w:left w:val="nil"/>
              <w:bottom w:val="nil"/>
              <w:right w:val="nil"/>
            </w:tcBorders>
            <w:shd w:val="clear" w:color="000000" w:fill="FFFFFF"/>
            <w:vAlign w:val="bottom"/>
            <w:hideMark/>
          </w:tcPr>
          <w:p w14:paraId="722C3D95"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10</w:t>
            </w:r>
          </w:p>
        </w:tc>
        <w:tc>
          <w:tcPr>
            <w:tcW w:w="680" w:type="dxa"/>
            <w:tcBorders>
              <w:top w:val="single" w:sz="8" w:space="0" w:color="ADD6EA"/>
              <w:left w:val="nil"/>
              <w:bottom w:val="nil"/>
              <w:right w:val="nil"/>
            </w:tcBorders>
            <w:shd w:val="clear" w:color="000000" w:fill="FFFFFF"/>
            <w:vAlign w:val="bottom"/>
            <w:hideMark/>
          </w:tcPr>
          <w:p w14:paraId="264377B7"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05546141"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1123AFD1"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5</w:t>
            </w:r>
          </w:p>
        </w:tc>
        <w:tc>
          <w:tcPr>
            <w:tcW w:w="680" w:type="dxa"/>
            <w:tcBorders>
              <w:top w:val="single" w:sz="8" w:space="0" w:color="ADD6EA"/>
              <w:left w:val="nil"/>
              <w:bottom w:val="nil"/>
              <w:right w:val="nil"/>
            </w:tcBorders>
            <w:shd w:val="clear" w:color="000000" w:fill="FFFFFF"/>
            <w:vAlign w:val="bottom"/>
            <w:hideMark/>
          </w:tcPr>
          <w:p w14:paraId="211C970E"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60DBBB6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10</w:t>
            </w:r>
          </w:p>
        </w:tc>
        <w:tc>
          <w:tcPr>
            <w:tcW w:w="680" w:type="dxa"/>
            <w:tcBorders>
              <w:top w:val="single" w:sz="8" w:space="0" w:color="ADD6EA"/>
              <w:left w:val="nil"/>
              <w:bottom w:val="nil"/>
              <w:right w:val="nil"/>
            </w:tcBorders>
            <w:shd w:val="clear" w:color="000000" w:fill="FFFFFF"/>
            <w:vAlign w:val="bottom"/>
            <w:hideMark/>
          </w:tcPr>
          <w:p w14:paraId="68B1CEB6"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25</w:t>
            </w:r>
          </w:p>
        </w:tc>
      </w:tr>
      <w:tr w:rsidR="00601869" w:rsidRPr="00601869" w14:paraId="1C25B183"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1B0F0726" w14:textId="77777777" w:rsidR="00601869" w:rsidRPr="00601869" w:rsidRDefault="00601869" w:rsidP="00450AA5">
            <w:pPr>
              <w:spacing w:after="0" w:line="240" w:lineRule="auto"/>
              <w:ind w:left="85" w:hanging="85"/>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Adding juvenile detainee cost weight</w:t>
            </w:r>
          </w:p>
        </w:tc>
        <w:tc>
          <w:tcPr>
            <w:tcW w:w="640" w:type="dxa"/>
            <w:tcBorders>
              <w:top w:val="single" w:sz="8" w:space="0" w:color="ADD6EA"/>
              <w:left w:val="nil"/>
              <w:bottom w:val="nil"/>
              <w:right w:val="nil"/>
            </w:tcBorders>
            <w:shd w:val="clear" w:color="000000" w:fill="FFFFFF"/>
            <w:vAlign w:val="bottom"/>
            <w:hideMark/>
          </w:tcPr>
          <w:p w14:paraId="2A91FC0C"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15</w:t>
            </w:r>
          </w:p>
        </w:tc>
        <w:tc>
          <w:tcPr>
            <w:tcW w:w="680" w:type="dxa"/>
            <w:tcBorders>
              <w:top w:val="single" w:sz="8" w:space="0" w:color="ADD6EA"/>
              <w:left w:val="nil"/>
              <w:bottom w:val="nil"/>
              <w:right w:val="nil"/>
            </w:tcBorders>
            <w:shd w:val="clear" w:color="000000" w:fill="FFFFFF"/>
            <w:vAlign w:val="bottom"/>
            <w:hideMark/>
          </w:tcPr>
          <w:p w14:paraId="3D7F1786"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-61</w:t>
            </w:r>
          </w:p>
        </w:tc>
        <w:tc>
          <w:tcPr>
            <w:tcW w:w="680" w:type="dxa"/>
            <w:tcBorders>
              <w:top w:val="single" w:sz="8" w:space="0" w:color="ADD6EA"/>
              <w:left w:val="nil"/>
              <w:bottom w:val="nil"/>
              <w:right w:val="nil"/>
            </w:tcBorders>
            <w:shd w:val="clear" w:color="000000" w:fill="FFFFFF"/>
            <w:vAlign w:val="bottom"/>
            <w:hideMark/>
          </w:tcPr>
          <w:p w14:paraId="4FB64E3D"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35</w:t>
            </w:r>
          </w:p>
        </w:tc>
        <w:tc>
          <w:tcPr>
            <w:tcW w:w="680" w:type="dxa"/>
            <w:tcBorders>
              <w:top w:val="single" w:sz="8" w:space="0" w:color="ADD6EA"/>
              <w:left w:val="nil"/>
              <w:bottom w:val="nil"/>
              <w:right w:val="nil"/>
            </w:tcBorders>
            <w:shd w:val="clear" w:color="000000" w:fill="FFFFFF"/>
            <w:vAlign w:val="bottom"/>
            <w:hideMark/>
          </w:tcPr>
          <w:p w14:paraId="1FE45CD8"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6</w:t>
            </w:r>
          </w:p>
        </w:tc>
        <w:tc>
          <w:tcPr>
            <w:tcW w:w="680" w:type="dxa"/>
            <w:tcBorders>
              <w:top w:val="single" w:sz="8" w:space="0" w:color="ADD6EA"/>
              <w:left w:val="nil"/>
              <w:bottom w:val="nil"/>
              <w:right w:val="nil"/>
            </w:tcBorders>
            <w:shd w:val="clear" w:color="000000" w:fill="FFFFFF"/>
            <w:vAlign w:val="bottom"/>
            <w:hideMark/>
          </w:tcPr>
          <w:p w14:paraId="16CA866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-5</w:t>
            </w:r>
          </w:p>
        </w:tc>
        <w:tc>
          <w:tcPr>
            <w:tcW w:w="680" w:type="dxa"/>
            <w:tcBorders>
              <w:top w:val="single" w:sz="8" w:space="0" w:color="ADD6EA"/>
              <w:left w:val="nil"/>
              <w:bottom w:val="nil"/>
              <w:right w:val="nil"/>
            </w:tcBorders>
            <w:shd w:val="clear" w:color="000000" w:fill="FFFFFF"/>
            <w:vAlign w:val="bottom"/>
            <w:hideMark/>
          </w:tcPr>
          <w:p w14:paraId="72934FF8"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186FD788"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15AC2864"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12</w:t>
            </w:r>
          </w:p>
        </w:tc>
        <w:tc>
          <w:tcPr>
            <w:tcW w:w="680" w:type="dxa"/>
            <w:tcBorders>
              <w:top w:val="single" w:sz="8" w:space="0" w:color="ADD6EA"/>
              <w:left w:val="nil"/>
              <w:bottom w:val="nil"/>
              <w:right w:val="nil"/>
            </w:tcBorders>
            <w:shd w:val="clear" w:color="000000" w:fill="FFFFFF"/>
            <w:vAlign w:val="bottom"/>
            <w:hideMark/>
          </w:tcPr>
          <w:p w14:paraId="08964FB6"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70</w:t>
            </w:r>
          </w:p>
        </w:tc>
      </w:tr>
      <w:tr w:rsidR="00601869" w:rsidRPr="00601869" w14:paraId="765C0268"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0D6966BE" w14:textId="1DB453E3" w:rsidR="00601869" w:rsidRPr="00601869" w:rsidRDefault="00601869" w:rsidP="00601869">
            <w:pPr>
              <w:spacing w:after="0" w:line="240" w:lineRule="auto"/>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Changing age groups (</w:t>
            </w:r>
            <w:r w:rsidR="00937A27">
              <w:rPr>
                <w:rFonts w:ascii="Open Sans Light" w:eastAsia="Times New Roman" w:hAnsi="Open Sans Light" w:cs="Open Sans Light"/>
                <w:b/>
                <w:bCs/>
                <w:color w:val="000000"/>
                <w:sz w:val="16"/>
                <w:szCs w:val="16"/>
                <w:lang w:eastAsia="en-AU"/>
              </w:rPr>
              <w:t>b</w:t>
            </w:r>
            <w:r w:rsidRPr="00601869">
              <w:rPr>
                <w:rFonts w:ascii="Open Sans Light" w:eastAsia="Times New Roman" w:hAnsi="Open Sans Light" w:cs="Open Sans Light"/>
                <w:b/>
                <w:bCs/>
                <w:color w:val="000000"/>
                <w:sz w:val="16"/>
                <w:szCs w:val="16"/>
                <w:lang w:eastAsia="en-AU"/>
              </w:rPr>
              <w:t>)</w:t>
            </w:r>
          </w:p>
        </w:tc>
        <w:tc>
          <w:tcPr>
            <w:tcW w:w="640" w:type="dxa"/>
            <w:tcBorders>
              <w:top w:val="single" w:sz="8" w:space="0" w:color="ADD6EA"/>
              <w:left w:val="nil"/>
              <w:bottom w:val="nil"/>
              <w:right w:val="nil"/>
            </w:tcBorders>
            <w:shd w:val="clear" w:color="000000" w:fill="FFFFFF"/>
            <w:vAlign w:val="bottom"/>
            <w:hideMark/>
          </w:tcPr>
          <w:p w14:paraId="1F97334F"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06981E97" w14:textId="125B64D1" w:rsidR="00601869" w:rsidRPr="00601869" w:rsidRDefault="009F35CE" w:rsidP="00601869">
            <w:pPr>
              <w:spacing w:after="0" w:line="240" w:lineRule="auto"/>
              <w:jc w:val="right"/>
              <w:rPr>
                <w:rFonts w:ascii="Open Sans Light" w:eastAsia="Times New Roman" w:hAnsi="Open Sans Light" w:cs="Open Sans Light"/>
                <w:b/>
                <w:bCs/>
                <w:color w:val="000000"/>
                <w:sz w:val="16"/>
                <w:szCs w:val="16"/>
                <w:lang w:eastAsia="en-AU"/>
              </w:rPr>
            </w:pPr>
            <w:r>
              <w:rPr>
                <w:rFonts w:ascii="Open Sans Light" w:eastAsia="Times New Roman" w:hAnsi="Open Sans Light" w:cs="Open Sans Light"/>
                <w:b/>
                <w:bCs/>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14DA45E0"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14B74CA3"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5703CDC6"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47FA067C"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5DD7AFEB"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3684A14A"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192C6256"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7</w:t>
            </w:r>
          </w:p>
        </w:tc>
      </w:tr>
      <w:tr w:rsidR="00601869" w:rsidRPr="00601869" w14:paraId="09BAC388" w14:textId="77777777" w:rsidTr="00601869">
        <w:trPr>
          <w:cantSplit/>
          <w:trHeight w:val="321"/>
        </w:trPr>
        <w:tc>
          <w:tcPr>
            <w:tcW w:w="2920" w:type="dxa"/>
            <w:tcBorders>
              <w:top w:val="single" w:sz="8" w:space="0" w:color="ADD6EA"/>
              <w:left w:val="nil"/>
              <w:bottom w:val="nil"/>
              <w:right w:val="nil"/>
            </w:tcBorders>
            <w:shd w:val="clear" w:color="000000" w:fill="D6E7F0"/>
            <w:vAlign w:val="bottom"/>
            <w:hideMark/>
          </w:tcPr>
          <w:p w14:paraId="66F068BF" w14:textId="77777777" w:rsidR="00601869" w:rsidRPr="00601869" w:rsidRDefault="00601869" w:rsidP="00601869">
            <w:pPr>
              <w:spacing w:after="0" w:line="240" w:lineRule="auto"/>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 xml:space="preserve">Total </w:t>
            </w:r>
          </w:p>
        </w:tc>
        <w:tc>
          <w:tcPr>
            <w:tcW w:w="640" w:type="dxa"/>
            <w:tcBorders>
              <w:top w:val="single" w:sz="8" w:space="0" w:color="ADD6EA"/>
              <w:left w:val="nil"/>
              <w:bottom w:val="nil"/>
              <w:right w:val="nil"/>
            </w:tcBorders>
            <w:shd w:val="clear" w:color="000000" w:fill="D6E7F0"/>
            <w:vAlign w:val="bottom"/>
            <w:hideMark/>
          </w:tcPr>
          <w:p w14:paraId="2FEF4965" w14:textId="0ACEBEDB"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4</w:t>
            </w:r>
            <w:r w:rsidR="005F1D3B">
              <w:rPr>
                <w:rFonts w:ascii="Open Sans Semibold" w:eastAsia="Times New Roman" w:hAnsi="Open Sans Semibold" w:cs="Open Sans Semibold"/>
                <w:color w:val="000000"/>
                <w:sz w:val="16"/>
                <w:szCs w:val="16"/>
                <w:lang w:eastAsia="en-AU"/>
              </w:rPr>
              <w:t>9</w:t>
            </w:r>
          </w:p>
        </w:tc>
        <w:tc>
          <w:tcPr>
            <w:tcW w:w="680" w:type="dxa"/>
            <w:tcBorders>
              <w:top w:val="single" w:sz="8" w:space="0" w:color="ADD6EA"/>
              <w:left w:val="nil"/>
              <w:bottom w:val="nil"/>
              <w:right w:val="nil"/>
            </w:tcBorders>
            <w:shd w:val="clear" w:color="000000" w:fill="D6E7F0"/>
            <w:vAlign w:val="bottom"/>
            <w:hideMark/>
          </w:tcPr>
          <w:p w14:paraId="09DF71A6"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-56</w:t>
            </w:r>
          </w:p>
        </w:tc>
        <w:tc>
          <w:tcPr>
            <w:tcW w:w="680" w:type="dxa"/>
            <w:tcBorders>
              <w:top w:val="single" w:sz="8" w:space="0" w:color="ADD6EA"/>
              <w:left w:val="nil"/>
              <w:bottom w:val="nil"/>
              <w:right w:val="nil"/>
            </w:tcBorders>
            <w:shd w:val="clear" w:color="000000" w:fill="D6E7F0"/>
            <w:vAlign w:val="bottom"/>
            <w:hideMark/>
          </w:tcPr>
          <w:p w14:paraId="5C17AB7E"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32</w:t>
            </w:r>
          </w:p>
        </w:tc>
        <w:tc>
          <w:tcPr>
            <w:tcW w:w="680" w:type="dxa"/>
            <w:tcBorders>
              <w:top w:val="single" w:sz="8" w:space="0" w:color="ADD6EA"/>
              <w:left w:val="nil"/>
              <w:bottom w:val="nil"/>
              <w:right w:val="nil"/>
            </w:tcBorders>
            <w:shd w:val="clear" w:color="000000" w:fill="D6E7F0"/>
            <w:vAlign w:val="bottom"/>
            <w:hideMark/>
          </w:tcPr>
          <w:p w14:paraId="131AF7D6"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-14</w:t>
            </w:r>
          </w:p>
        </w:tc>
        <w:tc>
          <w:tcPr>
            <w:tcW w:w="680" w:type="dxa"/>
            <w:tcBorders>
              <w:top w:val="single" w:sz="8" w:space="0" w:color="ADD6EA"/>
              <w:left w:val="nil"/>
              <w:bottom w:val="nil"/>
              <w:right w:val="nil"/>
            </w:tcBorders>
            <w:shd w:val="clear" w:color="000000" w:fill="D6E7F0"/>
            <w:vAlign w:val="bottom"/>
            <w:hideMark/>
          </w:tcPr>
          <w:p w14:paraId="0CA29846"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-11</w:t>
            </w:r>
          </w:p>
        </w:tc>
        <w:tc>
          <w:tcPr>
            <w:tcW w:w="680" w:type="dxa"/>
            <w:tcBorders>
              <w:top w:val="single" w:sz="8" w:space="0" w:color="ADD6EA"/>
              <w:left w:val="nil"/>
              <w:bottom w:val="nil"/>
              <w:right w:val="nil"/>
            </w:tcBorders>
            <w:shd w:val="clear" w:color="000000" w:fill="D6E7F0"/>
            <w:vAlign w:val="bottom"/>
            <w:hideMark/>
          </w:tcPr>
          <w:p w14:paraId="54B86C80"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8</w:t>
            </w:r>
          </w:p>
        </w:tc>
        <w:tc>
          <w:tcPr>
            <w:tcW w:w="680" w:type="dxa"/>
            <w:tcBorders>
              <w:top w:val="single" w:sz="8" w:space="0" w:color="ADD6EA"/>
              <w:left w:val="nil"/>
              <w:bottom w:val="nil"/>
              <w:right w:val="nil"/>
            </w:tcBorders>
            <w:shd w:val="clear" w:color="000000" w:fill="D6E7F0"/>
            <w:vAlign w:val="bottom"/>
            <w:hideMark/>
          </w:tcPr>
          <w:p w14:paraId="422757BF"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-3</w:t>
            </w:r>
          </w:p>
        </w:tc>
        <w:tc>
          <w:tcPr>
            <w:tcW w:w="680" w:type="dxa"/>
            <w:tcBorders>
              <w:top w:val="single" w:sz="8" w:space="0" w:color="ADD6EA"/>
              <w:left w:val="nil"/>
              <w:bottom w:val="nil"/>
              <w:right w:val="nil"/>
            </w:tcBorders>
            <w:shd w:val="clear" w:color="000000" w:fill="D6E7F0"/>
            <w:vAlign w:val="bottom"/>
            <w:hideMark/>
          </w:tcPr>
          <w:p w14:paraId="7A5E0DC7"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-3</w:t>
            </w:r>
          </w:p>
        </w:tc>
        <w:tc>
          <w:tcPr>
            <w:tcW w:w="680" w:type="dxa"/>
            <w:tcBorders>
              <w:top w:val="single" w:sz="8" w:space="0" w:color="ADD6EA"/>
              <w:left w:val="nil"/>
              <w:bottom w:val="nil"/>
              <w:right w:val="nil"/>
            </w:tcBorders>
            <w:shd w:val="clear" w:color="000000" w:fill="D6E7F0"/>
            <w:vAlign w:val="bottom"/>
            <w:hideMark/>
          </w:tcPr>
          <w:p w14:paraId="054391DE" w14:textId="1B7BDAA1"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8</w:t>
            </w:r>
            <w:r w:rsidR="005F1D3B">
              <w:rPr>
                <w:rFonts w:ascii="Open Sans Semibold" w:eastAsia="Times New Roman" w:hAnsi="Open Sans Semibold" w:cs="Open Sans Semibold"/>
                <w:color w:val="000000"/>
                <w:sz w:val="16"/>
                <w:szCs w:val="16"/>
                <w:lang w:eastAsia="en-AU"/>
              </w:rPr>
              <w:t>8</w:t>
            </w:r>
          </w:p>
        </w:tc>
      </w:tr>
      <w:tr w:rsidR="00601869" w:rsidRPr="00601869" w14:paraId="4C0FBF2E" w14:textId="77777777" w:rsidTr="00601869">
        <w:trPr>
          <w:cantSplit/>
          <w:trHeight w:val="261"/>
        </w:trPr>
        <w:tc>
          <w:tcPr>
            <w:tcW w:w="2920" w:type="dxa"/>
            <w:tcBorders>
              <w:top w:val="single" w:sz="4" w:space="0" w:color="ADD6EA"/>
              <w:left w:val="nil"/>
              <w:bottom w:val="nil"/>
              <w:right w:val="nil"/>
            </w:tcBorders>
            <w:shd w:val="clear" w:color="000000" w:fill="B6D5E4"/>
            <w:vAlign w:val="bottom"/>
            <w:hideMark/>
          </w:tcPr>
          <w:p w14:paraId="01FBFF4D" w14:textId="77777777" w:rsidR="00601869" w:rsidRPr="00601869" w:rsidRDefault="00601869" w:rsidP="00601869">
            <w:pPr>
              <w:spacing w:after="0" w:line="240" w:lineRule="auto"/>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 </w:t>
            </w:r>
          </w:p>
        </w:tc>
        <w:tc>
          <w:tcPr>
            <w:tcW w:w="640" w:type="dxa"/>
            <w:tcBorders>
              <w:top w:val="single" w:sz="4" w:space="0" w:color="ADD6EA"/>
              <w:left w:val="nil"/>
              <w:bottom w:val="nil"/>
              <w:right w:val="nil"/>
            </w:tcBorders>
            <w:shd w:val="clear" w:color="000000" w:fill="B6D5E4"/>
            <w:vAlign w:val="bottom"/>
            <w:hideMark/>
          </w:tcPr>
          <w:p w14:paraId="3B7DCE51"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6460CCBF"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709BABA0"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1F141D13"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61AC36CB"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26BF023C"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08C56E46"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192428EE"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nil"/>
              <w:right w:val="nil"/>
            </w:tcBorders>
            <w:shd w:val="clear" w:color="000000" w:fill="B6D5E4"/>
            <w:vAlign w:val="bottom"/>
            <w:hideMark/>
          </w:tcPr>
          <w:p w14:paraId="1B430077"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$pc</w:t>
            </w:r>
          </w:p>
        </w:tc>
      </w:tr>
      <w:tr w:rsidR="00601869" w:rsidRPr="00601869" w14:paraId="46667657"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5C8BB39B" w14:textId="77777777" w:rsidR="00601869" w:rsidRPr="00601869" w:rsidRDefault="00601869" w:rsidP="00601869">
            <w:pPr>
              <w:spacing w:after="0" w:line="240" w:lineRule="auto"/>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Police</w:t>
            </w:r>
          </w:p>
        </w:tc>
        <w:tc>
          <w:tcPr>
            <w:tcW w:w="640" w:type="dxa"/>
            <w:tcBorders>
              <w:top w:val="single" w:sz="8" w:space="0" w:color="ADD6EA"/>
              <w:left w:val="nil"/>
              <w:bottom w:val="nil"/>
              <w:right w:val="nil"/>
            </w:tcBorders>
            <w:shd w:val="clear" w:color="000000" w:fill="FFFFFF"/>
            <w:vAlign w:val="bottom"/>
            <w:hideMark/>
          </w:tcPr>
          <w:p w14:paraId="76762124"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2CE24822"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7FF6031C"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1BE2434F"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523CE42C"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050A47DA"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76731DD4"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394C5197" w14:textId="560D4E60"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w:t>
            </w:r>
            <w:r w:rsidR="00167511">
              <w:rPr>
                <w:rFonts w:ascii="Open Sans Light" w:eastAsia="Times New Roman" w:hAnsi="Open Sans Light" w:cs="Open Sans Light"/>
                <w:b/>
                <w:bCs/>
                <w:color w:val="000000"/>
                <w:sz w:val="16"/>
                <w:szCs w:val="16"/>
                <w:lang w:eastAsia="en-AU"/>
              </w:rPr>
              <w:t>6</w:t>
            </w:r>
          </w:p>
        </w:tc>
        <w:tc>
          <w:tcPr>
            <w:tcW w:w="680" w:type="dxa"/>
            <w:tcBorders>
              <w:top w:val="single" w:sz="8" w:space="0" w:color="ADD6EA"/>
              <w:left w:val="nil"/>
              <w:bottom w:val="nil"/>
              <w:right w:val="nil"/>
            </w:tcBorders>
            <w:shd w:val="clear" w:color="000000" w:fill="FFFFFF"/>
            <w:vAlign w:val="bottom"/>
            <w:hideMark/>
          </w:tcPr>
          <w:p w14:paraId="3FE2E632"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r>
      <w:tr w:rsidR="00601869" w:rsidRPr="00601869" w14:paraId="60C50D64"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3E589BD2" w14:textId="77777777" w:rsidR="00601869" w:rsidRPr="00601869" w:rsidRDefault="00601869" w:rsidP="00450AA5">
            <w:pPr>
              <w:spacing w:after="0" w:line="240" w:lineRule="auto"/>
              <w:ind w:left="85" w:hanging="85"/>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New allocation of central costs method</w:t>
            </w:r>
          </w:p>
        </w:tc>
        <w:tc>
          <w:tcPr>
            <w:tcW w:w="640" w:type="dxa"/>
            <w:tcBorders>
              <w:top w:val="single" w:sz="8" w:space="0" w:color="ADD6EA"/>
              <w:left w:val="nil"/>
              <w:bottom w:val="nil"/>
              <w:right w:val="nil"/>
            </w:tcBorders>
            <w:shd w:val="clear" w:color="000000" w:fill="FFFFFF"/>
            <w:vAlign w:val="bottom"/>
            <w:hideMark/>
          </w:tcPr>
          <w:p w14:paraId="685E8E18"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0E7E2183"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17D85C8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626395BD"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-4</w:t>
            </w:r>
          </w:p>
        </w:tc>
        <w:tc>
          <w:tcPr>
            <w:tcW w:w="680" w:type="dxa"/>
            <w:tcBorders>
              <w:top w:val="single" w:sz="8" w:space="0" w:color="ADD6EA"/>
              <w:left w:val="nil"/>
              <w:bottom w:val="nil"/>
              <w:right w:val="nil"/>
            </w:tcBorders>
            <w:shd w:val="clear" w:color="000000" w:fill="FFFFFF"/>
            <w:vAlign w:val="bottom"/>
            <w:hideMark/>
          </w:tcPr>
          <w:p w14:paraId="217471EB"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0B42FA53"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2389ED3D"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4</w:t>
            </w:r>
          </w:p>
        </w:tc>
        <w:tc>
          <w:tcPr>
            <w:tcW w:w="680" w:type="dxa"/>
            <w:tcBorders>
              <w:top w:val="single" w:sz="8" w:space="0" w:color="ADD6EA"/>
              <w:left w:val="nil"/>
              <w:bottom w:val="nil"/>
              <w:right w:val="nil"/>
            </w:tcBorders>
            <w:shd w:val="clear" w:color="000000" w:fill="FFFFFF"/>
            <w:vAlign w:val="bottom"/>
            <w:hideMark/>
          </w:tcPr>
          <w:p w14:paraId="7D5F01A4"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-50</w:t>
            </w:r>
          </w:p>
        </w:tc>
        <w:tc>
          <w:tcPr>
            <w:tcW w:w="680" w:type="dxa"/>
            <w:tcBorders>
              <w:top w:val="single" w:sz="8" w:space="0" w:color="ADD6EA"/>
              <w:left w:val="nil"/>
              <w:bottom w:val="nil"/>
              <w:right w:val="nil"/>
            </w:tcBorders>
            <w:shd w:val="clear" w:color="000000" w:fill="FFFFFF"/>
            <w:vAlign w:val="bottom"/>
            <w:hideMark/>
          </w:tcPr>
          <w:p w14:paraId="40CEF188"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r>
      <w:tr w:rsidR="00601869" w:rsidRPr="00601869" w14:paraId="2766D4DA"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5C0E44AE" w14:textId="77777777" w:rsidR="00601869" w:rsidRPr="00601869" w:rsidRDefault="00601869" w:rsidP="00450AA5">
            <w:pPr>
              <w:spacing w:after="0" w:line="240" w:lineRule="auto"/>
              <w:ind w:left="85" w:hanging="85"/>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Combining remote and very remote</w:t>
            </w:r>
          </w:p>
        </w:tc>
        <w:tc>
          <w:tcPr>
            <w:tcW w:w="640" w:type="dxa"/>
            <w:tcBorders>
              <w:top w:val="single" w:sz="8" w:space="0" w:color="ADD6EA"/>
              <w:left w:val="nil"/>
              <w:bottom w:val="nil"/>
              <w:right w:val="nil"/>
            </w:tcBorders>
            <w:shd w:val="clear" w:color="000000" w:fill="FFFFFF"/>
            <w:vAlign w:val="bottom"/>
            <w:hideMark/>
          </w:tcPr>
          <w:p w14:paraId="2A6DBB6D"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4EBC13D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20533299"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32C8D03B"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5CE92732"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7791991B"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27AB88E3"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7AAF2B7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10</w:t>
            </w:r>
          </w:p>
        </w:tc>
        <w:tc>
          <w:tcPr>
            <w:tcW w:w="680" w:type="dxa"/>
            <w:tcBorders>
              <w:top w:val="single" w:sz="8" w:space="0" w:color="ADD6EA"/>
              <w:left w:val="nil"/>
              <w:bottom w:val="nil"/>
              <w:right w:val="nil"/>
            </w:tcBorders>
            <w:shd w:val="clear" w:color="000000" w:fill="FFFFFF"/>
            <w:vAlign w:val="bottom"/>
            <w:hideMark/>
          </w:tcPr>
          <w:p w14:paraId="2D23DE4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r>
      <w:tr w:rsidR="003E19F7" w:rsidRPr="00601869" w14:paraId="2D40B33B"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28186289" w14:textId="77777777" w:rsidR="00601869" w:rsidRPr="00601869" w:rsidRDefault="00601869" w:rsidP="00601869">
            <w:pPr>
              <w:spacing w:after="0" w:line="240" w:lineRule="auto"/>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Changing SES structure</w:t>
            </w:r>
          </w:p>
        </w:tc>
        <w:tc>
          <w:tcPr>
            <w:tcW w:w="640" w:type="dxa"/>
            <w:tcBorders>
              <w:top w:val="single" w:sz="8" w:space="0" w:color="ADD6EA"/>
              <w:left w:val="nil"/>
              <w:bottom w:val="nil"/>
              <w:right w:val="nil"/>
            </w:tcBorders>
            <w:shd w:val="clear" w:color="000000" w:fill="FFFFFF"/>
            <w:vAlign w:val="bottom"/>
            <w:hideMark/>
          </w:tcPr>
          <w:p w14:paraId="4A88E847"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0143C2B7"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1F918E92" w14:textId="1300DFF8"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w:t>
            </w:r>
            <w:r w:rsidR="001204D4">
              <w:rPr>
                <w:rFonts w:ascii="Open Sans Light" w:eastAsia="Times New Roman" w:hAnsi="Open Sans Light" w:cs="Open Sans Light"/>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2E173156"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4ACC7B5C"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21A542B7" w14:textId="0CE4021B" w:rsidR="00601869" w:rsidRPr="00601869" w:rsidRDefault="00D56998" w:rsidP="00601869">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5</w:t>
            </w:r>
          </w:p>
        </w:tc>
        <w:tc>
          <w:tcPr>
            <w:tcW w:w="680" w:type="dxa"/>
            <w:tcBorders>
              <w:top w:val="single" w:sz="8" w:space="0" w:color="ADD6EA"/>
              <w:left w:val="nil"/>
              <w:bottom w:val="nil"/>
              <w:right w:val="nil"/>
            </w:tcBorders>
            <w:shd w:val="clear" w:color="000000" w:fill="FFFFFF"/>
            <w:vAlign w:val="bottom"/>
            <w:hideMark/>
          </w:tcPr>
          <w:p w14:paraId="5BFD30C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-5</w:t>
            </w:r>
          </w:p>
        </w:tc>
        <w:tc>
          <w:tcPr>
            <w:tcW w:w="680" w:type="dxa"/>
            <w:tcBorders>
              <w:top w:val="single" w:sz="8" w:space="0" w:color="ADD6EA"/>
              <w:left w:val="nil"/>
              <w:bottom w:val="nil"/>
              <w:right w:val="nil"/>
            </w:tcBorders>
            <w:shd w:val="clear" w:color="000000" w:fill="FFFFFF"/>
            <w:vAlign w:val="bottom"/>
            <w:hideMark/>
          </w:tcPr>
          <w:p w14:paraId="1B46563C" w14:textId="511F27ED"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3</w:t>
            </w:r>
            <w:r w:rsidR="00F50D98">
              <w:rPr>
                <w:rFonts w:ascii="Open Sans Light" w:eastAsia="Times New Roman" w:hAnsi="Open Sans Light" w:cs="Open Sans Light"/>
                <w:color w:val="000000"/>
                <w:sz w:val="16"/>
                <w:szCs w:val="16"/>
                <w:lang w:eastAsia="en-AU"/>
              </w:rPr>
              <w:t>4</w:t>
            </w:r>
          </w:p>
        </w:tc>
        <w:tc>
          <w:tcPr>
            <w:tcW w:w="680" w:type="dxa"/>
            <w:tcBorders>
              <w:top w:val="single" w:sz="8" w:space="0" w:color="ADD6EA"/>
              <w:left w:val="nil"/>
              <w:bottom w:val="nil"/>
              <w:right w:val="nil"/>
            </w:tcBorders>
            <w:shd w:val="clear" w:color="000000" w:fill="FFFFFF"/>
            <w:vAlign w:val="bottom"/>
            <w:hideMark/>
          </w:tcPr>
          <w:p w14:paraId="7466F7E3"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r>
      <w:tr w:rsidR="003E19F7" w:rsidRPr="00601869" w14:paraId="6F73DE1D"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2628AA56" w14:textId="6CBD9AF0" w:rsidR="00601869" w:rsidRPr="00601869" w:rsidRDefault="00601869" w:rsidP="00601869">
            <w:pPr>
              <w:spacing w:after="0" w:line="240" w:lineRule="auto"/>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 xml:space="preserve">Criminal </w:t>
            </w:r>
            <w:r w:rsidR="00AE6C6D">
              <w:rPr>
                <w:rFonts w:ascii="Open Sans Light" w:eastAsia="Times New Roman" w:hAnsi="Open Sans Light" w:cs="Open Sans Light"/>
                <w:b/>
                <w:bCs/>
                <w:color w:val="000000"/>
                <w:sz w:val="16"/>
                <w:szCs w:val="16"/>
                <w:lang w:eastAsia="en-AU"/>
              </w:rPr>
              <w:t>c</w:t>
            </w:r>
            <w:r w:rsidRPr="00601869">
              <w:rPr>
                <w:rFonts w:ascii="Open Sans Light" w:eastAsia="Times New Roman" w:hAnsi="Open Sans Light" w:cs="Open Sans Light"/>
                <w:b/>
                <w:bCs/>
                <w:color w:val="000000"/>
                <w:sz w:val="16"/>
                <w:szCs w:val="16"/>
                <w:lang w:eastAsia="en-AU"/>
              </w:rPr>
              <w:t>ourts</w:t>
            </w:r>
            <w:r w:rsidR="00777E0D">
              <w:rPr>
                <w:rFonts w:ascii="Open Sans Light" w:eastAsia="Times New Roman" w:hAnsi="Open Sans Light" w:cs="Open Sans Light"/>
                <w:b/>
                <w:bCs/>
                <w:color w:val="000000"/>
                <w:sz w:val="16"/>
                <w:szCs w:val="16"/>
                <w:lang w:eastAsia="en-AU"/>
              </w:rPr>
              <w:t xml:space="preserve"> and OLS</w:t>
            </w:r>
            <w:r w:rsidR="00937A27">
              <w:rPr>
                <w:rFonts w:ascii="Open Sans Light" w:eastAsia="Times New Roman" w:hAnsi="Open Sans Light" w:cs="Open Sans Light"/>
                <w:b/>
                <w:bCs/>
                <w:color w:val="000000"/>
                <w:sz w:val="16"/>
                <w:szCs w:val="16"/>
                <w:lang w:eastAsia="en-AU"/>
              </w:rPr>
              <w:t xml:space="preserve"> (a)</w:t>
            </w:r>
          </w:p>
        </w:tc>
        <w:tc>
          <w:tcPr>
            <w:tcW w:w="640" w:type="dxa"/>
            <w:tcBorders>
              <w:top w:val="single" w:sz="8" w:space="0" w:color="ADD6EA"/>
              <w:left w:val="nil"/>
              <w:bottom w:val="nil"/>
              <w:right w:val="nil"/>
            </w:tcBorders>
            <w:shd w:val="clear" w:color="000000" w:fill="FFFFFF"/>
            <w:vAlign w:val="bottom"/>
            <w:hideMark/>
          </w:tcPr>
          <w:p w14:paraId="011B7F29"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16E9FA2D"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292F3F41"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149A7AB8"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0562955D"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3208C892"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16035894"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1969E532"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-53</w:t>
            </w:r>
          </w:p>
        </w:tc>
        <w:tc>
          <w:tcPr>
            <w:tcW w:w="680" w:type="dxa"/>
            <w:tcBorders>
              <w:top w:val="single" w:sz="8" w:space="0" w:color="ADD6EA"/>
              <w:left w:val="nil"/>
              <w:bottom w:val="nil"/>
              <w:right w:val="nil"/>
            </w:tcBorders>
            <w:shd w:val="clear" w:color="000000" w:fill="FFFFFF"/>
            <w:vAlign w:val="bottom"/>
            <w:hideMark/>
          </w:tcPr>
          <w:p w14:paraId="0E8A6C92"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r>
      <w:tr w:rsidR="003E19F7" w:rsidRPr="00601869" w14:paraId="7D631752"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4B1CE227" w14:textId="77777777" w:rsidR="00601869" w:rsidRPr="00601869" w:rsidRDefault="00601869" w:rsidP="00601869">
            <w:pPr>
              <w:spacing w:after="0" w:line="240" w:lineRule="auto"/>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New non-stated method</w:t>
            </w:r>
          </w:p>
        </w:tc>
        <w:tc>
          <w:tcPr>
            <w:tcW w:w="640" w:type="dxa"/>
            <w:tcBorders>
              <w:top w:val="single" w:sz="8" w:space="0" w:color="ADD6EA"/>
              <w:left w:val="nil"/>
              <w:bottom w:val="nil"/>
              <w:right w:val="nil"/>
            </w:tcBorders>
            <w:shd w:val="clear" w:color="000000" w:fill="FFFFFF"/>
            <w:vAlign w:val="bottom"/>
            <w:hideMark/>
          </w:tcPr>
          <w:p w14:paraId="2E1CCBB5"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21BFBAEB"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53728CE1"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6C9386D3"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72A84CD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3D993F4E"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3B1E73C5"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1A4C1DA4"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9</w:t>
            </w:r>
          </w:p>
        </w:tc>
        <w:tc>
          <w:tcPr>
            <w:tcW w:w="680" w:type="dxa"/>
            <w:tcBorders>
              <w:top w:val="single" w:sz="8" w:space="0" w:color="ADD6EA"/>
              <w:left w:val="nil"/>
              <w:bottom w:val="nil"/>
              <w:right w:val="nil"/>
            </w:tcBorders>
            <w:shd w:val="clear" w:color="000000" w:fill="FFFFFF"/>
            <w:vAlign w:val="bottom"/>
            <w:hideMark/>
          </w:tcPr>
          <w:p w14:paraId="7519E495"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r>
      <w:tr w:rsidR="003E19F7" w:rsidRPr="00601869" w14:paraId="12E5F1F1"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5D8293E8" w14:textId="77777777" w:rsidR="00601869" w:rsidRPr="00601869" w:rsidRDefault="00601869" w:rsidP="00450AA5">
            <w:pPr>
              <w:spacing w:after="0" w:line="240" w:lineRule="auto"/>
              <w:ind w:left="85" w:hanging="85"/>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Removing regional costs in criminal courts</w:t>
            </w:r>
          </w:p>
        </w:tc>
        <w:tc>
          <w:tcPr>
            <w:tcW w:w="640" w:type="dxa"/>
            <w:tcBorders>
              <w:top w:val="single" w:sz="8" w:space="0" w:color="ADD6EA"/>
              <w:left w:val="nil"/>
              <w:bottom w:val="nil"/>
              <w:right w:val="nil"/>
            </w:tcBorders>
            <w:shd w:val="clear" w:color="000000" w:fill="FFFFFF"/>
            <w:vAlign w:val="bottom"/>
            <w:hideMark/>
          </w:tcPr>
          <w:p w14:paraId="75711381"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0E062F1B"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1E49E060"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133173E2"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6B3750A2"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441D4525"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31F284AB"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3FD860F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-59</w:t>
            </w:r>
          </w:p>
        </w:tc>
        <w:tc>
          <w:tcPr>
            <w:tcW w:w="680" w:type="dxa"/>
            <w:tcBorders>
              <w:top w:val="single" w:sz="8" w:space="0" w:color="ADD6EA"/>
              <w:left w:val="nil"/>
              <w:bottom w:val="nil"/>
              <w:right w:val="nil"/>
            </w:tcBorders>
            <w:shd w:val="clear" w:color="000000" w:fill="FFFFFF"/>
            <w:vAlign w:val="bottom"/>
            <w:hideMark/>
          </w:tcPr>
          <w:p w14:paraId="6B0DFE69"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r>
      <w:tr w:rsidR="003E19F7" w:rsidRPr="00601869" w14:paraId="1316E4E3"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1A7F5E54" w14:textId="515BDE5D" w:rsidR="00601869" w:rsidRPr="00601869" w:rsidRDefault="00601869" w:rsidP="00601869">
            <w:pPr>
              <w:spacing w:after="0" w:line="240" w:lineRule="auto"/>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Removing regional costs in OLS</w:t>
            </w:r>
            <w:r w:rsidR="002309B9">
              <w:rPr>
                <w:rFonts w:ascii="Open Sans Light" w:eastAsia="Times New Roman" w:hAnsi="Open Sans Light" w:cs="Open Sans Light"/>
                <w:color w:val="000000"/>
                <w:sz w:val="16"/>
                <w:szCs w:val="16"/>
                <w:lang w:eastAsia="en-AU"/>
              </w:rPr>
              <w:t xml:space="preserve"> (a)</w:t>
            </w:r>
          </w:p>
        </w:tc>
        <w:tc>
          <w:tcPr>
            <w:tcW w:w="640" w:type="dxa"/>
            <w:tcBorders>
              <w:top w:val="single" w:sz="8" w:space="0" w:color="ADD6EA"/>
              <w:left w:val="nil"/>
              <w:bottom w:val="nil"/>
              <w:right w:val="nil"/>
            </w:tcBorders>
            <w:shd w:val="clear" w:color="000000" w:fill="FFFFFF"/>
            <w:vAlign w:val="bottom"/>
            <w:hideMark/>
          </w:tcPr>
          <w:p w14:paraId="235283B3"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2F9332E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3D15CA8C"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080840E4"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3FAE311C"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189EE78D"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2325C0AD"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7A5D6604"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6C1F97FE"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r>
      <w:tr w:rsidR="003E19F7" w:rsidRPr="00601869" w14:paraId="25B14E73"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70578472" w14:textId="77777777" w:rsidR="00601869" w:rsidRPr="00601869" w:rsidRDefault="00601869" w:rsidP="00601869">
            <w:pPr>
              <w:spacing w:after="0" w:line="240" w:lineRule="auto"/>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Prisons</w:t>
            </w:r>
          </w:p>
        </w:tc>
        <w:tc>
          <w:tcPr>
            <w:tcW w:w="640" w:type="dxa"/>
            <w:tcBorders>
              <w:top w:val="single" w:sz="8" w:space="0" w:color="ADD6EA"/>
              <w:left w:val="nil"/>
              <w:bottom w:val="nil"/>
              <w:right w:val="nil"/>
            </w:tcBorders>
            <w:shd w:val="clear" w:color="000000" w:fill="FFFFFF"/>
            <w:vAlign w:val="bottom"/>
            <w:hideMark/>
          </w:tcPr>
          <w:p w14:paraId="6880FB27"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372FFD2E"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-9</w:t>
            </w:r>
          </w:p>
        </w:tc>
        <w:tc>
          <w:tcPr>
            <w:tcW w:w="680" w:type="dxa"/>
            <w:tcBorders>
              <w:top w:val="single" w:sz="8" w:space="0" w:color="ADD6EA"/>
              <w:left w:val="nil"/>
              <w:bottom w:val="nil"/>
              <w:right w:val="nil"/>
            </w:tcBorders>
            <w:shd w:val="clear" w:color="000000" w:fill="FFFFFF"/>
            <w:vAlign w:val="bottom"/>
            <w:hideMark/>
          </w:tcPr>
          <w:p w14:paraId="4710AAC6"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8</w:t>
            </w:r>
          </w:p>
        </w:tc>
        <w:tc>
          <w:tcPr>
            <w:tcW w:w="680" w:type="dxa"/>
            <w:tcBorders>
              <w:top w:val="single" w:sz="8" w:space="0" w:color="ADD6EA"/>
              <w:left w:val="nil"/>
              <w:bottom w:val="nil"/>
              <w:right w:val="nil"/>
            </w:tcBorders>
            <w:shd w:val="clear" w:color="000000" w:fill="FFFFFF"/>
            <w:vAlign w:val="bottom"/>
            <w:hideMark/>
          </w:tcPr>
          <w:p w14:paraId="65743855"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36A1FCE1"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-4</w:t>
            </w:r>
          </w:p>
        </w:tc>
        <w:tc>
          <w:tcPr>
            <w:tcW w:w="680" w:type="dxa"/>
            <w:tcBorders>
              <w:top w:val="single" w:sz="8" w:space="0" w:color="ADD6EA"/>
              <w:left w:val="nil"/>
              <w:bottom w:val="nil"/>
              <w:right w:val="nil"/>
            </w:tcBorders>
            <w:shd w:val="clear" w:color="000000" w:fill="FFFFFF"/>
            <w:vAlign w:val="bottom"/>
            <w:hideMark/>
          </w:tcPr>
          <w:p w14:paraId="7F6F2212"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13</w:t>
            </w:r>
          </w:p>
        </w:tc>
        <w:tc>
          <w:tcPr>
            <w:tcW w:w="680" w:type="dxa"/>
            <w:tcBorders>
              <w:top w:val="single" w:sz="8" w:space="0" w:color="ADD6EA"/>
              <w:left w:val="nil"/>
              <w:bottom w:val="nil"/>
              <w:right w:val="nil"/>
            </w:tcBorders>
            <w:shd w:val="clear" w:color="000000" w:fill="FFFFFF"/>
            <w:vAlign w:val="bottom"/>
            <w:hideMark/>
          </w:tcPr>
          <w:p w14:paraId="657B00AD"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-8</w:t>
            </w:r>
          </w:p>
        </w:tc>
        <w:tc>
          <w:tcPr>
            <w:tcW w:w="680" w:type="dxa"/>
            <w:tcBorders>
              <w:top w:val="single" w:sz="8" w:space="0" w:color="ADD6EA"/>
              <w:left w:val="nil"/>
              <w:bottom w:val="nil"/>
              <w:right w:val="nil"/>
            </w:tcBorders>
            <w:shd w:val="clear" w:color="000000" w:fill="FFFFFF"/>
            <w:vAlign w:val="bottom"/>
            <w:hideMark/>
          </w:tcPr>
          <w:p w14:paraId="3AD5DBAB"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36</w:t>
            </w:r>
          </w:p>
        </w:tc>
        <w:tc>
          <w:tcPr>
            <w:tcW w:w="680" w:type="dxa"/>
            <w:tcBorders>
              <w:top w:val="single" w:sz="8" w:space="0" w:color="ADD6EA"/>
              <w:left w:val="nil"/>
              <w:bottom w:val="nil"/>
              <w:right w:val="nil"/>
            </w:tcBorders>
            <w:shd w:val="clear" w:color="000000" w:fill="FFFFFF"/>
            <w:vAlign w:val="bottom"/>
            <w:hideMark/>
          </w:tcPr>
          <w:p w14:paraId="3958FB66"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3</w:t>
            </w:r>
          </w:p>
        </w:tc>
      </w:tr>
      <w:tr w:rsidR="003E19F7" w:rsidRPr="00601869" w14:paraId="057B3BDC"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1E1B55D1" w14:textId="77777777" w:rsidR="00601869" w:rsidRPr="00601869" w:rsidRDefault="00601869" w:rsidP="00601869">
            <w:pPr>
              <w:spacing w:after="0" w:line="240" w:lineRule="auto"/>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New non-stated method</w:t>
            </w:r>
          </w:p>
        </w:tc>
        <w:tc>
          <w:tcPr>
            <w:tcW w:w="640" w:type="dxa"/>
            <w:tcBorders>
              <w:top w:val="single" w:sz="8" w:space="0" w:color="ADD6EA"/>
              <w:left w:val="nil"/>
              <w:bottom w:val="nil"/>
              <w:right w:val="nil"/>
            </w:tcBorders>
            <w:shd w:val="clear" w:color="000000" w:fill="FFFFFF"/>
            <w:vAlign w:val="bottom"/>
            <w:hideMark/>
          </w:tcPr>
          <w:p w14:paraId="19B7E3B5"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3EA753B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34449AA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46EEEC50"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56EC9081"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4C707DB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129432B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5A6B8B9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-52</w:t>
            </w:r>
          </w:p>
        </w:tc>
        <w:tc>
          <w:tcPr>
            <w:tcW w:w="680" w:type="dxa"/>
            <w:tcBorders>
              <w:top w:val="single" w:sz="8" w:space="0" w:color="ADD6EA"/>
              <w:left w:val="nil"/>
              <w:bottom w:val="nil"/>
              <w:right w:val="nil"/>
            </w:tcBorders>
            <w:shd w:val="clear" w:color="000000" w:fill="FFFFFF"/>
            <w:vAlign w:val="bottom"/>
            <w:hideMark/>
          </w:tcPr>
          <w:p w14:paraId="6AD8427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r>
      <w:tr w:rsidR="003E19F7" w:rsidRPr="00601869" w14:paraId="5830E996"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63B40C02" w14:textId="77777777" w:rsidR="00601869" w:rsidRPr="00601869" w:rsidRDefault="00601869" w:rsidP="00450AA5">
            <w:pPr>
              <w:spacing w:after="0" w:line="240" w:lineRule="auto"/>
              <w:ind w:left="85" w:hanging="85"/>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Replacing regional costs with SDS gradient</w:t>
            </w:r>
          </w:p>
        </w:tc>
        <w:tc>
          <w:tcPr>
            <w:tcW w:w="640" w:type="dxa"/>
            <w:tcBorders>
              <w:top w:val="single" w:sz="8" w:space="0" w:color="ADD6EA"/>
              <w:left w:val="nil"/>
              <w:bottom w:val="nil"/>
              <w:right w:val="nil"/>
            </w:tcBorders>
            <w:shd w:val="clear" w:color="000000" w:fill="FFFFFF"/>
            <w:vAlign w:val="bottom"/>
            <w:hideMark/>
          </w:tcPr>
          <w:p w14:paraId="0D3DA58F"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110529F5"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0E2748A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141B5F21"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791D1F65"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6D4A5E8C"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9</w:t>
            </w:r>
          </w:p>
        </w:tc>
        <w:tc>
          <w:tcPr>
            <w:tcW w:w="680" w:type="dxa"/>
            <w:tcBorders>
              <w:top w:val="single" w:sz="8" w:space="0" w:color="ADD6EA"/>
              <w:left w:val="nil"/>
              <w:bottom w:val="nil"/>
              <w:right w:val="nil"/>
            </w:tcBorders>
            <w:shd w:val="clear" w:color="000000" w:fill="FFFFFF"/>
            <w:vAlign w:val="bottom"/>
            <w:hideMark/>
          </w:tcPr>
          <w:p w14:paraId="591A209C"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5A61F555"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40</w:t>
            </w:r>
          </w:p>
        </w:tc>
        <w:tc>
          <w:tcPr>
            <w:tcW w:w="680" w:type="dxa"/>
            <w:tcBorders>
              <w:top w:val="single" w:sz="8" w:space="0" w:color="ADD6EA"/>
              <w:left w:val="nil"/>
              <w:bottom w:val="nil"/>
              <w:right w:val="nil"/>
            </w:tcBorders>
            <w:shd w:val="clear" w:color="000000" w:fill="FFFFFF"/>
            <w:vAlign w:val="bottom"/>
            <w:hideMark/>
          </w:tcPr>
          <w:p w14:paraId="7B0DB6F6"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1</w:t>
            </w:r>
          </w:p>
        </w:tc>
      </w:tr>
      <w:tr w:rsidR="003E19F7" w:rsidRPr="00601869" w14:paraId="00810251"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677E00D2" w14:textId="77777777" w:rsidR="00601869" w:rsidRPr="00601869" w:rsidRDefault="00601869" w:rsidP="00450AA5">
            <w:pPr>
              <w:spacing w:after="0" w:line="240" w:lineRule="auto"/>
              <w:ind w:left="85" w:hanging="85"/>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 xml:space="preserve">  Adding juvenile detainee cost weight</w:t>
            </w:r>
          </w:p>
        </w:tc>
        <w:tc>
          <w:tcPr>
            <w:tcW w:w="640" w:type="dxa"/>
            <w:tcBorders>
              <w:top w:val="single" w:sz="8" w:space="0" w:color="ADD6EA"/>
              <w:left w:val="nil"/>
              <w:bottom w:val="nil"/>
              <w:right w:val="nil"/>
            </w:tcBorders>
            <w:shd w:val="clear" w:color="000000" w:fill="FFFFFF"/>
            <w:vAlign w:val="bottom"/>
            <w:hideMark/>
          </w:tcPr>
          <w:p w14:paraId="67F2769E"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5BBD6EAD"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-9</w:t>
            </w:r>
          </w:p>
        </w:tc>
        <w:tc>
          <w:tcPr>
            <w:tcW w:w="680" w:type="dxa"/>
            <w:tcBorders>
              <w:top w:val="single" w:sz="8" w:space="0" w:color="ADD6EA"/>
              <w:left w:val="nil"/>
              <w:bottom w:val="nil"/>
              <w:right w:val="nil"/>
            </w:tcBorders>
            <w:shd w:val="clear" w:color="000000" w:fill="FFFFFF"/>
            <w:vAlign w:val="bottom"/>
            <w:hideMark/>
          </w:tcPr>
          <w:p w14:paraId="0D4BD68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6</w:t>
            </w:r>
          </w:p>
        </w:tc>
        <w:tc>
          <w:tcPr>
            <w:tcW w:w="680" w:type="dxa"/>
            <w:tcBorders>
              <w:top w:val="single" w:sz="8" w:space="0" w:color="ADD6EA"/>
              <w:left w:val="nil"/>
              <w:bottom w:val="nil"/>
              <w:right w:val="nil"/>
            </w:tcBorders>
            <w:shd w:val="clear" w:color="000000" w:fill="FFFFFF"/>
            <w:vAlign w:val="bottom"/>
            <w:hideMark/>
          </w:tcPr>
          <w:p w14:paraId="317230FE"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04CE5758"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-3</w:t>
            </w:r>
          </w:p>
        </w:tc>
        <w:tc>
          <w:tcPr>
            <w:tcW w:w="680" w:type="dxa"/>
            <w:tcBorders>
              <w:top w:val="single" w:sz="8" w:space="0" w:color="ADD6EA"/>
              <w:left w:val="nil"/>
              <w:bottom w:val="nil"/>
              <w:right w:val="nil"/>
            </w:tcBorders>
            <w:shd w:val="clear" w:color="000000" w:fill="FFFFFF"/>
            <w:vAlign w:val="bottom"/>
            <w:hideMark/>
          </w:tcPr>
          <w:p w14:paraId="7AF980FD"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50D668B0"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-7</w:t>
            </w:r>
          </w:p>
        </w:tc>
        <w:tc>
          <w:tcPr>
            <w:tcW w:w="680" w:type="dxa"/>
            <w:tcBorders>
              <w:top w:val="single" w:sz="8" w:space="0" w:color="ADD6EA"/>
              <w:left w:val="nil"/>
              <w:bottom w:val="nil"/>
              <w:right w:val="nil"/>
            </w:tcBorders>
            <w:shd w:val="clear" w:color="000000" w:fill="FFFFFF"/>
            <w:vAlign w:val="bottom"/>
            <w:hideMark/>
          </w:tcPr>
          <w:p w14:paraId="4C7B0EAA"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48</w:t>
            </w:r>
          </w:p>
        </w:tc>
        <w:tc>
          <w:tcPr>
            <w:tcW w:w="680" w:type="dxa"/>
            <w:tcBorders>
              <w:top w:val="single" w:sz="8" w:space="0" w:color="ADD6EA"/>
              <w:left w:val="nil"/>
              <w:bottom w:val="nil"/>
              <w:right w:val="nil"/>
            </w:tcBorders>
            <w:shd w:val="clear" w:color="000000" w:fill="FFFFFF"/>
            <w:vAlign w:val="bottom"/>
            <w:hideMark/>
          </w:tcPr>
          <w:p w14:paraId="27EE6AB9" w14:textId="77777777" w:rsidR="00601869" w:rsidRPr="00601869" w:rsidRDefault="00601869" w:rsidP="00601869">
            <w:pPr>
              <w:spacing w:after="0" w:line="240" w:lineRule="auto"/>
              <w:jc w:val="right"/>
              <w:rPr>
                <w:rFonts w:ascii="Open Sans Light" w:eastAsia="Times New Roman" w:hAnsi="Open Sans Light" w:cs="Open Sans Light"/>
                <w:color w:val="000000"/>
                <w:sz w:val="16"/>
                <w:szCs w:val="16"/>
                <w:lang w:eastAsia="en-AU"/>
              </w:rPr>
            </w:pPr>
            <w:r w:rsidRPr="00601869">
              <w:rPr>
                <w:rFonts w:ascii="Open Sans Light" w:eastAsia="Times New Roman" w:hAnsi="Open Sans Light" w:cs="Open Sans Light"/>
                <w:color w:val="000000"/>
                <w:sz w:val="16"/>
                <w:szCs w:val="16"/>
                <w:lang w:eastAsia="en-AU"/>
              </w:rPr>
              <w:t>3</w:t>
            </w:r>
          </w:p>
        </w:tc>
      </w:tr>
      <w:tr w:rsidR="003E19F7" w:rsidRPr="00601869" w14:paraId="0F9C1B61" w14:textId="77777777" w:rsidTr="00601869">
        <w:trPr>
          <w:cantSplit/>
          <w:trHeight w:val="321"/>
        </w:trPr>
        <w:tc>
          <w:tcPr>
            <w:tcW w:w="2920" w:type="dxa"/>
            <w:tcBorders>
              <w:top w:val="single" w:sz="8" w:space="0" w:color="ADD6EA"/>
              <w:left w:val="nil"/>
              <w:bottom w:val="nil"/>
              <w:right w:val="nil"/>
            </w:tcBorders>
            <w:shd w:val="clear" w:color="000000" w:fill="FFFFFF"/>
            <w:vAlign w:val="bottom"/>
            <w:hideMark/>
          </w:tcPr>
          <w:p w14:paraId="70429F5C" w14:textId="4F686498" w:rsidR="00601869" w:rsidRPr="00601869" w:rsidRDefault="00601869" w:rsidP="00601869">
            <w:pPr>
              <w:spacing w:after="0" w:line="240" w:lineRule="auto"/>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Changing age groups (</w:t>
            </w:r>
            <w:r w:rsidR="00937A27">
              <w:rPr>
                <w:rFonts w:ascii="Open Sans Light" w:eastAsia="Times New Roman" w:hAnsi="Open Sans Light" w:cs="Open Sans Light"/>
                <w:b/>
                <w:bCs/>
                <w:color w:val="000000"/>
                <w:sz w:val="16"/>
                <w:szCs w:val="16"/>
                <w:lang w:eastAsia="en-AU"/>
              </w:rPr>
              <w:t>b</w:t>
            </w:r>
            <w:r w:rsidRPr="00601869">
              <w:rPr>
                <w:rFonts w:ascii="Open Sans Light" w:eastAsia="Times New Roman" w:hAnsi="Open Sans Light" w:cs="Open Sans Light"/>
                <w:b/>
                <w:bCs/>
                <w:color w:val="000000"/>
                <w:sz w:val="16"/>
                <w:szCs w:val="16"/>
                <w:lang w:eastAsia="en-AU"/>
              </w:rPr>
              <w:t>)</w:t>
            </w:r>
          </w:p>
        </w:tc>
        <w:tc>
          <w:tcPr>
            <w:tcW w:w="640" w:type="dxa"/>
            <w:tcBorders>
              <w:top w:val="single" w:sz="8" w:space="0" w:color="ADD6EA"/>
              <w:left w:val="nil"/>
              <w:bottom w:val="nil"/>
              <w:right w:val="nil"/>
            </w:tcBorders>
            <w:shd w:val="clear" w:color="000000" w:fill="FFFFFF"/>
            <w:vAlign w:val="bottom"/>
            <w:hideMark/>
          </w:tcPr>
          <w:p w14:paraId="46E886A2"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6181BDC1"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49598B33"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0B3E078F"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0</w:t>
            </w:r>
          </w:p>
        </w:tc>
        <w:tc>
          <w:tcPr>
            <w:tcW w:w="680" w:type="dxa"/>
            <w:tcBorders>
              <w:top w:val="single" w:sz="8" w:space="0" w:color="ADD6EA"/>
              <w:left w:val="nil"/>
              <w:bottom w:val="nil"/>
              <w:right w:val="nil"/>
            </w:tcBorders>
            <w:shd w:val="clear" w:color="000000" w:fill="FFFFFF"/>
            <w:vAlign w:val="bottom"/>
            <w:hideMark/>
          </w:tcPr>
          <w:p w14:paraId="65B4BF3B"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w:t>
            </w:r>
          </w:p>
        </w:tc>
        <w:tc>
          <w:tcPr>
            <w:tcW w:w="680" w:type="dxa"/>
            <w:tcBorders>
              <w:top w:val="single" w:sz="8" w:space="0" w:color="ADD6EA"/>
              <w:left w:val="nil"/>
              <w:bottom w:val="nil"/>
              <w:right w:val="nil"/>
            </w:tcBorders>
            <w:shd w:val="clear" w:color="000000" w:fill="FFFFFF"/>
            <w:vAlign w:val="bottom"/>
            <w:hideMark/>
          </w:tcPr>
          <w:p w14:paraId="621922CF"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-4</w:t>
            </w:r>
          </w:p>
        </w:tc>
        <w:tc>
          <w:tcPr>
            <w:tcW w:w="680" w:type="dxa"/>
            <w:tcBorders>
              <w:top w:val="single" w:sz="8" w:space="0" w:color="ADD6EA"/>
              <w:left w:val="nil"/>
              <w:bottom w:val="nil"/>
              <w:right w:val="nil"/>
            </w:tcBorders>
            <w:shd w:val="clear" w:color="000000" w:fill="FFFFFF"/>
            <w:vAlign w:val="bottom"/>
            <w:hideMark/>
          </w:tcPr>
          <w:p w14:paraId="79593A02"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2</w:t>
            </w:r>
          </w:p>
        </w:tc>
        <w:tc>
          <w:tcPr>
            <w:tcW w:w="680" w:type="dxa"/>
            <w:tcBorders>
              <w:top w:val="single" w:sz="8" w:space="0" w:color="ADD6EA"/>
              <w:left w:val="nil"/>
              <w:bottom w:val="nil"/>
              <w:right w:val="nil"/>
            </w:tcBorders>
            <w:shd w:val="clear" w:color="000000" w:fill="FFFFFF"/>
            <w:vAlign w:val="bottom"/>
            <w:hideMark/>
          </w:tcPr>
          <w:p w14:paraId="6F13649F"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10</w:t>
            </w:r>
          </w:p>
        </w:tc>
        <w:tc>
          <w:tcPr>
            <w:tcW w:w="680" w:type="dxa"/>
            <w:tcBorders>
              <w:top w:val="single" w:sz="8" w:space="0" w:color="ADD6EA"/>
              <w:left w:val="nil"/>
              <w:bottom w:val="nil"/>
              <w:right w:val="nil"/>
            </w:tcBorders>
            <w:shd w:val="clear" w:color="000000" w:fill="FFFFFF"/>
            <w:vAlign w:val="bottom"/>
            <w:hideMark/>
          </w:tcPr>
          <w:p w14:paraId="56081861" w14:textId="77777777" w:rsidR="00601869" w:rsidRPr="00601869" w:rsidRDefault="00601869" w:rsidP="00601869">
            <w:pPr>
              <w:spacing w:after="0" w:line="240" w:lineRule="auto"/>
              <w:jc w:val="right"/>
              <w:rPr>
                <w:rFonts w:ascii="Open Sans Light" w:eastAsia="Times New Roman" w:hAnsi="Open Sans Light" w:cs="Open Sans Light"/>
                <w:b/>
                <w:bCs/>
                <w:color w:val="000000"/>
                <w:sz w:val="16"/>
                <w:szCs w:val="16"/>
                <w:lang w:eastAsia="en-AU"/>
              </w:rPr>
            </w:pPr>
            <w:r w:rsidRPr="00601869">
              <w:rPr>
                <w:rFonts w:ascii="Open Sans Light" w:eastAsia="Times New Roman" w:hAnsi="Open Sans Light" w:cs="Open Sans Light"/>
                <w:b/>
                <w:bCs/>
                <w:color w:val="000000"/>
                <w:sz w:val="16"/>
                <w:szCs w:val="16"/>
                <w:lang w:eastAsia="en-AU"/>
              </w:rPr>
              <w:t>0</w:t>
            </w:r>
          </w:p>
        </w:tc>
      </w:tr>
      <w:tr w:rsidR="003E19F7" w:rsidRPr="00601869" w14:paraId="699F9B84" w14:textId="77777777" w:rsidTr="00601869">
        <w:trPr>
          <w:cantSplit/>
          <w:trHeight w:val="321"/>
        </w:trPr>
        <w:tc>
          <w:tcPr>
            <w:tcW w:w="2920" w:type="dxa"/>
            <w:tcBorders>
              <w:top w:val="single" w:sz="8" w:space="0" w:color="ADD6EA"/>
              <w:left w:val="nil"/>
              <w:bottom w:val="single" w:sz="4" w:space="0" w:color="ADD6EA"/>
              <w:right w:val="nil"/>
            </w:tcBorders>
            <w:shd w:val="clear" w:color="000000" w:fill="D6E7F0"/>
            <w:vAlign w:val="bottom"/>
            <w:hideMark/>
          </w:tcPr>
          <w:p w14:paraId="72D31F6B" w14:textId="77777777" w:rsidR="00601869" w:rsidRPr="00601869" w:rsidRDefault="00601869" w:rsidP="00601869">
            <w:pPr>
              <w:spacing w:after="0" w:line="240" w:lineRule="auto"/>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 xml:space="preserve">Total </w:t>
            </w:r>
          </w:p>
        </w:tc>
        <w:tc>
          <w:tcPr>
            <w:tcW w:w="640" w:type="dxa"/>
            <w:tcBorders>
              <w:top w:val="single" w:sz="8" w:space="0" w:color="ADD6EA"/>
              <w:left w:val="nil"/>
              <w:bottom w:val="single" w:sz="4" w:space="0" w:color="ADD6EA"/>
              <w:right w:val="nil"/>
            </w:tcBorders>
            <w:shd w:val="clear" w:color="000000" w:fill="D6E7F0"/>
            <w:vAlign w:val="bottom"/>
            <w:hideMark/>
          </w:tcPr>
          <w:p w14:paraId="28693B24"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6</w:t>
            </w:r>
          </w:p>
        </w:tc>
        <w:tc>
          <w:tcPr>
            <w:tcW w:w="680" w:type="dxa"/>
            <w:tcBorders>
              <w:top w:val="single" w:sz="8" w:space="0" w:color="ADD6EA"/>
              <w:left w:val="nil"/>
              <w:bottom w:val="single" w:sz="4" w:space="0" w:color="ADD6EA"/>
              <w:right w:val="nil"/>
            </w:tcBorders>
            <w:shd w:val="clear" w:color="000000" w:fill="D6E7F0"/>
            <w:vAlign w:val="bottom"/>
            <w:hideMark/>
          </w:tcPr>
          <w:p w14:paraId="680EA3E0"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-8</w:t>
            </w:r>
          </w:p>
        </w:tc>
        <w:tc>
          <w:tcPr>
            <w:tcW w:w="680" w:type="dxa"/>
            <w:tcBorders>
              <w:top w:val="single" w:sz="8" w:space="0" w:color="ADD6EA"/>
              <w:left w:val="nil"/>
              <w:bottom w:val="single" w:sz="4" w:space="0" w:color="ADD6EA"/>
              <w:right w:val="nil"/>
            </w:tcBorders>
            <w:shd w:val="clear" w:color="000000" w:fill="D6E7F0"/>
            <w:vAlign w:val="bottom"/>
            <w:hideMark/>
          </w:tcPr>
          <w:p w14:paraId="14B1B360" w14:textId="4B8C3DB6" w:rsidR="00601869" w:rsidRPr="00601869" w:rsidRDefault="00B92B51" w:rsidP="00601869">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5</w:t>
            </w:r>
          </w:p>
        </w:tc>
        <w:tc>
          <w:tcPr>
            <w:tcW w:w="680" w:type="dxa"/>
            <w:tcBorders>
              <w:top w:val="single" w:sz="8" w:space="0" w:color="ADD6EA"/>
              <w:left w:val="nil"/>
              <w:bottom w:val="single" w:sz="4" w:space="0" w:color="ADD6EA"/>
              <w:right w:val="nil"/>
            </w:tcBorders>
            <w:shd w:val="clear" w:color="000000" w:fill="D6E7F0"/>
            <w:vAlign w:val="bottom"/>
            <w:hideMark/>
          </w:tcPr>
          <w:p w14:paraId="003B2C0A"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-5</w:t>
            </w:r>
          </w:p>
        </w:tc>
        <w:tc>
          <w:tcPr>
            <w:tcW w:w="680" w:type="dxa"/>
            <w:tcBorders>
              <w:top w:val="single" w:sz="8" w:space="0" w:color="ADD6EA"/>
              <w:left w:val="nil"/>
              <w:bottom w:val="single" w:sz="4" w:space="0" w:color="ADD6EA"/>
              <w:right w:val="nil"/>
            </w:tcBorders>
            <w:shd w:val="clear" w:color="000000" w:fill="D6E7F0"/>
            <w:vAlign w:val="bottom"/>
            <w:hideMark/>
          </w:tcPr>
          <w:p w14:paraId="79153E04"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-6</w:t>
            </w:r>
          </w:p>
        </w:tc>
        <w:tc>
          <w:tcPr>
            <w:tcW w:w="680" w:type="dxa"/>
            <w:tcBorders>
              <w:top w:val="single" w:sz="8" w:space="0" w:color="ADD6EA"/>
              <w:left w:val="nil"/>
              <w:bottom w:val="single" w:sz="4" w:space="0" w:color="ADD6EA"/>
              <w:right w:val="nil"/>
            </w:tcBorders>
            <w:shd w:val="clear" w:color="000000" w:fill="D6E7F0"/>
            <w:vAlign w:val="bottom"/>
            <w:hideMark/>
          </w:tcPr>
          <w:p w14:paraId="3EF91D1C"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13</w:t>
            </w:r>
          </w:p>
        </w:tc>
        <w:tc>
          <w:tcPr>
            <w:tcW w:w="680" w:type="dxa"/>
            <w:tcBorders>
              <w:top w:val="single" w:sz="8" w:space="0" w:color="ADD6EA"/>
              <w:left w:val="nil"/>
              <w:bottom w:val="single" w:sz="4" w:space="0" w:color="ADD6EA"/>
              <w:right w:val="nil"/>
            </w:tcBorders>
            <w:shd w:val="clear" w:color="000000" w:fill="D6E7F0"/>
            <w:vAlign w:val="bottom"/>
            <w:hideMark/>
          </w:tcPr>
          <w:p w14:paraId="75DE948F" w14:textId="6AA9F9B4"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w:t>
            </w:r>
            <w:r w:rsidR="00CC3175">
              <w:rPr>
                <w:rFonts w:ascii="Open Sans Semibold" w:eastAsia="Times New Roman" w:hAnsi="Open Sans Semibold" w:cs="Open Sans Semibold"/>
                <w:color w:val="000000"/>
                <w:sz w:val="16"/>
                <w:szCs w:val="16"/>
                <w:lang w:eastAsia="en-AU"/>
              </w:rPr>
              <w:t>7</w:t>
            </w:r>
          </w:p>
        </w:tc>
        <w:tc>
          <w:tcPr>
            <w:tcW w:w="680" w:type="dxa"/>
            <w:tcBorders>
              <w:top w:val="single" w:sz="8" w:space="0" w:color="ADD6EA"/>
              <w:left w:val="nil"/>
              <w:bottom w:val="single" w:sz="4" w:space="0" w:color="ADD6EA"/>
              <w:right w:val="nil"/>
            </w:tcBorders>
            <w:shd w:val="clear" w:color="000000" w:fill="D6E7F0"/>
            <w:vAlign w:val="bottom"/>
            <w:hideMark/>
          </w:tcPr>
          <w:p w14:paraId="76F62689" w14:textId="055511DF"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-1</w:t>
            </w:r>
            <w:r w:rsidR="00CA42A9">
              <w:rPr>
                <w:rFonts w:ascii="Open Sans Semibold" w:eastAsia="Times New Roman" w:hAnsi="Open Sans Semibold" w:cs="Open Sans Semibold"/>
                <w:color w:val="000000"/>
                <w:sz w:val="16"/>
                <w:szCs w:val="16"/>
                <w:lang w:eastAsia="en-AU"/>
              </w:rPr>
              <w:t>2</w:t>
            </w:r>
          </w:p>
        </w:tc>
        <w:tc>
          <w:tcPr>
            <w:tcW w:w="680" w:type="dxa"/>
            <w:tcBorders>
              <w:top w:val="single" w:sz="8" w:space="0" w:color="ADD6EA"/>
              <w:left w:val="nil"/>
              <w:bottom w:val="single" w:sz="4" w:space="0" w:color="ADD6EA"/>
              <w:right w:val="nil"/>
            </w:tcBorders>
            <w:shd w:val="clear" w:color="000000" w:fill="D6E7F0"/>
            <w:vAlign w:val="bottom"/>
            <w:hideMark/>
          </w:tcPr>
          <w:p w14:paraId="5C3147E2" w14:textId="77777777" w:rsidR="00601869" w:rsidRPr="00601869" w:rsidRDefault="00601869" w:rsidP="00601869">
            <w:pPr>
              <w:spacing w:after="0" w:line="240" w:lineRule="auto"/>
              <w:jc w:val="right"/>
              <w:rPr>
                <w:rFonts w:ascii="Open Sans Semibold" w:eastAsia="Times New Roman" w:hAnsi="Open Sans Semibold" w:cs="Open Sans Semibold"/>
                <w:color w:val="000000"/>
                <w:sz w:val="16"/>
                <w:szCs w:val="16"/>
                <w:lang w:eastAsia="en-AU"/>
              </w:rPr>
            </w:pPr>
            <w:r w:rsidRPr="00601869">
              <w:rPr>
                <w:rFonts w:ascii="Open Sans Semibold" w:eastAsia="Times New Roman" w:hAnsi="Open Sans Semibold" w:cs="Open Sans Semibold"/>
                <w:color w:val="000000"/>
                <w:sz w:val="16"/>
                <w:szCs w:val="16"/>
                <w:lang w:eastAsia="en-AU"/>
              </w:rPr>
              <w:t>3</w:t>
            </w:r>
          </w:p>
        </w:tc>
      </w:tr>
    </w:tbl>
    <w:p w14:paraId="1EED5432" w14:textId="63F5E594" w:rsidR="00937A27" w:rsidRDefault="002309B9" w:rsidP="00E02D28">
      <w:pPr>
        <w:pStyle w:val="CGC2025TableNote"/>
        <w:keepNext/>
        <w:numPr>
          <w:ilvl w:val="0"/>
          <w:numId w:val="47"/>
        </w:numPr>
      </w:pPr>
      <w:r>
        <w:t xml:space="preserve">OLS refers to </w:t>
      </w:r>
      <w:r w:rsidR="00F73986">
        <w:t xml:space="preserve">the </w:t>
      </w:r>
      <w:r>
        <w:t>other legal services</w:t>
      </w:r>
      <w:r w:rsidR="00F73986">
        <w:t xml:space="preserve"> component</w:t>
      </w:r>
      <w:r>
        <w:t xml:space="preserve">. </w:t>
      </w:r>
    </w:p>
    <w:p w14:paraId="101BCD6F" w14:textId="0A6E6657" w:rsidR="002C243F" w:rsidRDefault="00D558BD" w:rsidP="00E02D28">
      <w:pPr>
        <w:pStyle w:val="CGC2025TableNote"/>
        <w:keepNext/>
        <w:numPr>
          <w:ilvl w:val="0"/>
          <w:numId w:val="47"/>
        </w:numPr>
      </w:pPr>
      <w:r>
        <w:t>Introducing the juvenile detainee cost weight required a change to the age groups</w:t>
      </w:r>
      <w:r w:rsidR="001A4EB5">
        <w:t xml:space="preserve"> across components. This line represents the combined impact of this change.</w:t>
      </w:r>
    </w:p>
    <w:p w14:paraId="028765A1" w14:textId="327C24F5" w:rsidR="00381A0E" w:rsidRDefault="005E0D53" w:rsidP="00F0778D">
      <w:pPr>
        <w:pStyle w:val="CGC2025TableNote"/>
        <w:keepNext/>
        <w:ind w:left="567" w:hanging="454"/>
      </w:pPr>
      <w:r>
        <w:t xml:space="preserve">Note: </w:t>
      </w:r>
      <w:r w:rsidR="00381A0E">
        <w:tab/>
        <w:t>The data included in the table have not been subject to full quality assurance processes and, as such, should be treated as indicative only.</w:t>
      </w:r>
    </w:p>
    <w:p w14:paraId="1F5287E3" w14:textId="6CB48B93" w:rsidR="00381A0E" w:rsidRDefault="00381A0E" w:rsidP="00F0778D">
      <w:pPr>
        <w:pStyle w:val="CGC2025TableNote"/>
        <w:ind w:left="567" w:hanging="454"/>
      </w:pPr>
      <w:r>
        <w:tab/>
        <w:t xml:space="preserve">Indicative GST impacts are provided for illustrative purposes only and should not be used to </w:t>
      </w:r>
      <w:r w:rsidR="001F0ACD">
        <w:t xml:space="preserve">estimate </w:t>
      </w:r>
      <w:r>
        <w:t xml:space="preserve">impacts on GST distribution for </w:t>
      </w:r>
      <w:r w:rsidRPr="0054342E">
        <w:t>2026–27</w:t>
      </w:r>
      <w:r>
        <w:t>.</w:t>
      </w:r>
    </w:p>
    <w:p w14:paraId="3C33E45D" w14:textId="77777777" w:rsidR="00381A0E" w:rsidRDefault="00381A0E" w:rsidP="00381A0E">
      <w:pPr>
        <w:pStyle w:val="Heading4"/>
        <w:widowControl/>
      </w:pPr>
      <w:r>
        <w:lastRenderedPageBreak/>
        <w:t>Police</w:t>
      </w:r>
    </w:p>
    <w:p w14:paraId="2DCC868C" w14:textId="77777777" w:rsidR="00381A0E" w:rsidRDefault="00381A0E" w:rsidP="007E471B">
      <w:pPr>
        <w:pStyle w:val="CGCParaNumber"/>
        <w:numPr>
          <w:ilvl w:val="1"/>
          <w:numId w:val="16"/>
        </w:numPr>
      </w:pPr>
      <w:r w:rsidRPr="00C5795F">
        <w:t xml:space="preserve">The proposal to allocate police central costs </w:t>
      </w:r>
      <w:proofErr w:type="gramStart"/>
      <w:r w:rsidRPr="00C5795F">
        <w:t>on the basis of</w:t>
      </w:r>
      <w:proofErr w:type="gramEnd"/>
      <w:r w:rsidRPr="00C5795F">
        <w:t xml:space="preserve"> a 50% proportion of police district expenses and 50% proportion of full</w:t>
      </w:r>
      <w:r w:rsidRPr="00C5795F">
        <w:noBreakHyphen/>
        <w:t>time equivalent staff would increase the relative expenses allocated to major cities and regional areas, and lower expenses allocated to remote areas. This would reduce the assessed GST needs of states with larger remote populations, such as Western Australia and the Northern Territory. It would increase the needs of states with larger non-remote populations, such as the ACT</w:t>
      </w:r>
      <w:r>
        <w:t>.</w:t>
      </w:r>
    </w:p>
    <w:p w14:paraId="1A527CA2" w14:textId="0B451A2C" w:rsidR="00381A0E" w:rsidRDefault="007D5E16" w:rsidP="00381A0E">
      <w:pPr>
        <w:pStyle w:val="CGC2025ParaNumbers"/>
        <w:numPr>
          <w:ilvl w:val="1"/>
          <w:numId w:val="16"/>
        </w:numPr>
        <w:tabs>
          <w:tab w:val="clear" w:pos="567"/>
          <w:tab w:val="num" w:pos="993"/>
        </w:tabs>
      </w:pPr>
      <w:r>
        <w:t>C</w:t>
      </w:r>
      <w:r w:rsidR="00381A0E">
        <w:t>ombining remote and very remote costs would increase the assessed expense</w:t>
      </w:r>
      <w:r w:rsidR="00381A0E" w:rsidDel="00FE33A0">
        <w:t xml:space="preserve"> </w:t>
      </w:r>
      <w:r w:rsidR="00381A0E">
        <w:t xml:space="preserve">needs of very remote populations and decrease the needs of remote populations. This change would increase the assessed GST needs of the Northern Territory and decrease the needs of South Australia. </w:t>
      </w:r>
    </w:p>
    <w:p w14:paraId="6984092C" w14:textId="77777777" w:rsidR="00381A0E" w:rsidRDefault="00381A0E" w:rsidP="00381A0E">
      <w:pPr>
        <w:pStyle w:val="CGC2025ParaNumbers"/>
        <w:numPr>
          <w:ilvl w:val="1"/>
          <w:numId w:val="16"/>
        </w:numPr>
        <w:tabs>
          <w:tab w:val="clear" w:pos="567"/>
          <w:tab w:val="num" w:pos="993"/>
        </w:tabs>
      </w:pPr>
      <w:r>
        <w:t>Increasing the socio-economic status structure of First Nations offenders from a 3</w:t>
      </w:r>
      <w:r>
        <w:noBreakHyphen/>
        <w:t xml:space="preserve">tier system to a 5-tier system would increase the use weights applied to First Nations populations experiencing the highest level of socio-economic disadvantage and decrease the use weights applied to First Nations populations experiencing the lowest levels of socio-economic disadvantage. This change </w:t>
      </w:r>
      <w:r w:rsidDel="00B03487">
        <w:t>would</w:t>
      </w:r>
      <w:r>
        <w:t xml:space="preserve"> increase the assessed GST need of states with a greater proportion of First Nations populations experiencing the highest levels of socio-economic disadvantage, such as the Northern Territory. It would reduce needs for states with a below-average proportion of this population, such as the ACT.  </w:t>
      </w:r>
    </w:p>
    <w:p w14:paraId="0960D147" w14:textId="77777777" w:rsidR="00381A0E" w:rsidRDefault="00381A0E" w:rsidP="00381A0E">
      <w:pPr>
        <w:pStyle w:val="Heading4"/>
      </w:pPr>
      <w:r>
        <w:t>Criminal courts and other legal services</w:t>
      </w:r>
    </w:p>
    <w:p w14:paraId="624940AC" w14:textId="21319275" w:rsidR="00381A0E" w:rsidRDefault="00381A0E" w:rsidP="00381A0E">
      <w:pPr>
        <w:pStyle w:val="CGC2025ParaNumbers"/>
        <w:numPr>
          <w:ilvl w:val="1"/>
          <w:numId w:val="16"/>
        </w:numPr>
        <w:tabs>
          <w:tab w:val="clear" w:pos="567"/>
          <w:tab w:val="num" w:pos="993"/>
        </w:tabs>
      </w:pPr>
      <w:r>
        <w:t>Under the proposed method of allocating not-stated Indigenous status responses by proportions of stated responses, states with a higher proportion of First Nations people would tend to have increased assessed GST needs (such as Queensland and the Northern Territory)</w:t>
      </w:r>
      <w:r w:rsidRPr="005F6AE5">
        <w:t xml:space="preserve">. </w:t>
      </w:r>
      <w:r>
        <w:t>However, whether not</w:t>
      </w:r>
      <w:r>
        <w:noBreakHyphen/>
        <w:t>stated responses are allocated to First Nations defendants or non</w:t>
      </w:r>
      <w:r>
        <w:noBreakHyphen/>
        <w:t>Indigenous defendants under the method would depend on the composition of their individual socio</w:t>
      </w:r>
      <w:r>
        <w:noBreakHyphen/>
        <w:t>demographic sub</w:t>
      </w:r>
      <w:r>
        <w:noBreakHyphen/>
        <w:t>group. The largest increases in numbers of defendants that identify as First</w:t>
      </w:r>
      <w:r w:rsidR="00B60B99">
        <w:t> </w:t>
      </w:r>
      <w:r>
        <w:t>Nations are in major cities and inner regional areas. There is a corresponding decrease in non</w:t>
      </w:r>
      <w:r>
        <w:noBreakHyphen/>
        <w:t>Indigenous defendants in the same areas. In some states, such as New South Wales and Queensland, the combination of changes would increase assessed GST needs, but in others, such as Victoria, needs would be reduced.</w:t>
      </w:r>
    </w:p>
    <w:p w14:paraId="2F42E2F2" w14:textId="77777777" w:rsidR="00381A0E" w:rsidRDefault="00381A0E" w:rsidP="00381A0E">
      <w:pPr>
        <w:pStyle w:val="CGC2025ParaNumbers"/>
        <w:numPr>
          <w:ilvl w:val="1"/>
          <w:numId w:val="16"/>
        </w:numPr>
        <w:tabs>
          <w:tab w:val="clear" w:pos="567"/>
          <w:tab w:val="num" w:pos="993"/>
        </w:tabs>
      </w:pPr>
      <w:r>
        <w:t>Removing the regional gradient from the assessments of criminal courts and other legal services would decrease the assessed GST needs of states with larger remote populations, such as Western Australia and the Northern Territory, and increase needs for states with a smaller proportion of remote populations, such as New South Wales and Victoria.</w:t>
      </w:r>
    </w:p>
    <w:p w14:paraId="34093D4D" w14:textId="77777777" w:rsidR="00381A0E" w:rsidRDefault="00381A0E" w:rsidP="00381A0E">
      <w:pPr>
        <w:pStyle w:val="Heading4"/>
      </w:pPr>
      <w:r>
        <w:lastRenderedPageBreak/>
        <w:t>Prisons</w:t>
      </w:r>
    </w:p>
    <w:p w14:paraId="57D52738" w14:textId="1D3F6C53" w:rsidR="00542AAB" w:rsidRPr="00947A12" w:rsidRDefault="007123B9" w:rsidP="00381A0E">
      <w:pPr>
        <w:pStyle w:val="CGC2025ParaNumbers"/>
        <w:numPr>
          <w:ilvl w:val="1"/>
          <w:numId w:val="16"/>
        </w:numPr>
        <w:tabs>
          <w:tab w:val="clear" w:pos="567"/>
          <w:tab w:val="num" w:pos="993"/>
        </w:tabs>
      </w:pPr>
      <w:r w:rsidRPr="00947A12">
        <w:t>Introducing an assessment of the additional costs of j</w:t>
      </w:r>
      <w:r w:rsidR="00542AAB" w:rsidRPr="00947A12">
        <w:t>uvenile detainees</w:t>
      </w:r>
      <w:r w:rsidR="009A39A8" w:rsidRPr="00947A12">
        <w:t xml:space="preserve"> increase</w:t>
      </w:r>
      <w:r w:rsidR="00D24F85" w:rsidRPr="00947A12">
        <w:t>s</w:t>
      </w:r>
      <w:r w:rsidR="009660EF" w:rsidRPr="00947A12">
        <w:t xml:space="preserve"> </w:t>
      </w:r>
      <w:r w:rsidR="004A11DC" w:rsidRPr="00947A12">
        <w:t xml:space="preserve">the assessed GST needs of states with </w:t>
      </w:r>
      <w:r w:rsidR="00333972" w:rsidRPr="00947A12">
        <w:t>a greater share of</w:t>
      </w:r>
      <w:r w:rsidR="00C85AE8" w:rsidRPr="00947A12">
        <w:t xml:space="preserve"> </w:t>
      </w:r>
      <w:r w:rsidR="00705F54" w:rsidRPr="00947A12">
        <w:t>the assessed juvenile detainee population</w:t>
      </w:r>
      <w:r w:rsidR="00A95542" w:rsidRPr="00947A12">
        <w:t xml:space="preserve">, </w:t>
      </w:r>
      <w:r w:rsidR="00CA4EED" w:rsidRPr="00947A12">
        <w:t>such as the Norther</w:t>
      </w:r>
      <w:r w:rsidR="00967D47" w:rsidRPr="00947A12">
        <w:t>n</w:t>
      </w:r>
      <w:r w:rsidR="00CA4EED" w:rsidRPr="00947A12">
        <w:t xml:space="preserve"> Territory.</w:t>
      </w:r>
      <w:r w:rsidR="00C85AE8" w:rsidRPr="00947A12">
        <w:t xml:space="preserve"> </w:t>
      </w:r>
      <w:r w:rsidR="007640A7" w:rsidRPr="00947A12">
        <w:t xml:space="preserve">This is </w:t>
      </w:r>
      <w:r w:rsidR="00E335CD" w:rsidRPr="00947A12">
        <w:t xml:space="preserve">largely </w:t>
      </w:r>
      <w:r w:rsidR="007640A7" w:rsidRPr="00947A12">
        <w:t>driven by states</w:t>
      </w:r>
      <w:r w:rsidR="008B3E4B" w:rsidRPr="00947A12">
        <w:t>’</w:t>
      </w:r>
      <w:r w:rsidR="007640A7" w:rsidRPr="00947A12">
        <w:t xml:space="preserve"> relative shares of </w:t>
      </w:r>
      <w:r w:rsidR="00B33A14" w:rsidRPr="00947A12">
        <w:t xml:space="preserve">the </w:t>
      </w:r>
      <w:r w:rsidR="007640A7" w:rsidRPr="00947A12">
        <w:t>0-17</w:t>
      </w:r>
      <w:r w:rsidR="00E42BA7" w:rsidRPr="00947A12">
        <w:t xml:space="preserve"> </w:t>
      </w:r>
      <w:r w:rsidR="00B33A14" w:rsidRPr="00947A12">
        <w:t>aged population</w:t>
      </w:r>
      <w:r w:rsidR="00EE7993" w:rsidRPr="00947A12">
        <w:t>, predominately those</w:t>
      </w:r>
      <w:r w:rsidR="00E42BA7" w:rsidRPr="00947A12">
        <w:t xml:space="preserve"> who experience disadvantage</w:t>
      </w:r>
      <w:r w:rsidR="00C55058" w:rsidRPr="00947A12">
        <w:t xml:space="preserve"> and</w:t>
      </w:r>
      <w:r w:rsidR="00EF3C80" w:rsidRPr="00947A12">
        <w:t>/or</w:t>
      </w:r>
      <w:r w:rsidR="00C55058" w:rsidRPr="00947A12">
        <w:t xml:space="preserve"> who identify as First Nations. </w:t>
      </w:r>
    </w:p>
    <w:p w14:paraId="61816F37" w14:textId="77777777" w:rsidR="00381A0E" w:rsidRDefault="00381A0E" w:rsidP="00381A0E">
      <w:pPr>
        <w:pStyle w:val="CGC2025ParaNumbers"/>
        <w:numPr>
          <w:ilvl w:val="1"/>
          <w:numId w:val="16"/>
        </w:numPr>
        <w:tabs>
          <w:tab w:val="clear" w:pos="567"/>
          <w:tab w:val="num" w:pos="993"/>
        </w:tabs>
      </w:pPr>
      <w:r>
        <w:t>The proposed method of allocating not-stated Indigenous status of defendants in criminal courts assessment impacts the prisons assessment because defendant data are used to impute the socio-economic profile of prisoners. The change would reduce the share of prisoners who identify as First Nations who experience highest level of socio-economic disadvantage. This would reduce the assessed GST needs of states with a greater proportion of First Nations populations experiencing the highest level of socio</w:t>
      </w:r>
      <w:r>
        <w:noBreakHyphen/>
        <w:t>economic disadvantage, particularly the Northern Territory. It would increase needs for states with a below-average proportion of this population, such as the ACT.</w:t>
      </w:r>
    </w:p>
    <w:p w14:paraId="3D946C52" w14:textId="77777777" w:rsidR="00381A0E" w:rsidRDefault="00381A0E" w:rsidP="00381A0E">
      <w:pPr>
        <w:pStyle w:val="CGC2025ParaNumbers"/>
        <w:numPr>
          <w:ilvl w:val="1"/>
          <w:numId w:val="16"/>
        </w:numPr>
        <w:tabs>
          <w:tab w:val="clear" w:pos="567"/>
          <w:tab w:val="num" w:pos="993"/>
        </w:tabs>
      </w:pPr>
      <w:r>
        <w:t xml:space="preserve">Replacing the regional cost gradient with the general service delivery scale gradient would increase the assessed cost per prisoner in regional areas and very remote areas and reduce the assessed cost per prisoner in remote areas. This would increase the assessed GST needs of states with greater shares of regional populations, such as Tasmania, and/or very remote populations, such as </w:t>
      </w:r>
      <w:r w:rsidRPr="00D47FF4">
        <w:t xml:space="preserve">the </w:t>
      </w:r>
      <w:r>
        <w:t xml:space="preserve">Northern Territory. </w:t>
      </w:r>
    </w:p>
    <w:p w14:paraId="399FA306" w14:textId="77777777" w:rsidR="00840AE3" w:rsidRDefault="00840AE3" w:rsidP="00840AE3">
      <w:pPr>
        <w:pStyle w:val="CGC2025ParaNumbers"/>
        <w:numPr>
          <w:ilvl w:val="0"/>
          <w:numId w:val="0"/>
        </w:numPr>
      </w:pPr>
    </w:p>
    <w:p w14:paraId="4752186A" w14:textId="77777777" w:rsidR="00840AE3" w:rsidRDefault="00840AE3" w:rsidP="00C5795F">
      <w:pPr>
        <w:pStyle w:val="CGCParaNumber"/>
        <w:numPr>
          <w:ilvl w:val="0"/>
          <w:numId w:val="0"/>
        </w:numPr>
        <w:sectPr w:rsidR="00840AE3" w:rsidSect="005D5F89">
          <w:pgSz w:w="11906" w:h="16838"/>
          <w:pgMar w:top="1440" w:right="1440" w:bottom="1440" w:left="1440" w:header="708" w:footer="708" w:gutter="0"/>
          <w:cols w:space="708"/>
          <w:titlePg/>
          <w:docGrid w:linePitch="360"/>
        </w:sectPr>
      </w:pPr>
    </w:p>
    <w:p w14:paraId="3BC801F0" w14:textId="1953D81C" w:rsidR="00DB53FB" w:rsidRDefault="0099215E" w:rsidP="00F56B0C">
      <w:pPr>
        <w:pStyle w:val="Heading2"/>
      </w:pPr>
      <w:r>
        <w:lastRenderedPageBreak/>
        <w:t>Attachment A</w:t>
      </w:r>
      <w:r w:rsidR="00F56B0C">
        <w:t xml:space="preserve">: </w:t>
      </w:r>
      <w:r w:rsidR="009D4D72" w:rsidRPr="00D71E55">
        <w:rPr>
          <w:b w:val="0"/>
        </w:rPr>
        <w:t>2022</w:t>
      </w:r>
      <w:r w:rsidR="00966999" w:rsidRPr="00D71E55">
        <w:rPr>
          <w:b w:val="0"/>
        </w:rPr>
        <w:t>–</w:t>
      </w:r>
      <w:r w:rsidR="009D4D72" w:rsidRPr="00D71E55">
        <w:rPr>
          <w:b w:val="0"/>
        </w:rPr>
        <w:t xml:space="preserve">23 and </w:t>
      </w:r>
      <w:r w:rsidR="00F56B0C" w:rsidRPr="00D71E55">
        <w:rPr>
          <w:b w:val="0"/>
        </w:rPr>
        <w:t>2023</w:t>
      </w:r>
      <w:r w:rsidR="00966999" w:rsidRPr="00D71E55">
        <w:rPr>
          <w:b w:val="0"/>
        </w:rPr>
        <w:t>–</w:t>
      </w:r>
      <w:r w:rsidR="00F56B0C" w:rsidRPr="00D71E55">
        <w:rPr>
          <w:b w:val="0"/>
        </w:rPr>
        <w:t>24 data</w:t>
      </w:r>
    </w:p>
    <w:p w14:paraId="42CD34B8" w14:textId="0C6FAB3F" w:rsidR="00F56B0C" w:rsidRPr="009E0E32" w:rsidRDefault="00F56B0C" w:rsidP="00D71E55">
      <w:pPr>
        <w:pStyle w:val="Heading4"/>
      </w:pPr>
      <w:r>
        <w:t>Police</w:t>
      </w:r>
    </w:p>
    <w:p w14:paraId="736DE99B" w14:textId="66C101E0" w:rsidR="00F56B0C" w:rsidRDefault="00F56B0C" w:rsidP="007E471B">
      <w:pPr>
        <w:pStyle w:val="CGCParaNumber"/>
        <w:numPr>
          <w:ilvl w:val="1"/>
          <w:numId w:val="16"/>
        </w:numPr>
      </w:pPr>
      <w:r>
        <w:t>State provided data for 2023</w:t>
      </w:r>
      <w:r w:rsidR="00966999">
        <w:t>–</w:t>
      </w:r>
      <w:r>
        <w:t xml:space="preserve">24 reaffirm that, on a national level, First Nations people have a higher proportion of offenders per capita than non-Indigenous people. This relationship is observable in every state.  </w:t>
      </w:r>
    </w:p>
    <w:p w14:paraId="3990A207" w14:textId="44BD2BB5" w:rsidR="00F56B0C" w:rsidRDefault="00F56B0C" w:rsidP="008C290F">
      <w:pPr>
        <w:pStyle w:val="CGC2025Caption"/>
        <w:ind w:left="1134" w:hanging="1134"/>
      </w:pPr>
      <w:r>
        <w:t xml:space="preserve">Figure </w:t>
      </w:r>
      <w:r w:rsidR="0071349E">
        <w:t>A-1</w:t>
      </w:r>
      <w:r>
        <w:t xml:space="preserve"> </w:t>
      </w:r>
      <w:r w:rsidR="008C290F">
        <w:tab/>
      </w:r>
      <w:r>
        <w:t>Offence rates by Indigenous status per 1,000 persons, average of 2022</w:t>
      </w:r>
      <w:r w:rsidR="00966999">
        <w:t>–</w:t>
      </w:r>
      <w:r>
        <w:t>23 and 2023</w:t>
      </w:r>
      <w:r w:rsidR="00966999">
        <w:t>–</w:t>
      </w:r>
      <w:r>
        <w:t>24 data</w:t>
      </w:r>
    </w:p>
    <w:p w14:paraId="7CA4C1F4" w14:textId="3C3E877F" w:rsidR="00F56B0C" w:rsidRDefault="00363E37" w:rsidP="00C5795F">
      <w:pPr>
        <w:pStyle w:val="CGCParaNumber"/>
        <w:numPr>
          <w:ilvl w:val="0"/>
          <w:numId w:val="0"/>
        </w:numPr>
      </w:pPr>
      <w:r>
        <w:rPr>
          <w:noProof/>
        </w:rPr>
        <w:drawing>
          <wp:inline distT="0" distB="0" distL="0" distR="0" wp14:anchorId="4D585ED3" wp14:editId="22618F28">
            <wp:extent cx="5677200" cy="3600000"/>
            <wp:effectExtent l="0" t="0" r="0" b="635"/>
            <wp:docPr id="896233992" name="Chart 1">
              <a:extLst xmlns:a="http://schemas.openxmlformats.org/drawingml/2006/main">
                <a:ext uri="{FF2B5EF4-FFF2-40B4-BE49-F238E27FC236}">
                  <a16:creationId xmlns:a16="http://schemas.microsoft.com/office/drawing/2014/main" id="{06AC049C-CC66-44F5-AC45-00DA14512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B19E8E" w14:textId="27D5A86E" w:rsidR="00F56B0C" w:rsidRDefault="00F56B0C" w:rsidP="007E471B">
      <w:pPr>
        <w:pStyle w:val="CGCParaNumber"/>
        <w:numPr>
          <w:ilvl w:val="1"/>
          <w:numId w:val="16"/>
        </w:numPr>
      </w:pPr>
      <w:r>
        <w:t>National offence rates remain higher amongst younger cohorts after the inclusion of 2023</w:t>
      </w:r>
      <w:r w:rsidR="00704419">
        <w:t>–</w:t>
      </w:r>
      <w:r>
        <w:t>24 data. The 18</w:t>
      </w:r>
      <w:r w:rsidR="00704419">
        <w:t>–</w:t>
      </w:r>
      <w:r>
        <w:t>24 and 25</w:t>
      </w:r>
      <w:r w:rsidR="00704419">
        <w:t>–</w:t>
      </w:r>
      <w:r>
        <w:t>44 age groups are the highest per capita offenders for both First Nations and non</w:t>
      </w:r>
      <w:r>
        <w:noBreakHyphen/>
        <w:t xml:space="preserve">Indigenous populations. </w:t>
      </w:r>
    </w:p>
    <w:p w14:paraId="541CA399" w14:textId="3EEF9EA1" w:rsidR="00F56B0C" w:rsidRDefault="00F56B0C" w:rsidP="007E471B">
      <w:pPr>
        <w:pStyle w:val="CGCParaNumber"/>
        <w:numPr>
          <w:ilvl w:val="1"/>
          <w:numId w:val="16"/>
        </w:numPr>
      </w:pPr>
      <w:r>
        <w:t>By introducing an assessment for juvenile detainees, the Commission will alter the age group structures for the police, criminal courts and prisons components. The Commission will now use a 0</w:t>
      </w:r>
      <w:r w:rsidR="00061A3C">
        <w:t>–</w:t>
      </w:r>
      <w:r>
        <w:t>17 age group (instead of a 0</w:t>
      </w:r>
      <w:r w:rsidR="00061A3C">
        <w:t>–</w:t>
      </w:r>
      <w:r>
        <w:t xml:space="preserve">14 age group) and </w:t>
      </w:r>
      <w:proofErr w:type="gramStart"/>
      <w:r>
        <w:t>a</w:t>
      </w:r>
      <w:proofErr w:type="gramEnd"/>
      <w:r>
        <w:t xml:space="preserve"> 18</w:t>
      </w:r>
      <w:r w:rsidR="00061A3C">
        <w:t>–</w:t>
      </w:r>
      <w:r>
        <w:t>24 age group (instead of a 15</w:t>
      </w:r>
      <w:r w:rsidR="00061A3C">
        <w:t>–</w:t>
      </w:r>
      <w:r>
        <w:t xml:space="preserve">24 age group). The other age groups are unchanged. Altering these age groups have increased the </w:t>
      </w:r>
      <w:proofErr w:type="gramStart"/>
      <w:r>
        <w:t>amount</w:t>
      </w:r>
      <w:proofErr w:type="gramEnd"/>
      <w:r>
        <w:t xml:space="preserve"> of per capita offenders assessed in the youngest age group (0</w:t>
      </w:r>
      <w:r w:rsidR="00061A3C">
        <w:t>–</w:t>
      </w:r>
      <w:r>
        <w:t>17), and decreased the number of per capita offenders in the second youngest age group (18</w:t>
      </w:r>
      <w:r w:rsidR="00061A3C">
        <w:t>–</w:t>
      </w:r>
      <w:r>
        <w:t xml:space="preserve">24). </w:t>
      </w:r>
    </w:p>
    <w:p w14:paraId="69BD01A4" w14:textId="11F455CC" w:rsidR="00F56B0C" w:rsidRDefault="00F56B0C" w:rsidP="008C290F">
      <w:pPr>
        <w:pStyle w:val="CGC2025Caption"/>
        <w:keepNext/>
        <w:ind w:left="1134" w:hanging="1134"/>
      </w:pPr>
      <w:r>
        <w:lastRenderedPageBreak/>
        <w:t xml:space="preserve">Figure </w:t>
      </w:r>
      <w:r w:rsidR="0071349E">
        <w:t>A-2</w:t>
      </w:r>
      <w:r>
        <w:t xml:space="preserve"> </w:t>
      </w:r>
      <w:r w:rsidR="008C290F">
        <w:tab/>
      </w:r>
      <w:r>
        <w:t>Offence rates by Indigenous status and age per 1,000 offenders, 2022</w:t>
      </w:r>
      <w:r w:rsidR="00966999">
        <w:t>–</w:t>
      </w:r>
      <w:r>
        <w:t>23 and 2023</w:t>
      </w:r>
      <w:r w:rsidR="00966999">
        <w:t>–</w:t>
      </w:r>
      <w:r>
        <w:t>24 data</w:t>
      </w:r>
    </w:p>
    <w:p w14:paraId="12F4E159" w14:textId="45E0E9AE" w:rsidR="00F56B0C" w:rsidRDefault="00A11F5A" w:rsidP="00C5795F">
      <w:pPr>
        <w:pStyle w:val="CGCParaNumber"/>
        <w:numPr>
          <w:ilvl w:val="0"/>
          <w:numId w:val="0"/>
        </w:numPr>
      </w:pPr>
      <w:r>
        <w:rPr>
          <w:noProof/>
        </w:rPr>
        <w:drawing>
          <wp:inline distT="0" distB="0" distL="0" distR="0" wp14:anchorId="26254695" wp14:editId="54A1E2A0">
            <wp:extent cx="5677200" cy="3818277"/>
            <wp:effectExtent l="0" t="0" r="0" b="10795"/>
            <wp:docPr id="420522272" name="Chart 1">
              <a:extLst xmlns:a="http://schemas.openxmlformats.org/drawingml/2006/main">
                <a:ext uri="{FF2B5EF4-FFF2-40B4-BE49-F238E27FC236}">
                  <a16:creationId xmlns:a16="http://schemas.microsoft.com/office/drawing/2014/main" id="{EF50418B-830B-4DFF-BE68-DE1CD9AF4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775D4F8" w14:textId="55E2CED0" w:rsidR="00F56B0C" w:rsidRDefault="00F56B0C" w:rsidP="007E471B">
      <w:pPr>
        <w:pStyle w:val="CGCParaNumber"/>
        <w:numPr>
          <w:ilvl w:val="1"/>
          <w:numId w:val="16"/>
        </w:numPr>
      </w:pPr>
      <w:r>
        <w:t>The Commission found that a national pattern continues to exist between offence rates and socio-economic status after the inclusion of 2023</w:t>
      </w:r>
      <w:r w:rsidR="00966999">
        <w:t>–</w:t>
      </w:r>
      <w:r>
        <w:t>24 data into the assessment. The Commission discusses this issue in further detail in the police assessment section.</w:t>
      </w:r>
    </w:p>
    <w:p w14:paraId="5E780C6D" w14:textId="77777777" w:rsidR="00F56B0C" w:rsidRDefault="00F56B0C" w:rsidP="00D71E55">
      <w:pPr>
        <w:pStyle w:val="Heading4"/>
      </w:pPr>
      <w:r>
        <w:t>Criminal courts</w:t>
      </w:r>
    </w:p>
    <w:p w14:paraId="3E81A5BD" w14:textId="17214329" w:rsidR="00F56B0C" w:rsidRDefault="00F56B0C" w:rsidP="007E471B">
      <w:pPr>
        <w:pStyle w:val="CGCParaNumber"/>
        <w:numPr>
          <w:ilvl w:val="1"/>
          <w:numId w:val="16"/>
        </w:numPr>
      </w:pPr>
      <w:r>
        <w:t>There continues to be a higher proportion of First Nations defendants per 1,000 persons than non</w:t>
      </w:r>
      <w:r>
        <w:noBreakHyphen/>
        <w:t>Indigenous defendants, including after 2023</w:t>
      </w:r>
      <w:r w:rsidR="00966999">
        <w:t>–</w:t>
      </w:r>
      <w:r>
        <w:t xml:space="preserve">24 data has been incorporated into the assessment. </w:t>
      </w:r>
    </w:p>
    <w:p w14:paraId="0EC00BF8" w14:textId="2ABC0BB0" w:rsidR="00F56B0C" w:rsidRDefault="00F56B0C" w:rsidP="008C290F">
      <w:pPr>
        <w:pStyle w:val="CGC2025Caption"/>
        <w:keepNext/>
        <w:ind w:left="1134" w:hanging="1134"/>
      </w:pPr>
      <w:r>
        <w:lastRenderedPageBreak/>
        <w:t xml:space="preserve">Figure </w:t>
      </w:r>
      <w:r w:rsidR="0071349E">
        <w:t>A-3</w:t>
      </w:r>
      <w:r>
        <w:t xml:space="preserve"> </w:t>
      </w:r>
      <w:r w:rsidR="008C290F">
        <w:tab/>
      </w:r>
      <w:r>
        <w:t>Defendants by Indigenous status per 1,000 persons, average of 2022</w:t>
      </w:r>
      <w:r w:rsidR="00966999">
        <w:t>–</w:t>
      </w:r>
      <w:r>
        <w:t>23 and 2023</w:t>
      </w:r>
      <w:r w:rsidR="00966999">
        <w:t>–</w:t>
      </w:r>
      <w:r>
        <w:t>24 data</w:t>
      </w:r>
    </w:p>
    <w:p w14:paraId="7897E76E" w14:textId="71E2A4DD" w:rsidR="00F56B0C" w:rsidRDefault="009518FE" w:rsidP="00C5795F">
      <w:pPr>
        <w:pStyle w:val="CGCParaNumber"/>
        <w:numPr>
          <w:ilvl w:val="0"/>
          <w:numId w:val="0"/>
        </w:numPr>
      </w:pPr>
      <w:r>
        <w:rPr>
          <w:noProof/>
        </w:rPr>
        <w:drawing>
          <wp:inline distT="0" distB="0" distL="0" distR="0" wp14:anchorId="4C2372C7" wp14:editId="58903581">
            <wp:extent cx="5677200" cy="3600000"/>
            <wp:effectExtent l="0" t="0" r="0" b="635"/>
            <wp:docPr id="23" name="Chart 23">
              <a:extLst xmlns:a="http://schemas.openxmlformats.org/drawingml/2006/main">
                <a:ext uri="{FF2B5EF4-FFF2-40B4-BE49-F238E27FC236}">
                  <a16:creationId xmlns:a16="http://schemas.microsoft.com/office/drawing/2014/main" id="{9E4604E2-E6DA-A367-A8C7-2F98E0C30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966BF5" w14:textId="33D37EEE" w:rsidR="00F56B0C" w:rsidRDefault="00F56B0C" w:rsidP="007E471B">
      <w:pPr>
        <w:pStyle w:val="CGCParaNumber"/>
        <w:numPr>
          <w:ilvl w:val="1"/>
          <w:numId w:val="16"/>
        </w:numPr>
      </w:pPr>
      <w:r>
        <w:t>Younger people, that is people in the 18</w:t>
      </w:r>
      <w:r w:rsidR="00616F63">
        <w:t>–</w:t>
      </w:r>
      <w:r>
        <w:t>24 and 25</w:t>
      </w:r>
      <w:r w:rsidR="00616F63">
        <w:t>–</w:t>
      </w:r>
      <w:r>
        <w:t>44 age groups, continue to have the highest proportions of defendants per 1,000 people of any age group after the inclusion of 2023</w:t>
      </w:r>
      <w:r w:rsidR="00966999">
        <w:t>–</w:t>
      </w:r>
      <w:r>
        <w:t>24 data. This relationship is true for both First Nations and non</w:t>
      </w:r>
      <w:r>
        <w:noBreakHyphen/>
        <w:t>Indigenous population cohorts.</w:t>
      </w:r>
    </w:p>
    <w:p w14:paraId="03B87FBB" w14:textId="77777777" w:rsidR="00F56B0C" w:rsidRDefault="00F56B0C" w:rsidP="007E471B">
      <w:pPr>
        <w:pStyle w:val="CGCParaNumber"/>
        <w:numPr>
          <w:ilvl w:val="1"/>
          <w:numId w:val="16"/>
        </w:numPr>
      </w:pPr>
      <w:r>
        <w:t xml:space="preserve">The Commission will alter the age ranges used for defendants for the two youngest age groups. This is for consistency with the prisons component which will introduce an assessment for juvenile detainees. This change has also been applied to the police component.   </w:t>
      </w:r>
    </w:p>
    <w:p w14:paraId="5808E7CC" w14:textId="08F1026B" w:rsidR="00F56B0C" w:rsidRDefault="00F56B0C" w:rsidP="008C290F">
      <w:pPr>
        <w:pStyle w:val="CGC2025Caption"/>
        <w:keepNext/>
        <w:ind w:left="1134" w:hanging="1134"/>
      </w:pPr>
      <w:r>
        <w:lastRenderedPageBreak/>
        <w:t xml:space="preserve">Figure </w:t>
      </w:r>
      <w:r w:rsidR="0071349E">
        <w:t>A-4</w:t>
      </w:r>
      <w:r>
        <w:t xml:space="preserve"> Defendants by Indigenous stats and age per 1,000 persons, average of 2022</w:t>
      </w:r>
      <w:r w:rsidR="00966999">
        <w:t>–</w:t>
      </w:r>
      <w:r w:rsidR="00966999">
        <w:rPr>
          <w:rFonts w:ascii="Times New Roman" w:hAnsi="Times New Roman" w:cs="Times New Roman"/>
        </w:rPr>
        <w:t>‍</w:t>
      </w:r>
      <w:r>
        <w:t>23 and 2023</w:t>
      </w:r>
      <w:r w:rsidR="00966999">
        <w:t>–</w:t>
      </w:r>
      <w:r>
        <w:t>24 data</w:t>
      </w:r>
    </w:p>
    <w:p w14:paraId="68B16628" w14:textId="37EBB83E" w:rsidR="00F56B0C" w:rsidRDefault="00DD22AC" w:rsidP="00C5795F">
      <w:pPr>
        <w:pStyle w:val="CGCParaNumber"/>
        <w:numPr>
          <w:ilvl w:val="0"/>
          <w:numId w:val="0"/>
        </w:numPr>
      </w:pPr>
      <w:r>
        <w:rPr>
          <w:noProof/>
        </w:rPr>
        <w:drawing>
          <wp:inline distT="0" distB="0" distL="0" distR="0" wp14:anchorId="2F0D91BB" wp14:editId="2787FBDC">
            <wp:extent cx="5677200" cy="3600000"/>
            <wp:effectExtent l="0" t="0" r="0" b="635"/>
            <wp:docPr id="24" name="Chart 24">
              <a:extLst xmlns:a="http://schemas.openxmlformats.org/drawingml/2006/main">
                <a:ext uri="{FF2B5EF4-FFF2-40B4-BE49-F238E27FC236}">
                  <a16:creationId xmlns:a16="http://schemas.microsoft.com/office/drawing/2014/main" id="{D445B27A-704F-64CB-60DA-FC71A9443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A8FFB1" w14:textId="33C75674" w:rsidR="00F56B0C" w:rsidRDefault="00F56B0C" w:rsidP="007E471B">
      <w:pPr>
        <w:pStyle w:val="CGCParaNumber"/>
        <w:numPr>
          <w:ilvl w:val="1"/>
          <w:numId w:val="16"/>
        </w:numPr>
      </w:pPr>
      <w:r>
        <w:t>Commission analysis of an average of 2022</w:t>
      </w:r>
      <w:r w:rsidR="00966999">
        <w:t>–</w:t>
      </w:r>
      <w:r>
        <w:t>23 and 2023</w:t>
      </w:r>
      <w:r w:rsidR="00966999">
        <w:t>–</w:t>
      </w:r>
      <w:r>
        <w:t>24 data shows a clear, 5</w:t>
      </w:r>
      <w:r>
        <w:noBreakHyphen/>
        <w:t>tier relationship on the national level between defendant rates and socio</w:t>
      </w:r>
      <w:r>
        <w:noBreakHyphen/>
        <w:t xml:space="preserve">economic status continues to be observable. </w:t>
      </w:r>
    </w:p>
    <w:p w14:paraId="0095CE12" w14:textId="6B0E1474" w:rsidR="00F56B0C" w:rsidRDefault="008C290F" w:rsidP="008C290F">
      <w:pPr>
        <w:pStyle w:val="CGC2025Caption"/>
        <w:keepNext/>
        <w:ind w:left="1134" w:hanging="1134"/>
      </w:pPr>
      <w:r>
        <w:rPr>
          <w:noProof/>
        </w:rPr>
        <w:lastRenderedPageBreak/>
        <w:drawing>
          <wp:anchor distT="0" distB="0" distL="114300" distR="114300" simplePos="0" relativeHeight="251658241" behindDoc="0" locked="0" layoutInCell="1" allowOverlap="1" wp14:anchorId="48F143F8" wp14:editId="3DA1B45E">
            <wp:simplePos x="0" y="0"/>
            <wp:positionH relativeFrom="margin">
              <wp:align>left</wp:align>
            </wp:positionH>
            <wp:positionV relativeFrom="paragraph">
              <wp:posOffset>391614</wp:posOffset>
            </wp:positionV>
            <wp:extent cx="5677200" cy="3600000"/>
            <wp:effectExtent l="0" t="0" r="0" b="635"/>
            <wp:wrapTopAndBottom/>
            <wp:docPr id="25" name="Chart 25">
              <a:extLst xmlns:a="http://schemas.openxmlformats.org/drawingml/2006/main">
                <a:ext uri="{FF2B5EF4-FFF2-40B4-BE49-F238E27FC236}">
                  <a16:creationId xmlns:a16="http://schemas.microsoft.com/office/drawing/2014/main" id="{E874208B-F52F-5620-3192-171411FAD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F56B0C">
        <w:t xml:space="preserve">Figure </w:t>
      </w:r>
      <w:r w:rsidR="0071349E">
        <w:t>A-5</w:t>
      </w:r>
      <w:r w:rsidR="00F56B0C">
        <w:t xml:space="preserve"> </w:t>
      </w:r>
      <w:r>
        <w:tab/>
      </w:r>
      <w:r w:rsidR="00F56B0C">
        <w:t>Defendants by Indigenous status and socio-economic status per 1,000 persons, 2022</w:t>
      </w:r>
      <w:r w:rsidR="00966999">
        <w:t>–</w:t>
      </w:r>
      <w:r w:rsidR="00F56B0C">
        <w:t>23 and 2023</w:t>
      </w:r>
      <w:r w:rsidR="00966999">
        <w:t>–</w:t>
      </w:r>
      <w:r w:rsidR="00F56B0C">
        <w:t>24 data</w:t>
      </w:r>
    </w:p>
    <w:p w14:paraId="32810C3F" w14:textId="127755F3" w:rsidR="00810485" w:rsidRDefault="001C0320">
      <w:pPr>
        <w:rPr>
          <w:rFonts w:ascii="Work Sans" w:hAnsi="Work Sans"/>
          <w:sz w:val="20"/>
          <w:szCs w:val="24"/>
        </w:rPr>
      </w:pPr>
      <w:r>
        <w:br w:type="page"/>
      </w:r>
    </w:p>
    <w:p w14:paraId="70817BC7" w14:textId="3239F0F6" w:rsidR="00491BD2" w:rsidRDefault="00810485" w:rsidP="00116DCE">
      <w:pPr>
        <w:pStyle w:val="Heading2"/>
      </w:pPr>
      <w:r>
        <w:lastRenderedPageBreak/>
        <w:t xml:space="preserve">Attachment B: </w:t>
      </w:r>
      <w:r w:rsidRPr="00D71E55">
        <w:rPr>
          <w:b w:val="0"/>
        </w:rPr>
        <w:t>Regression results</w:t>
      </w:r>
    </w:p>
    <w:p w14:paraId="486B47C8" w14:textId="0305157C" w:rsidR="00F57159" w:rsidRDefault="00F57159" w:rsidP="00750EE7">
      <w:pPr>
        <w:pStyle w:val="CGC2025Caption"/>
        <w:keepNext/>
        <w:keepLines/>
        <w:tabs>
          <w:tab w:val="clear" w:pos="567"/>
          <w:tab w:val="left" w:pos="1134"/>
        </w:tabs>
        <w:ind w:left="1418" w:hanging="1418"/>
      </w:pPr>
      <w:r>
        <w:t xml:space="preserve">Table </w:t>
      </w:r>
      <w:r w:rsidR="0071349E">
        <w:t>B-1</w:t>
      </w:r>
      <w:r>
        <w:t xml:space="preserve"> </w:t>
      </w:r>
      <w:r>
        <w:tab/>
        <w:t>Police regression without combined remoteness, 2022–23 and 2023–24 data</w:t>
      </w:r>
    </w:p>
    <w:tbl>
      <w:tblPr>
        <w:tblW w:w="8940" w:type="dxa"/>
        <w:tblLook w:val="04A0" w:firstRow="1" w:lastRow="0" w:firstColumn="1" w:lastColumn="0" w:noHBand="0" w:noVBand="1"/>
      </w:tblPr>
      <w:tblGrid>
        <w:gridCol w:w="3560"/>
        <w:gridCol w:w="1840"/>
        <w:gridCol w:w="1940"/>
        <w:gridCol w:w="1600"/>
      </w:tblGrid>
      <w:tr w:rsidR="00903F77" w:rsidRPr="00903F77" w14:paraId="5CADB9F2" w14:textId="77777777" w:rsidTr="00116DCE">
        <w:trPr>
          <w:trHeight w:val="381"/>
        </w:trPr>
        <w:tc>
          <w:tcPr>
            <w:tcW w:w="3560" w:type="dxa"/>
            <w:tcBorders>
              <w:top w:val="single" w:sz="4" w:space="0" w:color="ADD6EA"/>
              <w:left w:val="nil"/>
              <w:bottom w:val="single" w:sz="4" w:space="0" w:color="ADD6EA"/>
              <w:right w:val="nil"/>
            </w:tcBorders>
            <w:shd w:val="clear" w:color="000000" w:fill="006991"/>
            <w:vAlign w:val="center"/>
            <w:hideMark/>
          </w:tcPr>
          <w:p w14:paraId="0292A726" w14:textId="77777777" w:rsidR="00903F77" w:rsidRPr="00903F77" w:rsidRDefault="00903F77" w:rsidP="00903F77">
            <w:pPr>
              <w:spacing w:after="0" w:line="240" w:lineRule="auto"/>
              <w:rPr>
                <w:rFonts w:ascii="Open Sans Semibold" w:eastAsia="Times New Roman" w:hAnsi="Open Sans Semibold" w:cs="Open Sans Semibold"/>
                <w:color w:val="FFFFFF"/>
                <w:sz w:val="16"/>
                <w:szCs w:val="16"/>
                <w:lang w:eastAsia="en-AU"/>
              </w:rPr>
            </w:pPr>
            <w:r w:rsidRPr="00903F77">
              <w:rPr>
                <w:rFonts w:ascii="Open Sans Semibold" w:eastAsia="Times New Roman" w:hAnsi="Open Sans Semibold" w:cs="Open Sans Semibold"/>
                <w:color w:val="FFFFFF"/>
                <w:sz w:val="16"/>
                <w:szCs w:val="16"/>
                <w:lang w:eastAsia="en-AU"/>
              </w:rPr>
              <w:t> </w:t>
            </w:r>
          </w:p>
        </w:tc>
        <w:tc>
          <w:tcPr>
            <w:tcW w:w="1840" w:type="dxa"/>
            <w:tcBorders>
              <w:top w:val="single" w:sz="4" w:space="0" w:color="ADD6EA"/>
              <w:left w:val="nil"/>
              <w:bottom w:val="single" w:sz="4" w:space="0" w:color="ADD6EA"/>
              <w:right w:val="nil"/>
            </w:tcBorders>
            <w:shd w:val="clear" w:color="000000" w:fill="006991"/>
            <w:vAlign w:val="center"/>
            <w:hideMark/>
          </w:tcPr>
          <w:p w14:paraId="4F230C15" w14:textId="77777777" w:rsidR="00903F77" w:rsidRPr="00903F77" w:rsidRDefault="00903F77" w:rsidP="00903F77">
            <w:pPr>
              <w:spacing w:after="0" w:line="240" w:lineRule="auto"/>
              <w:jc w:val="right"/>
              <w:rPr>
                <w:rFonts w:ascii="Open Sans Semibold" w:eastAsia="Times New Roman" w:hAnsi="Open Sans Semibold" w:cs="Open Sans Semibold"/>
                <w:color w:val="FFFFFF"/>
                <w:sz w:val="16"/>
                <w:szCs w:val="16"/>
                <w:lang w:eastAsia="en-AU"/>
              </w:rPr>
            </w:pPr>
            <w:r w:rsidRPr="00903F77">
              <w:rPr>
                <w:rFonts w:ascii="Open Sans Semibold" w:eastAsia="Times New Roman" w:hAnsi="Open Sans Semibold" w:cs="Open Sans Semibold"/>
                <w:color w:val="FFFFFF"/>
                <w:sz w:val="16"/>
                <w:szCs w:val="16"/>
                <w:lang w:eastAsia="en-AU"/>
              </w:rPr>
              <w:t>Estimate</w:t>
            </w:r>
          </w:p>
        </w:tc>
        <w:tc>
          <w:tcPr>
            <w:tcW w:w="1940" w:type="dxa"/>
            <w:tcBorders>
              <w:top w:val="single" w:sz="4" w:space="0" w:color="ADD6EA"/>
              <w:left w:val="nil"/>
              <w:bottom w:val="single" w:sz="4" w:space="0" w:color="ADD6EA"/>
              <w:right w:val="nil"/>
            </w:tcBorders>
            <w:shd w:val="clear" w:color="000000" w:fill="006991"/>
            <w:vAlign w:val="center"/>
            <w:hideMark/>
          </w:tcPr>
          <w:p w14:paraId="0E937313" w14:textId="77777777" w:rsidR="00903F77" w:rsidRPr="00903F77" w:rsidRDefault="00903F77" w:rsidP="00903F77">
            <w:pPr>
              <w:spacing w:after="0" w:line="240" w:lineRule="auto"/>
              <w:jc w:val="right"/>
              <w:rPr>
                <w:rFonts w:ascii="Open Sans Semibold" w:eastAsia="Times New Roman" w:hAnsi="Open Sans Semibold" w:cs="Open Sans Semibold"/>
                <w:color w:val="FFFFFF"/>
                <w:sz w:val="16"/>
                <w:szCs w:val="16"/>
                <w:lang w:eastAsia="en-AU"/>
              </w:rPr>
            </w:pPr>
            <w:r w:rsidRPr="00903F77">
              <w:rPr>
                <w:rFonts w:ascii="Open Sans Semibold" w:eastAsia="Times New Roman" w:hAnsi="Open Sans Semibold" w:cs="Open Sans Semibold"/>
                <w:color w:val="FFFFFF"/>
                <w:sz w:val="16"/>
                <w:szCs w:val="16"/>
                <w:lang w:eastAsia="en-AU"/>
              </w:rPr>
              <w:t>Standard error</w:t>
            </w:r>
          </w:p>
        </w:tc>
        <w:tc>
          <w:tcPr>
            <w:tcW w:w="1600" w:type="dxa"/>
            <w:tcBorders>
              <w:top w:val="single" w:sz="4" w:space="0" w:color="ADD6EA"/>
              <w:left w:val="nil"/>
              <w:bottom w:val="single" w:sz="4" w:space="0" w:color="ADD6EA"/>
              <w:right w:val="nil"/>
            </w:tcBorders>
            <w:shd w:val="clear" w:color="000000" w:fill="006991"/>
            <w:vAlign w:val="center"/>
            <w:hideMark/>
          </w:tcPr>
          <w:p w14:paraId="49B26A88" w14:textId="77777777" w:rsidR="00903F77" w:rsidRPr="00903F77" w:rsidRDefault="00903F77" w:rsidP="00903F77">
            <w:pPr>
              <w:spacing w:after="0" w:line="240" w:lineRule="auto"/>
              <w:jc w:val="right"/>
              <w:rPr>
                <w:rFonts w:ascii="Open Sans Semibold" w:eastAsia="Times New Roman" w:hAnsi="Open Sans Semibold" w:cs="Open Sans Semibold"/>
                <w:color w:val="FFFFFF"/>
                <w:sz w:val="16"/>
                <w:szCs w:val="16"/>
                <w:lang w:eastAsia="en-AU"/>
              </w:rPr>
            </w:pPr>
            <w:r w:rsidRPr="00903F77">
              <w:rPr>
                <w:rFonts w:ascii="Open Sans Semibold" w:eastAsia="Times New Roman" w:hAnsi="Open Sans Semibold" w:cs="Open Sans Semibold"/>
                <w:color w:val="FFFFFF"/>
                <w:sz w:val="16"/>
                <w:szCs w:val="16"/>
                <w:lang w:eastAsia="en-AU"/>
              </w:rPr>
              <w:t>Significance</w:t>
            </w:r>
          </w:p>
        </w:tc>
      </w:tr>
      <w:tr w:rsidR="00903F77" w:rsidRPr="00903F77" w14:paraId="6F6CEC71" w14:textId="77777777" w:rsidTr="00116DCE">
        <w:trPr>
          <w:trHeight w:val="321"/>
        </w:trPr>
        <w:tc>
          <w:tcPr>
            <w:tcW w:w="3560" w:type="dxa"/>
            <w:tcBorders>
              <w:top w:val="single" w:sz="4" w:space="0" w:color="ADD6EA"/>
              <w:left w:val="nil"/>
              <w:bottom w:val="nil"/>
              <w:right w:val="nil"/>
            </w:tcBorders>
            <w:shd w:val="clear" w:color="000000" w:fill="FFFFFF"/>
            <w:vAlign w:val="bottom"/>
            <w:hideMark/>
          </w:tcPr>
          <w:p w14:paraId="0FC37141" w14:textId="77777777" w:rsidR="00903F77" w:rsidRPr="00903F77" w:rsidRDefault="00903F77" w:rsidP="00903F77">
            <w:pPr>
              <w:spacing w:after="0" w:line="240" w:lineRule="auto"/>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 xml:space="preserve">Intercept  </w:t>
            </w:r>
          </w:p>
        </w:tc>
        <w:tc>
          <w:tcPr>
            <w:tcW w:w="1840" w:type="dxa"/>
            <w:tcBorders>
              <w:top w:val="single" w:sz="4" w:space="0" w:color="ADD6EA"/>
              <w:left w:val="nil"/>
              <w:bottom w:val="nil"/>
              <w:right w:val="nil"/>
            </w:tcBorders>
            <w:shd w:val="clear" w:color="000000" w:fill="FFFFFF"/>
            <w:vAlign w:val="bottom"/>
            <w:hideMark/>
          </w:tcPr>
          <w:p w14:paraId="57DC7326"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254</w:t>
            </w:r>
          </w:p>
        </w:tc>
        <w:tc>
          <w:tcPr>
            <w:tcW w:w="1940" w:type="dxa"/>
            <w:tcBorders>
              <w:top w:val="single" w:sz="4" w:space="0" w:color="ADD6EA"/>
              <w:left w:val="nil"/>
              <w:bottom w:val="nil"/>
              <w:right w:val="nil"/>
            </w:tcBorders>
            <w:shd w:val="clear" w:color="000000" w:fill="FFFFFF"/>
            <w:vAlign w:val="bottom"/>
            <w:hideMark/>
          </w:tcPr>
          <w:p w14:paraId="3F3A5CE9"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26</w:t>
            </w:r>
          </w:p>
        </w:tc>
        <w:tc>
          <w:tcPr>
            <w:tcW w:w="1600" w:type="dxa"/>
            <w:tcBorders>
              <w:top w:val="single" w:sz="4" w:space="0" w:color="ADD6EA"/>
              <w:left w:val="nil"/>
              <w:bottom w:val="nil"/>
              <w:right w:val="nil"/>
            </w:tcBorders>
            <w:shd w:val="clear" w:color="000000" w:fill="FFFFFF"/>
            <w:vAlign w:val="bottom"/>
            <w:hideMark/>
          </w:tcPr>
          <w:p w14:paraId="3D0B23E5"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w:t>
            </w:r>
          </w:p>
        </w:tc>
      </w:tr>
      <w:tr w:rsidR="00903F77" w:rsidRPr="00903F77" w14:paraId="7769BA9B" w14:textId="77777777" w:rsidTr="00903F77">
        <w:trPr>
          <w:trHeight w:val="321"/>
        </w:trPr>
        <w:tc>
          <w:tcPr>
            <w:tcW w:w="3560" w:type="dxa"/>
            <w:tcBorders>
              <w:top w:val="single" w:sz="4" w:space="0" w:color="ADD6EA"/>
              <w:left w:val="nil"/>
              <w:bottom w:val="nil"/>
              <w:right w:val="nil"/>
            </w:tcBorders>
            <w:shd w:val="clear" w:color="000000" w:fill="FFFFFF"/>
            <w:vAlign w:val="bottom"/>
            <w:hideMark/>
          </w:tcPr>
          <w:p w14:paraId="40B7AC9A" w14:textId="77777777" w:rsidR="00903F77" w:rsidRPr="00903F77" w:rsidRDefault="00903F77" w:rsidP="00903F77">
            <w:pPr>
              <w:spacing w:after="0" w:line="240" w:lineRule="auto"/>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 xml:space="preserve">Inner regional         </w:t>
            </w:r>
          </w:p>
        </w:tc>
        <w:tc>
          <w:tcPr>
            <w:tcW w:w="1840" w:type="dxa"/>
            <w:tcBorders>
              <w:top w:val="single" w:sz="4" w:space="0" w:color="ADD6EA"/>
              <w:left w:val="nil"/>
              <w:bottom w:val="nil"/>
              <w:right w:val="nil"/>
            </w:tcBorders>
            <w:shd w:val="clear" w:color="000000" w:fill="FFFFFF"/>
            <w:vAlign w:val="bottom"/>
            <w:hideMark/>
          </w:tcPr>
          <w:p w14:paraId="61656C08"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163</w:t>
            </w:r>
          </w:p>
        </w:tc>
        <w:tc>
          <w:tcPr>
            <w:tcW w:w="1940" w:type="dxa"/>
            <w:tcBorders>
              <w:top w:val="single" w:sz="4" w:space="0" w:color="ADD6EA"/>
              <w:left w:val="nil"/>
              <w:bottom w:val="nil"/>
              <w:right w:val="nil"/>
            </w:tcBorders>
            <w:shd w:val="clear" w:color="000000" w:fill="FFFFFF"/>
            <w:vAlign w:val="bottom"/>
            <w:hideMark/>
          </w:tcPr>
          <w:p w14:paraId="0AEE51D1"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42</w:t>
            </w:r>
          </w:p>
        </w:tc>
        <w:tc>
          <w:tcPr>
            <w:tcW w:w="1600" w:type="dxa"/>
            <w:tcBorders>
              <w:top w:val="single" w:sz="4" w:space="0" w:color="ADD6EA"/>
              <w:left w:val="nil"/>
              <w:bottom w:val="nil"/>
              <w:right w:val="nil"/>
            </w:tcBorders>
            <w:shd w:val="clear" w:color="000000" w:fill="FFFFFF"/>
            <w:vAlign w:val="bottom"/>
            <w:hideMark/>
          </w:tcPr>
          <w:p w14:paraId="73C56968"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w:t>
            </w:r>
          </w:p>
        </w:tc>
      </w:tr>
      <w:tr w:rsidR="00903F77" w:rsidRPr="00903F77" w14:paraId="496B9087" w14:textId="77777777" w:rsidTr="00903F77">
        <w:trPr>
          <w:trHeight w:val="321"/>
        </w:trPr>
        <w:tc>
          <w:tcPr>
            <w:tcW w:w="3560" w:type="dxa"/>
            <w:tcBorders>
              <w:top w:val="single" w:sz="4" w:space="0" w:color="ADD6EA"/>
              <w:left w:val="nil"/>
              <w:bottom w:val="nil"/>
              <w:right w:val="nil"/>
            </w:tcBorders>
            <w:shd w:val="clear" w:color="000000" w:fill="FFFFFF"/>
            <w:vAlign w:val="bottom"/>
            <w:hideMark/>
          </w:tcPr>
          <w:p w14:paraId="2E28C804" w14:textId="77777777" w:rsidR="00903F77" w:rsidRPr="00903F77" w:rsidRDefault="00903F77" w:rsidP="00903F77">
            <w:pPr>
              <w:spacing w:after="0" w:line="240" w:lineRule="auto"/>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 xml:space="preserve">Outer regional </w:t>
            </w:r>
          </w:p>
        </w:tc>
        <w:tc>
          <w:tcPr>
            <w:tcW w:w="1840" w:type="dxa"/>
            <w:tcBorders>
              <w:top w:val="single" w:sz="4" w:space="0" w:color="ADD6EA"/>
              <w:left w:val="nil"/>
              <w:bottom w:val="nil"/>
              <w:right w:val="nil"/>
            </w:tcBorders>
            <w:shd w:val="clear" w:color="000000" w:fill="FFFFFF"/>
            <w:vAlign w:val="bottom"/>
            <w:hideMark/>
          </w:tcPr>
          <w:p w14:paraId="6D8E1718"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287</w:t>
            </w:r>
          </w:p>
        </w:tc>
        <w:tc>
          <w:tcPr>
            <w:tcW w:w="1940" w:type="dxa"/>
            <w:tcBorders>
              <w:top w:val="single" w:sz="4" w:space="0" w:color="ADD6EA"/>
              <w:left w:val="nil"/>
              <w:bottom w:val="nil"/>
              <w:right w:val="nil"/>
            </w:tcBorders>
            <w:shd w:val="clear" w:color="000000" w:fill="FFFFFF"/>
            <w:vAlign w:val="bottom"/>
            <w:hideMark/>
          </w:tcPr>
          <w:p w14:paraId="7F18E528"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63</w:t>
            </w:r>
          </w:p>
        </w:tc>
        <w:tc>
          <w:tcPr>
            <w:tcW w:w="1600" w:type="dxa"/>
            <w:tcBorders>
              <w:top w:val="single" w:sz="4" w:space="0" w:color="ADD6EA"/>
              <w:left w:val="nil"/>
              <w:bottom w:val="nil"/>
              <w:right w:val="nil"/>
            </w:tcBorders>
            <w:shd w:val="clear" w:color="000000" w:fill="FFFFFF"/>
            <w:vAlign w:val="bottom"/>
            <w:hideMark/>
          </w:tcPr>
          <w:p w14:paraId="791C3008"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w:t>
            </w:r>
          </w:p>
        </w:tc>
      </w:tr>
      <w:tr w:rsidR="00903F77" w:rsidRPr="00903F77" w14:paraId="3E628C80" w14:textId="77777777" w:rsidTr="00903F77">
        <w:trPr>
          <w:trHeight w:val="321"/>
        </w:trPr>
        <w:tc>
          <w:tcPr>
            <w:tcW w:w="3560" w:type="dxa"/>
            <w:tcBorders>
              <w:top w:val="single" w:sz="4" w:space="0" w:color="ADD6EA"/>
              <w:left w:val="nil"/>
              <w:bottom w:val="nil"/>
              <w:right w:val="nil"/>
            </w:tcBorders>
            <w:shd w:val="clear" w:color="000000" w:fill="FFFFFF"/>
            <w:vAlign w:val="bottom"/>
            <w:hideMark/>
          </w:tcPr>
          <w:p w14:paraId="3E945AFE" w14:textId="77777777" w:rsidR="00903F77" w:rsidRPr="00903F77" w:rsidRDefault="00903F77" w:rsidP="00903F77">
            <w:pPr>
              <w:spacing w:after="0" w:line="240" w:lineRule="auto"/>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 xml:space="preserve">Remote  </w:t>
            </w:r>
          </w:p>
        </w:tc>
        <w:tc>
          <w:tcPr>
            <w:tcW w:w="1840" w:type="dxa"/>
            <w:tcBorders>
              <w:top w:val="single" w:sz="4" w:space="0" w:color="ADD6EA"/>
              <w:left w:val="nil"/>
              <w:bottom w:val="nil"/>
              <w:right w:val="nil"/>
            </w:tcBorders>
            <w:shd w:val="clear" w:color="000000" w:fill="FFFFFF"/>
            <w:vAlign w:val="bottom"/>
            <w:hideMark/>
          </w:tcPr>
          <w:p w14:paraId="5C7394D8"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1,315</w:t>
            </w:r>
          </w:p>
        </w:tc>
        <w:tc>
          <w:tcPr>
            <w:tcW w:w="1940" w:type="dxa"/>
            <w:tcBorders>
              <w:top w:val="single" w:sz="4" w:space="0" w:color="ADD6EA"/>
              <w:left w:val="nil"/>
              <w:bottom w:val="nil"/>
              <w:right w:val="nil"/>
            </w:tcBorders>
            <w:shd w:val="clear" w:color="000000" w:fill="FFFFFF"/>
            <w:vAlign w:val="bottom"/>
            <w:hideMark/>
          </w:tcPr>
          <w:p w14:paraId="592202C0"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228</w:t>
            </w:r>
          </w:p>
        </w:tc>
        <w:tc>
          <w:tcPr>
            <w:tcW w:w="1600" w:type="dxa"/>
            <w:tcBorders>
              <w:top w:val="single" w:sz="4" w:space="0" w:color="ADD6EA"/>
              <w:left w:val="nil"/>
              <w:bottom w:val="nil"/>
              <w:right w:val="nil"/>
            </w:tcBorders>
            <w:shd w:val="clear" w:color="000000" w:fill="FFFFFF"/>
            <w:vAlign w:val="bottom"/>
            <w:hideMark/>
          </w:tcPr>
          <w:p w14:paraId="08D06941"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w:t>
            </w:r>
          </w:p>
        </w:tc>
      </w:tr>
      <w:tr w:rsidR="00903F77" w:rsidRPr="00903F77" w14:paraId="2C5A5846" w14:textId="77777777" w:rsidTr="00903F77">
        <w:trPr>
          <w:trHeight w:val="321"/>
        </w:trPr>
        <w:tc>
          <w:tcPr>
            <w:tcW w:w="3560" w:type="dxa"/>
            <w:tcBorders>
              <w:top w:val="single" w:sz="4" w:space="0" w:color="ADD6EA"/>
              <w:left w:val="nil"/>
              <w:bottom w:val="nil"/>
              <w:right w:val="nil"/>
            </w:tcBorders>
            <w:shd w:val="clear" w:color="000000" w:fill="FFFFFF"/>
            <w:vAlign w:val="bottom"/>
            <w:hideMark/>
          </w:tcPr>
          <w:p w14:paraId="65B4D294" w14:textId="77777777" w:rsidR="00903F77" w:rsidRPr="00903F77" w:rsidRDefault="00903F77" w:rsidP="00903F77">
            <w:pPr>
              <w:spacing w:after="0" w:line="240" w:lineRule="auto"/>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Very remote</w:t>
            </w:r>
          </w:p>
        </w:tc>
        <w:tc>
          <w:tcPr>
            <w:tcW w:w="1840" w:type="dxa"/>
            <w:tcBorders>
              <w:top w:val="single" w:sz="4" w:space="0" w:color="ADD6EA"/>
              <w:left w:val="nil"/>
              <w:bottom w:val="nil"/>
              <w:right w:val="nil"/>
            </w:tcBorders>
            <w:shd w:val="clear" w:color="000000" w:fill="FFFFFF"/>
            <w:vAlign w:val="bottom"/>
            <w:hideMark/>
          </w:tcPr>
          <w:p w14:paraId="64FF6DED"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1,024</w:t>
            </w:r>
          </w:p>
        </w:tc>
        <w:tc>
          <w:tcPr>
            <w:tcW w:w="1940" w:type="dxa"/>
            <w:tcBorders>
              <w:top w:val="single" w:sz="4" w:space="0" w:color="ADD6EA"/>
              <w:left w:val="nil"/>
              <w:bottom w:val="nil"/>
              <w:right w:val="nil"/>
            </w:tcBorders>
            <w:shd w:val="clear" w:color="000000" w:fill="FFFFFF"/>
            <w:vAlign w:val="bottom"/>
            <w:hideMark/>
          </w:tcPr>
          <w:p w14:paraId="36290819"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285</w:t>
            </w:r>
          </w:p>
        </w:tc>
        <w:tc>
          <w:tcPr>
            <w:tcW w:w="1600" w:type="dxa"/>
            <w:tcBorders>
              <w:top w:val="single" w:sz="4" w:space="0" w:color="ADD6EA"/>
              <w:left w:val="nil"/>
              <w:bottom w:val="nil"/>
              <w:right w:val="nil"/>
            </w:tcBorders>
            <w:shd w:val="clear" w:color="000000" w:fill="FFFFFF"/>
            <w:vAlign w:val="bottom"/>
            <w:hideMark/>
          </w:tcPr>
          <w:p w14:paraId="5F28693E"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w:t>
            </w:r>
          </w:p>
        </w:tc>
      </w:tr>
      <w:tr w:rsidR="00903F77" w:rsidRPr="00903F77" w14:paraId="7C862E7B" w14:textId="77777777" w:rsidTr="00903F77">
        <w:trPr>
          <w:trHeight w:val="321"/>
        </w:trPr>
        <w:tc>
          <w:tcPr>
            <w:tcW w:w="3560" w:type="dxa"/>
            <w:tcBorders>
              <w:top w:val="single" w:sz="4" w:space="0" w:color="ADD6EA"/>
              <w:left w:val="nil"/>
              <w:bottom w:val="nil"/>
              <w:right w:val="nil"/>
            </w:tcBorders>
            <w:shd w:val="clear" w:color="000000" w:fill="FFFFFF"/>
            <w:vAlign w:val="bottom"/>
            <w:hideMark/>
          </w:tcPr>
          <w:p w14:paraId="20F94CB9" w14:textId="77777777" w:rsidR="00903F77" w:rsidRPr="00903F77" w:rsidRDefault="00903F77" w:rsidP="00903F77">
            <w:pPr>
              <w:spacing w:after="0" w:line="240" w:lineRule="auto"/>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Offenders</w:t>
            </w:r>
          </w:p>
        </w:tc>
        <w:tc>
          <w:tcPr>
            <w:tcW w:w="1840" w:type="dxa"/>
            <w:tcBorders>
              <w:top w:val="single" w:sz="4" w:space="0" w:color="ADD6EA"/>
              <w:left w:val="nil"/>
              <w:bottom w:val="nil"/>
              <w:right w:val="nil"/>
            </w:tcBorders>
            <w:shd w:val="clear" w:color="000000" w:fill="FFFFFF"/>
            <w:vAlign w:val="bottom"/>
            <w:hideMark/>
          </w:tcPr>
          <w:p w14:paraId="17012023"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9,762</w:t>
            </w:r>
          </w:p>
        </w:tc>
        <w:tc>
          <w:tcPr>
            <w:tcW w:w="1940" w:type="dxa"/>
            <w:tcBorders>
              <w:top w:val="single" w:sz="4" w:space="0" w:color="ADD6EA"/>
              <w:left w:val="nil"/>
              <w:bottom w:val="nil"/>
              <w:right w:val="nil"/>
            </w:tcBorders>
            <w:shd w:val="clear" w:color="000000" w:fill="FFFFFF"/>
            <w:vAlign w:val="bottom"/>
            <w:hideMark/>
          </w:tcPr>
          <w:p w14:paraId="213AAAC5"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1,017</w:t>
            </w:r>
          </w:p>
        </w:tc>
        <w:tc>
          <w:tcPr>
            <w:tcW w:w="1600" w:type="dxa"/>
            <w:tcBorders>
              <w:top w:val="single" w:sz="4" w:space="0" w:color="ADD6EA"/>
              <w:left w:val="nil"/>
              <w:bottom w:val="nil"/>
              <w:right w:val="nil"/>
            </w:tcBorders>
            <w:shd w:val="clear" w:color="000000" w:fill="FFFFFF"/>
            <w:vAlign w:val="bottom"/>
            <w:hideMark/>
          </w:tcPr>
          <w:p w14:paraId="62B6090D"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w:t>
            </w:r>
          </w:p>
        </w:tc>
      </w:tr>
      <w:tr w:rsidR="00903F77" w:rsidRPr="00903F77" w14:paraId="4470D934" w14:textId="77777777" w:rsidTr="00903F77">
        <w:trPr>
          <w:trHeight w:val="321"/>
        </w:trPr>
        <w:tc>
          <w:tcPr>
            <w:tcW w:w="3560" w:type="dxa"/>
            <w:tcBorders>
              <w:top w:val="single" w:sz="4" w:space="0" w:color="ADD6EA"/>
              <w:left w:val="nil"/>
              <w:bottom w:val="nil"/>
              <w:right w:val="nil"/>
            </w:tcBorders>
            <w:shd w:val="clear" w:color="000000" w:fill="FFFFFF"/>
            <w:vAlign w:val="bottom"/>
            <w:hideMark/>
          </w:tcPr>
          <w:p w14:paraId="42B22111" w14:textId="77777777" w:rsidR="00903F77" w:rsidRPr="00903F77" w:rsidRDefault="00903F77" w:rsidP="00903F77">
            <w:pPr>
              <w:spacing w:after="0" w:line="240" w:lineRule="auto"/>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 </w:t>
            </w:r>
          </w:p>
        </w:tc>
        <w:tc>
          <w:tcPr>
            <w:tcW w:w="1840" w:type="dxa"/>
            <w:tcBorders>
              <w:top w:val="single" w:sz="4" w:space="0" w:color="ADD6EA"/>
              <w:left w:val="nil"/>
              <w:bottom w:val="nil"/>
              <w:right w:val="nil"/>
            </w:tcBorders>
            <w:shd w:val="clear" w:color="000000" w:fill="FFFFFF"/>
            <w:vAlign w:val="bottom"/>
            <w:hideMark/>
          </w:tcPr>
          <w:p w14:paraId="46AB50BB"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 </w:t>
            </w:r>
          </w:p>
        </w:tc>
        <w:tc>
          <w:tcPr>
            <w:tcW w:w="1940" w:type="dxa"/>
            <w:tcBorders>
              <w:top w:val="single" w:sz="4" w:space="0" w:color="ADD6EA"/>
              <w:left w:val="nil"/>
              <w:bottom w:val="nil"/>
              <w:right w:val="nil"/>
            </w:tcBorders>
            <w:shd w:val="clear" w:color="000000" w:fill="FFFFFF"/>
            <w:vAlign w:val="bottom"/>
            <w:hideMark/>
          </w:tcPr>
          <w:p w14:paraId="354501AE"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 </w:t>
            </w:r>
          </w:p>
        </w:tc>
        <w:tc>
          <w:tcPr>
            <w:tcW w:w="1600" w:type="dxa"/>
            <w:tcBorders>
              <w:top w:val="single" w:sz="4" w:space="0" w:color="ADD6EA"/>
              <w:left w:val="nil"/>
              <w:bottom w:val="nil"/>
              <w:right w:val="nil"/>
            </w:tcBorders>
            <w:shd w:val="clear" w:color="000000" w:fill="FFFFFF"/>
            <w:vAlign w:val="bottom"/>
            <w:hideMark/>
          </w:tcPr>
          <w:p w14:paraId="335E51B2"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 </w:t>
            </w:r>
          </w:p>
        </w:tc>
      </w:tr>
      <w:tr w:rsidR="00903F77" w:rsidRPr="00903F77" w14:paraId="2B3B4324" w14:textId="77777777" w:rsidTr="00116DCE">
        <w:trPr>
          <w:trHeight w:val="321"/>
        </w:trPr>
        <w:tc>
          <w:tcPr>
            <w:tcW w:w="3560" w:type="dxa"/>
            <w:tcBorders>
              <w:top w:val="single" w:sz="4" w:space="0" w:color="ADD6EA"/>
              <w:left w:val="nil"/>
              <w:bottom w:val="single" w:sz="4" w:space="0" w:color="ADD6EA"/>
              <w:right w:val="nil"/>
            </w:tcBorders>
            <w:shd w:val="clear" w:color="000000" w:fill="FFFFFF"/>
            <w:vAlign w:val="bottom"/>
            <w:hideMark/>
          </w:tcPr>
          <w:p w14:paraId="38497AEE" w14:textId="77777777" w:rsidR="00903F77" w:rsidRPr="00903F77" w:rsidRDefault="00903F77" w:rsidP="00903F77">
            <w:pPr>
              <w:spacing w:after="0" w:line="240" w:lineRule="auto"/>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Adjusted R squared</w:t>
            </w:r>
          </w:p>
        </w:tc>
        <w:tc>
          <w:tcPr>
            <w:tcW w:w="1840" w:type="dxa"/>
            <w:tcBorders>
              <w:top w:val="single" w:sz="4" w:space="0" w:color="ADD6EA"/>
              <w:left w:val="nil"/>
              <w:bottom w:val="single" w:sz="4" w:space="0" w:color="ADD6EA"/>
              <w:right w:val="nil"/>
            </w:tcBorders>
            <w:shd w:val="clear" w:color="000000" w:fill="FFFFFF"/>
            <w:vAlign w:val="bottom"/>
            <w:hideMark/>
          </w:tcPr>
          <w:p w14:paraId="75FDCA89"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0.734</w:t>
            </w:r>
          </w:p>
        </w:tc>
        <w:tc>
          <w:tcPr>
            <w:tcW w:w="1940" w:type="dxa"/>
            <w:tcBorders>
              <w:top w:val="single" w:sz="4" w:space="0" w:color="ADD6EA"/>
              <w:left w:val="nil"/>
              <w:bottom w:val="single" w:sz="4" w:space="0" w:color="ADD6EA"/>
              <w:right w:val="nil"/>
            </w:tcBorders>
            <w:shd w:val="clear" w:color="000000" w:fill="FFFFFF"/>
            <w:vAlign w:val="bottom"/>
            <w:hideMark/>
          </w:tcPr>
          <w:p w14:paraId="244FCDF3"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 </w:t>
            </w:r>
          </w:p>
        </w:tc>
        <w:tc>
          <w:tcPr>
            <w:tcW w:w="1600" w:type="dxa"/>
            <w:tcBorders>
              <w:top w:val="single" w:sz="4" w:space="0" w:color="ADD6EA"/>
              <w:left w:val="nil"/>
              <w:bottom w:val="single" w:sz="4" w:space="0" w:color="ADD6EA"/>
              <w:right w:val="nil"/>
            </w:tcBorders>
            <w:shd w:val="clear" w:color="000000" w:fill="FFFFFF"/>
            <w:vAlign w:val="bottom"/>
            <w:hideMark/>
          </w:tcPr>
          <w:p w14:paraId="249CB793"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 </w:t>
            </w:r>
          </w:p>
        </w:tc>
      </w:tr>
      <w:tr w:rsidR="00903F77" w:rsidRPr="00903F77" w14:paraId="2D6054BF" w14:textId="77777777" w:rsidTr="00116DCE">
        <w:trPr>
          <w:trHeight w:val="321"/>
        </w:trPr>
        <w:tc>
          <w:tcPr>
            <w:tcW w:w="3560" w:type="dxa"/>
            <w:tcBorders>
              <w:top w:val="single" w:sz="4" w:space="0" w:color="ADD6EA"/>
              <w:left w:val="nil"/>
              <w:bottom w:val="single" w:sz="4" w:space="0" w:color="ADD6EA"/>
              <w:right w:val="nil"/>
            </w:tcBorders>
            <w:shd w:val="clear" w:color="000000" w:fill="FFFFFF"/>
            <w:vAlign w:val="bottom"/>
            <w:hideMark/>
          </w:tcPr>
          <w:p w14:paraId="1B8B9386" w14:textId="77777777" w:rsidR="00903F77" w:rsidRPr="00903F77" w:rsidRDefault="00903F77" w:rsidP="00903F77">
            <w:pPr>
              <w:spacing w:after="0" w:line="240" w:lineRule="auto"/>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Sample size</w:t>
            </w:r>
          </w:p>
        </w:tc>
        <w:tc>
          <w:tcPr>
            <w:tcW w:w="1840" w:type="dxa"/>
            <w:tcBorders>
              <w:top w:val="single" w:sz="4" w:space="0" w:color="ADD6EA"/>
              <w:left w:val="nil"/>
              <w:bottom w:val="single" w:sz="4" w:space="0" w:color="ADD6EA"/>
              <w:right w:val="nil"/>
            </w:tcBorders>
            <w:shd w:val="clear" w:color="000000" w:fill="FFFFFF"/>
            <w:vAlign w:val="bottom"/>
            <w:hideMark/>
          </w:tcPr>
          <w:p w14:paraId="54A72E2E"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152</w:t>
            </w:r>
          </w:p>
        </w:tc>
        <w:tc>
          <w:tcPr>
            <w:tcW w:w="1940" w:type="dxa"/>
            <w:tcBorders>
              <w:top w:val="single" w:sz="4" w:space="0" w:color="ADD6EA"/>
              <w:left w:val="nil"/>
              <w:bottom w:val="single" w:sz="4" w:space="0" w:color="ADD6EA"/>
              <w:right w:val="nil"/>
            </w:tcBorders>
            <w:shd w:val="clear" w:color="000000" w:fill="FFFFFF"/>
            <w:vAlign w:val="bottom"/>
            <w:hideMark/>
          </w:tcPr>
          <w:p w14:paraId="2CA384E3"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 </w:t>
            </w:r>
          </w:p>
        </w:tc>
        <w:tc>
          <w:tcPr>
            <w:tcW w:w="1600" w:type="dxa"/>
            <w:tcBorders>
              <w:top w:val="single" w:sz="4" w:space="0" w:color="ADD6EA"/>
              <w:left w:val="nil"/>
              <w:bottom w:val="single" w:sz="4" w:space="0" w:color="ADD6EA"/>
              <w:right w:val="nil"/>
            </w:tcBorders>
            <w:shd w:val="clear" w:color="000000" w:fill="FFFFFF"/>
            <w:vAlign w:val="bottom"/>
            <w:hideMark/>
          </w:tcPr>
          <w:p w14:paraId="182DBAB4" w14:textId="77777777" w:rsidR="00903F77" w:rsidRPr="00903F77" w:rsidRDefault="00903F77" w:rsidP="00903F77">
            <w:pPr>
              <w:spacing w:after="0" w:line="240" w:lineRule="auto"/>
              <w:jc w:val="right"/>
              <w:rPr>
                <w:rFonts w:ascii="Open Sans Light" w:eastAsia="Times New Roman" w:hAnsi="Open Sans Light" w:cs="Open Sans Light"/>
                <w:color w:val="000000"/>
                <w:sz w:val="16"/>
                <w:szCs w:val="16"/>
                <w:lang w:eastAsia="en-AU"/>
              </w:rPr>
            </w:pPr>
            <w:r w:rsidRPr="00903F77">
              <w:rPr>
                <w:rFonts w:ascii="Open Sans Light" w:eastAsia="Times New Roman" w:hAnsi="Open Sans Light" w:cs="Open Sans Light"/>
                <w:color w:val="000000"/>
                <w:sz w:val="16"/>
                <w:szCs w:val="16"/>
                <w:lang w:eastAsia="en-AU"/>
              </w:rPr>
              <w:t> </w:t>
            </w:r>
          </w:p>
        </w:tc>
      </w:tr>
    </w:tbl>
    <w:p w14:paraId="089DAD44" w14:textId="06D742A8" w:rsidR="00491BD2" w:rsidRDefault="00FD0F95" w:rsidP="00D64876">
      <w:pPr>
        <w:pStyle w:val="CGC2025TableNote"/>
      </w:pPr>
      <w:r w:rsidRPr="00061430">
        <w:t>Note: *** represents statistically significant coefficients at a 0.001 confidence</w:t>
      </w:r>
      <w:r w:rsidR="00951F12">
        <w:t>.</w:t>
      </w:r>
    </w:p>
    <w:p w14:paraId="40A391DA" w14:textId="129F085B" w:rsidR="00491BD2" w:rsidRDefault="00491BD2" w:rsidP="00750EE7">
      <w:pPr>
        <w:pStyle w:val="CGC2025Caption"/>
        <w:keepNext/>
        <w:keepLines/>
        <w:tabs>
          <w:tab w:val="clear" w:pos="567"/>
          <w:tab w:val="left" w:pos="1134"/>
        </w:tabs>
        <w:ind w:left="1418" w:hanging="1418"/>
      </w:pPr>
      <w:r>
        <w:t xml:space="preserve">Table </w:t>
      </w:r>
      <w:r w:rsidR="0071349E">
        <w:t>B-2</w:t>
      </w:r>
      <w:r>
        <w:t xml:space="preserve"> </w:t>
      </w:r>
      <w:r>
        <w:tab/>
        <w:t>Police regression with remote offender interaction, 2022–23 and 2023–24 data</w:t>
      </w:r>
    </w:p>
    <w:tbl>
      <w:tblPr>
        <w:tblW w:w="8940" w:type="dxa"/>
        <w:tblLook w:val="04A0" w:firstRow="1" w:lastRow="0" w:firstColumn="1" w:lastColumn="0" w:noHBand="0" w:noVBand="1"/>
      </w:tblPr>
      <w:tblGrid>
        <w:gridCol w:w="3560"/>
        <w:gridCol w:w="1840"/>
        <w:gridCol w:w="1940"/>
        <w:gridCol w:w="1600"/>
      </w:tblGrid>
      <w:tr w:rsidR="00D81028" w:rsidRPr="00D81028" w14:paraId="0BE49DA3" w14:textId="77777777" w:rsidTr="00116DCE">
        <w:trPr>
          <w:trHeight w:val="381"/>
        </w:trPr>
        <w:tc>
          <w:tcPr>
            <w:tcW w:w="3560" w:type="dxa"/>
            <w:tcBorders>
              <w:top w:val="single" w:sz="4" w:space="0" w:color="ADD6EA"/>
              <w:left w:val="nil"/>
              <w:bottom w:val="single" w:sz="4" w:space="0" w:color="ADD6EA"/>
              <w:right w:val="nil"/>
            </w:tcBorders>
            <w:shd w:val="clear" w:color="000000" w:fill="006991"/>
            <w:vAlign w:val="center"/>
            <w:hideMark/>
          </w:tcPr>
          <w:p w14:paraId="47ED9E2C" w14:textId="77777777" w:rsidR="00D81028" w:rsidRPr="00D81028" w:rsidRDefault="00D81028" w:rsidP="00D81028">
            <w:pPr>
              <w:spacing w:after="0" w:line="240" w:lineRule="auto"/>
              <w:rPr>
                <w:rFonts w:ascii="Open Sans Semibold" w:eastAsia="Times New Roman" w:hAnsi="Open Sans Semibold" w:cs="Open Sans Semibold"/>
                <w:color w:val="FFFFFF"/>
                <w:sz w:val="16"/>
                <w:szCs w:val="16"/>
                <w:lang w:eastAsia="en-AU"/>
              </w:rPr>
            </w:pPr>
            <w:r w:rsidRPr="00D81028">
              <w:rPr>
                <w:rFonts w:ascii="Open Sans Semibold" w:eastAsia="Times New Roman" w:hAnsi="Open Sans Semibold" w:cs="Open Sans Semibold"/>
                <w:color w:val="FFFFFF"/>
                <w:sz w:val="16"/>
                <w:szCs w:val="16"/>
                <w:lang w:eastAsia="en-AU"/>
              </w:rPr>
              <w:t> </w:t>
            </w:r>
          </w:p>
        </w:tc>
        <w:tc>
          <w:tcPr>
            <w:tcW w:w="1840" w:type="dxa"/>
            <w:tcBorders>
              <w:top w:val="single" w:sz="4" w:space="0" w:color="ADD6EA"/>
              <w:left w:val="nil"/>
              <w:bottom w:val="single" w:sz="4" w:space="0" w:color="ADD6EA"/>
              <w:right w:val="nil"/>
            </w:tcBorders>
            <w:shd w:val="clear" w:color="000000" w:fill="006991"/>
            <w:vAlign w:val="center"/>
            <w:hideMark/>
          </w:tcPr>
          <w:p w14:paraId="01D9CA7E" w14:textId="77777777" w:rsidR="00D81028" w:rsidRPr="00D81028" w:rsidRDefault="00D81028" w:rsidP="00D81028">
            <w:pPr>
              <w:spacing w:after="0" w:line="240" w:lineRule="auto"/>
              <w:jc w:val="right"/>
              <w:rPr>
                <w:rFonts w:ascii="Open Sans Semibold" w:eastAsia="Times New Roman" w:hAnsi="Open Sans Semibold" w:cs="Open Sans Semibold"/>
                <w:color w:val="FFFFFF"/>
                <w:sz w:val="16"/>
                <w:szCs w:val="16"/>
                <w:lang w:eastAsia="en-AU"/>
              </w:rPr>
            </w:pPr>
            <w:r w:rsidRPr="00D81028">
              <w:rPr>
                <w:rFonts w:ascii="Open Sans Semibold" w:eastAsia="Times New Roman" w:hAnsi="Open Sans Semibold" w:cs="Open Sans Semibold"/>
                <w:color w:val="FFFFFF"/>
                <w:sz w:val="16"/>
                <w:szCs w:val="16"/>
                <w:lang w:eastAsia="en-AU"/>
              </w:rPr>
              <w:t>Estimate</w:t>
            </w:r>
          </w:p>
        </w:tc>
        <w:tc>
          <w:tcPr>
            <w:tcW w:w="1940" w:type="dxa"/>
            <w:tcBorders>
              <w:top w:val="single" w:sz="4" w:space="0" w:color="ADD6EA"/>
              <w:left w:val="nil"/>
              <w:bottom w:val="single" w:sz="4" w:space="0" w:color="ADD6EA"/>
              <w:right w:val="nil"/>
            </w:tcBorders>
            <w:shd w:val="clear" w:color="000000" w:fill="006991"/>
            <w:vAlign w:val="center"/>
            <w:hideMark/>
          </w:tcPr>
          <w:p w14:paraId="1B39E259" w14:textId="77777777" w:rsidR="00D81028" w:rsidRPr="00D81028" w:rsidRDefault="00D81028" w:rsidP="00D81028">
            <w:pPr>
              <w:spacing w:after="0" w:line="240" w:lineRule="auto"/>
              <w:jc w:val="right"/>
              <w:rPr>
                <w:rFonts w:ascii="Open Sans Semibold" w:eastAsia="Times New Roman" w:hAnsi="Open Sans Semibold" w:cs="Open Sans Semibold"/>
                <w:color w:val="FFFFFF"/>
                <w:sz w:val="16"/>
                <w:szCs w:val="16"/>
                <w:lang w:eastAsia="en-AU"/>
              </w:rPr>
            </w:pPr>
            <w:r w:rsidRPr="00D81028">
              <w:rPr>
                <w:rFonts w:ascii="Open Sans Semibold" w:eastAsia="Times New Roman" w:hAnsi="Open Sans Semibold" w:cs="Open Sans Semibold"/>
                <w:color w:val="FFFFFF"/>
                <w:sz w:val="16"/>
                <w:szCs w:val="16"/>
                <w:lang w:eastAsia="en-AU"/>
              </w:rPr>
              <w:t>Standard error</w:t>
            </w:r>
          </w:p>
        </w:tc>
        <w:tc>
          <w:tcPr>
            <w:tcW w:w="1600" w:type="dxa"/>
            <w:tcBorders>
              <w:top w:val="single" w:sz="4" w:space="0" w:color="ADD6EA"/>
              <w:left w:val="nil"/>
              <w:bottom w:val="single" w:sz="4" w:space="0" w:color="ADD6EA"/>
              <w:right w:val="nil"/>
            </w:tcBorders>
            <w:shd w:val="clear" w:color="000000" w:fill="006991"/>
            <w:vAlign w:val="center"/>
            <w:hideMark/>
          </w:tcPr>
          <w:p w14:paraId="16AD2802" w14:textId="77777777" w:rsidR="00D81028" w:rsidRPr="00D81028" w:rsidRDefault="00D81028" w:rsidP="00D81028">
            <w:pPr>
              <w:spacing w:after="0" w:line="240" w:lineRule="auto"/>
              <w:jc w:val="right"/>
              <w:rPr>
                <w:rFonts w:ascii="Open Sans Semibold" w:eastAsia="Times New Roman" w:hAnsi="Open Sans Semibold" w:cs="Open Sans Semibold"/>
                <w:color w:val="FFFFFF"/>
                <w:sz w:val="16"/>
                <w:szCs w:val="16"/>
                <w:lang w:eastAsia="en-AU"/>
              </w:rPr>
            </w:pPr>
            <w:r w:rsidRPr="00D81028">
              <w:rPr>
                <w:rFonts w:ascii="Open Sans Semibold" w:eastAsia="Times New Roman" w:hAnsi="Open Sans Semibold" w:cs="Open Sans Semibold"/>
                <w:color w:val="FFFFFF"/>
                <w:sz w:val="16"/>
                <w:szCs w:val="16"/>
                <w:lang w:eastAsia="en-AU"/>
              </w:rPr>
              <w:t>Significance</w:t>
            </w:r>
          </w:p>
        </w:tc>
      </w:tr>
      <w:tr w:rsidR="00D81028" w:rsidRPr="00D81028" w14:paraId="5D8AFC76" w14:textId="77777777" w:rsidTr="00116DCE">
        <w:trPr>
          <w:trHeight w:val="321"/>
        </w:trPr>
        <w:tc>
          <w:tcPr>
            <w:tcW w:w="3560" w:type="dxa"/>
            <w:tcBorders>
              <w:top w:val="single" w:sz="4" w:space="0" w:color="ADD6EA"/>
              <w:left w:val="nil"/>
              <w:bottom w:val="nil"/>
              <w:right w:val="nil"/>
            </w:tcBorders>
            <w:shd w:val="clear" w:color="000000" w:fill="FFFFFF"/>
            <w:vAlign w:val="bottom"/>
            <w:hideMark/>
          </w:tcPr>
          <w:p w14:paraId="5C801F93" w14:textId="77777777" w:rsidR="00D81028" w:rsidRPr="00D81028" w:rsidRDefault="00D81028" w:rsidP="00D81028">
            <w:pPr>
              <w:spacing w:after="0" w:line="240" w:lineRule="auto"/>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 xml:space="preserve">Intercept  </w:t>
            </w:r>
          </w:p>
        </w:tc>
        <w:tc>
          <w:tcPr>
            <w:tcW w:w="1840" w:type="dxa"/>
            <w:tcBorders>
              <w:top w:val="single" w:sz="4" w:space="0" w:color="ADD6EA"/>
              <w:left w:val="nil"/>
              <w:bottom w:val="nil"/>
              <w:right w:val="nil"/>
            </w:tcBorders>
            <w:shd w:val="clear" w:color="000000" w:fill="FFFFFF"/>
            <w:vAlign w:val="bottom"/>
            <w:hideMark/>
          </w:tcPr>
          <w:p w14:paraId="3A482E6F"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274</w:t>
            </w:r>
          </w:p>
        </w:tc>
        <w:tc>
          <w:tcPr>
            <w:tcW w:w="1940" w:type="dxa"/>
            <w:tcBorders>
              <w:top w:val="single" w:sz="4" w:space="0" w:color="ADD6EA"/>
              <w:left w:val="nil"/>
              <w:bottom w:val="nil"/>
              <w:right w:val="nil"/>
            </w:tcBorders>
            <w:shd w:val="clear" w:color="000000" w:fill="FFFFFF"/>
            <w:vAlign w:val="bottom"/>
            <w:hideMark/>
          </w:tcPr>
          <w:p w14:paraId="7E2A1E9A"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26</w:t>
            </w:r>
          </w:p>
        </w:tc>
        <w:tc>
          <w:tcPr>
            <w:tcW w:w="1600" w:type="dxa"/>
            <w:tcBorders>
              <w:top w:val="single" w:sz="4" w:space="0" w:color="ADD6EA"/>
              <w:left w:val="nil"/>
              <w:bottom w:val="nil"/>
              <w:right w:val="nil"/>
            </w:tcBorders>
            <w:shd w:val="clear" w:color="000000" w:fill="FFFFFF"/>
            <w:vAlign w:val="bottom"/>
            <w:hideMark/>
          </w:tcPr>
          <w:p w14:paraId="30E508AF"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w:t>
            </w:r>
          </w:p>
        </w:tc>
      </w:tr>
      <w:tr w:rsidR="00D81028" w:rsidRPr="00D81028" w14:paraId="494C36D4" w14:textId="77777777" w:rsidTr="00D81028">
        <w:trPr>
          <w:trHeight w:val="321"/>
        </w:trPr>
        <w:tc>
          <w:tcPr>
            <w:tcW w:w="3560" w:type="dxa"/>
            <w:tcBorders>
              <w:top w:val="single" w:sz="4" w:space="0" w:color="ADD6EA"/>
              <w:left w:val="nil"/>
              <w:bottom w:val="nil"/>
              <w:right w:val="nil"/>
            </w:tcBorders>
            <w:shd w:val="clear" w:color="000000" w:fill="FFFFFF"/>
            <w:vAlign w:val="bottom"/>
            <w:hideMark/>
          </w:tcPr>
          <w:p w14:paraId="3804215F" w14:textId="77777777" w:rsidR="00D81028" w:rsidRPr="00D81028" w:rsidRDefault="00D81028" w:rsidP="00D81028">
            <w:pPr>
              <w:spacing w:after="0" w:line="240" w:lineRule="auto"/>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 xml:space="preserve">Inner regional         </w:t>
            </w:r>
          </w:p>
        </w:tc>
        <w:tc>
          <w:tcPr>
            <w:tcW w:w="1840" w:type="dxa"/>
            <w:tcBorders>
              <w:top w:val="single" w:sz="4" w:space="0" w:color="ADD6EA"/>
              <w:left w:val="nil"/>
              <w:bottom w:val="nil"/>
              <w:right w:val="nil"/>
            </w:tcBorders>
            <w:shd w:val="clear" w:color="000000" w:fill="FFFFFF"/>
            <w:vAlign w:val="bottom"/>
            <w:hideMark/>
          </w:tcPr>
          <w:p w14:paraId="1180FF93"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167</w:t>
            </w:r>
          </w:p>
        </w:tc>
        <w:tc>
          <w:tcPr>
            <w:tcW w:w="1940" w:type="dxa"/>
            <w:tcBorders>
              <w:top w:val="single" w:sz="4" w:space="0" w:color="ADD6EA"/>
              <w:left w:val="nil"/>
              <w:bottom w:val="nil"/>
              <w:right w:val="nil"/>
            </w:tcBorders>
            <w:shd w:val="clear" w:color="000000" w:fill="FFFFFF"/>
            <w:vAlign w:val="bottom"/>
            <w:hideMark/>
          </w:tcPr>
          <w:p w14:paraId="1CD95783"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41</w:t>
            </w:r>
          </w:p>
        </w:tc>
        <w:tc>
          <w:tcPr>
            <w:tcW w:w="1600" w:type="dxa"/>
            <w:tcBorders>
              <w:top w:val="single" w:sz="4" w:space="0" w:color="ADD6EA"/>
              <w:left w:val="nil"/>
              <w:bottom w:val="nil"/>
              <w:right w:val="nil"/>
            </w:tcBorders>
            <w:shd w:val="clear" w:color="000000" w:fill="FFFFFF"/>
            <w:vAlign w:val="bottom"/>
            <w:hideMark/>
          </w:tcPr>
          <w:p w14:paraId="58FEFD67"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w:t>
            </w:r>
          </w:p>
        </w:tc>
      </w:tr>
      <w:tr w:rsidR="00D81028" w:rsidRPr="00D81028" w14:paraId="5908E566" w14:textId="77777777" w:rsidTr="00D81028">
        <w:trPr>
          <w:trHeight w:val="321"/>
        </w:trPr>
        <w:tc>
          <w:tcPr>
            <w:tcW w:w="3560" w:type="dxa"/>
            <w:tcBorders>
              <w:top w:val="single" w:sz="4" w:space="0" w:color="ADD6EA"/>
              <w:left w:val="nil"/>
              <w:bottom w:val="nil"/>
              <w:right w:val="nil"/>
            </w:tcBorders>
            <w:shd w:val="clear" w:color="000000" w:fill="FFFFFF"/>
            <w:vAlign w:val="bottom"/>
            <w:hideMark/>
          </w:tcPr>
          <w:p w14:paraId="0BE037C3" w14:textId="77777777" w:rsidR="00D81028" w:rsidRPr="00D81028" w:rsidRDefault="00D81028" w:rsidP="00D81028">
            <w:pPr>
              <w:spacing w:after="0" w:line="240" w:lineRule="auto"/>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 xml:space="preserve">Outer regional </w:t>
            </w:r>
          </w:p>
        </w:tc>
        <w:tc>
          <w:tcPr>
            <w:tcW w:w="1840" w:type="dxa"/>
            <w:tcBorders>
              <w:top w:val="single" w:sz="4" w:space="0" w:color="ADD6EA"/>
              <w:left w:val="nil"/>
              <w:bottom w:val="nil"/>
              <w:right w:val="nil"/>
            </w:tcBorders>
            <w:shd w:val="clear" w:color="000000" w:fill="FFFFFF"/>
            <w:vAlign w:val="bottom"/>
            <w:hideMark/>
          </w:tcPr>
          <w:p w14:paraId="33C7F807"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341</w:t>
            </w:r>
          </w:p>
        </w:tc>
        <w:tc>
          <w:tcPr>
            <w:tcW w:w="1940" w:type="dxa"/>
            <w:tcBorders>
              <w:top w:val="single" w:sz="4" w:space="0" w:color="ADD6EA"/>
              <w:left w:val="nil"/>
              <w:bottom w:val="nil"/>
              <w:right w:val="nil"/>
            </w:tcBorders>
            <w:shd w:val="clear" w:color="000000" w:fill="FFFFFF"/>
            <w:vAlign w:val="bottom"/>
            <w:hideMark/>
          </w:tcPr>
          <w:p w14:paraId="1982E343"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63</w:t>
            </w:r>
          </w:p>
        </w:tc>
        <w:tc>
          <w:tcPr>
            <w:tcW w:w="1600" w:type="dxa"/>
            <w:tcBorders>
              <w:top w:val="single" w:sz="4" w:space="0" w:color="ADD6EA"/>
              <w:left w:val="nil"/>
              <w:bottom w:val="nil"/>
              <w:right w:val="nil"/>
            </w:tcBorders>
            <w:shd w:val="clear" w:color="000000" w:fill="FFFFFF"/>
            <w:vAlign w:val="bottom"/>
            <w:hideMark/>
          </w:tcPr>
          <w:p w14:paraId="4D553617"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w:t>
            </w:r>
          </w:p>
        </w:tc>
      </w:tr>
      <w:tr w:rsidR="00D81028" w:rsidRPr="00D81028" w14:paraId="1D04C349" w14:textId="77777777" w:rsidTr="00D81028">
        <w:trPr>
          <w:trHeight w:val="321"/>
        </w:trPr>
        <w:tc>
          <w:tcPr>
            <w:tcW w:w="3560" w:type="dxa"/>
            <w:tcBorders>
              <w:top w:val="single" w:sz="4" w:space="0" w:color="ADD6EA"/>
              <w:left w:val="nil"/>
              <w:bottom w:val="nil"/>
              <w:right w:val="nil"/>
            </w:tcBorders>
            <w:shd w:val="clear" w:color="000000" w:fill="FFFFFF"/>
            <w:vAlign w:val="bottom"/>
            <w:hideMark/>
          </w:tcPr>
          <w:p w14:paraId="45555A1D" w14:textId="77777777" w:rsidR="00D81028" w:rsidRPr="00D81028" w:rsidRDefault="00D81028" w:rsidP="00D81028">
            <w:pPr>
              <w:spacing w:after="0" w:line="240" w:lineRule="auto"/>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 xml:space="preserve">All remote  </w:t>
            </w:r>
          </w:p>
        </w:tc>
        <w:tc>
          <w:tcPr>
            <w:tcW w:w="1840" w:type="dxa"/>
            <w:tcBorders>
              <w:top w:val="single" w:sz="4" w:space="0" w:color="ADD6EA"/>
              <w:left w:val="nil"/>
              <w:bottom w:val="nil"/>
              <w:right w:val="nil"/>
            </w:tcBorders>
            <w:shd w:val="clear" w:color="000000" w:fill="FFFFFF"/>
            <w:vAlign w:val="bottom"/>
            <w:hideMark/>
          </w:tcPr>
          <w:p w14:paraId="766EDF20"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301</w:t>
            </w:r>
          </w:p>
        </w:tc>
        <w:tc>
          <w:tcPr>
            <w:tcW w:w="1940" w:type="dxa"/>
            <w:tcBorders>
              <w:top w:val="single" w:sz="4" w:space="0" w:color="ADD6EA"/>
              <w:left w:val="nil"/>
              <w:bottom w:val="nil"/>
              <w:right w:val="nil"/>
            </w:tcBorders>
            <w:shd w:val="clear" w:color="000000" w:fill="FFFFFF"/>
            <w:vAlign w:val="bottom"/>
            <w:hideMark/>
          </w:tcPr>
          <w:p w14:paraId="1672D19A"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305</w:t>
            </w:r>
          </w:p>
        </w:tc>
        <w:tc>
          <w:tcPr>
            <w:tcW w:w="1600" w:type="dxa"/>
            <w:tcBorders>
              <w:top w:val="single" w:sz="4" w:space="0" w:color="ADD6EA"/>
              <w:left w:val="nil"/>
              <w:bottom w:val="nil"/>
              <w:right w:val="nil"/>
            </w:tcBorders>
            <w:shd w:val="clear" w:color="000000" w:fill="FFFFFF"/>
            <w:vAlign w:val="bottom"/>
            <w:hideMark/>
          </w:tcPr>
          <w:p w14:paraId="4DDFC7E7"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 </w:t>
            </w:r>
          </w:p>
        </w:tc>
      </w:tr>
      <w:tr w:rsidR="00D81028" w:rsidRPr="00D81028" w14:paraId="56728EF3" w14:textId="77777777" w:rsidTr="00D81028">
        <w:trPr>
          <w:trHeight w:val="321"/>
        </w:trPr>
        <w:tc>
          <w:tcPr>
            <w:tcW w:w="3560" w:type="dxa"/>
            <w:tcBorders>
              <w:top w:val="single" w:sz="4" w:space="0" w:color="ADD6EA"/>
              <w:left w:val="nil"/>
              <w:bottom w:val="nil"/>
              <w:right w:val="nil"/>
            </w:tcBorders>
            <w:shd w:val="clear" w:color="000000" w:fill="FFFFFF"/>
            <w:vAlign w:val="bottom"/>
            <w:hideMark/>
          </w:tcPr>
          <w:p w14:paraId="5AC47D3E" w14:textId="77777777" w:rsidR="00D81028" w:rsidRPr="00D81028" w:rsidRDefault="00D81028" w:rsidP="00D81028">
            <w:pPr>
              <w:spacing w:after="0" w:line="240" w:lineRule="auto"/>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Offenders</w:t>
            </w:r>
          </w:p>
        </w:tc>
        <w:tc>
          <w:tcPr>
            <w:tcW w:w="1840" w:type="dxa"/>
            <w:tcBorders>
              <w:top w:val="single" w:sz="4" w:space="0" w:color="ADD6EA"/>
              <w:left w:val="nil"/>
              <w:bottom w:val="nil"/>
              <w:right w:val="nil"/>
            </w:tcBorders>
            <w:shd w:val="clear" w:color="000000" w:fill="FFFFFF"/>
            <w:vAlign w:val="bottom"/>
            <w:hideMark/>
          </w:tcPr>
          <w:p w14:paraId="3F05966E"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8,805</w:t>
            </w:r>
          </w:p>
        </w:tc>
        <w:tc>
          <w:tcPr>
            <w:tcW w:w="1940" w:type="dxa"/>
            <w:tcBorders>
              <w:top w:val="single" w:sz="4" w:space="0" w:color="ADD6EA"/>
              <w:left w:val="nil"/>
              <w:bottom w:val="nil"/>
              <w:right w:val="nil"/>
            </w:tcBorders>
            <w:shd w:val="clear" w:color="000000" w:fill="FFFFFF"/>
            <w:vAlign w:val="bottom"/>
            <w:hideMark/>
          </w:tcPr>
          <w:p w14:paraId="5468CACF"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1,026</w:t>
            </w:r>
          </w:p>
        </w:tc>
        <w:tc>
          <w:tcPr>
            <w:tcW w:w="1600" w:type="dxa"/>
            <w:tcBorders>
              <w:top w:val="single" w:sz="4" w:space="0" w:color="ADD6EA"/>
              <w:left w:val="nil"/>
              <w:bottom w:val="nil"/>
              <w:right w:val="nil"/>
            </w:tcBorders>
            <w:shd w:val="clear" w:color="000000" w:fill="FFFFFF"/>
            <w:vAlign w:val="bottom"/>
            <w:hideMark/>
          </w:tcPr>
          <w:p w14:paraId="533940AA"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w:t>
            </w:r>
          </w:p>
        </w:tc>
      </w:tr>
      <w:tr w:rsidR="00D81028" w:rsidRPr="00D81028" w14:paraId="2C0CC174" w14:textId="77777777" w:rsidTr="00D81028">
        <w:trPr>
          <w:trHeight w:val="321"/>
        </w:trPr>
        <w:tc>
          <w:tcPr>
            <w:tcW w:w="3560" w:type="dxa"/>
            <w:tcBorders>
              <w:top w:val="single" w:sz="4" w:space="0" w:color="ADD6EA"/>
              <w:left w:val="nil"/>
              <w:bottom w:val="nil"/>
              <w:right w:val="nil"/>
            </w:tcBorders>
            <w:shd w:val="clear" w:color="000000" w:fill="FFFFFF"/>
            <w:vAlign w:val="bottom"/>
            <w:hideMark/>
          </w:tcPr>
          <w:p w14:paraId="03E2EE47" w14:textId="77777777" w:rsidR="00D81028" w:rsidRPr="00D81028" w:rsidRDefault="00D81028" w:rsidP="00D81028">
            <w:pPr>
              <w:spacing w:after="0" w:line="240" w:lineRule="auto"/>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Remote offenders</w:t>
            </w:r>
          </w:p>
        </w:tc>
        <w:tc>
          <w:tcPr>
            <w:tcW w:w="1840" w:type="dxa"/>
            <w:tcBorders>
              <w:top w:val="single" w:sz="4" w:space="0" w:color="ADD6EA"/>
              <w:left w:val="nil"/>
              <w:bottom w:val="nil"/>
              <w:right w:val="nil"/>
            </w:tcBorders>
            <w:shd w:val="clear" w:color="000000" w:fill="FFFFFF"/>
            <w:vAlign w:val="bottom"/>
            <w:hideMark/>
          </w:tcPr>
          <w:p w14:paraId="33DBBFC8"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11,369</w:t>
            </w:r>
          </w:p>
        </w:tc>
        <w:tc>
          <w:tcPr>
            <w:tcW w:w="1940" w:type="dxa"/>
            <w:tcBorders>
              <w:top w:val="single" w:sz="4" w:space="0" w:color="ADD6EA"/>
              <w:left w:val="nil"/>
              <w:bottom w:val="nil"/>
              <w:right w:val="nil"/>
            </w:tcBorders>
            <w:shd w:val="clear" w:color="000000" w:fill="FFFFFF"/>
            <w:vAlign w:val="bottom"/>
            <w:hideMark/>
          </w:tcPr>
          <w:p w14:paraId="10593905"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3,451</w:t>
            </w:r>
          </w:p>
        </w:tc>
        <w:tc>
          <w:tcPr>
            <w:tcW w:w="1600" w:type="dxa"/>
            <w:tcBorders>
              <w:top w:val="single" w:sz="4" w:space="0" w:color="ADD6EA"/>
              <w:left w:val="nil"/>
              <w:bottom w:val="nil"/>
              <w:right w:val="nil"/>
            </w:tcBorders>
            <w:shd w:val="clear" w:color="000000" w:fill="FFFFFF"/>
            <w:vAlign w:val="bottom"/>
            <w:hideMark/>
          </w:tcPr>
          <w:p w14:paraId="49ED34BB"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w:t>
            </w:r>
          </w:p>
        </w:tc>
      </w:tr>
      <w:tr w:rsidR="00D81028" w:rsidRPr="00D81028" w14:paraId="194F4841" w14:textId="77777777" w:rsidTr="00D81028">
        <w:trPr>
          <w:trHeight w:val="321"/>
        </w:trPr>
        <w:tc>
          <w:tcPr>
            <w:tcW w:w="3560" w:type="dxa"/>
            <w:tcBorders>
              <w:top w:val="single" w:sz="4" w:space="0" w:color="ADD6EA"/>
              <w:left w:val="nil"/>
              <w:bottom w:val="nil"/>
              <w:right w:val="nil"/>
            </w:tcBorders>
            <w:shd w:val="clear" w:color="000000" w:fill="FFFFFF"/>
            <w:vAlign w:val="bottom"/>
            <w:hideMark/>
          </w:tcPr>
          <w:p w14:paraId="0066389D" w14:textId="77777777" w:rsidR="00D81028" w:rsidRPr="00D81028" w:rsidRDefault="00D81028" w:rsidP="00D81028">
            <w:pPr>
              <w:spacing w:after="0" w:line="240" w:lineRule="auto"/>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 </w:t>
            </w:r>
          </w:p>
        </w:tc>
        <w:tc>
          <w:tcPr>
            <w:tcW w:w="1840" w:type="dxa"/>
            <w:tcBorders>
              <w:top w:val="single" w:sz="4" w:space="0" w:color="ADD6EA"/>
              <w:left w:val="nil"/>
              <w:bottom w:val="nil"/>
              <w:right w:val="nil"/>
            </w:tcBorders>
            <w:shd w:val="clear" w:color="000000" w:fill="FFFFFF"/>
            <w:vAlign w:val="bottom"/>
            <w:hideMark/>
          </w:tcPr>
          <w:p w14:paraId="6C969EB9"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 </w:t>
            </w:r>
          </w:p>
        </w:tc>
        <w:tc>
          <w:tcPr>
            <w:tcW w:w="1940" w:type="dxa"/>
            <w:tcBorders>
              <w:top w:val="single" w:sz="4" w:space="0" w:color="ADD6EA"/>
              <w:left w:val="nil"/>
              <w:bottom w:val="nil"/>
              <w:right w:val="nil"/>
            </w:tcBorders>
            <w:shd w:val="clear" w:color="000000" w:fill="FFFFFF"/>
            <w:vAlign w:val="bottom"/>
            <w:hideMark/>
          </w:tcPr>
          <w:p w14:paraId="6954082E"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 </w:t>
            </w:r>
          </w:p>
        </w:tc>
        <w:tc>
          <w:tcPr>
            <w:tcW w:w="1600" w:type="dxa"/>
            <w:tcBorders>
              <w:top w:val="single" w:sz="4" w:space="0" w:color="ADD6EA"/>
              <w:left w:val="nil"/>
              <w:bottom w:val="nil"/>
              <w:right w:val="nil"/>
            </w:tcBorders>
            <w:shd w:val="clear" w:color="000000" w:fill="FFFFFF"/>
            <w:vAlign w:val="bottom"/>
            <w:hideMark/>
          </w:tcPr>
          <w:p w14:paraId="57CAC75E"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 </w:t>
            </w:r>
          </w:p>
        </w:tc>
      </w:tr>
      <w:tr w:rsidR="00D81028" w:rsidRPr="00D81028" w14:paraId="5EB19FAA" w14:textId="77777777" w:rsidTr="00D81028">
        <w:trPr>
          <w:trHeight w:val="321"/>
        </w:trPr>
        <w:tc>
          <w:tcPr>
            <w:tcW w:w="3560" w:type="dxa"/>
            <w:tcBorders>
              <w:top w:val="single" w:sz="4" w:space="0" w:color="ADD6EA"/>
              <w:left w:val="nil"/>
              <w:bottom w:val="nil"/>
              <w:right w:val="nil"/>
            </w:tcBorders>
            <w:shd w:val="clear" w:color="000000" w:fill="FFFFFF"/>
            <w:vAlign w:val="bottom"/>
            <w:hideMark/>
          </w:tcPr>
          <w:p w14:paraId="119396B2" w14:textId="77777777" w:rsidR="00D81028" w:rsidRPr="00D81028" w:rsidRDefault="00D81028" w:rsidP="00D81028">
            <w:pPr>
              <w:spacing w:after="0" w:line="240" w:lineRule="auto"/>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Adjusted R squared</w:t>
            </w:r>
          </w:p>
        </w:tc>
        <w:tc>
          <w:tcPr>
            <w:tcW w:w="1840" w:type="dxa"/>
            <w:tcBorders>
              <w:top w:val="single" w:sz="4" w:space="0" w:color="ADD6EA"/>
              <w:left w:val="nil"/>
              <w:bottom w:val="nil"/>
              <w:right w:val="nil"/>
            </w:tcBorders>
            <w:shd w:val="clear" w:color="000000" w:fill="FFFFFF"/>
            <w:vAlign w:val="bottom"/>
            <w:hideMark/>
          </w:tcPr>
          <w:p w14:paraId="6608DD2A" w14:textId="07C53293" w:rsidR="00D81028" w:rsidRPr="00D81028" w:rsidRDefault="00E07498" w:rsidP="00D81028">
            <w:pPr>
              <w:spacing w:after="0" w:line="240" w:lineRule="auto"/>
              <w:jc w:val="right"/>
              <w:rPr>
                <w:rFonts w:ascii="Open Sans Light" w:eastAsia="Times New Roman" w:hAnsi="Open Sans Light" w:cs="Open Sans Light"/>
                <w:color w:val="000000"/>
                <w:sz w:val="16"/>
                <w:szCs w:val="16"/>
                <w:lang w:eastAsia="en-AU"/>
              </w:rPr>
            </w:pPr>
            <w:r w:rsidRPr="00E07498">
              <w:rPr>
                <w:rFonts w:ascii="Open Sans Light" w:eastAsia="Times New Roman" w:hAnsi="Open Sans Light" w:cs="Open Sans Light"/>
                <w:color w:val="000000"/>
                <w:sz w:val="16"/>
                <w:szCs w:val="16"/>
                <w:lang w:eastAsia="en-AU"/>
              </w:rPr>
              <w:t>0.752</w:t>
            </w:r>
          </w:p>
        </w:tc>
        <w:tc>
          <w:tcPr>
            <w:tcW w:w="1940" w:type="dxa"/>
            <w:tcBorders>
              <w:top w:val="single" w:sz="4" w:space="0" w:color="ADD6EA"/>
              <w:left w:val="nil"/>
              <w:bottom w:val="nil"/>
              <w:right w:val="nil"/>
            </w:tcBorders>
            <w:shd w:val="clear" w:color="000000" w:fill="FFFFFF"/>
            <w:vAlign w:val="bottom"/>
            <w:hideMark/>
          </w:tcPr>
          <w:p w14:paraId="7D197E6E"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 </w:t>
            </w:r>
          </w:p>
        </w:tc>
        <w:tc>
          <w:tcPr>
            <w:tcW w:w="1600" w:type="dxa"/>
            <w:tcBorders>
              <w:top w:val="single" w:sz="4" w:space="0" w:color="ADD6EA"/>
              <w:left w:val="nil"/>
              <w:bottom w:val="nil"/>
              <w:right w:val="nil"/>
            </w:tcBorders>
            <w:shd w:val="clear" w:color="000000" w:fill="FFFFFF"/>
            <w:vAlign w:val="bottom"/>
            <w:hideMark/>
          </w:tcPr>
          <w:p w14:paraId="56142A8F"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 </w:t>
            </w:r>
          </w:p>
        </w:tc>
      </w:tr>
      <w:tr w:rsidR="00D81028" w:rsidRPr="00D81028" w14:paraId="6ED92DB1" w14:textId="77777777" w:rsidTr="00D81028">
        <w:trPr>
          <w:trHeight w:val="321"/>
        </w:trPr>
        <w:tc>
          <w:tcPr>
            <w:tcW w:w="3560" w:type="dxa"/>
            <w:tcBorders>
              <w:top w:val="single" w:sz="4" w:space="0" w:color="ADD6EA"/>
              <w:left w:val="nil"/>
              <w:bottom w:val="single" w:sz="4" w:space="0" w:color="ADD6EA"/>
              <w:right w:val="nil"/>
            </w:tcBorders>
            <w:shd w:val="clear" w:color="000000" w:fill="FFFFFF"/>
            <w:vAlign w:val="bottom"/>
            <w:hideMark/>
          </w:tcPr>
          <w:p w14:paraId="5F47364A" w14:textId="77777777" w:rsidR="00D81028" w:rsidRPr="00D81028" w:rsidRDefault="00D81028" w:rsidP="00D81028">
            <w:pPr>
              <w:spacing w:after="0" w:line="240" w:lineRule="auto"/>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Sample size</w:t>
            </w:r>
          </w:p>
        </w:tc>
        <w:tc>
          <w:tcPr>
            <w:tcW w:w="1840" w:type="dxa"/>
            <w:tcBorders>
              <w:top w:val="single" w:sz="4" w:space="0" w:color="ADD6EA"/>
              <w:left w:val="nil"/>
              <w:bottom w:val="single" w:sz="4" w:space="0" w:color="ADD6EA"/>
              <w:right w:val="nil"/>
            </w:tcBorders>
            <w:shd w:val="clear" w:color="000000" w:fill="FFFFFF"/>
            <w:vAlign w:val="bottom"/>
            <w:hideMark/>
          </w:tcPr>
          <w:p w14:paraId="49FAA68C"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152</w:t>
            </w:r>
          </w:p>
        </w:tc>
        <w:tc>
          <w:tcPr>
            <w:tcW w:w="1940" w:type="dxa"/>
            <w:tcBorders>
              <w:top w:val="single" w:sz="4" w:space="0" w:color="ADD6EA"/>
              <w:left w:val="nil"/>
              <w:bottom w:val="single" w:sz="4" w:space="0" w:color="ADD6EA"/>
              <w:right w:val="nil"/>
            </w:tcBorders>
            <w:shd w:val="clear" w:color="000000" w:fill="FFFFFF"/>
            <w:vAlign w:val="bottom"/>
            <w:hideMark/>
          </w:tcPr>
          <w:p w14:paraId="2FD437C1"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 </w:t>
            </w:r>
          </w:p>
        </w:tc>
        <w:tc>
          <w:tcPr>
            <w:tcW w:w="1600" w:type="dxa"/>
            <w:tcBorders>
              <w:top w:val="single" w:sz="4" w:space="0" w:color="ADD6EA"/>
              <w:left w:val="nil"/>
              <w:bottom w:val="single" w:sz="4" w:space="0" w:color="ADD6EA"/>
              <w:right w:val="nil"/>
            </w:tcBorders>
            <w:shd w:val="clear" w:color="000000" w:fill="FFFFFF"/>
            <w:vAlign w:val="bottom"/>
            <w:hideMark/>
          </w:tcPr>
          <w:p w14:paraId="7B6BBA5B" w14:textId="77777777" w:rsidR="00D81028" w:rsidRPr="00D81028" w:rsidRDefault="00D81028" w:rsidP="00D81028">
            <w:pPr>
              <w:spacing w:after="0" w:line="240" w:lineRule="auto"/>
              <w:jc w:val="right"/>
              <w:rPr>
                <w:rFonts w:ascii="Open Sans Light" w:eastAsia="Times New Roman" w:hAnsi="Open Sans Light" w:cs="Open Sans Light"/>
                <w:color w:val="000000"/>
                <w:sz w:val="16"/>
                <w:szCs w:val="16"/>
                <w:lang w:eastAsia="en-AU"/>
              </w:rPr>
            </w:pPr>
            <w:r w:rsidRPr="00D81028">
              <w:rPr>
                <w:rFonts w:ascii="Open Sans Light" w:eastAsia="Times New Roman" w:hAnsi="Open Sans Light" w:cs="Open Sans Light"/>
                <w:color w:val="000000"/>
                <w:sz w:val="16"/>
                <w:szCs w:val="16"/>
                <w:lang w:eastAsia="en-AU"/>
              </w:rPr>
              <w:t> </w:t>
            </w:r>
          </w:p>
        </w:tc>
      </w:tr>
    </w:tbl>
    <w:p w14:paraId="2E89501C" w14:textId="35291D6F" w:rsidR="00DF1313" w:rsidRDefault="00E62837" w:rsidP="00D64876">
      <w:pPr>
        <w:pStyle w:val="CGC2025TableNote"/>
        <w:rPr>
          <w:rFonts w:ascii="Open Sans Light" w:hAnsi="Open Sans Light"/>
        </w:rPr>
      </w:pPr>
      <w:r w:rsidRPr="00061430">
        <w:t>Note: *** represents statistically significant coefficients at a 0.001 confidence, ** at a 0.01 confidence.</w:t>
      </w:r>
    </w:p>
    <w:p w14:paraId="6D9752A3" w14:textId="77777777" w:rsidR="00E83349" w:rsidRDefault="00E83349" w:rsidP="00E83349">
      <w:pPr>
        <w:tabs>
          <w:tab w:val="left" w:pos="567"/>
          <w:tab w:val="left" w:pos="680"/>
        </w:tabs>
        <w:spacing w:before="40" w:after="0" w:line="240" w:lineRule="auto"/>
        <w:rPr>
          <w:rFonts w:ascii="Open Sans Light" w:hAnsi="Open Sans Light"/>
          <w:sz w:val="14"/>
        </w:rPr>
      </w:pPr>
    </w:p>
    <w:p w14:paraId="5ABBC3F4" w14:textId="45A49367" w:rsidR="00E83349" w:rsidRPr="007747A0" w:rsidRDefault="00E83349" w:rsidP="00E83349">
      <w:pPr>
        <w:pStyle w:val="CGC2025Caption"/>
        <w:keepNext/>
        <w:tabs>
          <w:tab w:val="left" w:pos="1134"/>
        </w:tabs>
        <w:ind w:left="1134" w:hanging="1134"/>
      </w:pPr>
      <w:r w:rsidRPr="007747A0">
        <w:t>Table B-3</w:t>
      </w:r>
      <w:r w:rsidRPr="007747A0">
        <w:tab/>
        <w:t>Variance inflation factors, police regression with remote offender interaction, 2022–23 and 2023–24 data</w:t>
      </w:r>
    </w:p>
    <w:tbl>
      <w:tblPr>
        <w:tblW w:w="8940" w:type="dxa"/>
        <w:tblLayout w:type="fixed"/>
        <w:tblLook w:val="04A0" w:firstRow="1" w:lastRow="0" w:firstColumn="1" w:lastColumn="0" w:noHBand="0" w:noVBand="1"/>
      </w:tblPr>
      <w:tblGrid>
        <w:gridCol w:w="1985"/>
        <w:gridCol w:w="1391"/>
        <w:gridCol w:w="1391"/>
        <w:gridCol w:w="1391"/>
        <w:gridCol w:w="1391"/>
        <w:gridCol w:w="1391"/>
      </w:tblGrid>
      <w:tr w:rsidR="00E83349" w:rsidRPr="0029268A" w14:paraId="5B996F87" w14:textId="77777777">
        <w:trPr>
          <w:trHeight w:val="381"/>
        </w:trPr>
        <w:tc>
          <w:tcPr>
            <w:tcW w:w="1985" w:type="dxa"/>
            <w:tcBorders>
              <w:top w:val="single" w:sz="4" w:space="0" w:color="ADD6EA"/>
              <w:left w:val="nil"/>
              <w:bottom w:val="single" w:sz="4" w:space="0" w:color="ADD6EA"/>
              <w:right w:val="nil"/>
            </w:tcBorders>
            <w:shd w:val="clear" w:color="000000" w:fill="006991"/>
            <w:vAlign w:val="center"/>
            <w:hideMark/>
          </w:tcPr>
          <w:p w14:paraId="70593F01" w14:textId="77777777" w:rsidR="00E83349" w:rsidRPr="003D46D5" w:rsidRDefault="00E83349">
            <w:pPr>
              <w:spacing w:after="0" w:line="240" w:lineRule="auto"/>
              <w:rPr>
                <w:rFonts w:ascii="Open Sans Semibold" w:eastAsia="Times New Roman" w:hAnsi="Open Sans Semibold" w:cs="Open Sans Semibold"/>
                <w:color w:val="FFFFFF"/>
                <w:sz w:val="16"/>
                <w:szCs w:val="16"/>
                <w:lang w:eastAsia="en-AU"/>
              </w:rPr>
            </w:pPr>
            <w:r w:rsidRPr="003D46D5">
              <w:rPr>
                <w:rFonts w:ascii="Open Sans Semibold" w:eastAsia="Times New Roman" w:hAnsi="Open Sans Semibold" w:cs="Open Sans Semibold"/>
                <w:color w:val="FFFFFF"/>
                <w:sz w:val="16"/>
                <w:szCs w:val="16"/>
                <w:lang w:eastAsia="en-AU"/>
              </w:rPr>
              <w:t> </w:t>
            </w:r>
          </w:p>
        </w:tc>
        <w:tc>
          <w:tcPr>
            <w:tcW w:w="1391" w:type="dxa"/>
            <w:tcBorders>
              <w:top w:val="single" w:sz="4" w:space="0" w:color="ADD6EA"/>
              <w:left w:val="nil"/>
              <w:bottom w:val="single" w:sz="4" w:space="0" w:color="ADD6EA"/>
              <w:right w:val="nil"/>
            </w:tcBorders>
            <w:shd w:val="clear" w:color="000000" w:fill="006991"/>
            <w:vAlign w:val="center"/>
            <w:hideMark/>
          </w:tcPr>
          <w:p w14:paraId="2AD301A0" w14:textId="77777777" w:rsidR="00E83349" w:rsidRPr="003D46D5" w:rsidRDefault="00E83349">
            <w:pPr>
              <w:spacing w:after="0" w:line="240" w:lineRule="auto"/>
              <w:jc w:val="right"/>
              <w:rPr>
                <w:rFonts w:ascii="Open Sans Semibold" w:eastAsia="Times New Roman" w:hAnsi="Open Sans Semibold" w:cs="Open Sans Semibold"/>
                <w:color w:val="FFFFFF"/>
                <w:sz w:val="16"/>
                <w:szCs w:val="16"/>
                <w:lang w:eastAsia="en-AU"/>
              </w:rPr>
            </w:pPr>
            <w:r w:rsidRPr="003D46D5">
              <w:rPr>
                <w:rFonts w:ascii="Open Sans Semibold" w:eastAsia="Times New Roman" w:hAnsi="Open Sans Semibold" w:cs="Open Sans Semibold"/>
                <w:color w:val="FFFFFF"/>
                <w:sz w:val="16"/>
                <w:szCs w:val="16"/>
                <w:lang w:eastAsia="en-AU"/>
              </w:rPr>
              <w:t>Inner regional</w:t>
            </w:r>
          </w:p>
        </w:tc>
        <w:tc>
          <w:tcPr>
            <w:tcW w:w="1391" w:type="dxa"/>
            <w:tcBorders>
              <w:top w:val="single" w:sz="4" w:space="0" w:color="ADD6EA"/>
              <w:left w:val="nil"/>
              <w:bottom w:val="single" w:sz="4" w:space="0" w:color="ADD6EA"/>
              <w:right w:val="nil"/>
            </w:tcBorders>
            <w:shd w:val="clear" w:color="000000" w:fill="006991"/>
            <w:vAlign w:val="center"/>
            <w:hideMark/>
          </w:tcPr>
          <w:p w14:paraId="7BF21F21" w14:textId="77777777" w:rsidR="00E83349" w:rsidRPr="003D46D5" w:rsidRDefault="00E83349">
            <w:pPr>
              <w:spacing w:after="0" w:line="240" w:lineRule="auto"/>
              <w:jc w:val="right"/>
              <w:rPr>
                <w:rFonts w:ascii="Open Sans Semibold" w:eastAsia="Times New Roman" w:hAnsi="Open Sans Semibold" w:cs="Open Sans Semibold"/>
                <w:color w:val="FFFFFF"/>
                <w:sz w:val="16"/>
                <w:szCs w:val="16"/>
                <w:lang w:eastAsia="en-AU"/>
              </w:rPr>
            </w:pPr>
            <w:r w:rsidRPr="003D46D5">
              <w:rPr>
                <w:rFonts w:ascii="Open Sans Semibold" w:eastAsia="Times New Roman" w:hAnsi="Open Sans Semibold" w:cs="Open Sans Semibold"/>
                <w:color w:val="FFFFFF"/>
                <w:sz w:val="16"/>
                <w:szCs w:val="16"/>
                <w:lang w:eastAsia="en-AU"/>
              </w:rPr>
              <w:t>Outer regional</w:t>
            </w:r>
          </w:p>
        </w:tc>
        <w:tc>
          <w:tcPr>
            <w:tcW w:w="1391" w:type="dxa"/>
            <w:tcBorders>
              <w:top w:val="single" w:sz="4" w:space="0" w:color="ADD6EA"/>
              <w:left w:val="nil"/>
              <w:bottom w:val="single" w:sz="4" w:space="0" w:color="ADD6EA"/>
              <w:right w:val="nil"/>
            </w:tcBorders>
            <w:shd w:val="clear" w:color="000000" w:fill="006991"/>
            <w:vAlign w:val="center"/>
            <w:hideMark/>
          </w:tcPr>
          <w:p w14:paraId="12A1242F" w14:textId="77777777" w:rsidR="00E83349" w:rsidRPr="003D46D5" w:rsidRDefault="00E83349">
            <w:pPr>
              <w:spacing w:after="0" w:line="240" w:lineRule="auto"/>
              <w:jc w:val="right"/>
              <w:rPr>
                <w:rFonts w:ascii="Open Sans Semibold" w:eastAsia="Times New Roman" w:hAnsi="Open Sans Semibold" w:cs="Open Sans Semibold"/>
                <w:color w:val="FFFFFF"/>
                <w:sz w:val="16"/>
                <w:szCs w:val="16"/>
                <w:lang w:eastAsia="en-AU"/>
              </w:rPr>
            </w:pPr>
            <w:r w:rsidRPr="003D46D5">
              <w:rPr>
                <w:rFonts w:ascii="Open Sans Semibold" w:eastAsia="Times New Roman" w:hAnsi="Open Sans Semibold" w:cs="Open Sans Semibold"/>
                <w:color w:val="FFFFFF"/>
                <w:sz w:val="16"/>
                <w:szCs w:val="16"/>
                <w:lang w:eastAsia="en-AU"/>
              </w:rPr>
              <w:t>All remote</w:t>
            </w:r>
          </w:p>
        </w:tc>
        <w:tc>
          <w:tcPr>
            <w:tcW w:w="1391" w:type="dxa"/>
            <w:tcBorders>
              <w:top w:val="single" w:sz="4" w:space="0" w:color="ADD6EA"/>
              <w:left w:val="nil"/>
              <w:bottom w:val="single" w:sz="4" w:space="0" w:color="ADD6EA"/>
              <w:right w:val="nil"/>
            </w:tcBorders>
            <w:shd w:val="clear" w:color="000000" w:fill="006991"/>
            <w:vAlign w:val="center"/>
            <w:hideMark/>
          </w:tcPr>
          <w:p w14:paraId="4AF5E7D4" w14:textId="77777777" w:rsidR="00E83349" w:rsidRPr="003D46D5" w:rsidRDefault="00E83349">
            <w:pPr>
              <w:spacing w:after="0" w:line="240" w:lineRule="auto"/>
              <w:jc w:val="right"/>
              <w:rPr>
                <w:rFonts w:ascii="Open Sans Semibold" w:eastAsia="Times New Roman" w:hAnsi="Open Sans Semibold" w:cs="Open Sans Semibold"/>
                <w:color w:val="FFFFFF"/>
                <w:sz w:val="16"/>
                <w:szCs w:val="16"/>
                <w:lang w:eastAsia="en-AU"/>
              </w:rPr>
            </w:pPr>
            <w:r w:rsidRPr="003D46D5">
              <w:rPr>
                <w:rFonts w:ascii="Open Sans Semibold" w:eastAsia="Times New Roman" w:hAnsi="Open Sans Semibold" w:cs="Open Sans Semibold"/>
                <w:color w:val="FFFFFF"/>
                <w:sz w:val="16"/>
                <w:szCs w:val="16"/>
                <w:lang w:eastAsia="en-AU"/>
              </w:rPr>
              <w:t>Offenders</w:t>
            </w:r>
          </w:p>
        </w:tc>
        <w:tc>
          <w:tcPr>
            <w:tcW w:w="1391" w:type="dxa"/>
            <w:tcBorders>
              <w:top w:val="single" w:sz="4" w:space="0" w:color="ADD6EA"/>
              <w:left w:val="nil"/>
              <w:bottom w:val="single" w:sz="4" w:space="0" w:color="ADD6EA"/>
              <w:right w:val="nil"/>
            </w:tcBorders>
            <w:shd w:val="clear" w:color="000000" w:fill="006991"/>
            <w:vAlign w:val="center"/>
            <w:hideMark/>
          </w:tcPr>
          <w:p w14:paraId="56CB982A" w14:textId="77777777" w:rsidR="00E83349" w:rsidRPr="003D46D5" w:rsidRDefault="00E83349">
            <w:pPr>
              <w:spacing w:after="0" w:line="240" w:lineRule="auto"/>
              <w:jc w:val="right"/>
              <w:rPr>
                <w:rFonts w:ascii="Open Sans Semibold" w:eastAsia="Times New Roman" w:hAnsi="Open Sans Semibold" w:cs="Open Sans Semibold"/>
                <w:color w:val="FFFFFF"/>
                <w:sz w:val="16"/>
                <w:szCs w:val="16"/>
                <w:lang w:eastAsia="en-AU"/>
              </w:rPr>
            </w:pPr>
            <w:r w:rsidRPr="003D46D5">
              <w:rPr>
                <w:rFonts w:ascii="Open Sans Semibold" w:eastAsia="Times New Roman" w:hAnsi="Open Sans Semibold" w:cs="Open Sans Semibold"/>
                <w:color w:val="FFFFFF"/>
                <w:sz w:val="16"/>
                <w:szCs w:val="16"/>
                <w:lang w:eastAsia="en-AU"/>
              </w:rPr>
              <w:t>Remote offenders</w:t>
            </w:r>
          </w:p>
        </w:tc>
      </w:tr>
      <w:tr w:rsidR="00E83349" w:rsidRPr="0029268A" w14:paraId="5FCFC98B" w14:textId="77777777">
        <w:trPr>
          <w:trHeight w:val="321"/>
        </w:trPr>
        <w:tc>
          <w:tcPr>
            <w:tcW w:w="1985" w:type="dxa"/>
            <w:tcBorders>
              <w:top w:val="single" w:sz="4" w:space="0" w:color="ADD6EA"/>
              <w:left w:val="nil"/>
              <w:bottom w:val="single" w:sz="4" w:space="0" w:color="ADD6EA"/>
              <w:right w:val="nil"/>
            </w:tcBorders>
            <w:shd w:val="clear" w:color="000000" w:fill="FFFFFF"/>
            <w:vAlign w:val="bottom"/>
            <w:hideMark/>
          </w:tcPr>
          <w:p w14:paraId="285879F1" w14:textId="77777777" w:rsidR="00E83349" w:rsidRPr="003D46D5" w:rsidRDefault="00E83349">
            <w:pPr>
              <w:spacing w:after="0" w:line="240" w:lineRule="auto"/>
              <w:rPr>
                <w:rFonts w:ascii="Open Sans Light" w:eastAsia="Times New Roman" w:hAnsi="Open Sans Light" w:cs="Open Sans Light"/>
                <w:color w:val="000000"/>
                <w:sz w:val="16"/>
                <w:szCs w:val="16"/>
                <w:lang w:eastAsia="en-AU"/>
              </w:rPr>
            </w:pPr>
            <w:r w:rsidRPr="003D46D5">
              <w:rPr>
                <w:rFonts w:ascii="Open Sans Light" w:eastAsia="Times New Roman" w:hAnsi="Open Sans Light" w:cs="Open Sans Light"/>
                <w:color w:val="000000"/>
                <w:sz w:val="16"/>
                <w:szCs w:val="16"/>
                <w:lang w:eastAsia="en-AU"/>
              </w:rPr>
              <w:t>Variance Inflation Factor</w:t>
            </w:r>
          </w:p>
        </w:tc>
        <w:tc>
          <w:tcPr>
            <w:tcW w:w="1391" w:type="dxa"/>
            <w:tcBorders>
              <w:top w:val="single" w:sz="4" w:space="0" w:color="ADD6EA"/>
              <w:left w:val="nil"/>
              <w:bottom w:val="single" w:sz="4" w:space="0" w:color="ADD6EA"/>
              <w:right w:val="nil"/>
            </w:tcBorders>
            <w:shd w:val="clear" w:color="000000" w:fill="FFFFFF"/>
            <w:vAlign w:val="bottom"/>
            <w:hideMark/>
          </w:tcPr>
          <w:p w14:paraId="654ADB9B" w14:textId="77777777" w:rsidR="00E83349" w:rsidRPr="003D46D5" w:rsidRDefault="00E83349">
            <w:pPr>
              <w:spacing w:after="0" w:line="240" w:lineRule="auto"/>
              <w:jc w:val="right"/>
              <w:rPr>
                <w:rFonts w:ascii="Open Sans Light" w:eastAsia="Times New Roman" w:hAnsi="Open Sans Light" w:cs="Open Sans Light"/>
                <w:color w:val="000000"/>
                <w:sz w:val="16"/>
                <w:szCs w:val="16"/>
                <w:lang w:eastAsia="en-AU"/>
              </w:rPr>
            </w:pPr>
            <w:r w:rsidRPr="003D46D5">
              <w:rPr>
                <w:rFonts w:ascii="Open Sans Light" w:eastAsia="Times New Roman" w:hAnsi="Open Sans Light" w:cs="Open Sans Light"/>
                <w:color w:val="000000"/>
                <w:sz w:val="16"/>
                <w:szCs w:val="16"/>
                <w:lang w:eastAsia="en-AU"/>
              </w:rPr>
              <w:t>1.01</w:t>
            </w:r>
          </w:p>
        </w:tc>
        <w:tc>
          <w:tcPr>
            <w:tcW w:w="1391" w:type="dxa"/>
            <w:tcBorders>
              <w:top w:val="single" w:sz="4" w:space="0" w:color="ADD6EA"/>
              <w:left w:val="nil"/>
              <w:bottom w:val="single" w:sz="4" w:space="0" w:color="ADD6EA"/>
              <w:right w:val="nil"/>
            </w:tcBorders>
            <w:shd w:val="clear" w:color="000000" w:fill="FFFFFF"/>
            <w:vAlign w:val="bottom"/>
            <w:hideMark/>
          </w:tcPr>
          <w:p w14:paraId="03D7A6F9" w14:textId="77777777" w:rsidR="00E83349" w:rsidRPr="003D46D5" w:rsidRDefault="00E83349">
            <w:pPr>
              <w:spacing w:after="0" w:line="240" w:lineRule="auto"/>
              <w:jc w:val="right"/>
              <w:rPr>
                <w:rFonts w:ascii="Open Sans Light" w:eastAsia="Times New Roman" w:hAnsi="Open Sans Light" w:cs="Open Sans Light"/>
                <w:color w:val="000000"/>
                <w:sz w:val="16"/>
                <w:szCs w:val="16"/>
                <w:lang w:eastAsia="en-AU"/>
              </w:rPr>
            </w:pPr>
            <w:r w:rsidRPr="003D46D5">
              <w:rPr>
                <w:rFonts w:ascii="Open Sans Light" w:eastAsia="Times New Roman" w:hAnsi="Open Sans Light" w:cs="Open Sans Light"/>
                <w:color w:val="000000"/>
                <w:sz w:val="16"/>
                <w:szCs w:val="16"/>
                <w:lang w:eastAsia="en-AU"/>
              </w:rPr>
              <w:t>1.17</w:t>
            </w:r>
          </w:p>
        </w:tc>
        <w:tc>
          <w:tcPr>
            <w:tcW w:w="1391" w:type="dxa"/>
            <w:tcBorders>
              <w:top w:val="single" w:sz="4" w:space="0" w:color="ADD6EA"/>
              <w:left w:val="nil"/>
              <w:bottom w:val="single" w:sz="4" w:space="0" w:color="ADD6EA"/>
              <w:right w:val="nil"/>
            </w:tcBorders>
            <w:shd w:val="clear" w:color="000000" w:fill="FFFFFF"/>
            <w:vAlign w:val="bottom"/>
            <w:hideMark/>
          </w:tcPr>
          <w:p w14:paraId="032D53E3" w14:textId="77777777" w:rsidR="00E83349" w:rsidRPr="003D46D5" w:rsidRDefault="00E83349">
            <w:pPr>
              <w:spacing w:after="0" w:line="240" w:lineRule="auto"/>
              <w:jc w:val="right"/>
              <w:rPr>
                <w:rFonts w:ascii="Open Sans Light" w:eastAsia="Times New Roman" w:hAnsi="Open Sans Light" w:cs="Open Sans Light"/>
                <w:color w:val="000000"/>
                <w:sz w:val="16"/>
                <w:szCs w:val="16"/>
                <w:lang w:eastAsia="en-AU"/>
              </w:rPr>
            </w:pPr>
            <w:r w:rsidRPr="003D46D5">
              <w:rPr>
                <w:rFonts w:ascii="Open Sans Light" w:eastAsia="Times New Roman" w:hAnsi="Open Sans Light" w:cs="Open Sans Light"/>
                <w:color w:val="000000"/>
                <w:sz w:val="16"/>
                <w:szCs w:val="16"/>
                <w:lang w:eastAsia="en-AU"/>
              </w:rPr>
              <w:t>6.45</w:t>
            </w:r>
          </w:p>
        </w:tc>
        <w:tc>
          <w:tcPr>
            <w:tcW w:w="1391" w:type="dxa"/>
            <w:tcBorders>
              <w:top w:val="single" w:sz="4" w:space="0" w:color="ADD6EA"/>
              <w:left w:val="nil"/>
              <w:bottom w:val="single" w:sz="4" w:space="0" w:color="ADD6EA"/>
              <w:right w:val="nil"/>
            </w:tcBorders>
            <w:shd w:val="clear" w:color="000000" w:fill="FFFFFF"/>
            <w:vAlign w:val="bottom"/>
            <w:hideMark/>
          </w:tcPr>
          <w:p w14:paraId="7CF7CC21" w14:textId="77777777" w:rsidR="00E83349" w:rsidRPr="003D46D5" w:rsidRDefault="00E83349">
            <w:pPr>
              <w:spacing w:after="0" w:line="240" w:lineRule="auto"/>
              <w:jc w:val="right"/>
              <w:rPr>
                <w:rFonts w:ascii="Open Sans Light" w:eastAsia="Times New Roman" w:hAnsi="Open Sans Light" w:cs="Open Sans Light"/>
                <w:color w:val="000000"/>
                <w:sz w:val="16"/>
                <w:szCs w:val="16"/>
                <w:lang w:eastAsia="en-AU"/>
              </w:rPr>
            </w:pPr>
            <w:r w:rsidRPr="003D46D5">
              <w:rPr>
                <w:rFonts w:ascii="Open Sans Light" w:eastAsia="Times New Roman" w:hAnsi="Open Sans Light" w:cs="Open Sans Light"/>
                <w:color w:val="000000"/>
                <w:sz w:val="16"/>
                <w:szCs w:val="16"/>
                <w:lang w:eastAsia="en-AU"/>
              </w:rPr>
              <w:t>1.56</w:t>
            </w:r>
          </w:p>
        </w:tc>
        <w:tc>
          <w:tcPr>
            <w:tcW w:w="1391" w:type="dxa"/>
            <w:tcBorders>
              <w:top w:val="single" w:sz="4" w:space="0" w:color="ADD6EA"/>
              <w:left w:val="nil"/>
              <w:bottom w:val="single" w:sz="4" w:space="0" w:color="ADD6EA"/>
              <w:right w:val="nil"/>
            </w:tcBorders>
            <w:shd w:val="clear" w:color="000000" w:fill="FFFFFF"/>
            <w:vAlign w:val="bottom"/>
            <w:hideMark/>
          </w:tcPr>
          <w:p w14:paraId="495F15AF" w14:textId="77777777" w:rsidR="00E83349" w:rsidRPr="003D46D5" w:rsidRDefault="00E83349">
            <w:pPr>
              <w:spacing w:after="0" w:line="240" w:lineRule="auto"/>
              <w:jc w:val="right"/>
              <w:rPr>
                <w:rFonts w:ascii="Open Sans Light" w:eastAsia="Times New Roman" w:hAnsi="Open Sans Light" w:cs="Open Sans Light"/>
                <w:color w:val="000000"/>
                <w:sz w:val="16"/>
                <w:szCs w:val="16"/>
                <w:lang w:eastAsia="en-AU"/>
              </w:rPr>
            </w:pPr>
            <w:r w:rsidRPr="003D46D5">
              <w:rPr>
                <w:rFonts w:ascii="Open Sans Light" w:eastAsia="Times New Roman" w:hAnsi="Open Sans Light" w:cs="Open Sans Light"/>
                <w:color w:val="000000"/>
                <w:sz w:val="16"/>
                <w:szCs w:val="16"/>
                <w:lang w:eastAsia="en-AU"/>
              </w:rPr>
              <w:t>6.86</w:t>
            </w:r>
          </w:p>
        </w:tc>
      </w:tr>
    </w:tbl>
    <w:p w14:paraId="33271CA5" w14:textId="77777777" w:rsidR="00E83349" w:rsidRDefault="00E83349" w:rsidP="00E83349">
      <w:pPr>
        <w:tabs>
          <w:tab w:val="left" w:pos="567"/>
          <w:tab w:val="left" w:pos="680"/>
        </w:tabs>
        <w:spacing w:before="40" w:after="0" w:line="240" w:lineRule="auto"/>
        <w:rPr>
          <w:rFonts w:ascii="Open Sans Light" w:hAnsi="Open Sans Light"/>
          <w:sz w:val="14"/>
        </w:rPr>
      </w:pPr>
    </w:p>
    <w:p w14:paraId="1D8AAEA5" w14:textId="04CCD2D3" w:rsidR="00E83349" w:rsidRDefault="00DF1313">
      <w:pPr>
        <w:rPr>
          <w:rFonts w:ascii="Open Sans Light" w:hAnsi="Open Sans Light"/>
          <w:sz w:val="14"/>
        </w:rPr>
      </w:pPr>
      <w:r>
        <w:rPr>
          <w:rFonts w:ascii="Open Sans Light" w:hAnsi="Open Sans Light"/>
          <w:sz w:val="14"/>
        </w:rPr>
        <w:br w:type="page"/>
      </w:r>
    </w:p>
    <w:p w14:paraId="24414D94" w14:textId="7676A951" w:rsidR="00E532C0" w:rsidRDefault="00E532C0" w:rsidP="008C290F">
      <w:pPr>
        <w:pStyle w:val="CGC2025Caption"/>
        <w:keepNext/>
        <w:tabs>
          <w:tab w:val="left" w:pos="1418"/>
        </w:tabs>
        <w:ind w:left="1134" w:hanging="1134"/>
      </w:pPr>
      <w:r>
        <w:lastRenderedPageBreak/>
        <w:t>Table B-</w:t>
      </w:r>
      <w:r w:rsidR="00E83349">
        <w:t>4</w:t>
      </w:r>
      <w:r>
        <w:t xml:space="preserve"> </w:t>
      </w:r>
      <w:r>
        <w:tab/>
        <w:t>Alternative police regression model without offen</w:t>
      </w:r>
      <w:r w:rsidR="008B4661">
        <w:t>ders</w:t>
      </w:r>
      <w:r>
        <w:t>, 2022–23 and 2023–</w:t>
      </w:r>
      <w:r w:rsidR="008B4661">
        <w:rPr>
          <w:rFonts w:ascii="Times New Roman" w:hAnsi="Times New Roman" w:cs="Times New Roman" w:hint="eastAsia"/>
          <w:rtl/>
        </w:rPr>
        <w:t>‍</w:t>
      </w:r>
      <w:r>
        <w:t>24</w:t>
      </w:r>
    </w:p>
    <w:tbl>
      <w:tblPr>
        <w:tblW w:w="8940" w:type="dxa"/>
        <w:tblLook w:val="04A0" w:firstRow="1" w:lastRow="0" w:firstColumn="1" w:lastColumn="0" w:noHBand="0" w:noVBand="1"/>
      </w:tblPr>
      <w:tblGrid>
        <w:gridCol w:w="3560"/>
        <w:gridCol w:w="1840"/>
        <w:gridCol w:w="1940"/>
        <w:gridCol w:w="1600"/>
      </w:tblGrid>
      <w:tr w:rsidR="00DF1313" w:rsidRPr="00DF1313" w14:paraId="3EFAAED1" w14:textId="77777777" w:rsidTr="00116DCE">
        <w:trPr>
          <w:trHeight w:val="381"/>
        </w:trPr>
        <w:tc>
          <w:tcPr>
            <w:tcW w:w="3560" w:type="dxa"/>
            <w:tcBorders>
              <w:top w:val="single" w:sz="4" w:space="0" w:color="ADD6EA"/>
              <w:left w:val="nil"/>
              <w:bottom w:val="single" w:sz="4" w:space="0" w:color="ADD6EA"/>
              <w:right w:val="nil"/>
            </w:tcBorders>
            <w:shd w:val="clear" w:color="000000" w:fill="006991"/>
            <w:vAlign w:val="center"/>
            <w:hideMark/>
          </w:tcPr>
          <w:p w14:paraId="0A0E5A95" w14:textId="77777777" w:rsidR="00DF1313" w:rsidRPr="00DF1313" w:rsidRDefault="00DF1313" w:rsidP="00DF1313">
            <w:pPr>
              <w:spacing w:after="0" w:line="240" w:lineRule="auto"/>
              <w:rPr>
                <w:rFonts w:ascii="Open Sans Semibold" w:eastAsia="Times New Roman" w:hAnsi="Open Sans Semibold" w:cs="Open Sans Semibold"/>
                <w:color w:val="FFFFFF"/>
                <w:sz w:val="16"/>
                <w:szCs w:val="16"/>
                <w:lang w:eastAsia="en-AU"/>
              </w:rPr>
            </w:pPr>
            <w:r w:rsidRPr="00DF1313">
              <w:rPr>
                <w:rFonts w:ascii="Open Sans Semibold" w:eastAsia="Times New Roman" w:hAnsi="Open Sans Semibold" w:cs="Open Sans Semibold"/>
                <w:color w:val="FFFFFF"/>
                <w:sz w:val="16"/>
                <w:szCs w:val="16"/>
                <w:lang w:eastAsia="en-AU"/>
              </w:rPr>
              <w:t> </w:t>
            </w:r>
          </w:p>
        </w:tc>
        <w:tc>
          <w:tcPr>
            <w:tcW w:w="1840" w:type="dxa"/>
            <w:tcBorders>
              <w:top w:val="single" w:sz="4" w:space="0" w:color="ADD6EA"/>
              <w:left w:val="nil"/>
              <w:bottom w:val="single" w:sz="4" w:space="0" w:color="ADD6EA"/>
              <w:right w:val="nil"/>
            </w:tcBorders>
            <w:shd w:val="clear" w:color="000000" w:fill="006991"/>
            <w:vAlign w:val="center"/>
            <w:hideMark/>
          </w:tcPr>
          <w:p w14:paraId="63B5C990" w14:textId="77777777" w:rsidR="00DF1313" w:rsidRPr="00DF1313" w:rsidRDefault="00DF1313" w:rsidP="00DF1313">
            <w:pPr>
              <w:spacing w:after="0" w:line="240" w:lineRule="auto"/>
              <w:jc w:val="right"/>
              <w:rPr>
                <w:rFonts w:ascii="Open Sans Semibold" w:eastAsia="Times New Roman" w:hAnsi="Open Sans Semibold" w:cs="Open Sans Semibold"/>
                <w:color w:val="FFFFFF"/>
                <w:sz w:val="16"/>
                <w:szCs w:val="16"/>
                <w:lang w:eastAsia="en-AU"/>
              </w:rPr>
            </w:pPr>
            <w:r w:rsidRPr="00DF1313">
              <w:rPr>
                <w:rFonts w:ascii="Open Sans Semibold" w:eastAsia="Times New Roman" w:hAnsi="Open Sans Semibold" w:cs="Open Sans Semibold"/>
                <w:color w:val="FFFFFF"/>
                <w:sz w:val="16"/>
                <w:szCs w:val="16"/>
                <w:lang w:eastAsia="en-AU"/>
              </w:rPr>
              <w:t>Estimate</w:t>
            </w:r>
          </w:p>
        </w:tc>
        <w:tc>
          <w:tcPr>
            <w:tcW w:w="1940" w:type="dxa"/>
            <w:tcBorders>
              <w:top w:val="single" w:sz="4" w:space="0" w:color="ADD6EA"/>
              <w:left w:val="nil"/>
              <w:bottom w:val="single" w:sz="4" w:space="0" w:color="ADD6EA"/>
              <w:right w:val="nil"/>
            </w:tcBorders>
            <w:shd w:val="clear" w:color="000000" w:fill="006991"/>
            <w:vAlign w:val="center"/>
            <w:hideMark/>
          </w:tcPr>
          <w:p w14:paraId="5002856F" w14:textId="77777777" w:rsidR="00DF1313" w:rsidRPr="00DF1313" w:rsidRDefault="00DF1313" w:rsidP="00DF1313">
            <w:pPr>
              <w:spacing w:after="0" w:line="240" w:lineRule="auto"/>
              <w:jc w:val="right"/>
              <w:rPr>
                <w:rFonts w:ascii="Open Sans Semibold" w:eastAsia="Times New Roman" w:hAnsi="Open Sans Semibold" w:cs="Open Sans Semibold"/>
                <w:color w:val="FFFFFF"/>
                <w:sz w:val="16"/>
                <w:szCs w:val="16"/>
                <w:lang w:eastAsia="en-AU"/>
              </w:rPr>
            </w:pPr>
            <w:r w:rsidRPr="00DF1313">
              <w:rPr>
                <w:rFonts w:ascii="Open Sans Semibold" w:eastAsia="Times New Roman" w:hAnsi="Open Sans Semibold" w:cs="Open Sans Semibold"/>
                <w:color w:val="FFFFFF"/>
                <w:sz w:val="16"/>
                <w:szCs w:val="16"/>
                <w:lang w:eastAsia="en-AU"/>
              </w:rPr>
              <w:t>Standard error</w:t>
            </w:r>
          </w:p>
        </w:tc>
        <w:tc>
          <w:tcPr>
            <w:tcW w:w="1600" w:type="dxa"/>
            <w:tcBorders>
              <w:top w:val="single" w:sz="4" w:space="0" w:color="ADD6EA"/>
              <w:left w:val="nil"/>
              <w:bottom w:val="single" w:sz="4" w:space="0" w:color="ADD6EA"/>
              <w:right w:val="nil"/>
            </w:tcBorders>
            <w:shd w:val="clear" w:color="000000" w:fill="006991"/>
            <w:vAlign w:val="center"/>
            <w:hideMark/>
          </w:tcPr>
          <w:p w14:paraId="0BC5D14A" w14:textId="77777777" w:rsidR="00DF1313" w:rsidRPr="00DF1313" w:rsidRDefault="00DF1313" w:rsidP="00DF1313">
            <w:pPr>
              <w:spacing w:after="0" w:line="240" w:lineRule="auto"/>
              <w:jc w:val="right"/>
              <w:rPr>
                <w:rFonts w:ascii="Open Sans Semibold" w:eastAsia="Times New Roman" w:hAnsi="Open Sans Semibold" w:cs="Open Sans Semibold"/>
                <w:color w:val="FFFFFF"/>
                <w:sz w:val="16"/>
                <w:szCs w:val="16"/>
                <w:lang w:eastAsia="en-AU"/>
              </w:rPr>
            </w:pPr>
            <w:r w:rsidRPr="00DF1313">
              <w:rPr>
                <w:rFonts w:ascii="Open Sans Semibold" w:eastAsia="Times New Roman" w:hAnsi="Open Sans Semibold" w:cs="Open Sans Semibold"/>
                <w:color w:val="FFFFFF"/>
                <w:sz w:val="16"/>
                <w:szCs w:val="16"/>
                <w:lang w:eastAsia="en-AU"/>
              </w:rPr>
              <w:t>Significance</w:t>
            </w:r>
          </w:p>
        </w:tc>
      </w:tr>
      <w:tr w:rsidR="00DF1313" w:rsidRPr="00DF1313" w14:paraId="091D79D9" w14:textId="77777777" w:rsidTr="00116DCE">
        <w:trPr>
          <w:trHeight w:val="321"/>
        </w:trPr>
        <w:tc>
          <w:tcPr>
            <w:tcW w:w="3560" w:type="dxa"/>
            <w:tcBorders>
              <w:top w:val="single" w:sz="4" w:space="0" w:color="ADD6EA"/>
              <w:left w:val="nil"/>
              <w:bottom w:val="nil"/>
              <w:right w:val="nil"/>
            </w:tcBorders>
            <w:shd w:val="clear" w:color="000000" w:fill="FFFFFF"/>
            <w:vAlign w:val="bottom"/>
            <w:hideMark/>
          </w:tcPr>
          <w:p w14:paraId="321164D7" w14:textId="77777777" w:rsidR="00DF1313" w:rsidRPr="00DF1313" w:rsidRDefault="00DF1313" w:rsidP="00DF1313">
            <w:pPr>
              <w:spacing w:after="0" w:line="240" w:lineRule="auto"/>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 xml:space="preserve">Intercept  </w:t>
            </w:r>
          </w:p>
        </w:tc>
        <w:tc>
          <w:tcPr>
            <w:tcW w:w="1840" w:type="dxa"/>
            <w:tcBorders>
              <w:top w:val="single" w:sz="4" w:space="0" w:color="ADD6EA"/>
              <w:left w:val="nil"/>
              <w:bottom w:val="nil"/>
              <w:right w:val="nil"/>
            </w:tcBorders>
            <w:shd w:val="clear" w:color="000000" w:fill="FFFFFF"/>
            <w:vAlign w:val="bottom"/>
            <w:hideMark/>
          </w:tcPr>
          <w:p w14:paraId="60564892"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438</w:t>
            </w:r>
          </w:p>
        </w:tc>
        <w:tc>
          <w:tcPr>
            <w:tcW w:w="1940" w:type="dxa"/>
            <w:tcBorders>
              <w:top w:val="single" w:sz="4" w:space="0" w:color="ADD6EA"/>
              <w:left w:val="nil"/>
              <w:bottom w:val="nil"/>
              <w:right w:val="nil"/>
            </w:tcBorders>
            <w:shd w:val="clear" w:color="000000" w:fill="FFFFFF"/>
            <w:vAlign w:val="bottom"/>
            <w:hideMark/>
          </w:tcPr>
          <w:p w14:paraId="692AF948"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30</w:t>
            </w:r>
          </w:p>
        </w:tc>
        <w:tc>
          <w:tcPr>
            <w:tcW w:w="1600" w:type="dxa"/>
            <w:tcBorders>
              <w:top w:val="single" w:sz="4" w:space="0" w:color="ADD6EA"/>
              <w:left w:val="nil"/>
              <w:bottom w:val="nil"/>
              <w:right w:val="nil"/>
            </w:tcBorders>
            <w:shd w:val="clear" w:color="000000" w:fill="FFFFFF"/>
            <w:vAlign w:val="bottom"/>
            <w:hideMark/>
          </w:tcPr>
          <w:p w14:paraId="30AA1CBE"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w:t>
            </w:r>
          </w:p>
        </w:tc>
      </w:tr>
      <w:tr w:rsidR="00DF1313" w:rsidRPr="00DF1313" w14:paraId="5B4730DF" w14:textId="77777777" w:rsidTr="00DF1313">
        <w:trPr>
          <w:trHeight w:val="321"/>
        </w:trPr>
        <w:tc>
          <w:tcPr>
            <w:tcW w:w="3560" w:type="dxa"/>
            <w:tcBorders>
              <w:top w:val="single" w:sz="4" w:space="0" w:color="ADD6EA"/>
              <w:left w:val="nil"/>
              <w:bottom w:val="nil"/>
              <w:right w:val="nil"/>
            </w:tcBorders>
            <w:shd w:val="clear" w:color="000000" w:fill="FFFFFF"/>
            <w:vAlign w:val="bottom"/>
            <w:hideMark/>
          </w:tcPr>
          <w:p w14:paraId="4AD81E9F" w14:textId="77777777" w:rsidR="00DF1313" w:rsidRPr="00DF1313" w:rsidRDefault="00DF1313" w:rsidP="00DF1313">
            <w:pPr>
              <w:spacing w:after="0" w:line="240" w:lineRule="auto"/>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 xml:space="preserve">Inner regional         </w:t>
            </w:r>
          </w:p>
        </w:tc>
        <w:tc>
          <w:tcPr>
            <w:tcW w:w="1840" w:type="dxa"/>
            <w:tcBorders>
              <w:top w:val="single" w:sz="4" w:space="0" w:color="ADD6EA"/>
              <w:left w:val="nil"/>
              <w:bottom w:val="nil"/>
              <w:right w:val="nil"/>
            </w:tcBorders>
            <w:shd w:val="clear" w:color="000000" w:fill="FFFFFF"/>
            <w:vAlign w:val="bottom"/>
            <w:hideMark/>
          </w:tcPr>
          <w:p w14:paraId="601B9AB8"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159</w:t>
            </w:r>
          </w:p>
        </w:tc>
        <w:tc>
          <w:tcPr>
            <w:tcW w:w="1940" w:type="dxa"/>
            <w:tcBorders>
              <w:top w:val="single" w:sz="4" w:space="0" w:color="ADD6EA"/>
              <w:left w:val="nil"/>
              <w:bottom w:val="nil"/>
              <w:right w:val="nil"/>
            </w:tcBorders>
            <w:shd w:val="clear" w:color="000000" w:fill="FFFFFF"/>
            <w:vAlign w:val="bottom"/>
            <w:hideMark/>
          </w:tcPr>
          <w:p w14:paraId="1E0B6055"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61</w:t>
            </w:r>
          </w:p>
        </w:tc>
        <w:tc>
          <w:tcPr>
            <w:tcW w:w="1600" w:type="dxa"/>
            <w:tcBorders>
              <w:top w:val="single" w:sz="4" w:space="0" w:color="ADD6EA"/>
              <w:left w:val="nil"/>
              <w:bottom w:val="nil"/>
              <w:right w:val="nil"/>
            </w:tcBorders>
            <w:shd w:val="clear" w:color="000000" w:fill="FFFFFF"/>
            <w:vAlign w:val="bottom"/>
            <w:hideMark/>
          </w:tcPr>
          <w:p w14:paraId="357B6E67"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w:t>
            </w:r>
          </w:p>
        </w:tc>
      </w:tr>
      <w:tr w:rsidR="00DF1313" w:rsidRPr="00DF1313" w14:paraId="24EFCF12" w14:textId="77777777" w:rsidTr="00DF1313">
        <w:trPr>
          <w:trHeight w:val="321"/>
        </w:trPr>
        <w:tc>
          <w:tcPr>
            <w:tcW w:w="3560" w:type="dxa"/>
            <w:tcBorders>
              <w:top w:val="single" w:sz="4" w:space="0" w:color="ADD6EA"/>
              <w:left w:val="nil"/>
              <w:bottom w:val="nil"/>
              <w:right w:val="nil"/>
            </w:tcBorders>
            <w:shd w:val="clear" w:color="000000" w:fill="FFFFFF"/>
            <w:vAlign w:val="bottom"/>
            <w:hideMark/>
          </w:tcPr>
          <w:p w14:paraId="552AB17A" w14:textId="77777777" w:rsidR="00DF1313" w:rsidRPr="00DF1313" w:rsidRDefault="00DF1313" w:rsidP="00DF1313">
            <w:pPr>
              <w:spacing w:after="0" w:line="240" w:lineRule="auto"/>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 xml:space="preserve">Outer regional </w:t>
            </w:r>
          </w:p>
        </w:tc>
        <w:tc>
          <w:tcPr>
            <w:tcW w:w="1840" w:type="dxa"/>
            <w:tcBorders>
              <w:top w:val="single" w:sz="4" w:space="0" w:color="ADD6EA"/>
              <w:left w:val="nil"/>
              <w:bottom w:val="nil"/>
              <w:right w:val="nil"/>
            </w:tcBorders>
            <w:shd w:val="clear" w:color="000000" w:fill="FFFFFF"/>
            <w:vAlign w:val="bottom"/>
            <w:hideMark/>
          </w:tcPr>
          <w:p w14:paraId="61E786AF"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404</w:t>
            </w:r>
          </w:p>
        </w:tc>
        <w:tc>
          <w:tcPr>
            <w:tcW w:w="1940" w:type="dxa"/>
            <w:tcBorders>
              <w:top w:val="single" w:sz="4" w:space="0" w:color="ADD6EA"/>
              <w:left w:val="nil"/>
              <w:bottom w:val="nil"/>
              <w:right w:val="nil"/>
            </w:tcBorders>
            <w:shd w:val="clear" w:color="000000" w:fill="FFFFFF"/>
            <w:vAlign w:val="bottom"/>
            <w:hideMark/>
          </w:tcPr>
          <w:p w14:paraId="0A26E0F6"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88</w:t>
            </w:r>
          </w:p>
        </w:tc>
        <w:tc>
          <w:tcPr>
            <w:tcW w:w="1600" w:type="dxa"/>
            <w:tcBorders>
              <w:top w:val="single" w:sz="4" w:space="0" w:color="ADD6EA"/>
              <w:left w:val="nil"/>
              <w:bottom w:val="nil"/>
              <w:right w:val="nil"/>
            </w:tcBorders>
            <w:shd w:val="clear" w:color="000000" w:fill="FFFFFF"/>
            <w:vAlign w:val="bottom"/>
            <w:hideMark/>
          </w:tcPr>
          <w:p w14:paraId="1090FABD"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w:t>
            </w:r>
          </w:p>
        </w:tc>
      </w:tr>
      <w:tr w:rsidR="00DF1313" w:rsidRPr="00DF1313" w14:paraId="449521BA" w14:textId="77777777" w:rsidTr="00DF1313">
        <w:trPr>
          <w:trHeight w:val="321"/>
        </w:trPr>
        <w:tc>
          <w:tcPr>
            <w:tcW w:w="3560" w:type="dxa"/>
            <w:tcBorders>
              <w:top w:val="single" w:sz="4" w:space="0" w:color="ADD6EA"/>
              <w:left w:val="nil"/>
              <w:bottom w:val="nil"/>
              <w:right w:val="nil"/>
            </w:tcBorders>
            <w:shd w:val="clear" w:color="000000" w:fill="FFFFFF"/>
            <w:vAlign w:val="bottom"/>
            <w:hideMark/>
          </w:tcPr>
          <w:p w14:paraId="1EE7B80A" w14:textId="77777777" w:rsidR="00DF1313" w:rsidRPr="00DF1313" w:rsidRDefault="00DF1313" w:rsidP="00DF1313">
            <w:pPr>
              <w:spacing w:after="0" w:line="240" w:lineRule="auto"/>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 xml:space="preserve">All remote  </w:t>
            </w:r>
          </w:p>
        </w:tc>
        <w:tc>
          <w:tcPr>
            <w:tcW w:w="1840" w:type="dxa"/>
            <w:tcBorders>
              <w:top w:val="single" w:sz="4" w:space="0" w:color="ADD6EA"/>
              <w:left w:val="nil"/>
              <w:bottom w:val="nil"/>
              <w:right w:val="nil"/>
            </w:tcBorders>
            <w:shd w:val="clear" w:color="000000" w:fill="FFFFFF"/>
            <w:vAlign w:val="bottom"/>
            <w:hideMark/>
          </w:tcPr>
          <w:p w14:paraId="3A8C0A96"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1,823</w:t>
            </w:r>
          </w:p>
        </w:tc>
        <w:tc>
          <w:tcPr>
            <w:tcW w:w="1940" w:type="dxa"/>
            <w:tcBorders>
              <w:top w:val="single" w:sz="4" w:space="0" w:color="ADD6EA"/>
              <w:left w:val="nil"/>
              <w:bottom w:val="nil"/>
              <w:right w:val="nil"/>
            </w:tcBorders>
            <w:shd w:val="clear" w:color="000000" w:fill="FFFFFF"/>
            <w:vAlign w:val="bottom"/>
            <w:hideMark/>
          </w:tcPr>
          <w:p w14:paraId="297EE3C0"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228</w:t>
            </w:r>
          </w:p>
        </w:tc>
        <w:tc>
          <w:tcPr>
            <w:tcW w:w="1600" w:type="dxa"/>
            <w:tcBorders>
              <w:top w:val="single" w:sz="4" w:space="0" w:color="ADD6EA"/>
              <w:left w:val="nil"/>
              <w:bottom w:val="nil"/>
              <w:right w:val="nil"/>
            </w:tcBorders>
            <w:shd w:val="clear" w:color="000000" w:fill="FFFFFF"/>
            <w:vAlign w:val="bottom"/>
            <w:hideMark/>
          </w:tcPr>
          <w:p w14:paraId="03F40CA1"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w:t>
            </w:r>
          </w:p>
        </w:tc>
      </w:tr>
      <w:tr w:rsidR="00DF1313" w:rsidRPr="00DF1313" w14:paraId="7FAF1872" w14:textId="77777777" w:rsidTr="00DF1313">
        <w:trPr>
          <w:trHeight w:val="321"/>
        </w:trPr>
        <w:tc>
          <w:tcPr>
            <w:tcW w:w="3560" w:type="dxa"/>
            <w:tcBorders>
              <w:top w:val="single" w:sz="4" w:space="0" w:color="ADD6EA"/>
              <w:left w:val="nil"/>
              <w:bottom w:val="nil"/>
              <w:right w:val="nil"/>
            </w:tcBorders>
            <w:shd w:val="clear" w:color="000000" w:fill="FFFFFF"/>
            <w:vAlign w:val="bottom"/>
            <w:hideMark/>
          </w:tcPr>
          <w:p w14:paraId="283BC0FA" w14:textId="77777777" w:rsidR="00DF1313" w:rsidRPr="00DF1313" w:rsidRDefault="00DF1313" w:rsidP="00DF1313">
            <w:pPr>
              <w:spacing w:after="0" w:line="240" w:lineRule="auto"/>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Indigenous status</w:t>
            </w:r>
          </w:p>
        </w:tc>
        <w:tc>
          <w:tcPr>
            <w:tcW w:w="1840" w:type="dxa"/>
            <w:tcBorders>
              <w:top w:val="single" w:sz="4" w:space="0" w:color="ADD6EA"/>
              <w:left w:val="nil"/>
              <w:bottom w:val="nil"/>
              <w:right w:val="nil"/>
            </w:tcBorders>
            <w:shd w:val="clear" w:color="000000" w:fill="FFFFFF"/>
            <w:vAlign w:val="bottom"/>
            <w:hideMark/>
          </w:tcPr>
          <w:p w14:paraId="1766F996"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417</w:t>
            </w:r>
          </w:p>
        </w:tc>
        <w:tc>
          <w:tcPr>
            <w:tcW w:w="1940" w:type="dxa"/>
            <w:tcBorders>
              <w:top w:val="single" w:sz="4" w:space="0" w:color="ADD6EA"/>
              <w:left w:val="nil"/>
              <w:bottom w:val="nil"/>
              <w:right w:val="nil"/>
            </w:tcBorders>
            <w:shd w:val="clear" w:color="000000" w:fill="FFFFFF"/>
            <w:vAlign w:val="bottom"/>
            <w:hideMark/>
          </w:tcPr>
          <w:p w14:paraId="64819CE6"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762</w:t>
            </w:r>
          </w:p>
        </w:tc>
        <w:tc>
          <w:tcPr>
            <w:tcW w:w="1600" w:type="dxa"/>
            <w:tcBorders>
              <w:top w:val="single" w:sz="4" w:space="0" w:color="ADD6EA"/>
              <w:left w:val="nil"/>
              <w:bottom w:val="nil"/>
              <w:right w:val="nil"/>
            </w:tcBorders>
            <w:shd w:val="clear" w:color="000000" w:fill="FFFFFF"/>
            <w:vAlign w:val="bottom"/>
            <w:hideMark/>
          </w:tcPr>
          <w:p w14:paraId="5B6D003D"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 </w:t>
            </w:r>
          </w:p>
        </w:tc>
      </w:tr>
      <w:tr w:rsidR="00DF1313" w:rsidRPr="00DF1313" w14:paraId="7F7A1738" w14:textId="77777777" w:rsidTr="00DF1313">
        <w:trPr>
          <w:trHeight w:val="321"/>
        </w:trPr>
        <w:tc>
          <w:tcPr>
            <w:tcW w:w="3560" w:type="dxa"/>
            <w:tcBorders>
              <w:top w:val="single" w:sz="4" w:space="0" w:color="ADD6EA"/>
              <w:left w:val="nil"/>
              <w:bottom w:val="nil"/>
              <w:right w:val="nil"/>
            </w:tcBorders>
            <w:shd w:val="clear" w:color="000000" w:fill="FFFFFF"/>
            <w:vAlign w:val="bottom"/>
            <w:hideMark/>
          </w:tcPr>
          <w:p w14:paraId="7B49CA04" w14:textId="77777777" w:rsidR="00DF1313" w:rsidRPr="00DF1313" w:rsidRDefault="00DF1313" w:rsidP="00DF1313">
            <w:pPr>
              <w:spacing w:after="0" w:line="240" w:lineRule="auto"/>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Non-Indigenous low SES</w:t>
            </w:r>
          </w:p>
        </w:tc>
        <w:tc>
          <w:tcPr>
            <w:tcW w:w="1840" w:type="dxa"/>
            <w:tcBorders>
              <w:top w:val="single" w:sz="4" w:space="0" w:color="ADD6EA"/>
              <w:left w:val="nil"/>
              <w:bottom w:val="nil"/>
              <w:right w:val="nil"/>
            </w:tcBorders>
            <w:shd w:val="clear" w:color="000000" w:fill="FFFFFF"/>
            <w:vAlign w:val="bottom"/>
            <w:hideMark/>
          </w:tcPr>
          <w:p w14:paraId="58D7FE5A"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37</w:t>
            </w:r>
          </w:p>
        </w:tc>
        <w:tc>
          <w:tcPr>
            <w:tcW w:w="1940" w:type="dxa"/>
            <w:tcBorders>
              <w:top w:val="single" w:sz="4" w:space="0" w:color="ADD6EA"/>
              <w:left w:val="nil"/>
              <w:bottom w:val="nil"/>
              <w:right w:val="nil"/>
            </w:tcBorders>
            <w:shd w:val="clear" w:color="000000" w:fill="FFFFFF"/>
            <w:vAlign w:val="bottom"/>
            <w:hideMark/>
          </w:tcPr>
          <w:p w14:paraId="7145A91F"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114</w:t>
            </w:r>
          </w:p>
        </w:tc>
        <w:tc>
          <w:tcPr>
            <w:tcW w:w="1600" w:type="dxa"/>
            <w:tcBorders>
              <w:top w:val="single" w:sz="4" w:space="0" w:color="ADD6EA"/>
              <w:left w:val="nil"/>
              <w:bottom w:val="nil"/>
              <w:right w:val="nil"/>
            </w:tcBorders>
            <w:shd w:val="clear" w:color="000000" w:fill="FFFFFF"/>
            <w:vAlign w:val="bottom"/>
            <w:hideMark/>
          </w:tcPr>
          <w:p w14:paraId="1875EFB8"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 </w:t>
            </w:r>
          </w:p>
        </w:tc>
      </w:tr>
      <w:tr w:rsidR="00DF1313" w:rsidRPr="00DF1313" w14:paraId="2F28ACB0" w14:textId="77777777" w:rsidTr="00DF1313">
        <w:trPr>
          <w:trHeight w:val="321"/>
        </w:trPr>
        <w:tc>
          <w:tcPr>
            <w:tcW w:w="3560" w:type="dxa"/>
            <w:tcBorders>
              <w:top w:val="single" w:sz="4" w:space="0" w:color="ADD6EA"/>
              <w:left w:val="nil"/>
              <w:bottom w:val="nil"/>
              <w:right w:val="nil"/>
            </w:tcBorders>
            <w:shd w:val="clear" w:color="000000" w:fill="FFFFFF"/>
            <w:vAlign w:val="bottom"/>
            <w:hideMark/>
          </w:tcPr>
          <w:p w14:paraId="09D9B416" w14:textId="77777777" w:rsidR="00DF1313" w:rsidRPr="00DF1313" w:rsidRDefault="00DF1313" w:rsidP="00DF1313">
            <w:pPr>
              <w:spacing w:after="0" w:line="240" w:lineRule="auto"/>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First Nations low SES</w:t>
            </w:r>
          </w:p>
        </w:tc>
        <w:tc>
          <w:tcPr>
            <w:tcW w:w="1840" w:type="dxa"/>
            <w:tcBorders>
              <w:top w:val="single" w:sz="4" w:space="0" w:color="ADD6EA"/>
              <w:left w:val="nil"/>
              <w:bottom w:val="nil"/>
              <w:right w:val="nil"/>
            </w:tcBorders>
            <w:shd w:val="clear" w:color="000000" w:fill="FFFFFF"/>
            <w:vAlign w:val="bottom"/>
            <w:hideMark/>
          </w:tcPr>
          <w:p w14:paraId="7FDE6377"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-336</w:t>
            </w:r>
          </w:p>
        </w:tc>
        <w:tc>
          <w:tcPr>
            <w:tcW w:w="1940" w:type="dxa"/>
            <w:tcBorders>
              <w:top w:val="single" w:sz="4" w:space="0" w:color="ADD6EA"/>
              <w:left w:val="nil"/>
              <w:bottom w:val="nil"/>
              <w:right w:val="nil"/>
            </w:tcBorders>
            <w:shd w:val="clear" w:color="000000" w:fill="FFFFFF"/>
            <w:vAlign w:val="bottom"/>
            <w:hideMark/>
          </w:tcPr>
          <w:p w14:paraId="119AC445"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824</w:t>
            </w:r>
          </w:p>
        </w:tc>
        <w:tc>
          <w:tcPr>
            <w:tcW w:w="1600" w:type="dxa"/>
            <w:tcBorders>
              <w:top w:val="single" w:sz="4" w:space="0" w:color="ADD6EA"/>
              <w:left w:val="nil"/>
              <w:bottom w:val="nil"/>
              <w:right w:val="nil"/>
            </w:tcBorders>
            <w:shd w:val="clear" w:color="000000" w:fill="FFFFFF"/>
            <w:vAlign w:val="bottom"/>
            <w:hideMark/>
          </w:tcPr>
          <w:p w14:paraId="79683E3D"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 </w:t>
            </w:r>
          </w:p>
        </w:tc>
      </w:tr>
      <w:tr w:rsidR="00DF1313" w:rsidRPr="00DF1313" w14:paraId="1CF7C1F1" w14:textId="77777777" w:rsidTr="00DF1313">
        <w:trPr>
          <w:trHeight w:val="321"/>
        </w:trPr>
        <w:tc>
          <w:tcPr>
            <w:tcW w:w="3560" w:type="dxa"/>
            <w:tcBorders>
              <w:top w:val="single" w:sz="4" w:space="0" w:color="ADD6EA"/>
              <w:left w:val="nil"/>
              <w:bottom w:val="nil"/>
              <w:right w:val="nil"/>
            </w:tcBorders>
            <w:shd w:val="clear" w:color="000000" w:fill="FFFFFF"/>
            <w:vAlign w:val="bottom"/>
            <w:hideMark/>
          </w:tcPr>
          <w:p w14:paraId="46759F99" w14:textId="77777777" w:rsidR="00DF1313" w:rsidRPr="00DF1313" w:rsidRDefault="00DF1313" w:rsidP="00DF1313">
            <w:pPr>
              <w:spacing w:after="0" w:line="240" w:lineRule="auto"/>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 </w:t>
            </w:r>
          </w:p>
        </w:tc>
        <w:tc>
          <w:tcPr>
            <w:tcW w:w="1840" w:type="dxa"/>
            <w:tcBorders>
              <w:top w:val="single" w:sz="4" w:space="0" w:color="ADD6EA"/>
              <w:left w:val="nil"/>
              <w:bottom w:val="nil"/>
              <w:right w:val="nil"/>
            </w:tcBorders>
            <w:shd w:val="clear" w:color="000000" w:fill="FFFFFF"/>
            <w:vAlign w:val="bottom"/>
            <w:hideMark/>
          </w:tcPr>
          <w:p w14:paraId="29788B3F"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 </w:t>
            </w:r>
          </w:p>
        </w:tc>
        <w:tc>
          <w:tcPr>
            <w:tcW w:w="1940" w:type="dxa"/>
            <w:tcBorders>
              <w:top w:val="single" w:sz="4" w:space="0" w:color="ADD6EA"/>
              <w:left w:val="nil"/>
              <w:bottom w:val="nil"/>
              <w:right w:val="nil"/>
            </w:tcBorders>
            <w:shd w:val="clear" w:color="000000" w:fill="FFFFFF"/>
            <w:vAlign w:val="bottom"/>
            <w:hideMark/>
          </w:tcPr>
          <w:p w14:paraId="1082C17D"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 </w:t>
            </w:r>
          </w:p>
        </w:tc>
        <w:tc>
          <w:tcPr>
            <w:tcW w:w="1600" w:type="dxa"/>
            <w:tcBorders>
              <w:top w:val="single" w:sz="4" w:space="0" w:color="ADD6EA"/>
              <w:left w:val="nil"/>
              <w:bottom w:val="nil"/>
              <w:right w:val="nil"/>
            </w:tcBorders>
            <w:shd w:val="clear" w:color="000000" w:fill="FFFFFF"/>
            <w:vAlign w:val="bottom"/>
            <w:hideMark/>
          </w:tcPr>
          <w:p w14:paraId="03458479"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 </w:t>
            </w:r>
          </w:p>
        </w:tc>
      </w:tr>
      <w:tr w:rsidR="00DF1313" w:rsidRPr="00DF1313" w14:paraId="6BB30085" w14:textId="77777777" w:rsidTr="00DF1313">
        <w:trPr>
          <w:trHeight w:val="321"/>
        </w:trPr>
        <w:tc>
          <w:tcPr>
            <w:tcW w:w="3560" w:type="dxa"/>
            <w:tcBorders>
              <w:top w:val="single" w:sz="4" w:space="0" w:color="ADD6EA"/>
              <w:left w:val="nil"/>
              <w:bottom w:val="nil"/>
              <w:right w:val="nil"/>
            </w:tcBorders>
            <w:shd w:val="clear" w:color="000000" w:fill="FFFFFF"/>
            <w:vAlign w:val="bottom"/>
            <w:hideMark/>
          </w:tcPr>
          <w:p w14:paraId="67D805EE" w14:textId="77777777" w:rsidR="00DF1313" w:rsidRPr="00DF1313" w:rsidRDefault="00DF1313" w:rsidP="00DF1313">
            <w:pPr>
              <w:spacing w:after="0" w:line="240" w:lineRule="auto"/>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Adjusted R squared</w:t>
            </w:r>
          </w:p>
        </w:tc>
        <w:tc>
          <w:tcPr>
            <w:tcW w:w="1840" w:type="dxa"/>
            <w:tcBorders>
              <w:top w:val="single" w:sz="4" w:space="0" w:color="ADD6EA"/>
              <w:left w:val="nil"/>
              <w:bottom w:val="nil"/>
              <w:right w:val="nil"/>
            </w:tcBorders>
            <w:shd w:val="clear" w:color="000000" w:fill="FFFFFF"/>
            <w:vAlign w:val="bottom"/>
            <w:hideMark/>
          </w:tcPr>
          <w:p w14:paraId="656861F6"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0.563</w:t>
            </w:r>
          </w:p>
        </w:tc>
        <w:tc>
          <w:tcPr>
            <w:tcW w:w="1940" w:type="dxa"/>
            <w:tcBorders>
              <w:top w:val="single" w:sz="4" w:space="0" w:color="ADD6EA"/>
              <w:left w:val="nil"/>
              <w:bottom w:val="nil"/>
              <w:right w:val="nil"/>
            </w:tcBorders>
            <w:shd w:val="clear" w:color="000000" w:fill="FFFFFF"/>
            <w:vAlign w:val="bottom"/>
            <w:hideMark/>
          </w:tcPr>
          <w:p w14:paraId="708306C9"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 </w:t>
            </w:r>
          </w:p>
        </w:tc>
        <w:tc>
          <w:tcPr>
            <w:tcW w:w="1600" w:type="dxa"/>
            <w:tcBorders>
              <w:top w:val="single" w:sz="4" w:space="0" w:color="ADD6EA"/>
              <w:left w:val="nil"/>
              <w:bottom w:val="nil"/>
              <w:right w:val="nil"/>
            </w:tcBorders>
            <w:shd w:val="clear" w:color="000000" w:fill="FFFFFF"/>
            <w:vAlign w:val="bottom"/>
            <w:hideMark/>
          </w:tcPr>
          <w:p w14:paraId="6DA846DA"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 </w:t>
            </w:r>
          </w:p>
        </w:tc>
      </w:tr>
      <w:tr w:rsidR="00DF1313" w:rsidRPr="00DF1313" w14:paraId="6773C311" w14:textId="77777777" w:rsidTr="00DF1313">
        <w:trPr>
          <w:trHeight w:val="321"/>
        </w:trPr>
        <w:tc>
          <w:tcPr>
            <w:tcW w:w="3560" w:type="dxa"/>
            <w:tcBorders>
              <w:top w:val="single" w:sz="4" w:space="0" w:color="ADD6EA"/>
              <w:left w:val="nil"/>
              <w:bottom w:val="single" w:sz="4" w:space="0" w:color="ADD6EA"/>
              <w:right w:val="nil"/>
            </w:tcBorders>
            <w:shd w:val="clear" w:color="000000" w:fill="FFFFFF"/>
            <w:vAlign w:val="bottom"/>
            <w:hideMark/>
          </w:tcPr>
          <w:p w14:paraId="4D27DABD" w14:textId="77777777" w:rsidR="00DF1313" w:rsidRPr="00DF1313" w:rsidRDefault="00DF1313" w:rsidP="00DF1313">
            <w:pPr>
              <w:spacing w:after="0" w:line="240" w:lineRule="auto"/>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Sample size</w:t>
            </w:r>
          </w:p>
        </w:tc>
        <w:tc>
          <w:tcPr>
            <w:tcW w:w="1840" w:type="dxa"/>
            <w:tcBorders>
              <w:top w:val="single" w:sz="4" w:space="0" w:color="ADD6EA"/>
              <w:left w:val="nil"/>
              <w:bottom w:val="single" w:sz="4" w:space="0" w:color="ADD6EA"/>
              <w:right w:val="nil"/>
            </w:tcBorders>
            <w:shd w:val="clear" w:color="000000" w:fill="FFFFFF"/>
            <w:vAlign w:val="bottom"/>
            <w:hideMark/>
          </w:tcPr>
          <w:p w14:paraId="0CFF5835"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152</w:t>
            </w:r>
          </w:p>
        </w:tc>
        <w:tc>
          <w:tcPr>
            <w:tcW w:w="1940" w:type="dxa"/>
            <w:tcBorders>
              <w:top w:val="single" w:sz="4" w:space="0" w:color="ADD6EA"/>
              <w:left w:val="nil"/>
              <w:bottom w:val="single" w:sz="4" w:space="0" w:color="ADD6EA"/>
              <w:right w:val="nil"/>
            </w:tcBorders>
            <w:shd w:val="clear" w:color="000000" w:fill="FFFFFF"/>
            <w:vAlign w:val="bottom"/>
            <w:hideMark/>
          </w:tcPr>
          <w:p w14:paraId="3AE7B109"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 </w:t>
            </w:r>
          </w:p>
        </w:tc>
        <w:tc>
          <w:tcPr>
            <w:tcW w:w="1600" w:type="dxa"/>
            <w:tcBorders>
              <w:top w:val="single" w:sz="4" w:space="0" w:color="ADD6EA"/>
              <w:left w:val="nil"/>
              <w:bottom w:val="single" w:sz="4" w:space="0" w:color="ADD6EA"/>
              <w:right w:val="nil"/>
            </w:tcBorders>
            <w:shd w:val="clear" w:color="000000" w:fill="FFFFFF"/>
            <w:vAlign w:val="bottom"/>
            <w:hideMark/>
          </w:tcPr>
          <w:p w14:paraId="657F808E" w14:textId="77777777" w:rsidR="00DF1313" w:rsidRPr="00DF1313" w:rsidRDefault="00DF1313" w:rsidP="00DF1313">
            <w:pPr>
              <w:spacing w:after="0" w:line="240" w:lineRule="auto"/>
              <w:jc w:val="right"/>
              <w:rPr>
                <w:rFonts w:ascii="Open Sans Light" w:eastAsia="Times New Roman" w:hAnsi="Open Sans Light" w:cs="Open Sans Light"/>
                <w:color w:val="000000"/>
                <w:sz w:val="16"/>
                <w:szCs w:val="16"/>
                <w:lang w:eastAsia="en-AU"/>
              </w:rPr>
            </w:pPr>
            <w:r w:rsidRPr="00DF1313">
              <w:rPr>
                <w:rFonts w:ascii="Open Sans Light" w:eastAsia="Times New Roman" w:hAnsi="Open Sans Light" w:cs="Open Sans Light"/>
                <w:color w:val="000000"/>
                <w:sz w:val="16"/>
                <w:szCs w:val="16"/>
                <w:lang w:eastAsia="en-AU"/>
              </w:rPr>
              <w:t> </w:t>
            </w:r>
          </w:p>
        </w:tc>
      </w:tr>
    </w:tbl>
    <w:p w14:paraId="05FF9B34" w14:textId="77777777" w:rsidR="00E532C0" w:rsidRDefault="00E532C0" w:rsidP="00D64876">
      <w:pPr>
        <w:pStyle w:val="CGC2025TableNote"/>
      </w:pPr>
      <w:r>
        <w:t>Note: *** represents statistically significant coefficients at a 0.001 confidence, ** at a 0.01 confidence.</w:t>
      </w:r>
    </w:p>
    <w:p w14:paraId="39F1C367" w14:textId="1C26F28D" w:rsidR="00E532C0" w:rsidRDefault="004857D9" w:rsidP="00D64876">
      <w:pPr>
        <w:pStyle w:val="CGC2025TableNote"/>
        <w:ind w:left="490" w:hanging="377"/>
      </w:pPr>
      <w:r>
        <w:tab/>
      </w:r>
      <w:r w:rsidR="00734D78">
        <w:t>First Nations low SES</w:t>
      </w:r>
      <w:r w:rsidR="00E532C0">
        <w:t xml:space="preserve"> and non-Indigenous </w:t>
      </w:r>
      <w:r w:rsidR="00734D78">
        <w:t xml:space="preserve">low SES </w:t>
      </w:r>
      <w:r w:rsidR="00E532C0">
        <w:t>are defined as proportions of population</w:t>
      </w:r>
      <w:r w:rsidR="002404CB">
        <w:t xml:space="preserve">s </w:t>
      </w:r>
      <w:r w:rsidR="00E532C0">
        <w:t xml:space="preserve">in the </w:t>
      </w:r>
      <w:r w:rsidR="00A42070">
        <w:t xml:space="preserve">2 </w:t>
      </w:r>
      <w:r w:rsidR="00E532C0">
        <w:t>lowest IRSEO or NISEIFA deciles respectively</w:t>
      </w:r>
      <w:r w:rsidR="00A42070">
        <w:t>.</w:t>
      </w:r>
    </w:p>
    <w:p w14:paraId="2A3E429F" w14:textId="77777777" w:rsidR="006340CC" w:rsidRDefault="006340CC" w:rsidP="00E83349">
      <w:pPr>
        <w:pStyle w:val="CGCParaNumber"/>
        <w:numPr>
          <w:ilvl w:val="0"/>
          <w:numId w:val="0"/>
        </w:numPr>
      </w:pPr>
    </w:p>
    <w:p w14:paraId="43850CE2" w14:textId="77777777" w:rsidR="00DB53FB" w:rsidRPr="00DA7B89" w:rsidRDefault="00DB53FB" w:rsidP="00116DCE">
      <w:pPr>
        <w:pStyle w:val="CGCParaNumber"/>
        <w:numPr>
          <w:ilvl w:val="0"/>
          <w:numId w:val="0"/>
        </w:numPr>
      </w:pPr>
    </w:p>
    <w:sectPr w:rsidR="00DB53FB" w:rsidRPr="00DA7B89" w:rsidSect="0038266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4A16E" w14:textId="77777777" w:rsidR="0031279E" w:rsidRDefault="0031279E" w:rsidP="00CF2841">
      <w:pPr>
        <w:spacing w:after="0" w:line="240" w:lineRule="auto"/>
      </w:pPr>
      <w:r>
        <w:separator/>
      </w:r>
    </w:p>
  </w:endnote>
  <w:endnote w:type="continuationSeparator" w:id="0">
    <w:p w14:paraId="5724ACC6" w14:textId="77777777" w:rsidR="0031279E" w:rsidRDefault="0031279E" w:rsidP="00CF2841">
      <w:pPr>
        <w:spacing w:after="0" w:line="240" w:lineRule="auto"/>
      </w:pPr>
      <w:r>
        <w:continuationSeparator/>
      </w:r>
    </w:p>
  </w:endnote>
  <w:endnote w:type="continuationNotice" w:id="1">
    <w:p w14:paraId="1B5E3D09" w14:textId="77777777" w:rsidR="0031279E" w:rsidRDefault="003127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Semi Bold">
    <w:panose1 w:val="000007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Open Sans Semibold">
    <w:altName w:val="Segoe UI"/>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Montserrat Extra Bold">
    <w:panose1 w:val="000009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9D547" w14:textId="222B17C5" w:rsidR="002A1B36" w:rsidRDefault="002A1B36">
    <w:pPr>
      <w:pStyle w:val="Footer"/>
    </w:pPr>
    <w:r>
      <w:rPr>
        <w:noProof/>
      </w:rPr>
      <mc:AlternateContent>
        <mc:Choice Requires="wps">
          <w:drawing>
            <wp:anchor distT="0" distB="0" distL="0" distR="0" simplePos="0" relativeHeight="251658249" behindDoc="0" locked="0" layoutInCell="1" allowOverlap="1" wp14:anchorId="6A3B99F6" wp14:editId="4FB9A218">
              <wp:simplePos x="635" y="635"/>
              <wp:positionH relativeFrom="page">
                <wp:align>center</wp:align>
              </wp:positionH>
              <wp:positionV relativeFrom="page">
                <wp:align>bottom</wp:align>
              </wp:positionV>
              <wp:extent cx="443865" cy="443865"/>
              <wp:effectExtent l="0" t="0" r="635" b="0"/>
              <wp:wrapNone/>
              <wp:docPr id="1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0E7444" w14:textId="628F3D3A" w:rsidR="002A1B36" w:rsidRPr="002A1B36" w:rsidRDefault="002A1B36" w:rsidP="002A1B36">
                          <w:pPr>
                            <w:spacing w:after="0"/>
                            <w:rPr>
                              <w:rFonts w:ascii="Calibri" w:eastAsia="Calibri" w:hAnsi="Calibri" w:cs="Calibri"/>
                              <w:noProof/>
                              <w:color w:val="FF0000"/>
                              <w:sz w:val="24"/>
                              <w:szCs w:val="24"/>
                            </w:rPr>
                          </w:pPr>
                          <w:r w:rsidRPr="002A1B3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3B99F6" id="_x0000_t202" coordsize="21600,21600" o:spt="202" path="m,l,21600r21600,l21600,xe">
              <v:stroke joinstyle="miter"/>
              <v:path gradientshapeok="t" o:connecttype="rect"/>
            </v:shapetype>
            <v:shape id="Text Box 14" o:spid="_x0000_s1028"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10E7444" w14:textId="628F3D3A" w:rsidR="002A1B36" w:rsidRPr="002A1B36" w:rsidRDefault="002A1B36" w:rsidP="002A1B36">
                    <w:pPr>
                      <w:spacing w:after="0"/>
                      <w:rPr>
                        <w:rFonts w:ascii="Calibri" w:eastAsia="Calibri" w:hAnsi="Calibri" w:cs="Calibri"/>
                        <w:noProof/>
                        <w:color w:val="FF0000"/>
                        <w:sz w:val="24"/>
                        <w:szCs w:val="24"/>
                      </w:rPr>
                    </w:pPr>
                    <w:r w:rsidRPr="002A1B3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4BF14" w14:textId="5CB30BD3" w:rsidR="002A1B36" w:rsidRDefault="002A1B36">
    <w:pPr>
      <w:pStyle w:val="Footer"/>
    </w:pPr>
    <w:r>
      <w:rPr>
        <w:noProof/>
      </w:rPr>
      <mc:AlternateContent>
        <mc:Choice Requires="wps">
          <w:drawing>
            <wp:anchor distT="0" distB="0" distL="0" distR="0" simplePos="0" relativeHeight="251658252" behindDoc="0" locked="0" layoutInCell="1" allowOverlap="1" wp14:anchorId="5BD97B29" wp14:editId="7AE5F0D0">
              <wp:simplePos x="635" y="635"/>
              <wp:positionH relativeFrom="page">
                <wp:align>center</wp:align>
              </wp:positionH>
              <wp:positionV relativeFrom="page">
                <wp:align>bottom</wp:align>
              </wp:positionV>
              <wp:extent cx="443865" cy="443865"/>
              <wp:effectExtent l="0" t="0" r="635"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3C5B00" w14:textId="5F7BC7A5" w:rsidR="002A1B36" w:rsidRPr="002A1B36" w:rsidRDefault="002A1B36" w:rsidP="002A1B36">
                          <w:pPr>
                            <w:spacing w:after="0"/>
                            <w:rPr>
                              <w:rFonts w:ascii="Calibri" w:eastAsia="Calibri" w:hAnsi="Calibri" w:cs="Calibri"/>
                              <w:noProof/>
                              <w:color w:val="FF0000"/>
                              <w:sz w:val="24"/>
                              <w:szCs w:val="24"/>
                            </w:rPr>
                          </w:pPr>
                          <w:r w:rsidRPr="002A1B3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D97B29" id="_x0000_t202" coordsize="21600,21600" o:spt="202" path="m,l,21600r21600,l21600,xe">
              <v:stroke joinstyle="miter"/>
              <v:path gradientshapeok="t" o:connecttype="rect"/>
            </v:shapetype>
            <v:shape id="Text Box 17" o:spid="_x0000_s1030"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D3C5B00" w14:textId="5F7BC7A5" w:rsidR="002A1B36" w:rsidRPr="002A1B36" w:rsidRDefault="002A1B36" w:rsidP="002A1B36">
                    <w:pPr>
                      <w:spacing w:after="0"/>
                      <w:rPr>
                        <w:rFonts w:ascii="Calibri" w:eastAsia="Calibri" w:hAnsi="Calibri" w:cs="Calibri"/>
                        <w:noProof/>
                        <w:color w:val="FF0000"/>
                        <w:sz w:val="24"/>
                        <w:szCs w:val="24"/>
                      </w:rPr>
                    </w:pPr>
                    <w:r w:rsidRPr="002A1B36">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AF346" w14:textId="54F3BC04" w:rsidR="002A1B36" w:rsidRDefault="002A1B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36F3" w14:textId="660C8AE4" w:rsidR="002A1B36" w:rsidRDefault="002A1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C5F92" w14:textId="77777777" w:rsidR="0031279E" w:rsidRPr="006420A9" w:rsidRDefault="0031279E" w:rsidP="00CF2841">
      <w:pPr>
        <w:spacing w:after="0" w:line="240" w:lineRule="auto"/>
        <w:rPr>
          <w:color w:val="ADD6EA"/>
        </w:rPr>
      </w:pPr>
      <w:r w:rsidRPr="006420A9">
        <w:rPr>
          <w:color w:val="ADD6EA"/>
        </w:rPr>
        <w:separator/>
      </w:r>
    </w:p>
  </w:footnote>
  <w:footnote w:type="continuationSeparator" w:id="0">
    <w:p w14:paraId="17A8922C" w14:textId="77777777" w:rsidR="0031279E" w:rsidRDefault="0031279E" w:rsidP="00CF2841">
      <w:pPr>
        <w:spacing w:after="0" w:line="240" w:lineRule="auto"/>
      </w:pPr>
      <w:r>
        <w:continuationSeparator/>
      </w:r>
    </w:p>
  </w:footnote>
  <w:footnote w:type="continuationNotice" w:id="1">
    <w:p w14:paraId="4319C508" w14:textId="77777777" w:rsidR="0031279E" w:rsidRDefault="0031279E">
      <w:pPr>
        <w:spacing w:after="0" w:line="240" w:lineRule="auto"/>
      </w:pPr>
    </w:p>
  </w:footnote>
  <w:footnote w:id="2">
    <w:p w14:paraId="62E24579" w14:textId="77777777" w:rsidR="00CC5FF1" w:rsidRPr="00B3408F" w:rsidRDefault="00CC5FF1" w:rsidP="00CC5FF1">
      <w:pPr>
        <w:pStyle w:val="FootnoteText"/>
      </w:pPr>
      <w:r w:rsidRPr="00B3408F">
        <w:rPr>
          <w:rStyle w:val="FootnoteReference"/>
          <w:sz w:val="14"/>
          <w:szCs w:val="14"/>
          <w:vertAlign w:val="superscript"/>
        </w:rPr>
        <w:footnoteRef/>
      </w:r>
      <w:r w:rsidRPr="00B3408F">
        <w:t xml:space="preserve"> Variance inflation factors measure multicollinearity, the extent to which independent variables in a regression model are correlated, by showing how much the variance of an estimated coefficient increases due to this correlation. </w:t>
      </w:r>
    </w:p>
  </w:footnote>
  <w:footnote w:id="3">
    <w:p w14:paraId="60D33DB1" w14:textId="542FEB35" w:rsidR="00D51330" w:rsidRPr="00B94150" w:rsidRDefault="00D51330" w:rsidP="007941E8">
      <w:pPr>
        <w:pStyle w:val="FootnoteText"/>
      </w:pPr>
      <w:r w:rsidRPr="00B3408F">
        <w:rPr>
          <w:rStyle w:val="FootnoteReference"/>
          <w:sz w:val="14"/>
          <w:szCs w:val="14"/>
          <w:vertAlign w:val="superscript"/>
        </w:rPr>
        <w:footnoteRef/>
      </w:r>
      <w:r w:rsidRPr="00B3408F">
        <w:t xml:space="preserve"> The Commission notes that </w:t>
      </w:r>
      <w:r w:rsidR="00477363" w:rsidRPr="00B3408F">
        <w:t>Queensland refer</w:t>
      </w:r>
      <w:r w:rsidR="00DF6556" w:rsidRPr="00B3408F">
        <w:t>s</w:t>
      </w:r>
      <w:r w:rsidR="00477363" w:rsidRPr="00B3408F">
        <w:t xml:space="preserve"> to differences in</w:t>
      </w:r>
      <w:r w:rsidR="00735A33" w:rsidRPr="00B3408F">
        <w:t xml:space="preserve"> the number of assaults </w:t>
      </w:r>
      <w:r w:rsidR="00A326C1" w:rsidRPr="00B3408F">
        <w:t>in Aurukun and Bre</w:t>
      </w:r>
      <w:r w:rsidR="00995A1A" w:rsidRPr="00B3408F">
        <w:t>warrina</w:t>
      </w:r>
      <w:r w:rsidR="00832D77" w:rsidRPr="00B94150">
        <w:t xml:space="preserve">. The Commission </w:t>
      </w:r>
      <w:r w:rsidR="00D0657E" w:rsidRPr="00B94150">
        <w:t xml:space="preserve">analysis is </w:t>
      </w:r>
      <w:r w:rsidR="00D0657E" w:rsidRPr="007941E8">
        <w:t>based</w:t>
      </w:r>
      <w:r w:rsidR="00D0657E" w:rsidRPr="00B94150">
        <w:t xml:space="preserve"> on total proceedings because </w:t>
      </w:r>
      <w:r w:rsidR="00747A72" w:rsidRPr="00B94150">
        <w:t>fit</w:t>
      </w:r>
      <w:r w:rsidR="001E1E72">
        <w:t>-</w:t>
      </w:r>
      <w:r w:rsidR="00747A72" w:rsidRPr="00B94150">
        <w:t>for</w:t>
      </w:r>
      <w:r w:rsidR="001E1E72">
        <w:t>-</w:t>
      </w:r>
      <w:r w:rsidR="00747A72" w:rsidRPr="00B94150">
        <w:t xml:space="preserve">purpose </w:t>
      </w:r>
      <w:r w:rsidR="00D0657E" w:rsidRPr="00B94150">
        <w:t xml:space="preserve">data on the cost by offence type are not available. </w:t>
      </w:r>
    </w:p>
  </w:footnote>
  <w:footnote w:id="4">
    <w:p w14:paraId="2690B512" w14:textId="56779BEC" w:rsidR="00217A02" w:rsidRPr="000E0E97" w:rsidRDefault="00217A02" w:rsidP="007941E8">
      <w:pPr>
        <w:pStyle w:val="FootnoteText"/>
      </w:pPr>
      <w:r w:rsidRPr="00267F03">
        <w:rPr>
          <w:rStyle w:val="FootnoteReference"/>
          <w:sz w:val="14"/>
          <w:szCs w:val="14"/>
          <w:vertAlign w:val="superscript"/>
        </w:rPr>
        <w:footnoteRef/>
      </w:r>
      <w:r w:rsidRPr="00267F03">
        <w:t xml:space="preserve"> </w:t>
      </w:r>
      <w:r w:rsidR="005A57A7" w:rsidRPr="00267F03">
        <w:t>Queensland’s 2022–23</w:t>
      </w:r>
      <w:r w:rsidR="00A916B6" w:rsidRPr="00267F03">
        <w:t xml:space="preserve"> </w:t>
      </w:r>
      <w:r w:rsidR="00F36136" w:rsidRPr="00267F03">
        <w:t xml:space="preserve">criminal </w:t>
      </w:r>
      <w:r w:rsidR="00A916B6" w:rsidRPr="00267F03">
        <w:t>court expenses</w:t>
      </w:r>
      <w:r w:rsidR="005A57A7" w:rsidRPr="00267F03">
        <w:t xml:space="preserve"> </w:t>
      </w:r>
      <w:r w:rsidR="002D5102" w:rsidRPr="00267F03">
        <w:t>were appor</w:t>
      </w:r>
      <w:r w:rsidR="00BF0119" w:rsidRPr="00267F03">
        <w:t xml:space="preserve">tioned </w:t>
      </w:r>
      <w:r w:rsidR="00632DC5" w:rsidRPr="00267F03">
        <w:t xml:space="preserve">based </w:t>
      </w:r>
      <w:r w:rsidR="00240BE1" w:rsidRPr="00267F03">
        <w:t>on the number of finali</w:t>
      </w:r>
      <w:r w:rsidR="000436E7" w:rsidRPr="00267F03">
        <w:t>sed defendants</w:t>
      </w:r>
      <w:r w:rsidR="00240BE1" w:rsidRPr="00267F03">
        <w:t xml:space="preserve"> in each </w:t>
      </w:r>
      <w:r w:rsidR="00F36136" w:rsidRPr="00267F03">
        <w:t>court</w:t>
      </w:r>
      <w:r w:rsidR="000436E7" w:rsidRPr="00267F03">
        <w:t xml:space="preserve">. </w:t>
      </w:r>
      <w:r w:rsidR="00742DB0" w:rsidRPr="00267F03">
        <w:t xml:space="preserve">This meant that the Commission was </w:t>
      </w:r>
      <w:r w:rsidR="00884951" w:rsidRPr="00267F03">
        <w:t>un</w:t>
      </w:r>
      <w:r w:rsidR="00742DB0" w:rsidRPr="00267F03">
        <w:t xml:space="preserve">able to </w:t>
      </w:r>
      <w:r w:rsidR="00314177" w:rsidRPr="00267F03">
        <w:t>determine the</w:t>
      </w:r>
      <w:r w:rsidR="00742DB0" w:rsidRPr="00267F03">
        <w:t xml:space="preserve"> difference between</w:t>
      </w:r>
      <w:r w:rsidR="006C41BB" w:rsidRPr="00267F03">
        <w:t xml:space="preserve"> the</w:t>
      </w:r>
      <w:r w:rsidR="00742DB0" w:rsidRPr="00267F03">
        <w:t xml:space="preserve"> </w:t>
      </w:r>
      <w:r w:rsidR="003968AE" w:rsidRPr="00267F03">
        <w:t xml:space="preserve">cost per defendant </w:t>
      </w:r>
      <w:r w:rsidR="00471614" w:rsidRPr="00267F03">
        <w:t xml:space="preserve">in </w:t>
      </w:r>
      <w:r w:rsidR="00C55DE2" w:rsidRPr="00267F03">
        <w:t>each</w:t>
      </w:r>
      <w:r w:rsidR="00471614" w:rsidRPr="00267F03">
        <w:t xml:space="preserve"> </w:t>
      </w:r>
      <w:r w:rsidR="005E244F" w:rsidRPr="00267F03">
        <w:t>remoteness area.</w:t>
      </w:r>
    </w:p>
  </w:footnote>
  <w:footnote w:id="5">
    <w:p w14:paraId="1E831F22" w14:textId="5AAB0233" w:rsidR="009B1264" w:rsidRPr="00112EAD" w:rsidRDefault="009B1264" w:rsidP="007941E8">
      <w:pPr>
        <w:pStyle w:val="FootnoteText"/>
      </w:pPr>
      <w:r w:rsidRPr="009B19A3">
        <w:rPr>
          <w:rStyle w:val="FootnoteReference"/>
          <w:sz w:val="14"/>
          <w:szCs w:val="14"/>
          <w:vertAlign w:val="superscript"/>
        </w:rPr>
        <w:footnoteRef/>
      </w:r>
      <w:r w:rsidRPr="00112EAD">
        <w:t xml:space="preserve"> </w:t>
      </w:r>
      <w:r w:rsidR="006C1AF0" w:rsidRPr="00112EAD">
        <w:t>The Productivity Commission advised that data are not comparable because states have different funding structures for their youth justice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4F5B7" w14:textId="01B5972E" w:rsidR="002A1B36" w:rsidRDefault="002A1B36">
    <w:pPr>
      <w:pStyle w:val="Header"/>
    </w:pPr>
    <w:r>
      <w:rPr>
        <w:noProof/>
      </w:rPr>
      <mc:AlternateContent>
        <mc:Choice Requires="wps">
          <w:drawing>
            <wp:anchor distT="0" distB="0" distL="0" distR="0" simplePos="0" relativeHeight="251658243" behindDoc="0" locked="0" layoutInCell="1" allowOverlap="1" wp14:anchorId="2E75743D" wp14:editId="0910A58C">
              <wp:simplePos x="635" y="635"/>
              <wp:positionH relativeFrom="page">
                <wp:align>center</wp:align>
              </wp:positionH>
              <wp:positionV relativeFrom="page">
                <wp:align>top</wp:align>
              </wp:positionV>
              <wp:extent cx="443865" cy="443865"/>
              <wp:effectExtent l="0" t="0" r="635" b="8890"/>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4D6D2" w14:textId="68D22C4D" w:rsidR="002A1B36" w:rsidRPr="002A1B36" w:rsidRDefault="002A1B36" w:rsidP="002A1B36">
                          <w:pPr>
                            <w:spacing w:after="0"/>
                            <w:rPr>
                              <w:rFonts w:ascii="Calibri" w:eastAsia="Calibri" w:hAnsi="Calibri" w:cs="Calibri"/>
                              <w:noProof/>
                              <w:color w:val="FF0000"/>
                              <w:sz w:val="24"/>
                              <w:szCs w:val="24"/>
                            </w:rPr>
                          </w:pPr>
                          <w:r w:rsidRPr="002A1B3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75743D" id="_x0000_t202" coordsize="21600,21600" o:spt="202" path="m,l,21600r21600,l21600,xe">
              <v:stroke joinstyle="miter"/>
              <v:path gradientshapeok="t" o:connecttype="rect"/>
            </v:shapetype>
            <v:shape id="Text Box 6" o:spid="_x0000_s1027"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2A4D6D2" w14:textId="68D22C4D" w:rsidR="002A1B36" w:rsidRPr="002A1B36" w:rsidRDefault="002A1B36" w:rsidP="002A1B36">
                    <w:pPr>
                      <w:spacing w:after="0"/>
                      <w:rPr>
                        <w:rFonts w:ascii="Calibri" w:eastAsia="Calibri" w:hAnsi="Calibri" w:cs="Calibri"/>
                        <w:noProof/>
                        <w:color w:val="FF0000"/>
                        <w:sz w:val="24"/>
                        <w:szCs w:val="24"/>
                      </w:rPr>
                    </w:pPr>
                    <w:r w:rsidRPr="002A1B3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7C756" w14:textId="415C000F" w:rsidR="00CF2841" w:rsidRDefault="00F0686F" w:rsidP="00CF2841">
    <w:pPr>
      <w:pStyle w:val="Header"/>
    </w:pPr>
    <w:r>
      <w:rPr>
        <w:noProof/>
      </w:rPr>
      <w:drawing>
        <wp:anchor distT="0" distB="0" distL="114300" distR="114300" simplePos="0" relativeHeight="251658241" behindDoc="1" locked="0" layoutInCell="1" allowOverlap="1" wp14:anchorId="676E2923" wp14:editId="017B2129">
          <wp:simplePos x="0" y="0"/>
          <wp:positionH relativeFrom="page">
            <wp:align>left</wp:align>
          </wp:positionH>
          <wp:positionV relativeFrom="paragraph">
            <wp:posOffset>-451485</wp:posOffset>
          </wp:positionV>
          <wp:extent cx="7725600" cy="10922400"/>
          <wp:effectExtent l="0" t="0" r="8890" b="0"/>
          <wp:wrapNone/>
          <wp:docPr id="2" name="Picture 2"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ish&#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5600" cy="1092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639E7" w14:textId="0A233E5C" w:rsidR="002A1B36" w:rsidRDefault="002A1B36">
    <w:pPr>
      <w:pStyle w:val="Header"/>
    </w:pPr>
    <w:r>
      <w:rPr>
        <w:noProof/>
      </w:rPr>
      <mc:AlternateContent>
        <mc:Choice Requires="wps">
          <w:drawing>
            <wp:anchor distT="0" distB="0" distL="0" distR="0" simplePos="0" relativeHeight="251658246" behindDoc="0" locked="0" layoutInCell="1" allowOverlap="1" wp14:anchorId="051C0141" wp14:editId="50072709">
              <wp:simplePos x="635" y="635"/>
              <wp:positionH relativeFrom="page">
                <wp:align>center</wp:align>
              </wp:positionH>
              <wp:positionV relativeFrom="page">
                <wp:align>top</wp:align>
              </wp:positionV>
              <wp:extent cx="443865" cy="443865"/>
              <wp:effectExtent l="0" t="0" r="635" b="8890"/>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0015A2" w14:textId="5F4AB45A" w:rsidR="002A1B36" w:rsidRPr="002A1B36" w:rsidRDefault="002A1B36" w:rsidP="002A1B36">
                          <w:pPr>
                            <w:spacing w:after="0"/>
                            <w:rPr>
                              <w:rFonts w:ascii="Calibri" w:eastAsia="Calibri" w:hAnsi="Calibri" w:cs="Calibri"/>
                              <w:noProof/>
                              <w:color w:val="FF0000"/>
                              <w:sz w:val="24"/>
                              <w:szCs w:val="24"/>
                            </w:rPr>
                          </w:pPr>
                          <w:r w:rsidRPr="002A1B3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1C0141" id="_x0000_t202" coordsize="21600,21600" o:spt="202" path="m,l,21600r21600,l21600,xe">
              <v:stroke joinstyle="miter"/>
              <v:path gradientshapeok="t" o:connecttype="rect"/>
            </v:shapetype>
            <v:shape id="Text Box 11" o:spid="_x0000_s1029"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350015A2" w14:textId="5F4AB45A" w:rsidR="002A1B36" w:rsidRPr="002A1B36" w:rsidRDefault="002A1B36" w:rsidP="002A1B36">
                    <w:pPr>
                      <w:spacing w:after="0"/>
                      <w:rPr>
                        <w:rFonts w:ascii="Calibri" w:eastAsia="Calibri" w:hAnsi="Calibri" w:cs="Calibri"/>
                        <w:noProof/>
                        <w:color w:val="FF0000"/>
                        <w:sz w:val="24"/>
                        <w:szCs w:val="24"/>
                      </w:rPr>
                    </w:pPr>
                    <w:r w:rsidRPr="002A1B36">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5D0F6" w14:textId="6C3E787E" w:rsidR="0033168C" w:rsidRDefault="005567A9" w:rsidP="00CF2841">
    <w:pPr>
      <w:pStyle w:val="Header"/>
    </w:pPr>
    <w:r w:rsidRPr="009D2E84">
      <w:rPr>
        <w:rFonts w:ascii="Work Sans" w:hAnsi="Work Sans"/>
        <w:noProof/>
      </w:rPr>
      <w:drawing>
        <wp:anchor distT="0" distB="0" distL="114300" distR="114300" simplePos="0" relativeHeight="251658254" behindDoc="1" locked="1" layoutInCell="1" allowOverlap="1" wp14:anchorId="5484FAA1" wp14:editId="33A17AE0">
          <wp:simplePos x="0" y="0"/>
          <wp:positionH relativeFrom="page">
            <wp:align>right</wp:align>
          </wp:positionH>
          <wp:positionV relativeFrom="page">
            <wp:align>top</wp:align>
          </wp:positionV>
          <wp:extent cx="10685145" cy="10691495"/>
          <wp:effectExtent l="0" t="0" r="1905" b="0"/>
          <wp:wrapNone/>
          <wp:docPr id="1802122153" name="Picture 180212215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514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81615" w14:textId="3216714D" w:rsidR="002A1B36" w:rsidRDefault="0092723B">
    <w:pPr>
      <w:pStyle w:val="Header"/>
    </w:pPr>
    <w:r w:rsidRPr="009D2E84">
      <w:rPr>
        <w:rFonts w:ascii="Work Sans" w:hAnsi="Work Sans"/>
        <w:noProof/>
      </w:rPr>
      <w:drawing>
        <wp:anchor distT="0" distB="0" distL="114300" distR="114300" simplePos="0" relativeHeight="251658255" behindDoc="1" locked="1" layoutInCell="1" allowOverlap="1" wp14:anchorId="51F8DDA4" wp14:editId="055E2A82">
          <wp:simplePos x="0" y="0"/>
          <wp:positionH relativeFrom="page">
            <wp:align>right</wp:align>
          </wp:positionH>
          <wp:positionV relativeFrom="page">
            <wp:align>top</wp:align>
          </wp:positionV>
          <wp:extent cx="10685145" cy="10691495"/>
          <wp:effectExtent l="0" t="0" r="1905" b="0"/>
          <wp:wrapNone/>
          <wp:docPr id="1099472356" name="Picture 109947235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514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2A02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086B0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9C0B49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C5041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4AD1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90084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7880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C423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26B8C2"/>
    <w:lvl w:ilvl="0">
      <w:start w:val="1"/>
      <w:numFmt w:val="decimal"/>
      <w:pStyle w:val="ListNumber"/>
      <w:lvlText w:val="%1."/>
      <w:lvlJc w:val="left"/>
      <w:pPr>
        <w:tabs>
          <w:tab w:val="num" w:pos="360"/>
        </w:tabs>
        <w:ind w:left="360" w:hanging="360"/>
      </w:pPr>
    </w:lvl>
  </w:abstractNum>
  <w:abstractNum w:abstractNumId="9" w15:restartNumberingAfterBreak="0">
    <w:nsid w:val="0085161D"/>
    <w:multiLevelType w:val="hybridMultilevel"/>
    <w:tmpl w:val="D9CAB28C"/>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1B65150"/>
    <w:multiLevelType w:val="hybridMultilevel"/>
    <w:tmpl w:val="7A2C88E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15:restartNumberingAfterBreak="0">
    <w:nsid w:val="0B597618"/>
    <w:multiLevelType w:val="hybridMultilevel"/>
    <w:tmpl w:val="64E63060"/>
    <w:lvl w:ilvl="0" w:tplc="585E90F4">
      <w:start w:val="1"/>
      <w:numFmt w:val="decimal"/>
      <w:lvlText w:val="%1."/>
      <w:lvlJc w:val="left"/>
      <w:pPr>
        <w:ind w:left="1353"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53D7BB4"/>
    <w:multiLevelType w:val="multilevel"/>
    <w:tmpl w:val="50E4A75E"/>
    <w:lvl w:ilvl="0">
      <w:start w:val="1"/>
      <w:numFmt w:val="decimal"/>
      <w:suff w:val="space"/>
      <w:lvlText w:val="Chapter %1"/>
      <w:lvlJc w:val="left"/>
      <w:pPr>
        <w:ind w:left="0" w:firstLine="0"/>
      </w:pPr>
      <w:rPr>
        <w:rFonts w:hint="default"/>
      </w:rPr>
    </w:lvl>
    <w:lvl w:ilvl="1">
      <w:start w:val="1"/>
      <w:numFmt w:val="decimal"/>
      <w:pStyle w:val="CGCParaNumber"/>
      <w:lvlText w:val="%2"/>
      <w:lvlJc w:val="left"/>
      <w:pPr>
        <w:tabs>
          <w:tab w:val="num" w:pos="567"/>
        </w:tabs>
        <w:ind w:left="567" w:hanging="567"/>
      </w:pPr>
      <w:rPr>
        <w:sz w:val="20"/>
        <w:szCs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5BF05D3"/>
    <w:multiLevelType w:val="hybridMultilevel"/>
    <w:tmpl w:val="970C0F1A"/>
    <w:lvl w:ilvl="0" w:tplc="034498D4">
      <w:start w:val="1"/>
      <w:numFmt w:val="bullet"/>
      <w:lvlText w:val=""/>
      <w:lvlJc w:val="left"/>
      <w:pPr>
        <w:ind w:left="1211" w:hanging="360"/>
      </w:pPr>
      <w:rPr>
        <w:rFonts w:ascii="Symbol" w:hAnsi="Symbol" w:hint="default"/>
        <w:b/>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F76C9D"/>
    <w:multiLevelType w:val="hybridMultilevel"/>
    <w:tmpl w:val="3E4074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E71B9C"/>
    <w:multiLevelType w:val="hybridMultilevel"/>
    <w:tmpl w:val="7110E312"/>
    <w:lvl w:ilvl="0" w:tplc="DB96A0AC">
      <w:start w:val="1"/>
      <w:numFmt w:val="bullet"/>
      <w:pStyle w:val="CGC2025Bullet1"/>
      <w:lvlText w:val=""/>
      <w:lvlJc w:val="left"/>
      <w:pPr>
        <w:ind w:left="1440" w:hanging="360"/>
      </w:pPr>
      <w:rPr>
        <w:rFonts w:ascii="Symbol" w:hAnsi="Symbol" w:hint="default"/>
        <w:color w:val="636466"/>
      </w:rPr>
    </w:lvl>
    <w:lvl w:ilvl="1" w:tplc="0C090003">
      <w:start w:val="1"/>
      <w:numFmt w:val="bullet"/>
      <w:lvlText w:val="o"/>
      <w:lvlJc w:val="left"/>
      <w:pPr>
        <w:ind w:left="1953" w:hanging="360"/>
      </w:pPr>
      <w:rPr>
        <w:rFonts w:ascii="Courier New" w:hAnsi="Courier New" w:cs="Courier New" w:hint="default"/>
      </w:rPr>
    </w:lvl>
    <w:lvl w:ilvl="2" w:tplc="0C090005" w:tentative="1">
      <w:start w:val="1"/>
      <w:numFmt w:val="bullet"/>
      <w:lvlText w:val=""/>
      <w:lvlJc w:val="left"/>
      <w:pPr>
        <w:ind w:left="2673" w:hanging="360"/>
      </w:pPr>
      <w:rPr>
        <w:rFonts w:ascii="Wingdings" w:hAnsi="Wingdings" w:hint="default"/>
      </w:rPr>
    </w:lvl>
    <w:lvl w:ilvl="3" w:tplc="0C090001" w:tentative="1">
      <w:start w:val="1"/>
      <w:numFmt w:val="bullet"/>
      <w:lvlText w:val=""/>
      <w:lvlJc w:val="left"/>
      <w:pPr>
        <w:ind w:left="3393" w:hanging="360"/>
      </w:pPr>
      <w:rPr>
        <w:rFonts w:ascii="Symbol" w:hAnsi="Symbol" w:hint="default"/>
      </w:rPr>
    </w:lvl>
    <w:lvl w:ilvl="4" w:tplc="0C090003" w:tentative="1">
      <w:start w:val="1"/>
      <w:numFmt w:val="bullet"/>
      <w:lvlText w:val="o"/>
      <w:lvlJc w:val="left"/>
      <w:pPr>
        <w:ind w:left="4113" w:hanging="360"/>
      </w:pPr>
      <w:rPr>
        <w:rFonts w:ascii="Courier New" w:hAnsi="Courier New" w:cs="Courier New" w:hint="default"/>
      </w:rPr>
    </w:lvl>
    <w:lvl w:ilvl="5" w:tplc="0C090005" w:tentative="1">
      <w:start w:val="1"/>
      <w:numFmt w:val="bullet"/>
      <w:lvlText w:val=""/>
      <w:lvlJc w:val="left"/>
      <w:pPr>
        <w:ind w:left="4833" w:hanging="360"/>
      </w:pPr>
      <w:rPr>
        <w:rFonts w:ascii="Wingdings" w:hAnsi="Wingdings" w:hint="default"/>
      </w:rPr>
    </w:lvl>
    <w:lvl w:ilvl="6" w:tplc="0C090001" w:tentative="1">
      <w:start w:val="1"/>
      <w:numFmt w:val="bullet"/>
      <w:lvlText w:val=""/>
      <w:lvlJc w:val="left"/>
      <w:pPr>
        <w:ind w:left="5553" w:hanging="360"/>
      </w:pPr>
      <w:rPr>
        <w:rFonts w:ascii="Symbol" w:hAnsi="Symbol" w:hint="default"/>
      </w:rPr>
    </w:lvl>
    <w:lvl w:ilvl="7" w:tplc="0C090003" w:tentative="1">
      <w:start w:val="1"/>
      <w:numFmt w:val="bullet"/>
      <w:lvlText w:val="o"/>
      <w:lvlJc w:val="left"/>
      <w:pPr>
        <w:ind w:left="6273" w:hanging="360"/>
      </w:pPr>
      <w:rPr>
        <w:rFonts w:ascii="Courier New" w:hAnsi="Courier New" w:cs="Courier New" w:hint="default"/>
      </w:rPr>
    </w:lvl>
    <w:lvl w:ilvl="8" w:tplc="0C090005" w:tentative="1">
      <w:start w:val="1"/>
      <w:numFmt w:val="bullet"/>
      <w:lvlText w:val=""/>
      <w:lvlJc w:val="left"/>
      <w:pPr>
        <w:ind w:left="6993" w:hanging="360"/>
      </w:pPr>
      <w:rPr>
        <w:rFonts w:ascii="Wingdings" w:hAnsi="Wingdings" w:hint="default"/>
      </w:rPr>
    </w:lvl>
  </w:abstractNum>
  <w:abstractNum w:abstractNumId="16" w15:restartNumberingAfterBreak="0">
    <w:nsid w:val="1E357C7E"/>
    <w:multiLevelType w:val="multilevel"/>
    <w:tmpl w:val="44EA4314"/>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1AD2425"/>
    <w:multiLevelType w:val="hybridMultilevel"/>
    <w:tmpl w:val="4E58ECC8"/>
    <w:lvl w:ilvl="0" w:tplc="35A8E5A4">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8"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9" w15:restartNumberingAfterBreak="0">
    <w:nsid w:val="2C8A637F"/>
    <w:multiLevelType w:val="hybridMultilevel"/>
    <w:tmpl w:val="E2F6ADC4"/>
    <w:lvl w:ilvl="0" w:tplc="BF2462A0">
      <w:start w:val="1"/>
      <w:numFmt w:val="decimal"/>
      <w:pStyle w:val="CGC2025Questionsnumbers2"/>
      <w:lvlText w:val="Q%1."/>
      <w:lvlJc w:val="left"/>
      <w:pPr>
        <w:ind w:left="720" w:hanging="360"/>
      </w:pPr>
      <w:rPr>
        <w:rFonts w:hint="default"/>
        <w:b w:val="0"/>
        <w:i w:val="0"/>
        <w:caps w:val="0"/>
        <w:strike w:val="0"/>
        <w:dstrike w:val="0"/>
        <w:vanish w:val="0"/>
        <w:color w:val="000000" w:themeColor="text1"/>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D0A2085"/>
    <w:multiLevelType w:val="hybridMultilevel"/>
    <w:tmpl w:val="D7660582"/>
    <w:lvl w:ilvl="0" w:tplc="78CEFBBA">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2EA4165B"/>
    <w:multiLevelType w:val="hybridMultilevel"/>
    <w:tmpl w:val="D0689BD4"/>
    <w:lvl w:ilvl="0" w:tplc="0C090001">
      <w:start w:val="1"/>
      <w:numFmt w:val="bullet"/>
      <w:lvlText w:val=""/>
      <w:lvlJc w:val="left"/>
      <w:pPr>
        <w:ind w:left="720" w:hanging="360"/>
      </w:pPr>
      <w:rPr>
        <w:rFonts w:ascii="Symbol" w:hAnsi="Symbol" w:hint="default"/>
      </w:rPr>
    </w:lvl>
    <w:lvl w:ilvl="1" w:tplc="0C090003">
      <w:start w:val="1"/>
      <w:numFmt w:val="bullet"/>
      <w:pStyle w:val="CGC2025ParaNumbers"/>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4618FF"/>
    <w:multiLevelType w:val="hybridMultilevel"/>
    <w:tmpl w:val="1FBE1C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DCE5936"/>
    <w:multiLevelType w:val="hybridMultilevel"/>
    <w:tmpl w:val="6FC09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9B2988"/>
    <w:multiLevelType w:val="hybridMultilevel"/>
    <w:tmpl w:val="AAFCF84E"/>
    <w:lvl w:ilvl="0" w:tplc="EC74E57E">
      <w:numFmt w:val="bullet"/>
      <w:lvlText w:val="-"/>
      <w:lvlJc w:val="left"/>
      <w:pPr>
        <w:ind w:left="927" w:hanging="360"/>
      </w:pPr>
      <w:rPr>
        <w:rFonts w:ascii="Work Sans" w:eastAsiaTheme="minorHAnsi" w:hAnsi="Work Sans"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5" w15:restartNumberingAfterBreak="0">
    <w:nsid w:val="44511CFA"/>
    <w:multiLevelType w:val="hybridMultilevel"/>
    <w:tmpl w:val="5F245DC8"/>
    <w:lvl w:ilvl="0" w:tplc="305A407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B52DA0"/>
    <w:multiLevelType w:val="multilevel"/>
    <w:tmpl w:val="A310237C"/>
    <w:styleLink w:val="CGCConsultQuestion"/>
    <w:lvl w:ilvl="0">
      <w:start w:val="1"/>
      <w:numFmt w:val="decimal"/>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7EE3A63"/>
    <w:multiLevelType w:val="hybridMultilevel"/>
    <w:tmpl w:val="7CBC9E8E"/>
    <w:lvl w:ilvl="0" w:tplc="6FE4DD4E">
      <w:numFmt w:val="bullet"/>
      <w:lvlText w:val="-"/>
      <w:lvlJc w:val="left"/>
      <w:pPr>
        <w:ind w:left="927" w:hanging="360"/>
      </w:pPr>
      <w:rPr>
        <w:rFonts w:ascii="Work Sans" w:eastAsiaTheme="minorHAnsi" w:hAnsi="Work Sans"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8" w15:restartNumberingAfterBreak="0">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BA2B53"/>
    <w:multiLevelType w:val="hybridMultilevel"/>
    <w:tmpl w:val="9DDEF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1E2A55"/>
    <w:multiLevelType w:val="multilevel"/>
    <w:tmpl w:val="8C78535C"/>
    <w:lvl w:ilvl="0">
      <w:start w:val="1"/>
      <w:numFmt w:val="decimal"/>
      <w:pStyle w:val="CGC2025QuestionNumbers"/>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05C1821"/>
    <w:multiLevelType w:val="hybridMultilevel"/>
    <w:tmpl w:val="A1C22A2A"/>
    <w:lvl w:ilvl="0" w:tplc="55BEC886">
      <w:start w:val="1"/>
      <w:numFmt w:val="bullet"/>
      <w:pStyle w:val="ListBullet"/>
      <w:lvlText w:val=""/>
      <w:lvlJc w:val="left"/>
      <w:pPr>
        <w:tabs>
          <w:tab w:val="num" w:pos="924"/>
        </w:tabs>
        <w:ind w:left="924" w:hanging="357"/>
      </w:pPr>
      <w:rPr>
        <w:rFonts w:ascii="Symbol" w:hAnsi="Symbol" w:hint="default"/>
        <w:color w:val="000000" w:themeColor="text1"/>
        <w:sz w:val="20"/>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52486156"/>
    <w:multiLevelType w:val="hybridMultilevel"/>
    <w:tmpl w:val="B4B4E18C"/>
    <w:lvl w:ilvl="0" w:tplc="04E8AA5A">
      <w:start w:val="1"/>
      <w:numFmt w:val="bullet"/>
      <w:pStyle w:val="CGCBullet1"/>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75C3CDF"/>
    <w:multiLevelType w:val="hybridMultilevel"/>
    <w:tmpl w:val="4C6ACC38"/>
    <w:lvl w:ilvl="0" w:tplc="28AA649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4" w15:restartNumberingAfterBreak="0">
    <w:nsid w:val="5C2702B4"/>
    <w:multiLevelType w:val="hybridMultilevel"/>
    <w:tmpl w:val="BD4E0F9E"/>
    <w:lvl w:ilvl="0" w:tplc="5540FE9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5" w15:restartNumberingAfterBreak="0">
    <w:nsid w:val="5DC63256"/>
    <w:multiLevelType w:val="multilevel"/>
    <w:tmpl w:val="BA9C6C52"/>
    <w:lvl w:ilvl="0">
      <w:start w:val="5"/>
      <w:numFmt w:val="lowerRoman"/>
      <w:pStyle w:val="OutlineNumbered1"/>
      <w:lvlText w:val="%1."/>
      <w:lvlJc w:val="right"/>
      <w:pPr>
        <w:tabs>
          <w:tab w:val="num" w:pos="472"/>
        </w:tabs>
        <w:ind w:left="472" w:hanging="472"/>
      </w:pPr>
      <w:rPr>
        <w:rFonts w:hint="default"/>
      </w:rPr>
    </w:lvl>
    <w:lvl w:ilvl="1">
      <w:start w:val="1"/>
      <w:numFmt w:val="decimal"/>
      <w:pStyle w:val="OutlineNumbered2"/>
      <w:lvlText w:val="%1.%2."/>
      <w:lvlJc w:val="left"/>
      <w:pPr>
        <w:tabs>
          <w:tab w:val="num" w:pos="944"/>
        </w:tabs>
        <w:ind w:left="944" w:hanging="472"/>
      </w:pPr>
      <w:rPr>
        <w:rFonts w:hint="default"/>
      </w:rPr>
    </w:lvl>
    <w:lvl w:ilvl="2">
      <w:start w:val="1"/>
      <w:numFmt w:val="decimal"/>
      <w:pStyle w:val="OutlineNumbered3"/>
      <w:lvlText w:val="%1.%2.%3."/>
      <w:lvlJc w:val="left"/>
      <w:pPr>
        <w:tabs>
          <w:tab w:val="num" w:pos="1416"/>
        </w:tabs>
        <w:ind w:left="1416" w:hanging="47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0003647"/>
    <w:multiLevelType w:val="hybridMultilevel"/>
    <w:tmpl w:val="48B0E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5C6229"/>
    <w:multiLevelType w:val="hybridMultilevel"/>
    <w:tmpl w:val="38384AF2"/>
    <w:lvl w:ilvl="0" w:tplc="0C090001">
      <w:start w:val="1"/>
      <w:numFmt w:val="bullet"/>
      <w:pStyle w:val="CGC2025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6D4E5E"/>
    <w:multiLevelType w:val="hybridMultilevel"/>
    <w:tmpl w:val="7CD6A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7C6A46"/>
    <w:multiLevelType w:val="multilevel"/>
    <w:tmpl w:val="27206854"/>
    <w:lvl w:ilvl="0">
      <w:start w:val="1"/>
      <w:numFmt w:val="decimal"/>
      <w:pStyle w:val="BodyCopyWorkSans10"/>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55C441C"/>
    <w:multiLevelType w:val="hybridMultilevel"/>
    <w:tmpl w:val="42226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B56961"/>
    <w:multiLevelType w:val="hybridMultilevel"/>
    <w:tmpl w:val="4BB6122E"/>
    <w:lvl w:ilvl="0" w:tplc="8A0205E8">
      <w:start w:val="1"/>
      <w:numFmt w:val="bullet"/>
      <w:pStyle w:val="CGCQuote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42" w15:restartNumberingAfterBreak="0">
    <w:nsid w:val="6A713A6C"/>
    <w:multiLevelType w:val="hybridMultilevel"/>
    <w:tmpl w:val="131C861A"/>
    <w:lvl w:ilvl="0" w:tplc="CAD25464">
      <w:numFmt w:val="bullet"/>
      <w:lvlText w:val="-"/>
      <w:lvlJc w:val="left"/>
      <w:pPr>
        <w:ind w:left="720" w:hanging="360"/>
      </w:pPr>
      <w:rPr>
        <w:rFonts w:ascii="Work Sans" w:eastAsiaTheme="minorHAnsi" w:hAnsi="Work San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517EA6"/>
    <w:multiLevelType w:val="multilevel"/>
    <w:tmpl w:val="8CEE0058"/>
    <w:styleLink w:val="CGCConsultQuestion1"/>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44" w15:restartNumberingAfterBreak="0">
    <w:nsid w:val="757010B5"/>
    <w:multiLevelType w:val="hybridMultilevel"/>
    <w:tmpl w:val="0204C57E"/>
    <w:lvl w:ilvl="0" w:tplc="3DD22E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872227964">
    <w:abstractNumId w:val="36"/>
  </w:num>
  <w:num w:numId="2" w16cid:durableId="1256741263">
    <w:abstractNumId w:val="40"/>
  </w:num>
  <w:num w:numId="3" w16cid:durableId="2131850708">
    <w:abstractNumId w:val="38"/>
  </w:num>
  <w:num w:numId="4" w16cid:durableId="725491789">
    <w:abstractNumId w:val="37"/>
  </w:num>
  <w:num w:numId="5" w16cid:durableId="709955795">
    <w:abstractNumId w:val="29"/>
  </w:num>
  <w:num w:numId="6" w16cid:durableId="667442585">
    <w:abstractNumId w:val="22"/>
  </w:num>
  <w:num w:numId="7" w16cid:durableId="1697609810">
    <w:abstractNumId w:val="23"/>
  </w:num>
  <w:num w:numId="8" w16cid:durableId="1382512411">
    <w:abstractNumId w:val="14"/>
  </w:num>
  <w:num w:numId="9" w16cid:durableId="733703272">
    <w:abstractNumId w:val="21"/>
  </w:num>
  <w:num w:numId="10" w16cid:durableId="1177840774">
    <w:abstractNumId w:val="25"/>
  </w:num>
  <w:num w:numId="11" w16cid:durableId="914707077">
    <w:abstractNumId w:val="11"/>
  </w:num>
  <w:num w:numId="12" w16cid:durableId="976110390">
    <w:abstractNumId w:val="16"/>
  </w:num>
  <w:num w:numId="13" w16cid:durableId="1896237900">
    <w:abstractNumId w:val="11"/>
    <w:lvlOverride w:ilvl="0">
      <w:startOverride w:val="1"/>
    </w:lvlOverride>
  </w:num>
  <w:num w:numId="14" w16cid:durableId="1733455714">
    <w:abstractNumId w:val="15"/>
  </w:num>
  <w:num w:numId="15" w16cid:durableId="412244489">
    <w:abstractNumId w:val="13"/>
  </w:num>
  <w:num w:numId="16" w16cid:durableId="429350754">
    <w:abstractNumId w:val="12"/>
  </w:num>
  <w:num w:numId="17" w16cid:durableId="1137530564">
    <w:abstractNumId w:val="30"/>
  </w:num>
  <w:num w:numId="18" w16cid:durableId="1361322538">
    <w:abstractNumId w:val="19"/>
  </w:num>
  <w:num w:numId="19" w16cid:durableId="411702871">
    <w:abstractNumId w:val="27"/>
  </w:num>
  <w:num w:numId="20" w16cid:durableId="1649357354">
    <w:abstractNumId w:val="18"/>
  </w:num>
  <w:num w:numId="21" w16cid:durableId="1003897054">
    <w:abstractNumId w:val="45"/>
  </w:num>
  <w:num w:numId="22" w16cid:durableId="920797300">
    <w:abstractNumId w:val="9"/>
  </w:num>
  <w:num w:numId="23" w16cid:durableId="1807814447">
    <w:abstractNumId w:val="41"/>
  </w:num>
  <w:num w:numId="24" w16cid:durableId="1737627722">
    <w:abstractNumId w:val="43"/>
  </w:num>
  <w:num w:numId="25" w16cid:durableId="1408111535">
    <w:abstractNumId w:val="26"/>
  </w:num>
  <w:num w:numId="26" w16cid:durableId="416440148">
    <w:abstractNumId w:val="39"/>
  </w:num>
  <w:num w:numId="27" w16cid:durableId="1584996050">
    <w:abstractNumId w:val="32"/>
  </w:num>
  <w:num w:numId="28" w16cid:durableId="415395702">
    <w:abstractNumId w:val="28"/>
  </w:num>
  <w:num w:numId="29" w16cid:durableId="1199852133">
    <w:abstractNumId w:val="31"/>
  </w:num>
  <w:num w:numId="30" w16cid:durableId="854150488">
    <w:abstractNumId w:val="7"/>
  </w:num>
  <w:num w:numId="31" w16cid:durableId="1668089910">
    <w:abstractNumId w:val="6"/>
  </w:num>
  <w:num w:numId="32" w16cid:durableId="2005738891">
    <w:abstractNumId w:val="5"/>
  </w:num>
  <w:num w:numId="33" w16cid:durableId="2009091013">
    <w:abstractNumId w:val="4"/>
  </w:num>
  <w:num w:numId="34" w16cid:durableId="1633439826">
    <w:abstractNumId w:val="8"/>
  </w:num>
  <w:num w:numId="35" w16cid:durableId="383873343">
    <w:abstractNumId w:val="3"/>
  </w:num>
  <w:num w:numId="36" w16cid:durableId="1356728604">
    <w:abstractNumId w:val="2"/>
  </w:num>
  <w:num w:numId="37" w16cid:durableId="1299645837">
    <w:abstractNumId w:val="1"/>
  </w:num>
  <w:num w:numId="38" w16cid:durableId="1394498309">
    <w:abstractNumId w:val="0"/>
  </w:num>
  <w:num w:numId="39" w16cid:durableId="425881214">
    <w:abstractNumId w:val="34"/>
  </w:num>
  <w:num w:numId="40" w16cid:durableId="549265007">
    <w:abstractNumId w:val="35"/>
  </w:num>
  <w:num w:numId="41" w16cid:durableId="14756341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47670527">
    <w:abstractNumId w:val="20"/>
  </w:num>
  <w:num w:numId="43" w16cid:durableId="824786394">
    <w:abstractNumId w:val="44"/>
  </w:num>
  <w:num w:numId="44" w16cid:durableId="1533498179">
    <w:abstractNumId w:val="42"/>
  </w:num>
  <w:num w:numId="45" w16cid:durableId="1343095035">
    <w:abstractNumId w:val="11"/>
    <w:lvlOverride w:ilvl="0">
      <w:startOverride w:val="1"/>
    </w:lvlOverride>
  </w:num>
  <w:num w:numId="46" w16cid:durableId="796066595">
    <w:abstractNumId w:val="24"/>
  </w:num>
  <w:num w:numId="47" w16cid:durableId="792527992">
    <w:abstractNumId w:val="17"/>
  </w:num>
  <w:num w:numId="48" w16cid:durableId="13305268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30470982">
    <w:abstractNumId w:val="10"/>
  </w:num>
  <w:num w:numId="50" w16cid:durableId="69188082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841"/>
    <w:rsid w:val="0000022D"/>
    <w:rsid w:val="00000505"/>
    <w:rsid w:val="000005A1"/>
    <w:rsid w:val="00000884"/>
    <w:rsid w:val="00000956"/>
    <w:rsid w:val="00000979"/>
    <w:rsid w:val="0000097B"/>
    <w:rsid w:val="00000991"/>
    <w:rsid w:val="000009E7"/>
    <w:rsid w:val="00000AD0"/>
    <w:rsid w:val="00000E5A"/>
    <w:rsid w:val="00000E92"/>
    <w:rsid w:val="00000FCF"/>
    <w:rsid w:val="00000FE3"/>
    <w:rsid w:val="00001256"/>
    <w:rsid w:val="0000129B"/>
    <w:rsid w:val="000012CE"/>
    <w:rsid w:val="00001602"/>
    <w:rsid w:val="000016E4"/>
    <w:rsid w:val="000016F4"/>
    <w:rsid w:val="0000174A"/>
    <w:rsid w:val="000019BE"/>
    <w:rsid w:val="00001AC7"/>
    <w:rsid w:val="00001E35"/>
    <w:rsid w:val="00001E3B"/>
    <w:rsid w:val="00001EFD"/>
    <w:rsid w:val="000020AD"/>
    <w:rsid w:val="0000226B"/>
    <w:rsid w:val="000022BD"/>
    <w:rsid w:val="0000232B"/>
    <w:rsid w:val="0000237A"/>
    <w:rsid w:val="000023CE"/>
    <w:rsid w:val="00002782"/>
    <w:rsid w:val="00002886"/>
    <w:rsid w:val="0000292C"/>
    <w:rsid w:val="00002997"/>
    <w:rsid w:val="00002AE1"/>
    <w:rsid w:val="00002B44"/>
    <w:rsid w:val="00002BEB"/>
    <w:rsid w:val="00002C9F"/>
    <w:rsid w:val="00002D3D"/>
    <w:rsid w:val="00002F0E"/>
    <w:rsid w:val="00002FE4"/>
    <w:rsid w:val="00003066"/>
    <w:rsid w:val="0000310A"/>
    <w:rsid w:val="00003192"/>
    <w:rsid w:val="00003299"/>
    <w:rsid w:val="00003421"/>
    <w:rsid w:val="0000343C"/>
    <w:rsid w:val="0000366F"/>
    <w:rsid w:val="000036D4"/>
    <w:rsid w:val="0000372E"/>
    <w:rsid w:val="00003859"/>
    <w:rsid w:val="00003BB8"/>
    <w:rsid w:val="00003BBC"/>
    <w:rsid w:val="00003C4B"/>
    <w:rsid w:val="000042C0"/>
    <w:rsid w:val="0000460A"/>
    <w:rsid w:val="00004839"/>
    <w:rsid w:val="00004881"/>
    <w:rsid w:val="0000493C"/>
    <w:rsid w:val="0000493F"/>
    <w:rsid w:val="0000496C"/>
    <w:rsid w:val="0000499C"/>
    <w:rsid w:val="00004B51"/>
    <w:rsid w:val="00004B6E"/>
    <w:rsid w:val="00004E0B"/>
    <w:rsid w:val="00004E44"/>
    <w:rsid w:val="00004F54"/>
    <w:rsid w:val="00004F69"/>
    <w:rsid w:val="000050EF"/>
    <w:rsid w:val="000052D3"/>
    <w:rsid w:val="000053DE"/>
    <w:rsid w:val="000055BC"/>
    <w:rsid w:val="000057AC"/>
    <w:rsid w:val="000057FC"/>
    <w:rsid w:val="00005913"/>
    <w:rsid w:val="00005968"/>
    <w:rsid w:val="0000598D"/>
    <w:rsid w:val="00005B62"/>
    <w:rsid w:val="00005BFC"/>
    <w:rsid w:val="00005C2C"/>
    <w:rsid w:val="00005C9C"/>
    <w:rsid w:val="00005FFA"/>
    <w:rsid w:val="0000634C"/>
    <w:rsid w:val="00006695"/>
    <w:rsid w:val="00006BF9"/>
    <w:rsid w:val="00006C0D"/>
    <w:rsid w:val="00006C88"/>
    <w:rsid w:val="00006D15"/>
    <w:rsid w:val="00006F7D"/>
    <w:rsid w:val="00006FDD"/>
    <w:rsid w:val="00007074"/>
    <w:rsid w:val="000073CB"/>
    <w:rsid w:val="000074EA"/>
    <w:rsid w:val="0000753C"/>
    <w:rsid w:val="0000759F"/>
    <w:rsid w:val="000075AE"/>
    <w:rsid w:val="0000762D"/>
    <w:rsid w:val="000076E0"/>
    <w:rsid w:val="00007730"/>
    <w:rsid w:val="00007843"/>
    <w:rsid w:val="00007B2C"/>
    <w:rsid w:val="00007C98"/>
    <w:rsid w:val="00007D0C"/>
    <w:rsid w:val="00007E09"/>
    <w:rsid w:val="00007E49"/>
    <w:rsid w:val="00007FC9"/>
    <w:rsid w:val="000100DE"/>
    <w:rsid w:val="0001035E"/>
    <w:rsid w:val="0001044E"/>
    <w:rsid w:val="00010631"/>
    <w:rsid w:val="00010753"/>
    <w:rsid w:val="00010A1F"/>
    <w:rsid w:val="00010AD5"/>
    <w:rsid w:val="00010B36"/>
    <w:rsid w:val="00010C15"/>
    <w:rsid w:val="00010C67"/>
    <w:rsid w:val="00010C9B"/>
    <w:rsid w:val="00010CA7"/>
    <w:rsid w:val="00010E7B"/>
    <w:rsid w:val="00010F05"/>
    <w:rsid w:val="0001108E"/>
    <w:rsid w:val="000110AA"/>
    <w:rsid w:val="000112C8"/>
    <w:rsid w:val="00011476"/>
    <w:rsid w:val="00011693"/>
    <w:rsid w:val="00011815"/>
    <w:rsid w:val="00011841"/>
    <w:rsid w:val="000118E0"/>
    <w:rsid w:val="00011A06"/>
    <w:rsid w:val="00011BD0"/>
    <w:rsid w:val="00011D91"/>
    <w:rsid w:val="00011E88"/>
    <w:rsid w:val="00011EEF"/>
    <w:rsid w:val="000120BD"/>
    <w:rsid w:val="000120E9"/>
    <w:rsid w:val="00012163"/>
    <w:rsid w:val="00012167"/>
    <w:rsid w:val="00012177"/>
    <w:rsid w:val="000121A0"/>
    <w:rsid w:val="0001224D"/>
    <w:rsid w:val="00012441"/>
    <w:rsid w:val="0001251D"/>
    <w:rsid w:val="000125C9"/>
    <w:rsid w:val="00012679"/>
    <w:rsid w:val="00012890"/>
    <w:rsid w:val="000128C5"/>
    <w:rsid w:val="000129D6"/>
    <w:rsid w:val="00012ABE"/>
    <w:rsid w:val="00012AEE"/>
    <w:rsid w:val="00012B34"/>
    <w:rsid w:val="00012EB2"/>
    <w:rsid w:val="00012EEC"/>
    <w:rsid w:val="00012FEF"/>
    <w:rsid w:val="00013133"/>
    <w:rsid w:val="00013219"/>
    <w:rsid w:val="0001370D"/>
    <w:rsid w:val="0001377D"/>
    <w:rsid w:val="00013863"/>
    <w:rsid w:val="000138F3"/>
    <w:rsid w:val="0001399D"/>
    <w:rsid w:val="00013A61"/>
    <w:rsid w:val="00013AE9"/>
    <w:rsid w:val="00013D7F"/>
    <w:rsid w:val="00013DC4"/>
    <w:rsid w:val="00013DE6"/>
    <w:rsid w:val="00013F12"/>
    <w:rsid w:val="000141EC"/>
    <w:rsid w:val="00014216"/>
    <w:rsid w:val="00014422"/>
    <w:rsid w:val="000144FB"/>
    <w:rsid w:val="00014576"/>
    <w:rsid w:val="00014596"/>
    <w:rsid w:val="00014628"/>
    <w:rsid w:val="00014789"/>
    <w:rsid w:val="00014878"/>
    <w:rsid w:val="000148DA"/>
    <w:rsid w:val="000148E4"/>
    <w:rsid w:val="00014B02"/>
    <w:rsid w:val="00014BCD"/>
    <w:rsid w:val="00014C16"/>
    <w:rsid w:val="00014C5B"/>
    <w:rsid w:val="00014D6B"/>
    <w:rsid w:val="00014EA4"/>
    <w:rsid w:val="00014F9B"/>
    <w:rsid w:val="000153A7"/>
    <w:rsid w:val="000154BD"/>
    <w:rsid w:val="00015508"/>
    <w:rsid w:val="00015747"/>
    <w:rsid w:val="00015750"/>
    <w:rsid w:val="00015759"/>
    <w:rsid w:val="0001588B"/>
    <w:rsid w:val="000158B6"/>
    <w:rsid w:val="000159A8"/>
    <w:rsid w:val="000159D3"/>
    <w:rsid w:val="00015A33"/>
    <w:rsid w:val="00015A7C"/>
    <w:rsid w:val="00015B3B"/>
    <w:rsid w:val="000160FE"/>
    <w:rsid w:val="000161C4"/>
    <w:rsid w:val="00016268"/>
    <w:rsid w:val="000163EB"/>
    <w:rsid w:val="00016681"/>
    <w:rsid w:val="00016808"/>
    <w:rsid w:val="00016A0B"/>
    <w:rsid w:val="000170A5"/>
    <w:rsid w:val="0001712B"/>
    <w:rsid w:val="00017221"/>
    <w:rsid w:val="0001731A"/>
    <w:rsid w:val="00017321"/>
    <w:rsid w:val="00017323"/>
    <w:rsid w:val="000173DB"/>
    <w:rsid w:val="000175D8"/>
    <w:rsid w:val="00017C2B"/>
    <w:rsid w:val="00017D40"/>
    <w:rsid w:val="00017DFD"/>
    <w:rsid w:val="00017F3F"/>
    <w:rsid w:val="00020185"/>
    <w:rsid w:val="000201D0"/>
    <w:rsid w:val="000207A5"/>
    <w:rsid w:val="000207F1"/>
    <w:rsid w:val="00020970"/>
    <w:rsid w:val="00020A30"/>
    <w:rsid w:val="00020C16"/>
    <w:rsid w:val="00020D3A"/>
    <w:rsid w:val="00020D71"/>
    <w:rsid w:val="00020E88"/>
    <w:rsid w:val="0002114E"/>
    <w:rsid w:val="000212E7"/>
    <w:rsid w:val="0002162E"/>
    <w:rsid w:val="000216EB"/>
    <w:rsid w:val="00021704"/>
    <w:rsid w:val="000217FE"/>
    <w:rsid w:val="00021917"/>
    <w:rsid w:val="00021A2B"/>
    <w:rsid w:val="00021A5F"/>
    <w:rsid w:val="00021ADC"/>
    <w:rsid w:val="00021B43"/>
    <w:rsid w:val="00021FDF"/>
    <w:rsid w:val="00022028"/>
    <w:rsid w:val="00022067"/>
    <w:rsid w:val="00022475"/>
    <w:rsid w:val="0002251D"/>
    <w:rsid w:val="000225D2"/>
    <w:rsid w:val="000225E3"/>
    <w:rsid w:val="000229BC"/>
    <w:rsid w:val="00022B43"/>
    <w:rsid w:val="00022C0B"/>
    <w:rsid w:val="000230A8"/>
    <w:rsid w:val="00023135"/>
    <w:rsid w:val="000231C9"/>
    <w:rsid w:val="0002324A"/>
    <w:rsid w:val="00023278"/>
    <w:rsid w:val="0002347A"/>
    <w:rsid w:val="0002359C"/>
    <w:rsid w:val="000238C9"/>
    <w:rsid w:val="00023C4B"/>
    <w:rsid w:val="00023C6E"/>
    <w:rsid w:val="00023D08"/>
    <w:rsid w:val="0002417C"/>
    <w:rsid w:val="0002428C"/>
    <w:rsid w:val="0002434B"/>
    <w:rsid w:val="00024391"/>
    <w:rsid w:val="000243F7"/>
    <w:rsid w:val="00024458"/>
    <w:rsid w:val="0002456F"/>
    <w:rsid w:val="00024587"/>
    <w:rsid w:val="000245A3"/>
    <w:rsid w:val="00024773"/>
    <w:rsid w:val="000247B6"/>
    <w:rsid w:val="0002484A"/>
    <w:rsid w:val="00024875"/>
    <w:rsid w:val="00024981"/>
    <w:rsid w:val="00024B3E"/>
    <w:rsid w:val="00024BD6"/>
    <w:rsid w:val="00024C87"/>
    <w:rsid w:val="00024CEA"/>
    <w:rsid w:val="00024D0C"/>
    <w:rsid w:val="00024D30"/>
    <w:rsid w:val="00024F64"/>
    <w:rsid w:val="00024FA7"/>
    <w:rsid w:val="00025027"/>
    <w:rsid w:val="000253DD"/>
    <w:rsid w:val="0002547E"/>
    <w:rsid w:val="0002574D"/>
    <w:rsid w:val="000258AB"/>
    <w:rsid w:val="000258AF"/>
    <w:rsid w:val="00025A3C"/>
    <w:rsid w:val="00025C6F"/>
    <w:rsid w:val="00025CAF"/>
    <w:rsid w:val="00025CDA"/>
    <w:rsid w:val="00025E17"/>
    <w:rsid w:val="00025E62"/>
    <w:rsid w:val="00025E88"/>
    <w:rsid w:val="000267B2"/>
    <w:rsid w:val="000267C8"/>
    <w:rsid w:val="00026806"/>
    <w:rsid w:val="00026944"/>
    <w:rsid w:val="000269B7"/>
    <w:rsid w:val="00026A26"/>
    <w:rsid w:val="00027159"/>
    <w:rsid w:val="000272FB"/>
    <w:rsid w:val="0002737C"/>
    <w:rsid w:val="00027419"/>
    <w:rsid w:val="000274E7"/>
    <w:rsid w:val="00027891"/>
    <w:rsid w:val="000278C9"/>
    <w:rsid w:val="00027A47"/>
    <w:rsid w:val="00027A7D"/>
    <w:rsid w:val="00027BF9"/>
    <w:rsid w:val="00027DFF"/>
    <w:rsid w:val="0003006B"/>
    <w:rsid w:val="000300BB"/>
    <w:rsid w:val="000302D1"/>
    <w:rsid w:val="00030401"/>
    <w:rsid w:val="0003061F"/>
    <w:rsid w:val="0003063D"/>
    <w:rsid w:val="00030668"/>
    <w:rsid w:val="0003084A"/>
    <w:rsid w:val="00030B59"/>
    <w:rsid w:val="00030BD3"/>
    <w:rsid w:val="00030C05"/>
    <w:rsid w:val="00030DD7"/>
    <w:rsid w:val="00030E41"/>
    <w:rsid w:val="00031410"/>
    <w:rsid w:val="000314F8"/>
    <w:rsid w:val="000317E5"/>
    <w:rsid w:val="00031ABF"/>
    <w:rsid w:val="00031BC6"/>
    <w:rsid w:val="00031C8B"/>
    <w:rsid w:val="00031C9C"/>
    <w:rsid w:val="00031E15"/>
    <w:rsid w:val="00031E19"/>
    <w:rsid w:val="00031E2B"/>
    <w:rsid w:val="00031FE6"/>
    <w:rsid w:val="00032172"/>
    <w:rsid w:val="000321A4"/>
    <w:rsid w:val="000322A6"/>
    <w:rsid w:val="000322B4"/>
    <w:rsid w:val="00032797"/>
    <w:rsid w:val="0003293F"/>
    <w:rsid w:val="00032965"/>
    <w:rsid w:val="000329C2"/>
    <w:rsid w:val="00032BA6"/>
    <w:rsid w:val="00032C53"/>
    <w:rsid w:val="0003317C"/>
    <w:rsid w:val="0003320B"/>
    <w:rsid w:val="0003375B"/>
    <w:rsid w:val="00033836"/>
    <w:rsid w:val="0003388B"/>
    <w:rsid w:val="00033989"/>
    <w:rsid w:val="00033AE9"/>
    <w:rsid w:val="00033B21"/>
    <w:rsid w:val="00033C92"/>
    <w:rsid w:val="00033E41"/>
    <w:rsid w:val="00034084"/>
    <w:rsid w:val="000341D2"/>
    <w:rsid w:val="000341FD"/>
    <w:rsid w:val="00034362"/>
    <w:rsid w:val="0003436F"/>
    <w:rsid w:val="00034483"/>
    <w:rsid w:val="0003456B"/>
    <w:rsid w:val="0003463B"/>
    <w:rsid w:val="0003464C"/>
    <w:rsid w:val="000347E4"/>
    <w:rsid w:val="00034BC5"/>
    <w:rsid w:val="00034D92"/>
    <w:rsid w:val="00035116"/>
    <w:rsid w:val="000351F1"/>
    <w:rsid w:val="00035233"/>
    <w:rsid w:val="00035393"/>
    <w:rsid w:val="00035794"/>
    <w:rsid w:val="000357EF"/>
    <w:rsid w:val="00035823"/>
    <w:rsid w:val="000358FC"/>
    <w:rsid w:val="000359B9"/>
    <w:rsid w:val="00035A90"/>
    <w:rsid w:val="000363B5"/>
    <w:rsid w:val="000363C2"/>
    <w:rsid w:val="00036431"/>
    <w:rsid w:val="0003667A"/>
    <w:rsid w:val="00036BCB"/>
    <w:rsid w:val="00036C73"/>
    <w:rsid w:val="00036D45"/>
    <w:rsid w:val="00036E60"/>
    <w:rsid w:val="00036F89"/>
    <w:rsid w:val="0003701E"/>
    <w:rsid w:val="000370CA"/>
    <w:rsid w:val="000371A0"/>
    <w:rsid w:val="000371D9"/>
    <w:rsid w:val="00037394"/>
    <w:rsid w:val="000375B9"/>
    <w:rsid w:val="00037676"/>
    <w:rsid w:val="000377C3"/>
    <w:rsid w:val="00037806"/>
    <w:rsid w:val="00037921"/>
    <w:rsid w:val="00037941"/>
    <w:rsid w:val="0004026F"/>
    <w:rsid w:val="0004032C"/>
    <w:rsid w:val="000403C1"/>
    <w:rsid w:val="00040408"/>
    <w:rsid w:val="000404CF"/>
    <w:rsid w:val="000408BE"/>
    <w:rsid w:val="000408D8"/>
    <w:rsid w:val="000409CB"/>
    <w:rsid w:val="000409DB"/>
    <w:rsid w:val="00040AF0"/>
    <w:rsid w:val="00040CF3"/>
    <w:rsid w:val="00040D92"/>
    <w:rsid w:val="00040E22"/>
    <w:rsid w:val="00040F1F"/>
    <w:rsid w:val="00040F77"/>
    <w:rsid w:val="00041243"/>
    <w:rsid w:val="00041348"/>
    <w:rsid w:val="000413AB"/>
    <w:rsid w:val="00041453"/>
    <w:rsid w:val="00041573"/>
    <w:rsid w:val="00041670"/>
    <w:rsid w:val="000416AE"/>
    <w:rsid w:val="00041848"/>
    <w:rsid w:val="00041A71"/>
    <w:rsid w:val="00041C88"/>
    <w:rsid w:val="00041DD3"/>
    <w:rsid w:val="00041E86"/>
    <w:rsid w:val="000421CE"/>
    <w:rsid w:val="00042441"/>
    <w:rsid w:val="0004269C"/>
    <w:rsid w:val="00042816"/>
    <w:rsid w:val="000428FE"/>
    <w:rsid w:val="0004291C"/>
    <w:rsid w:val="000429FC"/>
    <w:rsid w:val="00042AC5"/>
    <w:rsid w:val="00042D1F"/>
    <w:rsid w:val="00042EB5"/>
    <w:rsid w:val="0004320F"/>
    <w:rsid w:val="00043409"/>
    <w:rsid w:val="000434A4"/>
    <w:rsid w:val="000434C6"/>
    <w:rsid w:val="000434FF"/>
    <w:rsid w:val="0004354F"/>
    <w:rsid w:val="000436E7"/>
    <w:rsid w:val="0004370A"/>
    <w:rsid w:val="0004384B"/>
    <w:rsid w:val="000439BA"/>
    <w:rsid w:val="00043B78"/>
    <w:rsid w:val="00043BFB"/>
    <w:rsid w:val="00043FC5"/>
    <w:rsid w:val="00044161"/>
    <w:rsid w:val="00044169"/>
    <w:rsid w:val="00044352"/>
    <w:rsid w:val="000444CF"/>
    <w:rsid w:val="00044535"/>
    <w:rsid w:val="00044557"/>
    <w:rsid w:val="00044630"/>
    <w:rsid w:val="0004470C"/>
    <w:rsid w:val="000448AA"/>
    <w:rsid w:val="000448D2"/>
    <w:rsid w:val="00044AA0"/>
    <w:rsid w:val="00044DD9"/>
    <w:rsid w:val="00044F07"/>
    <w:rsid w:val="0004511E"/>
    <w:rsid w:val="000451B6"/>
    <w:rsid w:val="00045295"/>
    <w:rsid w:val="000453CC"/>
    <w:rsid w:val="000454E2"/>
    <w:rsid w:val="0004572D"/>
    <w:rsid w:val="0004587B"/>
    <w:rsid w:val="000458C9"/>
    <w:rsid w:val="000459F0"/>
    <w:rsid w:val="00045CE0"/>
    <w:rsid w:val="00045D63"/>
    <w:rsid w:val="00045E09"/>
    <w:rsid w:val="00045E55"/>
    <w:rsid w:val="00045EC7"/>
    <w:rsid w:val="00045EE4"/>
    <w:rsid w:val="00045F88"/>
    <w:rsid w:val="00045FCE"/>
    <w:rsid w:val="00046043"/>
    <w:rsid w:val="000461E4"/>
    <w:rsid w:val="000466AF"/>
    <w:rsid w:val="00046805"/>
    <w:rsid w:val="000468BE"/>
    <w:rsid w:val="000468CF"/>
    <w:rsid w:val="000468E2"/>
    <w:rsid w:val="00046A46"/>
    <w:rsid w:val="00046E8F"/>
    <w:rsid w:val="000470D2"/>
    <w:rsid w:val="000471BC"/>
    <w:rsid w:val="00047398"/>
    <w:rsid w:val="000473F8"/>
    <w:rsid w:val="0004741B"/>
    <w:rsid w:val="000477F4"/>
    <w:rsid w:val="000478A7"/>
    <w:rsid w:val="000479A4"/>
    <w:rsid w:val="00047A83"/>
    <w:rsid w:val="00047B08"/>
    <w:rsid w:val="00047BA4"/>
    <w:rsid w:val="00047C38"/>
    <w:rsid w:val="00047CF0"/>
    <w:rsid w:val="000504B0"/>
    <w:rsid w:val="0005087A"/>
    <w:rsid w:val="0005088D"/>
    <w:rsid w:val="00050A4D"/>
    <w:rsid w:val="00050BAD"/>
    <w:rsid w:val="00050C03"/>
    <w:rsid w:val="00050DCC"/>
    <w:rsid w:val="00050E27"/>
    <w:rsid w:val="00050E4A"/>
    <w:rsid w:val="00050ED8"/>
    <w:rsid w:val="00051010"/>
    <w:rsid w:val="00051171"/>
    <w:rsid w:val="000513FB"/>
    <w:rsid w:val="00051731"/>
    <w:rsid w:val="000517F0"/>
    <w:rsid w:val="00051917"/>
    <w:rsid w:val="00051AF2"/>
    <w:rsid w:val="00051C41"/>
    <w:rsid w:val="00051CB4"/>
    <w:rsid w:val="00051DBC"/>
    <w:rsid w:val="000523F7"/>
    <w:rsid w:val="00052472"/>
    <w:rsid w:val="00052642"/>
    <w:rsid w:val="000527A2"/>
    <w:rsid w:val="00052808"/>
    <w:rsid w:val="000528A1"/>
    <w:rsid w:val="000528AF"/>
    <w:rsid w:val="00052A23"/>
    <w:rsid w:val="00052B1F"/>
    <w:rsid w:val="00052C95"/>
    <w:rsid w:val="00052D44"/>
    <w:rsid w:val="00052E29"/>
    <w:rsid w:val="00052F17"/>
    <w:rsid w:val="00052F73"/>
    <w:rsid w:val="00053018"/>
    <w:rsid w:val="00053049"/>
    <w:rsid w:val="000530C7"/>
    <w:rsid w:val="00053104"/>
    <w:rsid w:val="0005329B"/>
    <w:rsid w:val="000533BD"/>
    <w:rsid w:val="000533D4"/>
    <w:rsid w:val="000534C5"/>
    <w:rsid w:val="000534EA"/>
    <w:rsid w:val="000534EE"/>
    <w:rsid w:val="00053516"/>
    <w:rsid w:val="00053561"/>
    <w:rsid w:val="0005362A"/>
    <w:rsid w:val="000537C3"/>
    <w:rsid w:val="00053904"/>
    <w:rsid w:val="00053922"/>
    <w:rsid w:val="00053995"/>
    <w:rsid w:val="00053A81"/>
    <w:rsid w:val="00053BCF"/>
    <w:rsid w:val="000541B2"/>
    <w:rsid w:val="0005420D"/>
    <w:rsid w:val="0005436C"/>
    <w:rsid w:val="0005442A"/>
    <w:rsid w:val="00054557"/>
    <w:rsid w:val="000546B5"/>
    <w:rsid w:val="0005488B"/>
    <w:rsid w:val="000548C1"/>
    <w:rsid w:val="00054939"/>
    <w:rsid w:val="00054A14"/>
    <w:rsid w:val="00054AB8"/>
    <w:rsid w:val="00054C43"/>
    <w:rsid w:val="00054CEC"/>
    <w:rsid w:val="00054F04"/>
    <w:rsid w:val="00054FAF"/>
    <w:rsid w:val="00055131"/>
    <w:rsid w:val="000551B4"/>
    <w:rsid w:val="000551C6"/>
    <w:rsid w:val="000553C6"/>
    <w:rsid w:val="000553E3"/>
    <w:rsid w:val="0005542B"/>
    <w:rsid w:val="000554DA"/>
    <w:rsid w:val="0005570A"/>
    <w:rsid w:val="0005576D"/>
    <w:rsid w:val="000558E0"/>
    <w:rsid w:val="00055969"/>
    <w:rsid w:val="00055B3F"/>
    <w:rsid w:val="000560AC"/>
    <w:rsid w:val="000560E8"/>
    <w:rsid w:val="00056119"/>
    <w:rsid w:val="0005616C"/>
    <w:rsid w:val="000561B6"/>
    <w:rsid w:val="00056266"/>
    <w:rsid w:val="00056363"/>
    <w:rsid w:val="000563C9"/>
    <w:rsid w:val="000564E5"/>
    <w:rsid w:val="00056576"/>
    <w:rsid w:val="0005679E"/>
    <w:rsid w:val="00056B3C"/>
    <w:rsid w:val="00056D0C"/>
    <w:rsid w:val="00056D5E"/>
    <w:rsid w:val="00056D7B"/>
    <w:rsid w:val="00056FE0"/>
    <w:rsid w:val="00057225"/>
    <w:rsid w:val="00057306"/>
    <w:rsid w:val="00057363"/>
    <w:rsid w:val="000574C0"/>
    <w:rsid w:val="000575ED"/>
    <w:rsid w:val="0005768D"/>
    <w:rsid w:val="000578ED"/>
    <w:rsid w:val="0005792A"/>
    <w:rsid w:val="00057B86"/>
    <w:rsid w:val="00057C5E"/>
    <w:rsid w:val="00057C6D"/>
    <w:rsid w:val="00057D0B"/>
    <w:rsid w:val="00057EA8"/>
    <w:rsid w:val="00057EC0"/>
    <w:rsid w:val="000600DD"/>
    <w:rsid w:val="00060154"/>
    <w:rsid w:val="00060211"/>
    <w:rsid w:val="000603C4"/>
    <w:rsid w:val="000603DC"/>
    <w:rsid w:val="000603E9"/>
    <w:rsid w:val="000604FC"/>
    <w:rsid w:val="00060543"/>
    <w:rsid w:val="00060734"/>
    <w:rsid w:val="000607C1"/>
    <w:rsid w:val="0006088D"/>
    <w:rsid w:val="000608EC"/>
    <w:rsid w:val="00060966"/>
    <w:rsid w:val="00060AB7"/>
    <w:rsid w:val="00060B44"/>
    <w:rsid w:val="00060C37"/>
    <w:rsid w:val="00060C89"/>
    <w:rsid w:val="00060C8F"/>
    <w:rsid w:val="00060DCF"/>
    <w:rsid w:val="00060F76"/>
    <w:rsid w:val="00060F98"/>
    <w:rsid w:val="0006105E"/>
    <w:rsid w:val="000610DA"/>
    <w:rsid w:val="00061131"/>
    <w:rsid w:val="000611B7"/>
    <w:rsid w:val="000612AE"/>
    <w:rsid w:val="00061430"/>
    <w:rsid w:val="00061457"/>
    <w:rsid w:val="00061520"/>
    <w:rsid w:val="00061649"/>
    <w:rsid w:val="00061766"/>
    <w:rsid w:val="00061838"/>
    <w:rsid w:val="000618A1"/>
    <w:rsid w:val="000618A6"/>
    <w:rsid w:val="00061A3C"/>
    <w:rsid w:val="00061B76"/>
    <w:rsid w:val="00061B82"/>
    <w:rsid w:val="00061BB0"/>
    <w:rsid w:val="00061E1A"/>
    <w:rsid w:val="00061E41"/>
    <w:rsid w:val="00061EFB"/>
    <w:rsid w:val="00061FDB"/>
    <w:rsid w:val="00062004"/>
    <w:rsid w:val="000620CD"/>
    <w:rsid w:val="00062152"/>
    <w:rsid w:val="0006216A"/>
    <w:rsid w:val="00062246"/>
    <w:rsid w:val="000622BA"/>
    <w:rsid w:val="00062451"/>
    <w:rsid w:val="00062499"/>
    <w:rsid w:val="0006252D"/>
    <w:rsid w:val="0006268E"/>
    <w:rsid w:val="0006290B"/>
    <w:rsid w:val="00062A16"/>
    <w:rsid w:val="00062A25"/>
    <w:rsid w:val="00062B7B"/>
    <w:rsid w:val="00062C58"/>
    <w:rsid w:val="00062C8F"/>
    <w:rsid w:val="00062CD3"/>
    <w:rsid w:val="00062D68"/>
    <w:rsid w:val="0006308E"/>
    <w:rsid w:val="00063113"/>
    <w:rsid w:val="000632AB"/>
    <w:rsid w:val="0006334C"/>
    <w:rsid w:val="000634E3"/>
    <w:rsid w:val="000635CE"/>
    <w:rsid w:val="000639E3"/>
    <w:rsid w:val="000639ED"/>
    <w:rsid w:val="00063A6A"/>
    <w:rsid w:val="00063B27"/>
    <w:rsid w:val="00063BBD"/>
    <w:rsid w:val="00063DEC"/>
    <w:rsid w:val="00063F39"/>
    <w:rsid w:val="000640DC"/>
    <w:rsid w:val="00064121"/>
    <w:rsid w:val="0006418A"/>
    <w:rsid w:val="0006434D"/>
    <w:rsid w:val="00064401"/>
    <w:rsid w:val="00064586"/>
    <w:rsid w:val="0006462A"/>
    <w:rsid w:val="00064776"/>
    <w:rsid w:val="0006488B"/>
    <w:rsid w:val="00064965"/>
    <w:rsid w:val="00064B04"/>
    <w:rsid w:val="00064B5B"/>
    <w:rsid w:val="00064BE3"/>
    <w:rsid w:val="00064CD6"/>
    <w:rsid w:val="00064D66"/>
    <w:rsid w:val="00064D73"/>
    <w:rsid w:val="000652B0"/>
    <w:rsid w:val="000653A0"/>
    <w:rsid w:val="0006544E"/>
    <w:rsid w:val="00065623"/>
    <w:rsid w:val="0006567C"/>
    <w:rsid w:val="0006567F"/>
    <w:rsid w:val="0006571F"/>
    <w:rsid w:val="000659E7"/>
    <w:rsid w:val="00065AEA"/>
    <w:rsid w:val="00065C2B"/>
    <w:rsid w:val="00065C30"/>
    <w:rsid w:val="00065D27"/>
    <w:rsid w:val="00065DB0"/>
    <w:rsid w:val="00065EA8"/>
    <w:rsid w:val="00065F21"/>
    <w:rsid w:val="00065F23"/>
    <w:rsid w:val="00066093"/>
    <w:rsid w:val="00066425"/>
    <w:rsid w:val="000665B2"/>
    <w:rsid w:val="00066608"/>
    <w:rsid w:val="00066791"/>
    <w:rsid w:val="00066874"/>
    <w:rsid w:val="000669D2"/>
    <w:rsid w:val="00066BA0"/>
    <w:rsid w:val="00066BB3"/>
    <w:rsid w:val="00066BF6"/>
    <w:rsid w:val="00066FDE"/>
    <w:rsid w:val="0006714E"/>
    <w:rsid w:val="00067187"/>
    <w:rsid w:val="0006721F"/>
    <w:rsid w:val="000672A9"/>
    <w:rsid w:val="000672E6"/>
    <w:rsid w:val="00067362"/>
    <w:rsid w:val="0006737E"/>
    <w:rsid w:val="00067418"/>
    <w:rsid w:val="00067491"/>
    <w:rsid w:val="0006750A"/>
    <w:rsid w:val="0006769E"/>
    <w:rsid w:val="000677F8"/>
    <w:rsid w:val="00067A85"/>
    <w:rsid w:val="00067ABA"/>
    <w:rsid w:val="00067ACB"/>
    <w:rsid w:val="00067B5F"/>
    <w:rsid w:val="00067B78"/>
    <w:rsid w:val="00067DEC"/>
    <w:rsid w:val="00067EA4"/>
    <w:rsid w:val="00067F4D"/>
    <w:rsid w:val="00070146"/>
    <w:rsid w:val="000701EF"/>
    <w:rsid w:val="0007027E"/>
    <w:rsid w:val="000703AD"/>
    <w:rsid w:val="000704BD"/>
    <w:rsid w:val="000705F5"/>
    <w:rsid w:val="000706F6"/>
    <w:rsid w:val="0007076F"/>
    <w:rsid w:val="00070902"/>
    <w:rsid w:val="00070A50"/>
    <w:rsid w:val="00070BEF"/>
    <w:rsid w:val="00070D23"/>
    <w:rsid w:val="00070E94"/>
    <w:rsid w:val="00070F95"/>
    <w:rsid w:val="0007103A"/>
    <w:rsid w:val="0007106C"/>
    <w:rsid w:val="00071154"/>
    <w:rsid w:val="000711EE"/>
    <w:rsid w:val="00071249"/>
    <w:rsid w:val="00071316"/>
    <w:rsid w:val="000713A2"/>
    <w:rsid w:val="000713D5"/>
    <w:rsid w:val="000713DD"/>
    <w:rsid w:val="000713FE"/>
    <w:rsid w:val="0007146C"/>
    <w:rsid w:val="000715B1"/>
    <w:rsid w:val="000716BE"/>
    <w:rsid w:val="000718A1"/>
    <w:rsid w:val="00071961"/>
    <w:rsid w:val="00071AA2"/>
    <w:rsid w:val="00071DD8"/>
    <w:rsid w:val="00072113"/>
    <w:rsid w:val="0007217B"/>
    <w:rsid w:val="00072397"/>
    <w:rsid w:val="000725AE"/>
    <w:rsid w:val="00072655"/>
    <w:rsid w:val="00072732"/>
    <w:rsid w:val="0007274D"/>
    <w:rsid w:val="00072791"/>
    <w:rsid w:val="000727DC"/>
    <w:rsid w:val="0007290F"/>
    <w:rsid w:val="000729D2"/>
    <w:rsid w:val="00072A76"/>
    <w:rsid w:val="00072BDD"/>
    <w:rsid w:val="00072D6A"/>
    <w:rsid w:val="00073127"/>
    <w:rsid w:val="00073664"/>
    <w:rsid w:val="000736C5"/>
    <w:rsid w:val="0007387D"/>
    <w:rsid w:val="000738E5"/>
    <w:rsid w:val="0007391E"/>
    <w:rsid w:val="00073A61"/>
    <w:rsid w:val="00073B5C"/>
    <w:rsid w:val="00073CF5"/>
    <w:rsid w:val="00073E11"/>
    <w:rsid w:val="00073F4B"/>
    <w:rsid w:val="00074043"/>
    <w:rsid w:val="00074099"/>
    <w:rsid w:val="000740CC"/>
    <w:rsid w:val="000741FB"/>
    <w:rsid w:val="00074201"/>
    <w:rsid w:val="000743D5"/>
    <w:rsid w:val="00074D39"/>
    <w:rsid w:val="00074D3D"/>
    <w:rsid w:val="00074EB2"/>
    <w:rsid w:val="00074EFF"/>
    <w:rsid w:val="000751F2"/>
    <w:rsid w:val="0007526A"/>
    <w:rsid w:val="000752F2"/>
    <w:rsid w:val="000752F9"/>
    <w:rsid w:val="0007594D"/>
    <w:rsid w:val="00075A56"/>
    <w:rsid w:val="00075B70"/>
    <w:rsid w:val="00075BC3"/>
    <w:rsid w:val="00075BF3"/>
    <w:rsid w:val="00075CBB"/>
    <w:rsid w:val="00075F3D"/>
    <w:rsid w:val="00075F49"/>
    <w:rsid w:val="00075F67"/>
    <w:rsid w:val="00075FAF"/>
    <w:rsid w:val="000762F1"/>
    <w:rsid w:val="00076491"/>
    <w:rsid w:val="00076506"/>
    <w:rsid w:val="00076581"/>
    <w:rsid w:val="0007660A"/>
    <w:rsid w:val="0007677B"/>
    <w:rsid w:val="00076BD5"/>
    <w:rsid w:val="00076DBF"/>
    <w:rsid w:val="00076E00"/>
    <w:rsid w:val="00076E11"/>
    <w:rsid w:val="00076E80"/>
    <w:rsid w:val="00077027"/>
    <w:rsid w:val="000770A2"/>
    <w:rsid w:val="000770A9"/>
    <w:rsid w:val="0007729C"/>
    <w:rsid w:val="000772C6"/>
    <w:rsid w:val="000773BA"/>
    <w:rsid w:val="000774EA"/>
    <w:rsid w:val="00077571"/>
    <w:rsid w:val="000778B5"/>
    <w:rsid w:val="000778C2"/>
    <w:rsid w:val="0007796E"/>
    <w:rsid w:val="00077BAC"/>
    <w:rsid w:val="00077C1B"/>
    <w:rsid w:val="00077D7B"/>
    <w:rsid w:val="00077E72"/>
    <w:rsid w:val="00077EDC"/>
    <w:rsid w:val="0008002F"/>
    <w:rsid w:val="0008016D"/>
    <w:rsid w:val="00080318"/>
    <w:rsid w:val="000805E6"/>
    <w:rsid w:val="00080652"/>
    <w:rsid w:val="00080768"/>
    <w:rsid w:val="000807A4"/>
    <w:rsid w:val="00080887"/>
    <w:rsid w:val="0008095C"/>
    <w:rsid w:val="000809B1"/>
    <w:rsid w:val="00080B81"/>
    <w:rsid w:val="00080CB2"/>
    <w:rsid w:val="00080CD7"/>
    <w:rsid w:val="00080D69"/>
    <w:rsid w:val="00080E7C"/>
    <w:rsid w:val="00080E7F"/>
    <w:rsid w:val="00080EC4"/>
    <w:rsid w:val="00080EFB"/>
    <w:rsid w:val="0008113D"/>
    <w:rsid w:val="000812DC"/>
    <w:rsid w:val="00081364"/>
    <w:rsid w:val="0008159B"/>
    <w:rsid w:val="0008185A"/>
    <w:rsid w:val="00081B19"/>
    <w:rsid w:val="00081CD5"/>
    <w:rsid w:val="00081D24"/>
    <w:rsid w:val="00081F64"/>
    <w:rsid w:val="0008204E"/>
    <w:rsid w:val="00082177"/>
    <w:rsid w:val="000823A8"/>
    <w:rsid w:val="0008265E"/>
    <w:rsid w:val="00082691"/>
    <w:rsid w:val="000826B2"/>
    <w:rsid w:val="00082880"/>
    <w:rsid w:val="00082C4A"/>
    <w:rsid w:val="00082F08"/>
    <w:rsid w:val="00082F9C"/>
    <w:rsid w:val="00083213"/>
    <w:rsid w:val="000832FA"/>
    <w:rsid w:val="000833B4"/>
    <w:rsid w:val="0008341D"/>
    <w:rsid w:val="000835B1"/>
    <w:rsid w:val="00083735"/>
    <w:rsid w:val="0008386D"/>
    <w:rsid w:val="00083B86"/>
    <w:rsid w:val="00083C55"/>
    <w:rsid w:val="00083CE2"/>
    <w:rsid w:val="00083CE4"/>
    <w:rsid w:val="00083F7F"/>
    <w:rsid w:val="00083FAE"/>
    <w:rsid w:val="000843EE"/>
    <w:rsid w:val="00084418"/>
    <w:rsid w:val="000845E6"/>
    <w:rsid w:val="0008474A"/>
    <w:rsid w:val="00084C5D"/>
    <w:rsid w:val="00084C74"/>
    <w:rsid w:val="00084D51"/>
    <w:rsid w:val="00084E2C"/>
    <w:rsid w:val="00084F31"/>
    <w:rsid w:val="000850AC"/>
    <w:rsid w:val="0008515E"/>
    <w:rsid w:val="00085324"/>
    <w:rsid w:val="00085594"/>
    <w:rsid w:val="00085620"/>
    <w:rsid w:val="0008581B"/>
    <w:rsid w:val="00085EA5"/>
    <w:rsid w:val="00085F60"/>
    <w:rsid w:val="00085F63"/>
    <w:rsid w:val="00085FEE"/>
    <w:rsid w:val="0008601E"/>
    <w:rsid w:val="000860B0"/>
    <w:rsid w:val="0008638F"/>
    <w:rsid w:val="0008644B"/>
    <w:rsid w:val="000865CF"/>
    <w:rsid w:val="00086746"/>
    <w:rsid w:val="00086758"/>
    <w:rsid w:val="0008691A"/>
    <w:rsid w:val="00086A22"/>
    <w:rsid w:val="00086A44"/>
    <w:rsid w:val="00086C7A"/>
    <w:rsid w:val="00086E04"/>
    <w:rsid w:val="00086E22"/>
    <w:rsid w:val="00086FF0"/>
    <w:rsid w:val="00087108"/>
    <w:rsid w:val="000871EC"/>
    <w:rsid w:val="000872CE"/>
    <w:rsid w:val="000873A5"/>
    <w:rsid w:val="0008744F"/>
    <w:rsid w:val="000874B7"/>
    <w:rsid w:val="000874E5"/>
    <w:rsid w:val="00087643"/>
    <w:rsid w:val="00087769"/>
    <w:rsid w:val="00087900"/>
    <w:rsid w:val="00087ADC"/>
    <w:rsid w:val="00087BE6"/>
    <w:rsid w:val="00087E3B"/>
    <w:rsid w:val="00087ECF"/>
    <w:rsid w:val="00087F99"/>
    <w:rsid w:val="0009009E"/>
    <w:rsid w:val="00090140"/>
    <w:rsid w:val="000908EA"/>
    <w:rsid w:val="00090990"/>
    <w:rsid w:val="00090AC7"/>
    <w:rsid w:val="00090C91"/>
    <w:rsid w:val="00090DDF"/>
    <w:rsid w:val="00090F27"/>
    <w:rsid w:val="00091399"/>
    <w:rsid w:val="000916D2"/>
    <w:rsid w:val="0009189A"/>
    <w:rsid w:val="00091B64"/>
    <w:rsid w:val="00091CA9"/>
    <w:rsid w:val="00091D96"/>
    <w:rsid w:val="00091DE5"/>
    <w:rsid w:val="00091F0A"/>
    <w:rsid w:val="00091F6E"/>
    <w:rsid w:val="00091FCD"/>
    <w:rsid w:val="0009205A"/>
    <w:rsid w:val="000920EC"/>
    <w:rsid w:val="0009214C"/>
    <w:rsid w:val="00092261"/>
    <w:rsid w:val="00092584"/>
    <w:rsid w:val="000926C2"/>
    <w:rsid w:val="00092801"/>
    <w:rsid w:val="000928C4"/>
    <w:rsid w:val="00092A1E"/>
    <w:rsid w:val="00092ABA"/>
    <w:rsid w:val="000930C4"/>
    <w:rsid w:val="0009320C"/>
    <w:rsid w:val="0009328F"/>
    <w:rsid w:val="000933F4"/>
    <w:rsid w:val="00093482"/>
    <w:rsid w:val="0009375B"/>
    <w:rsid w:val="00093B2B"/>
    <w:rsid w:val="00093B81"/>
    <w:rsid w:val="00093D49"/>
    <w:rsid w:val="00093EBA"/>
    <w:rsid w:val="000940EE"/>
    <w:rsid w:val="00094155"/>
    <w:rsid w:val="0009415C"/>
    <w:rsid w:val="0009417E"/>
    <w:rsid w:val="000941BB"/>
    <w:rsid w:val="0009427D"/>
    <w:rsid w:val="00094377"/>
    <w:rsid w:val="00094451"/>
    <w:rsid w:val="0009457F"/>
    <w:rsid w:val="000945FB"/>
    <w:rsid w:val="00094820"/>
    <w:rsid w:val="00094BCA"/>
    <w:rsid w:val="00094CB6"/>
    <w:rsid w:val="00094D0B"/>
    <w:rsid w:val="00094E02"/>
    <w:rsid w:val="00094E4D"/>
    <w:rsid w:val="0009507D"/>
    <w:rsid w:val="00095197"/>
    <w:rsid w:val="0009538D"/>
    <w:rsid w:val="0009541C"/>
    <w:rsid w:val="00095435"/>
    <w:rsid w:val="000954B3"/>
    <w:rsid w:val="000954F7"/>
    <w:rsid w:val="00095A9E"/>
    <w:rsid w:val="00095B7F"/>
    <w:rsid w:val="00095C1F"/>
    <w:rsid w:val="00095C37"/>
    <w:rsid w:val="00095D20"/>
    <w:rsid w:val="00095EC9"/>
    <w:rsid w:val="00095F14"/>
    <w:rsid w:val="0009606D"/>
    <w:rsid w:val="00096076"/>
    <w:rsid w:val="000962D2"/>
    <w:rsid w:val="000964CC"/>
    <w:rsid w:val="0009657C"/>
    <w:rsid w:val="00096779"/>
    <w:rsid w:val="00096989"/>
    <w:rsid w:val="0009698F"/>
    <w:rsid w:val="00096B4A"/>
    <w:rsid w:val="00096E48"/>
    <w:rsid w:val="000971A7"/>
    <w:rsid w:val="00097389"/>
    <w:rsid w:val="0009770B"/>
    <w:rsid w:val="000977B2"/>
    <w:rsid w:val="000979FA"/>
    <w:rsid w:val="00097B04"/>
    <w:rsid w:val="00097BD5"/>
    <w:rsid w:val="00097C07"/>
    <w:rsid w:val="00097C74"/>
    <w:rsid w:val="00097C91"/>
    <w:rsid w:val="00097CF8"/>
    <w:rsid w:val="00097E09"/>
    <w:rsid w:val="000A015D"/>
    <w:rsid w:val="000A01F0"/>
    <w:rsid w:val="000A0441"/>
    <w:rsid w:val="000A0609"/>
    <w:rsid w:val="000A0642"/>
    <w:rsid w:val="000A06DF"/>
    <w:rsid w:val="000A06E9"/>
    <w:rsid w:val="000A0710"/>
    <w:rsid w:val="000A07B7"/>
    <w:rsid w:val="000A09E4"/>
    <w:rsid w:val="000A0CD9"/>
    <w:rsid w:val="000A0D22"/>
    <w:rsid w:val="000A0DA2"/>
    <w:rsid w:val="000A0F1A"/>
    <w:rsid w:val="000A1040"/>
    <w:rsid w:val="000A10FE"/>
    <w:rsid w:val="000A1338"/>
    <w:rsid w:val="000A1374"/>
    <w:rsid w:val="000A1652"/>
    <w:rsid w:val="000A17C8"/>
    <w:rsid w:val="000A186F"/>
    <w:rsid w:val="000A18E8"/>
    <w:rsid w:val="000A18E9"/>
    <w:rsid w:val="000A1A32"/>
    <w:rsid w:val="000A1AA6"/>
    <w:rsid w:val="000A1AC7"/>
    <w:rsid w:val="000A1B56"/>
    <w:rsid w:val="000A1BF9"/>
    <w:rsid w:val="000A1F5B"/>
    <w:rsid w:val="000A2056"/>
    <w:rsid w:val="000A2096"/>
    <w:rsid w:val="000A2348"/>
    <w:rsid w:val="000A24AF"/>
    <w:rsid w:val="000A24D7"/>
    <w:rsid w:val="000A2562"/>
    <w:rsid w:val="000A25AC"/>
    <w:rsid w:val="000A2784"/>
    <w:rsid w:val="000A2888"/>
    <w:rsid w:val="000A2A27"/>
    <w:rsid w:val="000A2A38"/>
    <w:rsid w:val="000A2A85"/>
    <w:rsid w:val="000A2D3A"/>
    <w:rsid w:val="000A30EB"/>
    <w:rsid w:val="000A319A"/>
    <w:rsid w:val="000A32A7"/>
    <w:rsid w:val="000A33B4"/>
    <w:rsid w:val="000A3613"/>
    <w:rsid w:val="000A36B7"/>
    <w:rsid w:val="000A3966"/>
    <w:rsid w:val="000A3A16"/>
    <w:rsid w:val="000A3A95"/>
    <w:rsid w:val="000A3AE1"/>
    <w:rsid w:val="000A3B01"/>
    <w:rsid w:val="000A3C28"/>
    <w:rsid w:val="000A3C5D"/>
    <w:rsid w:val="000A3CD8"/>
    <w:rsid w:val="000A3E5F"/>
    <w:rsid w:val="000A419D"/>
    <w:rsid w:val="000A4351"/>
    <w:rsid w:val="000A456C"/>
    <w:rsid w:val="000A4574"/>
    <w:rsid w:val="000A462D"/>
    <w:rsid w:val="000A47A1"/>
    <w:rsid w:val="000A48EA"/>
    <w:rsid w:val="000A490D"/>
    <w:rsid w:val="000A49E4"/>
    <w:rsid w:val="000A4A51"/>
    <w:rsid w:val="000A4C05"/>
    <w:rsid w:val="000A4E9D"/>
    <w:rsid w:val="000A4EDC"/>
    <w:rsid w:val="000A51A8"/>
    <w:rsid w:val="000A52A1"/>
    <w:rsid w:val="000A53B7"/>
    <w:rsid w:val="000A5407"/>
    <w:rsid w:val="000A542A"/>
    <w:rsid w:val="000A54EF"/>
    <w:rsid w:val="000A566C"/>
    <w:rsid w:val="000A5679"/>
    <w:rsid w:val="000A5765"/>
    <w:rsid w:val="000A5788"/>
    <w:rsid w:val="000A5909"/>
    <w:rsid w:val="000A595E"/>
    <w:rsid w:val="000A5BA1"/>
    <w:rsid w:val="000A5C4D"/>
    <w:rsid w:val="000A5F95"/>
    <w:rsid w:val="000A5FC2"/>
    <w:rsid w:val="000A5FD2"/>
    <w:rsid w:val="000A617E"/>
    <w:rsid w:val="000A6453"/>
    <w:rsid w:val="000A656B"/>
    <w:rsid w:val="000A656E"/>
    <w:rsid w:val="000A657C"/>
    <w:rsid w:val="000A6580"/>
    <w:rsid w:val="000A65C3"/>
    <w:rsid w:val="000A6879"/>
    <w:rsid w:val="000A68B5"/>
    <w:rsid w:val="000A6AF8"/>
    <w:rsid w:val="000A6B16"/>
    <w:rsid w:val="000A6BF1"/>
    <w:rsid w:val="000A6E43"/>
    <w:rsid w:val="000A6F5D"/>
    <w:rsid w:val="000A7234"/>
    <w:rsid w:val="000A765B"/>
    <w:rsid w:val="000A76E4"/>
    <w:rsid w:val="000A78C5"/>
    <w:rsid w:val="000A7A3B"/>
    <w:rsid w:val="000A7DB2"/>
    <w:rsid w:val="000A7EAA"/>
    <w:rsid w:val="000B0101"/>
    <w:rsid w:val="000B018C"/>
    <w:rsid w:val="000B0218"/>
    <w:rsid w:val="000B047A"/>
    <w:rsid w:val="000B05F2"/>
    <w:rsid w:val="000B091A"/>
    <w:rsid w:val="000B09B6"/>
    <w:rsid w:val="000B09F4"/>
    <w:rsid w:val="000B0A93"/>
    <w:rsid w:val="000B0C63"/>
    <w:rsid w:val="000B105C"/>
    <w:rsid w:val="000B1162"/>
    <w:rsid w:val="000B11D3"/>
    <w:rsid w:val="000B15EF"/>
    <w:rsid w:val="000B16A0"/>
    <w:rsid w:val="000B1713"/>
    <w:rsid w:val="000B1721"/>
    <w:rsid w:val="000B1838"/>
    <w:rsid w:val="000B1897"/>
    <w:rsid w:val="000B1B30"/>
    <w:rsid w:val="000B1D8B"/>
    <w:rsid w:val="000B205F"/>
    <w:rsid w:val="000B2073"/>
    <w:rsid w:val="000B23D9"/>
    <w:rsid w:val="000B26AC"/>
    <w:rsid w:val="000B2776"/>
    <w:rsid w:val="000B2A03"/>
    <w:rsid w:val="000B2AE0"/>
    <w:rsid w:val="000B2B5D"/>
    <w:rsid w:val="000B2CF9"/>
    <w:rsid w:val="000B2DCF"/>
    <w:rsid w:val="000B373C"/>
    <w:rsid w:val="000B37FD"/>
    <w:rsid w:val="000B3B02"/>
    <w:rsid w:val="000B3B80"/>
    <w:rsid w:val="000B3C38"/>
    <w:rsid w:val="000B3CDF"/>
    <w:rsid w:val="000B3D30"/>
    <w:rsid w:val="000B3D64"/>
    <w:rsid w:val="000B3E99"/>
    <w:rsid w:val="000B3FAE"/>
    <w:rsid w:val="000B3FD5"/>
    <w:rsid w:val="000B411F"/>
    <w:rsid w:val="000B41FA"/>
    <w:rsid w:val="000B4386"/>
    <w:rsid w:val="000B43A2"/>
    <w:rsid w:val="000B4496"/>
    <w:rsid w:val="000B477F"/>
    <w:rsid w:val="000B4793"/>
    <w:rsid w:val="000B484F"/>
    <w:rsid w:val="000B4884"/>
    <w:rsid w:val="000B4949"/>
    <w:rsid w:val="000B49FF"/>
    <w:rsid w:val="000B4BBD"/>
    <w:rsid w:val="000B4C92"/>
    <w:rsid w:val="000B4D1C"/>
    <w:rsid w:val="000B4DD7"/>
    <w:rsid w:val="000B4E64"/>
    <w:rsid w:val="000B5033"/>
    <w:rsid w:val="000B512C"/>
    <w:rsid w:val="000B517E"/>
    <w:rsid w:val="000B5219"/>
    <w:rsid w:val="000B5280"/>
    <w:rsid w:val="000B52DF"/>
    <w:rsid w:val="000B5583"/>
    <w:rsid w:val="000B5621"/>
    <w:rsid w:val="000B591F"/>
    <w:rsid w:val="000B59D5"/>
    <w:rsid w:val="000B5A0C"/>
    <w:rsid w:val="000B5A72"/>
    <w:rsid w:val="000B5B21"/>
    <w:rsid w:val="000B5B6D"/>
    <w:rsid w:val="000B5BA7"/>
    <w:rsid w:val="000B5E9B"/>
    <w:rsid w:val="000B5EB9"/>
    <w:rsid w:val="000B5ECF"/>
    <w:rsid w:val="000B6156"/>
    <w:rsid w:val="000B6173"/>
    <w:rsid w:val="000B6234"/>
    <w:rsid w:val="000B64E9"/>
    <w:rsid w:val="000B6545"/>
    <w:rsid w:val="000B6582"/>
    <w:rsid w:val="000B6761"/>
    <w:rsid w:val="000B68C4"/>
    <w:rsid w:val="000B68CF"/>
    <w:rsid w:val="000B69A8"/>
    <w:rsid w:val="000B6A1F"/>
    <w:rsid w:val="000B6D25"/>
    <w:rsid w:val="000B6ED7"/>
    <w:rsid w:val="000B6FA1"/>
    <w:rsid w:val="000B70E6"/>
    <w:rsid w:val="000B70F9"/>
    <w:rsid w:val="000B71D3"/>
    <w:rsid w:val="000B7246"/>
    <w:rsid w:val="000B755E"/>
    <w:rsid w:val="000B758C"/>
    <w:rsid w:val="000B7678"/>
    <w:rsid w:val="000B776D"/>
    <w:rsid w:val="000B777F"/>
    <w:rsid w:val="000B79AD"/>
    <w:rsid w:val="000B7C07"/>
    <w:rsid w:val="000B7FD5"/>
    <w:rsid w:val="000C0052"/>
    <w:rsid w:val="000C00A6"/>
    <w:rsid w:val="000C0210"/>
    <w:rsid w:val="000C0237"/>
    <w:rsid w:val="000C0314"/>
    <w:rsid w:val="000C0322"/>
    <w:rsid w:val="000C0340"/>
    <w:rsid w:val="000C04DE"/>
    <w:rsid w:val="000C0615"/>
    <w:rsid w:val="000C0631"/>
    <w:rsid w:val="000C06A5"/>
    <w:rsid w:val="000C0866"/>
    <w:rsid w:val="000C0958"/>
    <w:rsid w:val="000C097F"/>
    <w:rsid w:val="000C0A35"/>
    <w:rsid w:val="000C0BE7"/>
    <w:rsid w:val="000C0F00"/>
    <w:rsid w:val="000C10E8"/>
    <w:rsid w:val="000C10F7"/>
    <w:rsid w:val="000C183E"/>
    <w:rsid w:val="000C191B"/>
    <w:rsid w:val="000C19D0"/>
    <w:rsid w:val="000C1A1F"/>
    <w:rsid w:val="000C1AA5"/>
    <w:rsid w:val="000C1BA8"/>
    <w:rsid w:val="000C1C7A"/>
    <w:rsid w:val="000C1DD0"/>
    <w:rsid w:val="000C1DD5"/>
    <w:rsid w:val="000C1FCF"/>
    <w:rsid w:val="000C1FD8"/>
    <w:rsid w:val="000C2163"/>
    <w:rsid w:val="000C21B1"/>
    <w:rsid w:val="000C2254"/>
    <w:rsid w:val="000C24C3"/>
    <w:rsid w:val="000C2589"/>
    <w:rsid w:val="000C2705"/>
    <w:rsid w:val="000C27F6"/>
    <w:rsid w:val="000C285D"/>
    <w:rsid w:val="000C293C"/>
    <w:rsid w:val="000C333A"/>
    <w:rsid w:val="000C3351"/>
    <w:rsid w:val="000C3477"/>
    <w:rsid w:val="000C3614"/>
    <w:rsid w:val="000C363E"/>
    <w:rsid w:val="000C37D5"/>
    <w:rsid w:val="000C3A61"/>
    <w:rsid w:val="000C3BD0"/>
    <w:rsid w:val="000C3BEB"/>
    <w:rsid w:val="000C3DED"/>
    <w:rsid w:val="000C4138"/>
    <w:rsid w:val="000C4221"/>
    <w:rsid w:val="000C435A"/>
    <w:rsid w:val="000C43AC"/>
    <w:rsid w:val="000C43E0"/>
    <w:rsid w:val="000C441A"/>
    <w:rsid w:val="000C4474"/>
    <w:rsid w:val="000C46FB"/>
    <w:rsid w:val="000C4760"/>
    <w:rsid w:val="000C4A3B"/>
    <w:rsid w:val="000C4A5A"/>
    <w:rsid w:val="000C4A82"/>
    <w:rsid w:val="000C4C3D"/>
    <w:rsid w:val="000C4D06"/>
    <w:rsid w:val="000C4D2C"/>
    <w:rsid w:val="000C4E83"/>
    <w:rsid w:val="000C4F5A"/>
    <w:rsid w:val="000C4F84"/>
    <w:rsid w:val="000C4FC3"/>
    <w:rsid w:val="000C4FEF"/>
    <w:rsid w:val="000C5012"/>
    <w:rsid w:val="000C509D"/>
    <w:rsid w:val="000C51CC"/>
    <w:rsid w:val="000C5386"/>
    <w:rsid w:val="000C53C1"/>
    <w:rsid w:val="000C5446"/>
    <w:rsid w:val="000C544B"/>
    <w:rsid w:val="000C550E"/>
    <w:rsid w:val="000C5557"/>
    <w:rsid w:val="000C57F5"/>
    <w:rsid w:val="000C59B6"/>
    <w:rsid w:val="000C5AE3"/>
    <w:rsid w:val="000C5DE8"/>
    <w:rsid w:val="000C5DFB"/>
    <w:rsid w:val="000C5E93"/>
    <w:rsid w:val="000C5EA4"/>
    <w:rsid w:val="000C60DE"/>
    <w:rsid w:val="000C6167"/>
    <w:rsid w:val="000C61FE"/>
    <w:rsid w:val="000C632D"/>
    <w:rsid w:val="000C68C9"/>
    <w:rsid w:val="000C6CB3"/>
    <w:rsid w:val="000C6CCB"/>
    <w:rsid w:val="000C7208"/>
    <w:rsid w:val="000C721C"/>
    <w:rsid w:val="000C7446"/>
    <w:rsid w:val="000C7549"/>
    <w:rsid w:val="000C7711"/>
    <w:rsid w:val="000C78AD"/>
    <w:rsid w:val="000C7BF9"/>
    <w:rsid w:val="000C7C3B"/>
    <w:rsid w:val="000C7CF7"/>
    <w:rsid w:val="000C7D16"/>
    <w:rsid w:val="000C7D24"/>
    <w:rsid w:val="000C7FEE"/>
    <w:rsid w:val="000D00D8"/>
    <w:rsid w:val="000D05A6"/>
    <w:rsid w:val="000D0631"/>
    <w:rsid w:val="000D08C9"/>
    <w:rsid w:val="000D096E"/>
    <w:rsid w:val="000D09A3"/>
    <w:rsid w:val="000D0D4D"/>
    <w:rsid w:val="000D0FB1"/>
    <w:rsid w:val="000D0FE9"/>
    <w:rsid w:val="000D0FF6"/>
    <w:rsid w:val="000D1127"/>
    <w:rsid w:val="000D1308"/>
    <w:rsid w:val="000D136E"/>
    <w:rsid w:val="000D139B"/>
    <w:rsid w:val="000D1410"/>
    <w:rsid w:val="000D1729"/>
    <w:rsid w:val="000D1732"/>
    <w:rsid w:val="000D1897"/>
    <w:rsid w:val="000D1BC9"/>
    <w:rsid w:val="000D1D2D"/>
    <w:rsid w:val="000D2288"/>
    <w:rsid w:val="000D2312"/>
    <w:rsid w:val="000D235F"/>
    <w:rsid w:val="000D236F"/>
    <w:rsid w:val="000D2373"/>
    <w:rsid w:val="000D23F6"/>
    <w:rsid w:val="000D25A3"/>
    <w:rsid w:val="000D25B6"/>
    <w:rsid w:val="000D26B4"/>
    <w:rsid w:val="000D273F"/>
    <w:rsid w:val="000D27C8"/>
    <w:rsid w:val="000D283D"/>
    <w:rsid w:val="000D2885"/>
    <w:rsid w:val="000D28FC"/>
    <w:rsid w:val="000D2974"/>
    <w:rsid w:val="000D299D"/>
    <w:rsid w:val="000D2A84"/>
    <w:rsid w:val="000D2A86"/>
    <w:rsid w:val="000D2AAB"/>
    <w:rsid w:val="000D2ECB"/>
    <w:rsid w:val="000D2F0C"/>
    <w:rsid w:val="000D309C"/>
    <w:rsid w:val="000D3302"/>
    <w:rsid w:val="000D334D"/>
    <w:rsid w:val="000D3563"/>
    <w:rsid w:val="000D373E"/>
    <w:rsid w:val="000D3746"/>
    <w:rsid w:val="000D3823"/>
    <w:rsid w:val="000D389C"/>
    <w:rsid w:val="000D38E2"/>
    <w:rsid w:val="000D3966"/>
    <w:rsid w:val="000D3BF3"/>
    <w:rsid w:val="000D3D6D"/>
    <w:rsid w:val="000D3DF3"/>
    <w:rsid w:val="000D3E32"/>
    <w:rsid w:val="000D3E6C"/>
    <w:rsid w:val="000D3E87"/>
    <w:rsid w:val="000D3EF4"/>
    <w:rsid w:val="000D3F1C"/>
    <w:rsid w:val="000D3F5B"/>
    <w:rsid w:val="000D3F78"/>
    <w:rsid w:val="000D428E"/>
    <w:rsid w:val="000D4545"/>
    <w:rsid w:val="000D464B"/>
    <w:rsid w:val="000D474C"/>
    <w:rsid w:val="000D47FF"/>
    <w:rsid w:val="000D4819"/>
    <w:rsid w:val="000D48C3"/>
    <w:rsid w:val="000D48F8"/>
    <w:rsid w:val="000D4B1E"/>
    <w:rsid w:val="000D4E53"/>
    <w:rsid w:val="000D5306"/>
    <w:rsid w:val="000D5358"/>
    <w:rsid w:val="000D5384"/>
    <w:rsid w:val="000D54DF"/>
    <w:rsid w:val="000D56CC"/>
    <w:rsid w:val="000D5820"/>
    <w:rsid w:val="000D58B8"/>
    <w:rsid w:val="000D58C6"/>
    <w:rsid w:val="000D5A88"/>
    <w:rsid w:val="000D5AE3"/>
    <w:rsid w:val="000D5C9D"/>
    <w:rsid w:val="000D5D02"/>
    <w:rsid w:val="000D5E5D"/>
    <w:rsid w:val="000D5E81"/>
    <w:rsid w:val="000D6081"/>
    <w:rsid w:val="000D6314"/>
    <w:rsid w:val="000D6448"/>
    <w:rsid w:val="000D6528"/>
    <w:rsid w:val="000D662F"/>
    <w:rsid w:val="000D66B5"/>
    <w:rsid w:val="000D66BC"/>
    <w:rsid w:val="000D685C"/>
    <w:rsid w:val="000D6881"/>
    <w:rsid w:val="000D6B29"/>
    <w:rsid w:val="000D6B2F"/>
    <w:rsid w:val="000D6B4A"/>
    <w:rsid w:val="000D6C4B"/>
    <w:rsid w:val="000D6D14"/>
    <w:rsid w:val="000D6D62"/>
    <w:rsid w:val="000D7049"/>
    <w:rsid w:val="000D70F0"/>
    <w:rsid w:val="000D7125"/>
    <w:rsid w:val="000D713E"/>
    <w:rsid w:val="000D72DE"/>
    <w:rsid w:val="000D72E1"/>
    <w:rsid w:val="000D736D"/>
    <w:rsid w:val="000D751F"/>
    <w:rsid w:val="000D75D0"/>
    <w:rsid w:val="000D776D"/>
    <w:rsid w:val="000D7816"/>
    <w:rsid w:val="000D7937"/>
    <w:rsid w:val="000D7BFB"/>
    <w:rsid w:val="000D7C08"/>
    <w:rsid w:val="000D7DC0"/>
    <w:rsid w:val="000D7E68"/>
    <w:rsid w:val="000D7F31"/>
    <w:rsid w:val="000E01CC"/>
    <w:rsid w:val="000E032E"/>
    <w:rsid w:val="000E04BE"/>
    <w:rsid w:val="000E05F8"/>
    <w:rsid w:val="000E0839"/>
    <w:rsid w:val="000E0BFB"/>
    <w:rsid w:val="000E0E97"/>
    <w:rsid w:val="000E102A"/>
    <w:rsid w:val="000E10D7"/>
    <w:rsid w:val="000E1201"/>
    <w:rsid w:val="000E1265"/>
    <w:rsid w:val="000E12C0"/>
    <w:rsid w:val="000E1303"/>
    <w:rsid w:val="000E1486"/>
    <w:rsid w:val="000E193B"/>
    <w:rsid w:val="000E197F"/>
    <w:rsid w:val="000E1B61"/>
    <w:rsid w:val="000E1C83"/>
    <w:rsid w:val="000E1EFA"/>
    <w:rsid w:val="000E203C"/>
    <w:rsid w:val="000E2249"/>
    <w:rsid w:val="000E242C"/>
    <w:rsid w:val="000E2538"/>
    <w:rsid w:val="000E27E7"/>
    <w:rsid w:val="000E286E"/>
    <w:rsid w:val="000E2876"/>
    <w:rsid w:val="000E28C8"/>
    <w:rsid w:val="000E29DC"/>
    <w:rsid w:val="000E2B42"/>
    <w:rsid w:val="000E2C1A"/>
    <w:rsid w:val="000E2D8B"/>
    <w:rsid w:val="000E2D92"/>
    <w:rsid w:val="000E2F29"/>
    <w:rsid w:val="000E2F5B"/>
    <w:rsid w:val="000E304F"/>
    <w:rsid w:val="000E30EE"/>
    <w:rsid w:val="000E3333"/>
    <w:rsid w:val="000E36EE"/>
    <w:rsid w:val="000E380D"/>
    <w:rsid w:val="000E3882"/>
    <w:rsid w:val="000E3896"/>
    <w:rsid w:val="000E38DA"/>
    <w:rsid w:val="000E39AB"/>
    <w:rsid w:val="000E3B4D"/>
    <w:rsid w:val="000E3B91"/>
    <w:rsid w:val="000E3C1E"/>
    <w:rsid w:val="000E3D25"/>
    <w:rsid w:val="000E3D7F"/>
    <w:rsid w:val="000E3E88"/>
    <w:rsid w:val="000E3EA3"/>
    <w:rsid w:val="000E3EBF"/>
    <w:rsid w:val="000E3F6D"/>
    <w:rsid w:val="000E3FA4"/>
    <w:rsid w:val="000E428C"/>
    <w:rsid w:val="000E430D"/>
    <w:rsid w:val="000E435E"/>
    <w:rsid w:val="000E437E"/>
    <w:rsid w:val="000E4421"/>
    <w:rsid w:val="000E44BF"/>
    <w:rsid w:val="000E4547"/>
    <w:rsid w:val="000E4B8C"/>
    <w:rsid w:val="000E4D51"/>
    <w:rsid w:val="000E4EF8"/>
    <w:rsid w:val="000E4F3E"/>
    <w:rsid w:val="000E4FD8"/>
    <w:rsid w:val="000E5324"/>
    <w:rsid w:val="000E536C"/>
    <w:rsid w:val="000E5427"/>
    <w:rsid w:val="000E5601"/>
    <w:rsid w:val="000E56BD"/>
    <w:rsid w:val="000E587D"/>
    <w:rsid w:val="000E58A2"/>
    <w:rsid w:val="000E58E3"/>
    <w:rsid w:val="000E5959"/>
    <w:rsid w:val="000E595A"/>
    <w:rsid w:val="000E5987"/>
    <w:rsid w:val="000E5994"/>
    <w:rsid w:val="000E5BBB"/>
    <w:rsid w:val="000E5CF7"/>
    <w:rsid w:val="000E5F4E"/>
    <w:rsid w:val="000E6059"/>
    <w:rsid w:val="000E612B"/>
    <w:rsid w:val="000E6141"/>
    <w:rsid w:val="000E62C5"/>
    <w:rsid w:val="000E6300"/>
    <w:rsid w:val="000E6398"/>
    <w:rsid w:val="000E63BB"/>
    <w:rsid w:val="000E646B"/>
    <w:rsid w:val="000E6516"/>
    <w:rsid w:val="000E6529"/>
    <w:rsid w:val="000E6610"/>
    <w:rsid w:val="000E6777"/>
    <w:rsid w:val="000E6856"/>
    <w:rsid w:val="000E6890"/>
    <w:rsid w:val="000E6A7D"/>
    <w:rsid w:val="000E6BC3"/>
    <w:rsid w:val="000E6D05"/>
    <w:rsid w:val="000E7184"/>
    <w:rsid w:val="000E7186"/>
    <w:rsid w:val="000E71B0"/>
    <w:rsid w:val="000E728F"/>
    <w:rsid w:val="000E7464"/>
    <w:rsid w:val="000E7565"/>
    <w:rsid w:val="000E7585"/>
    <w:rsid w:val="000E76EE"/>
    <w:rsid w:val="000E7805"/>
    <w:rsid w:val="000E79C4"/>
    <w:rsid w:val="000E7BDD"/>
    <w:rsid w:val="000E7E27"/>
    <w:rsid w:val="000F00A0"/>
    <w:rsid w:val="000F01AB"/>
    <w:rsid w:val="000F034A"/>
    <w:rsid w:val="000F03F3"/>
    <w:rsid w:val="000F044B"/>
    <w:rsid w:val="000F04CD"/>
    <w:rsid w:val="000F07C6"/>
    <w:rsid w:val="000F089C"/>
    <w:rsid w:val="000F09A0"/>
    <w:rsid w:val="000F09F1"/>
    <w:rsid w:val="000F0C76"/>
    <w:rsid w:val="000F0D32"/>
    <w:rsid w:val="000F0E51"/>
    <w:rsid w:val="000F1137"/>
    <w:rsid w:val="000F1271"/>
    <w:rsid w:val="000F1358"/>
    <w:rsid w:val="000F1375"/>
    <w:rsid w:val="000F1506"/>
    <w:rsid w:val="000F1703"/>
    <w:rsid w:val="000F1737"/>
    <w:rsid w:val="000F18A9"/>
    <w:rsid w:val="000F1A1B"/>
    <w:rsid w:val="000F1C05"/>
    <w:rsid w:val="000F1C99"/>
    <w:rsid w:val="000F1DB0"/>
    <w:rsid w:val="000F1F52"/>
    <w:rsid w:val="000F208A"/>
    <w:rsid w:val="000F2121"/>
    <w:rsid w:val="000F22EE"/>
    <w:rsid w:val="000F243D"/>
    <w:rsid w:val="000F24CE"/>
    <w:rsid w:val="000F256C"/>
    <w:rsid w:val="000F262E"/>
    <w:rsid w:val="000F27C6"/>
    <w:rsid w:val="000F282A"/>
    <w:rsid w:val="000F29B4"/>
    <w:rsid w:val="000F2D5D"/>
    <w:rsid w:val="000F2E81"/>
    <w:rsid w:val="000F307C"/>
    <w:rsid w:val="000F315E"/>
    <w:rsid w:val="000F31F7"/>
    <w:rsid w:val="000F3326"/>
    <w:rsid w:val="000F3485"/>
    <w:rsid w:val="000F36EA"/>
    <w:rsid w:val="000F3799"/>
    <w:rsid w:val="000F3938"/>
    <w:rsid w:val="000F3AF7"/>
    <w:rsid w:val="000F3B53"/>
    <w:rsid w:val="000F3C44"/>
    <w:rsid w:val="000F3C62"/>
    <w:rsid w:val="000F3C72"/>
    <w:rsid w:val="000F3D83"/>
    <w:rsid w:val="000F3FD1"/>
    <w:rsid w:val="000F3FF6"/>
    <w:rsid w:val="000F40E0"/>
    <w:rsid w:val="000F40F3"/>
    <w:rsid w:val="000F4343"/>
    <w:rsid w:val="000F44B2"/>
    <w:rsid w:val="000F450F"/>
    <w:rsid w:val="000F4659"/>
    <w:rsid w:val="000F4853"/>
    <w:rsid w:val="000F49CA"/>
    <w:rsid w:val="000F4A27"/>
    <w:rsid w:val="000F4BCB"/>
    <w:rsid w:val="000F4E03"/>
    <w:rsid w:val="000F4F0A"/>
    <w:rsid w:val="000F4FB4"/>
    <w:rsid w:val="000F504B"/>
    <w:rsid w:val="000F51C8"/>
    <w:rsid w:val="000F5277"/>
    <w:rsid w:val="000F57F8"/>
    <w:rsid w:val="000F5A58"/>
    <w:rsid w:val="000F5AE1"/>
    <w:rsid w:val="000F5AE7"/>
    <w:rsid w:val="000F5B08"/>
    <w:rsid w:val="000F5EA6"/>
    <w:rsid w:val="000F5EFD"/>
    <w:rsid w:val="000F5F0E"/>
    <w:rsid w:val="000F6076"/>
    <w:rsid w:val="000F6362"/>
    <w:rsid w:val="000F646D"/>
    <w:rsid w:val="000F64C4"/>
    <w:rsid w:val="000F656D"/>
    <w:rsid w:val="000F663E"/>
    <w:rsid w:val="000F6704"/>
    <w:rsid w:val="000F6715"/>
    <w:rsid w:val="000F67CD"/>
    <w:rsid w:val="000F687A"/>
    <w:rsid w:val="000F68E6"/>
    <w:rsid w:val="000F6C6D"/>
    <w:rsid w:val="000F6CD4"/>
    <w:rsid w:val="000F6F85"/>
    <w:rsid w:val="000F7120"/>
    <w:rsid w:val="000F7144"/>
    <w:rsid w:val="000F71B1"/>
    <w:rsid w:val="000F71CA"/>
    <w:rsid w:val="000F7208"/>
    <w:rsid w:val="000F7229"/>
    <w:rsid w:val="000F727C"/>
    <w:rsid w:val="000F737E"/>
    <w:rsid w:val="000F74D8"/>
    <w:rsid w:val="000F758C"/>
    <w:rsid w:val="000F75C2"/>
    <w:rsid w:val="000F77D6"/>
    <w:rsid w:val="000F79D3"/>
    <w:rsid w:val="000F7A02"/>
    <w:rsid w:val="000F7A24"/>
    <w:rsid w:val="000F7A72"/>
    <w:rsid w:val="000F7B46"/>
    <w:rsid w:val="000F7D7C"/>
    <w:rsid w:val="000F7F6B"/>
    <w:rsid w:val="00100004"/>
    <w:rsid w:val="00100050"/>
    <w:rsid w:val="00100254"/>
    <w:rsid w:val="00100579"/>
    <w:rsid w:val="001005AD"/>
    <w:rsid w:val="001005BD"/>
    <w:rsid w:val="001006D3"/>
    <w:rsid w:val="001006E8"/>
    <w:rsid w:val="00100CA0"/>
    <w:rsid w:val="00100EE2"/>
    <w:rsid w:val="0010106D"/>
    <w:rsid w:val="00101228"/>
    <w:rsid w:val="00101346"/>
    <w:rsid w:val="00101394"/>
    <w:rsid w:val="001015A9"/>
    <w:rsid w:val="0010174E"/>
    <w:rsid w:val="00101868"/>
    <w:rsid w:val="00101935"/>
    <w:rsid w:val="00101A83"/>
    <w:rsid w:val="00101BB5"/>
    <w:rsid w:val="00101BD5"/>
    <w:rsid w:val="00101D89"/>
    <w:rsid w:val="00101FAC"/>
    <w:rsid w:val="0010207C"/>
    <w:rsid w:val="001020A2"/>
    <w:rsid w:val="00102172"/>
    <w:rsid w:val="00102441"/>
    <w:rsid w:val="001028E5"/>
    <w:rsid w:val="001029FF"/>
    <w:rsid w:val="00102DA3"/>
    <w:rsid w:val="00102ECF"/>
    <w:rsid w:val="00102FC8"/>
    <w:rsid w:val="00102FE6"/>
    <w:rsid w:val="00103240"/>
    <w:rsid w:val="001033E9"/>
    <w:rsid w:val="001034EC"/>
    <w:rsid w:val="0010350F"/>
    <w:rsid w:val="001036D4"/>
    <w:rsid w:val="001038C2"/>
    <w:rsid w:val="00103B02"/>
    <w:rsid w:val="00103E52"/>
    <w:rsid w:val="00103EA0"/>
    <w:rsid w:val="00104108"/>
    <w:rsid w:val="001042A9"/>
    <w:rsid w:val="00104314"/>
    <w:rsid w:val="00104404"/>
    <w:rsid w:val="00104528"/>
    <w:rsid w:val="0010455A"/>
    <w:rsid w:val="001045C1"/>
    <w:rsid w:val="00104754"/>
    <w:rsid w:val="0010487B"/>
    <w:rsid w:val="00104950"/>
    <w:rsid w:val="00104A62"/>
    <w:rsid w:val="00104A69"/>
    <w:rsid w:val="00104BEF"/>
    <w:rsid w:val="00104C8A"/>
    <w:rsid w:val="00104CBB"/>
    <w:rsid w:val="00104E2A"/>
    <w:rsid w:val="0010503F"/>
    <w:rsid w:val="001050EA"/>
    <w:rsid w:val="001051B8"/>
    <w:rsid w:val="0010523D"/>
    <w:rsid w:val="001052D5"/>
    <w:rsid w:val="0010553F"/>
    <w:rsid w:val="00105775"/>
    <w:rsid w:val="00105884"/>
    <w:rsid w:val="00105A87"/>
    <w:rsid w:val="00105CA8"/>
    <w:rsid w:val="00105D90"/>
    <w:rsid w:val="00105F21"/>
    <w:rsid w:val="00105F4F"/>
    <w:rsid w:val="00105FC6"/>
    <w:rsid w:val="0010611E"/>
    <w:rsid w:val="001061A0"/>
    <w:rsid w:val="001061E9"/>
    <w:rsid w:val="001063E8"/>
    <w:rsid w:val="001064BE"/>
    <w:rsid w:val="0010651D"/>
    <w:rsid w:val="00106687"/>
    <w:rsid w:val="0010674A"/>
    <w:rsid w:val="00106BB2"/>
    <w:rsid w:val="00106CC7"/>
    <w:rsid w:val="00106DFD"/>
    <w:rsid w:val="00106F70"/>
    <w:rsid w:val="001071DD"/>
    <w:rsid w:val="0010725D"/>
    <w:rsid w:val="00107427"/>
    <w:rsid w:val="001076B0"/>
    <w:rsid w:val="00107716"/>
    <w:rsid w:val="0010774E"/>
    <w:rsid w:val="001077C9"/>
    <w:rsid w:val="00107A8C"/>
    <w:rsid w:val="00107AB4"/>
    <w:rsid w:val="00107BCD"/>
    <w:rsid w:val="00107D92"/>
    <w:rsid w:val="00107FF6"/>
    <w:rsid w:val="0010FAFD"/>
    <w:rsid w:val="001100F7"/>
    <w:rsid w:val="0011010A"/>
    <w:rsid w:val="00110219"/>
    <w:rsid w:val="001106EE"/>
    <w:rsid w:val="0011082E"/>
    <w:rsid w:val="00110941"/>
    <w:rsid w:val="00110B71"/>
    <w:rsid w:val="00110B78"/>
    <w:rsid w:val="00110DB9"/>
    <w:rsid w:val="00110E75"/>
    <w:rsid w:val="00110E77"/>
    <w:rsid w:val="00111033"/>
    <w:rsid w:val="001111C3"/>
    <w:rsid w:val="00111295"/>
    <w:rsid w:val="0011155D"/>
    <w:rsid w:val="001119DA"/>
    <w:rsid w:val="00111B09"/>
    <w:rsid w:val="00111E66"/>
    <w:rsid w:val="00111FB8"/>
    <w:rsid w:val="00112048"/>
    <w:rsid w:val="001120E5"/>
    <w:rsid w:val="00112154"/>
    <w:rsid w:val="00112462"/>
    <w:rsid w:val="0011272D"/>
    <w:rsid w:val="001127AD"/>
    <w:rsid w:val="00112971"/>
    <w:rsid w:val="00112EAD"/>
    <w:rsid w:val="0011300B"/>
    <w:rsid w:val="001131C3"/>
    <w:rsid w:val="001133BE"/>
    <w:rsid w:val="001135B4"/>
    <w:rsid w:val="001138B2"/>
    <w:rsid w:val="001138C1"/>
    <w:rsid w:val="00113B3D"/>
    <w:rsid w:val="00113CCA"/>
    <w:rsid w:val="00113F3A"/>
    <w:rsid w:val="00113FA6"/>
    <w:rsid w:val="00114205"/>
    <w:rsid w:val="00114320"/>
    <w:rsid w:val="00114593"/>
    <w:rsid w:val="001145E3"/>
    <w:rsid w:val="001146B5"/>
    <w:rsid w:val="001147CB"/>
    <w:rsid w:val="00115064"/>
    <w:rsid w:val="00115129"/>
    <w:rsid w:val="00115360"/>
    <w:rsid w:val="00115423"/>
    <w:rsid w:val="001156F7"/>
    <w:rsid w:val="00115869"/>
    <w:rsid w:val="001158AA"/>
    <w:rsid w:val="0011595D"/>
    <w:rsid w:val="001159BD"/>
    <w:rsid w:val="00115A2F"/>
    <w:rsid w:val="00115BDE"/>
    <w:rsid w:val="00116261"/>
    <w:rsid w:val="001162D0"/>
    <w:rsid w:val="0011636A"/>
    <w:rsid w:val="001163CF"/>
    <w:rsid w:val="001163DD"/>
    <w:rsid w:val="0011648F"/>
    <w:rsid w:val="001165D4"/>
    <w:rsid w:val="001166D4"/>
    <w:rsid w:val="0011681F"/>
    <w:rsid w:val="00116B62"/>
    <w:rsid w:val="00116DCE"/>
    <w:rsid w:val="00116F30"/>
    <w:rsid w:val="00116F54"/>
    <w:rsid w:val="00116FF8"/>
    <w:rsid w:val="0011709E"/>
    <w:rsid w:val="001170CB"/>
    <w:rsid w:val="0011738C"/>
    <w:rsid w:val="001173E4"/>
    <w:rsid w:val="00117433"/>
    <w:rsid w:val="00117701"/>
    <w:rsid w:val="0011771A"/>
    <w:rsid w:val="00117724"/>
    <w:rsid w:val="001178CD"/>
    <w:rsid w:val="00117A1F"/>
    <w:rsid w:val="00117A5B"/>
    <w:rsid w:val="00117C09"/>
    <w:rsid w:val="00117D78"/>
    <w:rsid w:val="00117EDA"/>
    <w:rsid w:val="00120056"/>
    <w:rsid w:val="001200BB"/>
    <w:rsid w:val="00120379"/>
    <w:rsid w:val="0012043B"/>
    <w:rsid w:val="001204D1"/>
    <w:rsid w:val="001204D4"/>
    <w:rsid w:val="0012079A"/>
    <w:rsid w:val="00120884"/>
    <w:rsid w:val="00120968"/>
    <w:rsid w:val="00120B0E"/>
    <w:rsid w:val="00120CE2"/>
    <w:rsid w:val="00121184"/>
    <w:rsid w:val="001217F0"/>
    <w:rsid w:val="00121B43"/>
    <w:rsid w:val="00121C4F"/>
    <w:rsid w:val="00121C52"/>
    <w:rsid w:val="00121CF1"/>
    <w:rsid w:val="00121DA1"/>
    <w:rsid w:val="00121E94"/>
    <w:rsid w:val="00121F8E"/>
    <w:rsid w:val="0012201C"/>
    <w:rsid w:val="001220CF"/>
    <w:rsid w:val="001221C6"/>
    <w:rsid w:val="00122399"/>
    <w:rsid w:val="0012248A"/>
    <w:rsid w:val="001224D0"/>
    <w:rsid w:val="00122513"/>
    <w:rsid w:val="001227A8"/>
    <w:rsid w:val="00122912"/>
    <w:rsid w:val="00122973"/>
    <w:rsid w:val="001229DB"/>
    <w:rsid w:val="00122B3C"/>
    <w:rsid w:val="00122B7B"/>
    <w:rsid w:val="00122BA7"/>
    <w:rsid w:val="00122C61"/>
    <w:rsid w:val="00122E11"/>
    <w:rsid w:val="00122EEE"/>
    <w:rsid w:val="00122FB8"/>
    <w:rsid w:val="00123051"/>
    <w:rsid w:val="00123069"/>
    <w:rsid w:val="001230C2"/>
    <w:rsid w:val="001231B7"/>
    <w:rsid w:val="001232B7"/>
    <w:rsid w:val="001232F0"/>
    <w:rsid w:val="00123375"/>
    <w:rsid w:val="0012358B"/>
    <w:rsid w:val="001235D9"/>
    <w:rsid w:val="0012363F"/>
    <w:rsid w:val="00123661"/>
    <w:rsid w:val="0012382F"/>
    <w:rsid w:val="00123A1F"/>
    <w:rsid w:val="00123DCA"/>
    <w:rsid w:val="00123DCD"/>
    <w:rsid w:val="00123F11"/>
    <w:rsid w:val="00123FE6"/>
    <w:rsid w:val="00124108"/>
    <w:rsid w:val="001246A2"/>
    <w:rsid w:val="00124ACD"/>
    <w:rsid w:val="00124B4B"/>
    <w:rsid w:val="00124C81"/>
    <w:rsid w:val="00124F52"/>
    <w:rsid w:val="001250C7"/>
    <w:rsid w:val="001250DA"/>
    <w:rsid w:val="00125150"/>
    <w:rsid w:val="00125197"/>
    <w:rsid w:val="0012525C"/>
    <w:rsid w:val="00125261"/>
    <w:rsid w:val="001252E2"/>
    <w:rsid w:val="00125316"/>
    <w:rsid w:val="001255F0"/>
    <w:rsid w:val="0012561A"/>
    <w:rsid w:val="00125692"/>
    <w:rsid w:val="00125845"/>
    <w:rsid w:val="00125A8B"/>
    <w:rsid w:val="00125A95"/>
    <w:rsid w:val="00125E79"/>
    <w:rsid w:val="00125F86"/>
    <w:rsid w:val="0012602C"/>
    <w:rsid w:val="00126199"/>
    <w:rsid w:val="001265D5"/>
    <w:rsid w:val="001267C5"/>
    <w:rsid w:val="00126850"/>
    <w:rsid w:val="0012687A"/>
    <w:rsid w:val="001268EA"/>
    <w:rsid w:val="0012697C"/>
    <w:rsid w:val="00126997"/>
    <w:rsid w:val="00126D6D"/>
    <w:rsid w:val="00126D92"/>
    <w:rsid w:val="00126E4C"/>
    <w:rsid w:val="00126F03"/>
    <w:rsid w:val="00126F22"/>
    <w:rsid w:val="001270E8"/>
    <w:rsid w:val="00127253"/>
    <w:rsid w:val="00127442"/>
    <w:rsid w:val="00127495"/>
    <w:rsid w:val="001275DF"/>
    <w:rsid w:val="0012774C"/>
    <w:rsid w:val="001278F2"/>
    <w:rsid w:val="001279CC"/>
    <w:rsid w:val="00127A40"/>
    <w:rsid w:val="00127ABE"/>
    <w:rsid w:val="00127AF7"/>
    <w:rsid w:val="00127C1A"/>
    <w:rsid w:val="00127D75"/>
    <w:rsid w:val="00127D79"/>
    <w:rsid w:val="00127EBB"/>
    <w:rsid w:val="00127F7A"/>
    <w:rsid w:val="00127FF0"/>
    <w:rsid w:val="00130016"/>
    <w:rsid w:val="0013013C"/>
    <w:rsid w:val="00130165"/>
    <w:rsid w:val="00130226"/>
    <w:rsid w:val="001302A0"/>
    <w:rsid w:val="00130327"/>
    <w:rsid w:val="0013047D"/>
    <w:rsid w:val="001304ED"/>
    <w:rsid w:val="00130643"/>
    <w:rsid w:val="00130739"/>
    <w:rsid w:val="00130801"/>
    <w:rsid w:val="00130805"/>
    <w:rsid w:val="0013097B"/>
    <w:rsid w:val="00130A0A"/>
    <w:rsid w:val="00130CFC"/>
    <w:rsid w:val="00130F86"/>
    <w:rsid w:val="00130FB4"/>
    <w:rsid w:val="0013137A"/>
    <w:rsid w:val="0013146C"/>
    <w:rsid w:val="0013153E"/>
    <w:rsid w:val="00131651"/>
    <w:rsid w:val="001317DF"/>
    <w:rsid w:val="00131859"/>
    <w:rsid w:val="00131860"/>
    <w:rsid w:val="0013196E"/>
    <w:rsid w:val="00131A81"/>
    <w:rsid w:val="00131AD5"/>
    <w:rsid w:val="00131AF1"/>
    <w:rsid w:val="00131BAB"/>
    <w:rsid w:val="00131C26"/>
    <w:rsid w:val="00131C4E"/>
    <w:rsid w:val="00131C60"/>
    <w:rsid w:val="00131DD9"/>
    <w:rsid w:val="00131EE0"/>
    <w:rsid w:val="00131F82"/>
    <w:rsid w:val="0013203D"/>
    <w:rsid w:val="0013211E"/>
    <w:rsid w:val="00132498"/>
    <w:rsid w:val="00132600"/>
    <w:rsid w:val="00132730"/>
    <w:rsid w:val="0013289E"/>
    <w:rsid w:val="00132988"/>
    <w:rsid w:val="00132CFE"/>
    <w:rsid w:val="00132EBC"/>
    <w:rsid w:val="00132F44"/>
    <w:rsid w:val="00132F87"/>
    <w:rsid w:val="0013307C"/>
    <w:rsid w:val="0013311A"/>
    <w:rsid w:val="0013315E"/>
    <w:rsid w:val="001333CF"/>
    <w:rsid w:val="00133611"/>
    <w:rsid w:val="00133685"/>
    <w:rsid w:val="0013381F"/>
    <w:rsid w:val="00133AC3"/>
    <w:rsid w:val="00133C8D"/>
    <w:rsid w:val="00133D66"/>
    <w:rsid w:val="00133DB5"/>
    <w:rsid w:val="00133DE4"/>
    <w:rsid w:val="001340FF"/>
    <w:rsid w:val="001345BA"/>
    <w:rsid w:val="00134625"/>
    <w:rsid w:val="00134683"/>
    <w:rsid w:val="001347C8"/>
    <w:rsid w:val="00134A02"/>
    <w:rsid w:val="00134D23"/>
    <w:rsid w:val="00134D45"/>
    <w:rsid w:val="00134ECD"/>
    <w:rsid w:val="00134F08"/>
    <w:rsid w:val="00134F2F"/>
    <w:rsid w:val="0013501D"/>
    <w:rsid w:val="00135047"/>
    <w:rsid w:val="001353BA"/>
    <w:rsid w:val="0013545F"/>
    <w:rsid w:val="001354E8"/>
    <w:rsid w:val="00135648"/>
    <w:rsid w:val="00135752"/>
    <w:rsid w:val="00135896"/>
    <w:rsid w:val="001358D5"/>
    <w:rsid w:val="00135A0D"/>
    <w:rsid w:val="00135ABB"/>
    <w:rsid w:val="00135AC2"/>
    <w:rsid w:val="00135B56"/>
    <w:rsid w:val="00135B7C"/>
    <w:rsid w:val="00135D02"/>
    <w:rsid w:val="00135D71"/>
    <w:rsid w:val="00135DB7"/>
    <w:rsid w:val="00135DD3"/>
    <w:rsid w:val="00135ECE"/>
    <w:rsid w:val="00135F42"/>
    <w:rsid w:val="00136222"/>
    <w:rsid w:val="0013646F"/>
    <w:rsid w:val="001364EF"/>
    <w:rsid w:val="0013660C"/>
    <w:rsid w:val="001366F2"/>
    <w:rsid w:val="001367A8"/>
    <w:rsid w:val="0013682B"/>
    <w:rsid w:val="001368C5"/>
    <w:rsid w:val="001368F9"/>
    <w:rsid w:val="00136A17"/>
    <w:rsid w:val="00136D77"/>
    <w:rsid w:val="00136D7C"/>
    <w:rsid w:val="00136E90"/>
    <w:rsid w:val="00136FAA"/>
    <w:rsid w:val="00136FB7"/>
    <w:rsid w:val="001370FF"/>
    <w:rsid w:val="00137576"/>
    <w:rsid w:val="00137637"/>
    <w:rsid w:val="001376CB"/>
    <w:rsid w:val="001377B8"/>
    <w:rsid w:val="00137A2A"/>
    <w:rsid w:val="00137AE0"/>
    <w:rsid w:val="00137B6D"/>
    <w:rsid w:val="00137BAB"/>
    <w:rsid w:val="00137E53"/>
    <w:rsid w:val="00140428"/>
    <w:rsid w:val="0014066C"/>
    <w:rsid w:val="001407AF"/>
    <w:rsid w:val="00140829"/>
    <w:rsid w:val="00140A73"/>
    <w:rsid w:val="00140BF3"/>
    <w:rsid w:val="00140C16"/>
    <w:rsid w:val="00140D7E"/>
    <w:rsid w:val="00140F58"/>
    <w:rsid w:val="00140FC3"/>
    <w:rsid w:val="00140FCE"/>
    <w:rsid w:val="0014117D"/>
    <w:rsid w:val="001411CD"/>
    <w:rsid w:val="00141217"/>
    <w:rsid w:val="0014134C"/>
    <w:rsid w:val="0014143A"/>
    <w:rsid w:val="0014169F"/>
    <w:rsid w:val="001418CA"/>
    <w:rsid w:val="00141A12"/>
    <w:rsid w:val="00141A25"/>
    <w:rsid w:val="00141C9E"/>
    <w:rsid w:val="00141EF4"/>
    <w:rsid w:val="00141F83"/>
    <w:rsid w:val="001420BE"/>
    <w:rsid w:val="001422DF"/>
    <w:rsid w:val="001424D6"/>
    <w:rsid w:val="001424E1"/>
    <w:rsid w:val="001425BD"/>
    <w:rsid w:val="00142756"/>
    <w:rsid w:val="0014278F"/>
    <w:rsid w:val="00142802"/>
    <w:rsid w:val="00142901"/>
    <w:rsid w:val="001429AD"/>
    <w:rsid w:val="00142BB5"/>
    <w:rsid w:val="00142C22"/>
    <w:rsid w:val="00142D49"/>
    <w:rsid w:val="00142F9D"/>
    <w:rsid w:val="00143043"/>
    <w:rsid w:val="0014306D"/>
    <w:rsid w:val="00143140"/>
    <w:rsid w:val="0014340E"/>
    <w:rsid w:val="00143574"/>
    <w:rsid w:val="0014364E"/>
    <w:rsid w:val="001436C4"/>
    <w:rsid w:val="001437B6"/>
    <w:rsid w:val="00143893"/>
    <w:rsid w:val="001438ED"/>
    <w:rsid w:val="00143911"/>
    <w:rsid w:val="00143A28"/>
    <w:rsid w:val="00143D0D"/>
    <w:rsid w:val="00144000"/>
    <w:rsid w:val="00144584"/>
    <w:rsid w:val="0014467E"/>
    <w:rsid w:val="00144B1E"/>
    <w:rsid w:val="00144BC6"/>
    <w:rsid w:val="00144C80"/>
    <w:rsid w:val="00144CCB"/>
    <w:rsid w:val="00144CD5"/>
    <w:rsid w:val="00144DAF"/>
    <w:rsid w:val="00144DCB"/>
    <w:rsid w:val="00144DD4"/>
    <w:rsid w:val="00144E5D"/>
    <w:rsid w:val="00144EEA"/>
    <w:rsid w:val="00144F29"/>
    <w:rsid w:val="0014506E"/>
    <w:rsid w:val="0014513D"/>
    <w:rsid w:val="00145215"/>
    <w:rsid w:val="00145459"/>
    <w:rsid w:val="001454E5"/>
    <w:rsid w:val="00145503"/>
    <w:rsid w:val="001455E1"/>
    <w:rsid w:val="0014568B"/>
    <w:rsid w:val="00145886"/>
    <w:rsid w:val="00145986"/>
    <w:rsid w:val="00145B3A"/>
    <w:rsid w:val="00145CD9"/>
    <w:rsid w:val="00145CE5"/>
    <w:rsid w:val="00145DA3"/>
    <w:rsid w:val="00145EC1"/>
    <w:rsid w:val="00145EE2"/>
    <w:rsid w:val="00146294"/>
    <w:rsid w:val="00146510"/>
    <w:rsid w:val="0014667A"/>
    <w:rsid w:val="00146705"/>
    <w:rsid w:val="00146724"/>
    <w:rsid w:val="0014689B"/>
    <w:rsid w:val="00146AB9"/>
    <w:rsid w:val="00146CC2"/>
    <w:rsid w:val="00146E41"/>
    <w:rsid w:val="00146EC9"/>
    <w:rsid w:val="0014701F"/>
    <w:rsid w:val="00147070"/>
    <w:rsid w:val="00147092"/>
    <w:rsid w:val="001470D5"/>
    <w:rsid w:val="00147153"/>
    <w:rsid w:val="001471C7"/>
    <w:rsid w:val="0014721D"/>
    <w:rsid w:val="0014725E"/>
    <w:rsid w:val="00147276"/>
    <w:rsid w:val="001473D2"/>
    <w:rsid w:val="00147546"/>
    <w:rsid w:val="00147633"/>
    <w:rsid w:val="00147661"/>
    <w:rsid w:val="00147728"/>
    <w:rsid w:val="00147741"/>
    <w:rsid w:val="001477E8"/>
    <w:rsid w:val="001477F6"/>
    <w:rsid w:val="00147C37"/>
    <w:rsid w:val="00147D1F"/>
    <w:rsid w:val="00147D35"/>
    <w:rsid w:val="00147E2C"/>
    <w:rsid w:val="00147E65"/>
    <w:rsid w:val="00147E80"/>
    <w:rsid w:val="001500C1"/>
    <w:rsid w:val="00150195"/>
    <w:rsid w:val="00150215"/>
    <w:rsid w:val="001503E2"/>
    <w:rsid w:val="00150587"/>
    <w:rsid w:val="0015078E"/>
    <w:rsid w:val="00150F92"/>
    <w:rsid w:val="0015121B"/>
    <w:rsid w:val="00151339"/>
    <w:rsid w:val="00151647"/>
    <w:rsid w:val="0015170A"/>
    <w:rsid w:val="001518C9"/>
    <w:rsid w:val="00151C08"/>
    <w:rsid w:val="00151C2B"/>
    <w:rsid w:val="00151C4F"/>
    <w:rsid w:val="00151ED7"/>
    <w:rsid w:val="00151EFF"/>
    <w:rsid w:val="00151FAD"/>
    <w:rsid w:val="001520BA"/>
    <w:rsid w:val="0015211D"/>
    <w:rsid w:val="0015211F"/>
    <w:rsid w:val="001521A3"/>
    <w:rsid w:val="001521EB"/>
    <w:rsid w:val="001522FD"/>
    <w:rsid w:val="00152339"/>
    <w:rsid w:val="0015244B"/>
    <w:rsid w:val="00152634"/>
    <w:rsid w:val="00152636"/>
    <w:rsid w:val="001527D5"/>
    <w:rsid w:val="0015286F"/>
    <w:rsid w:val="00152A40"/>
    <w:rsid w:val="00152D49"/>
    <w:rsid w:val="00152E4E"/>
    <w:rsid w:val="00152F9C"/>
    <w:rsid w:val="0015305F"/>
    <w:rsid w:val="001532D1"/>
    <w:rsid w:val="00153402"/>
    <w:rsid w:val="00153506"/>
    <w:rsid w:val="0015360A"/>
    <w:rsid w:val="00153754"/>
    <w:rsid w:val="001538E8"/>
    <w:rsid w:val="001539E5"/>
    <w:rsid w:val="00153D30"/>
    <w:rsid w:val="00153E39"/>
    <w:rsid w:val="00154095"/>
    <w:rsid w:val="0015412E"/>
    <w:rsid w:val="0015415E"/>
    <w:rsid w:val="001541DD"/>
    <w:rsid w:val="00154298"/>
    <w:rsid w:val="0015444B"/>
    <w:rsid w:val="001544EF"/>
    <w:rsid w:val="0015471D"/>
    <w:rsid w:val="00154842"/>
    <w:rsid w:val="00154886"/>
    <w:rsid w:val="00154971"/>
    <w:rsid w:val="00154A6F"/>
    <w:rsid w:val="00154C01"/>
    <w:rsid w:val="00154C64"/>
    <w:rsid w:val="00154F56"/>
    <w:rsid w:val="001551A4"/>
    <w:rsid w:val="00155257"/>
    <w:rsid w:val="00155323"/>
    <w:rsid w:val="001555A2"/>
    <w:rsid w:val="00155978"/>
    <w:rsid w:val="0015599E"/>
    <w:rsid w:val="001559D7"/>
    <w:rsid w:val="00155BB5"/>
    <w:rsid w:val="00155C02"/>
    <w:rsid w:val="00155D81"/>
    <w:rsid w:val="00156004"/>
    <w:rsid w:val="00156013"/>
    <w:rsid w:val="001560D1"/>
    <w:rsid w:val="0015621E"/>
    <w:rsid w:val="00156327"/>
    <w:rsid w:val="00156336"/>
    <w:rsid w:val="00156339"/>
    <w:rsid w:val="00156465"/>
    <w:rsid w:val="001565A4"/>
    <w:rsid w:val="00156691"/>
    <w:rsid w:val="00156771"/>
    <w:rsid w:val="001569AD"/>
    <w:rsid w:val="001569DB"/>
    <w:rsid w:val="001569E9"/>
    <w:rsid w:val="00156BF9"/>
    <w:rsid w:val="00156C55"/>
    <w:rsid w:val="00156DB4"/>
    <w:rsid w:val="00156F55"/>
    <w:rsid w:val="00156FC5"/>
    <w:rsid w:val="001575D0"/>
    <w:rsid w:val="001575D4"/>
    <w:rsid w:val="0015777E"/>
    <w:rsid w:val="001577A7"/>
    <w:rsid w:val="00157A41"/>
    <w:rsid w:val="00157A7C"/>
    <w:rsid w:val="00157BA9"/>
    <w:rsid w:val="00157DBE"/>
    <w:rsid w:val="00157F97"/>
    <w:rsid w:val="0016010E"/>
    <w:rsid w:val="00160172"/>
    <w:rsid w:val="00160387"/>
    <w:rsid w:val="001603D2"/>
    <w:rsid w:val="0016059D"/>
    <w:rsid w:val="001605F4"/>
    <w:rsid w:val="001606AC"/>
    <w:rsid w:val="0016070D"/>
    <w:rsid w:val="00160746"/>
    <w:rsid w:val="00160A5E"/>
    <w:rsid w:val="00160AFF"/>
    <w:rsid w:val="00160C91"/>
    <w:rsid w:val="00160E66"/>
    <w:rsid w:val="00160F6C"/>
    <w:rsid w:val="00161159"/>
    <w:rsid w:val="001611A8"/>
    <w:rsid w:val="00161262"/>
    <w:rsid w:val="00161457"/>
    <w:rsid w:val="001614C2"/>
    <w:rsid w:val="00161527"/>
    <w:rsid w:val="0016169A"/>
    <w:rsid w:val="00161824"/>
    <w:rsid w:val="00161831"/>
    <w:rsid w:val="00161A16"/>
    <w:rsid w:val="00161AB9"/>
    <w:rsid w:val="00161B14"/>
    <w:rsid w:val="00161B92"/>
    <w:rsid w:val="00161BAC"/>
    <w:rsid w:val="00161C58"/>
    <w:rsid w:val="00161C6F"/>
    <w:rsid w:val="0016236F"/>
    <w:rsid w:val="00162585"/>
    <w:rsid w:val="001627C4"/>
    <w:rsid w:val="001629B6"/>
    <w:rsid w:val="00162A5F"/>
    <w:rsid w:val="00162BBA"/>
    <w:rsid w:val="00162BF2"/>
    <w:rsid w:val="00162D8A"/>
    <w:rsid w:val="00162F14"/>
    <w:rsid w:val="00163232"/>
    <w:rsid w:val="001633A7"/>
    <w:rsid w:val="001633F6"/>
    <w:rsid w:val="00163434"/>
    <w:rsid w:val="00163516"/>
    <w:rsid w:val="0016364C"/>
    <w:rsid w:val="001636B5"/>
    <w:rsid w:val="001636EC"/>
    <w:rsid w:val="00163A6D"/>
    <w:rsid w:val="00163B1D"/>
    <w:rsid w:val="00163C0E"/>
    <w:rsid w:val="00163CC0"/>
    <w:rsid w:val="00163E78"/>
    <w:rsid w:val="00163EDB"/>
    <w:rsid w:val="00163FDD"/>
    <w:rsid w:val="001640D5"/>
    <w:rsid w:val="00164113"/>
    <w:rsid w:val="0016415E"/>
    <w:rsid w:val="001642F0"/>
    <w:rsid w:val="00164348"/>
    <w:rsid w:val="00164386"/>
    <w:rsid w:val="0016438F"/>
    <w:rsid w:val="00164392"/>
    <w:rsid w:val="001643AE"/>
    <w:rsid w:val="001643D7"/>
    <w:rsid w:val="001643F0"/>
    <w:rsid w:val="00164555"/>
    <w:rsid w:val="001647CD"/>
    <w:rsid w:val="001647FD"/>
    <w:rsid w:val="0016484C"/>
    <w:rsid w:val="0016486C"/>
    <w:rsid w:val="0016492D"/>
    <w:rsid w:val="00164D70"/>
    <w:rsid w:val="00164ECF"/>
    <w:rsid w:val="00164F83"/>
    <w:rsid w:val="00165149"/>
    <w:rsid w:val="0016522C"/>
    <w:rsid w:val="00165315"/>
    <w:rsid w:val="00165338"/>
    <w:rsid w:val="001653B3"/>
    <w:rsid w:val="0016563C"/>
    <w:rsid w:val="00165683"/>
    <w:rsid w:val="0016580F"/>
    <w:rsid w:val="00165C02"/>
    <w:rsid w:val="00165C7C"/>
    <w:rsid w:val="00165E8F"/>
    <w:rsid w:val="0016601C"/>
    <w:rsid w:val="001660C2"/>
    <w:rsid w:val="001660CA"/>
    <w:rsid w:val="0016619B"/>
    <w:rsid w:val="00166290"/>
    <w:rsid w:val="00166539"/>
    <w:rsid w:val="00166541"/>
    <w:rsid w:val="00166883"/>
    <w:rsid w:val="0016689B"/>
    <w:rsid w:val="00166A20"/>
    <w:rsid w:val="00166A99"/>
    <w:rsid w:val="00166BAA"/>
    <w:rsid w:val="00166C26"/>
    <w:rsid w:val="00166CAE"/>
    <w:rsid w:val="00166E1C"/>
    <w:rsid w:val="00166EA3"/>
    <w:rsid w:val="00166EC8"/>
    <w:rsid w:val="00166F14"/>
    <w:rsid w:val="00167005"/>
    <w:rsid w:val="0016719C"/>
    <w:rsid w:val="00167312"/>
    <w:rsid w:val="00167511"/>
    <w:rsid w:val="00167811"/>
    <w:rsid w:val="00167C44"/>
    <w:rsid w:val="00167D84"/>
    <w:rsid w:val="00167ED7"/>
    <w:rsid w:val="00167F65"/>
    <w:rsid w:val="00170083"/>
    <w:rsid w:val="001700D9"/>
    <w:rsid w:val="0017023B"/>
    <w:rsid w:val="0017073A"/>
    <w:rsid w:val="00170ABB"/>
    <w:rsid w:val="00170B19"/>
    <w:rsid w:val="00170B32"/>
    <w:rsid w:val="00170BBB"/>
    <w:rsid w:val="00170C1A"/>
    <w:rsid w:val="00170D78"/>
    <w:rsid w:val="00170FD0"/>
    <w:rsid w:val="001710E5"/>
    <w:rsid w:val="001712F6"/>
    <w:rsid w:val="00171364"/>
    <w:rsid w:val="00171472"/>
    <w:rsid w:val="0017152E"/>
    <w:rsid w:val="00171574"/>
    <w:rsid w:val="001716B2"/>
    <w:rsid w:val="001716D9"/>
    <w:rsid w:val="00171775"/>
    <w:rsid w:val="00171852"/>
    <w:rsid w:val="001719DC"/>
    <w:rsid w:val="00171A90"/>
    <w:rsid w:val="00171B80"/>
    <w:rsid w:val="00171E83"/>
    <w:rsid w:val="001720D8"/>
    <w:rsid w:val="001721B0"/>
    <w:rsid w:val="00172293"/>
    <w:rsid w:val="001723C3"/>
    <w:rsid w:val="001723CE"/>
    <w:rsid w:val="00172423"/>
    <w:rsid w:val="0017264F"/>
    <w:rsid w:val="00172684"/>
    <w:rsid w:val="00172744"/>
    <w:rsid w:val="0017281A"/>
    <w:rsid w:val="00172B5D"/>
    <w:rsid w:val="00172BB1"/>
    <w:rsid w:val="00172C81"/>
    <w:rsid w:val="00172CC9"/>
    <w:rsid w:val="00172D71"/>
    <w:rsid w:val="00172E45"/>
    <w:rsid w:val="00172FC9"/>
    <w:rsid w:val="001731BE"/>
    <w:rsid w:val="0017352A"/>
    <w:rsid w:val="0017357C"/>
    <w:rsid w:val="00173830"/>
    <w:rsid w:val="0017383B"/>
    <w:rsid w:val="00173955"/>
    <w:rsid w:val="001739C6"/>
    <w:rsid w:val="00173C47"/>
    <w:rsid w:val="00173C7D"/>
    <w:rsid w:val="00173E4D"/>
    <w:rsid w:val="00173E9C"/>
    <w:rsid w:val="00173F3E"/>
    <w:rsid w:val="001741EA"/>
    <w:rsid w:val="001742E6"/>
    <w:rsid w:val="001743CB"/>
    <w:rsid w:val="001743E4"/>
    <w:rsid w:val="001744B8"/>
    <w:rsid w:val="001745CA"/>
    <w:rsid w:val="001745E9"/>
    <w:rsid w:val="00174803"/>
    <w:rsid w:val="00174924"/>
    <w:rsid w:val="00174ADD"/>
    <w:rsid w:val="00174B30"/>
    <w:rsid w:val="00174EDF"/>
    <w:rsid w:val="001750B0"/>
    <w:rsid w:val="00175125"/>
    <w:rsid w:val="0017528E"/>
    <w:rsid w:val="001753CF"/>
    <w:rsid w:val="001754F2"/>
    <w:rsid w:val="0017559E"/>
    <w:rsid w:val="001755C8"/>
    <w:rsid w:val="00175640"/>
    <w:rsid w:val="00175678"/>
    <w:rsid w:val="00175B7C"/>
    <w:rsid w:val="00175CEE"/>
    <w:rsid w:val="00175D55"/>
    <w:rsid w:val="00175E06"/>
    <w:rsid w:val="00175F14"/>
    <w:rsid w:val="00175F79"/>
    <w:rsid w:val="00176170"/>
    <w:rsid w:val="00176249"/>
    <w:rsid w:val="001762A8"/>
    <w:rsid w:val="001762F3"/>
    <w:rsid w:val="00176559"/>
    <w:rsid w:val="00176594"/>
    <w:rsid w:val="00176606"/>
    <w:rsid w:val="00176791"/>
    <w:rsid w:val="001768F2"/>
    <w:rsid w:val="0017692B"/>
    <w:rsid w:val="00176A9D"/>
    <w:rsid w:val="00176AED"/>
    <w:rsid w:val="00176B82"/>
    <w:rsid w:val="00176E18"/>
    <w:rsid w:val="00176E4C"/>
    <w:rsid w:val="00176EBD"/>
    <w:rsid w:val="0017703C"/>
    <w:rsid w:val="0017715B"/>
    <w:rsid w:val="001772EC"/>
    <w:rsid w:val="00177395"/>
    <w:rsid w:val="001774AF"/>
    <w:rsid w:val="001774B3"/>
    <w:rsid w:val="00177609"/>
    <w:rsid w:val="00177646"/>
    <w:rsid w:val="0017772A"/>
    <w:rsid w:val="0017786C"/>
    <w:rsid w:val="00177986"/>
    <w:rsid w:val="00177A33"/>
    <w:rsid w:val="00177AF4"/>
    <w:rsid w:val="00177B94"/>
    <w:rsid w:val="00177D34"/>
    <w:rsid w:val="001800A3"/>
    <w:rsid w:val="0018014C"/>
    <w:rsid w:val="001801C0"/>
    <w:rsid w:val="001802A5"/>
    <w:rsid w:val="001803BC"/>
    <w:rsid w:val="001804DA"/>
    <w:rsid w:val="0018056C"/>
    <w:rsid w:val="00180636"/>
    <w:rsid w:val="0018077A"/>
    <w:rsid w:val="0018079A"/>
    <w:rsid w:val="00180906"/>
    <w:rsid w:val="00180CA4"/>
    <w:rsid w:val="00181129"/>
    <w:rsid w:val="001813AC"/>
    <w:rsid w:val="00181462"/>
    <w:rsid w:val="001814D6"/>
    <w:rsid w:val="001814F3"/>
    <w:rsid w:val="00181529"/>
    <w:rsid w:val="00181919"/>
    <w:rsid w:val="00181A90"/>
    <w:rsid w:val="00181AE1"/>
    <w:rsid w:val="00181C22"/>
    <w:rsid w:val="00181C4F"/>
    <w:rsid w:val="00181D26"/>
    <w:rsid w:val="00181D99"/>
    <w:rsid w:val="00182101"/>
    <w:rsid w:val="0018213C"/>
    <w:rsid w:val="0018219E"/>
    <w:rsid w:val="001822FE"/>
    <w:rsid w:val="0018234D"/>
    <w:rsid w:val="001823E6"/>
    <w:rsid w:val="0018246A"/>
    <w:rsid w:val="0018276B"/>
    <w:rsid w:val="001828E0"/>
    <w:rsid w:val="0018298B"/>
    <w:rsid w:val="00182A68"/>
    <w:rsid w:val="00182AB6"/>
    <w:rsid w:val="00182C06"/>
    <w:rsid w:val="00182CDD"/>
    <w:rsid w:val="001830A3"/>
    <w:rsid w:val="0018319F"/>
    <w:rsid w:val="0018335C"/>
    <w:rsid w:val="0018342D"/>
    <w:rsid w:val="001834FF"/>
    <w:rsid w:val="00183646"/>
    <w:rsid w:val="001839AB"/>
    <w:rsid w:val="00183B20"/>
    <w:rsid w:val="00183B4C"/>
    <w:rsid w:val="00183C41"/>
    <w:rsid w:val="00183C87"/>
    <w:rsid w:val="00183CE6"/>
    <w:rsid w:val="00183F90"/>
    <w:rsid w:val="00183FC4"/>
    <w:rsid w:val="00184001"/>
    <w:rsid w:val="00184003"/>
    <w:rsid w:val="0018408F"/>
    <w:rsid w:val="001840AB"/>
    <w:rsid w:val="001842B6"/>
    <w:rsid w:val="001844A5"/>
    <w:rsid w:val="001848E4"/>
    <w:rsid w:val="00184B69"/>
    <w:rsid w:val="00184B7F"/>
    <w:rsid w:val="00184B8B"/>
    <w:rsid w:val="00184D89"/>
    <w:rsid w:val="00184DCE"/>
    <w:rsid w:val="001850B4"/>
    <w:rsid w:val="001850E8"/>
    <w:rsid w:val="001853C0"/>
    <w:rsid w:val="00185518"/>
    <w:rsid w:val="0018559A"/>
    <w:rsid w:val="0018585A"/>
    <w:rsid w:val="001858BE"/>
    <w:rsid w:val="0018590A"/>
    <w:rsid w:val="00185913"/>
    <w:rsid w:val="00185A1A"/>
    <w:rsid w:val="00185AA5"/>
    <w:rsid w:val="00185AF4"/>
    <w:rsid w:val="00185B23"/>
    <w:rsid w:val="00185C0C"/>
    <w:rsid w:val="00185CDF"/>
    <w:rsid w:val="00185D5F"/>
    <w:rsid w:val="00185F75"/>
    <w:rsid w:val="0018621D"/>
    <w:rsid w:val="001862E1"/>
    <w:rsid w:val="0018657E"/>
    <w:rsid w:val="00186986"/>
    <w:rsid w:val="00186B6B"/>
    <w:rsid w:val="00186F51"/>
    <w:rsid w:val="00187001"/>
    <w:rsid w:val="00187078"/>
    <w:rsid w:val="00187157"/>
    <w:rsid w:val="00187175"/>
    <w:rsid w:val="0018717D"/>
    <w:rsid w:val="00187478"/>
    <w:rsid w:val="00187504"/>
    <w:rsid w:val="001878B9"/>
    <w:rsid w:val="001879DB"/>
    <w:rsid w:val="00187B67"/>
    <w:rsid w:val="00187EBC"/>
    <w:rsid w:val="00187F3A"/>
    <w:rsid w:val="00187F8B"/>
    <w:rsid w:val="00190061"/>
    <w:rsid w:val="0019025F"/>
    <w:rsid w:val="0019035B"/>
    <w:rsid w:val="00190382"/>
    <w:rsid w:val="001903B8"/>
    <w:rsid w:val="00190411"/>
    <w:rsid w:val="00190559"/>
    <w:rsid w:val="0019059B"/>
    <w:rsid w:val="001905D8"/>
    <w:rsid w:val="00190719"/>
    <w:rsid w:val="00190988"/>
    <w:rsid w:val="00190A4D"/>
    <w:rsid w:val="00190CD6"/>
    <w:rsid w:val="00190D10"/>
    <w:rsid w:val="00190E41"/>
    <w:rsid w:val="00190E78"/>
    <w:rsid w:val="00190F58"/>
    <w:rsid w:val="00190FF6"/>
    <w:rsid w:val="001913FD"/>
    <w:rsid w:val="00191613"/>
    <w:rsid w:val="00191623"/>
    <w:rsid w:val="0019162F"/>
    <w:rsid w:val="00191643"/>
    <w:rsid w:val="00191680"/>
    <w:rsid w:val="00191836"/>
    <w:rsid w:val="00191851"/>
    <w:rsid w:val="00191A3D"/>
    <w:rsid w:val="00191AFE"/>
    <w:rsid w:val="00191DBE"/>
    <w:rsid w:val="00191EBE"/>
    <w:rsid w:val="00191F07"/>
    <w:rsid w:val="00191FC8"/>
    <w:rsid w:val="00191FCB"/>
    <w:rsid w:val="0019214D"/>
    <w:rsid w:val="0019216A"/>
    <w:rsid w:val="00192207"/>
    <w:rsid w:val="0019224D"/>
    <w:rsid w:val="001923A1"/>
    <w:rsid w:val="001924E2"/>
    <w:rsid w:val="00192559"/>
    <w:rsid w:val="00192577"/>
    <w:rsid w:val="0019261F"/>
    <w:rsid w:val="001928A7"/>
    <w:rsid w:val="001929AE"/>
    <w:rsid w:val="00192A4D"/>
    <w:rsid w:val="00192A69"/>
    <w:rsid w:val="00192A7F"/>
    <w:rsid w:val="00192B4E"/>
    <w:rsid w:val="00192D0D"/>
    <w:rsid w:val="00192D62"/>
    <w:rsid w:val="00192E57"/>
    <w:rsid w:val="00193030"/>
    <w:rsid w:val="00193129"/>
    <w:rsid w:val="00193143"/>
    <w:rsid w:val="0019336E"/>
    <w:rsid w:val="0019337B"/>
    <w:rsid w:val="00193631"/>
    <w:rsid w:val="001936FB"/>
    <w:rsid w:val="001938A7"/>
    <w:rsid w:val="0019395D"/>
    <w:rsid w:val="001939BA"/>
    <w:rsid w:val="00193A86"/>
    <w:rsid w:val="00193C2A"/>
    <w:rsid w:val="0019407E"/>
    <w:rsid w:val="001940F6"/>
    <w:rsid w:val="001942B2"/>
    <w:rsid w:val="00194310"/>
    <w:rsid w:val="00194656"/>
    <w:rsid w:val="001946CC"/>
    <w:rsid w:val="00194809"/>
    <w:rsid w:val="00194952"/>
    <w:rsid w:val="00194A0F"/>
    <w:rsid w:val="00194BF1"/>
    <w:rsid w:val="00194CDE"/>
    <w:rsid w:val="00194CE2"/>
    <w:rsid w:val="00194E32"/>
    <w:rsid w:val="00194E4D"/>
    <w:rsid w:val="00194E4F"/>
    <w:rsid w:val="00194FCE"/>
    <w:rsid w:val="00195082"/>
    <w:rsid w:val="001953FA"/>
    <w:rsid w:val="00195493"/>
    <w:rsid w:val="001954D1"/>
    <w:rsid w:val="00195673"/>
    <w:rsid w:val="0019576F"/>
    <w:rsid w:val="00195A48"/>
    <w:rsid w:val="00195C37"/>
    <w:rsid w:val="00195C62"/>
    <w:rsid w:val="00195CF0"/>
    <w:rsid w:val="00196065"/>
    <w:rsid w:val="001960CF"/>
    <w:rsid w:val="00196338"/>
    <w:rsid w:val="0019659F"/>
    <w:rsid w:val="00196690"/>
    <w:rsid w:val="001966B4"/>
    <w:rsid w:val="001966F1"/>
    <w:rsid w:val="00196B82"/>
    <w:rsid w:val="00196EDF"/>
    <w:rsid w:val="00196F6E"/>
    <w:rsid w:val="00197088"/>
    <w:rsid w:val="001971E1"/>
    <w:rsid w:val="00197395"/>
    <w:rsid w:val="0019750E"/>
    <w:rsid w:val="001975D3"/>
    <w:rsid w:val="00197675"/>
    <w:rsid w:val="0019791A"/>
    <w:rsid w:val="00197937"/>
    <w:rsid w:val="001979C0"/>
    <w:rsid w:val="00197B2F"/>
    <w:rsid w:val="00197BEE"/>
    <w:rsid w:val="00197C3F"/>
    <w:rsid w:val="00197D6E"/>
    <w:rsid w:val="00198FC9"/>
    <w:rsid w:val="001A003C"/>
    <w:rsid w:val="001A0237"/>
    <w:rsid w:val="001A026B"/>
    <w:rsid w:val="001A0355"/>
    <w:rsid w:val="001A03A8"/>
    <w:rsid w:val="001A03C5"/>
    <w:rsid w:val="001A0405"/>
    <w:rsid w:val="001A07CB"/>
    <w:rsid w:val="001A07F7"/>
    <w:rsid w:val="001A0815"/>
    <w:rsid w:val="001A08A7"/>
    <w:rsid w:val="001A0ABE"/>
    <w:rsid w:val="001A0CDB"/>
    <w:rsid w:val="001A0D4F"/>
    <w:rsid w:val="001A0DCC"/>
    <w:rsid w:val="001A0DD9"/>
    <w:rsid w:val="001A1297"/>
    <w:rsid w:val="001A13E8"/>
    <w:rsid w:val="001A1671"/>
    <w:rsid w:val="001A18DE"/>
    <w:rsid w:val="001A19E7"/>
    <w:rsid w:val="001A1D8A"/>
    <w:rsid w:val="001A1D90"/>
    <w:rsid w:val="001A1E2E"/>
    <w:rsid w:val="001A1E3A"/>
    <w:rsid w:val="001A1E3C"/>
    <w:rsid w:val="001A1ED2"/>
    <w:rsid w:val="001A20FE"/>
    <w:rsid w:val="001A2111"/>
    <w:rsid w:val="001A22A0"/>
    <w:rsid w:val="001A22DA"/>
    <w:rsid w:val="001A232D"/>
    <w:rsid w:val="001A2476"/>
    <w:rsid w:val="001A25AB"/>
    <w:rsid w:val="001A295C"/>
    <w:rsid w:val="001A2AA7"/>
    <w:rsid w:val="001A2BCC"/>
    <w:rsid w:val="001A2E4D"/>
    <w:rsid w:val="001A2EE5"/>
    <w:rsid w:val="001A3100"/>
    <w:rsid w:val="001A31B9"/>
    <w:rsid w:val="001A320A"/>
    <w:rsid w:val="001A3336"/>
    <w:rsid w:val="001A34A5"/>
    <w:rsid w:val="001A3622"/>
    <w:rsid w:val="001A3664"/>
    <w:rsid w:val="001A3872"/>
    <w:rsid w:val="001A3966"/>
    <w:rsid w:val="001A39BD"/>
    <w:rsid w:val="001A3A8D"/>
    <w:rsid w:val="001A3A9F"/>
    <w:rsid w:val="001A3D31"/>
    <w:rsid w:val="001A3D4B"/>
    <w:rsid w:val="001A3D98"/>
    <w:rsid w:val="001A3DA8"/>
    <w:rsid w:val="001A3F95"/>
    <w:rsid w:val="001A4020"/>
    <w:rsid w:val="001A4141"/>
    <w:rsid w:val="001A4221"/>
    <w:rsid w:val="001A440B"/>
    <w:rsid w:val="001A4421"/>
    <w:rsid w:val="001A4563"/>
    <w:rsid w:val="001A4723"/>
    <w:rsid w:val="001A4770"/>
    <w:rsid w:val="001A4841"/>
    <w:rsid w:val="001A4932"/>
    <w:rsid w:val="001A497A"/>
    <w:rsid w:val="001A4A8B"/>
    <w:rsid w:val="001A4A98"/>
    <w:rsid w:val="001A4C8A"/>
    <w:rsid w:val="001A4C95"/>
    <w:rsid w:val="001A4EB5"/>
    <w:rsid w:val="001A543B"/>
    <w:rsid w:val="001A546A"/>
    <w:rsid w:val="001A54CF"/>
    <w:rsid w:val="001A55B7"/>
    <w:rsid w:val="001A58BA"/>
    <w:rsid w:val="001A58FC"/>
    <w:rsid w:val="001A5948"/>
    <w:rsid w:val="001A59A4"/>
    <w:rsid w:val="001A59C1"/>
    <w:rsid w:val="001A5B14"/>
    <w:rsid w:val="001A5B1D"/>
    <w:rsid w:val="001A5DE9"/>
    <w:rsid w:val="001A5E05"/>
    <w:rsid w:val="001A5ED2"/>
    <w:rsid w:val="001A5FDE"/>
    <w:rsid w:val="001A6160"/>
    <w:rsid w:val="001A6343"/>
    <w:rsid w:val="001A63CE"/>
    <w:rsid w:val="001A66F5"/>
    <w:rsid w:val="001A6745"/>
    <w:rsid w:val="001A68D5"/>
    <w:rsid w:val="001A690A"/>
    <w:rsid w:val="001A6936"/>
    <w:rsid w:val="001A69F9"/>
    <w:rsid w:val="001A6A42"/>
    <w:rsid w:val="001A6B4C"/>
    <w:rsid w:val="001A6BDE"/>
    <w:rsid w:val="001A6DC0"/>
    <w:rsid w:val="001A71DA"/>
    <w:rsid w:val="001A73A1"/>
    <w:rsid w:val="001A740C"/>
    <w:rsid w:val="001A7480"/>
    <w:rsid w:val="001A74C8"/>
    <w:rsid w:val="001A751C"/>
    <w:rsid w:val="001A7554"/>
    <w:rsid w:val="001A755F"/>
    <w:rsid w:val="001A7756"/>
    <w:rsid w:val="001A781A"/>
    <w:rsid w:val="001A7872"/>
    <w:rsid w:val="001A7983"/>
    <w:rsid w:val="001A7A04"/>
    <w:rsid w:val="001A7A3B"/>
    <w:rsid w:val="001A7AD0"/>
    <w:rsid w:val="001A7CF0"/>
    <w:rsid w:val="001A7E24"/>
    <w:rsid w:val="001B00A8"/>
    <w:rsid w:val="001B01B5"/>
    <w:rsid w:val="001B021E"/>
    <w:rsid w:val="001B03F4"/>
    <w:rsid w:val="001B0497"/>
    <w:rsid w:val="001B049E"/>
    <w:rsid w:val="001B05D2"/>
    <w:rsid w:val="001B0711"/>
    <w:rsid w:val="001B0754"/>
    <w:rsid w:val="001B0768"/>
    <w:rsid w:val="001B08C4"/>
    <w:rsid w:val="001B0936"/>
    <w:rsid w:val="001B0944"/>
    <w:rsid w:val="001B0964"/>
    <w:rsid w:val="001B0A4E"/>
    <w:rsid w:val="001B0B34"/>
    <w:rsid w:val="001B0B37"/>
    <w:rsid w:val="001B0C87"/>
    <w:rsid w:val="001B0D80"/>
    <w:rsid w:val="001B0E5D"/>
    <w:rsid w:val="001B10F7"/>
    <w:rsid w:val="001B14A7"/>
    <w:rsid w:val="001B14F8"/>
    <w:rsid w:val="001B1771"/>
    <w:rsid w:val="001B1828"/>
    <w:rsid w:val="001B18A7"/>
    <w:rsid w:val="001B18BC"/>
    <w:rsid w:val="001B18D0"/>
    <w:rsid w:val="001B199A"/>
    <w:rsid w:val="001B1B8E"/>
    <w:rsid w:val="001B21E8"/>
    <w:rsid w:val="001B22A4"/>
    <w:rsid w:val="001B2670"/>
    <w:rsid w:val="001B26CA"/>
    <w:rsid w:val="001B2890"/>
    <w:rsid w:val="001B28B7"/>
    <w:rsid w:val="001B28F5"/>
    <w:rsid w:val="001B2947"/>
    <w:rsid w:val="001B296A"/>
    <w:rsid w:val="001B2B05"/>
    <w:rsid w:val="001B2D02"/>
    <w:rsid w:val="001B2FB8"/>
    <w:rsid w:val="001B31F6"/>
    <w:rsid w:val="001B3227"/>
    <w:rsid w:val="001B3268"/>
    <w:rsid w:val="001B3341"/>
    <w:rsid w:val="001B33E8"/>
    <w:rsid w:val="001B33F6"/>
    <w:rsid w:val="001B3634"/>
    <w:rsid w:val="001B3642"/>
    <w:rsid w:val="001B3666"/>
    <w:rsid w:val="001B37F1"/>
    <w:rsid w:val="001B396D"/>
    <w:rsid w:val="001B3A21"/>
    <w:rsid w:val="001B3B45"/>
    <w:rsid w:val="001B3F07"/>
    <w:rsid w:val="001B3F54"/>
    <w:rsid w:val="001B4210"/>
    <w:rsid w:val="001B4366"/>
    <w:rsid w:val="001B4385"/>
    <w:rsid w:val="001B4525"/>
    <w:rsid w:val="001B4575"/>
    <w:rsid w:val="001B45A0"/>
    <w:rsid w:val="001B47D5"/>
    <w:rsid w:val="001B48FE"/>
    <w:rsid w:val="001B492D"/>
    <w:rsid w:val="001B4C42"/>
    <w:rsid w:val="001B4C48"/>
    <w:rsid w:val="001B4C4B"/>
    <w:rsid w:val="001B4C7C"/>
    <w:rsid w:val="001B4E9C"/>
    <w:rsid w:val="001B501F"/>
    <w:rsid w:val="001B510B"/>
    <w:rsid w:val="001B52D5"/>
    <w:rsid w:val="001B5472"/>
    <w:rsid w:val="001B57A7"/>
    <w:rsid w:val="001B581C"/>
    <w:rsid w:val="001B58A9"/>
    <w:rsid w:val="001B58BE"/>
    <w:rsid w:val="001B5A08"/>
    <w:rsid w:val="001B5A4D"/>
    <w:rsid w:val="001B5D2A"/>
    <w:rsid w:val="001B5D7D"/>
    <w:rsid w:val="001B5D93"/>
    <w:rsid w:val="001B5E84"/>
    <w:rsid w:val="001B5E93"/>
    <w:rsid w:val="001B6372"/>
    <w:rsid w:val="001B6544"/>
    <w:rsid w:val="001B65AB"/>
    <w:rsid w:val="001B65F5"/>
    <w:rsid w:val="001B67D0"/>
    <w:rsid w:val="001B697E"/>
    <w:rsid w:val="001B6A42"/>
    <w:rsid w:val="001B6B99"/>
    <w:rsid w:val="001B6DDE"/>
    <w:rsid w:val="001B6E01"/>
    <w:rsid w:val="001B6E3A"/>
    <w:rsid w:val="001B6EA7"/>
    <w:rsid w:val="001B7251"/>
    <w:rsid w:val="001B7308"/>
    <w:rsid w:val="001B736B"/>
    <w:rsid w:val="001B747A"/>
    <w:rsid w:val="001B787E"/>
    <w:rsid w:val="001B7925"/>
    <w:rsid w:val="001B795E"/>
    <w:rsid w:val="001B7996"/>
    <w:rsid w:val="001B7A0F"/>
    <w:rsid w:val="001B7A2A"/>
    <w:rsid w:val="001B7A42"/>
    <w:rsid w:val="001B7D0C"/>
    <w:rsid w:val="001B7F0A"/>
    <w:rsid w:val="001B7F5B"/>
    <w:rsid w:val="001C0021"/>
    <w:rsid w:val="001C0047"/>
    <w:rsid w:val="001C028B"/>
    <w:rsid w:val="001C02A4"/>
    <w:rsid w:val="001C0320"/>
    <w:rsid w:val="001C058B"/>
    <w:rsid w:val="001C05BF"/>
    <w:rsid w:val="001C0851"/>
    <w:rsid w:val="001C09AE"/>
    <w:rsid w:val="001C09FD"/>
    <w:rsid w:val="001C0A3C"/>
    <w:rsid w:val="001C0A63"/>
    <w:rsid w:val="001C0BFB"/>
    <w:rsid w:val="001C0DEB"/>
    <w:rsid w:val="001C0EA3"/>
    <w:rsid w:val="001C0F91"/>
    <w:rsid w:val="001C105A"/>
    <w:rsid w:val="001C1099"/>
    <w:rsid w:val="001C1148"/>
    <w:rsid w:val="001C1220"/>
    <w:rsid w:val="001C1291"/>
    <w:rsid w:val="001C1341"/>
    <w:rsid w:val="001C1352"/>
    <w:rsid w:val="001C13C9"/>
    <w:rsid w:val="001C14AE"/>
    <w:rsid w:val="001C1516"/>
    <w:rsid w:val="001C1641"/>
    <w:rsid w:val="001C1764"/>
    <w:rsid w:val="001C18EB"/>
    <w:rsid w:val="001C1916"/>
    <w:rsid w:val="001C19AC"/>
    <w:rsid w:val="001C1AD1"/>
    <w:rsid w:val="001C1B78"/>
    <w:rsid w:val="001C1B99"/>
    <w:rsid w:val="001C1C1D"/>
    <w:rsid w:val="001C1D3C"/>
    <w:rsid w:val="001C1E62"/>
    <w:rsid w:val="001C1F14"/>
    <w:rsid w:val="001C1FC6"/>
    <w:rsid w:val="001C20F7"/>
    <w:rsid w:val="001C215D"/>
    <w:rsid w:val="001C263A"/>
    <w:rsid w:val="001C2AFD"/>
    <w:rsid w:val="001C2B15"/>
    <w:rsid w:val="001C2B54"/>
    <w:rsid w:val="001C2C57"/>
    <w:rsid w:val="001C2EC5"/>
    <w:rsid w:val="001C2FCA"/>
    <w:rsid w:val="001C302F"/>
    <w:rsid w:val="001C3061"/>
    <w:rsid w:val="001C3068"/>
    <w:rsid w:val="001C31D8"/>
    <w:rsid w:val="001C3266"/>
    <w:rsid w:val="001C3291"/>
    <w:rsid w:val="001C32C4"/>
    <w:rsid w:val="001C3309"/>
    <w:rsid w:val="001C35FD"/>
    <w:rsid w:val="001C3955"/>
    <w:rsid w:val="001C397B"/>
    <w:rsid w:val="001C3DFD"/>
    <w:rsid w:val="001C3E95"/>
    <w:rsid w:val="001C3F0E"/>
    <w:rsid w:val="001C3F8E"/>
    <w:rsid w:val="001C3FDB"/>
    <w:rsid w:val="001C4212"/>
    <w:rsid w:val="001C42E9"/>
    <w:rsid w:val="001C4475"/>
    <w:rsid w:val="001C44C0"/>
    <w:rsid w:val="001C455B"/>
    <w:rsid w:val="001C4770"/>
    <w:rsid w:val="001C4A10"/>
    <w:rsid w:val="001C4B18"/>
    <w:rsid w:val="001C51A9"/>
    <w:rsid w:val="001C51C0"/>
    <w:rsid w:val="001C54B5"/>
    <w:rsid w:val="001C552E"/>
    <w:rsid w:val="001C56F3"/>
    <w:rsid w:val="001C57D2"/>
    <w:rsid w:val="001C57F0"/>
    <w:rsid w:val="001C5964"/>
    <w:rsid w:val="001C59B1"/>
    <w:rsid w:val="001C5A47"/>
    <w:rsid w:val="001C5A92"/>
    <w:rsid w:val="001C5C75"/>
    <w:rsid w:val="001C5E01"/>
    <w:rsid w:val="001C5E54"/>
    <w:rsid w:val="001C5EB3"/>
    <w:rsid w:val="001C5FDE"/>
    <w:rsid w:val="001C600C"/>
    <w:rsid w:val="001C61F0"/>
    <w:rsid w:val="001C622C"/>
    <w:rsid w:val="001C62AF"/>
    <w:rsid w:val="001C633B"/>
    <w:rsid w:val="001C661F"/>
    <w:rsid w:val="001C66F1"/>
    <w:rsid w:val="001C680F"/>
    <w:rsid w:val="001C6B38"/>
    <w:rsid w:val="001C6B60"/>
    <w:rsid w:val="001C6C10"/>
    <w:rsid w:val="001C6C6A"/>
    <w:rsid w:val="001C6D98"/>
    <w:rsid w:val="001C6EB4"/>
    <w:rsid w:val="001C6EDB"/>
    <w:rsid w:val="001C6F77"/>
    <w:rsid w:val="001C721E"/>
    <w:rsid w:val="001C738B"/>
    <w:rsid w:val="001C7553"/>
    <w:rsid w:val="001C75BF"/>
    <w:rsid w:val="001C75D4"/>
    <w:rsid w:val="001C75ED"/>
    <w:rsid w:val="001C793E"/>
    <w:rsid w:val="001C7A1E"/>
    <w:rsid w:val="001C7A93"/>
    <w:rsid w:val="001C7B9F"/>
    <w:rsid w:val="001C7D23"/>
    <w:rsid w:val="001C7EDC"/>
    <w:rsid w:val="001C7EFD"/>
    <w:rsid w:val="001D0121"/>
    <w:rsid w:val="001D01D3"/>
    <w:rsid w:val="001D02DC"/>
    <w:rsid w:val="001D035C"/>
    <w:rsid w:val="001D0385"/>
    <w:rsid w:val="001D046E"/>
    <w:rsid w:val="001D05A1"/>
    <w:rsid w:val="001D073D"/>
    <w:rsid w:val="001D07D4"/>
    <w:rsid w:val="001D07E5"/>
    <w:rsid w:val="001D0ADD"/>
    <w:rsid w:val="001D0B33"/>
    <w:rsid w:val="001D0C8D"/>
    <w:rsid w:val="001D0CD4"/>
    <w:rsid w:val="001D0D16"/>
    <w:rsid w:val="001D0DD6"/>
    <w:rsid w:val="001D0DE8"/>
    <w:rsid w:val="001D0E1F"/>
    <w:rsid w:val="001D0E2F"/>
    <w:rsid w:val="001D0E82"/>
    <w:rsid w:val="001D0E9F"/>
    <w:rsid w:val="001D1040"/>
    <w:rsid w:val="001D1352"/>
    <w:rsid w:val="001D13D0"/>
    <w:rsid w:val="001D143F"/>
    <w:rsid w:val="001D14D5"/>
    <w:rsid w:val="001D1501"/>
    <w:rsid w:val="001D15FF"/>
    <w:rsid w:val="001D1730"/>
    <w:rsid w:val="001D1774"/>
    <w:rsid w:val="001D1834"/>
    <w:rsid w:val="001D1B80"/>
    <w:rsid w:val="001D1BCA"/>
    <w:rsid w:val="001D1C05"/>
    <w:rsid w:val="001D1C21"/>
    <w:rsid w:val="001D1D83"/>
    <w:rsid w:val="001D20F0"/>
    <w:rsid w:val="001D21B3"/>
    <w:rsid w:val="001D225E"/>
    <w:rsid w:val="001D2324"/>
    <w:rsid w:val="001D2383"/>
    <w:rsid w:val="001D26DD"/>
    <w:rsid w:val="001D2772"/>
    <w:rsid w:val="001D29D6"/>
    <w:rsid w:val="001D2AD4"/>
    <w:rsid w:val="001D2BE0"/>
    <w:rsid w:val="001D2C33"/>
    <w:rsid w:val="001D2DCD"/>
    <w:rsid w:val="001D2E72"/>
    <w:rsid w:val="001D2EC1"/>
    <w:rsid w:val="001D2FA6"/>
    <w:rsid w:val="001D3019"/>
    <w:rsid w:val="001D32DD"/>
    <w:rsid w:val="001D342C"/>
    <w:rsid w:val="001D3738"/>
    <w:rsid w:val="001D3743"/>
    <w:rsid w:val="001D374E"/>
    <w:rsid w:val="001D3A63"/>
    <w:rsid w:val="001D3A7D"/>
    <w:rsid w:val="001D3CE1"/>
    <w:rsid w:val="001D3DBA"/>
    <w:rsid w:val="001D3E42"/>
    <w:rsid w:val="001D3EE2"/>
    <w:rsid w:val="001D3EE3"/>
    <w:rsid w:val="001D3EFC"/>
    <w:rsid w:val="001D3F8C"/>
    <w:rsid w:val="001D414B"/>
    <w:rsid w:val="001D42C0"/>
    <w:rsid w:val="001D42D5"/>
    <w:rsid w:val="001D4418"/>
    <w:rsid w:val="001D4536"/>
    <w:rsid w:val="001D4567"/>
    <w:rsid w:val="001D46D7"/>
    <w:rsid w:val="001D46DC"/>
    <w:rsid w:val="001D4898"/>
    <w:rsid w:val="001D4B4B"/>
    <w:rsid w:val="001D4C5C"/>
    <w:rsid w:val="001D4F5C"/>
    <w:rsid w:val="001D4FFB"/>
    <w:rsid w:val="001D512D"/>
    <w:rsid w:val="001D52C1"/>
    <w:rsid w:val="001D52D9"/>
    <w:rsid w:val="001D5392"/>
    <w:rsid w:val="001D54B0"/>
    <w:rsid w:val="001D55D8"/>
    <w:rsid w:val="001D57ED"/>
    <w:rsid w:val="001D5820"/>
    <w:rsid w:val="001D5923"/>
    <w:rsid w:val="001D5B20"/>
    <w:rsid w:val="001D5C64"/>
    <w:rsid w:val="001D5C67"/>
    <w:rsid w:val="001D5DFB"/>
    <w:rsid w:val="001D5FE4"/>
    <w:rsid w:val="001D6145"/>
    <w:rsid w:val="001D657E"/>
    <w:rsid w:val="001D6768"/>
    <w:rsid w:val="001D67C0"/>
    <w:rsid w:val="001D67DB"/>
    <w:rsid w:val="001D6972"/>
    <w:rsid w:val="001D6A5E"/>
    <w:rsid w:val="001D6AC7"/>
    <w:rsid w:val="001D6C5A"/>
    <w:rsid w:val="001D6E6F"/>
    <w:rsid w:val="001D6EC4"/>
    <w:rsid w:val="001D6EF5"/>
    <w:rsid w:val="001D6EF6"/>
    <w:rsid w:val="001D7165"/>
    <w:rsid w:val="001D7250"/>
    <w:rsid w:val="001D72AF"/>
    <w:rsid w:val="001D7563"/>
    <w:rsid w:val="001D7684"/>
    <w:rsid w:val="001D78A5"/>
    <w:rsid w:val="001D78D6"/>
    <w:rsid w:val="001D78DD"/>
    <w:rsid w:val="001D7A6C"/>
    <w:rsid w:val="001D7B2A"/>
    <w:rsid w:val="001D7D11"/>
    <w:rsid w:val="001D7E35"/>
    <w:rsid w:val="001D7E76"/>
    <w:rsid w:val="001D7F15"/>
    <w:rsid w:val="001E0250"/>
    <w:rsid w:val="001E029A"/>
    <w:rsid w:val="001E02F2"/>
    <w:rsid w:val="001E039F"/>
    <w:rsid w:val="001E03A2"/>
    <w:rsid w:val="001E051F"/>
    <w:rsid w:val="001E06A0"/>
    <w:rsid w:val="001E0957"/>
    <w:rsid w:val="001E0AF6"/>
    <w:rsid w:val="001E0C83"/>
    <w:rsid w:val="001E0D35"/>
    <w:rsid w:val="001E0DA5"/>
    <w:rsid w:val="001E0E60"/>
    <w:rsid w:val="001E0E74"/>
    <w:rsid w:val="001E110C"/>
    <w:rsid w:val="001E1455"/>
    <w:rsid w:val="001E157E"/>
    <w:rsid w:val="001E15A0"/>
    <w:rsid w:val="001E15D4"/>
    <w:rsid w:val="001E161F"/>
    <w:rsid w:val="001E16C6"/>
    <w:rsid w:val="001E17CA"/>
    <w:rsid w:val="001E18AD"/>
    <w:rsid w:val="001E1C7E"/>
    <w:rsid w:val="001E1E72"/>
    <w:rsid w:val="001E1F40"/>
    <w:rsid w:val="001E1FA9"/>
    <w:rsid w:val="001E2395"/>
    <w:rsid w:val="001E24B4"/>
    <w:rsid w:val="001E2742"/>
    <w:rsid w:val="001E28FD"/>
    <w:rsid w:val="001E2C30"/>
    <w:rsid w:val="001E2C32"/>
    <w:rsid w:val="001E2C83"/>
    <w:rsid w:val="001E2C96"/>
    <w:rsid w:val="001E2D4D"/>
    <w:rsid w:val="001E354C"/>
    <w:rsid w:val="001E3760"/>
    <w:rsid w:val="001E37AE"/>
    <w:rsid w:val="001E3AB6"/>
    <w:rsid w:val="001E3BEF"/>
    <w:rsid w:val="001E3E4C"/>
    <w:rsid w:val="001E3ECA"/>
    <w:rsid w:val="001E3F6E"/>
    <w:rsid w:val="001E3FBE"/>
    <w:rsid w:val="001E40E8"/>
    <w:rsid w:val="001E4115"/>
    <w:rsid w:val="001E41B4"/>
    <w:rsid w:val="001E4302"/>
    <w:rsid w:val="001E4399"/>
    <w:rsid w:val="001E44EB"/>
    <w:rsid w:val="001E4629"/>
    <w:rsid w:val="001E4784"/>
    <w:rsid w:val="001E479D"/>
    <w:rsid w:val="001E4857"/>
    <w:rsid w:val="001E4B21"/>
    <w:rsid w:val="001E4D43"/>
    <w:rsid w:val="001E4DC6"/>
    <w:rsid w:val="001E4E7C"/>
    <w:rsid w:val="001E4FBA"/>
    <w:rsid w:val="001E508F"/>
    <w:rsid w:val="001E5107"/>
    <w:rsid w:val="001E5495"/>
    <w:rsid w:val="001E551F"/>
    <w:rsid w:val="001E5589"/>
    <w:rsid w:val="001E55E5"/>
    <w:rsid w:val="001E55EC"/>
    <w:rsid w:val="001E5754"/>
    <w:rsid w:val="001E5921"/>
    <w:rsid w:val="001E5AE6"/>
    <w:rsid w:val="001E5B20"/>
    <w:rsid w:val="001E5B27"/>
    <w:rsid w:val="001E5B32"/>
    <w:rsid w:val="001E5B62"/>
    <w:rsid w:val="001E5CCC"/>
    <w:rsid w:val="001E5D60"/>
    <w:rsid w:val="001E5F32"/>
    <w:rsid w:val="001E5F7F"/>
    <w:rsid w:val="001E61E5"/>
    <w:rsid w:val="001E61EA"/>
    <w:rsid w:val="001E6436"/>
    <w:rsid w:val="001E64B8"/>
    <w:rsid w:val="001E66C1"/>
    <w:rsid w:val="001E66F3"/>
    <w:rsid w:val="001E67C0"/>
    <w:rsid w:val="001E693E"/>
    <w:rsid w:val="001E6A3C"/>
    <w:rsid w:val="001E6A4F"/>
    <w:rsid w:val="001E6AA6"/>
    <w:rsid w:val="001E6BD9"/>
    <w:rsid w:val="001E6C6E"/>
    <w:rsid w:val="001E6D5E"/>
    <w:rsid w:val="001E6E3C"/>
    <w:rsid w:val="001E70F6"/>
    <w:rsid w:val="001E7559"/>
    <w:rsid w:val="001E75E0"/>
    <w:rsid w:val="001E775F"/>
    <w:rsid w:val="001E7917"/>
    <w:rsid w:val="001E7B5E"/>
    <w:rsid w:val="001E7B8A"/>
    <w:rsid w:val="001F0008"/>
    <w:rsid w:val="001F02A2"/>
    <w:rsid w:val="001F044F"/>
    <w:rsid w:val="001F046E"/>
    <w:rsid w:val="001F053F"/>
    <w:rsid w:val="001F05D8"/>
    <w:rsid w:val="001F0852"/>
    <w:rsid w:val="001F0953"/>
    <w:rsid w:val="001F0ACD"/>
    <w:rsid w:val="001F0B55"/>
    <w:rsid w:val="001F0C7E"/>
    <w:rsid w:val="001F0DA7"/>
    <w:rsid w:val="001F0E29"/>
    <w:rsid w:val="001F0E2B"/>
    <w:rsid w:val="001F1135"/>
    <w:rsid w:val="001F1169"/>
    <w:rsid w:val="001F1239"/>
    <w:rsid w:val="001F12E7"/>
    <w:rsid w:val="001F1469"/>
    <w:rsid w:val="001F14F9"/>
    <w:rsid w:val="001F16E7"/>
    <w:rsid w:val="001F1B78"/>
    <w:rsid w:val="001F1C8F"/>
    <w:rsid w:val="001F1CD4"/>
    <w:rsid w:val="001F1D65"/>
    <w:rsid w:val="001F1F47"/>
    <w:rsid w:val="001F1FE1"/>
    <w:rsid w:val="001F20EC"/>
    <w:rsid w:val="001F22E2"/>
    <w:rsid w:val="001F2318"/>
    <w:rsid w:val="001F231D"/>
    <w:rsid w:val="001F23D6"/>
    <w:rsid w:val="001F26FB"/>
    <w:rsid w:val="001F2720"/>
    <w:rsid w:val="001F27BC"/>
    <w:rsid w:val="001F27CA"/>
    <w:rsid w:val="001F2879"/>
    <w:rsid w:val="001F28B2"/>
    <w:rsid w:val="001F293D"/>
    <w:rsid w:val="001F2A78"/>
    <w:rsid w:val="001F2C88"/>
    <w:rsid w:val="001F2E8A"/>
    <w:rsid w:val="001F2F3D"/>
    <w:rsid w:val="001F3020"/>
    <w:rsid w:val="001F31C9"/>
    <w:rsid w:val="001F325B"/>
    <w:rsid w:val="001F32CD"/>
    <w:rsid w:val="001F3326"/>
    <w:rsid w:val="001F3615"/>
    <w:rsid w:val="001F3790"/>
    <w:rsid w:val="001F37CE"/>
    <w:rsid w:val="001F37E8"/>
    <w:rsid w:val="001F38D4"/>
    <w:rsid w:val="001F3973"/>
    <w:rsid w:val="001F3A35"/>
    <w:rsid w:val="001F3B24"/>
    <w:rsid w:val="001F3B81"/>
    <w:rsid w:val="001F3C17"/>
    <w:rsid w:val="001F3C6A"/>
    <w:rsid w:val="001F3D67"/>
    <w:rsid w:val="001F3D90"/>
    <w:rsid w:val="001F3E85"/>
    <w:rsid w:val="001F3F04"/>
    <w:rsid w:val="001F3F82"/>
    <w:rsid w:val="001F426C"/>
    <w:rsid w:val="001F43B4"/>
    <w:rsid w:val="001F45CC"/>
    <w:rsid w:val="001F462B"/>
    <w:rsid w:val="001F4721"/>
    <w:rsid w:val="001F4820"/>
    <w:rsid w:val="001F48B9"/>
    <w:rsid w:val="001F4A8D"/>
    <w:rsid w:val="001F4F28"/>
    <w:rsid w:val="001F50E4"/>
    <w:rsid w:val="001F5290"/>
    <w:rsid w:val="001F53E2"/>
    <w:rsid w:val="001F54A5"/>
    <w:rsid w:val="001F5617"/>
    <w:rsid w:val="001F5A41"/>
    <w:rsid w:val="001F5B43"/>
    <w:rsid w:val="001F5CD0"/>
    <w:rsid w:val="001F5E17"/>
    <w:rsid w:val="001F5E5B"/>
    <w:rsid w:val="001F5F11"/>
    <w:rsid w:val="001F5FAE"/>
    <w:rsid w:val="001F5FB6"/>
    <w:rsid w:val="001F61E0"/>
    <w:rsid w:val="001F61F1"/>
    <w:rsid w:val="001F62F7"/>
    <w:rsid w:val="001F648F"/>
    <w:rsid w:val="001F64DE"/>
    <w:rsid w:val="001F64F8"/>
    <w:rsid w:val="001F65E7"/>
    <w:rsid w:val="001F67E0"/>
    <w:rsid w:val="001F6818"/>
    <w:rsid w:val="001F68D1"/>
    <w:rsid w:val="001F693A"/>
    <w:rsid w:val="001F69C8"/>
    <w:rsid w:val="001F6C09"/>
    <w:rsid w:val="001F6D2E"/>
    <w:rsid w:val="001F6F19"/>
    <w:rsid w:val="001F6F57"/>
    <w:rsid w:val="001F7456"/>
    <w:rsid w:val="001F7516"/>
    <w:rsid w:val="001F757A"/>
    <w:rsid w:val="001F7620"/>
    <w:rsid w:val="001F7727"/>
    <w:rsid w:val="001F7756"/>
    <w:rsid w:val="001F77A6"/>
    <w:rsid w:val="001F7B74"/>
    <w:rsid w:val="001F7C4B"/>
    <w:rsid w:val="001F7DE2"/>
    <w:rsid w:val="00200019"/>
    <w:rsid w:val="002000FF"/>
    <w:rsid w:val="002001D8"/>
    <w:rsid w:val="002004BB"/>
    <w:rsid w:val="0020050B"/>
    <w:rsid w:val="00200676"/>
    <w:rsid w:val="002008EC"/>
    <w:rsid w:val="00200A38"/>
    <w:rsid w:val="00200A98"/>
    <w:rsid w:val="00200BE0"/>
    <w:rsid w:val="00200D72"/>
    <w:rsid w:val="0020102C"/>
    <w:rsid w:val="00201032"/>
    <w:rsid w:val="00201172"/>
    <w:rsid w:val="002012EF"/>
    <w:rsid w:val="002014C4"/>
    <w:rsid w:val="002015B3"/>
    <w:rsid w:val="002015C4"/>
    <w:rsid w:val="002017AB"/>
    <w:rsid w:val="002017BB"/>
    <w:rsid w:val="00201AD6"/>
    <w:rsid w:val="00201BAF"/>
    <w:rsid w:val="00201DC6"/>
    <w:rsid w:val="00201EF6"/>
    <w:rsid w:val="00201F86"/>
    <w:rsid w:val="00202074"/>
    <w:rsid w:val="00202090"/>
    <w:rsid w:val="0020211C"/>
    <w:rsid w:val="00202162"/>
    <w:rsid w:val="002021D4"/>
    <w:rsid w:val="002021DE"/>
    <w:rsid w:val="0020238F"/>
    <w:rsid w:val="002025FA"/>
    <w:rsid w:val="00202715"/>
    <w:rsid w:val="00202836"/>
    <w:rsid w:val="00202BA9"/>
    <w:rsid w:val="00202D0C"/>
    <w:rsid w:val="00202F68"/>
    <w:rsid w:val="00202FB1"/>
    <w:rsid w:val="002031B1"/>
    <w:rsid w:val="002031C1"/>
    <w:rsid w:val="002031CA"/>
    <w:rsid w:val="002032C7"/>
    <w:rsid w:val="002032EE"/>
    <w:rsid w:val="00203305"/>
    <w:rsid w:val="0020346B"/>
    <w:rsid w:val="002034B9"/>
    <w:rsid w:val="00203548"/>
    <w:rsid w:val="0020363F"/>
    <w:rsid w:val="002037AA"/>
    <w:rsid w:val="00203871"/>
    <w:rsid w:val="002039B4"/>
    <w:rsid w:val="00203AEE"/>
    <w:rsid w:val="00203B71"/>
    <w:rsid w:val="00203BF7"/>
    <w:rsid w:val="00203C98"/>
    <w:rsid w:val="00203D81"/>
    <w:rsid w:val="00203E6D"/>
    <w:rsid w:val="00204012"/>
    <w:rsid w:val="002041E2"/>
    <w:rsid w:val="00204239"/>
    <w:rsid w:val="00204695"/>
    <w:rsid w:val="002047B8"/>
    <w:rsid w:val="0020480F"/>
    <w:rsid w:val="00204825"/>
    <w:rsid w:val="002048EE"/>
    <w:rsid w:val="00204B54"/>
    <w:rsid w:val="00204BBA"/>
    <w:rsid w:val="00204D7B"/>
    <w:rsid w:val="00204E1A"/>
    <w:rsid w:val="00205037"/>
    <w:rsid w:val="0020514F"/>
    <w:rsid w:val="002051D9"/>
    <w:rsid w:val="002051FC"/>
    <w:rsid w:val="002052D7"/>
    <w:rsid w:val="00205327"/>
    <w:rsid w:val="00205616"/>
    <w:rsid w:val="002056B1"/>
    <w:rsid w:val="002056F9"/>
    <w:rsid w:val="0020573D"/>
    <w:rsid w:val="00205764"/>
    <w:rsid w:val="002057AD"/>
    <w:rsid w:val="00205806"/>
    <w:rsid w:val="0020580C"/>
    <w:rsid w:val="0020597B"/>
    <w:rsid w:val="0020599D"/>
    <w:rsid w:val="00205A33"/>
    <w:rsid w:val="00205C8C"/>
    <w:rsid w:val="00205CCF"/>
    <w:rsid w:val="00205DBB"/>
    <w:rsid w:val="00205DC2"/>
    <w:rsid w:val="00205E21"/>
    <w:rsid w:val="00205E3E"/>
    <w:rsid w:val="002060A0"/>
    <w:rsid w:val="0020617C"/>
    <w:rsid w:val="0020626F"/>
    <w:rsid w:val="002062B1"/>
    <w:rsid w:val="002063EE"/>
    <w:rsid w:val="0020645C"/>
    <w:rsid w:val="0020668A"/>
    <w:rsid w:val="00206AE1"/>
    <w:rsid w:val="00206BE4"/>
    <w:rsid w:val="00206D09"/>
    <w:rsid w:val="00206D3C"/>
    <w:rsid w:val="00206D63"/>
    <w:rsid w:val="00206E68"/>
    <w:rsid w:val="00206E87"/>
    <w:rsid w:val="002071D9"/>
    <w:rsid w:val="00207227"/>
    <w:rsid w:val="0020737D"/>
    <w:rsid w:val="0020748E"/>
    <w:rsid w:val="002074D7"/>
    <w:rsid w:val="0020756C"/>
    <w:rsid w:val="002075CC"/>
    <w:rsid w:val="00207812"/>
    <w:rsid w:val="00207908"/>
    <w:rsid w:val="002079A3"/>
    <w:rsid w:val="00207CA8"/>
    <w:rsid w:val="00207E35"/>
    <w:rsid w:val="00207F8B"/>
    <w:rsid w:val="00210016"/>
    <w:rsid w:val="002101D5"/>
    <w:rsid w:val="00210293"/>
    <w:rsid w:val="002103AE"/>
    <w:rsid w:val="00210403"/>
    <w:rsid w:val="00210418"/>
    <w:rsid w:val="00210443"/>
    <w:rsid w:val="0021054B"/>
    <w:rsid w:val="0021059F"/>
    <w:rsid w:val="002105C9"/>
    <w:rsid w:val="0021061E"/>
    <w:rsid w:val="00210677"/>
    <w:rsid w:val="002109EF"/>
    <w:rsid w:val="00210CD4"/>
    <w:rsid w:val="00210F32"/>
    <w:rsid w:val="00211053"/>
    <w:rsid w:val="00211118"/>
    <w:rsid w:val="00211218"/>
    <w:rsid w:val="00211283"/>
    <w:rsid w:val="002112B4"/>
    <w:rsid w:val="0021162C"/>
    <w:rsid w:val="00211699"/>
    <w:rsid w:val="002116B2"/>
    <w:rsid w:val="002117F7"/>
    <w:rsid w:val="00211988"/>
    <w:rsid w:val="00211CBA"/>
    <w:rsid w:val="00211D76"/>
    <w:rsid w:val="00211E4D"/>
    <w:rsid w:val="00211FA5"/>
    <w:rsid w:val="00211FB1"/>
    <w:rsid w:val="00211FF9"/>
    <w:rsid w:val="0021227B"/>
    <w:rsid w:val="002123B4"/>
    <w:rsid w:val="00212743"/>
    <w:rsid w:val="00212B7E"/>
    <w:rsid w:val="00212C79"/>
    <w:rsid w:val="00212D1F"/>
    <w:rsid w:val="00213107"/>
    <w:rsid w:val="002131AC"/>
    <w:rsid w:val="002132B5"/>
    <w:rsid w:val="002132B8"/>
    <w:rsid w:val="002132BA"/>
    <w:rsid w:val="002132D6"/>
    <w:rsid w:val="0021362B"/>
    <w:rsid w:val="0021364D"/>
    <w:rsid w:val="00213670"/>
    <w:rsid w:val="0021381F"/>
    <w:rsid w:val="002138E7"/>
    <w:rsid w:val="00213A01"/>
    <w:rsid w:val="00213B84"/>
    <w:rsid w:val="00213BBB"/>
    <w:rsid w:val="00213D9D"/>
    <w:rsid w:val="00213EA5"/>
    <w:rsid w:val="00213F46"/>
    <w:rsid w:val="00213F50"/>
    <w:rsid w:val="00213F8C"/>
    <w:rsid w:val="002141EC"/>
    <w:rsid w:val="0021430D"/>
    <w:rsid w:val="00214632"/>
    <w:rsid w:val="00214989"/>
    <w:rsid w:val="002149CC"/>
    <w:rsid w:val="002149D2"/>
    <w:rsid w:val="00214B12"/>
    <w:rsid w:val="00214E4D"/>
    <w:rsid w:val="00214FD6"/>
    <w:rsid w:val="0021504A"/>
    <w:rsid w:val="002151FD"/>
    <w:rsid w:val="002154A2"/>
    <w:rsid w:val="00215539"/>
    <w:rsid w:val="00215A1C"/>
    <w:rsid w:val="00215A60"/>
    <w:rsid w:val="00215A97"/>
    <w:rsid w:val="00215AFB"/>
    <w:rsid w:val="00215EE5"/>
    <w:rsid w:val="00215FC4"/>
    <w:rsid w:val="0021614B"/>
    <w:rsid w:val="002161B3"/>
    <w:rsid w:val="002163BC"/>
    <w:rsid w:val="0021657D"/>
    <w:rsid w:val="0021669A"/>
    <w:rsid w:val="00216852"/>
    <w:rsid w:val="0021685C"/>
    <w:rsid w:val="0021696C"/>
    <w:rsid w:val="0021696F"/>
    <w:rsid w:val="00216980"/>
    <w:rsid w:val="00216BB5"/>
    <w:rsid w:val="00216BF5"/>
    <w:rsid w:val="00216E03"/>
    <w:rsid w:val="00216EC7"/>
    <w:rsid w:val="0021705F"/>
    <w:rsid w:val="00217255"/>
    <w:rsid w:val="002172DF"/>
    <w:rsid w:val="00217366"/>
    <w:rsid w:val="002173CC"/>
    <w:rsid w:val="00217734"/>
    <w:rsid w:val="0021793B"/>
    <w:rsid w:val="00217A02"/>
    <w:rsid w:val="00217B28"/>
    <w:rsid w:val="00217B81"/>
    <w:rsid w:val="00217B97"/>
    <w:rsid w:val="00217BF7"/>
    <w:rsid w:val="00217C0F"/>
    <w:rsid w:val="00217E62"/>
    <w:rsid w:val="00217E6A"/>
    <w:rsid w:val="00217FEB"/>
    <w:rsid w:val="00220108"/>
    <w:rsid w:val="0022022A"/>
    <w:rsid w:val="00220238"/>
    <w:rsid w:val="0022028F"/>
    <w:rsid w:val="00220504"/>
    <w:rsid w:val="00220525"/>
    <w:rsid w:val="00220785"/>
    <w:rsid w:val="002207AA"/>
    <w:rsid w:val="002208F3"/>
    <w:rsid w:val="002209C6"/>
    <w:rsid w:val="00220C07"/>
    <w:rsid w:val="0022107C"/>
    <w:rsid w:val="002212C5"/>
    <w:rsid w:val="00221481"/>
    <w:rsid w:val="0022152E"/>
    <w:rsid w:val="00221771"/>
    <w:rsid w:val="00221C54"/>
    <w:rsid w:val="00221D0B"/>
    <w:rsid w:val="00221F9D"/>
    <w:rsid w:val="00222045"/>
    <w:rsid w:val="00222094"/>
    <w:rsid w:val="002224BD"/>
    <w:rsid w:val="002225A3"/>
    <w:rsid w:val="00222611"/>
    <w:rsid w:val="00222621"/>
    <w:rsid w:val="0022267E"/>
    <w:rsid w:val="002227EC"/>
    <w:rsid w:val="002229BC"/>
    <w:rsid w:val="002229F7"/>
    <w:rsid w:val="00222ADB"/>
    <w:rsid w:val="00222D74"/>
    <w:rsid w:val="00222E99"/>
    <w:rsid w:val="002230C0"/>
    <w:rsid w:val="00223146"/>
    <w:rsid w:val="00223185"/>
    <w:rsid w:val="00223208"/>
    <w:rsid w:val="0022328F"/>
    <w:rsid w:val="002232E8"/>
    <w:rsid w:val="00223301"/>
    <w:rsid w:val="002234CF"/>
    <w:rsid w:val="002235F5"/>
    <w:rsid w:val="00223637"/>
    <w:rsid w:val="00223645"/>
    <w:rsid w:val="002236BE"/>
    <w:rsid w:val="00223917"/>
    <w:rsid w:val="002239DC"/>
    <w:rsid w:val="00223B29"/>
    <w:rsid w:val="00223B32"/>
    <w:rsid w:val="00223C8A"/>
    <w:rsid w:val="00223CE5"/>
    <w:rsid w:val="00223CFE"/>
    <w:rsid w:val="00223E50"/>
    <w:rsid w:val="00223F26"/>
    <w:rsid w:val="00224069"/>
    <w:rsid w:val="0022423C"/>
    <w:rsid w:val="00224516"/>
    <w:rsid w:val="00224688"/>
    <w:rsid w:val="002247FE"/>
    <w:rsid w:val="002249AD"/>
    <w:rsid w:val="00224B0D"/>
    <w:rsid w:val="00224EB2"/>
    <w:rsid w:val="00224F15"/>
    <w:rsid w:val="00224F91"/>
    <w:rsid w:val="002250B6"/>
    <w:rsid w:val="00225108"/>
    <w:rsid w:val="00225337"/>
    <w:rsid w:val="0022543C"/>
    <w:rsid w:val="002255E8"/>
    <w:rsid w:val="00225615"/>
    <w:rsid w:val="002257B2"/>
    <w:rsid w:val="00225822"/>
    <w:rsid w:val="00225936"/>
    <w:rsid w:val="00225A87"/>
    <w:rsid w:val="00225B18"/>
    <w:rsid w:val="00225C22"/>
    <w:rsid w:val="00225DAB"/>
    <w:rsid w:val="00225F4B"/>
    <w:rsid w:val="00226024"/>
    <w:rsid w:val="002260E6"/>
    <w:rsid w:val="00226120"/>
    <w:rsid w:val="00226292"/>
    <w:rsid w:val="002264B9"/>
    <w:rsid w:val="002267EB"/>
    <w:rsid w:val="00226838"/>
    <w:rsid w:val="002269BC"/>
    <w:rsid w:val="00226C2A"/>
    <w:rsid w:val="00226CEF"/>
    <w:rsid w:val="00226DE1"/>
    <w:rsid w:val="00226E78"/>
    <w:rsid w:val="00226F86"/>
    <w:rsid w:val="00226FCB"/>
    <w:rsid w:val="0022700E"/>
    <w:rsid w:val="00227018"/>
    <w:rsid w:val="002271A4"/>
    <w:rsid w:val="00227484"/>
    <w:rsid w:val="0022753A"/>
    <w:rsid w:val="00227626"/>
    <w:rsid w:val="002276DA"/>
    <w:rsid w:val="002277DA"/>
    <w:rsid w:val="00227836"/>
    <w:rsid w:val="00227838"/>
    <w:rsid w:val="0022795F"/>
    <w:rsid w:val="00227D08"/>
    <w:rsid w:val="00227E20"/>
    <w:rsid w:val="00227E86"/>
    <w:rsid w:val="00230085"/>
    <w:rsid w:val="002300DE"/>
    <w:rsid w:val="002300F2"/>
    <w:rsid w:val="0023019D"/>
    <w:rsid w:val="0023021E"/>
    <w:rsid w:val="00230421"/>
    <w:rsid w:val="0023055E"/>
    <w:rsid w:val="00230738"/>
    <w:rsid w:val="002309B9"/>
    <w:rsid w:val="002309EB"/>
    <w:rsid w:val="00230A03"/>
    <w:rsid w:val="00230A29"/>
    <w:rsid w:val="00230BEA"/>
    <w:rsid w:val="00230C9A"/>
    <w:rsid w:val="00230D05"/>
    <w:rsid w:val="00230D6B"/>
    <w:rsid w:val="00230FDA"/>
    <w:rsid w:val="0023102B"/>
    <w:rsid w:val="0023105A"/>
    <w:rsid w:val="00231220"/>
    <w:rsid w:val="00231267"/>
    <w:rsid w:val="00231303"/>
    <w:rsid w:val="00231872"/>
    <w:rsid w:val="00231951"/>
    <w:rsid w:val="00231AB2"/>
    <w:rsid w:val="00231B86"/>
    <w:rsid w:val="00231E8E"/>
    <w:rsid w:val="00231F8D"/>
    <w:rsid w:val="00232237"/>
    <w:rsid w:val="0023223A"/>
    <w:rsid w:val="00232346"/>
    <w:rsid w:val="00232471"/>
    <w:rsid w:val="002324C1"/>
    <w:rsid w:val="002325BC"/>
    <w:rsid w:val="00232610"/>
    <w:rsid w:val="00232726"/>
    <w:rsid w:val="0023282E"/>
    <w:rsid w:val="002328AC"/>
    <w:rsid w:val="00232ABD"/>
    <w:rsid w:val="00232C05"/>
    <w:rsid w:val="00232C0A"/>
    <w:rsid w:val="00232D3C"/>
    <w:rsid w:val="00232DDE"/>
    <w:rsid w:val="00232DE2"/>
    <w:rsid w:val="0023308B"/>
    <w:rsid w:val="002330BD"/>
    <w:rsid w:val="00233121"/>
    <w:rsid w:val="002333A3"/>
    <w:rsid w:val="002334B3"/>
    <w:rsid w:val="002334C4"/>
    <w:rsid w:val="00233956"/>
    <w:rsid w:val="002339A1"/>
    <w:rsid w:val="00233BB8"/>
    <w:rsid w:val="00233C81"/>
    <w:rsid w:val="00234099"/>
    <w:rsid w:val="0023413C"/>
    <w:rsid w:val="00234460"/>
    <w:rsid w:val="00234703"/>
    <w:rsid w:val="002347D6"/>
    <w:rsid w:val="0023495D"/>
    <w:rsid w:val="00234DFE"/>
    <w:rsid w:val="00234E31"/>
    <w:rsid w:val="00235062"/>
    <w:rsid w:val="00235343"/>
    <w:rsid w:val="00235446"/>
    <w:rsid w:val="00235475"/>
    <w:rsid w:val="0023569D"/>
    <w:rsid w:val="00235A23"/>
    <w:rsid w:val="00235A2B"/>
    <w:rsid w:val="00235A65"/>
    <w:rsid w:val="00235B5B"/>
    <w:rsid w:val="00235B67"/>
    <w:rsid w:val="00235CA4"/>
    <w:rsid w:val="00235D27"/>
    <w:rsid w:val="00235D57"/>
    <w:rsid w:val="002360CD"/>
    <w:rsid w:val="002361FA"/>
    <w:rsid w:val="0023631A"/>
    <w:rsid w:val="00236401"/>
    <w:rsid w:val="002364DF"/>
    <w:rsid w:val="0023656B"/>
    <w:rsid w:val="0023689C"/>
    <w:rsid w:val="0023698D"/>
    <w:rsid w:val="00236A1E"/>
    <w:rsid w:val="00236A58"/>
    <w:rsid w:val="00236B7B"/>
    <w:rsid w:val="00236C9F"/>
    <w:rsid w:val="00236D16"/>
    <w:rsid w:val="00236DEC"/>
    <w:rsid w:val="0023724A"/>
    <w:rsid w:val="0023726B"/>
    <w:rsid w:val="002372B5"/>
    <w:rsid w:val="002372F7"/>
    <w:rsid w:val="0023735D"/>
    <w:rsid w:val="002374AB"/>
    <w:rsid w:val="00237572"/>
    <w:rsid w:val="0023764A"/>
    <w:rsid w:val="002377B2"/>
    <w:rsid w:val="00237827"/>
    <w:rsid w:val="00237A26"/>
    <w:rsid w:val="00237C0A"/>
    <w:rsid w:val="00237F38"/>
    <w:rsid w:val="00237F5D"/>
    <w:rsid w:val="00240407"/>
    <w:rsid w:val="002404CB"/>
    <w:rsid w:val="002404CD"/>
    <w:rsid w:val="002406DB"/>
    <w:rsid w:val="00240904"/>
    <w:rsid w:val="00240B00"/>
    <w:rsid w:val="00240B54"/>
    <w:rsid w:val="00240BD2"/>
    <w:rsid w:val="00240BE1"/>
    <w:rsid w:val="00240C10"/>
    <w:rsid w:val="00240CF8"/>
    <w:rsid w:val="0024112A"/>
    <w:rsid w:val="00241184"/>
    <w:rsid w:val="00241185"/>
    <w:rsid w:val="0024138A"/>
    <w:rsid w:val="002414E1"/>
    <w:rsid w:val="0024167D"/>
    <w:rsid w:val="002417A3"/>
    <w:rsid w:val="002418D4"/>
    <w:rsid w:val="002419A0"/>
    <w:rsid w:val="00241A7B"/>
    <w:rsid w:val="00242115"/>
    <w:rsid w:val="002423F8"/>
    <w:rsid w:val="00242479"/>
    <w:rsid w:val="00242528"/>
    <w:rsid w:val="002425B2"/>
    <w:rsid w:val="00242673"/>
    <w:rsid w:val="00242B33"/>
    <w:rsid w:val="00242BD4"/>
    <w:rsid w:val="00242C81"/>
    <w:rsid w:val="00242E40"/>
    <w:rsid w:val="00242F37"/>
    <w:rsid w:val="00242FE8"/>
    <w:rsid w:val="0024300F"/>
    <w:rsid w:val="002430D3"/>
    <w:rsid w:val="00243170"/>
    <w:rsid w:val="0024318F"/>
    <w:rsid w:val="002431C0"/>
    <w:rsid w:val="002433B9"/>
    <w:rsid w:val="002434B3"/>
    <w:rsid w:val="002435E4"/>
    <w:rsid w:val="0024363D"/>
    <w:rsid w:val="00243724"/>
    <w:rsid w:val="00243771"/>
    <w:rsid w:val="002437F9"/>
    <w:rsid w:val="002438B0"/>
    <w:rsid w:val="002438B7"/>
    <w:rsid w:val="00243A92"/>
    <w:rsid w:val="00243B76"/>
    <w:rsid w:val="00243DBA"/>
    <w:rsid w:val="00243EEF"/>
    <w:rsid w:val="002440BE"/>
    <w:rsid w:val="00244188"/>
    <w:rsid w:val="00244268"/>
    <w:rsid w:val="0024430F"/>
    <w:rsid w:val="00244368"/>
    <w:rsid w:val="00244406"/>
    <w:rsid w:val="00244580"/>
    <w:rsid w:val="00244685"/>
    <w:rsid w:val="002447A3"/>
    <w:rsid w:val="00244A0A"/>
    <w:rsid w:val="00244A52"/>
    <w:rsid w:val="00244C14"/>
    <w:rsid w:val="00244C70"/>
    <w:rsid w:val="00244D82"/>
    <w:rsid w:val="00244EBF"/>
    <w:rsid w:val="00244F42"/>
    <w:rsid w:val="0024507C"/>
    <w:rsid w:val="002452D4"/>
    <w:rsid w:val="00245375"/>
    <w:rsid w:val="0024548B"/>
    <w:rsid w:val="002455B3"/>
    <w:rsid w:val="0024565E"/>
    <w:rsid w:val="002457B5"/>
    <w:rsid w:val="002457CA"/>
    <w:rsid w:val="002458E1"/>
    <w:rsid w:val="002459A6"/>
    <w:rsid w:val="00245A64"/>
    <w:rsid w:val="00245C6C"/>
    <w:rsid w:val="00245C70"/>
    <w:rsid w:val="00246148"/>
    <w:rsid w:val="0024651A"/>
    <w:rsid w:val="002468BE"/>
    <w:rsid w:val="002468FA"/>
    <w:rsid w:val="00246B2C"/>
    <w:rsid w:val="00246CB2"/>
    <w:rsid w:val="00246D51"/>
    <w:rsid w:val="00246D80"/>
    <w:rsid w:val="00246F42"/>
    <w:rsid w:val="0024748F"/>
    <w:rsid w:val="002474E7"/>
    <w:rsid w:val="002476CB"/>
    <w:rsid w:val="002476F3"/>
    <w:rsid w:val="0024798D"/>
    <w:rsid w:val="00247A79"/>
    <w:rsid w:val="00247ABC"/>
    <w:rsid w:val="00247AF7"/>
    <w:rsid w:val="00247C52"/>
    <w:rsid w:val="00247F6C"/>
    <w:rsid w:val="002500B9"/>
    <w:rsid w:val="0025016E"/>
    <w:rsid w:val="0025035F"/>
    <w:rsid w:val="002509E3"/>
    <w:rsid w:val="00250A20"/>
    <w:rsid w:val="00250A36"/>
    <w:rsid w:val="00250C57"/>
    <w:rsid w:val="00250E3B"/>
    <w:rsid w:val="00250F77"/>
    <w:rsid w:val="00250FE5"/>
    <w:rsid w:val="002512B9"/>
    <w:rsid w:val="0025139A"/>
    <w:rsid w:val="002513D2"/>
    <w:rsid w:val="0025168C"/>
    <w:rsid w:val="002518AB"/>
    <w:rsid w:val="00251A39"/>
    <w:rsid w:val="00251B01"/>
    <w:rsid w:val="00251BA7"/>
    <w:rsid w:val="00251C01"/>
    <w:rsid w:val="00251C7A"/>
    <w:rsid w:val="00251C97"/>
    <w:rsid w:val="00251D4E"/>
    <w:rsid w:val="00251D7C"/>
    <w:rsid w:val="00251E2A"/>
    <w:rsid w:val="00251E74"/>
    <w:rsid w:val="002520C4"/>
    <w:rsid w:val="002520EF"/>
    <w:rsid w:val="00252167"/>
    <w:rsid w:val="0025219C"/>
    <w:rsid w:val="0025227B"/>
    <w:rsid w:val="002522E9"/>
    <w:rsid w:val="002523B1"/>
    <w:rsid w:val="00252466"/>
    <w:rsid w:val="002524E2"/>
    <w:rsid w:val="00252579"/>
    <w:rsid w:val="0025298D"/>
    <w:rsid w:val="00252BBE"/>
    <w:rsid w:val="00252CEC"/>
    <w:rsid w:val="00253031"/>
    <w:rsid w:val="002530E6"/>
    <w:rsid w:val="00253433"/>
    <w:rsid w:val="002534A1"/>
    <w:rsid w:val="00253527"/>
    <w:rsid w:val="00253584"/>
    <w:rsid w:val="00253696"/>
    <w:rsid w:val="002536DE"/>
    <w:rsid w:val="00253C4A"/>
    <w:rsid w:val="0025401F"/>
    <w:rsid w:val="00254041"/>
    <w:rsid w:val="002540DA"/>
    <w:rsid w:val="00254201"/>
    <w:rsid w:val="00254202"/>
    <w:rsid w:val="0025426F"/>
    <w:rsid w:val="0025437C"/>
    <w:rsid w:val="00254396"/>
    <w:rsid w:val="0025465C"/>
    <w:rsid w:val="002546D8"/>
    <w:rsid w:val="0025471F"/>
    <w:rsid w:val="00254746"/>
    <w:rsid w:val="00254828"/>
    <w:rsid w:val="00254999"/>
    <w:rsid w:val="00254B0C"/>
    <w:rsid w:val="00254BE5"/>
    <w:rsid w:val="00254C15"/>
    <w:rsid w:val="00254E63"/>
    <w:rsid w:val="00254FCE"/>
    <w:rsid w:val="00255443"/>
    <w:rsid w:val="00255483"/>
    <w:rsid w:val="00255604"/>
    <w:rsid w:val="00255611"/>
    <w:rsid w:val="0025563B"/>
    <w:rsid w:val="002556C7"/>
    <w:rsid w:val="002557E5"/>
    <w:rsid w:val="00255858"/>
    <w:rsid w:val="00255A9B"/>
    <w:rsid w:val="00255B58"/>
    <w:rsid w:val="00255B94"/>
    <w:rsid w:val="00255B9F"/>
    <w:rsid w:val="00255E57"/>
    <w:rsid w:val="00256107"/>
    <w:rsid w:val="002562AA"/>
    <w:rsid w:val="00256455"/>
    <w:rsid w:val="002565AF"/>
    <w:rsid w:val="002566F3"/>
    <w:rsid w:val="00256873"/>
    <w:rsid w:val="00256C6C"/>
    <w:rsid w:val="00256EB8"/>
    <w:rsid w:val="00256F2D"/>
    <w:rsid w:val="00256F93"/>
    <w:rsid w:val="00256FC7"/>
    <w:rsid w:val="00257034"/>
    <w:rsid w:val="0025707E"/>
    <w:rsid w:val="00257087"/>
    <w:rsid w:val="002571F4"/>
    <w:rsid w:val="0025732C"/>
    <w:rsid w:val="002574E3"/>
    <w:rsid w:val="002575CA"/>
    <w:rsid w:val="002577F4"/>
    <w:rsid w:val="00257C58"/>
    <w:rsid w:val="00257C66"/>
    <w:rsid w:val="00257F71"/>
    <w:rsid w:val="00257F7C"/>
    <w:rsid w:val="00257F9F"/>
    <w:rsid w:val="00260064"/>
    <w:rsid w:val="00260346"/>
    <w:rsid w:val="002607BF"/>
    <w:rsid w:val="0026080B"/>
    <w:rsid w:val="0026088F"/>
    <w:rsid w:val="002608A6"/>
    <w:rsid w:val="00260934"/>
    <w:rsid w:val="00260CD5"/>
    <w:rsid w:val="00260FAC"/>
    <w:rsid w:val="00260FCB"/>
    <w:rsid w:val="002611E1"/>
    <w:rsid w:val="002612AB"/>
    <w:rsid w:val="002612CE"/>
    <w:rsid w:val="00261347"/>
    <w:rsid w:val="0026150B"/>
    <w:rsid w:val="002615CA"/>
    <w:rsid w:val="0026176B"/>
    <w:rsid w:val="002618F4"/>
    <w:rsid w:val="00261A0E"/>
    <w:rsid w:val="00261A10"/>
    <w:rsid w:val="00261A1D"/>
    <w:rsid w:val="00261EC6"/>
    <w:rsid w:val="00261FC6"/>
    <w:rsid w:val="002622F0"/>
    <w:rsid w:val="00262466"/>
    <w:rsid w:val="002624B1"/>
    <w:rsid w:val="0026281C"/>
    <w:rsid w:val="002628EE"/>
    <w:rsid w:val="00262A8F"/>
    <w:rsid w:val="00262AE0"/>
    <w:rsid w:val="00262BCA"/>
    <w:rsid w:val="00262D1A"/>
    <w:rsid w:val="00262DB2"/>
    <w:rsid w:val="0026308F"/>
    <w:rsid w:val="00263367"/>
    <w:rsid w:val="0026374C"/>
    <w:rsid w:val="002637EF"/>
    <w:rsid w:val="00263898"/>
    <w:rsid w:val="0026395D"/>
    <w:rsid w:val="002639D6"/>
    <w:rsid w:val="00263ABE"/>
    <w:rsid w:val="00263C23"/>
    <w:rsid w:val="00263CEB"/>
    <w:rsid w:val="00263D1A"/>
    <w:rsid w:val="00263EB8"/>
    <w:rsid w:val="00264248"/>
    <w:rsid w:val="00264339"/>
    <w:rsid w:val="00264489"/>
    <w:rsid w:val="00264591"/>
    <w:rsid w:val="002645A0"/>
    <w:rsid w:val="002646C5"/>
    <w:rsid w:val="002647D3"/>
    <w:rsid w:val="002649B6"/>
    <w:rsid w:val="00264B6E"/>
    <w:rsid w:val="00264B79"/>
    <w:rsid w:val="00264C32"/>
    <w:rsid w:val="00264CF0"/>
    <w:rsid w:val="00264D5C"/>
    <w:rsid w:val="00264D6C"/>
    <w:rsid w:val="00264EFF"/>
    <w:rsid w:val="00264F80"/>
    <w:rsid w:val="0026500D"/>
    <w:rsid w:val="002651B8"/>
    <w:rsid w:val="00265232"/>
    <w:rsid w:val="002652C4"/>
    <w:rsid w:val="00265470"/>
    <w:rsid w:val="0026558F"/>
    <w:rsid w:val="002656D0"/>
    <w:rsid w:val="0026589E"/>
    <w:rsid w:val="00265976"/>
    <w:rsid w:val="00265D43"/>
    <w:rsid w:val="00266118"/>
    <w:rsid w:val="002661BE"/>
    <w:rsid w:val="00266240"/>
    <w:rsid w:val="002662BC"/>
    <w:rsid w:val="00266478"/>
    <w:rsid w:val="00266725"/>
    <w:rsid w:val="00266747"/>
    <w:rsid w:val="00266850"/>
    <w:rsid w:val="00266A32"/>
    <w:rsid w:val="00266AF6"/>
    <w:rsid w:val="00266B53"/>
    <w:rsid w:val="00266D00"/>
    <w:rsid w:val="00266D6D"/>
    <w:rsid w:val="00266E4E"/>
    <w:rsid w:val="00266F31"/>
    <w:rsid w:val="002671B9"/>
    <w:rsid w:val="002671C9"/>
    <w:rsid w:val="002671D7"/>
    <w:rsid w:val="00267448"/>
    <w:rsid w:val="002674BC"/>
    <w:rsid w:val="00267507"/>
    <w:rsid w:val="002675BE"/>
    <w:rsid w:val="002675F6"/>
    <w:rsid w:val="0026764F"/>
    <w:rsid w:val="00267710"/>
    <w:rsid w:val="002677DE"/>
    <w:rsid w:val="00267888"/>
    <w:rsid w:val="002678C7"/>
    <w:rsid w:val="00267902"/>
    <w:rsid w:val="0026792B"/>
    <w:rsid w:val="00267BDA"/>
    <w:rsid w:val="00267C88"/>
    <w:rsid w:val="00267CE8"/>
    <w:rsid w:val="00267E49"/>
    <w:rsid w:val="00267F03"/>
    <w:rsid w:val="002701E1"/>
    <w:rsid w:val="00270227"/>
    <w:rsid w:val="00270288"/>
    <w:rsid w:val="002702DB"/>
    <w:rsid w:val="00270381"/>
    <w:rsid w:val="00270394"/>
    <w:rsid w:val="002703AE"/>
    <w:rsid w:val="00270578"/>
    <w:rsid w:val="00270663"/>
    <w:rsid w:val="00270670"/>
    <w:rsid w:val="0027089D"/>
    <w:rsid w:val="00270958"/>
    <w:rsid w:val="0027097A"/>
    <w:rsid w:val="002709D8"/>
    <w:rsid w:val="00270A39"/>
    <w:rsid w:val="00270B32"/>
    <w:rsid w:val="00270C59"/>
    <w:rsid w:val="00270D1F"/>
    <w:rsid w:val="00270F09"/>
    <w:rsid w:val="00270F40"/>
    <w:rsid w:val="00270F90"/>
    <w:rsid w:val="00270FE0"/>
    <w:rsid w:val="00271113"/>
    <w:rsid w:val="0027118D"/>
    <w:rsid w:val="002713E1"/>
    <w:rsid w:val="00271530"/>
    <w:rsid w:val="00271597"/>
    <w:rsid w:val="002715B7"/>
    <w:rsid w:val="0027174F"/>
    <w:rsid w:val="00271972"/>
    <w:rsid w:val="00271A9C"/>
    <w:rsid w:val="00271C9A"/>
    <w:rsid w:val="00271D36"/>
    <w:rsid w:val="00271EBB"/>
    <w:rsid w:val="00272613"/>
    <w:rsid w:val="00272834"/>
    <w:rsid w:val="00272969"/>
    <w:rsid w:val="002729D4"/>
    <w:rsid w:val="00272B23"/>
    <w:rsid w:val="00272E5D"/>
    <w:rsid w:val="00272EB4"/>
    <w:rsid w:val="00272F22"/>
    <w:rsid w:val="00272FDD"/>
    <w:rsid w:val="002730B2"/>
    <w:rsid w:val="00273125"/>
    <w:rsid w:val="002731E9"/>
    <w:rsid w:val="00273278"/>
    <w:rsid w:val="002732F5"/>
    <w:rsid w:val="00273483"/>
    <w:rsid w:val="00273487"/>
    <w:rsid w:val="0027352B"/>
    <w:rsid w:val="002735BF"/>
    <w:rsid w:val="00273643"/>
    <w:rsid w:val="002739A5"/>
    <w:rsid w:val="00273A80"/>
    <w:rsid w:val="00273AD9"/>
    <w:rsid w:val="00273C24"/>
    <w:rsid w:val="00273CD4"/>
    <w:rsid w:val="00273F37"/>
    <w:rsid w:val="00274003"/>
    <w:rsid w:val="00274100"/>
    <w:rsid w:val="002745BF"/>
    <w:rsid w:val="0027464F"/>
    <w:rsid w:val="002746F2"/>
    <w:rsid w:val="00274753"/>
    <w:rsid w:val="002747CF"/>
    <w:rsid w:val="002747F7"/>
    <w:rsid w:val="00274935"/>
    <w:rsid w:val="002749AD"/>
    <w:rsid w:val="00274A9F"/>
    <w:rsid w:val="00274BEC"/>
    <w:rsid w:val="00274CDC"/>
    <w:rsid w:val="00274E13"/>
    <w:rsid w:val="00274F24"/>
    <w:rsid w:val="00274FFE"/>
    <w:rsid w:val="00275108"/>
    <w:rsid w:val="0027520F"/>
    <w:rsid w:val="002753E0"/>
    <w:rsid w:val="002753F4"/>
    <w:rsid w:val="0027542B"/>
    <w:rsid w:val="0027545A"/>
    <w:rsid w:val="002754D3"/>
    <w:rsid w:val="00275625"/>
    <w:rsid w:val="0027564A"/>
    <w:rsid w:val="0027564E"/>
    <w:rsid w:val="00275679"/>
    <w:rsid w:val="002756DA"/>
    <w:rsid w:val="00275A74"/>
    <w:rsid w:val="00275AAE"/>
    <w:rsid w:val="00275B75"/>
    <w:rsid w:val="00275BBD"/>
    <w:rsid w:val="00275BCA"/>
    <w:rsid w:val="00275BCE"/>
    <w:rsid w:val="00275C97"/>
    <w:rsid w:val="00275D10"/>
    <w:rsid w:val="0027608E"/>
    <w:rsid w:val="0027640E"/>
    <w:rsid w:val="0027660F"/>
    <w:rsid w:val="002766BC"/>
    <w:rsid w:val="00276ACE"/>
    <w:rsid w:val="00276DAC"/>
    <w:rsid w:val="00276E76"/>
    <w:rsid w:val="00276EEA"/>
    <w:rsid w:val="00276EF4"/>
    <w:rsid w:val="00276FE8"/>
    <w:rsid w:val="00277037"/>
    <w:rsid w:val="00277080"/>
    <w:rsid w:val="00277562"/>
    <w:rsid w:val="002775F4"/>
    <w:rsid w:val="002776A3"/>
    <w:rsid w:val="00277879"/>
    <w:rsid w:val="00277B0D"/>
    <w:rsid w:val="00277BC2"/>
    <w:rsid w:val="00277CC7"/>
    <w:rsid w:val="00277D3E"/>
    <w:rsid w:val="00277D48"/>
    <w:rsid w:val="00277DE6"/>
    <w:rsid w:val="00277E4E"/>
    <w:rsid w:val="00277EA4"/>
    <w:rsid w:val="00280076"/>
    <w:rsid w:val="002800C3"/>
    <w:rsid w:val="002800DF"/>
    <w:rsid w:val="0028012B"/>
    <w:rsid w:val="00280A5B"/>
    <w:rsid w:val="00280B5C"/>
    <w:rsid w:val="00280C37"/>
    <w:rsid w:val="00280F63"/>
    <w:rsid w:val="00281081"/>
    <w:rsid w:val="0028116F"/>
    <w:rsid w:val="00281196"/>
    <w:rsid w:val="0028122F"/>
    <w:rsid w:val="002813B8"/>
    <w:rsid w:val="00281419"/>
    <w:rsid w:val="0028142E"/>
    <w:rsid w:val="002814B8"/>
    <w:rsid w:val="00281565"/>
    <w:rsid w:val="002816E6"/>
    <w:rsid w:val="00281807"/>
    <w:rsid w:val="0028186A"/>
    <w:rsid w:val="002818B6"/>
    <w:rsid w:val="002819B0"/>
    <w:rsid w:val="00281C1C"/>
    <w:rsid w:val="00281C4A"/>
    <w:rsid w:val="00281C56"/>
    <w:rsid w:val="00281C95"/>
    <w:rsid w:val="00281F3F"/>
    <w:rsid w:val="0028201B"/>
    <w:rsid w:val="00282210"/>
    <w:rsid w:val="0028227D"/>
    <w:rsid w:val="002823AA"/>
    <w:rsid w:val="002824A5"/>
    <w:rsid w:val="00282748"/>
    <w:rsid w:val="0028275B"/>
    <w:rsid w:val="0028281E"/>
    <w:rsid w:val="0028285F"/>
    <w:rsid w:val="002828EB"/>
    <w:rsid w:val="00282A6E"/>
    <w:rsid w:val="00282B00"/>
    <w:rsid w:val="00282F14"/>
    <w:rsid w:val="00282F9C"/>
    <w:rsid w:val="00283194"/>
    <w:rsid w:val="002832FF"/>
    <w:rsid w:val="002833F5"/>
    <w:rsid w:val="002835F3"/>
    <w:rsid w:val="0028361D"/>
    <w:rsid w:val="0028384F"/>
    <w:rsid w:val="002839DF"/>
    <w:rsid w:val="00283B11"/>
    <w:rsid w:val="00283BE6"/>
    <w:rsid w:val="00283C82"/>
    <w:rsid w:val="00283D38"/>
    <w:rsid w:val="00283D9C"/>
    <w:rsid w:val="00283DD8"/>
    <w:rsid w:val="002840A5"/>
    <w:rsid w:val="002840F4"/>
    <w:rsid w:val="00284263"/>
    <w:rsid w:val="00284310"/>
    <w:rsid w:val="00284362"/>
    <w:rsid w:val="00284525"/>
    <w:rsid w:val="00284728"/>
    <w:rsid w:val="002847FD"/>
    <w:rsid w:val="002848D6"/>
    <w:rsid w:val="00284ABF"/>
    <w:rsid w:val="00284BEE"/>
    <w:rsid w:val="00284C7F"/>
    <w:rsid w:val="00284D1A"/>
    <w:rsid w:val="00284ECF"/>
    <w:rsid w:val="00285135"/>
    <w:rsid w:val="002851B8"/>
    <w:rsid w:val="002854AF"/>
    <w:rsid w:val="0028574A"/>
    <w:rsid w:val="00285A86"/>
    <w:rsid w:val="00285AFD"/>
    <w:rsid w:val="00285C90"/>
    <w:rsid w:val="00285EFC"/>
    <w:rsid w:val="00285F3F"/>
    <w:rsid w:val="00285FD7"/>
    <w:rsid w:val="00286051"/>
    <w:rsid w:val="002862D6"/>
    <w:rsid w:val="0028631A"/>
    <w:rsid w:val="00286527"/>
    <w:rsid w:val="00286605"/>
    <w:rsid w:val="0028677D"/>
    <w:rsid w:val="0028686C"/>
    <w:rsid w:val="002868A8"/>
    <w:rsid w:val="002868B4"/>
    <w:rsid w:val="00286C0F"/>
    <w:rsid w:val="00286C22"/>
    <w:rsid w:val="00286CB3"/>
    <w:rsid w:val="00286D76"/>
    <w:rsid w:val="002870AB"/>
    <w:rsid w:val="00287170"/>
    <w:rsid w:val="002872C5"/>
    <w:rsid w:val="00287502"/>
    <w:rsid w:val="0028756A"/>
    <w:rsid w:val="00287668"/>
    <w:rsid w:val="00287772"/>
    <w:rsid w:val="00287A1D"/>
    <w:rsid w:val="00287A3B"/>
    <w:rsid w:val="00287CC1"/>
    <w:rsid w:val="00290173"/>
    <w:rsid w:val="0029032E"/>
    <w:rsid w:val="0029041A"/>
    <w:rsid w:val="0029061F"/>
    <w:rsid w:val="00290838"/>
    <w:rsid w:val="00290B8C"/>
    <w:rsid w:val="00290C80"/>
    <w:rsid w:val="00290F02"/>
    <w:rsid w:val="00290F93"/>
    <w:rsid w:val="0029106F"/>
    <w:rsid w:val="002911B1"/>
    <w:rsid w:val="002915BD"/>
    <w:rsid w:val="00291628"/>
    <w:rsid w:val="00291744"/>
    <w:rsid w:val="00291752"/>
    <w:rsid w:val="00291816"/>
    <w:rsid w:val="00291934"/>
    <w:rsid w:val="00291ADC"/>
    <w:rsid w:val="00291D20"/>
    <w:rsid w:val="00291E7D"/>
    <w:rsid w:val="00292156"/>
    <w:rsid w:val="00292359"/>
    <w:rsid w:val="0029268A"/>
    <w:rsid w:val="002926E5"/>
    <w:rsid w:val="0029294E"/>
    <w:rsid w:val="002929E7"/>
    <w:rsid w:val="00292B69"/>
    <w:rsid w:val="00292C53"/>
    <w:rsid w:val="00292CAF"/>
    <w:rsid w:val="00292CF7"/>
    <w:rsid w:val="00292E9F"/>
    <w:rsid w:val="002931F1"/>
    <w:rsid w:val="00293268"/>
    <w:rsid w:val="002932E4"/>
    <w:rsid w:val="002932F4"/>
    <w:rsid w:val="0029345D"/>
    <w:rsid w:val="0029362E"/>
    <w:rsid w:val="0029363F"/>
    <w:rsid w:val="00293818"/>
    <w:rsid w:val="00293880"/>
    <w:rsid w:val="0029389E"/>
    <w:rsid w:val="002938B9"/>
    <w:rsid w:val="00293997"/>
    <w:rsid w:val="00293C65"/>
    <w:rsid w:val="00293FCD"/>
    <w:rsid w:val="002941C3"/>
    <w:rsid w:val="00294493"/>
    <w:rsid w:val="002944E3"/>
    <w:rsid w:val="0029474A"/>
    <w:rsid w:val="00294972"/>
    <w:rsid w:val="00294A7B"/>
    <w:rsid w:val="00294E0C"/>
    <w:rsid w:val="0029509B"/>
    <w:rsid w:val="002952A6"/>
    <w:rsid w:val="002952B0"/>
    <w:rsid w:val="00295504"/>
    <w:rsid w:val="0029551A"/>
    <w:rsid w:val="00295673"/>
    <w:rsid w:val="002958CA"/>
    <w:rsid w:val="00295926"/>
    <w:rsid w:val="00295966"/>
    <w:rsid w:val="00295C19"/>
    <w:rsid w:val="00295D2F"/>
    <w:rsid w:val="00295E6C"/>
    <w:rsid w:val="00295F34"/>
    <w:rsid w:val="00295FBE"/>
    <w:rsid w:val="00296052"/>
    <w:rsid w:val="002962B3"/>
    <w:rsid w:val="002965BD"/>
    <w:rsid w:val="00296956"/>
    <w:rsid w:val="00296B81"/>
    <w:rsid w:val="00296C72"/>
    <w:rsid w:val="00297299"/>
    <w:rsid w:val="002972BB"/>
    <w:rsid w:val="002972E1"/>
    <w:rsid w:val="00297342"/>
    <w:rsid w:val="00297365"/>
    <w:rsid w:val="0029748E"/>
    <w:rsid w:val="002974E2"/>
    <w:rsid w:val="0029753B"/>
    <w:rsid w:val="00297544"/>
    <w:rsid w:val="0029764D"/>
    <w:rsid w:val="00297C74"/>
    <w:rsid w:val="00297CA6"/>
    <w:rsid w:val="00297CBF"/>
    <w:rsid w:val="00297D5D"/>
    <w:rsid w:val="00297EEE"/>
    <w:rsid w:val="002A0007"/>
    <w:rsid w:val="002A017F"/>
    <w:rsid w:val="002A01EB"/>
    <w:rsid w:val="002A0275"/>
    <w:rsid w:val="002A0284"/>
    <w:rsid w:val="002A02CC"/>
    <w:rsid w:val="002A030F"/>
    <w:rsid w:val="002A03FD"/>
    <w:rsid w:val="002A05F0"/>
    <w:rsid w:val="002A07E7"/>
    <w:rsid w:val="002A08B7"/>
    <w:rsid w:val="002A09C1"/>
    <w:rsid w:val="002A0AA2"/>
    <w:rsid w:val="002A0AE0"/>
    <w:rsid w:val="002A0B0D"/>
    <w:rsid w:val="002A0C81"/>
    <w:rsid w:val="002A0C9E"/>
    <w:rsid w:val="002A0CF5"/>
    <w:rsid w:val="002A0E5C"/>
    <w:rsid w:val="002A0F92"/>
    <w:rsid w:val="002A11F0"/>
    <w:rsid w:val="002A1346"/>
    <w:rsid w:val="002A1515"/>
    <w:rsid w:val="002A163E"/>
    <w:rsid w:val="002A1698"/>
    <w:rsid w:val="002A17BB"/>
    <w:rsid w:val="002A1A42"/>
    <w:rsid w:val="002A1A47"/>
    <w:rsid w:val="002A1B36"/>
    <w:rsid w:val="002A1BD6"/>
    <w:rsid w:val="002A1D44"/>
    <w:rsid w:val="002A1DA8"/>
    <w:rsid w:val="002A1E3C"/>
    <w:rsid w:val="002A1E4A"/>
    <w:rsid w:val="002A1EEF"/>
    <w:rsid w:val="002A223F"/>
    <w:rsid w:val="002A22A2"/>
    <w:rsid w:val="002A22F5"/>
    <w:rsid w:val="002A2389"/>
    <w:rsid w:val="002A240C"/>
    <w:rsid w:val="002A24A3"/>
    <w:rsid w:val="002A25DD"/>
    <w:rsid w:val="002A265C"/>
    <w:rsid w:val="002A2862"/>
    <w:rsid w:val="002A2A08"/>
    <w:rsid w:val="002A2A29"/>
    <w:rsid w:val="002A2AB6"/>
    <w:rsid w:val="002A2B2B"/>
    <w:rsid w:val="002A2E4F"/>
    <w:rsid w:val="002A2F9A"/>
    <w:rsid w:val="002A2FED"/>
    <w:rsid w:val="002A3296"/>
    <w:rsid w:val="002A3401"/>
    <w:rsid w:val="002A3433"/>
    <w:rsid w:val="002A3751"/>
    <w:rsid w:val="002A398A"/>
    <w:rsid w:val="002A3AC0"/>
    <w:rsid w:val="002A3BE8"/>
    <w:rsid w:val="002A3CC3"/>
    <w:rsid w:val="002A3EF5"/>
    <w:rsid w:val="002A4295"/>
    <w:rsid w:val="002A42A2"/>
    <w:rsid w:val="002A444C"/>
    <w:rsid w:val="002A44E4"/>
    <w:rsid w:val="002A4576"/>
    <w:rsid w:val="002A4577"/>
    <w:rsid w:val="002A45B0"/>
    <w:rsid w:val="002A4899"/>
    <w:rsid w:val="002A4BC8"/>
    <w:rsid w:val="002A4F74"/>
    <w:rsid w:val="002A5086"/>
    <w:rsid w:val="002A517A"/>
    <w:rsid w:val="002A5320"/>
    <w:rsid w:val="002A5390"/>
    <w:rsid w:val="002A53E1"/>
    <w:rsid w:val="002A5444"/>
    <w:rsid w:val="002A5445"/>
    <w:rsid w:val="002A55D4"/>
    <w:rsid w:val="002A5746"/>
    <w:rsid w:val="002A5774"/>
    <w:rsid w:val="002A5933"/>
    <w:rsid w:val="002A59E7"/>
    <w:rsid w:val="002A59F3"/>
    <w:rsid w:val="002A5AFB"/>
    <w:rsid w:val="002A5BC1"/>
    <w:rsid w:val="002A5CC6"/>
    <w:rsid w:val="002A5D27"/>
    <w:rsid w:val="002A5E37"/>
    <w:rsid w:val="002A5ED4"/>
    <w:rsid w:val="002A600F"/>
    <w:rsid w:val="002A6230"/>
    <w:rsid w:val="002A62F1"/>
    <w:rsid w:val="002A6371"/>
    <w:rsid w:val="002A6436"/>
    <w:rsid w:val="002A65F3"/>
    <w:rsid w:val="002A663A"/>
    <w:rsid w:val="002A67D1"/>
    <w:rsid w:val="002A67F9"/>
    <w:rsid w:val="002A6A88"/>
    <w:rsid w:val="002A6B8F"/>
    <w:rsid w:val="002A6C37"/>
    <w:rsid w:val="002A6CB9"/>
    <w:rsid w:val="002A6D17"/>
    <w:rsid w:val="002A6D47"/>
    <w:rsid w:val="002A6DEF"/>
    <w:rsid w:val="002A6E8E"/>
    <w:rsid w:val="002A6F47"/>
    <w:rsid w:val="002A7055"/>
    <w:rsid w:val="002A718F"/>
    <w:rsid w:val="002A7251"/>
    <w:rsid w:val="002A7474"/>
    <w:rsid w:val="002A7488"/>
    <w:rsid w:val="002A75AB"/>
    <w:rsid w:val="002A770F"/>
    <w:rsid w:val="002A7B4B"/>
    <w:rsid w:val="002A7E27"/>
    <w:rsid w:val="002A7E50"/>
    <w:rsid w:val="002B0004"/>
    <w:rsid w:val="002B0005"/>
    <w:rsid w:val="002B008E"/>
    <w:rsid w:val="002B03B4"/>
    <w:rsid w:val="002B07AC"/>
    <w:rsid w:val="002B08DC"/>
    <w:rsid w:val="002B09F6"/>
    <w:rsid w:val="002B0AC4"/>
    <w:rsid w:val="002B0AD8"/>
    <w:rsid w:val="002B0B76"/>
    <w:rsid w:val="002B0B92"/>
    <w:rsid w:val="002B0BE2"/>
    <w:rsid w:val="002B0C0A"/>
    <w:rsid w:val="002B0C0F"/>
    <w:rsid w:val="002B0DD4"/>
    <w:rsid w:val="002B0FB8"/>
    <w:rsid w:val="002B1053"/>
    <w:rsid w:val="002B107F"/>
    <w:rsid w:val="002B1267"/>
    <w:rsid w:val="002B1682"/>
    <w:rsid w:val="002B1832"/>
    <w:rsid w:val="002B1916"/>
    <w:rsid w:val="002B1B74"/>
    <w:rsid w:val="002B2043"/>
    <w:rsid w:val="002B212F"/>
    <w:rsid w:val="002B21FF"/>
    <w:rsid w:val="002B2262"/>
    <w:rsid w:val="002B22B4"/>
    <w:rsid w:val="002B2541"/>
    <w:rsid w:val="002B25A6"/>
    <w:rsid w:val="002B2789"/>
    <w:rsid w:val="002B288D"/>
    <w:rsid w:val="002B29F1"/>
    <w:rsid w:val="002B2DC0"/>
    <w:rsid w:val="002B2F1F"/>
    <w:rsid w:val="002B2F5A"/>
    <w:rsid w:val="002B3027"/>
    <w:rsid w:val="002B3166"/>
    <w:rsid w:val="002B3192"/>
    <w:rsid w:val="002B319D"/>
    <w:rsid w:val="002B330B"/>
    <w:rsid w:val="002B344B"/>
    <w:rsid w:val="002B34E7"/>
    <w:rsid w:val="002B3638"/>
    <w:rsid w:val="002B36B4"/>
    <w:rsid w:val="002B36F6"/>
    <w:rsid w:val="002B3758"/>
    <w:rsid w:val="002B3941"/>
    <w:rsid w:val="002B39B8"/>
    <w:rsid w:val="002B3A67"/>
    <w:rsid w:val="002B3AA2"/>
    <w:rsid w:val="002B3CE1"/>
    <w:rsid w:val="002B3ED9"/>
    <w:rsid w:val="002B40A9"/>
    <w:rsid w:val="002B410A"/>
    <w:rsid w:val="002B4124"/>
    <w:rsid w:val="002B4163"/>
    <w:rsid w:val="002B4392"/>
    <w:rsid w:val="002B4497"/>
    <w:rsid w:val="002B4759"/>
    <w:rsid w:val="002B4A81"/>
    <w:rsid w:val="002B4AB7"/>
    <w:rsid w:val="002B4B85"/>
    <w:rsid w:val="002B4BD6"/>
    <w:rsid w:val="002B4CB5"/>
    <w:rsid w:val="002B4CCE"/>
    <w:rsid w:val="002B4D52"/>
    <w:rsid w:val="002B5040"/>
    <w:rsid w:val="002B5227"/>
    <w:rsid w:val="002B532F"/>
    <w:rsid w:val="002B5406"/>
    <w:rsid w:val="002B5465"/>
    <w:rsid w:val="002B5507"/>
    <w:rsid w:val="002B56B5"/>
    <w:rsid w:val="002B581D"/>
    <w:rsid w:val="002B585D"/>
    <w:rsid w:val="002B5D69"/>
    <w:rsid w:val="002B5D73"/>
    <w:rsid w:val="002B5EBA"/>
    <w:rsid w:val="002B5FC4"/>
    <w:rsid w:val="002B604A"/>
    <w:rsid w:val="002B60EC"/>
    <w:rsid w:val="002B6472"/>
    <w:rsid w:val="002B650E"/>
    <w:rsid w:val="002B6619"/>
    <w:rsid w:val="002B6740"/>
    <w:rsid w:val="002B67E5"/>
    <w:rsid w:val="002B69AA"/>
    <w:rsid w:val="002B69E7"/>
    <w:rsid w:val="002B6A2A"/>
    <w:rsid w:val="002B6ABB"/>
    <w:rsid w:val="002B6C7D"/>
    <w:rsid w:val="002B6D07"/>
    <w:rsid w:val="002B6D0B"/>
    <w:rsid w:val="002B6D10"/>
    <w:rsid w:val="002B6D78"/>
    <w:rsid w:val="002B700C"/>
    <w:rsid w:val="002B70E8"/>
    <w:rsid w:val="002B7230"/>
    <w:rsid w:val="002B7367"/>
    <w:rsid w:val="002B736F"/>
    <w:rsid w:val="002B74F8"/>
    <w:rsid w:val="002B7533"/>
    <w:rsid w:val="002B762B"/>
    <w:rsid w:val="002B76EB"/>
    <w:rsid w:val="002B76F7"/>
    <w:rsid w:val="002B77A7"/>
    <w:rsid w:val="002B781D"/>
    <w:rsid w:val="002B78EC"/>
    <w:rsid w:val="002B7A1F"/>
    <w:rsid w:val="002B7A61"/>
    <w:rsid w:val="002B7C97"/>
    <w:rsid w:val="002B7D35"/>
    <w:rsid w:val="002B7DC0"/>
    <w:rsid w:val="002B7E7C"/>
    <w:rsid w:val="002B7EE3"/>
    <w:rsid w:val="002C001B"/>
    <w:rsid w:val="002C0045"/>
    <w:rsid w:val="002C0140"/>
    <w:rsid w:val="002C0181"/>
    <w:rsid w:val="002C020E"/>
    <w:rsid w:val="002C0284"/>
    <w:rsid w:val="002C03B4"/>
    <w:rsid w:val="002C0472"/>
    <w:rsid w:val="002C04AB"/>
    <w:rsid w:val="002C05EA"/>
    <w:rsid w:val="002C0804"/>
    <w:rsid w:val="002C0813"/>
    <w:rsid w:val="002C095C"/>
    <w:rsid w:val="002C098A"/>
    <w:rsid w:val="002C09C3"/>
    <w:rsid w:val="002C0A58"/>
    <w:rsid w:val="002C0B2F"/>
    <w:rsid w:val="002C0CF6"/>
    <w:rsid w:val="002C0D8D"/>
    <w:rsid w:val="002C0D96"/>
    <w:rsid w:val="002C0E93"/>
    <w:rsid w:val="002C1172"/>
    <w:rsid w:val="002C1258"/>
    <w:rsid w:val="002C14A7"/>
    <w:rsid w:val="002C150A"/>
    <w:rsid w:val="002C1653"/>
    <w:rsid w:val="002C17A3"/>
    <w:rsid w:val="002C17AD"/>
    <w:rsid w:val="002C1963"/>
    <w:rsid w:val="002C1A1A"/>
    <w:rsid w:val="002C1AFD"/>
    <w:rsid w:val="002C1D82"/>
    <w:rsid w:val="002C1FEC"/>
    <w:rsid w:val="002C2250"/>
    <w:rsid w:val="002C228F"/>
    <w:rsid w:val="002C22B6"/>
    <w:rsid w:val="002C243F"/>
    <w:rsid w:val="002C274D"/>
    <w:rsid w:val="002C275E"/>
    <w:rsid w:val="002C28E9"/>
    <w:rsid w:val="002C29A9"/>
    <w:rsid w:val="002C29F7"/>
    <w:rsid w:val="002C29F8"/>
    <w:rsid w:val="002C2AF3"/>
    <w:rsid w:val="002C2DFE"/>
    <w:rsid w:val="002C2E2C"/>
    <w:rsid w:val="002C2EAA"/>
    <w:rsid w:val="002C3254"/>
    <w:rsid w:val="002C32AD"/>
    <w:rsid w:val="002C335C"/>
    <w:rsid w:val="002C36A5"/>
    <w:rsid w:val="002C3708"/>
    <w:rsid w:val="002C386D"/>
    <w:rsid w:val="002C38BF"/>
    <w:rsid w:val="002C3911"/>
    <w:rsid w:val="002C3B59"/>
    <w:rsid w:val="002C3CD8"/>
    <w:rsid w:val="002C3DE3"/>
    <w:rsid w:val="002C3EED"/>
    <w:rsid w:val="002C41E0"/>
    <w:rsid w:val="002C42D9"/>
    <w:rsid w:val="002C42EF"/>
    <w:rsid w:val="002C43F4"/>
    <w:rsid w:val="002C44A2"/>
    <w:rsid w:val="002C44E7"/>
    <w:rsid w:val="002C4530"/>
    <w:rsid w:val="002C454F"/>
    <w:rsid w:val="002C45E8"/>
    <w:rsid w:val="002C45F6"/>
    <w:rsid w:val="002C46EB"/>
    <w:rsid w:val="002C4703"/>
    <w:rsid w:val="002C4B43"/>
    <w:rsid w:val="002C4C33"/>
    <w:rsid w:val="002C4C94"/>
    <w:rsid w:val="002C4D35"/>
    <w:rsid w:val="002C4E3B"/>
    <w:rsid w:val="002C4F00"/>
    <w:rsid w:val="002C4F32"/>
    <w:rsid w:val="002C4FDC"/>
    <w:rsid w:val="002C5135"/>
    <w:rsid w:val="002C5190"/>
    <w:rsid w:val="002C52F6"/>
    <w:rsid w:val="002C55C8"/>
    <w:rsid w:val="002C56CC"/>
    <w:rsid w:val="002C56CF"/>
    <w:rsid w:val="002C58F5"/>
    <w:rsid w:val="002C598A"/>
    <w:rsid w:val="002C5C5E"/>
    <w:rsid w:val="002C5CF7"/>
    <w:rsid w:val="002C5F41"/>
    <w:rsid w:val="002C5FA1"/>
    <w:rsid w:val="002C6103"/>
    <w:rsid w:val="002C622D"/>
    <w:rsid w:val="002C62B9"/>
    <w:rsid w:val="002C640E"/>
    <w:rsid w:val="002C6469"/>
    <w:rsid w:val="002C6535"/>
    <w:rsid w:val="002C66FD"/>
    <w:rsid w:val="002C6801"/>
    <w:rsid w:val="002C6998"/>
    <w:rsid w:val="002C6AD2"/>
    <w:rsid w:val="002C6B30"/>
    <w:rsid w:val="002C6CD2"/>
    <w:rsid w:val="002C6D7C"/>
    <w:rsid w:val="002C70BB"/>
    <w:rsid w:val="002C7208"/>
    <w:rsid w:val="002C7262"/>
    <w:rsid w:val="002C72D6"/>
    <w:rsid w:val="002C7721"/>
    <w:rsid w:val="002C773D"/>
    <w:rsid w:val="002C77DD"/>
    <w:rsid w:val="002C7AD5"/>
    <w:rsid w:val="002C7AD9"/>
    <w:rsid w:val="002C7C94"/>
    <w:rsid w:val="002C7E00"/>
    <w:rsid w:val="002D00BF"/>
    <w:rsid w:val="002D039B"/>
    <w:rsid w:val="002D04B7"/>
    <w:rsid w:val="002D0656"/>
    <w:rsid w:val="002D088B"/>
    <w:rsid w:val="002D0A81"/>
    <w:rsid w:val="002D0ABF"/>
    <w:rsid w:val="002D0C5A"/>
    <w:rsid w:val="002D0CBB"/>
    <w:rsid w:val="002D0CBE"/>
    <w:rsid w:val="002D0D09"/>
    <w:rsid w:val="002D0D2B"/>
    <w:rsid w:val="002D0EC0"/>
    <w:rsid w:val="002D0ED8"/>
    <w:rsid w:val="002D0EF7"/>
    <w:rsid w:val="002D0F35"/>
    <w:rsid w:val="002D0F7E"/>
    <w:rsid w:val="002D112B"/>
    <w:rsid w:val="002D1157"/>
    <w:rsid w:val="002D11DA"/>
    <w:rsid w:val="002D1229"/>
    <w:rsid w:val="002D122B"/>
    <w:rsid w:val="002D1251"/>
    <w:rsid w:val="002D127A"/>
    <w:rsid w:val="002D1432"/>
    <w:rsid w:val="002D1620"/>
    <w:rsid w:val="002D164D"/>
    <w:rsid w:val="002D1780"/>
    <w:rsid w:val="002D17F0"/>
    <w:rsid w:val="002D1854"/>
    <w:rsid w:val="002D188E"/>
    <w:rsid w:val="002D193F"/>
    <w:rsid w:val="002D19BD"/>
    <w:rsid w:val="002D1AA6"/>
    <w:rsid w:val="002D1BF3"/>
    <w:rsid w:val="002D1DB4"/>
    <w:rsid w:val="002D1E4A"/>
    <w:rsid w:val="002D1F56"/>
    <w:rsid w:val="002D1FFD"/>
    <w:rsid w:val="002D216F"/>
    <w:rsid w:val="002D230C"/>
    <w:rsid w:val="002D2383"/>
    <w:rsid w:val="002D243C"/>
    <w:rsid w:val="002D251C"/>
    <w:rsid w:val="002D264C"/>
    <w:rsid w:val="002D29BD"/>
    <w:rsid w:val="002D2A64"/>
    <w:rsid w:val="002D2B02"/>
    <w:rsid w:val="002D2CCB"/>
    <w:rsid w:val="002D2D43"/>
    <w:rsid w:val="002D2F17"/>
    <w:rsid w:val="002D3308"/>
    <w:rsid w:val="002D3466"/>
    <w:rsid w:val="002D34C1"/>
    <w:rsid w:val="002D36F5"/>
    <w:rsid w:val="002D370E"/>
    <w:rsid w:val="002D3787"/>
    <w:rsid w:val="002D38ED"/>
    <w:rsid w:val="002D39D6"/>
    <w:rsid w:val="002D3A6F"/>
    <w:rsid w:val="002D3BF9"/>
    <w:rsid w:val="002D3CC7"/>
    <w:rsid w:val="002D3CFC"/>
    <w:rsid w:val="002D402B"/>
    <w:rsid w:val="002D4163"/>
    <w:rsid w:val="002D44DB"/>
    <w:rsid w:val="002D453A"/>
    <w:rsid w:val="002D4574"/>
    <w:rsid w:val="002D489B"/>
    <w:rsid w:val="002D494E"/>
    <w:rsid w:val="002D4978"/>
    <w:rsid w:val="002D4A64"/>
    <w:rsid w:val="002D4A9E"/>
    <w:rsid w:val="002D4C90"/>
    <w:rsid w:val="002D4F26"/>
    <w:rsid w:val="002D4FB5"/>
    <w:rsid w:val="002D4FE7"/>
    <w:rsid w:val="002D4FEA"/>
    <w:rsid w:val="002D5047"/>
    <w:rsid w:val="002D50A9"/>
    <w:rsid w:val="002D5102"/>
    <w:rsid w:val="002D514C"/>
    <w:rsid w:val="002D5177"/>
    <w:rsid w:val="002D5183"/>
    <w:rsid w:val="002D547F"/>
    <w:rsid w:val="002D5676"/>
    <w:rsid w:val="002D5693"/>
    <w:rsid w:val="002D56B5"/>
    <w:rsid w:val="002D5774"/>
    <w:rsid w:val="002D5795"/>
    <w:rsid w:val="002D5927"/>
    <w:rsid w:val="002D5990"/>
    <w:rsid w:val="002D59EA"/>
    <w:rsid w:val="002D5A05"/>
    <w:rsid w:val="002D5B00"/>
    <w:rsid w:val="002D5B1A"/>
    <w:rsid w:val="002D5D0C"/>
    <w:rsid w:val="002D5DBB"/>
    <w:rsid w:val="002D61C1"/>
    <w:rsid w:val="002D63F6"/>
    <w:rsid w:val="002D648E"/>
    <w:rsid w:val="002D661C"/>
    <w:rsid w:val="002D6BDA"/>
    <w:rsid w:val="002D6C4A"/>
    <w:rsid w:val="002D6F68"/>
    <w:rsid w:val="002D6F84"/>
    <w:rsid w:val="002D701A"/>
    <w:rsid w:val="002D71BC"/>
    <w:rsid w:val="002D7210"/>
    <w:rsid w:val="002D7323"/>
    <w:rsid w:val="002D7326"/>
    <w:rsid w:val="002D7406"/>
    <w:rsid w:val="002D7516"/>
    <w:rsid w:val="002D7685"/>
    <w:rsid w:val="002D7948"/>
    <w:rsid w:val="002D79C0"/>
    <w:rsid w:val="002D7ACC"/>
    <w:rsid w:val="002D7B3D"/>
    <w:rsid w:val="002D7BAE"/>
    <w:rsid w:val="002D7D1E"/>
    <w:rsid w:val="002D7DA9"/>
    <w:rsid w:val="002D7E8D"/>
    <w:rsid w:val="002E001B"/>
    <w:rsid w:val="002E018B"/>
    <w:rsid w:val="002E02CE"/>
    <w:rsid w:val="002E0412"/>
    <w:rsid w:val="002E046C"/>
    <w:rsid w:val="002E04C2"/>
    <w:rsid w:val="002E0715"/>
    <w:rsid w:val="002E0852"/>
    <w:rsid w:val="002E09FB"/>
    <w:rsid w:val="002E0A5F"/>
    <w:rsid w:val="002E0C9A"/>
    <w:rsid w:val="002E0D93"/>
    <w:rsid w:val="002E0F2D"/>
    <w:rsid w:val="002E0F4F"/>
    <w:rsid w:val="002E0FE5"/>
    <w:rsid w:val="002E124D"/>
    <w:rsid w:val="002E134C"/>
    <w:rsid w:val="002E16E9"/>
    <w:rsid w:val="002E1950"/>
    <w:rsid w:val="002E1AD6"/>
    <w:rsid w:val="002E1B40"/>
    <w:rsid w:val="002E1D3A"/>
    <w:rsid w:val="002E1E4C"/>
    <w:rsid w:val="002E1E5B"/>
    <w:rsid w:val="002E1F35"/>
    <w:rsid w:val="002E20AF"/>
    <w:rsid w:val="002E20C9"/>
    <w:rsid w:val="002E214F"/>
    <w:rsid w:val="002E215F"/>
    <w:rsid w:val="002E21CB"/>
    <w:rsid w:val="002E21F2"/>
    <w:rsid w:val="002E2336"/>
    <w:rsid w:val="002E235E"/>
    <w:rsid w:val="002E250B"/>
    <w:rsid w:val="002E25D2"/>
    <w:rsid w:val="002E2778"/>
    <w:rsid w:val="002E282A"/>
    <w:rsid w:val="002E2B76"/>
    <w:rsid w:val="002E2F39"/>
    <w:rsid w:val="002E32D5"/>
    <w:rsid w:val="002E32D7"/>
    <w:rsid w:val="002E33BB"/>
    <w:rsid w:val="002E343F"/>
    <w:rsid w:val="002E3697"/>
    <w:rsid w:val="002E38D4"/>
    <w:rsid w:val="002E3E10"/>
    <w:rsid w:val="002E40A4"/>
    <w:rsid w:val="002E40E8"/>
    <w:rsid w:val="002E42EB"/>
    <w:rsid w:val="002E432C"/>
    <w:rsid w:val="002E4509"/>
    <w:rsid w:val="002E4592"/>
    <w:rsid w:val="002E459A"/>
    <w:rsid w:val="002E475F"/>
    <w:rsid w:val="002E47D1"/>
    <w:rsid w:val="002E4CDB"/>
    <w:rsid w:val="002E5221"/>
    <w:rsid w:val="002E5464"/>
    <w:rsid w:val="002E585B"/>
    <w:rsid w:val="002E587E"/>
    <w:rsid w:val="002E59A7"/>
    <w:rsid w:val="002E5AC8"/>
    <w:rsid w:val="002E5B9A"/>
    <w:rsid w:val="002E5D94"/>
    <w:rsid w:val="002E5EBD"/>
    <w:rsid w:val="002E5EFA"/>
    <w:rsid w:val="002E60F5"/>
    <w:rsid w:val="002E6145"/>
    <w:rsid w:val="002E63B0"/>
    <w:rsid w:val="002E6662"/>
    <w:rsid w:val="002E672E"/>
    <w:rsid w:val="002E67AA"/>
    <w:rsid w:val="002E67D7"/>
    <w:rsid w:val="002E6892"/>
    <w:rsid w:val="002E6920"/>
    <w:rsid w:val="002E6D9A"/>
    <w:rsid w:val="002E6E3F"/>
    <w:rsid w:val="002E6EE0"/>
    <w:rsid w:val="002E6FC3"/>
    <w:rsid w:val="002E728D"/>
    <w:rsid w:val="002E75C7"/>
    <w:rsid w:val="002E76B0"/>
    <w:rsid w:val="002E7733"/>
    <w:rsid w:val="002E7762"/>
    <w:rsid w:val="002E7783"/>
    <w:rsid w:val="002E77EF"/>
    <w:rsid w:val="002E7838"/>
    <w:rsid w:val="002E78C5"/>
    <w:rsid w:val="002E790D"/>
    <w:rsid w:val="002E798D"/>
    <w:rsid w:val="002E7E96"/>
    <w:rsid w:val="002E7F9D"/>
    <w:rsid w:val="002F0070"/>
    <w:rsid w:val="002F03FC"/>
    <w:rsid w:val="002F04FC"/>
    <w:rsid w:val="002F058F"/>
    <w:rsid w:val="002F06D8"/>
    <w:rsid w:val="002F089C"/>
    <w:rsid w:val="002F08E8"/>
    <w:rsid w:val="002F0A9E"/>
    <w:rsid w:val="002F0B09"/>
    <w:rsid w:val="002F0B40"/>
    <w:rsid w:val="002F0F1F"/>
    <w:rsid w:val="002F0F95"/>
    <w:rsid w:val="002F1137"/>
    <w:rsid w:val="002F1263"/>
    <w:rsid w:val="002F1278"/>
    <w:rsid w:val="002F138A"/>
    <w:rsid w:val="002F13ED"/>
    <w:rsid w:val="002F154A"/>
    <w:rsid w:val="002F1596"/>
    <w:rsid w:val="002F15A2"/>
    <w:rsid w:val="002F17A6"/>
    <w:rsid w:val="002F182E"/>
    <w:rsid w:val="002F1B92"/>
    <w:rsid w:val="002F1C2C"/>
    <w:rsid w:val="002F1CAE"/>
    <w:rsid w:val="002F1E5B"/>
    <w:rsid w:val="002F1EA9"/>
    <w:rsid w:val="002F2070"/>
    <w:rsid w:val="002F2080"/>
    <w:rsid w:val="002F2184"/>
    <w:rsid w:val="002F25D3"/>
    <w:rsid w:val="002F261B"/>
    <w:rsid w:val="002F2732"/>
    <w:rsid w:val="002F2B77"/>
    <w:rsid w:val="002F2C24"/>
    <w:rsid w:val="002F2C75"/>
    <w:rsid w:val="002F2EA2"/>
    <w:rsid w:val="002F3014"/>
    <w:rsid w:val="002F312F"/>
    <w:rsid w:val="002F31C2"/>
    <w:rsid w:val="002F3284"/>
    <w:rsid w:val="002F3391"/>
    <w:rsid w:val="002F34F7"/>
    <w:rsid w:val="002F36BF"/>
    <w:rsid w:val="002F39D8"/>
    <w:rsid w:val="002F3A33"/>
    <w:rsid w:val="002F3D6E"/>
    <w:rsid w:val="002F3F72"/>
    <w:rsid w:val="002F3FE0"/>
    <w:rsid w:val="002F413A"/>
    <w:rsid w:val="002F43F3"/>
    <w:rsid w:val="002F4433"/>
    <w:rsid w:val="002F4570"/>
    <w:rsid w:val="002F4603"/>
    <w:rsid w:val="002F4887"/>
    <w:rsid w:val="002F4AD4"/>
    <w:rsid w:val="002F4B3F"/>
    <w:rsid w:val="002F4BE2"/>
    <w:rsid w:val="002F4C8A"/>
    <w:rsid w:val="002F4EE1"/>
    <w:rsid w:val="002F4F13"/>
    <w:rsid w:val="002F525D"/>
    <w:rsid w:val="002F5513"/>
    <w:rsid w:val="002F5D26"/>
    <w:rsid w:val="002F5DA5"/>
    <w:rsid w:val="002F5F55"/>
    <w:rsid w:val="002F5FB2"/>
    <w:rsid w:val="002F6035"/>
    <w:rsid w:val="002F61E0"/>
    <w:rsid w:val="002F65AD"/>
    <w:rsid w:val="002F6672"/>
    <w:rsid w:val="002F66DC"/>
    <w:rsid w:val="002F674F"/>
    <w:rsid w:val="002F681E"/>
    <w:rsid w:val="002F68B6"/>
    <w:rsid w:val="002F69B5"/>
    <w:rsid w:val="002F6AA7"/>
    <w:rsid w:val="002F6BB4"/>
    <w:rsid w:val="002F7096"/>
    <w:rsid w:val="002F73CE"/>
    <w:rsid w:val="002F7431"/>
    <w:rsid w:val="002F75CB"/>
    <w:rsid w:val="002F7623"/>
    <w:rsid w:val="002F7712"/>
    <w:rsid w:val="002F782B"/>
    <w:rsid w:val="002F786F"/>
    <w:rsid w:val="002F78F0"/>
    <w:rsid w:val="002F7BD2"/>
    <w:rsid w:val="002F7C71"/>
    <w:rsid w:val="002F7D17"/>
    <w:rsid w:val="002F7D84"/>
    <w:rsid w:val="002F7D9F"/>
    <w:rsid w:val="002F7EFE"/>
    <w:rsid w:val="00300078"/>
    <w:rsid w:val="00300148"/>
    <w:rsid w:val="00300505"/>
    <w:rsid w:val="0030059B"/>
    <w:rsid w:val="003005FF"/>
    <w:rsid w:val="00300668"/>
    <w:rsid w:val="003007A2"/>
    <w:rsid w:val="0030082B"/>
    <w:rsid w:val="00300853"/>
    <w:rsid w:val="003008DF"/>
    <w:rsid w:val="00300950"/>
    <w:rsid w:val="003009B7"/>
    <w:rsid w:val="00300A37"/>
    <w:rsid w:val="00300A91"/>
    <w:rsid w:val="00300A9B"/>
    <w:rsid w:val="00300AB4"/>
    <w:rsid w:val="00300C80"/>
    <w:rsid w:val="00300CF4"/>
    <w:rsid w:val="00300DD1"/>
    <w:rsid w:val="003012A4"/>
    <w:rsid w:val="0030153F"/>
    <w:rsid w:val="0030160B"/>
    <w:rsid w:val="0030166F"/>
    <w:rsid w:val="003016D9"/>
    <w:rsid w:val="00301768"/>
    <w:rsid w:val="0030176E"/>
    <w:rsid w:val="00301914"/>
    <w:rsid w:val="00301ACF"/>
    <w:rsid w:val="00301DCA"/>
    <w:rsid w:val="00301FDB"/>
    <w:rsid w:val="00301FDD"/>
    <w:rsid w:val="00302198"/>
    <w:rsid w:val="0030233A"/>
    <w:rsid w:val="00302873"/>
    <w:rsid w:val="00302CEF"/>
    <w:rsid w:val="00302CF0"/>
    <w:rsid w:val="00302CF5"/>
    <w:rsid w:val="00302D11"/>
    <w:rsid w:val="00302D45"/>
    <w:rsid w:val="00302E4D"/>
    <w:rsid w:val="00302F7C"/>
    <w:rsid w:val="00303159"/>
    <w:rsid w:val="00303338"/>
    <w:rsid w:val="00303483"/>
    <w:rsid w:val="0030370C"/>
    <w:rsid w:val="0030375F"/>
    <w:rsid w:val="0030386F"/>
    <w:rsid w:val="003038CC"/>
    <w:rsid w:val="00303AF8"/>
    <w:rsid w:val="00303C41"/>
    <w:rsid w:val="00303C4D"/>
    <w:rsid w:val="00303CEC"/>
    <w:rsid w:val="00303DCA"/>
    <w:rsid w:val="00303DF2"/>
    <w:rsid w:val="00303ECC"/>
    <w:rsid w:val="00303FCB"/>
    <w:rsid w:val="00304124"/>
    <w:rsid w:val="0030413E"/>
    <w:rsid w:val="003041FA"/>
    <w:rsid w:val="00304295"/>
    <w:rsid w:val="003043A2"/>
    <w:rsid w:val="003043A5"/>
    <w:rsid w:val="00304431"/>
    <w:rsid w:val="003044DA"/>
    <w:rsid w:val="003045DD"/>
    <w:rsid w:val="003047A3"/>
    <w:rsid w:val="003049C7"/>
    <w:rsid w:val="00304AEE"/>
    <w:rsid w:val="00304B58"/>
    <w:rsid w:val="00304B5F"/>
    <w:rsid w:val="00304C95"/>
    <w:rsid w:val="00304CF5"/>
    <w:rsid w:val="00304DA7"/>
    <w:rsid w:val="0030503E"/>
    <w:rsid w:val="00305259"/>
    <w:rsid w:val="003054B9"/>
    <w:rsid w:val="00305502"/>
    <w:rsid w:val="00305505"/>
    <w:rsid w:val="00305562"/>
    <w:rsid w:val="003055C9"/>
    <w:rsid w:val="00305756"/>
    <w:rsid w:val="00305806"/>
    <w:rsid w:val="003058F6"/>
    <w:rsid w:val="00305939"/>
    <w:rsid w:val="00305C03"/>
    <w:rsid w:val="00305C25"/>
    <w:rsid w:val="00305DFF"/>
    <w:rsid w:val="00305E02"/>
    <w:rsid w:val="00305E94"/>
    <w:rsid w:val="0030617E"/>
    <w:rsid w:val="003062A0"/>
    <w:rsid w:val="00306340"/>
    <w:rsid w:val="0030645D"/>
    <w:rsid w:val="003066C1"/>
    <w:rsid w:val="0030688D"/>
    <w:rsid w:val="003068E1"/>
    <w:rsid w:val="003068E9"/>
    <w:rsid w:val="00306C5A"/>
    <w:rsid w:val="00306D6C"/>
    <w:rsid w:val="00306DDF"/>
    <w:rsid w:val="00306E14"/>
    <w:rsid w:val="00306F8B"/>
    <w:rsid w:val="003070C3"/>
    <w:rsid w:val="003070CE"/>
    <w:rsid w:val="00307184"/>
    <w:rsid w:val="003071F7"/>
    <w:rsid w:val="003072F8"/>
    <w:rsid w:val="00307342"/>
    <w:rsid w:val="00307357"/>
    <w:rsid w:val="003073DD"/>
    <w:rsid w:val="00307477"/>
    <w:rsid w:val="00307497"/>
    <w:rsid w:val="00307527"/>
    <w:rsid w:val="00307578"/>
    <w:rsid w:val="003075D5"/>
    <w:rsid w:val="00307804"/>
    <w:rsid w:val="003078C7"/>
    <w:rsid w:val="00307B9E"/>
    <w:rsid w:val="00307E54"/>
    <w:rsid w:val="00307F37"/>
    <w:rsid w:val="00307F8A"/>
    <w:rsid w:val="0031027A"/>
    <w:rsid w:val="0031028F"/>
    <w:rsid w:val="00310392"/>
    <w:rsid w:val="003103CC"/>
    <w:rsid w:val="00310506"/>
    <w:rsid w:val="003105A8"/>
    <w:rsid w:val="003105FD"/>
    <w:rsid w:val="00310695"/>
    <w:rsid w:val="0031070F"/>
    <w:rsid w:val="00310926"/>
    <w:rsid w:val="00310A79"/>
    <w:rsid w:val="00310AAB"/>
    <w:rsid w:val="00310D76"/>
    <w:rsid w:val="00310D82"/>
    <w:rsid w:val="00310F1F"/>
    <w:rsid w:val="003112BF"/>
    <w:rsid w:val="00311333"/>
    <w:rsid w:val="00311384"/>
    <w:rsid w:val="00311552"/>
    <w:rsid w:val="003115CC"/>
    <w:rsid w:val="0031184A"/>
    <w:rsid w:val="00311860"/>
    <w:rsid w:val="0031186B"/>
    <w:rsid w:val="003118CF"/>
    <w:rsid w:val="00311960"/>
    <w:rsid w:val="00311B6F"/>
    <w:rsid w:val="00311E0C"/>
    <w:rsid w:val="00311EBB"/>
    <w:rsid w:val="00311F94"/>
    <w:rsid w:val="00311FDB"/>
    <w:rsid w:val="00312125"/>
    <w:rsid w:val="00312651"/>
    <w:rsid w:val="0031279E"/>
    <w:rsid w:val="00312819"/>
    <w:rsid w:val="00312879"/>
    <w:rsid w:val="003129C7"/>
    <w:rsid w:val="00312A78"/>
    <w:rsid w:val="00312D03"/>
    <w:rsid w:val="00312E96"/>
    <w:rsid w:val="003130BA"/>
    <w:rsid w:val="0031316C"/>
    <w:rsid w:val="0031318E"/>
    <w:rsid w:val="00313262"/>
    <w:rsid w:val="00313266"/>
    <w:rsid w:val="00313338"/>
    <w:rsid w:val="00313341"/>
    <w:rsid w:val="0031365D"/>
    <w:rsid w:val="0031381F"/>
    <w:rsid w:val="003138DD"/>
    <w:rsid w:val="00313CCC"/>
    <w:rsid w:val="00313CF8"/>
    <w:rsid w:val="00313E34"/>
    <w:rsid w:val="00313ED4"/>
    <w:rsid w:val="00314019"/>
    <w:rsid w:val="00314168"/>
    <w:rsid w:val="00314177"/>
    <w:rsid w:val="00314216"/>
    <w:rsid w:val="00314246"/>
    <w:rsid w:val="00314326"/>
    <w:rsid w:val="00314497"/>
    <w:rsid w:val="0031449F"/>
    <w:rsid w:val="00314562"/>
    <w:rsid w:val="003145AC"/>
    <w:rsid w:val="00314690"/>
    <w:rsid w:val="0031479A"/>
    <w:rsid w:val="00314ABB"/>
    <w:rsid w:val="00314BB2"/>
    <w:rsid w:val="00314BF2"/>
    <w:rsid w:val="00314E34"/>
    <w:rsid w:val="00314F2B"/>
    <w:rsid w:val="0031503C"/>
    <w:rsid w:val="0031538D"/>
    <w:rsid w:val="003153B3"/>
    <w:rsid w:val="003154C0"/>
    <w:rsid w:val="00315539"/>
    <w:rsid w:val="0031576F"/>
    <w:rsid w:val="0031592F"/>
    <w:rsid w:val="00315A6C"/>
    <w:rsid w:val="00315ACF"/>
    <w:rsid w:val="00315B71"/>
    <w:rsid w:val="00315BA0"/>
    <w:rsid w:val="00315CD3"/>
    <w:rsid w:val="00315F70"/>
    <w:rsid w:val="00316014"/>
    <w:rsid w:val="00316056"/>
    <w:rsid w:val="00316510"/>
    <w:rsid w:val="0031673A"/>
    <w:rsid w:val="00316790"/>
    <w:rsid w:val="003167E7"/>
    <w:rsid w:val="0031688D"/>
    <w:rsid w:val="0031688E"/>
    <w:rsid w:val="00316969"/>
    <w:rsid w:val="00316A63"/>
    <w:rsid w:val="00316ABF"/>
    <w:rsid w:val="00316D57"/>
    <w:rsid w:val="00316D5A"/>
    <w:rsid w:val="00316EBF"/>
    <w:rsid w:val="00317010"/>
    <w:rsid w:val="00317180"/>
    <w:rsid w:val="00317267"/>
    <w:rsid w:val="003172D2"/>
    <w:rsid w:val="00317311"/>
    <w:rsid w:val="0031733B"/>
    <w:rsid w:val="00317479"/>
    <w:rsid w:val="00317487"/>
    <w:rsid w:val="003174AD"/>
    <w:rsid w:val="003174F7"/>
    <w:rsid w:val="003175CE"/>
    <w:rsid w:val="00317609"/>
    <w:rsid w:val="0031787A"/>
    <w:rsid w:val="00317AAC"/>
    <w:rsid w:val="00317BAD"/>
    <w:rsid w:val="00317D8E"/>
    <w:rsid w:val="00320080"/>
    <w:rsid w:val="003200A8"/>
    <w:rsid w:val="003200B6"/>
    <w:rsid w:val="00320335"/>
    <w:rsid w:val="003205C2"/>
    <w:rsid w:val="00320764"/>
    <w:rsid w:val="00320774"/>
    <w:rsid w:val="00320B11"/>
    <w:rsid w:val="00320CE3"/>
    <w:rsid w:val="00321125"/>
    <w:rsid w:val="003211A7"/>
    <w:rsid w:val="003211AF"/>
    <w:rsid w:val="003211BC"/>
    <w:rsid w:val="00321303"/>
    <w:rsid w:val="003214B7"/>
    <w:rsid w:val="00321560"/>
    <w:rsid w:val="00321579"/>
    <w:rsid w:val="003215D7"/>
    <w:rsid w:val="00321704"/>
    <w:rsid w:val="0032171E"/>
    <w:rsid w:val="00321736"/>
    <w:rsid w:val="003217C1"/>
    <w:rsid w:val="003218AF"/>
    <w:rsid w:val="00321B1E"/>
    <w:rsid w:val="00321C65"/>
    <w:rsid w:val="00321E3F"/>
    <w:rsid w:val="00321E9F"/>
    <w:rsid w:val="00321EB0"/>
    <w:rsid w:val="00321EDB"/>
    <w:rsid w:val="00321F7B"/>
    <w:rsid w:val="0032227B"/>
    <w:rsid w:val="00322353"/>
    <w:rsid w:val="003224C3"/>
    <w:rsid w:val="00322A78"/>
    <w:rsid w:val="00322C5B"/>
    <w:rsid w:val="00322F40"/>
    <w:rsid w:val="00323036"/>
    <w:rsid w:val="00323095"/>
    <w:rsid w:val="0032312E"/>
    <w:rsid w:val="00323281"/>
    <w:rsid w:val="003232B9"/>
    <w:rsid w:val="003232E8"/>
    <w:rsid w:val="0032346B"/>
    <w:rsid w:val="00323506"/>
    <w:rsid w:val="003238BE"/>
    <w:rsid w:val="003239D1"/>
    <w:rsid w:val="00323A38"/>
    <w:rsid w:val="00323C99"/>
    <w:rsid w:val="00323D00"/>
    <w:rsid w:val="00323EBA"/>
    <w:rsid w:val="00323ED8"/>
    <w:rsid w:val="00323F29"/>
    <w:rsid w:val="00323F6C"/>
    <w:rsid w:val="00324036"/>
    <w:rsid w:val="0032410C"/>
    <w:rsid w:val="0032428F"/>
    <w:rsid w:val="003242DF"/>
    <w:rsid w:val="0032462A"/>
    <w:rsid w:val="00324760"/>
    <w:rsid w:val="00324783"/>
    <w:rsid w:val="003247CE"/>
    <w:rsid w:val="00324845"/>
    <w:rsid w:val="0032486E"/>
    <w:rsid w:val="00324881"/>
    <w:rsid w:val="00324AAC"/>
    <w:rsid w:val="00324B2C"/>
    <w:rsid w:val="00324E50"/>
    <w:rsid w:val="00324EF5"/>
    <w:rsid w:val="00324F11"/>
    <w:rsid w:val="00325002"/>
    <w:rsid w:val="0032504A"/>
    <w:rsid w:val="0032508D"/>
    <w:rsid w:val="00325787"/>
    <w:rsid w:val="003258A9"/>
    <w:rsid w:val="003258AF"/>
    <w:rsid w:val="0032591F"/>
    <w:rsid w:val="00325967"/>
    <w:rsid w:val="00325B61"/>
    <w:rsid w:val="00325B98"/>
    <w:rsid w:val="00325D6D"/>
    <w:rsid w:val="00325D8F"/>
    <w:rsid w:val="00325E0E"/>
    <w:rsid w:val="0032613E"/>
    <w:rsid w:val="0032620D"/>
    <w:rsid w:val="0032640F"/>
    <w:rsid w:val="00326526"/>
    <w:rsid w:val="0032675C"/>
    <w:rsid w:val="003267C4"/>
    <w:rsid w:val="00326ACF"/>
    <w:rsid w:val="00326B64"/>
    <w:rsid w:val="00326F48"/>
    <w:rsid w:val="0032700C"/>
    <w:rsid w:val="0032703D"/>
    <w:rsid w:val="003271B5"/>
    <w:rsid w:val="00327264"/>
    <w:rsid w:val="003277D2"/>
    <w:rsid w:val="0032799E"/>
    <w:rsid w:val="003279AA"/>
    <w:rsid w:val="00327C60"/>
    <w:rsid w:val="00327CFA"/>
    <w:rsid w:val="00327DD5"/>
    <w:rsid w:val="0033009B"/>
    <w:rsid w:val="003301A5"/>
    <w:rsid w:val="003303AB"/>
    <w:rsid w:val="00330508"/>
    <w:rsid w:val="00330519"/>
    <w:rsid w:val="0033056F"/>
    <w:rsid w:val="00330619"/>
    <w:rsid w:val="0033064D"/>
    <w:rsid w:val="003307F0"/>
    <w:rsid w:val="00330822"/>
    <w:rsid w:val="00330836"/>
    <w:rsid w:val="003308C3"/>
    <w:rsid w:val="00330BF1"/>
    <w:rsid w:val="00330C97"/>
    <w:rsid w:val="00330D34"/>
    <w:rsid w:val="00330D3E"/>
    <w:rsid w:val="00330E6E"/>
    <w:rsid w:val="00330F37"/>
    <w:rsid w:val="00330F7E"/>
    <w:rsid w:val="00330FE8"/>
    <w:rsid w:val="00331045"/>
    <w:rsid w:val="003310A0"/>
    <w:rsid w:val="00331103"/>
    <w:rsid w:val="00331260"/>
    <w:rsid w:val="00331353"/>
    <w:rsid w:val="0033144B"/>
    <w:rsid w:val="00331509"/>
    <w:rsid w:val="0033168C"/>
    <w:rsid w:val="003316B3"/>
    <w:rsid w:val="00331900"/>
    <w:rsid w:val="0033190A"/>
    <w:rsid w:val="00331919"/>
    <w:rsid w:val="00331951"/>
    <w:rsid w:val="00331A9D"/>
    <w:rsid w:val="00331B2C"/>
    <w:rsid w:val="00331B99"/>
    <w:rsid w:val="00331D60"/>
    <w:rsid w:val="00331DB6"/>
    <w:rsid w:val="00331F68"/>
    <w:rsid w:val="003320B7"/>
    <w:rsid w:val="003320F8"/>
    <w:rsid w:val="0033211E"/>
    <w:rsid w:val="00332171"/>
    <w:rsid w:val="003322AF"/>
    <w:rsid w:val="00332438"/>
    <w:rsid w:val="00332448"/>
    <w:rsid w:val="003325C4"/>
    <w:rsid w:val="00332640"/>
    <w:rsid w:val="00332856"/>
    <w:rsid w:val="003328E4"/>
    <w:rsid w:val="00332AAC"/>
    <w:rsid w:val="00332ADB"/>
    <w:rsid w:val="00332B0D"/>
    <w:rsid w:val="00332C11"/>
    <w:rsid w:val="00332C6B"/>
    <w:rsid w:val="0033334F"/>
    <w:rsid w:val="003334DF"/>
    <w:rsid w:val="0033355A"/>
    <w:rsid w:val="003335E8"/>
    <w:rsid w:val="0033362A"/>
    <w:rsid w:val="00333972"/>
    <w:rsid w:val="00333A18"/>
    <w:rsid w:val="00333AAE"/>
    <w:rsid w:val="00333B0D"/>
    <w:rsid w:val="00333CD0"/>
    <w:rsid w:val="00333EA9"/>
    <w:rsid w:val="00333EF7"/>
    <w:rsid w:val="0033400B"/>
    <w:rsid w:val="003340D0"/>
    <w:rsid w:val="00334155"/>
    <w:rsid w:val="00334440"/>
    <w:rsid w:val="0033470B"/>
    <w:rsid w:val="0033471E"/>
    <w:rsid w:val="003348FF"/>
    <w:rsid w:val="00334BDB"/>
    <w:rsid w:val="00334BDE"/>
    <w:rsid w:val="00334F4B"/>
    <w:rsid w:val="00335170"/>
    <w:rsid w:val="003354C1"/>
    <w:rsid w:val="00335663"/>
    <w:rsid w:val="00335A51"/>
    <w:rsid w:val="00335ABB"/>
    <w:rsid w:val="00335D7E"/>
    <w:rsid w:val="00335DC3"/>
    <w:rsid w:val="00335E35"/>
    <w:rsid w:val="00335F1D"/>
    <w:rsid w:val="00335F7E"/>
    <w:rsid w:val="003360A8"/>
    <w:rsid w:val="003360D0"/>
    <w:rsid w:val="003360F8"/>
    <w:rsid w:val="00336203"/>
    <w:rsid w:val="00336236"/>
    <w:rsid w:val="00336432"/>
    <w:rsid w:val="0033653D"/>
    <w:rsid w:val="003365A0"/>
    <w:rsid w:val="003368A0"/>
    <w:rsid w:val="003369A1"/>
    <w:rsid w:val="003369B2"/>
    <w:rsid w:val="003369B5"/>
    <w:rsid w:val="00336AE8"/>
    <w:rsid w:val="00336C13"/>
    <w:rsid w:val="00336D17"/>
    <w:rsid w:val="00336E9C"/>
    <w:rsid w:val="00336E9F"/>
    <w:rsid w:val="00336F58"/>
    <w:rsid w:val="00336F8F"/>
    <w:rsid w:val="003370C9"/>
    <w:rsid w:val="003370D9"/>
    <w:rsid w:val="003370E3"/>
    <w:rsid w:val="00337100"/>
    <w:rsid w:val="003373B3"/>
    <w:rsid w:val="00337706"/>
    <w:rsid w:val="003377C3"/>
    <w:rsid w:val="003377EC"/>
    <w:rsid w:val="0033797A"/>
    <w:rsid w:val="00337986"/>
    <w:rsid w:val="00337A4D"/>
    <w:rsid w:val="00337A90"/>
    <w:rsid w:val="00337ACB"/>
    <w:rsid w:val="00337CE7"/>
    <w:rsid w:val="00337E00"/>
    <w:rsid w:val="0034014A"/>
    <w:rsid w:val="003404A3"/>
    <w:rsid w:val="0034065B"/>
    <w:rsid w:val="003407CC"/>
    <w:rsid w:val="003408D5"/>
    <w:rsid w:val="003408EE"/>
    <w:rsid w:val="00340A9E"/>
    <w:rsid w:val="00340B7A"/>
    <w:rsid w:val="00340D08"/>
    <w:rsid w:val="00340E37"/>
    <w:rsid w:val="00340E5E"/>
    <w:rsid w:val="00340E91"/>
    <w:rsid w:val="00340F3E"/>
    <w:rsid w:val="0034117D"/>
    <w:rsid w:val="0034122D"/>
    <w:rsid w:val="0034136C"/>
    <w:rsid w:val="00341421"/>
    <w:rsid w:val="00341610"/>
    <w:rsid w:val="00341806"/>
    <w:rsid w:val="00341855"/>
    <w:rsid w:val="003419CE"/>
    <w:rsid w:val="00341A7A"/>
    <w:rsid w:val="00341AEB"/>
    <w:rsid w:val="00341DDB"/>
    <w:rsid w:val="00341E47"/>
    <w:rsid w:val="00341FF7"/>
    <w:rsid w:val="00342022"/>
    <w:rsid w:val="003420FD"/>
    <w:rsid w:val="003421D1"/>
    <w:rsid w:val="00342291"/>
    <w:rsid w:val="00342334"/>
    <w:rsid w:val="00342397"/>
    <w:rsid w:val="003424DA"/>
    <w:rsid w:val="003426A9"/>
    <w:rsid w:val="0034297E"/>
    <w:rsid w:val="00342A07"/>
    <w:rsid w:val="00342AC8"/>
    <w:rsid w:val="00342CA2"/>
    <w:rsid w:val="00342CAE"/>
    <w:rsid w:val="00342DA4"/>
    <w:rsid w:val="00342E35"/>
    <w:rsid w:val="00342ED0"/>
    <w:rsid w:val="00343335"/>
    <w:rsid w:val="0034339A"/>
    <w:rsid w:val="0034345F"/>
    <w:rsid w:val="00343465"/>
    <w:rsid w:val="00343589"/>
    <w:rsid w:val="003435BC"/>
    <w:rsid w:val="00343646"/>
    <w:rsid w:val="00343B60"/>
    <w:rsid w:val="00343BE0"/>
    <w:rsid w:val="00343CBE"/>
    <w:rsid w:val="0034401A"/>
    <w:rsid w:val="00344130"/>
    <w:rsid w:val="003443E4"/>
    <w:rsid w:val="003444E8"/>
    <w:rsid w:val="00344725"/>
    <w:rsid w:val="003448CF"/>
    <w:rsid w:val="003448F7"/>
    <w:rsid w:val="003449AE"/>
    <w:rsid w:val="003449F1"/>
    <w:rsid w:val="00344A42"/>
    <w:rsid w:val="00344A83"/>
    <w:rsid w:val="00344B49"/>
    <w:rsid w:val="00344BF8"/>
    <w:rsid w:val="00344C65"/>
    <w:rsid w:val="00344CA8"/>
    <w:rsid w:val="00344D39"/>
    <w:rsid w:val="00344DB5"/>
    <w:rsid w:val="00344DC4"/>
    <w:rsid w:val="00344E3F"/>
    <w:rsid w:val="00345038"/>
    <w:rsid w:val="003450AA"/>
    <w:rsid w:val="00345203"/>
    <w:rsid w:val="00345404"/>
    <w:rsid w:val="00345547"/>
    <w:rsid w:val="003457EC"/>
    <w:rsid w:val="0034584F"/>
    <w:rsid w:val="00345A57"/>
    <w:rsid w:val="00345C92"/>
    <w:rsid w:val="00345CC3"/>
    <w:rsid w:val="00345D65"/>
    <w:rsid w:val="00346024"/>
    <w:rsid w:val="00346097"/>
    <w:rsid w:val="00346100"/>
    <w:rsid w:val="0034619D"/>
    <w:rsid w:val="00346823"/>
    <w:rsid w:val="00346B11"/>
    <w:rsid w:val="00346C2D"/>
    <w:rsid w:val="00346CBC"/>
    <w:rsid w:val="00346E01"/>
    <w:rsid w:val="00346E23"/>
    <w:rsid w:val="00346E65"/>
    <w:rsid w:val="00346EBF"/>
    <w:rsid w:val="00346F9E"/>
    <w:rsid w:val="00346FA5"/>
    <w:rsid w:val="00347090"/>
    <w:rsid w:val="00347160"/>
    <w:rsid w:val="0034724D"/>
    <w:rsid w:val="0034725B"/>
    <w:rsid w:val="00347782"/>
    <w:rsid w:val="003478D9"/>
    <w:rsid w:val="00347B08"/>
    <w:rsid w:val="00347BA2"/>
    <w:rsid w:val="00347C01"/>
    <w:rsid w:val="00347F71"/>
    <w:rsid w:val="00347FCA"/>
    <w:rsid w:val="00350146"/>
    <w:rsid w:val="00350150"/>
    <w:rsid w:val="0035018E"/>
    <w:rsid w:val="00350234"/>
    <w:rsid w:val="00350259"/>
    <w:rsid w:val="0035029C"/>
    <w:rsid w:val="00350407"/>
    <w:rsid w:val="00350586"/>
    <w:rsid w:val="00350713"/>
    <w:rsid w:val="0035077E"/>
    <w:rsid w:val="00350811"/>
    <w:rsid w:val="0035093B"/>
    <w:rsid w:val="00350B45"/>
    <w:rsid w:val="00350C5D"/>
    <w:rsid w:val="00350D01"/>
    <w:rsid w:val="00350D30"/>
    <w:rsid w:val="00350FEA"/>
    <w:rsid w:val="00351039"/>
    <w:rsid w:val="00351134"/>
    <w:rsid w:val="0035115F"/>
    <w:rsid w:val="00351284"/>
    <w:rsid w:val="0035131B"/>
    <w:rsid w:val="0035134C"/>
    <w:rsid w:val="003514D6"/>
    <w:rsid w:val="003516AC"/>
    <w:rsid w:val="00351730"/>
    <w:rsid w:val="003517B8"/>
    <w:rsid w:val="00351B0A"/>
    <w:rsid w:val="00351D9B"/>
    <w:rsid w:val="00351E60"/>
    <w:rsid w:val="00352287"/>
    <w:rsid w:val="00352415"/>
    <w:rsid w:val="0035290A"/>
    <w:rsid w:val="00352933"/>
    <w:rsid w:val="00352985"/>
    <w:rsid w:val="00352AC7"/>
    <w:rsid w:val="00352C38"/>
    <w:rsid w:val="00352DD6"/>
    <w:rsid w:val="00352E39"/>
    <w:rsid w:val="003530B5"/>
    <w:rsid w:val="0035312D"/>
    <w:rsid w:val="003531D7"/>
    <w:rsid w:val="00353475"/>
    <w:rsid w:val="00353667"/>
    <w:rsid w:val="00353668"/>
    <w:rsid w:val="00353897"/>
    <w:rsid w:val="00353C0A"/>
    <w:rsid w:val="00353CAA"/>
    <w:rsid w:val="00354210"/>
    <w:rsid w:val="003543B7"/>
    <w:rsid w:val="003543DC"/>
    <w:rsid w:val="00354413"/>
    <w:rsid w:val="00354509"/>
    <w:rsid w:val="003545AE"/>
    <w:rsid w:val="0035464B"/>
    <w:rsid w:val="00354654"/>
    <w:rsid w:val="00354708"/>
    <w:rsid w:val="00354750"/>
    <w:rsid w:val="003547E3"/>
    <w:rsid w:val="00354A46"/>
    <w:rsid w:val="00354D22"/>
    <w:rsid w:val="00354D72"/>
    <w:rsid w:val="00354DDF"/>
    <w:rsid w:val="00354E85"/>
    <w:rsid w:val="00354EC5"/>
    <w:rsid w:val="00354EC6"/>
    <w:rsid w:val="00354ECA"/>
    <w:rsid w:val="0035539D"/>
    <w:rsid w:val="00355559"/>
    <w:rsid w:val="00355794"/>
    <w:rsid w:val="003557C1"/>
    <w:rsid w:val="00355A73"/>
    <w:rsid w:val="00355B36"/>
    <w:rsid w:val="00355CD1"/>
    <w:rsid w:val="00355E8C"/>
    <w:rsid w:val="00355F54"/>
    <w:rsid w:val="00356075"/>
    <w:rsid w:val="0035614C"/>
    <w:rsid w:val="0035617D"/>
    <w:rsid w:val="003561D2"/>
    <w:rsid w:val="003564B6"/>
    <w:rsid w:val="003565E3"/>
    <w:rsid w:val="00356A6F"/>
    <w:rsid w:val="00356A8C"/>
    <w:rsid w:val="00356C27"/>
    <w:rsid w:val="00356CBE"/>
    <w:rsid w:val="00356D3A"/>
    <w:rsid w:val="00356E85"/>
    <w:rsid w:val="003570B1"/>
    <w:rsid w:val="00357103"/>
    <w:rsid w:val="0035716D"/>
    <w:rsid w:val="003572D4"/>
    <w:rsid w:val="0035730A"/>
    <w:rsid w:val="00357356"/>
    <w:rsid w:val="00357363"/>
    <w:rsid w:val="0035738E"/>
    <w:rsid w:val="0035743D"/>
    <w:rsid w:val="00357597"/>
    <w:rsid w:val="00357BB4"/>
    <w:rsid w:val="00357D9F"/>
    <w:rsid w:val="00357FA0"/>
    <w:rsid w:val="00360114"/>
    <w:rsid w:val="0036019E"/>
    <w:rsid w:val="003601E2"/>
    <w:rsid w:val="00360246"/>
    <w:rsid w:val="00360467"/>
    <w:rsid w:val="00360590"/>
    <w:rsid w:val="003605AF"/>
    <w:rsid w:val="00360943"/>
    <w:rsid w:val="00360A6C"/>
    <w:rsid w:val="00360B26"/>
    <w:rsid w:val="00360B93"/>
    <w:rsid w:val="00360BB0"/>
    <w:rsid w:val="00360C27"/>
    <w:rsid w:val="00360EE4"/>
    <w:rsid w:val="00361253"/>
    <w:rsid w:val="003613AD"/>
    <w:rsid w:val="003613E2"/>
    <w:rsid w:val="0036151C"/>
    <w:rsid w:val="003618AA"/>
    <w:rsid w:val="00361A4E"/>
    <w:rsid w:val="00361A91"/>
    <w:rsid w:val="00361C1E"/>
    <w:rsid w:val="00361F00"/>
    <w:rsid w:val="00361FBC"/>
    <w:rsid w:val="00362014"/>
    <w:rsid w:val="003620E4"/>
    <w:rsid w:val="0036235E"/>
    <w:rsid w:val="0036249A"/>
    <w:rsid w:val="00362523"/>
    <w:rsid w:val="00362527"/>
    <w:rsid w:val="003626D0"/>
    <w:rsid w:val="00362789"/>
    <w:rsid w:val="003627B8"/>
    <w:rsid w:val="0036281F"/>
    <w:rsid w:val="003628D7"/>
    <w:rsid w:val="003629D1"/>
    <w:rsid w:val="00362AF8"/>
    <w:rsid w:val="00362B06"/>
    <w:rsid w:val="00362B92"/>
    <w:rsid w:val="00362C57"/>
    <w:rsid w:val="00362DAB"/>
    <w:rsid w:val="0036307D"/>
    <w:rsid w:val="0036326A"/>
    <w:rsid w:val="003632DF"/>
    <w:rsid w:val="00363363"/>
    <w:rsid w:val="003634B0"/>
    <w:rsid w:val="00363875"/>
    <w:rsid w:val="00363BA9"/>
    <w:rsid w:val="00363C1D"/>
    <w:rsid w:val="00363DE3"/>
    <w:rsid w:val="00363E37"/>
    <w:rsid w:val="00363F25"/>
    <w:rsid w:val="00363F79"/>
    <w:rsid w:val="00363FC6"/>
    <w:rsid w:val="003640BB"/>
    <w:rsid w:val="003640C3"/>
    <w:rsid w:val="00364334"/>
    <w:rsid w:val="003643B7"/>
    <w:rsid w:val="003645A9"/>
    <w:rsid w:val="003645DF"/>
    <w:rsid w:val="0036461F"/>
    <w:rsid w:val="00364700"/>
    <w:rsid w:val="003647FC"/>
    <w:rsid w:val="003649E9"/>
    <w:rsid w:val="00364B95"/>
    <w:rsid w:val="00364BDC"/>
    <w:rsid w:val="00364BFD"/>
    <w:rsid w:val="00364F31"/>
    <w:rsid w:val="00364F97"/>
    <w:rsid w:val="00365038"/>
    <w:rsid w:val="00365561"/>
    <w:rsid w:val="003655BE"/>
    <w:rsid w:val="0036560A"/>
    <w:rsid w:val="003656EF"/>
    <w:rsid w:val="0036581B"/>
    <w:rsid w:val="0036596D"/>
    <w:rsid w:val="00365ABE"/>
    <w:rsid w:val="00365B31"/>
    <w:rsid w:val="00365F5D"/>
    <w:rsid w:val="003660D8"/>
    <w:rsid w:val="00366340"/>
    <w:rsid w:val="003665A0"/>
    <w:rsid w:val="003666BC"/>
    <w:rsid w:val="0036689F"/>
    <w:rsid w:val="003668B1"/>
    <w:rsid w:val="00366BC3"/>
    <w:rsid w:val="00366DAB"/>
    <w:rsid w:val="00366DFA"/>
    <w:rsid w:val="00366E6B"/>
    <w:rsid w:val="00366EA7"/>
    <w:rsid w:val="00366F29"/>
    <w:rsid w:val="00366F73"/>
    <w:rsid w:val="00366F88"/>
    <w:rsid w:val="00366FEA"/>
    <w:rsid w:val="00366FF4"/>
    <w:rsid w:val="0036703D"/>
    <w:rsid w:val="0036713B"/>
    <w:rsid w:val="0036724B"/>
    <w:rsid w:val="003674CF"/>
    <w:rsid w:val="003674DB"/>
    <w:rsid w:val="0036753A"/>
    <w:rsid w:val="0036763D"/>
    <w:rsid w:val="0036769A"/>
    <w:rsid w:val="00367733"/>
    <w:rsid w:val="00367892"/>
    <w:rsid w:val="003678BA"/>
    <w:rsid w:val="00367A53"/>
    <w:rsid w:val="00367E16"/>
    <w:rsid w:val="00367F27"/>
    <w:rsid w:val="00370029"/>
    <w:rsid w:val="0037044D"/>
    <w:rsid w:val="0037068E"/>
    <w:rsid w:val="00370743"/>
    <w:rsid w:val="003708C6"/>
    <w:rsid w:val="00370974"/>
    <w:rsid w:val="00370B94"/>
    <w:rsid w:val="00370BBC"/>
    <w:rsid w:val="00370C83"/>
    <w:rsid w:val="00370D62"/>
    <w:rsid w:val="00370F31"/>
    <w:rsid w:val="00370F8B"/>
    <w:rsid w:val="00371316"/>
    <w:rsid w:val="00371353"/>
    <w:rsid w:val="00371479"/>
    <w:rsid w:val="00371512"/>
    <w:rsid w:val="003715BF"/>
    <w:rsid w:val="0037172E"/>
    <w:rsid w:val="00371739"/>
    <w:rsid w:val="003718B0"/>
    <w:rsid w:val="00371BB1"/>
    <w:rsid w:val="00371C0B"/>
    <w:rsid w:val="00371DC1"/>
    <w:rsid w:val="00371F2F"/>
    <w:rsid w:val="00371FB3"/>
    <w:rsid w:val="00372181"/>
    <w:rsid w:val="003721B7"/>
    <w:rsid w:val="00372252"/>
    <w:rsid w:val="003722DE"/>
    <w:rsid w:val="00372328"/>
    <w:rsid w:val="0037235E"/>
    <w:rsid w:val="00372408"/>
    <w:rsid w:val="0037246C"/>
    <w:rsid w:val="003726AB"/>
    <w:rsid w:val="0037272A"/>
    <w:rsid w:val="00372790"/>
    <w:rsid w:val="003728C0"/>
    <w:rsid w:val="00372AEE"/>
    <w:rsid w:val="00372C5A"/>
    <w:rsid w:val="00372FA1"/>
    <w:rsid w:val="00372FC8"/>
    <w:rsid w:val="00373218"/>
    <w:rsid w:val="003732BD"/>
    <w:rsid w:val="00373352"/>
    <w:rsid w:val="00373423"/>
    <w:rsid w:val="003735FE"/>
    <w:rsid w:val="00373609"/>
    <w:rsid w:val="00373630"/>
    <w:rsid w:val="00373721"/>
    <w:rsid w:val="00373739"/>
    <w:rsid w:val="00373764"/>
    <w:rsid w:val="00373887"/>
    <w:rsid w:val="00373892"/>
    <w:rsid w:val="00373927"/>
    <w:rsid w:val="00373930"/>
    <w:rsid w:val="0037393D"/>
    <w:rsid w:val="00373BE1"/>
    <w:rsid w:val="00373CA2"/>
    <w:rsid w:val="00373DEB"/>
    <w:rsid w:val="00373ED7"/>
    <w:rsid w:val="00373ED9"/>
    <w:rsid w:val="00373F15"/>
    <w:rsid w:val="0037412F"/>
    <w:rsid w:val="003742B1"/>
    <w:rsid w:val="003743E5"/>
    <w:rsid w:val="0037443A"/>
    <w:rsid w:val="00374496"/>
    <w:rsid w:val="003745D7"/>
    <w:rsid w:val="003745F2"/>
    <w:rsid w:val="00374639"/>
    <w:rsid w:val="00374646"/>
    <w:rsid w:val="00374712"/>
    <w:rsid w:val="00374738"/>
    <w:rsid w:val="0037499E"/>
    <w:rsid w:val="00374A2C"/>
    <w:rsid w:val="00374BD8"/>
    <w:rsid w:val="00374C91"/>
    <w:rsid w:val="00374FED"/>
    <w:rsid w:val="003752E9"/>
    <w:rsid w:val="00375720"/>
    <w:rsid w:val="00375754"/>
    <w:rsid w:val="0037575C"/>
    <w:rsid w:val="003757C2"/>
    <w:rsid w:val="00375AA9"/>
    <w:rsid w:val="00375B4D"/>
    <w:rsid w:val="00375CF0"/>
    <w:rsid w:val="00375D03"/>
    <w:rsid w:val="00375E65"/>
    <w:rsid w:val="00375F8E"/>
    <w:rsid w:val="00376197"/>
    <w:rsid w:val="003761C8"/>
    <w:rsid w:val="00376375"/>
    <w:rsid w:val="00376378"/>
    <w:rsid w:val="003765C5"/>
    <w:rsid w:val="00376785"/>
    <w:rsid w:val="00376922"/>
    <w:rsid w:val="00376931"/>
    <w:rsid w:val="00376A4D"/>
    <w:rsid w:val="00376B9B"/>
    <w:rsid w:val="00376E28"/>
    <w:rsid w:val="00376E55"/>
    <w:rsid w:val="00376E67"/>
    <w:rsid w:val="00376F29"/>
    <w:rsid w:val="00376F35"/>
    <w:rsid w:val="00376F3B"/>
    <w:rsid w:val="00376F5A"/>
    <w:rsid w:val="00377114"/>
    <w:rsid w:val="003771EC"/>
    <w:rsid w:val="00377283"/>
    <w:rsid w:val="0037733D"/>
    <w:rsid w:val="00377407"/>
    <w:rsid w:val="003775DE"/>
    <w:rsid w:val="00377B0F"/>
    <w:rsid w:val="00377C88"/>
    <w:rsid w:val="00380074"/>
    <w:rsid w:val="0038018F"/>
    <w:rsid w:val="003801EA"/>
    <w:rsid w:val="003801EC"/>
    <w:rsid w:val="0038047B"/>
    <w:rsid w:val="00380592"/>
    <w:rsid w:val="0038062A"/>
    <w:rsid w:val="0038077C"/>
    <w:rsid w:val="003807D1"/>
    <w:rsid w:val="003807E7"/>
    <w:rsid w:val="00380A24"/>
    <w:rsid w:val="00380AF6"/>
    <w:rsid w:val="00380F98"/>
    <w:rsid w:val="00380FBF"/>
    <w:rsid w:val="00381317"/>
    <w:rsid w:val="0038137B"/>
    <w:rsid w:val="00381554"/>
    <w:rsid w:val="003815A2"/>
    <w:rsid w:val="003815B8"/>
    <w:rsid w:val="0038172E"/>
    <w:rsid w:val="003817EC"/>
    <w:rsid w:val="003819CC"/>
    <w:rsid w:val="00381A0E"/>
    <w:rsid w:val="00381B1A"/>
    <w:rsid w:val="00381C12"/>
    <w:rsid w:val="00381D22"/>
    <w:rsid w:val="00381D87"/>
    <w:rsid w:val="00381DD5"/>
    <w:rsid w:val="00381E44"/>
    <w:rsid w:val="00381F9F"/>
    <w:rsid w:val="00382149"/>
    <w:rsid w:val="003821BA"/>
    <w:rsid w:val="00382312"/>
    <w:rsid w:val="003823F7"/>
    <w:rsid w:val="003823FC"/>
    <w:rsid w:val="003825A1"/>
    <w:rsid w:val="00382617"/>
    <w:rsid w:val="00382669"/>
    <w:rsid w:val="003826A2"/>
    <w:rsid w:val="00382814"/>
    <w:rsid w:val="00382A8E"/>
    <w:rsid w:val="00382B8F"/>
    <w:rsid w:val="00382B90"/>
    <w:rsid w:val="00382CC3"/>
    <w:rsid w:val="00382D01"/>
    <w:rsid w:val="00382EE7"/>
    <w:rsid w:val="00383097"/>
    <w:rsid w:val="003830DF"/>
    <w:rsid w:val="00383183"/>
    <w:rsid w:val="00383233"/>
    <w:rsid w:val="00383253"/>
    <w:rsid w:val="003832DB"/>
    <w:rsid w:val="00383346"/>
    <w:rsid w:val="0038334C"/>
    <w:rsid w:val="00383450"/>
    <w:rsid w:val="003835AF"/>
    <w:rsid w:val="00383700"/>
    <w:rsid w:val="003837E3"/>
    <w:rsid w:val="00383843"/>
    <w:rsid w:val="00383AFF"/>
    <w:rsid w:val="00383E72"/>
    <w:rsid w:val="00383E89"/>
    <w:rsid w:val="00384022"/>
    <w:rsid w:val="003840D0"/>
    <w:rsid w:val="0038458A"/>
    <w:rsid w:val="003846F6"/>
    <w:rsid w:val="0038484B"/>
    <w:rsid w:val="003849E4"/>
    <w:rsid w:val="00384CC0"/>
    <w:rsid w:val="00384E49"/>
    <w:rsid w:val="00384F71"/>
    <w:rsid w:val="00384F85"/>
    <w:rsid w:val="0038515A"/>
    <w:rsid w:val="003851C2"/>
    <w:rsid w:val="003851C3"/>
    <w:rsid w:val="003854FF"/>
    <w:rsid w:val="003855AA"/>
    <w:rsid w:val="0038564E"/>
    <w:rsid w:val="00385863"/>
    <w:rsid w:val="00385919"/>
    <w:rsid w:val="0038593C"/>
    <w:rsid w:val="003859EF"/>
    <w:rsid w:val="00385A70"/>
    <w:rsid w:val="00385C40"/>
    <w:rsid w:val="00385DA8"/>
    <w:rsid w:val="00386412"/>
    <w:rsid w:val="0038645D"/>
    <w:rsid w:val="003864F8"/>
    <w:rsid w:val="003867E2"/>
    <w:rsid w:val="0038683E"/>
    <w:rsid w:val="00386AEC"/>
    <w:rsid w:val="00386BAD"/>
    <w:rsid w:val="00386C67"/>
    <w:rsid w:val="00386D28"/>
    <w:rsid w:val="00386D55"/>
    <w:rsid w:val="003870DC"/>
    <w:rsid w:val="003870EC"/>
    <w:rsid w:val="003871FD"/>
    <w:rsid w:val="0038722E"/>
    <w:rsid w:val="0038724A"/>
    <w:rsid w:val="003872DA"/>
    <w:rsid w:val="00387366"/>
    <w:rsid w:val="003875A1"/>
    <w:rsid w:val="003876C0"/>
    <w:rsid w:val="0038785B"/>
    <w:rsid w:val="00387A75"/>
    <w:rsid w:val="00387E21"/>
    <w:rsid w:val="00387EB0"/>
    <w:rsid w:val="00387F2B"/>
    <w:rsid w:val="00387F3B"/>
    <w:rsid w:val="003900C6"/>
    <w:rsid w:val="00390203"/>
    <w:rsid w:val="00390494"/>
    <w:rsid w:val="003904F4"/>
    <w:rsid w:val="003905C9"/>
    <w:rsid w:val="00390646"/>
    <w:rsid w:val="003908BF"/>
    <w:rsid w:val="003908C0"/>
    <w:rsid w:val="00390AA4"/>
    <w:rsid w:val="00390E3D"/>
    <w:rsid w:val="00390E98"/>
    <w:rsid w:val="00390F29"/>
    <w:rsid w:val="00390FDD"/>
    <w:rsid w:val="00391059"/>
    <w:rsid w:val="00391354"/>
    <w:rsid w:val="0039153F"/>
    <w:rsid w:val="003919CE"/>
    <w:rsid w:val="003919DE"/>
    <w:rsid w:val="00391B69"/>
    <w:rsid w:val="00391D5B"/>
    <w:rsid w:val="00391D60"/>
    <w:rsid w:val="00392009"/>
    <w:rsid w:val="00392299"/>
    <w:rsid w:val="003922C1"/>
    <w:rsid w:val="00392578"/>
    <w:rsid w:val="0039282F"/>
    <w:rsid w:val="003928A6"/>
    <w:rsid w:val="00392A15"/>
    <w:rsid w:val="00392B47"/>
    <w:rsid w:val="00392CB6"/>
    <w:rsid w:val="00392E3F"/>
    <w:rsid w:val="00392EB5"/>
    <w:rsid w:val="00393051"/>
    <w:rsid w:val="00393081"/>
    <w:rsid w:val="003932FA"/>
    <w:rsid w:val="00393517"/>
    <w:rsid w:val="00393521"/>
    <w:rsid w:val="00393533"/>
    <w:rsid w:val="00393541"/>
    <w:rsid w:val="003935BB"/>
    <w:rsid w:val="00393709"/>
    <w:rsid w:val="003938BF"/>
    <w:rsid w:val="00393A87"/>
    <w:rsid w:val="00393AA1"/>
    <w:rsid w:val="00393BA3"/>
    <w:rsid w:val="00393C32"/>
    <w:rsid w:val="00393D83"/>
    <w:rsid w:val="00393E15"/>
    <w:rsid w:val="00393E8A"/>
    <w:rsid w:val="00393EEF"/>
    <w:rsid w:val="003940DA"/>
    <w:rsid w:val="003940DC"/>
    <w:rsid w:val="003941E8"/>
    <w:rsid w:val="0039451E"/>
    <w:rsid w:val="003945D4"/>
    <w:rsid w:val="003947C6"/>
    <w:rsid w:val="003948D0"/>
    <w:rsid w:val="003949A2"/>
    <w:rsid w:val="003949DB"/>
    <w:rsid w:val="00394A0B"/>
    <w:rsid w:val="00394C13"/>
    <w:rsid w:val="00394C14"/>
    <w:rsid w:val="00394DA9"/>
    <w:rsid w:val="00394DE7"/>
    <w:rsid w:val="003950E0"/>
    <w:rsid w:val="00395103"/>
    <w:rsid w:val="003952B4"/>
    <w:rsid w:val="00395447"/>
    <w:rsid w:val="00395574"/>
    <w:rsid w:val="003955F7"/>
    <w:rsid w:val="0039578A"/>
    <w:rsid w:val="003958F8"/>
    <w:rsid w:val="00395944"/>
    <w:rsid w:val="00395955"/>
    <w:rsid w:val="00395B67"/>
    <w:rsid w:val="00395B7F"/>
    <w:rsid w:val="00395C78"/>
    <w:rsid w:val="00395C90"/>
    <w:rsid w:val="00395D1A"/>
    <w:rsid w:val="00395DD5"/>
    <w:rsid w:val="00395E2B"/>
    <w:rsid w:val="00395F37"/>
    <w:rsid w:val="003960A2"/>
    <w:rsid w:val="003961CF"/>
    <w:rsid w:val="00396302"/>
    <w:rsid w:val="003965CA"/>
    <w:rsid w:val="00396617"/>
    <w:rsid w:val="003966D2"/>
    <w:rsid w:val="003967B9"/>
    <w:rsid w:val="00396876"/>
    <w:rsid w:val="003968AE"/>
    <w:rsid w:val="00396903"/>
    <w:rsid w:val="00396918"/>
    <w:rsid w:val="00396A8F"/>
    <w:rsid w:val="00396DF3"/>
    <w:rsid w:val="0039716D"/>
    <w:rsid w:val="003972E9"/>
    <w:rsid w:val="003973BC"/>
    <w:rsid w:val="00397439"/>
    <w:rsid w:val="00397598"/>
    <w:rsid w:val="00397AB1"/>
    <w:rsid w:val="00397EA8"/>
    <w:rsid w:val="00397FA5"/>
    <w:rsid w:val="003A0070"/>
    <w:rsid w:val="003A0102"/>
    <w:rsid w:val="003A01F3"/>
    <w:rsid w:val="003A0318"/>
    <w:rsid w:val="003A03FB"/>
    <w:rsid w:val="003A0A19"/>
    <w:rsid w:val="003A0BB2"/>
    <w:rsid w:val="003A0CE7"/>
    <w:rsid w:val="003A0E36"/>
    <w:rsid w:val="003A14CE"/>
    <w:rsid w:val="003A1528"/>
    <w:rsid w:val="003A1632"/>
    <w:rsid w:val="003A1788"/>
    <w:rsid w:val="003A17B4"/>
    <w:rsid w:val="003A18A5"/>
    <w:rsid w:val="003A1A27"/>
    <w:rsid w:val="003A1A9B"/>
    <w:rsid w:val="003A1B42"/>
    <w:rsid w:val="003A1C61"/>
    <w:rsid w:val="003A1DE1"/>
    <w:rsid w:val="003A1FF5"/>
    <w:rsid w:val="003A2026"/>
    <w:rsid w:val="003A2137"/>
    <w:rsid w:val="003A229F"/>
    <w:rsid w:val="003A2384"/>
    <w:rsid w:val="003A2627"/>
    <w:rsid w:val="003A2629"/>
    <w:rsid w:val="003A272F"/>
    <w:rsid w:val="003A276F"/>
    <w:rsid w:val="003A2795"/>
    <w:rsid w:val="003A2B09"/>
    <w:rsid w:val="003A2C9D"/>
    <w:rsid w:val="003A2DB3"/>
    <w:rsid w:val="003A2F5F"/>
    <w:rsid w:val="003A2FC9"/>
    <w:rsid w:val="003A30AC"/>
    <w:rsid w:val="003A30CA"/>
    <w:rsid w:val="003A3110"/>
    <w:rsid w:val="003A32B2"/>
    <w:rsid w:val="003A33C9"/>
    <w:rsid w:val="003A3DA0"/>
    <w:rsid w:val="003A3E3F"/>
    <w:rsid w:val="003A3F51"/>
    <w:rsid w:val="003A40CA"/>
    <w:rsid w:val="003A4180"/>
    <w:rsid w:val="003A41D0"/>
    <w:rsid w:val="003A4211"/>
    <w:rsid w:val="003A449B"/>
    <w:rsid w:val="003A44D3"/>
    <w:rsid w:val="003A48E1"/>
    <w:rsid w:val="003A4ABE"/>
    <w:rsid w:val="003A4C79"/>
    <w:rsid w:val="003A4DC5"/>
    <w:rsid w:val="003A4E07"/>
    <w:rsid w:val="003A4E4F"/>
    <w:rsid w:val="003A4FAF"/>
    <w:rsid w:val="003A529E"/>
    <w:rsid w:val="003A53A5"/>
    <w:rsid w:val="003A544E"/>
    <w:rsid w:val="003A5525"/>
    <w:rsid w:val="003A5598"/>
    <w:rsid w:val="003A55B3"/>
    <w:rsid w:val="003A57EC"/>
    <w:rsid w:val="003A5B46"/>
    <w:rsid w:val="003A5BE0"/>
    <w:rsid w:val="003A5DDE"/>
    <w:rsid w:val="003A5F4C"/>
    <w:rsid w:val="003A5FAA"/>
    <w:rsid w:val="003A614F"/>
    <w:rsid w:val="003A6204"/>
    <w:rsid w:val="003A623B"/>
    <w:rsid w:val="003A664D"/>
    <w:rsid w:val="003A6A9A"/>
    <w:rsid w:val="003A6B12"/>
    <w:rsid w:val="003A6BB8"/>
    <w:rsid w:val="003A6C9B"/>
    <w:rsid w:val="003A6D24"/>
    <w:rsid w:val="003A6F2E"/>
    <w:rsid w:val="003A71A2"/>
    <w:rsid w:val="003A76EC"/>
    <w:rsid w:val="003A78F6"/>
    <w:rsid w:val="003A7986"/>
    <w:rsid w:val="003A79AA"/>
    <w:rsid w:val="003A7C3E"/>
    <w:rsid w:val="003A7D0D"/>
    <w:rsid w:val="003A7EB5"/>
    <w:rsid w:val="003B006E"/>
    <w:rsid w:val="003B00C8"/>
    <w:rsid w:val="003B00FF"/>
    <w:rsid w:val="003B0356"/>
    <w:rsid w:val="003B0432"/>
    <w:rsid w:val="003B053F"/>
    <w:rsid w:val="003B05B8"/>
    <w:rsid w:val="003B06F3"/>
    <w:rsid w:val="003B078D"/>
    <w:rsid w:val="003B08AE"/>
    <w:rsid w:val="003B08FF"/>
    <w:rsid w:val="003B0A9C"/>
    <w:rsid w:val="003B0AF7"/>
    <w:rsid w:val="003B0B82"/>
    <w:rsid w:val="003B0BFD"/>
    <w:rsid w:val="003B0C0E"/>
    <w:rsid w:val="003B0D28"/>
    <w:rsid w:val="003B0E7E"/>
    <w:rsid w:val="003B0EEB"/>
    <w:rsid w:val="003B113E"/>
    <w:rsid w:val="003B114C"/>
    <w:rsid w:val="003B1178"/>
    <w:rsid w:val="003B11BF"/>
    <w:rsid w:val="003B14B2"/>
    <w:rsid w:val="003B1513"/>
    <w:rsid w:val="003B1574"/>
    <w:rsid w:val="003B15C1"/>
    <w:rsid w:val="003B15F3"/>
    <w:rsid w:val="003B16F4"/>
    <w:rsid w:val="003B1884"/>
    <w:rsid w:val="003B188F"/>
    <w:rsid w:val="003B1916"/>
    <w:rsid w:val="003B1A8B"/>
    <w:rsid w:val="003B1ABB"/>
    <w:rsid w:val="003B1BA1"/>
    <w:rsid w:val="003B1BF5"/>
    <w:rsid w:val="003B1DA1"/>
    <w:rsid w:val="003B1F47"/>
    <w:rsid w:val="003B1F68"/>
    <w:rsid w:val="003B201D"/>
    <w:rsid w:val="003B22FB"/>
    <w:rsid w:val="003B2344"/>
    <w:rsid w:val="003B243C"/>
    <w:rsid w:val="003B253D"/>
    <w:rsid w:val="003B25C4"/>
    <w:rsid w:val="003B26B4"/>
    <w:rsid w:val="003B2774"/>
    <w:rsid w:val="003B2926"/>
    <w:rsid w:val="003B2C28"/>
    <w:rsid w:val="003B2CAE"/>
    <w:rsid w:val="003B2D2F"/>
    <w:rsid w:val="003B2D5B"/>
    <w:rsid w:val="003B2E1E"/>
    <w:rsid w:val="003B2FFE"/>
    <w:rsid w:val="003B300A"/>
    <w:rsid w:val="003B31ED"/>
    <w:rsid w:val="003B33B7"/>
    <w:rsid w:val="003B3543"/>
    <w:rsid w:val="003B3764"/>
    <w:rsid w:val="003B3875"/>
    <w:rsid w:val="003B3A0C"/>
    <w:rsid w:val="003B3A27"/>
    <w:rsid w:val="003B3A51"/>
    <w:rsid w:val="003B3C40"/>
    <w:rsid w:val="003B3C7B"/>
    <w:rsid w:val="003B3C9D"/>
    <w:rsid w:val="003B3D39"/>
    <w:rsid w:val="003B3E0D"/>
    <w:rsid w:val="003B3E39"/>
    <w:rsid w:val="003B402C"/>
    <w:rsid w:val="003B417F"/>
    <w:rsid w:val="003B4318"/>
    <w:rsid w:val="003B43A1"/>
    <w:rsid w:val="003B44CA"/>
    <w:rsid w:val="003B490A"/>
    <w:rsid w:val="003B4985"/>
    <w:rsid w:val="003B4E19"/>
    <w:rsid w:val="003B57C1"/>
    <w:rsid w:val="003B5989"/>
    <w:rsid w:val="003B59C3"/>
    <w:rsid w:val="003B5D22"/>
    <w:rsid w:val="003B5F19"/>
    <w:rsid w:val="003B6191"/>
    <w:rsid w:val="003B61F0"/>
    <w:rsid w:val="003B628B"/>
    <w:rsid w:val="003B6431"/>
    <w:rsid w:val="003B67E7"/>
    <w:rsid w:val="003B68B1"/>
    <w:rsid w:val="003B6998"/>
    <w:rsid w:val="003B6A94"/>
    <w:rsid w:val="003B6C2D"/>
    <w:rsid w:val="003B6C6D"/>
    <w:rsid w:val="003B6EC8"/>
    <w:rsid w:val="003B70B1"/>
    <w:rsid w:val="003B724E"/>
    <w:rsid w:val="003B7377"/>
    <w:rsid w:val="003B773A"/>
    <w:rsid w:val="003B775D"/>
    <w:rsid w:val="003B7777"/>
    <w:rsid w:val="003B779F"/>
    <w:rsid w:val="003B77B5"/>
    <w:rsid w:val="003B78F6"/>
    <w:rsid w:val="003B7B0B"/>
    <w:rsid w:val="003B7D5E"/>
    <w:rsid w:val="003B7DA1"/>
    <w:rsid w:val="003B7E04"/>
    <w:rsid w:val="003B7E32"/>
    <w:rsid w:val="003B7E82"/>
    <w:rsid w:val="003C0021"/>
    <w:rsid w:val="003C012E"/>
    <w:rsid w:val="003C026F"/>
    <w:rsid w:val="003C0498"/>
    <w:rsid w:val="003C06CB"/>
    <w:rsid w:val="003C078C"/>
    <w:rsid w:val="003C0846"/>
    <w:rsid w:val="003C0ADB"/>
    <w:rsid w:val="003C100C"/>
    <w:rsid w:val="003C1143"/>
    <w:rsid w:val="003C118F"/>
    <w:rsid w:val="003C1199"/>
    <w:rsid w:val="003C1222"/>
    <w:rsid w:val="003C12A7"/>
    <w:rsid w:val="003C135F"/>
    <w:rsid w:val="003C153C"/>
    <w:rsid w:val="003C1621"/>
    <w:rsid w:val="003C1626"/>
    <w:rsid w:val="003C1688"/>
    <w:rsid w:val="003C1849"/>
    <w:rsid w:val="003C1B39"/>
    <w:rsid w:val="003C1DA2"/>
    <w:rsid w:val="003C1EDD"/>
    <w:rsid w:val="003C21E7"/>
    <w:rsid w:val="003C23AF"/>
    <w:rsid w:val="003C2479"/>
    <w:rsid w:val="003C24CB"/>
    <w:rsid w:val="003C2501"/>
    <w:rsid w:val="003C250A"/>
    <w:rsid w:val="003C2B0F"/>
    <w:rsid w:val="003C2B36"/>
    <w:rsid w:val="003C2E65"/>
    <w:rsid w:val="003C30F5"/>
    <w:rsid w:val="003C3128"/>
    <w:rsid w:val="003C3130"/>
    <w:rsid w:val="003C3199"/>
    <w:rsid w:val="003C32C9"/>
    <w:rsid w:val="003C360A"/>
    <w:rsid w:val="003C3960"/>
    <w:rsid w:val="003C39DC"/>
    <w:rsid w:val="003C39E6"/>
    <w:rsid w:val="003C3B1A"/>
    <w:rsid w:val="003C3D9B"/>
    <w:rsid w:val="003C3E2C"/>
    <w:rsid w:val="003C3F1E"/>
    <w:rsid w:val="003C4020"/>
    <w:rsid w:val="003C41BC"/>
    <w:rsid w:val="003C4225"/>
    <w:rsid w:val="003C4253"/>
    <w:rsid w:val="003C426D"/>
    <w:rsid w:val="003C42B9"/>
    <w:rsid w:val="003C4564"/>
    <w:rsid w:val="003C4584"/>
    <w:rsid w:val="003C4605"/>
    <w:rsid w:val="003C465A"/>
    <w:rsid w:val="003C479D"/>
    <w:rsid w:val="003C4A57"/>
    <w:rsid w:val="003C4A74"/>
    <w:rsid w:val="003C4AE8"/>
    <w:rsid w:val="003C4B08"/>
    <w:rsid w:val="003C4E64"/>
    <w:rsid w:val="003C4F73"/>
    <w:rsid w:val="003C4F8E"/>
    <w:rsid w:val="003C5042"/>
    <w:rsid w:val="003C5210"/>
    <w:rsid w:val="003C528A"/>
    <w:rsid w:val="003C52C2"/>
    <w:rsid w:val="003C532C"/>
    <w:rsid w:val="003C539F"/>
    <w:rsid w:val="003C54E1"/>
    <w:rsid w:val="003C5943"/>
    <w:rsid w:val="003C59A5"/>
    <w:rsid w:val="003C5B53"/>
    <w:rsid w:val="003C5B5E"/>
    <w:rsid w:val="003C5BD1"/>
    <w:rsid w:val="003C5D26"/>
    <w:rsid w:val="003C5D62"/>
    <w:rsid w:val="003C5E2E"/>
    <w:rsid w:val="003C5EF5"/>
    <w:rsid w:val="003C6035"/>
    <w:rsid w:val="003C60E9"/>
    <w:rsid w:val="003C61A2"/>
    <w:rsid w:val="003C6299"/>
    <w:rsid w:val="003C63A2"/>
    <w:rsid w:val="003C648E"/>
    <w:rsid w:val="003C6568"/>
    <w:rsid w:val="003C6A72"/>
    <w:rsid w:val="003C6B31"/>
    <w:rsid w:val="003C6C72"/>
    <w:rsid w:val="003C6CE8"/>
    <w:rsid w:val="003C6CEF"/>
    <w:rsid w:val="003C724D"/>
    <w:rsid w:val="003C727F"/>
    <w:rsid w:val="003C73C0"/>
    <w:rsid w:val="003C7571"/>
    <w:rsid w:val="003C76A5"/>
    <w:rsid w:val="003C7710"/>
    <w:rsid w:val="003C771D"/>
    <w:rsid w:val="003C772F"/>
    <w:rsid w:val="003C7945"/>
    <w:rsid w:val="003C7FA9"/>
    <w:rsid w:val="003D0019"/>
    <w:rsid w:val="003D00D6"/>
    <w:rsid w:val="003D013D"/>
    <w:rsid w:val="003D0165"/>
    <w:rsid w:val="003D0238"/>
    <w:rsid w:val="003D04EF"/>
    <w:rsid w:val="003D0783"/>
    <w:rsid w:val="003D0961"/>
    <w:rsid w:val="003D0B1A"/>
    <w:rsid w:val="003D0BE0"/>
    <w:rsid w:val="003D0DB6"/>
    <w:rsid w:val="003D0E2A"/>
    <w:rsid w:val="003D0E5E"/>
    <w:rsid w:val="003D0EA6"/>
    <w:rsid w:val="003D103B"/>
    <w:rsid w:val="003D113A"/>
    <w:rsid w:val="003D16C2"/>
    <w:rsid w:val="003D17B1"/>
    <w:rsid w:val="003D1874"/>
    <w:rsid w:val="003D19F4"/>
    <w:rsid w:val="003D1B3E"/>
    <w:rsid w:val="003D1B58"/>
    <w:rsid w:val="003D1CBD"/>
    <w:rsid w:val="003D1EEB"/>
    <w:rsid w:val="003D1FA1"/>
    <w:rsid w:val="003D222F"/>
    <w:rsid w:val="003D224A"/>
    <w:rsid w:val="003D23FA"/>
    <w:rsid w:val="003D2601"/>
    <w:rsid w:val="003D26EB"/>
    <w:rsid w:val="003D2703"/>
    <w:rsid w:val="003D2CE3"/>
    <w:rsid w:val="003D2EA5"/>
    <w:rsid w:val="003D3121"/>
    <w:rsid w:val="003D3139"/>
    <w:rsid w:val="003D317C"/>
    <w:rsid w:val="003D340B"/>
    <w:rsid w:val="003D34E9"/>
    <w:rsid w:val="003D3531"/>
    <w:rsid w:val="003D357A"/>
    <w:rsid w:val="003D3715"/>
    <w:rsid w:val="003D372C"/>
    <w:rsid w:val="003D37FB"/>
    <w:rsid w:val="003D39C8"/>
    <w:rsid w:val="003D39CD"/>
    <w:rsid w:val="003D3DA3"/>
    <w:rsid w:val="003D3F35"/>
    <w:rsid w:val="003D3F64"/>
    <w:rsid w:val="003D4268"/>
    <w:rsid w:val="003D42EE"/>
    <w:rsid w:val="003D4333"/>
    <w:rsid w:val="003D46D5"/>
    <w:rsid w:val="003D47FB"/>
    <w:rsid w:val="003D4BF0"/>
    <w:rsid w:val="003D4DE6"/>
    <w:rsid w:val="003D4DFC"/>
    <w:rsid w:val="003D4EAB"/>
    <w:rsid w:val="003D4EDC"/>
    <w:rsid w:val="003D4F0D"/>
    <w:rsid w:val="003D5004"/>
    <w:rsid w:val="003D509B"/>
    <w:rsid w:val="003D513C"/>
    <w:rsid w:val="003D5146"/>
    <w:rsid w:val="003D5495"/>
    <w:rsid w:val="003D5564"/>
    <w:rsid w:val="003D55B2"/>
    <w:rsid w:val="003D56C8"/>
    <w:rsid w:val="003D56D3"/>
    <w:rsid w:val="003D56DF"/>
    <w:rsid w:val="003D59D5"/>
    <w:rsid w:val="003D5A44"/>
    <w:rsid w:val="003D5A9B"/>
    <w:rsid w:val="003D5BF1"/>
    <w:rsid w:val="003D5DFD"/>
    <w:rsid w:val="003D612B"/>
    <w:rsid w:val="003D662E"/>
    <w:rsid w:val="003D6905"/>
    <w:rsid w:val="003D6A9B"/>
    <w:rsid w:val="003D6C53"/>
    <w:rsid w:val="003D6E43"/>
    <w:rsid w:val="003D7165"/>
    <w:rsid w:val="003D729C"/>
    <w:rsid w:val="003D74B4"/>
    <w:rsid w:val="003D74FA"/>
    <w:rsid w:val="003D75B2"/>
    <w:rsid w:val="003D7714"/>
    <w:rsid w:val="003D7921"/>
    <w:rsid w:val="003D7BD4"/>
    <w:rsid w:val="003D7DA7"/>
    <w:rsid w:val="003D7DEB"/>
    <w:rsid w:val="003D7DEE"/>
    <w:rsid w:val="003D7EF7"/>
    <w:rsid w:val="003E0274"/>
    <w:rsid w:val="003E0783"/>
    <w:rsid w:val="003E0927"/>
    <w:rsid w:val="003E0B3F"/>
    <w:rsid w:val="003E0C3C"/>
    <w:rsid w:val="003E0E1D"/>
    <w:rsid w:val="003E0E9E"/>
    <w:rsid w:val="003E0FA7"/>
    <w:rsid w:val="003E105D"/>
    <w:rsid w:val="003E11B1"/>
    <w:rsid w:val="003E165E"/>
    <w:rsid w:val="003E17CB"/>
    <w:rsid w:val="003E17D6"/>
    <w:rsid w:val="003E18E7"/>
    <w:rsid w:val="003E18FC"/>
    <w:rsid w:val="003E19A0"/>
    <w:rsid w:val="003E19F7"/>
    <w:rsid w:val="003E1BF4"/>
    <w:rsid w:val="003E1D00"/>
    <w:rsid w:val="003E23D8"/>
    <w:rsid w:val="003E2403"/>
    <w:rsid w:val="003E265A"/>
    <w:rsid w:val="003E272D"/>
    <w:rsid w:val="003E27A9"/>
    <w:rsid w:val="003E2C94"/>
    <w:rsid w:val="003E2D64"/>
    <w:rsid w:val="003E2F13"/>
    <w:rsid w:val="003E2FD7"/>
    <w:rsid w:val="003E2FE6"/>
    <w:rsid w:val="003E311D"/>
    <w:rsid w:val="003E31A0"/>
    <w:rsid w:val="003E31DC"/>
    <w:rsid w:val="003E3205"/>
    <w:rsid w:val="003E332E"/>
    <w:rsid w:val="003E36DA"/>
    <w:rsid w:val="003E383D"/>
    <w:rsid w:val="003E3A19"/>
    <w:rsid w:val="003E40CA"/>
    <w:rsid w:val="003E40D6"/>
    <w:rsid w:val="003E4478"/>
    <w:rsid w:val="003E450A"/>
    <w:rsid w:val="003E4921"/>
    <w:rsid w:val="003E4C88"/>
    <w:rsid w:val="003E4EE2"/>
    <w:rsid w:val="003E4F7D"/>
    <w:rsid w:val="003E51FA"/>
    <w:rsid w:val="003E534A"/>
    <w:rsid w:val="003E565E"/>
    <w:rsid w:val="003E571E"/>
    <w:rsid w:val="003E577C"/>
    <w:rsid w:val="003E57AD"/>
    <w:rsid w:val="003E5981"/>
    <w:rsid w:val="003E5C2C"/>
    <w:rsid w:val="003E5C6A"/>
    <w:rsid w:val="003E5CDE"/>
    <w:rsid w:val="003E5E1F"/>
    <w:rsid w:val="003E5F20"/>
    <w:rsid w:val="003E6243"/>
    <w:rsid w:val="003E62AD"/>
    <w:rsid w:val="003E651D"/>
    <w:rsid w:val="003E658E"/>
    <w:rsid w:val="003E65DA"/>
    <w:rsid w:val="003E660E"/>
    <w:rsid w:val="003E66AB"/>
    <w:rsid w:val="003E68F3"/>
    <w:rsid w:val="003E69A9"/>
    <w:rsid w:val="003E69E4"/>
    <w:rsid w:val="003E6B28"/>
    <w:rsid w:val="003E6B91"/>
    <w:rsid w:val="003E6CBC"/>
    <w:rsid w:val="003E6D31"/>
    <w:rsid w:val="003E6FD9"/>
    <w:rsid w:val="003E7296"/>
    <w:rsid w:val="003E72F8"/>
    <w:rsid w:val="003E7394"/>
    <w:rsid w:val="003E7456"/>
    <w:rsid w:val="003E7510"/>
    <w:rsid w:val="003E7550"/>
    <w:rsid w:val="003E7679"/>
    <w:rsid w:val="003E7707"/>
    <w:rsid w:val="003E77D8"/>
    <w:rsid w:val="003E78B7"/>
    <w:rsid w:val="003E7913"/>
    <w:rsid w:val="003E7AB5"/>
    <w:rsid w:val="003E7B3E"/>
    <w:rsid w:val="003E7B51"/>
    <w:rsid w:val="003E7BE3"/>
    <w:rsid w:val="003E7E5A"/>
    <w:rsid w:val="003E7E9D"/>
    <w:rsid w:val="003E7FBE"/>
    <w:rsid w:val="003F013D"/>
    <w:rsid w:val="003F02F5"/>
    <w:rsid w:val="003F031F"/>
    <w:rsid w:val="003F04CB"/>
    <w:rsid w:val="003F058C"/>
    <w:rsid w:val="003F05BA"/>
    <w:rsid w:val="003F0739"/>
    <w:rsid w:val="003F0770"/>
    <w:rsid w:val="003F080D"/>
    <w:rsid w:val="003F0938"/>
    <w:rsid w:val="003F099C"/>
    <w:rsid w:val="003F0A19"/>
    <w:rsid w:val="003F0A37"/>
    <w:rsid w:val="003F0A82"/>
    <w:rsid w:val="003F0B56"/>
    <w:rsid w:val="003F0D25"/>
    <w:rsid w:val="003F0E4D"/>
    <w:rsid w:val="003F1156"/>
    <w:rsid w:val="003F177D"/>
    <w:rsid w:val="003F185B"/>
    <w:rsid w:val="003F189E"/>
    <w:rsid w:val="003F1A19"/>
    <w:rsid w:val="003F1AF0"/>
    <w:rsid w:val="003F1B26"/>
    <w:rsid w:val="003F1B7F"/>
    <w:rsid w:val="003F1D7C"/>
    <w:rsid w:val="003F20D7"/>
    <w:rsid w:val="003F2303"/>
    <w:rsid w:val="003F2387"/>
    <w:rsid w:val="003F2652"/>
    <w:rsid w:val="003F2782"/>
    <w:rsid w:val="003F27FD"/>
    <w:rsid w:val="003F2865"/>
    <w:rsid w:val="003F28B0"/>
    <w:rsid w:val="003F28F9"/>
    <w:rsid w:val="003F2910"/>
    <w:rsid w:val="003F2A1B"/>
    <w:rsid w:val="003F2ADA"/>
    <w:rsid w:val="003F2BBF"/>
    <w:rsid w:val="003F2D54"/>
    <w:rsid w:val="003F2DFE"/>
    <w:rsid w:val="003F2E84"/>
    <w:rsid w:val="003F2F52"/>
    <w:rsid w:val="003F30A1"/>
    <w:rsid w:val="003F30CA"/>
    <w:rsid w:val="003F3102"/>
    <w:rsid w:val="003F3165"/>
    <w:rsid w:val="003F33EB"/>
    <w:rsid w:val="003F3407"/>
    <w:rsid w:val="003F34E6"/>
    <w:rsid w:val="003F35D4"/>
    <w:rsid w:val="003F3653"/>
    <w:rsid w:val="003F3674"/>
    <w:rsid w:val="003F36AF"/>
    <w:rsid w:val="003F3707"/>
    <w:rsid w:val="003F3768"/>
    <w:rsid w:val="003F384F"/>
    <w:rsid w:val="003F3890"/>
    <w:rsid w:val="003F392C"/>
    <w:rsid w:val="003F3953"/>
    <w:rsid w:val="003F3A11"/>
    <w:rsid w:val="003F3A51"/>
    <w:rsid w:val="003F3B9D"/>
    <w:rsid w:val="003F3C63"/>
    <w:rsid w:val="003F3CE2"/>
    <w:rsid w:val="003F3CF4"/>
    <w:rsid w:val="003F3FFD"/>
    <w:rsid w:val="003F414D"/>
    <w:rsid w:val="003F4281"/>
    <w:rsid w:val="003F42F1"/>
    <w:rsid w:val="003F4568"/>
    <w:rsid w:val="003F4CE5"/>
    <w:rsid w:val="003F4EE9"/>
    <w:rsid w:val="003F537B"/>
    <w:rsid w:val="003F53D9"/>
    <w:rsid w:val="003F5458"/>
    <w:rsid w:val="003F5475"/>
    <w:rsid w:val="003F5489"/>
    <w:rsid w:val="003F562A"/>
    <w:rsid w:val="003F5651"/>
    <w:rsid w:val="003F56E2"/>
    <w:rsid w:val="003F5874"/>
    <w:rsid w:val="003F58F7"/>
    <w:rsid w:val="003F59BA"/>
    <w:rsid w:val="003F59C0"/>
    <w:rsid w:val="003F5A97"/>
    <w:rsid w:val="003F5BD8"/>
    <w:rsid w:val="003F5E29"/>
    <w:rsid w:val="003F5E6A"/>
    <w:rsid w:val="003F5F28"/>
    <w:rsid w:val="003F5F8F"/>
    <w:rsid w:val="003F5FA0"/>
    <w:rsid w:val="003F6146"/>
    <w:rsid w:val="003F6196"/>
    <w:rsid w:val="003F62AC"/>
    <w:rsid w:val="003F644D"/>
    <w:rsid w:val="003F649A"/>
    <w:rsid w:val="003F6612"/>
    <w:rsid w:val="003F682B"/>
    <w:rsid w:val="003F689E"/>
    <w:rsid w:val="003F69FA"/>
    <w:rsid w:val="003F6A10"/>
    <w:rsid w:val="003F6AA7"/>
    <w:rsid w:val="003F6B67"/>
    <w:rsid w:val="003F6DAF"/>
    <w:rsid w:val="003F6F25"/>
    <w:rsid w:val="003F6F48"/>
    <w:rsid w:val="003F6F4C"/>
    <w:rsid w:val="003F6F91"/>
    <w:rsid w:val="003F6FB9"/>
    <w:rsid w:val="003F6FF9"/>
    <w:rsid w:val="003F72CB"/>
    <w:rsid w:val="003F72D6"/>
    <w:rsid w:val="003F757E"/>
    <w:rsid w:val="003F775F"/>
    <w:rsid w:val="003F7891"/>
    <w:rsid w:val="003F7986"/>
    <w:rsid w:val="003F7989"/>
    <w:rsid w:val="003F79EF"/>
    <w:rsid w:val="003F7BA0"/>
    <w:rsid w:val="003F7DCF"/>
    <w:rsid w:val="003F7E4D"/>
    <w:rsid w:val="003F7E4E"/>
    <w:rsid w:val="003F7E69"/>
    <w:rsid w:val="003F7EAD"/>
    <w:rsid w:val="003F7F17"/>
    <w:rsid w:val="003F7F5D"/>
    <w:rsid w:val="003F7FAE"/>
    <w:rsid w:val="0040049B"/>
    <w:rsid w:val="004004F4"/>
    <w:rsid w:val="004005C7"/>
    <w:rsid w:val="00400624"/>
    <w:rsid w:val="00400805"/>
    <w:rsid w:val="00400890"/>
    <w:rsid w:val="00400A57"/>
    <w:rsid w:val="00400B09"/>
    <w:rsid w:val="00400C02"/>
    <w:rsid w:val="00400D5A"/>
    <w:rsid w:val="00400E59"/>
    <w:rsid w:val="00400E7A"/>
    <w:rsid w:val="00401253"/>
    <w:rsid w:val="00401290"/>
    <w:rsid w:val="0040130E"/>
    <w:rsid w:val="004013A6"/>
    <w:rsid w:val="0040156B"/>
    <w:rsid w:val="004015F1"/>
    <w:rsid w:val="0040160C"/>
    <w:rsid w:val="00401696"/>
    <w:rsid w:val="00401747"/>
    <w:rsid w:val="0040192D"/>
    <w:rsid w:val="00401A24"/>
    <w:rsid w:val="00401AAF"/>
    <w:rsid w:val="00401B09"/>
    <w:rsid w:val="00401C0B"/>
    <w:rsid w:val="00401FE2"/>
    <w:rsid w:val="00402039"/>
    <w:rsid w:val="00402144"/>
    <w:rsid w:val="00402263"/>
    <w:rsid w:val="00402401"/>
    <w:rsid w:val="00402576"/>
    <w:rsid w:val="00402753"/>
    <w:rsid w:val="004027D5"/>
    <w:rsid w:val="004027FA"/>
    <w:rsid w:val="0040294B"/>
    <w:rsid w:val="00402A7A"/>
    <w:rsid w:val="00402D2B"/>
    <w:rsid w:val="00402E3D"/>
    <w:rsid w:val="00402EAB"/>
    <w:rsid w:val="00402F22"/>
    <w:rsid w:val="00402F25"/>
    <w:rsid w:val="004032B9"/>
    <w:rsid w:val="0040333B"/>
    <w:rsid w:val="00403A14"/>
    <w:rsid w:val="00403A5A"/>
    <w:rsid w:val="00403C16"/>
    <w:rsid w:val="00403DBE"/>
    <w:rsid w:val="00404154"/>
    <w:rsid w:val="004041C0"/>
    <w:rsid w:val="00404213"/>
    <w:rsid w:val="00404289"/>
    <w:rsid w:val="00404314"/>
    <w:rsid w:val="0040437A"/>
    <w:rsid w:val="0040449E"/>
    <w:rsid w:val="004045DE"/>
    <w:rsid w:val="004045E5"/>
    <w:rsid w:val="004049E0"/>
    <w:rsid w:val="00404B0B"/>
    <w:rsid w:val="00404F0E"/>
    <w:rsid w:val="00404FC6"/>
    <w:rsid w:val="00404FD4"/>
    <w:rsid w:val="0040503A"/>
    <w:rsid w:val="004050B8"/>
    <w:rsid w:val="00405152"/>
    <w:rsid w:val="0040517B"/>
    <w:rsid w:val="004051EE"/>
    <w:rsid w:val="00405326"/>
    <w:rsid w:val="0040532F"/>
    <w:rsid w:val="0040541B"/>
    <w:rsid w:val="00405441"/>
    <w:rsid w:val="004058D4"/>
    <w:rsid w:val="00405A3F"/>
    <w:rsid w:val="00405AC5"/>
    <w:rsid w:val="00405B99"/>
    <w:rsid w:val="00405D7D"/>
    <w:rsid w:val="00405FE4"/>
    <w:rsid w:val="00406268"/>
    <w:rsid w:val="004063FD"/>
    <w:rsid w:val="0040651C"/>
    <w:rsid w:val="00406553"/>
    <w:rsid w:val="004066F9"/>
    <w:rsid w:val="00406730"/>
    <w:rsid w:val="00406A9F"/>
    <w:rsid w:val="00406C69"/>
    <w:rsid w:val="00406E62"/>
    <w:rsid w:val="00407062"/>
    <w:rsid w:val="004072D9"/>
    <w:rsid w:val="004072E2"/>
    <w:rsid w:val="00407536"/>
    <w:rsid w:val="004075D9"/>
    <w:rsid w:val="004075DA"/>
    <w:rsid w:val="0040786D"/>
    <w:rsid w:val="00407B51"/>
    <w:rsid w:val="00407C2F"/>
    <w:rsid w:val="00407C47"/>
    <w:rsid w:val="00407C91"/>
    <w:rsid w:val="00407D0A"/>
    <w:rsid w:val="00407E5F"/>
    <w:rsid w:val="00407E74"/>
    <w:rsid w:val="00410187"/>
    <w:rsid w:val="00410411"/>
    <w:rsid w:val="004107E5"/>
    <w:rsid w:val="0041084B"/>
    <w:rsid w:val="00410913"/>
    <w:rsid w:val="00410925"/>
    <w:rsid w:val="00410959"/>
    <w:rsid w:val="004109A6"/>
    <w:rsid w:val="00410D8A"/>
    <w:rsid w:val="00410E9C"/>
    <w:rsid w:val="00410F60"/>
    <w:rsid w:val="00411528"/>
    <w:rsid w:val="004115D4"/>
    <w:rsid w:val="004117F3"/>
    <w:rsid w:val="0041199A"/>
    <w:rsid w:val="004119CC"/>
    <w:rsid w:val="00411A25"/>
    <w:rsid w:val="00411A28"/>
    <w:rsid w:val="00411AEC"/>
    <w:rsid w:val="00411BFD"/>
    <w:rsid w:val="00411C6F"/>
    <w:rsid w:val="00411E0D"/>
    <w:rsid w:val="00411EE3"/>
    <w:rsid w:val="00411F3C"/>
    <w:rsid w:val="00411FC8"/>
    <w:rsid w:val="0041205E"/>
    <w:rsid w:val="0041213B"/>
    <w:rsid w:val="00412254"/>
    <w:rsid w:val="004122C5"/>
    <w:rsid w:val="004123BD"/>
    <w:rsid w:val="004123DB"/>
    <w:rsid w:val="004123EF"/>
    <w:rsid w:val="0041248B"/>
    <w:rsid w:val="004126DB"/>
    <w:rsid w:val="00412755"/>
    <w:rsid w:val="00412782"/>
    <w:rsid w:val="0041279A"/>
    <w:rsid w:val="00412FCD"/>
    <w:rsid w:val="00413226"/>
    <w:rsid w:val="00413586"/>
    <w:rsid w:val="00413636"/>
    <w:rsid w:val="0041375A"/>
    <w:rsid w:val="004137F0"/>
    <w:rsid w:val="004138DE"/>
    <w:rsid w:val="00413CD4"/>
    <w:rsid w:val="00413D96"/>
    <w:rsid w:val="00414014"/>
    <w:rsid w:val="004140E3"/>
    <w:rsid w:val="004141A6"/>
    <w:rsid w:val="0041431C"/>
    <w:rsid w:val="004144D2"/>
    <w:rsid w:val="004145C5"/>
    <w:rsid w:val="00414646"/>
    <w:rsid w:val="004146CF"/>
    <w:rsid w:val="00414A15"/>
    <w:rsid w:val="00414CC2"/>
    <w:rsid w:val="00414D18"/>
    <w:rsid w:val="00414DC5"/>
    <w:rsid w:val="00414E1D"/>
    <w:rsid w:val="00414F4F"/>
    <w:rsid w:val="004151D8"/>
    <w:rsid w:val="00415237"/>
    <w:rsid w:val="00415502"/>
    <w:rsid w:val="0041558B"/>
    <w:rsid w:val="004156CA"/>
    <w:rsid w:val="00415A7C"/>
    <w:rsid w:val="00415B3C"/>
    <w:rsid w:val="00415CDC"/>
    <w:rsid w:val="00415D20"/>
    <w:rsid w:val="00415F3D"/>
    <w:rsid w:val="00416041"/>
    <w:rsid w:val="004160A3"/>
    <w:rsid w:val="0041620A"/>
    <w:rsid w:val="004162B4"/>
    <w:rsid w:val="004162E9"/>
    <w:rsid w:val="0041631D"/>
    <w:rsid w:val="0041650C"/>
    <w:rsid w:val="00416598"/>
    <w:rsid w:val="0041689F"/>
    <w:rsid w:val="00416A94"/>
    <w:rsid w:val="00416B57"/>
    <w:rsid w:val="00416C0D"/>
    <w:rsid w:val="00416C32"/>
    <w:rsid w:val="00416C82"/>
    <w:rsid w:val="00416D55"/>
    <w:rsid w:val="00416DF6"/>
    <w:rsid w:val="004170F1"/>
    <w:rsid w:val="004171B8"/>
    <w:rsid w:val="00417204"/>
    <w:rsid w:val="0041721E"/>
    <w:rsid w:val="00417314"/>
    <w:rsid w:val="00417495"/>
    <w:rsid w:val="00417654"/>
    <w:rsid w:val="004176B3"/>
    <w:rsid w:val="00417796"/>
    <w:rsid w:val="0041779F"/>
    <w:rsid w:val="004178C1"/>
    <w:rsid w:val="0041798D"/>
    <w:rsid w:val="004179FC"/>
    <w:rsid w:val="00417A4F"/>
    <w:rsid w:val="00417C3F"/>
    <w:rsid w:val="00417D87"/>
    <w:rsid w:val="00417FBE"/>
    <w:rsid w:val="004200DA"/>
    <w:rsid w:val="00420194"/>
    <w:rsid w:val="0042021B"/>
    <w:rsid w:val="0042023D"/>
    <w:rsid w:val="004202C9"/>
    <w:rsid w:val="00420446"/>
    <w:rsid w:val="0042044D"/>
    <w:rsid w:val="004205C3"/>
    <w:rsid w:val="004205E6"/>
    <w:rsid w:val="0042062B"/>
    <w:rsid w:val="0042075A"/>
    <w:rsid w:val="00420806"/>
    <w:rsid w:val="0042082A"/>
    <w:rsid w:val="00420A2F"/>
    <w:rsid w:val="00420A53"/>
    <w:rsid w:val="00420AF8"/>
    <w:rsid w:val="00420DAA"/>
    <w:rsid w:val="00420F58"/>
    <w:rsid w:val="00420F7F"/>
    <w:rsid w:val="00420FFA"/>
    <w:rsid w:val="004210AD"/>
    <w:rsid w:val="004211F9"/>
    <w:rsid w:val="0042122A"/>
    <w:rsid w:val="004212EA"/>
    <w:rsid w:val="004212F1"/>
    <w:rsid w:val="00421343"/>
    <w:rsid w:val="004213E4"/>
    <w:rsid w:val="004214AE"/>
    <w:rsid w:val="004214EA"/>
    <w:rsid w:val="00421506"/>
    <w:rsid w:val="00421514"/>
    <w:rsid w:val="00421520"/>
    <w:rsid w:val="004215E3"/>
    <w:rsid w:val="0042162D"/>
    <w:rsid w:val="00421AB3"/>
    <w:rsid w:val="00421BC6"/>
    <w:rsid w:val="00421C0D"/>
    <w:rsid w:val="00421C3B"/>
    <w:rsid w:val="00421D7A"/>
    <w:rsid w:val="00421F0D"/>
    <w:rsid w:val="00421FC1"/>
    <w:rsid w:val="004220A1"/>
    <w:rsid w:val="00422222"/>
    <w:rsid w:val="00422227"/>
    <w:rsid w:val="0042238D"/>
    <w:rsid w:val="00422442"/>
    <w:rsid w:val="004224A7"/>
    <w:rsid w:val="004224CC"/>
    <w:rsid w:val="004226B9"/>
    <w:rsid w:val="004226DB"/>
    <w:rsid w:val="0042270F"/>
    <w:rsid w:val="004227DB"/>
    <w:rsid w:val="00422AA2"/>
    <w:rsid w:val="00422C3D"/>
    <w:rsid w:val="00422CA4"/>
    <w:rsid w:val="004231F7"/>
    <w:rsid w:val="00423449"/>
    <w:rsid w:val="00423562"/>
    <w:rsid w:val="0042359C"/>
    <w:rsid w:val="00423733"/>
    <w:rsid w:val="00423936"/>
    <w:rsid w:val="00423ADB"/>
    <w:rsid w:val="00423AF6"/>
    <w:rsid w:val="00423C9E"/>
    <w:rsid w:val="0042415C"/>
    <w:rsid w:val="004241BA"/>
    <w:rsid w:val="00424331"/>
    <w:rsid w:val="0042462D"/>
    <w:rsid w:val="004246C7"/>
    <w:rsid w:val="0042483F"/>
    <w:rsid w:val="004248A7"/>
    <w:rsid w:val="0042492F"/>
    <w:rsid w:val="00424B3A"/>
    <w:rsid w:val="00424D94"/>
    <w:rsid w:val="00424F45"/>
    <w:rsid w:val="00424FB8"/>
    <w:rsid w:val="00425028"/>
    <w:rsid w:val="0042528B"/>
    <w:rsid w:val="00425348"/>
    <w:rsid w:val="0042536B"/>
    <w:rsid w:val="004253EB"/>
    <w:rsid w:val="004254E9"/>
    <w:rsid w:val="00425534"/>
    <w:rsid w:val="004256A1"/>
    <w:rsid w:val="004257BD"/>
    <w:rsid w:val="004257E3"/>
    <w:rsid w:val="004257F3"/>
    <w:rsid w:val="00425988"/>
    <w:rsid w:val="00425996"/>
    <w:rsid w:val="00425A6A"/>
    <w:rsid w:val="00425D1B"/>
    <w:rsid w:val="00425FCA"/>
    <w:rsid w:val="0042624C"/>
    <w:rsid w:val="004262CF"/>
    <w:rsid w:val="0042630A"/>
    <w:rsid w:val="0042684D"/>
    <w:rsid w:val="00426952"/>
    <w:rsid w:val="00426A8F"/>
    <w:rsid w:val="00426C94"/>
    <w:rsid w:val="00426EFC"/>
    <w:rsid w:val="004270A8"/>
    <w:rsid w:val="00427195"/>
    <w:rsid w:val="004275AB"/>
    <w:rsid w:val="0042762F"/>
    <w:rsid w:val="004276D4"/>
    <w:rsid w:val="00427820"/>
    <w:rsid w:val="004278F8"/>
    <w:rsid w:val="00427A08"/>
    <w:rsid w:val="00427A98"/>
    <w:rsid w:val="00427AF1"/>
    <w:rsid w:val="00427C4E"/>
    <w:rsid w:val="00427CDC"/>
    <w:rsid w:val="00427D13"/>
    <w:rsid w:val="00427D27"/>
    <w:rsid w:val="00427E32"/>
    <w:rsid w:val="00427F33"/>
    <w:rsid w:val="004300D4"/>
    <w:rsid w:val="0043013F"/>
    <w:rsid w:val="004301EB"/>
    <w:rsid w:val="004302C2"/>
    <w:rsid w:val="004303B5"/>
    <w:rsid w:val="00430843"/>
    <w:rsid w:val="0043091C"/>
    <w:rsid w:val="004309AC"/>
    <w:rsid w:val="004309E1"/>
    <w:rsid w:val="00430AEA"/>
    <w:rsid w:val="00430BC8"/>
    <w:rsid w:val="00430C41"/>
    <w:rsid w:val="00430C87"/>
    <w:rsid w:val="00430E83"/>
    <w:rsid w:val="00430E9A"/>
    <w:rsid w:val="00430F29"/>
    <w:rsid w:val="00430F90"/>
    <w:rsid w:val="00430FB2"/>
    <w:rsid w:val="00431019"/>
    <w:rsid w:val="004310E9"/>
    <w:rsid w:val="0043128B"/>
    <w:rsid w:val="00431604"/>
    <w:rsid w:val="004316C4"/>
    <w:rsid w:val="004316D4"/>
    <w:rsid w:val="004316D6"/>
    <w:rsid w:val="00431777"/>
    <w:rsid w:val="004317EE"/>
    <w:rsid w:val="00431C4D"/>
    <w:rsid w:val="00431D6F"/>
    <w:rsid w:val="00431D77"/>
    <w:rsid w:val="00431E7B"/>
    <w:rsid w:val="00431F56"/>
    <w:rsid w:val="00431FBF"/>
    <w:rsid w:val="004320A9"/>
    <w:rsid w:val="004320DF"/>
    <w:rsid w:val="00432169"/>
    <w:rsid w:val="004322A9"/>
    <w:rsid w:val="004327C2"/>
    <w:rsid w:val="004327D5"/>
    <w:rsid w:val="00432838"/>
    <w:rsid w:val="0043290E"/>
    <w:rsid w:val="00432A1A"/>
    <w:rsid w:val="00432B03"/>
    <w:rsid w:val="00432BDC"/>
    <w:rsid w:val="00432CE5"/>
    <w:rsid w:val="00432D2F"/>
    <w:rsid w:val="00432E41"/>
    <w:rsid w:val="00432FCE"/>
    <w:rsid w:val="0043309A"/>
    <w:rsid w:val="00433143"/>
    <w:rsid w:val="00433419"/>
    <w:rsid w:val="0043349C"/>
    <w:rsid w:val="004334A2"/>
    <w:rsid w:val="004334C0"/>
    <w:rsid w:val="00433513"/>
    <w:rsid w:val="0043352E"/>
    <w:rsid w:val="004335A3"/>
    <w:rsid w:val="004335B0"/>
    <w:rsid w:val="00433704"/>
    <w:rsid w:val="00433715"/>
    <w:rsid w:val="0043378B"/>
    <w:rsid w:val="004338A0"/>
    <w:rsid w:val="00433903"/>
    <w:rsid w:val="0043395F"/>
    <w:rsid w:val="004339B0"/>
    <w:rsid w:val="00433A58"/>
    <w:rsid w:val="00433B74"/>
    <w:rsid w:val="00433C0E"/>
    <w:rsid w:val="00433D27"/>
    <w:rsid w:val="00433DFE"/>
    <w:rsid w:val="00433EB9"/>
    <w:rsid w:val="00433ED4"/>
    <w:rsid w:val="00433F7C"/>
    <w:rsid w:val="00434206"/>
    <w:rsid w:val="0043447C"/>
    <w:rsid w:val="00434485"/>
    <w:rsid w:val="00434492"/>
    <w:rsid w:val="004344A2"/>
    <w:rsid w:val="004344A5"/>
    <w:rsid w:val="0043453A"/>
    <w:rsid w:val="0043477B"/>
    <w:rsid w:val="00434888"/>
    <w:rsid w:val="00434CE5"/>
    <w:rsid w:val="00434E48"/>
    <w:rsid w:val="0043528C"/>
    <w:rsid w:val="004352E2"/>
    <w:rsid w:val="004354EB"/>
    <w:rsid w:val="0043550F"/>
    <w:rsid w:val="0043556F"/>
    <w:rsid w:val="00435633"/>
    <w:rsid w:val="00435679"/>
    <w:rsid w:val="004357A6"/>
    <w:rsid w:val="00435B12"/>
    <w:rsid w:val="00435C4A"/>
    <w:rsid w:val="00435C63"/>
    <w:rsid w:val="00435F29"/>
    <w:rsid w:val="00435FF8"/>
    <w:rsid w:val="0043627E"/>
    <w:rsid w:val="004362DE"/>
    <w:rsid w:val="00436341"/>
    <w:rsid w:val="00436682"/>
    <w:rsid w:val="004367A0"/>
    <w:rsid w:val="00436926"/>
    <w:rsid w:val="004369C4"/>
    <w:rsid w:val="00436A0C"/>
    <w:rsid w:val="00436BE6"/>
    <w:rsid w:val="00436EB4"/>
    <w:rsid w:val="00436FDB"/>
    <w:rsid w:val="00436FFE"/>
    <w:rsid w:val="0043721D"/>
    <w:rsid w:val="00437472"/>
    <w:rsid w:val="00437631"/>
    <w:rsid w:val="004376D9"/>
    <w:rsid w:val="0043791B"/>
    <w:rsid w:val="00437B47"/>
    <w:rsid w:val="00437BF2"/>
    <w:rsid w:val="00437EEA"/>
    <w:rsid w:val="00437F7F"/>
    <w:rsid w:val="004400B1"/>
    <w:rsid w:val="004402E9"/>
    <w:rsid w:val="00440347"/>
    <w:rsid w:val="00440701"/>
    <w:rsid w:val="00440712"/>
    <w:rsid w:val="00440A6A"/>
    <w:rsid w:val="00440D40"/>
    <w:rsid w:val="00440D6A"/>
    <w:rsid w:val="00440E47"/>
    <w:rsid w:val="004410CF"/>
    <w:rsid w:val="004410D3"/>
    <w:rsid w:val="0044127C"/>
    <w:rsid w:val="0044138C"/>
    <w:rsid w:val="004415D6"/>
    <w:rsid w:val="00441618"/>
    <w:rsid w:val="0044175C"/>
    <w:rsid w:val="0044175F"/>
    <w:rsid w:val="004417D9"/>
    <w:rsid w:val="004419BA"/>
    <w:rsid w:val="004419E0"/>
    <w:rsid w:val="004419E6"/>
    <w:rsid w:val="00441AFC"/>
    <w:rsid w:val="00441B5C"/>
    <w:rsid w:val="00441B7F"/>
    <w:rsid w:val="00441BBE"/>
    <w:rsid w:val="00441CEA"/>
    <w:rsid w:val="00441D64"/>
    <w:rsid w:val="00441E80"/>
    <w:rsid w:val="00441EBC"/>
    <w:rsid w:val="00441F45"/>
    <w:rsid w:val="00442092"/>
    <w:rsid w:val="004420CF"/>
    <w:rsid w:val="004420EB"/>
    <w:rsid w:val="00442169"/>
    <w:rsid w:val="004422AD"/>
    <w:rsid w:val="00442372"/>
    <w:rsid w:val="00442385"/>
    <w:rsid w:val="00442398"/>
    <w:rsid w:val="00442426"/>
    <w:rsid w:val="00442869"/>
    <w:rsid w:val="0044287D"/>
    <w:rsid w:val="00442983"/>
    <w:rsid w:val="004430D8"/>
    <w:rsid w:val="00443347"/>
    <w:rsid w:val="00443373"/>
    <w:rsid w:val="004433E2"/>
    <w:rsid w:val="004435A0"/>
    <w:rsid w:val="0044374D"/>
    <w:rsid w:val="004437BE"/>
    <w:rsid w:val="0044382C"/>
    <w:rsid w:val="00443B10"/>
    <w:rsid w:val="00443C5A"/>
    <w:rsid w:val="00443C63"/>
    <w:rsid w:val="00443E91"/>
    <w:rsid w:val="00443F05"/>
    <w:rsid w:val="0044403E"/>
    <w:rsid w:val="00444133"/>
    <w:rsid w:val="00444142"/>
    <w:rsid w:val="00444174"/>
    <w:rsid w:val="00444234"/>
    <w:rsid w:val="004442CC"/>
    <w:rsid w:val="004442FA"/>
    <w:rsid w:val="00444460"/>
    <w:rsid w:val="00444545"/>
    <w:rsid w:val="0044483F"/>
    <w:rsid w:val="004448F8"/>
    <w:rsid w:val="004448FA"/>
    <w:rsid w:val="004449C6"/>
    <w:rsid w:val="004449F8"/>
    <w:rsid w:val="00444C67"/>
    <w:rsid w:val="00444D95"/>
    <w:rsid w:val="00444FB4"/>
    <w:rsid w:val="004450EA"/>
    <w:rsid w:val="0044538C"/>
    <w:rsid w:val="004453E4"/>
    <w:rsid w:val="004453E8"/>
    <w:rsid w:val="00445762"/>
    <w:rsid w:val="00445816"/>
    <w:rsid w:val="00445941"/>
    <w:rsid w:val="00445AF1"/>
    <w:rsid w:val="00445CA6"/>
    <w:rsid w:val="00445F38"/>
    <w:rsid w:val="00445FD5"/>
    <w:rsid w:val="004461BD"/>
    <w:rsid w:val="00446424"/>
    <w:rsid w:val="004464A4"/>
    <w:rsid w:val="00446606"/>
    <w:rsid w:val="0044690E"/>
    <w:rsid w:val="00446ADA"/>
    <w:rsid w:val="00446C5C"/>
    <w:rsid w:val="00446C88"/>
    <w:rsid w:val="00446DF3"/>
    <w:rsid w:val="00446E60"/>
    <w:rsid w:val="00446EA9"/>
    <w:rsid w:val="00446F7C"/>
    <w:rsid w:val="00446FE3"/>
    <w:rsid w:val="004470D3"/>
    <w:rsid w:val="004470EA"/>
    <w:rsid w:val="004470F4"/>
    <w:rsid w:val="00447294"/>
    <w:rsid w:val="00447353"/>
    <w:rsid w:val="00447475"/>
    <w:rsid w:val="00447824"/>
    <w:rsid w:val="0044789F"/>
    <w:rsid w:val="0044793C"/>
    <w:rsid w:val="004479DA"/>
    <w:rsid w:val="00447ADE"/>
    <w:rsid w:val="00447DC2"/>
    <w:rsid w:val="00447EAF"/>
    <w:rsid w:val="00447EC6"/>
    <w:rsid w:val="004500AF"/>
    <w:rsid w:val="00450198"/>
    <w:rsid w:val="004501E3"/>
    <w:rsid w:val="0045022F"/>
    <w:rsid w:val="00450363"/>
    <w:rsid w:val="004504D3"/>
    <w:rsid w:val="004504ED"/>
    <w:rsid w:val="0045096B"/>
    <w:rsid w:val="004509F9"/>
    <w:rsid w:val="00450A3C"/>
    <w:rsid w:val="00450AA5"/>
    <w:rsid w:val="00450CB1"/>
    <w:rsid w:val="00450D54"/>
    <w:rsid w:val="004510EF"/>
    <w:rsid w:val="0045111C"/>
    <w:rsid w:val="0045119D"/>
    <w:rsid w:val="00451301"/>
    <w:rsid w:val="004514CD"/>
    <w:rsid w:val="00451549"/>
    <w:rsid w:val="004515BF"/>
    <w:rsid w:val="004515EE"/>
    <w:rsid w:val="00451625"/>
    <w:rsid w:val="00451660"/>
    <w:rsid w:val="004516A5"/>
    <w:rsid w:val="004517EB"/>
    <w:rsid w:val="00451B92"/>
    <w:rsid w:val="00451D5D"/>
    <w:rsid w:val="00451DDE"/>
    <w:rsid w:val="00451E8F"/>
    <w:rsid w:val="00451EB0"/>
    <w:rsid w:val="00451F97"/>
    <w:rsid w:val="00451FAA"/>
    <w:rsid w:val="00452142"/>
    <w:rsid w:val="00452258"/>
    <w:rsid w:val="00452339"/>
    <w:rsid w:val="004524B4"/>
    <w:rsid w:val="0045257B"/>
    <w:rsid w:val="00452680"/>
    <w:rsid w:val="0045285D"/>
    <w:rsid w:val="004528A9"/>
    <w:rsid w:val="004529BD"/>
    <w:rsid w:val="00452A32"/>
    <w:rsid w:val="00452AE7"/>
    <w:rsid w:val="00452C3B"/>
    <w:rsid w:val="00452D15"/>
    <w:rsid w:val="00452D28"/>
    <w:rsid w:val="00452D32"/>
    <w:rsid w:val="00452E5D"/>
    <w:rsid w:val="00452FE9"/>
    <w:rsid w:val="00453320"/>
    <w:rsid w:val="004533E3"/>
    <w:rsid w:val="00453401"/>
    <w:rsid w:val="00453571"/>
    <w:rsid w:val="00453594"/>
    <w:rsid w:val="00453767"/>
    <w:rsid w:val="00453882"/>
    <w:rsid w:val="00453927"/>
    <w:rsid w:val="00453A3A"/>
    <w:rsid w:val="00453B2B"/>
    <w:rsid w:val="00453BA9"/>
    <w:rsid w:val="00453BD0"/>
    <w:rsid w:val="00453C34"/>
    <w:rsid w:val="00453C46"/>
    <w:rsid w:val="00453F07"/>
    <w:rsid w:val="00454188"/>
    <w:rsid w:val="0045438E"/>
    <w:rsid w:val="004545A8"/>
    <w:rsid w:val="0045465E"/>
    <w:rsid w:val="00454741"/>
    <w:rsid w:val="0045499B"/>
    <w:rsid w:val="004549F2"/>
    <w:rsid w:val="00454A58"/>
    <w:rsid w:val="00454C58"/>
    <w:rsid w:val="00454E61"/>
    <w:rsid w:val="00454ED6"/>
    <w:rsid w:val="00455147"/>
    <w:rsid w:val="0045529B"/>
    <w:rsid w:val="004552DC"/>
    <w:rsid w:val="00455450"/>
    <w:rsid w:val="00455546"/>
    <w:rsid w:val="00455702"/>
    <w:rsid w:val="00455781"/>
    <w:rsid w:val="00455829"/>
    <w:rsid w:val="00455973"/>
    <w:rsid w:val="00455B2E"/>
    <w:rsid w:val="00455B8B"/>
    <w:rsid w:val="00455CBE"/>
    <w:rsid w:val="00455D8D"/>
    <w:rsid w:val="00455E92"/>
    <w:rsid w:val="00455F14"/>
    <w:rsid w:val="0045606F"/>
    <w:rsid w:val="00456103"/>
    <w:rsid w:val="00456142"/>
    <w:rsid w:val="004563FF"/>
    <w:rsid w:val="0045659A"/>
    <w:rsid w:val="004565F6"/>
    <w:rsid w:val="00456683"/>
    <w:rsid w:val="00456830"/>
    <w:rsid w:val="0045686D"/>
    <w:rsid w:val="004569DF"/>
    <w:rsid w:val="00456A3C"/>
    <w:rsid w:val="00456B18"/>
    <w:rsid w:val="00456E79"/>
    <w:rsid w:val="00457046"/>
    <w:rsid w:val="00457089"/>
    <w:rsid w:val="00457213"/>
    <w:rsid w:val="00457445"/>
    <w:rsid w:val="004577E8"/>
    <w:rsid w:val="004578C5"/>
    <w:rsid w:val="004578F3"/>
    <w:rsid w:val="00457DA3"/>
    <w:rsid w:val="00457DDB"/>
    <w:rsid w:val="00457E68"/>
    <w:rsid w:val="00457EB7"/>
    <w:rsid w:val="00457F1C"/>
    <w:rsid w:val="00460130"/>
    <w:rsid w:val="00460445"/>
    <w:rsid w:val="0046045C"/>
    <w:rsid w:val="00460573"/>
    <w:rsid w:val="004605D3"/>
    <w:rsid w:val="004606D8"/>
    <w:rsid w:val="004606E9"/>
    <w:rsid w:val="00460887"/>
    <w:rsid w:val="00460898"/>
    <w:rsid w:val="004609DC"/>
    <w:rsid w:val="00460B9D"/>
    <w:rsid w:val="00460C5A"/>
    <w:rsid w:val="00460CD7"/>
    <w:rsid w:val="00460F76"/>
    <w:rsid w:val="00461351"/>
    <w:rsid w:val="00461403"/>
    <w:rsid w:val="00461841"/>
    <w:rsid w:val="00461AE3"/>
    <w:rsid w:val="00461B01"/>
    <w:rsid w:val="00461B2C"/>
    <w:rsid w:val="00461B36"/>
    <w:rsid w:val="00461BCD"/>
    <w:rsid w:val="00461D09"/>
    <w:rsid w:val="00461D58"/>
    <w:rsid w:val="00461D73"/>
    <w:rsid w:val="00461D8C"/>
    <w:rsid w:val="00461F46"/>
    <w:rsid w:val="00462281"/>
    <w:rsid w:val="0046248B"/>
    <w:rsid w:val="004625D2"/>
    <w:rsid w:val="0046264E"/>
    <w:rsid w:val="004628CD"/>
    <w:rsid w:val="004628DB"/>
    <w:rsid w:val="004628F5"/>
    <w:rsid w:val="0046294E"/>
    <w:rsid w:val="004629C5"/>
    <w:rsid w:val="00462A9F"/>
    <w:rsid w:val="00462B29"/>
    <w:rsid w:val="00462B83"/>
    <w:rsid w:val="00462C1D"/>
    <w:rsid w:val="00462E20"/>
    <w:rsid w:val="00462E3B"/>
    <w:rsid w:val="00462F84"/>
    <w:rsid w:val="00462FCB"/>
    <w:rsid w:val="004630AF"/>
    <w:rsid w:val="00463563"/>
    <w:rsid w:val="00463667"/>
    <w:rsid w:val="004638A8"/>
    <w:rsid w:val="00463905"/>
    <w:rsid w:val="004639E5"/>
    <w:rsid w:val="00463DC6"/>
    <w:rsid w:val="00463E76"/>
    <w:rsid w:val="00463EC7"/>
    <w:rsid w:val="00463F03"/>
    <w:rsid w:val="00463FAD"/>
    <w:rsid w:val="004641D7"/>
    <w:rsid w:val="004644A6"/>
    <w:rsid w:val="004646E1"/>
    <w:rsid w:val="004647B2"/>
    <w:rsid w:val="004648DA"/>
    <w:rsid w:val="00464A78"/>
    <w:rsid w:val="00464B5C"/>
    <w:rsid w:val="00464CE6"/>
    <w:rsid w:val="00464E1C"/>
    <w:rsid w:val="00464E33"/>
    <w:rsid w:val="00464E95"/>
    <w:rsid w:val="004650B0"/>
    <w:rsid w:val="00465241"/>
    <w:rsid w:val="00465367"/>
    <w:rsid w:val="0046538C"/>
    <w:rsid w:val="004653FB"/>
    <w:rsid w:val="00465454"/>
    <w:rsid w:val="0046549F"/>
    <w:rsid w:val="00465527"/>
    <w:rsid w:val="00465642"/>
    <w:rsid w:val="00465710"/>
    <w:rsid w:val="00465772"/>
    <w:rsid w:val="004658BF"/>
    <w:rsid w:val="00465A0A"/>
    <w:rsid w:val="00465AE2"/>
    <w:rsid w:val="00465D52"/>
    <w:rsid w:val="00465D75"/>
    <w:rsid w:val="00465DB7"/>
    <w:rsid w:val="00465F9E"/>
    <w:rsid w:val="0046620C"/>
    <w:rsid w:val="004663E2"/>
    <w:rsid w:val="004667B0"/>
    <w:rsid w:val="00466885"/>
    <w:rsid w:val="00466A20"/>
    <w:rsid w:val="00466B93"/>
    <w:rsid w:val="00466C5E"/>
    <w:rsid w:val="00466D10"/>
    <w:rsid w:val="00466D84"/>
    <w:rsid w:val="00466D9C"/>
    <w:rsid w:val="00466F6D"/>
    <w:rsid w:val="0046728B"/>
    <w:rsid w:val="00467304"/>
    <w:rsid w:val="0046734D"/>
    <w:rsid w:val="00467357"/>
    <w:rsid w:val="0046748B"/>
    <w:rsid w:val="00467AEF"/>
    <w:rsid w:val="00467BE6"/>
    <w:rsid w:val="00467F18"/>
    <w:rsid w:val="00470000"/>
    <w:rsid w:val="00470393"/>
    <w:rsid w:val="004703A2"/>
    <w:rsid w:val="0047064F"/>
    <w:rsid w:val="00470755"/>
    <w:rsid w:val="00470789"/>
    <w:rsid w:val="00470815"/>
    <w:rsid w:val="00470997"/>
    <w:rsid w:val="00470A6A"/>
    <w:rsid w:val="00470B05"/>
    <w:rsid w:val="00470B9D"/>
    <w:rsid w:val="00470C67"/>
    <w:rsid w:val="00470D9E"/>
    <w:rsid w:val="00470DE4"/>
    <w:rsid w:val="00470FB8"/>
    <w:rsid w:val="00471097"/>
    <w:rsid w:val="004711AA"/>
    <w:rsid w:val="0047139A"/>
    <w:rsid w:val="0047147D"/>
    <w:rsid w:val="00471484"/>
    <w:rsid w:val="00471614"/>
    <w:rsid w:val="004718FA"/>
    <w:rsid w:val="00471901"/>
    <w:rsid w:val="0047195D"/>
    <w:rsid w:val="00471960"/>
    <w:rsid w:val="004719E1"/>
    <w:rsid w:val="00471A04"/>
    <w:rsid w:val="00471D90"/>
    <w:rsid w:val="00471D96"/>
    <w:rsid w:val="00471DBA"/>
    <w:rsid w:val="00471EDC"/>
    <w:rsid w:val="00471F0A"/>
    <w:rsid w:val="00471F89"/>
    <w:rsid w:val="00471FC8"/>
    <w:rsid w:val="0047203A"/>
    <w:rsid w:val="0047240E"/>
    <w:rsid w:val="0047252D"/>
    <w:rsid w:val="00472531"/>
    <w:rsid w:val="0047280F"/>
    <w:rsid w:val="0047285F"/>
    <w:rsid w:val="00472993"/>
    <w:rsid w:val="00472B2C"/>
    <w:rsid w:val="00472D11"/>
    <w:rsid w:val="004731A4"/>
    <w:rsid w:val="0047330B"/>
    <w:rsid w:val="00473358"/>
    <w:rsid w:val="00473460"/>
    <w:rsid w:val="0047346F"/>
    <w:rsid w:val="004734D3"/>
    <w:rsid w:val="00473E3B"/>
    <w:rsid w:val="00473F17"/>
    <w:rsid w:val="00473F4B"/>
    <w:rsid w:val="00473F7D"/>
    <w:rsid w:val="00473FF4"/>
    <w:rsid w:val="0047400B"/>
    <w:rsid w:val="0047404F"/>
    <w:rsid w:val="004742D3"/>
    <w:rsid w:val="0047434E"/>
    <w:rsid w:val="0047436C"/>
    <w:rsid w:val="004743CB"/>
    <w:rsid w:val="00474610"/>
    <w:rsid w:val="00474615"/>
    <w:rsid w:val="00474641"/>
    <w:rsid w:val="0047497D"/>
    <w:rsid w:val="00474C5C"/>
    <w:rsid w:val="00474CBF"/>
    <w:rsid w:val="004754E4"/>
    <w:rsid w:val="0047560B"/>
    <w:rsid w:val="004756B1"/>
    <w:rsid w:val="004758F0"/>
    <w:rsid w:val="00475934"/>
    <w:rsid w:val="00475AF0"/>
    <w:rsid w:val="00475B30"/>
    <w:rsid w:val="00475BD8"/>
    <w:rsid w:val="00475ECF"/>
    <w:rsid w:val="00475F0F"/>
    <w:rsid w:val="00475F2F"/>
    <w:rsid w:val="004762AF"/>
    <w:rsid w:val="004762F9"/>
    <w:rsid w:val="0047651F"/>
    <w:rsid w:val="00476935"/>
    <w:rsid w:val="0047695A"/>
    <w:rsid w:val="00476BC2"/>
    <w:rsid w:val="00476D0B"/>
    <w:rsid w:val="00476E20"/>
    <w:rsid w:val="00476FC1"/>
    <w:rsid w:val="0047701A"/>
    <w:rsid w:val="00477113"/>
    <w:rsid w:val="00477185"/>
    <w:rsid w:val="00477363"/>
    <w:rsid w:val="0047741B"/>
    <w:rsid w:val="00477430"/>
    <w:rsid w:val="00477635"/>
    <w:rsid w:val="004776DD"/>
    <w:rsid w:val="004778EB"/>
    <w:rsid w:val="00477969"/>
    <w:rsid w:val="00477CA1"/>
    <w:rsid w:val="00477F44"/>
    <w:rsid w:val="0048016A"/>
    <w:rsid w:val="004804A0"/>
    <w:rsid w:val="00480553"/>
    <w:rsid w:val="00480571"/>
    <w:rsid w:val="0048068A"/>
    <w:rsid w:val="004806FA"/>
    <w:rsid w:val="004808B7"/>
    <w:rsid w:val="00480A87"/>
    <w:rsid w:val="00480B7F"/>
    <w:rsid w:val="00480B82"/>
    <w:rsid w:val="00480FA1"/>
    <w:rsid w:val="00480FE0"/>
    <w:rsid w:val="00481210"/>
    <w:rsid w:val="004812D8"/>
    <w:rsid w:val="00481416"/>
    <w:rsid w:val="00481594"/>
    <w:rsid w:val="00481611"/>
    <w:rsid w:val="00481624"/>
    <w:rsid w:val="00481754"/>
    <w:rsid w:val="0048176E"/>
    <w:rsid w:val="00481974"/>
    <w:rsid w:val="00481A8C"/>
    <w:rsid w:val="00481B2F"/>
    <w:rsid w:val="00481C46"/>
    <w:rsid w:val="00481C78"/>
    <w:rsid w:val="00481C94"/>
    <w:rsid w:val="00481E4C"/>
    <w:rsid w:val="00482153"/>
    <w:rsid w:val="004824C0"/>
    <w:rsid w:val="004826D9"/>
    <w:rsid w:val="00482792"/>
    <w:rsid w:val="004827E0"/>
    <w:rsid w:val="0048288B"/>
    <w:rsid w:val="00482902"/>
    <w:rsid w:val="00482951"/>
    <w:rsid w:val="00482A0D"/>
    <w:rsid w:val="00482B20"/>
    <w:rsid w:val="00482CEF"/>
    <w:rsid w:val="00482EDA"/>
    <w:rsid w:val="00482F2A"/>
    <w:rsid w:val="00483008"/>
    <w:rsid w:val="0048313E"/>
    <w:rsid w:val="004834BF"/>
    <w:rsid w:val="00483500"/>
    <w:rsid w:val="00483650"/>
    <w:rsid w:val="0048368A"/>
    <w:rsid w:val="00483695"/>
    <w:rsid w:val="0048369B"/>
    <w:rsid w:val="004836CD"/>
    <w:rsid w:val="00483929"/>
    <w:rsid w:val="0048397F"/>
    <w:rsid w:val="0048399F"/>
    <w:rsid w:val="00483B5D"/>
    <w:rsid w:val="00483C48"/>
    <w:rsid w:val="00483C68"/>
    <w:rsid w:val="00483E52"/>
    <w:rsid w:val="00483EA1"/>
    <w:rsid w:val="00483EF1"/>
    <w:rsid w:val="00483F79"/>
    <w:rsid w:val="004840D4"/>
    <w:rsid w:val="00484305"/>
    <w:rsid w:val="0048431F"/>
    <w:rsid w:val="004844B6"/>
    <w:rsid w:val="00484650"/>
    <w:rsid w:val="004847B0"/>
    <w:rsid w:val="0048487F"/>
    <w:rsid w:val="004849B6"/>
    <w:rsid w:val="00484ABE"/>
    <w:rsid w:val="00484CBD"/>
    <w:rsid w:val="0048501C"/>
    <w:rsid w:val="0048518D"/>
    <w:rsid w:val="00485238"/>
    <w:rsid w:val="004852D4"/>
    <w:rsid w:val="0048531A"/>
    <w:rsid w:val="004853EA"/>
    <w:rsid w:val="00485456"/>
    <w:rsid w:val="00485567"/>
    <w:rsid w:val="0048556C"/>
    <w:rsid w:val="0048559E"/>
    <w:rsid w:val="0048561B"/>
    <w:rsid w:val="004857D9"/>
    <w:rsid w:val="00485889"/>
    <w:rsid w:val="004858CA"/>
    <w:rsid w:val="00485A3A"/>
    <w:rsid w:val="00485ACB"/>
    <w:rsid w:val="00485C0B"/>
    <w:rsid w:val="00485C3E"/>
    <w:rsid w:val="00485EBF"/>
    <w:rsid w:val="00486066"/>
    <w:rsid w:val="00486295"/>
    <w:rsid w:val="004865A5"/>
    <w:rsid w:val="0048679D"/>
    <w:rsid w:val="004867B4"/>
    <w:rsid w:val="004867EA"/>
    <w:rsid w:val="00486A04"/>
    <w:rsid w:val="00486BB6"/>
    <w:rsid w:val="00486BEC"/>
    <w:rsid w:val="00486C09"/>
    <w:rsid w:val="00486C63"/>
    <w:rsid w:val="00486CC9"/>
    <w:rsid w:val="00486CE4"/>
    <w:rsid w:val="00486DA0"/>
    <w:rsid w:val="00487101"/>
    <w:rsid w:val="0048719F"/>
    <w:rsid w:val="004871B5"/>
    <w:rsid w:val="004871BC"/>
    <w:rsid w:val="004871C2"/>
    <w:rsid w:val="004871FF"/>
    <w:rsid w:val="00487275"/>
    <w:rsid w:val="0048728C"/>
    <w:rsid w:val="0048738F"/>
    <w:rsid w:val="0048739F"/>
    <w:rsid w:val="004874A0"/>
    <w:rsid w:val="0048756E"/>
    <w:rsid w:val="004876C5"/>
    <w:rsid w:val="004877A0"/>
    <w:rsid w:val="0048785A"/>
    <w:rsid w:val="00487B66"/>
    <w:rsid w:val="00487BA4"/>
    <w:rsid w:val="00487C89"/>
    <w:rsid w:val="00487E8D"/>
    <w:rsid w:val="00490080"/>
    <w:rsid w:val="004900A3"/>
    <w:rsid w:val="004900C9"/>
    <w:rsid w:val="00490302"/>
    <w:rsid w:val="00490471"/>
    <w:rsid w:val="0049047C"/>
    <w:rsid w:val="004904B5"/>
    <w:rsid w:val="00490513"/>
    <w:rsid w:val="00490891"/>
    <w:rsid w:val="00490907"/>
    <w:rsid w:val="00490987"/>
    <w:rsid w:val="00490C2C"/>
    <w:rsid w:val="00490EB3"/>
    <w:rsid w:val="00490F1A"/>
    <w:rsid w:val="00491000"/>
    <w:rsid w:val="004910E7"/>
    <w:rsid w:val="00491155"/>
    <w:rsid w:val="0049121B"/>
    <w:rsid w:val="00491420"/>
    <w:rsid w:val="004915D9"/>
    <w:rsid w:val="0049166D"/>
    <w:rsid w:val="00491759"/>
    <w:rsid w:val="00491762"/>
    <w:rsid w:val="004917BF"/>
    <w:rsid w:val="004917D1"/>
    <w:rsid w:val="00491862"/>
    <w:rsid w:val="004918A3"/>
    <w:rsid w:val="00491928"/>
    <w:rsid w:val="0049194C"/>
    <w:rsid w:val="00491987"/>
    <w:rsid w:val="004919C9"/>
    <w:rsid w:val="004919CD"/>
    <w:rsid w:val="00491A55"/>
    <w:rsid w:val="00491BD2"/>
    <w:rsid w:val="00491C79"/>
    <w:rsid w:val="00491E02"/>
    <w:rsid w:val="00491E5D"/>
    <w:rsid w:val="00491E65"/>
    <w:rsid w:val="00491E8E"/>
    <w:rsid w:val="00491ECC"/>
    <w:rsid w:val="00491EF0"/>
    <w:rsid w:val="00491F2C"/>
    <w:rsid w:val="00491F5D"/>
    <w:rsid w:val="00491FB9"/>
    <w:rsid w:val="004920DD"/>
    <w:rsid w:val="004921CB"/>
    <w:rsid w:val="004921EE"/>
    <w:rsid w:val="0049231F"/>
    <w:rsid w:val="00492327"/>
    <w:rsid w:val="00492371"/>
    <w:rsid w:val="004923E4"/>
    <w:rsid w:val="00492514"/>
    <w:rsid w:val="004925B7"/>
    <w:rsid w:val="004925E2"/>
    <w:rsid w:val="004927C3"/>
    <w:rsid w:val="0049284D"/>
    <w:rsid w:val="00492A4A"/>
    <w:rsid w:val="00493256"/>
    <w:rsid w:val="00493265"/>
    <w:rsid w:val="0049354F"/>
    <w:rsid w:val="004937D5"/>
    <w:rsid w:val="00493AF9"/>
    <w:rsid w:val="00493BE9"/>
    <w:rsid w:val="00493C39"/>
    <w:rsid w:val="00493EA9"/>
    <w:rsid w:val="00494044"/>
    <w:rsid w:val="004941B1"/>
    <w:rsid w:val="004941B6"/>
    <w:rsid w:val="0049430E"/>
    <w:rsid w:val="0049432A"/>
    <w:rsid w:val="0049448A"/>
    <w:rsid w:val="0049464C"/>
    <w:rsid w:val="004946AF"/>
    <w:rsid w:val="004946B5"/>
    <w:rsid w:val="00494766"/>
    <w:rsid w:val="0049479C"/>
    <w:rsid w:val="004947DD"/>
    <w:rsid w:val="00494844"/>
    <w:rsid w:val="00494867"/>
    <w:rsid w:val="004948B9"/>
    <w:rsid w:val="00494A15"/>
    <w:rsid w:val="00494B69"/>
    <w:rsid w:val="00494EEB"/>
    <w:rsid w:val="0049501A"/>
    <w:rsid w:val="0049522A"/>
    <w:rsid w:val="00495237"/>
    <w:rsid w:val="00495407"/>
    <w:rsid w:val="004954BF"/>
    <w:rsid w:val="004954D3"/>
    <w:rsid w:val="004955ED"/>
    <w:rsid w:val="0049569D"/>
    <w:rsid w:val="00495721"/>
    <w:rsid w:val="0049573C"/>
    <w:rsid w:val="0049578A"/>
    <w:rsid w:val="004958B9"/>
    <w:rsid w:val="0049597D"/>
    <w:rsid w:val="00495A06"/>
    <w:rsid w:val="00495BA1"/>
    <w:rsid w:val="00495C16"/>
    <w:rsid w:val="0049601D"/>
    <w:rsid w:val="00496193"/>
    <w:rsid w:val="004961F8"/>
    <w:rsid w:val="00496200"/>
    <w:rsid w:val="00496360"/>
    <w:rsid w:val="004965A4"/>
    <w:rsid w:val="004965D2"/>
    <w:rsid w:val="00496633"/>
    <w:rsid w:val="00496665"/>
    <w:rsid w:val="004966CF"/>
    <w:rsid w:val="00496820"/>
    <w:rsid w:val="00496A13"/>
    <w:rsid w:val="00496B8C"/>
    <w:rsid w:val="00496CC2"/>
    <w:rsid w:val="00496CE6"/>
    <w:rsid w:val="00496E06"/>
    <w:rsid w:val="00496E35"/>
    <w:rsid w:val="00496FCA"/>
    <w:rsid w:val="00497088"/>
    <w:rsid w:val="00497096"/>
    <w:rsid w:val="004970CF"/>
    <w:rsid w:val="00497182"/>
    <w:rsid w:val="0049736A"/>
    <w:rsid w:val="00497406"/>
    <w:rsid w:val="0049740C"/>
    <w:rsid w:val="004976AE"/>
    <w:rsid w:val="004976B8"/>
    <w:rsid w:val="00497729"/>
    <w:rsid w:val="0049783C"/>
    <w:rsid w:val="00497A3D"/>
    <w:rsid w:val="00497AF2"/>
    <w:rsid w:val="004A00F3"/>
    <w:rsid w:val="004A01B3"/>
    <w:rsid w:val="004A07D8"/>
    <w:rsid w:val="004A0AC4"/>
    <w:rsid w:val="004A0BEE"/>
    <w:rsid w:val="004A0C50"/>
    <w:rsid w:val="004A0CB8"/>
    <w:rsid w:val="004A0D4D"/>
    <w:rsid w:val="004A0DB2"/>
    <w:rsid w:val="004A0EC9"/>
    <w:rsid w:val="004A0F38"/>
    <w:rsid w:val="004A11DC"/>
    <w:rsid w:val="004A1254"/>
    <w:rsid w:val="004A15B5"/>
    <w:rsid w:val="004A1633"/>
    <w:rsid w:val="004A176B"/>
    <w:rsid w:val="004A1AA6"/>
    <w:rsid w:val="004A1BA7"/>
    <w:rsid w:val="004A1D6B"/>
    <w:rsid w:val="004A1DF0"/>
    <w:rsid w:val="004A1DF1"/>
    <w:rsid w:val="004A20DD"/>
    <w:rsid w:val="004A2279"/>
    <w:rsid w:val="004A227B"/>
    <w:rsid w:val="004A2294"/>
    <w:rsid w:val="004A2368"/>
    <w:rsid w:val="004A23C3"/>
    <w:rsid w:val="004A24D8"/>
    <w:rsid w:val="004A274B"/>
    <w:rsid w:val="004A298D"/>
    <w:rsid w:val="004A299A"/>
    <w:rsid w:val="004A29C9"/>
    <w:rsid w:val="004A2C69"/>
    <w:rsid w:val="004A2C97"/>
    <w:rsid w:val="004A2D93"/>
    <w:rsid w:val="004A2EA8"/>
    <w:rsid w:val="004A2EEB"/>
    <w:rsid w:val="004A2F3B"/>
    <w:rsid w:val="004A305E"/>
    <w:rsid w:val="004A3064"/>
    <w:rsid w:val="004A30DE"/>
    <w:rsid w:val="004A31DA"/>
    <w:rsid w:val="004A31FA"/>
    <w:rsid w:val="004A321B"/>
    <w:rsid w:val="004A3554"/>
    <w:rsid w:val="004A363B"/>
    <w:rsid w:val="004A36DD"/>
    <w:rsid w:val="004A36E2"/>
    <w:rsid w:val="004A3774"/>
    <w:rsid w:val="004A37E2"/>
    <w:rsid w:val="004A3A9B"/>
    <w:rsid w:val="004A3C32"/>
    <w:rsid w:val="004A3D45"/>
    <w:rsid w:val="004A3DEE"/>
    <w:rsid w:val="004A4105"/>
    <w:rsid w:val="004A418F"/>
    <w:rsid w:val="004A4333"/>
    <w:rsid w:val="004A451B"/>
    <w:rsid w:val="004A4714"/>
    <w:rsid w:val="004A4855"/>
    <w:rsid w:val="004A4893"/>
    <w:rsid w:val="004A4BCF"/>
    <w:rsid w:val="004A4BDB"/>
    <w:rsid w:val="004A4C50"/>
    <w:rsid w:val="004A4DEC"/>
    <w:rsid w:val="004A4EE2"/>
    <w:rsid w:val="004A4FCB"/>
    <w:rsid w:val="004A5049"/>
    <w:rsid w:val="004A506E"/>
    <w:rsid w:val="004A509C"/>
    <w:rsid w:val="004A50A6"/>
    <w:rsid w:val="004A50EA"/>
    <w:rsid w:val="004A5292"/>
    <w:rsid w:val="004A5358"/>
    <w:rsid w:val="004A53FB"/>
    <w:rsid w:val="004A5461"/>
    <w:rsid w:val="004A569E"/>
    <w:rsid w:val="004A58DC"/>
    <w:rsid w:val="004A591A"/>
    <w:rsid w:val="004A5930"/>
    <w:rsid w:val="004A5A74"/>
    <w:rsid w:val="004A5AF4"/>
    <w:rsid w:val="004A5BC8"/>
    <w:rsid w:val="004A5BF2"/>
    <w:rsid w:val="004A5C3F"/>
    <w:rsid w:val="004A5CD8"/>
    <w:rsid w:val="004A5D18"/>
    <w:rsid w:val="004A5DB3"/>
    <w:rsid w:val="004A5DEF"/>
    <w:rsid w:val="004A5F45"/>
    <w:rsid w:val="004A5F51"/>
    <w:rsid w:val="004A6091"/>
    <w:rsid w:val="004A6386"/>
    <w:rsid w:val="004A641D"/>
    <w:rsid w:val="004A65CB"/>
    <w:rsid w:val="004A65E0"/>
    <w:rsid w:val="004A666E"/>
    <w:rsid w:val="004A668C"/>
    <w:rsid w:val="004A68D7"/>
    <w:rsid w:val="004A697B"/>
    <w:rsid w:val="004A6981"/>
    <w:rsid w:val="004A6A0F"/>
    <w:rsid w:val="004A6CF7"/>
    <w:rsid w:val="004A6D7B"/>
    <w:rsid w:val="004A6DBE"/>
    <w:rsid w:val="004A6EA4"/>
    <w:rsid w:val="004A6F33"/>
    <w:rsid w:val="004A7115"/>
    <w:rsid w:val="004A7220"/>
    <w:rsid w:val="004A72A9"/>
    <w:rsid w:val="004A76DF"/>
    <w:rsid w:val="004A7824"/>
    <w:rsid w:val="004A789C"/>
    <w:rsid w:val="004A7C0B"/>
    <w:rsid w:val="004A7E41"/>
    <w:rsid w:val="004A7EC9"/>
    <w:rsid w:val="004A7F12"/>
    <w:rsid w:val="004A7F69"/>
    <w:rsid w:val="004B003F"/>
    <w:rsid w:val="004B0233"/>
    <w:rsid w:val="004B02F5"/>
    <w:rsid w:val="004B03A7"/>
    <w:rsid w:val="004B0642"/>
    <w:rsid w:val="004B0709"/>
    <w:rsid w:val="004B0753"/>
    <w:rsid w:val="004B0766"/>
    <w:rsid w:val="004B0A82"/>
    <w:rsid w:val="004B0F41"/>
    <w:rsid w:val="004B0F4E"/>
    <w:rsid w:val="004B0FBD"/>
    <w:rsid w:val="004B11B2"/>
    <w:rsid w:val="004B1246"/>
    <w:rsid w:val="004B1406"/>
    <w:rsid w:val="004B1851"/>
    <w:rsid w:val="004B190E"/>
    <w:rsid w:val="004B1927"/>
    <w:rsid w:val="004B1B8B"/>
    <w:rsid w:val="004B1C57"/>
    <w:rsid w:val="004B1F4A"/>
    <w:rsid w:val="004B1F78"/>
    <w:rsid w:val="004B20F8"/>
    <w:rsid w:val="004B216F"/>
    <w:rsid w:val="004B21E7"/>
    <w:rsid w:val="004B2274"/>
    <w:rsid w:val="004B22CC"/>
    <w:rsid w:val="004B23C3"/>
    <w:rsid w:val="004B24D4"/>
    <w:rsid w:val="004B26CB"/>
    <w:rsid w:val="004B2822"/>
    <w:rsid w:val="004B2917"/>
    <w:rsid w:val="004B2938"/>
    <w:rsid w:val="004B2CFB"/>
    <w:rsid w:val="004B2EF9"/>
    <w:rsid w:val="004B2F07"/>
    <w:rsid w:val="004B2F3A"/>
    <w:rsid w:val="004B3112"/>
    <w:rsid w:val="004B312F"/>
    <w:rsid w:val="004B3173"/>
    <w:rsid w:val="004B360E"/>
    <w:rsid w:val="004B3688"/>
    <w:rsid w:val="004B391C"/>
    <w:rsid w:val="004B3A55"/>
    <w:rsid w:val="004B3D59"/>
    <w:rsid w:val="004B3DAB"/>
    <w:rsid w:val="004B3DBA"/>
    <w:rsid w:val="004B3DF5"/>
    <w:rsid w:val="004B3E39"/>
    <w:rsid w:val="004B3EF8"/>
    <w:rsid w:val="004B40BC"/>
    <w:rsid w:val="004B41C8"/>
    <w:rsid w:val="004B4207"/>
    <w:rsid w:val="004B4283"/>
    <w:rsid w:val="004B43DC"/>
    <w:rsid w:val="004B43EC"/>
    <w:rsid w:val="004B461F"/>
    <w:rsid w:val="004B4669"/>
    <w:rsid w:val="004B470D"/>
    <w:rsid w:val="004B472A"/>
    <w:rsid w:val="004B4791"/>
    <w:rsid w:val="004B47D1"/>
    <w:rsid w:val="004B47EB"/>
    <w:rsid w:val="004B4824"/>
    <w:rsid w:val="004B4983"/>
    <w:rsid w:val="004B4994"/>
    <w:rsid w:val="004B4A0C"/>
    <w:rsid w:val="004B4A47"/>
    <w:rsid w:val="004B4AFE"/>
    <w:rsid w:val="004B4BE8"/>
    <w:rsid w:val="004B4CDD"/>
    <w:rsid w:val="004B4D8A"/>
    <w:rsid w:val="004B4D91"/>
    <w:rsid w:val="004B4E21"/>
    <w:rsid w:val="004B5091"/>
    <w:rsid w:val="004B51D9"/>
    <w:rsid w:val="004B5339"/>
    <w:rsid w:val="004B54DE"/>
    <w:rsid w:val="004B55D6"/>
    <w:rsid w:val="004B55D7"/>
    <w:rsid w:val="004B55E2"/>
    <w:rsid w:val="004B5812"/>
    <w:rsid w:val="004B585C"/>
    <w:rsid w:val="004B5A88"/>
    <w:rsid w:val="004B5B42"/>
    <w:rsid w:val="004B5B8D"/>
    <w:rsid w:val="004B5BFA"/>
    <w:rsid w:val="004B5C08"/>
    <w:rsid w:val="004B5D3B"/>
    <w:rsid w:val="004B5DD3"/>
    <w:rsid w:val="004B5ED5"/>
    <w:rsid w:val="004B6004"/>
    <w:rsid w:val="004B608B"/>
    <w:rsid w:val="004B62F4"/>
    <w:rsid w:val="004B63FF"/>
    <w:rsid w:val="004B644D"/>
    <w:rsid w:val="004B66BC"/>
    <w:rsid w:val="004B66F1"/>
    <w:rsid w:val="004B6802"/>
    <w:rsid w:val="004B6908"/>
    <w:rsid w:val="004B6BDC"/>
    <w:rsid w:val="004B6E08"/>
    <w:rsid w:val="004B6E38"/>
    <w:rsid w:val="004B6F8C"/>
    <w:rsid w:val="004B6FC8"/>
    <w:rsid w:val="004B7087"/>
    <w:rsid w:val="004B72DF"/>
    <w:rsid w:val="004B733E"/>
    <w:rsid w:val="004B735E"/>
    <w:rsid w:val="004B74B3"/>
    <w:rsid w:val="004B76C5"/>
    <w:rsid w:val="004B7823"/>
    <w:rsid w:val="004B78A2"/>
    <w:rsid w:val="004B795F"/>
    <w:rsid w:val="004B7A3D"/>
    <w:rsid w:val="004B7BE0"/>
    <w:rsid w:val="004B7E96"/>
    <w:rsid w:val="004C0070"/>
    <w:rsid w:val="004C00A0"/>
    <w:rsid w:val="004C00F9"/>
    <w:rsid w:val="004C02A4"/>
    <w:rsid w:val="004C03B1"/>
    <w:rsid w:val="004C052C"/>
    <w:rsid w:val="004C0550"/>
    <w:rsid w:val="004C0622"/>
    <w:rsid w:val="004C0693"/>
    <w:rsid w:val="004C06A1"/>
    <w:rsid w:val="004C06D6"/>
    <w:rsid w:val="004C0712"/>
    <w:rsid w:val="004C07E7"/>
    <w:rsid w:val="004C0A9A"/>
    <w:rsid w:val="004C0AAF"/>
    <w:rsid w:val="004C0D85"/>
    <w:rsid w:val="004C0DFC"/>
    <w:rsid w:val="004C10BA"/>
    <w:rsid w:val="004C1409"/>
    <w:rsid w:val="004C1539"/>
    <w:rsid w:val="004C165A"/>
    <w:rsid w:val="004C17D9"/>
    <w:rsid w:val="004C181B"/>
    <w:rsid w:val="004C1836"/>
    <w:rsid w:val="004C18CC"/>
    <w:rsid w:val="004C190F"/>
    <w:rsid w:val="004C1BB5"/>
    <w:rsid w:val="004C1D5E"/>
    <w:rsid w:val="004C200E"/>
    <w:rsid w:val="004C2316"/>
    <w:rsid w:val="004C235A"/>
    <w:rsid w:val="004C24C8"/>
    <w:rsid w:val="004C254F"/>
    <w:rsid w:val="004C2753"/>
    <w:rsid w:val="004C2C4F"/>
    <w:rsid w:val="004C2D43"/>
    <w:rsid w:val="004C2DB6"/>
    <w:rsid w:val="004C2F85"/>
    <w:rsid w:val="004C2FC2"/>
    <w:rsid w:val="004C31EB"/>
    <w:rsid w:val="004C323B"/>
    <w:rsid w:val="004C329E"/>
    <w:rsid w:val="004C33F7"/>
    <w:rsid w:val="004C34B0"/>
    <w:rsid w:val="004C3873"/>
    <w:rsid w:val="004C391A"/>
    <w:rsid w:val="004C39EC"/>
    <w:rsid w:val="004C3A73"/>
    <w:rsid w:val="004C3A7C"/>
    <w:rsid w:val="004C3B6B"/>
    <w:rsid w:val="004C3D95"/>
    <w:rsid w:val="004C3E93"/>
    <w:rsid w:val="004C4000"/>
    <w:rsid w:val="004C416C"/>
    <w:rsid w:val="004C42E7"/>
    <w:rsid w:val="004C43CC"/>
    <w:rsid w:val="004C4515"/>
    <w:rsid w:val="004C45EF"/>
    <w:rsid w:val="004C4629"/>
    <w:rsid w:val="004C47A3"/>
    <w:rsid w:val="004C49AF"/>
    <w:rsid w:val="004C4B9E"/>
    <w:rsid w:val="004C4BE1"/>
    <w:rsid w:val="004C4BEA"/>
    <w:rsid w:val="004C4C54"/>
    <w:rsid w:val="004C4E4A"/>
    <w:rsid w:val="004C4E8F"/>
    <w:rsid w:val="004C50A9"/>
    <w:rsid w:val="004C5395"/>
    <w:rsid w:val="004C54CB"/>
    <w:rsid w:val="004C554E"/>
    <w:rsid w:val="004C58C9"/>
    <w:rsid w:val="004C58F4"/>
    <w:rsid w:val="004C5902"/>
    <w:rsid w:val="004C5A3B"/>
    <w:rsid w:val="004C5B7D"/>
    <w:rsid w:val="004C5C1B"/>
    <w:rsid w:val="004C5CBA"/>
    <w:rsid w:val="004C5DEF"/>
    <w:rsid w:val="004C6101"/>
    <w:rsid w:val="004C622C"/>
    <w:rsid w:val="004C62FE"/>
    <w:rsid w:val="004C640F"/>
    <w:rsid w:val="004C6572"/>
    <w:rsid w:val="004C6670"/>
    <w:rsid w:val="004C6A9D"/>
    <w:rsid w:val="004C6ADB"/>
    <w:rsid w:val="004C6B74"/>
    <w:rsid w:val="004C6D38"/>
    <w:rsid w:val="004C6EC9"/>
    <w:rsid w:val="004C6F3E"/>
    <w:rsid w:val="004C70FC"/>
    <w:rsid w:val="004C712A"/>
    <w:rsid w:val="004C7178"/>
    <w:rsid w:val="004C71E6"/>
    <w:rsid w:val="004C753A"/>
    <w:rsid w:val="004C7596"/>
    <w:rsid w:val="004C75BF"/>
    <w:rsid w:val="004C7715"/>
    <w:rsid w:val="004C7745"/>
    <w:rsid w:val="004C7904"/>
    <w:rsid w:val="004C7B44"/>
    <w:rsid w:val="004C7CF8"/>
    <w:rsid w:val="004C7D33"/>
    <w:rsid w:val="004C7D5C"/>
    <w:rsid w:val="004C7E36"/>
    <w:rsid w:val="004C7E78"/>
    <w:rsid w:val="004C7EA1"/>
    <w:rsid w:val="004D006A"/>
    <w:rsid w:val="004D01A8"/>
    <w:rsid w:val="004D0875"/>
    <w:rsid w:val="004D0A4F"/>
    <w:rsid w:val="004D0D93"/>
    <w:rsid w:val="004D0DA0"/>
    <w:rsid w:val="004D0E3B"/>
    <w:rsid w:val="004D0E97"/>
    <w:rsid w:val="004D0EAB"/>
    <w:rsid w:val="004D0F2E"/>
    <w:rsid w:val="004D0F40"/>
    <w:rsid w:val="004D0F6E"/>
    <w:rsid w:val="004D1077"/>
    <w:rsid w:val="004D1137"/>
    <w:rsid w:val="004D1239"/>
    <w:rsid w:val="004D172F"/>
    <w:rsid w:val="004D177D"/>
    <w:rsid w:val="004D17F8"/>
    <w:rsid w:val="004D180E"/>
    <w:rsid w:val="004D183D"/>
    <w:rsid w:val="004D1886"/>
    <w:rsid w:val="004D18AC"/>
    <w:rsid w:val="004D1B11"/>
    <w:rsid w:val="004D1BC1"/>
    <w:rsid w:val="004D1CD1"/>
    <w:rsid w:val="004D1CF1"/>
    <w:rsid w:val="004D1D55"/>
    <w:rsid w:val="004D1E60"/>
    <w:rsid w:val="004D1E76"/>
    <w:rsid w:val="004D1EBE"/>
    <w:rsid w:val="004D1F30"/>
    <w:rsid w:val="004D210D"/>
    <w:rsid w:val="004D23DD"/>
    <w:rsid w:val="004D259B"/>
    <w:rsid w:val="004D2A22"/>
    <w:rsid w:val="004D2F52"/>
    <w:rsid w:val="004D30E9"/>
    <w:rsid w:val="004D332E"/>
    <w:rsid w:val="004D338F"/>
    <w:rsid w:val="004D346D"/>
    <w:rsid w:val="004D34C8"/>
    <w:rsid w:val="004D3869"/>
    <w:rsid w:val="004D3924"/>
    <w:rsid w:val="004D3AD5"/>
    <w:rsid w:val="004D3B60"/>
    <w:rsid w:val="004D3B6E"/>
    <w:rsid w:val="004D3D39"/>
    <w:rsid w:val="004D3E0E"/>
    <w:rsid w:val="004D3E1F"/>
    <w:rsid w:val="004D401C"/>
    <w:rsid w:val="004D401D"/>
    <w:rsid w:val="004D41C5"/>
    <w:rsid w:val="004D4224"/>
    <w:rsid w:val="004D44FB"/>
    <w:rsid w:val="004D4525"/>
    <w:rsid w:val="004D48C9"/>
    <w:rsid w:val="004D4A32"/>
    <w:rsid w:val="004D4B41"/>
    <w:rsid w:val="004D4B82"/>
    <w:rsid w:val="004D5082"/>
    <w:rsid w:val="004D51DB"/>
    <w:rsid w:val="004D5207"/>
    <w:rsid w:val="004D5309"/>
    <w:rsid w:val="004D5471"/>
    <w:rsid w:val="004D5527"/>
    <w:rsid w:val="004D5759"/>
    <w:rsid w:val="004D59A8"/>
    <w:rsid w:val="004D5B35"/>
    <w:rsid w:val="004D5C69"/>
    <w:rsid w:val="004D5EB4"/>
    <w:rsid w:val="004D6069"/>
    <w:rsid w:val="004D613D"/>
    <w:rsid w:val="004D6162"/>
    <w:rsid w:val="004D6193"/>
    <w:rsid w:val="004D628E"/>
    <w:rsid w:val="004D6372"/>
    <w:rsid w:val="004D637C"/>
    <w:rsid w:val="004D63E3"/>
    <w:rsid w:val="004D657F"/>
    <w:rsid w:val="004D69EF"/>
    <w:rsid w:val="004D6A87"/>
    <w:rsid w:val="004D6A9C"/>
    <w:rsid w:val="004D6D3C"/>
    <w:rsid w:val="004D6ED3"/>
    <w:rsid w:val="004D6FAC"/>
    <w:rsid w:val="004D6FFA"/>
    <w:rsid w:val="004D705E"/>
    <w:rsid w:val="004D706C"/>
    <w:rsid w:val="004D71B8"/>
    <w:rsid w:val="004D722B"/>
    <w:rsid w:val="004D72DE"/>
    <w:rsid w:val="004D7458"/>
    <w:rsid w:val="004D75E2"/>
    <w:rsid w:val="004D7A5B"/>
    <w:rsid w:val="004D7CF6"/>
    <w:rsid w:val="004D7E1C"/>
    <w:rsid w:val="004E0631"/>
    <w:rsid w:val="004E0653"/>
    <w:rsid w:val="004E06B7"/>
    <w:rsid w:val="004E07FE"/>
    <w:rsid w:val="004E0870"/>
    <w:rsid w:val="004E08E9"/>
    <w:rsid w:val="004E0A82"/>
    <w:rsid w:val="004E0B4F"/>
    <w:rsid w:val="004E0C78"/>
    <w:rsid w:val="004E0DEE"/>
    <w:rsid w:val="004E0EB4"/>
    <w:rsid w:val="004E1095"/>
    <w:rsid w:val="004E1334"/>
    <w:rsid w:val="004E13F6"/>
    <w:rsid w:val="004E169E"/>
    <w:rsid w:val="004E1A19"/>
    <w:rsid w:val="004E1AD0"/>
    <w:rsid w:val="004E1B2E"/>
    <w:rsid w:val="004E1C5F"/>
    <w:rsid w:val="004E1D73"/>
    <w:rsid w:val="004E1E47"/>
    <w:rsid w:val="004E1F3B"/>
    <w:rsid w:val="004E1F7E"/>
    <w:rsid w:val="004E1FAA"/>
    <w:rsid w:val="004E1FFF"/>
    <w:rsid w:val="004E227D"/>
    <w:rsid w:val="004E22F1"/>
    <w:rsid w:val="004E2548"/>
    <w:rsid w:val="004E263B"/>
    <w:rsid w:val="004E27BE"/>
    <w:rsid w:val="004E2876"/>
    <w:rsid w:val="004E2A2E"/>
    <w:rsid w:val="004E2A8A"/>
    <w:rsid w:val="004E2AE8"/>
    <w:rsid w:val="004E2B41"/>
    <w:rsid w:val="004E2BFC"/>
    <w:rsid w:val="004E2C26"/>
    <w:rsid w:val="004E2C92"/>
    <w:rsid w:val="004E2CB5"/>
    <w:rsid w:val="004E2D3B"/>
    <w:rsid w:val="004E2DA5"/>
    <w:rsid w:val="004E30A2"/>
    <w:rsid w:val="004E313C"/>
    <w:rsid w:val="004E31E9"/>
    <w:rsid w:val="004E3536"/>
    <w:rsid w:val="004E3570"/>
    <w:rsid w:val="004E3670"/>
    <w:rsid w:val="004E369C"/>
    <w:rsid w:val="004E3735"/>
    <w:rsid w:val="004E397A"/>
    <w:rsid w:val="004E39C0"/>
    <w:rsid w:val="004E3A1F"/>
    <w:rsid w:val="004E3A34"/>
    <w:rsid w:val="004E3B2C"/>
    <w:rsid w:val="004E3CC9"/>
    <w:rsid w:val="004E3DF0"/>
    <w:rsid w:val="004E3E2E"/>
    <w:rsid w:val="004E3EE9"/>
    <w:rsid w:val="004E4034"/>
    <w:rsid w:val="004E4165"/>
    <w:rsid w:val="004E431F"/>
    <w:rsid w:val="004E432A"/>
    <w:rsid w:val="004E4615"/>
    <w:rsid w:val="004E466E"/>
    <w:rsid w:val="004E4D1C"/>
    <w:rsid w:val="004E4D1D"/>
    <w:rsid w:val="004E4FD6"/>
    <w:rsid w:val="004E4FDE"/>
    <w:rsid w:val="004E5019"/>
    <w:rsid w:val="004E51FE"/>
    <w:rsid w:val="004E520C"/>
    <w:rsid w:val="004E524C"/>
    <w:rsid w:val="004E53E6"/>
    <w:rsid w:val="004E5478"/>
    <w:rsid w:val="004E54FB"/>
    <w:rsid w:val="004E566D"/>
    <w:rsid w:val="004E59AE"/>
    <w:rsid w:val="004E5A11"/>
    <w:rsid w:val="004E5B1D"/>
    <w:rsid w:val="004E5CAB"/>
    <w:rsid w:val="004E60C3"/>
    <w:rsid w:val="004E6581"/>
    <w:rsid w:val="004E6689"/>
    <w:rsid w:val="004E6785"/>
    <w:rsid w:val="004E67F5"/>
    <w:rsid w:val="004E6821"/>
    <w:rsid w:val="004E6832"/>
    <w:rsid w:val="004E68C3"/>
    <w:rsid w:val="004E68DE"/>
    <w:rsid w:val="004E6A93"/>
    <w:rsid w:val="004E6B41"/>
    <w:rsid w:val="004E6C42"/>
    <w:rsid w:val="004E6E64"/>
    <w:rsid w:val="004E6E97"/>
    <w:rsid w:val="004E6F1A"/>
    <w:rsid w:val="004E70D0"/>
    <w:rsid w:val="004E72FD"/>
    <w:rsid w:val="004E7314"/>
    <w:rsid w:val="004E7342"/>
    <w:rsid w:val="004E75C1"/>
    <w:rsid w:val="004E7706"/>
    <w:rsid w:val="004E7772"/>
    <w:rsid w:val="004E777A"/>
    <w:rsid w:val="004E79CB"/>
    <w:rsid w:val="004E7A00"/>
    <w:rsid w:val="004E7AFC"/>
    <w:rsid w:val="004E7B58"/>
    <w:rsid w:val="004E7BAD"/>
    <w:rsid w:val="004E7C96"/>
    <w:rsid w:val="004E7D42"/>
    <w:rsid w:val="004E7DEC"/>
    <w:rsid w:val="004F0038"/>
    <w:rsid w:val="004F0164"/>
    <w:rsid w:val="004F017E"/>
    <w:rsid w:val="004F0536"/>
    <w:rsid w:val="004F075C"/>
    <w:rsid w:val="004F07CB"/>
    <w:rsid w:val="004F0991"/>
    <w:rsid w:val="004F0C88"/>
    <w:rsid w:val="004F12C0"/>
    <w:rsid w:val="004F15BB"/>
    <w:rsid w:val="004F162B"/>
    <w:rsid w:val="004F1639"/>
    <w:rsid w:val="004F1658"/>
    <w:rsid w:val="004F1659"/>
    <w:rsid w:val="004F16C6"/>
    <w:rsid w:val="004F18CD"/>
    <w:rsid w:val="004F18E5"/>
    <w:rsid w:val="004F1939"/>
    <w:rsid w:val="004F1998"/>
    <w:rsid w:val="004F19FE"/>
    <w:rsid w:val="004F1B1F"/>
    <w:rsid w:val="004F1B61"/>
    <w:rsid w:val="004F1CC4"/>
    <w:rsid w:val="004F1EF5"/>
    <w:rsid w:val="004F1F41"/>
    <w:rsid w:val="004F1F4F"/>
    <w:rsid w:val="004F1F76"/>
    <w:rsid w:val="004F20D0"/>
    <w:rsid w:val="004F2298"/>
    <w:rsid w:val="004F24D0"/>
    <w:rsid w:val="004F2592"/>
    <w:rsid w:val="004F25C3"/>
    <w:rsid w:val="004F2653"/>
    <w:rsid w:val="004F29FC"/>
    <w:rsid w:val="004F2EB1"/>
    <w:rsid w:val="004F2F12"/>
    <w:rsid w:val="004F30CA"/>
    <w:rsid w:val="004F31DE"/>
    <w:rsid w:val="004F32C9"/>
    <w:rsid w:val="004F33C5"/>
    <w:rsid w:val="004F3529"/>
    <w:rsid w:val="004F35A7"/>
    <w:rsid w:val="004F373C"/>
    <w:rsid w:val="004F3800"/>
    <w:rsid w:val="004F3C17"/>
    <w:rsid w:val="004F3C2D"/>
    <w:rsid w:val="004F3D11"/>
    <w:rsid w:val="004F3F84"/>
    <w:rsid w:val="004F4267"/>
    <w:rsid w:val="004F4400"/>
    <w:rsid w:val="004F445B"/>
    <w:rsid w:val="004F445F"/>
    <w:rsid w:val="004F4629"/>
    <w:rsid w:val="004F47AB"/>
    <w:rsid w:val="004F47BD"/>
    <w:rsid w:val="004F49DA"/>
    <w:rsid w:val="004F4A1B"/>
    <w:rsid w:val="004F4A23"/>
    <w:rsid w:val="004F4AD1"/>
    <w:rsid w:val="004F4C3A"/>
    <w:rsid w:val="004F4D3B"/>
    <w:rsid w:val="004F4D87"/>
    <w:rsid w:val="004F5084"/>
    <w:rsid w:val="004F510A"/>
    <w:rsid w:val="004F517B"/>
    <w:rsid w:val="004F51A5"/>
    <w:rsid w:val="004F521F"/>
    <w:rsid w:val="004F52BC"/>
    <w:rsid w:val="004F530B"/>
    <w:rsid w:val="004F5374"/>
    <w:rsid w:val="004F540A"/>
    <w:rsid w:val="004F57AE"/>
    <w:rsid w:val="004F581D"/>
    <w:rsid w:val="004F5848"/>
    <w:rsid w:val="004F5A91"/>
    <w:rsid w:val="004F5B8D"/>
    <w:rsid w:val="004F5B90"/>
    <w:rsid w:val="004F5BD3"/>
    <w:rsid w:val="004F5E0E"/>
    <w:rsid w:val="004F5E5C"/>
    <w:rsid w:val="004F60F7"/>
    <w:rsid w:val="004F6288"/>
    <w:rsid w:val="004F62DE"/>
    <w:rsid w:val="004F6526"/>
    <w:rsid w:val="004F676B"/>
    <w:rsid w:val="004F6824"/>
    <w:rsid w:val="004F689E"/>
    <w:rsid w:val="004F6B97"/>
    <w:rsid w:val="004F6BCF"/>
    <w:rsid w:val="004F6D29"/>
    <w:rsid w:val="004F6E2A"/>
    <w:rsid w:val="004F6ED3"/>
    <w:rsid w:val="004F70A3"/>
    <w:rsid w:val="004F7238"/>
    <w:rsid w:val="004F7337"/>
    <w:rsid w:val="004F756A"/>
    <w:rsid w:val="004F7667"/>
    <w:rsid w:val="004F7757"/>
    <w:rsid w:val="004F783B"/>
    <w:rsid w:val="004F791B"/>
    <w:rsid w:val="004F7B24"/>
    <w:rsid w:val="004F7B49"/>
    <w:rsid w:val="004F7C7C"/>
    <w:rsid w:val="004F7D0B"/>
    <w:rsid w:val="004F7D11"/>
    <w:rsid w:val="004F7EE9"/>
    <w:rsid w:val="004F7F1B"/>
    <w:rsid w:val="004F7FC7"/>
    <w:rsid w:val="0050005A"/>
    <w:rsid w:val="00500079"/>
    <w:rsid w:val="0050022A"/>
    <w:rsid w:val="00500349"/>
    <w:rsid w:val="005003C2"/>
    <w:rsid w:val="005003FC"/>
    <w:rsid w:val="005005AA"/>
    <w:rsid w:val="00500AF1"/>
    <w:rsid w:val="00500B2E"/>
    <w:rsid w:val="00500DBB"/>
    <w:rsid w:val="00500DC2"/>
    <w:rsid w:val="00500DF9"/>
    <w:rsid w:val="00500F15"/>
    <w:rsid w:val="00500FB3"/>
    <w:rsid w:val="0050105D"/>
    <w:rsid w:val="005010B3"/>
    <w:rsid w:val="005011EF"/>
    <w:rsid w:val="005012C1"/>
    <w:rsid w:val="005012FC"/>
    <w:rsid w:val="00501348"/>
    <w:rsid w:val="005014DE"/>
    <w:rsid w:val="005015EB"/>
    <w:rsid w:val="005016FD"/>
    <w:rsid w:val="00501729"/>
    <w:rsid w:val="00501919"/>
    <w:rsid w:val="00501C63"/>
    <w:rsid w:val="00501D6D"/>
    <w:rsid w:val="00501DBA"/>
    <w:rsid w:val="00501E94"/>
    <w:rsid w:val="00501EEF"/>
    <w:rsid w:val="00501F67"/>
    <w:rsid w:val="00501FAD"/>
    <w:rsid w:val="0050214D"/>
    <w:rsid w:val="00502232"/>
    <w:rsid w:val="005023E3"/>
    <w:rsid w:val="005024B3"/>
    <w:rsid w:val="00502747"/>
    <w:rsid w:val="00502864"/>
    <w:rsid w:val="00502AF1"/>
    <w:rsid w:val="00502C49"/>
    <w:rsid w:val="00502D2E"/>
    <w:rsid w:val="00502DBD"/>
    <w:rsid w:val="00502E12"/>
    <w:rsid w:val="00503120"/>
    <w:rsid w:val="005031E4"/>
    <w:rsid w:val="0050322B"/>
    <w:rsid w:val="005034FB"/>
    <w:rsid w:val="00503541"/>
    <w:rsid w:val="00503571"/>
    <w:rsid w:val="005035EC"/>
    <w:rsid w:val="00503647"/>
    <w:rsid w:val="00503755"/>
    <w:rsid w:val="00503796"/>
    <w:rsid w:val="005037BB"/>
    <w:rsid w:val="005037CB"/>
    <w:rsid w:val="00503820"/>
    <w:rsid w:val="00503943"/>
    <w:rsid w:val="00503A1D"/>
    <w:rsid w:val="00503A9C"/>
    <w:rsid w:val="00503F2D"/>
    <w:rsid w:val="0050407A"/>
    <w:rsid w:val="0050409A"/>
    <w:rsid w:val="005041EA"/>
    <w:rsid w:val="005042D6"/>
    <w:rsid w:val="005044FF"/>
    <w:rsid w:val="005045B2"/>
    <w:rsid w:val="005048B2"/>
    <w:rsid w:val="005048F7"/>
    <w:rsid w:val="00504B95"/>
    <w:rsid w:val="00504D16"/>
    <w:rsid w:val="00504DD8"/>
    <w:rsid w:val="00504E26"/>
    <w:rsid w:val="00504E4C"/>
    <w:rsid w:val="00504E89"/>
    <w:rsid w:val="0050503B"/>
    <w:rsid w:val="005050B7"/>
    <w:rsid w:val="00505162"/>
    <w:rsid w:val="00505311"/>
    <w:rsid w:val="00505344"/>
    <w:rsid w:val="00505719"/>
    <w:rsid w:val="00505776"/>
    <w:rsid w:val="0050581E"/>
    <w:rsid w:val="00505863"/>
    <w:rsid w:val="005059A0"/>
    <w:rsid w:val="00505BF3"/>
    <w:rsid w:val="00505FEB"/>
    <w:rsid w:val="0050612A"/>
    <w:rsid w:val="005062B7"/>
    <w:rsid w:val="00506462"/>
    <w:rsid w:val="00506502"/>
    <w:rsid w:val="00506653"/>
    <w:rsid w:val="005068A4"/>
    <w:rsid w:val="00506965"/>
    <w:rsid w:val="00506A88"/>
    <w:rsid w:val="00506F20"/>
    <w:rsid w:val="005070D2"/>
    <w:rsid w:val="00507144"/>
    <w:rsid w:val="0050717B"/>
    <w:rsid w:val="005071DD"/>
    <w:rsid w:val="00507266"/>
    <w:rsid w:val="00507271"/>
    <w:rsid w:val="00507478"/>
    <w:rsid w:val="005074FE"/>
    <w:rsid w:val="00507549"/>
    <w:rsid w:val="0050758F"/>
    <w:rsid w:val="0050783E"/>
    <w:rsid w:val="00507925"/>
    <w:rsid w:val="0050795A"/>
    <w:rsid w:val="00507AB5"/>
    <w:rsid w:val="00507DD1"/>
    <w:rsid w:val="00510044"/>
    <w:rsid w:val="0051006B"/>
    <w:rsid w:val="005103B0"/>
    <w:rsid w:val="005106B7"/>
    <w:rsid w:val="0051084F"/>
    <w:rsid w:val="005108F5"/>
    <w:rsid w:val="0051091C"/>
    <w:rsid w:val="00510A18"/>
    <w:rsid w:val="00510C6D"/>
    <w:rsid w:val="00510CE9"/>
    <w:rsid w:val="00510DDA"/>
    <w:rsid w:val="00510E88"/>
    <w:rsid w:val="00510F15"/>
    <w:rsid w:val="0051116F"/>
    <w:rsid w:val="00511489"/>
    <w:rsid w:val="005115EB"/>
    <w:rsid w:val="00511665"/>
    <w:rsid w:val="00511831"/>
    <w:rsid w:val="005118B0"/>
    <w:rsid w:val="00511B1C"/>
    <w:rsid w:val="00511B58"/>
    <w:rsid w:val="00511BDD"/>
    <w:rsid w:val="00511CCD"/>
    <w:rsid w:val="00511CEA"/>
    <w:rsid w:val="00512120"/>
    <w:rsid w:val="00512513"/>
    <w:rsid w:val="0051283B"/>
    <w:rsid w:val="00512881"/>
    <w:rsid w:val="00512A74"/>
    <w:rsid w:val="00512A9A"/>
    <w:rsid w:val="00512B47"/>
    <w:rsid w:val="00512B9D"/>
    <w:rsid w:val="00512BAC"/>
    <w:rsid w:val="00512BF4"/>
    <w:rsid w:val="00512CB2"/>
    <w:rsid w:val="00512D4F"/>
    <w:rsid w:val="00512DA3"/>
    <w:rsid w:val="00512FD1"/>
    <w:rsid w:val="00513000"/>
    <w:rsid w:val="005130EB"/>
    <w:rsid w:val="005131F8"/>
    <w:rsid w:val="0051349B"/>
    <w:rsid w:val="0051353E"/>
    <w:rsid w:val="005136DA"/>
    <w:rsid w:val="005138EE"/>
    <w:rsid w:val="00513AE0"/>
    <w:rsid w:val="00513AED"/>
    <w:rsid w:val="00513C2B"/>
    <w:rsid w:val="00513CB4"/>
    <w:rsid w:val="00513E86"/>
    <w:rsid w:val="00513E94"/>
    <w:rsid w:val="0051414D"/>
    <w:rsid w:val="00514346"/>
    <w:rsid w:val="005143B8"/>
    <w:rsid w:val="005144D8"/>
    <w:rsid w:val="005144E5"/>
    <w:rsid w:val="0051454A"/>
    <w:rsid w:val="00514654"/>
    <w:rsid w:val="0051486E"/>
    <w:rsid w:val="00514877"/>
    <w:rsid w:val="005149CA"/>
    <w:rsid w:val="00514A8A"/>
    <w:rsid w:val="00514BCF"/>
    <w:rsid w:val="00514C0D"/>
    <w:rsid w:val="00514D02"/>
    <w:rsid w:val="00514F53"/>
    <w:rsid w:val="00514FAA"/>
    <w:rsid w:val="0051536E"/>
    <w:rsid w:val="005153AA"/>
    <w:rsid w:val="005153DD"/>
    <w:rsid w:val="0051566A"/>
    <w:rsid w:val="00515673"/>
    <w:rsid w:val="005157B2"/>
    <w:rsid w:val="00515896"/>
    <w:rsid w:val="005158AA"/>
    <w:rsid w:val="00515925"/>
    <w:rsid w:val="00515E0F"/>
    <w:rsid w:val="00516497"/>
    <w:rsid w:val="0051649A"/>
    <w:rsid w:val="00516595"/>
    <w:rsid w:val="00516610"/>
    <w:rsid w:val="005166E8"/>
    <w:rsid w:val="005166EA"/>
    <w:rsid w:val="005168A0"/>
    <w:rsid w:val="00516988"/>
    <w:rsid w:val="00516A02"/>
    <w:rsid w:val="00516B43"/>
    <w:rsid w:val="00516E9E"/>
    <w:rsid w:val="00516EC5"/>
    <w:rsid w:val="00516EEE"/>
    <w:rsid w:val="00516F3D"/>
    <w:rsid w:val="005170B4"/>
    <w:rsid w:val="0051715F"/>
    <w:rsid w:val="005171F3"/>
    <w:rsid w:val="00517377"/>
    <w:rsid w:val="0051766C"/>
    <w:rsid w:val="005176C8"/>
    <w:rsid w:val="0051770F"/>
    <w:rsid w:val="00517CAC"/>
    <w:rsid w:val="00517F51"/>
    <w:rsid w:val="0052004F"/>
    <w:rsid w:val="0052006B"/>
    <w:rsid w:val="005200A9"/>
    <w:rsid w:val="0052016A"/>
    <w:rsid w:val="0052034B"/>
    <w:rsid w:val="005203EF"/>
    <w:rsid w:val="005204A7"/>
    <w:rsid w:val="005204D1"/>
    <w:rsid w:val="005205C3"/>
    <w:rsid w:val="005206B3"/>
    <w:rsid w:val="0052079F"/>
    <w:rsid w:val="005207AA"/>
    <w:rsid w:val="00520806"/>
    <w:rsid w:val="00520832"/>
    <w:rsid w:val="005208F9"/>
    <w:rsid w:val="00520998"/>
    <w:rsid w:val="00520AAE"/>
    <w:rsid w:val="00520B14"/>
    <w:rsid w:val="00520E87"/>
    <w:rsid w:val="00520EF0"/>
    <w:rsid w:val="00520F48"/>
    <w:rsid w:val="005211BF"/>
    <w:rsid w:val="005213AF"/>
    <w:rsid w:val="005213E2"/>
    <w:rsid w:val="005216EB"/>
    <w:rsid w:val="00521BE2"/>
    <w:rsid w:val="00521D58"/>
    <w:rsid w:val="00522230"/>
    <w:rsid w:val="0052234A"/>
    <w:rsid w:val="005223A4"/>
    <w:rsid w:val="005224FB"/>
    <w:rsid w:val="005227FE"/>
    <w:rsid w:val="00522950"/>
    <w:rsid w:val="00522963"/>
    <w:rsid w:val="00522CB9"/>
    <w:rsid w:val="00522D20"/>
    <w:rsid w:val="00522F6C"/>
    <w:rsid w:val="00523006"/>
    <w:rsid w:val="005230B0"/>
    <w:rsid w:val="00523112"/>
    <w:rsid w:val="005231B6"/>
    <w:rsid w:val="00523433"/>
    <w:rsid w:val="005234FA"/>
    <w:rsid w:val="00523552"/>
    <w:rsid w:val="005238B8"/>
    <w:rsid w:val="00523B40"/>
    <w:rsid w:val="00523B58"/>
    <w:rsid w:val="00523F40"/>
    <w:rsid w:val="00523F75"/>
    <w:rsid w:val="00523F85"/>
    <w:rsid w:val="00524068"/>
    <w:rsid w:val="00524594"/>
    <w:rsid w:val="00524615"/>
    <w:rsid w:val="00524BC0"/>
    <w:rsid w:val="005250C3"/>
    <w:rsid w:val="005251AC"/>
    <w:rsid w:val="0052529F"/>
    <w:rsid w:val="00525333"/>
    <w:rsid w:val="005253A3"/>
    <w:rsid w:val="005253F4"/>
    <w:rsid w:val="00525486"/>
    <w:rsid w:val="005254E5"/>
    <w:rsid w:val="005255E9"/>
    <w:rsid w:val="0052560D"/>
    <w:rsid w:val="00525630"/>
    <w:rsid w:val="00525839"/>
    <w:rsid w:val="00525910"/>
    <w:rsid w:val="00525996"/>
    <w:rsid w:val="00525C76"/>
    <w:rsid w:val="00525CE6"/>
    <w:rsid w:val="00525E19"/>
    <w:rsid w:val="00525E7B"/>
    <w:rsid w:val="00525EEF"/>
    <w:rsid w:val="00525F18"/>
    <w:rsid w:val="005262EB"/>
    <w:rsid w:val="00526365"/>
    <w:rsid w:val="00526368"/>
    <w:rsid w:val="005263C2"/>
    <w:rsid w:val="005264A6"/>
    <w:rsid w:val="005265B3"/>
    <w:rsid w:val="005266CA"/>
    <w:rsid w:val="005269B9"/>
    <w:rsid w:val="00526C33"/>
    <w:rsid w:val="00526D22"/>
    <w:rsid w:val="00526D55"/>
    <w:rsid w:val="00526E77"/>
    <w:rsid w:val="00526ED1"/>
    <w:rsid w:val="00527310"/>
    <w:rsid w:val="0052746B"/>
    <w:rsid w:val="00527526"/>
    <w:rsid w:val="005275E6"/>
    <w:rsid w:val="005276C4"/>
    <w:rsid w:val="005276F5"/>
    <w:rsid w:val="0052772D"/>
    <w:rsid w:val="0052781A"/>
    <w:rsid w:val="00527DAE"/>
    <w:rsid w:val="00527EC8"/>
    <w:rsid w:val="00530091"/>
    <w:rsid w:val="0053020F"/>
    <w:rsid w:val="00530216"/>
    <w:rsid w:val="0053026C"/>
    <w:rsid w:val="00530426"/>
    <w:rsid w:val="0053042E"/>
    <w:rsid w:val="005305A1"/>
    <w:rsid w:val="0053063C"/>
    <w:rsid w:val="0053082B"/>
    <w:rsid w:val="00530951"/>
    <w:rsid w:val="00530AF2"/>
    <w:rsid w:val="00530B5B"/>
    <w:rsid w:val="00530C41"/>
    <w:rsid w:val="00530CF0"/>
    <w:rsid w:val="00530D7C"/>
    <w:rsid w:val="00530DF0"/>
    <w:rsid w:val="00530E91"/>
    <w:rsid w:val="00530F4D"/>
    <w:rsid w:val="00531020"/>
    <w:rsid w:val="005310CC"/>
    <w:rsid w:val="00531254"/>
    <w:rsid w:val="0053126E"/>
    <w:rsid w:val="005312B3"/>
    <w:rsid w:val="0053132B"/>
    <w:rsid w:val="005315A9"/>
    <w:rsid w:val="0053187A"/>
    <w:rsid w:val="00531A9F"/>
    <w:rsid w:val="00531BCF"/>
    <w:rsid w:val="00531C25"/>
    <w:rsid w:val="00531DE9"/>
    <w:rsid w:val="00531EC7"/>
    <w:rsid w:val="005320C6"/>
    <w:rsid w:val="00532261"/>
    <w:rsid w:val="005322E9"/>
    <w:rsid w:val="005325DC"/>
    <w:rsid w:val="00532733"/>
    <w:rsid w:val="00532879"/>
    <w:rsid w:val="00532941"/>
    <w:rsid w:val="005329BB"/>
    <w:rsid w:val="00532A5D"/>
    <w:rsid w:val="00532BCE"/>
    <w:rsid w:val="00532BE1"/>
    <w:rsid w:val="00532C28"/>
    <w:rsid w:val="00532F2B"/>
    <w:rsid w:val="00532F8F"/>
    <w:rsid w:val="00533096"/>
    <w:rsid w:val="0053321C"/>
    <w:rsid w:val="005333E1"/>
    <w:rsid w:val="005334D7"/>
    <w:rsid w:val="005335A2"/>
    <w:rsid w:val="005335FE"/>
    <w:rsid w:val="005336C7"/>
    <w:rsid w:val="00533700"/>
    <w:rsid w:val="0053370D"/>
    <w:rsid w:val="0053393C"/>
    <w:rsid w:val="00533C2F"/>
    <w:rsid w:val="00533C9B"/>
    <w:rsid w:val="00533D13"/>
    <w:rsid w:val="00533FEF"/>
    <w:rsid w:val="0053403F"/>
    <w:rsid w:val="00534340"/>
    <w:rsid w:val="005343F4"/>
    <w:rsid w:val="00534455"/>
    <w:rsid w:val="005344F4"/>
    <w:rsid w:val="005347E6"/>
    <w:rsid w:val="0053493B"/>
    <w:rsid w:val="00534A5B"/>
    <w:rsid w:val="00534A77"/>
    <w:rsid w:val="00534A8F"/>
    <w:rsid w:val="00534BCA"/>
    <w:rsid w:val="00534DAE"/>
    <w:rsid w:val="00534E64"/>
    <w:rsid w:val="00534EA0"/>
    <w:rsid w:val="00534EFC"/>
    <w:rsid w:val="00534F6A"/>
    <w:rsid w:val="0053507C"/>
    <w:rsid w:val="005350DC"/>
    <w:rsid w:val="0053515C"/>
    <w:rsid w:val="005352D1"/>
    <w:rsid w:val="005352D9"/>
    <w:rsid w:val="00535362"/>
    <w:rsid w:val="005353C9"/>
    <w:rsid w:val="00535404"/>
    <w:rsid w:val="00535B80"/>
    <w:rsid w:val="0053613B"/>
    <w:rsid w:val="0053626A"/>
    <w:rsid w:val="00536284"/>
    <w:rsid w:val="0053649B"/>
    <w:rsid w:val="00536599"/>
    <w:rsid w:val="00536620"/>
    <w:rsid w:val="00536692"/>
    <w:rsid w:val="00536749"/>
    <w:rsid w:val="005367B2"/>
    <w:rsid w:val="005368D5"/>
    <w:rsid w:val="0053692B"/>
    <w:rsid w:val="00536BA6"/>
    <w:rsid w:val="00536BE7"/>
    <w:rsid w:val="00536F3E"/>
    <w:rsid w:val="00536FEB"/>
    <w:rsid w:val="0053700B"/>
    <w:rsid w:val="0053722B"/>
    <w:rsid w:val="0053723F"/>
    <w:rsid w:val="00537315"/>
    <w:rsid w:val="0053739E"/>
    <w:rsid w:val="00537548"/>
    <w:rsid w:val="00537679"/>
    <w:rsid w:val="005376D3"/>
    <w:rsid w:val="00537775"/>
    <w:rsid w:val="00537914"/>
    <w:rsid w:val="00537922"/>
    <w:rsid w:val="0053793B"/>
    <w:rsid w:val="005379AE"/>
    <w:rsid w:val="00537A4E"/>
    <w:rsid w:val="00537B7F"/>
    <w:rsid w:val="00537B87"/>
    <w:rsid w:val="00537D62"/>
    <w:rsid w:val="00537E40"/>
    <w:rsid w:val="00537E4B"/>
    <w:rsid w:val="00537EA6"/>
    <w:rsid w:val="00537FF7"/>
    <w:rsid w:val="0054015A"/>
    <w:rsid w:val="00540551"/>
    <w:rsid w:val="00540633"/>
    <w:rsid w:val="00540777"/>
    <w:rsid w:val="0054082B"/>
    <w:rsid w:val="005409BF"/>
    <w:rsid w:val="00540A54"/>
    <w:rsid w:val="00540A89"/>
    <w:rsid w:val="00540AC1"/>
    <w:rsid w:val="00540E3D"/>
    <w:rsid w:val="00540F1E"/>
    <w:rsid w:val="005410B9"/>
    <w:rsid w:val="00541152"/>
    <w:rsid w:val="0054122B"/>
    <w:rsid w:val="00541285"/>
    <w:rsid w:val="00541336"/>
    <w:rsid w:val="0054144B"/>
    <w:rsid w:val="00541471"/>
    <w:rsid w:val="005417C0"/>
    <w:rsid w:val="00541949"/>
    <w:rsid w:val="005419BA"/>
    <w:rsid w:val="00541A21"/>
    <w:rsid w:val="00541B1B"/>
    <w:rsid w:val="00541BEB"/>
    <w:rsid w:val="00541C01"/>
    <w:rsid w:val="00541C04"/>
    <w:rsid w:val="00541C24"/>
    <w:rsid w:val="00541C82"/>
    <w:rsid w:val="00541DE9"/>
    <w:rsid w:val="005420A0"/>
    <w:rsid w:val="00542137"/>
    <w:rsid w:val="00542193"/>
    <w:rsid w:val="0054244A"/>
    <w:rsid w:val="0054244B"/>
    <w:rsid w:val="0054247F"/>
    <w:rsid w:val="0054263A"/>
    <w:rsid w:val="00542699"/>
    <w:rsid w:val="00542708"/>
    <w:rsid w:val="005427A6"/>
    <w:rsid w:val="00542860"/>
    <w:rsid w:val="005429A1"/>
    <w:rsid w:val="00542A43"/>
    <w:rsid w:val="00542AAB"/>
    <w:rsid w:val="00542B38"/>
    <w:rsid w:val="00542BA4"/>
    <w:rsid w:val="00542C59"/>
    <w:rsid w:val="00542D67"/>
    <w:rsid w:val="00542D79"/>
    <w:rsid w:val="00542E48"/>
    <w:rsid w:val="00542EC2"/>
    <w:rsid w:val="00543101"/>
    <w:rsid w:val="00543134"/>
    <w:rsid w:val="0054317E"/>
    <w:rsid w:val="00543284"/>
    <w:rsid w:val="0054339E"/>
    <w:rsid w:val="0054360C"/>
    <w:rsid w:val="00543932"/>
    <w:rsid w:val="0054395D"/>
    <w:rsid w:val="00543A28"/>
    <w:rsid w:val="00543C81"/>
    <w:rsid w:val="00543D29"/>
    <w:rsid w:val="00543D3D"/>
    <w:rsid w:val="00543F1A"/>
    <w:rsid w:val="00543FD8"/>
    <w:rsid w:val="00543FF1"/>
    <w:rsid w:val="005440FE"/>
    <w:rsid w:val="005441DB"/>
    <w:rsid w:val="00544261"/>
    <w:rsid w:val="00544284"/>
    <w:rsid w:val="005442AA"/>
    <w:rsid w:val="005443AD"/>
    <w:rsid w:val="00544692"/>
    <w:rsid w:val="005447C4"/>
    <w:rsid w:val="00544895"/>
    <w:rsid w:val="00544BC0"/>
    <w:rsid w:val="00544CCD"/>
    <w:rsid w:val="00544E5E"/>
    <w:rsid w:val="00544E8C"/>
    <w:rsid w:val="0054549C"/>
    <w:rsid w:val="005456D8"/>
    <w:rsid w:val="005457F5"/>
    <w:rsid w:val="005459C1"/>
    <w:rsid w:val="005459E3"/>
    <w:rsid w:val="00545AAC"/>
    <w:rsid w:val="00545DD7"/>
    <w:rsid w:val="0054612D"/>
    <w:rsid w:val="00546312"/>
    <w:rsid w:val="005467D9"/>
    <w:rsid w:val="005467DB"/>
    <w:rsid w:val="005468CE"/>
    <w:rsid w:val="00546CDB"/>
    <w:rsid w:val="00546DD0"/>
    <w:rsid w:val="00546DE6"/>
    <w:rsid w:val="00546EC0"/>
    <w:rsid w:val="00546F27"/>
    <w:rsid w:val="00547074"/>
    <w:rsid w:val="005470CF"/>
    <w:rsid w:val="005471B8"/>
    <w:rsid w:val="0054742D"/>
    <w:rsid w:val="00547432"/>
    <w:rsid w:val="00547624"/>
    <w:rsid w:val="0054762C"/>
    <w:rsid w:val="0054765D"/>
    <w:rsid w:val="005476C0"/>
    <w:rsid w:val="00547770"/>
    <w:rsid w:val="005479FF"/>
    <w:rsid w:val="00547A01"/>
    <w:rsid w:val="00547B7C"/>
    <w:rsid w:val="00547BBB"/>
    <w:rsid w:val="0055002E"/>
    <w:rsid w:val="00550052"/>
    <w:rsid w:val="00550174"/>
    <w:rsid w:val="0055035D"/>
    <w:rsid w:val="005505DA"/>
    <w:rsid w:val="005506F3"/>
    <w:rsid w:val="005506F8"/>
    <w:rsid w:val="005507FF"/>
    <w:rsid w:val="00550999"/>
    <w:rsid w:val="00550B7E"/>
    <w:rsid w:val="00550BDF"/>
    <w:rsid w:val="00550D89"/>
    <w:rsid w:val="00550EF5"/>
    <w:rsid w:val="00551003"/>
    <w:rsid w:val="0055174E"/>
    <w:rsid w:val="00551A4A"/>
    <w:rsid w:val="00551AEC"/>
    <w:rsid w:val="00551B6F"/>
    <w:rsid w:val="00551D69"/>
    <w:rsid w:val="00551DC0"/>
    <w:rsid w:val="00551E09"/>
    <w:rsid w:val="00551E1D"/>
    <w:rsid w:val="00551E3E"/>
    <w:rsid w:val="00551ECE"/>
    <w:rsid w:val="00551F28"/>
    <w:rsid w:val="0055201B"/>
    <w:rsid w:val="00552096"/>
    <w:rsid w:val="005520C3"/>
    <w:rsid w:val="005521FF"/>
    <w:rsid w:val="00552436"/>
    <w:rsid w:val="005525C1"/>
    <w:rsid w:val="005525CF"/>
    <w:rsid w:val="00552684"/>
    <w:rsid w:val="005526EC"/>
    <w:rsid w:val="00552782"/>
    <w:rsid w:val="0055288D"/>
    <w:rsid w:val="005529C0"/>
    <w:rsid w:val="00552A25"/>
    <w:rsid w:val="00552B73"/>
    <w:rsid w:val="00552C15"/>
    <w:rsid w:val="00552C8C"/>
    <w:rsid w:val="00552CAB"/>
    <w:rsid w:val="00552DF5"/>
    <w:rsid w:val="00552EF2"/>
    <w:rsid w:val="00553110"/>
    <w:rsid w:val="0055318B"/>
    <w:rsid w:val="0055319E"/>
    <w:rsid w:val="00553219"/>
    <w:rsid w:val="0055328E"/>
    <w:rsid w:val="00553483"/>
    <w:rsid w:val="0055360E"/>
    <w:rsid w:val="0055373A"/>
    <w:rsid w:val="005538F6"/>
    <w:rsid w:val="00553CC7"/>
    <w:rsid w:val="00553D43"/>
    <w:rsid w:val="00553E1F"/>
    <w:rsid w:val="00553F0A"/>
    <w:rsid w:val="005541BD"/>
    <w:rsid w:val="00554426"/>
    <w:rsid w:val="00554454"/>
    <w:rsid w:val="0055452F"/>
    <w:rsid w:val="005545B6"/>
    <w:rsid w:val="005545FE"/>
    <w:rsid w:val="005546A6"/>
    <w:rsid w:val="00554707"/>
    <w:rsid w:val="005548BD"/>
    <w:rsid w:val="0055493C"/>
    <w:rsid w:val="0055499B"/>
    <w:rsid w:val="005549E9"/>
    <w:rsid w:val="00554A28"/>
    <w:rsid w:val="00554BCC"/>
    <w:rsid w:val="00554BE6"/>
    <w:rsid w:val="00554C85"/>
    <w:rsid w:val="00554CA5"/>
    <w:rsid w:val="00554CA6"/>
    <w:rsid w:val="00554DB1"/>
    <w:rsid w:val="00554F53"/>
    <w:rsid w:val="005551B3"/>
    <w:rsid w:val="005554A5"/>
    <w:rsid w:val="005554AD"/>
    <w:rsid w:val="005556CB"/>
    <w:rsid w:val="00555787"/>
    <w:rsid w:val="005557E1"/>
    <w:rsid w:val="0055583C"/>
    <w:rsid w:val="0055586C"/>
    <w:rsid w:val="00555A08"/>
    <w:rsid w:val="00555B4F"/>
    <w:rsid w:val="00555C8F"/>
    <w:rsid w:val="00555DBC"/>
    <w:rsid w:val="00555DF8"/>
    <w:rsid w:val="00555F62"/>
    <w:rsid w:val="00556049"/>
    <w:rsid w:val="00556066"/>
    <w:rsid w:val="00556177"/>
    <w:rsid w:val="00556194"/>
    <w:rsid w:val="00556378"/>
    <w:rsid w:val="005563BB"/>
    <w:rsid w:val="005563FD"/>
    <w:rsid w:val="0055652F"/>
    <w:rsid w:val="005565BF"/>
    <w:rsid w:val="0055660B"/>
    <w:rsid w:val="00556649"/>
    <w:rsid w:val="005566D1"/>
    <w:rsid w:val="005567A9"/>
    <w:rsid w:val="005567ED"/>
    <w:rsid w:val="0055692C"/>
    <w:rsid w:val="00556B22"/>
    <w:rsid w:val="00556C1B"/>
    <w:rsid w:val="00556DA5"/>
    <w:rsid w:val="00556FC9"/>
    <w:rsid w:val="00557253"/>
    <w:rsid w:val="005573C2"/>
    <w:rsid w:val="005576E9"/>
    <w:rsid w:val="005578DB"/>
    <w:rsid w:val="00557AA5"/>
    <w:rsid w:val="00557ABE"/>
    <w:rsid w:val="00557AC7"/>
    <w:rsid w:val="00557DC4"/>
    <w:rsid w:val="00557ECF"/>
    <w:rsid w:val="005600DE"/>
    <w:rsid w:val="00560525"/>
    <w:rsid w:val="005606FD"/>
    <w:rsid w:val="005608F8"/>
    <w:rsid w:val="00560A51"/>
    <w:rsid w:val="00560A72"/>
    <w:rsid w:val="00560C94"/>
    <w:rsid w:val="00560D1B"/>
    <w:rsid w:val="00560E30"/>
    <w:rsid w:val="00560E63"/>
    <w:rsid w:val="00560F18"/>
    <w:rsid w:val="00561091"/>
    <w:rsid w:val="00561183"/>
    <w:rsid w:val="00561213"/>
    <w:rsid w:val="00561563"/>
    <w:rsid w:val="005616A2"/>
    <w:rsid w:val="0056175B"/>
    <w:rsid w:val="00561769"/>
    <w:rsid w:val="00561779"/>
    <w:rsid w:val="00561833"/>
    <w:rsid w:val="00561AC7"/>
    <w:rsid w:val="00561BE2"/>
    <w:rsid w:val="00561C1D"/>
    <w:rsid w:val="005621A1"/>
    <w:rsid w:val="005621C9"/>
    <w:rsid w:val="0056227E"/>
    <w:rsid w:val="0056230A"/>
    <w:rsid w:val="0056236D"/>
    <w:rsid w:val="005625F9"/>
    <w:rsid w:val="0056286A"/>
    <w:rsid w:val="00562AEC"/>
    <w:rsid w:val="00562C07"/>
    <w:rsid w:val="00562C3C"/>
    <w:rsid w:val="00562C72"/>
    <w:rsid w:val="00562D86"/>
    <w:rsid w:val="00562EBE"/>
    <w:rsid w:val="00562F9D"/>
    <w:rsid w:val="0056306F"/>
    <w:rsid w:val="00563226"/>
    <w:rsid w:val="00563664"/>
    <w:rsid w:val="0056393D"/>
    <w:rsid w:val="00563A31"/>
    <w:rsid w:val="00563ABC"/>
    <w:rsid w:val="00563AD3"/>
    <w:rsid w:val="00563B06"/>
    <w:rsid w:val="00563D62"/>
    <w:rsid w:val="00563E0B"/>
    <w:rsid w:val="00563E4F"/>
    <w:rsid w:val="0056409F"/>
    <w:rsid w:val="0056447D"/>
    <w:rsid w:val="00564730"/>
    <w:rsid w:val="00564766"/>
    <w:rsid w:val="00564792"/>
    <w:rsid w:val="005648B2"/>
    <w:rsid w:val="005648EF"/>
    <w:rsid w:val="0056495E"/>
    <w:rsid w:val="00564989"/>
    <w:rsid w:val="00564AC3"/>
    <w:rsid w:val="00564DDF"/>
    <w:rsid w:val="00564F17"/>
    <w:rsid w:val="00565020"/>
    <w:rsid w:val="00565025"/>
    <w:rsid w:val="00565051"/>
    <w:rsid w:val="005650EA"/>
    <w:rsid w:val="005651A0"/>
    <w:rsid w:val="0056525B"/>
    <w:rsid w:val="005652EE"/>
    <w:rsid w:val="0056535C"/>
    <w:rsid w:val="005653DE"/>
    <w:rsid w:val="00565406"/>
    <w:rsid w:val="00565416"/>
    <w:rsid w:val="00565520"/>
    <w:rsid w:val="005656B5"/>
    <w:rsid w:val="005657A3"/>
    <w:rsid w:val="0056584C"/>
    <w:rsid w:val="0056586C"/>
    <w:rsid w:val="005658E0"/>
    <w:rsid w:val="00565984"/>
    <w:rsid w:val="005659C5"/>
    <w:rsid w:val="00565CE3"/>
    <w:rsid w:val="00565E8C"/>
    <w:rsid w:val="00565FC0"/>
    <w:rsid w:val="005661FB"/>
    <w:rsid w:val="00566417"/>
    <w:rsid w:val="00566514"/>
    <w:rsid w:val="00566521"/>
    <w:rsid w:val="00566534"/>
    <w:rsid w:val="00566656"/>
    <w:rsid w:val="005667BA"/>
    <w:rsid w:val="005667BF"/>
    <w:rsid w:val="00566828"/>
    <w:rsid w:val="005669EF"/>
    <w:rsid w:val="00566A74"/>
    <w:rsid w:val="00566C73"/>
    <w:rsid w:val="00566DA9"/>
    <w:rsid w:val="00566DE1"/>
    <w:rsid w:val="00566DED"/>
    <w:rsid w:val="005672E7"/>
    <w:rsid w:val="005673A2"/>
    <w:rsid w:val="00567438"/>
    <w:rsid w:val="005674DB"/>
    <w:rsid w:val="005677FA"/>
    <w:rsid w:val="00567809"/>
    <w:rsid w:val="00567A22"/>
    <w:rsid w:val="00567A35"/>
    <w:rsid w:val="00567BB2"/>
    <w:rsid w:val="00567BF6"/>
    <w:rsid w:val="00567C9E"/>
    <w:rsid w:val="00567E69"/>
    <w:rsid w:val="00567E6B"/>
    <w:rsid w:val="00567EE3"/>
    <w:rsid w:val="0057001E"/>
    <w:rsid w:val="005700AB"/>
    <w:rsid w:val="005700C4"/>
    <w:rsid w:val="0057017E"/>
    <w:rsid w:val="00570350"/>
    <w:rsid w:val="00570426"/>
    <w:rsid w:val="00570519"/>
    <w:rsid w:val="00570633"/>
    <w:rsid w:val="005706E0"/>
    <w:rsid w:val="00570728"/>
    <w:rsid w:val="00570752"/>
    <w:rsid w:val="00570B0B"/>
    <w:rsid w:val="00570B19"/>
    <w:rsid w:val="00570B58"/>
    <w:rsid w:val="00570E0D"/>
    <w:rsid w:val="00570E1B"/>
    <w:rsid w:val="00570F6C"/>
    <w:rsid w:val="0057115E"/>
    <w:rsid w:val="005711E7"/>
    <w:rsid w:val="00571335"/>
    <w:rsid w:val="005713A4"/>
    <w:rsid w:val="005713AF"/>
    <w:rsid w:val="005714DB"/>
    <w:rsid w:val="00571898"/>
    <w:rsid w:val="0057189B"/>
    <w:rsid w:val="00571A58"/>
    <w:rsid w:val="00571AA9"/>
    <w:rsid w:val="00571BF4"/>
    <w:rsid w:val="00571EDC"/>
    <w:rsid w:val="00571EFF"/>
    <w:rsid w:val="00572027"/>
    <w:rsid w:val="00572134"/>
    <w:rsid w:val="005723FF"/>
    <w:rsid w:val="00572652"/>
    <w:rsid w:val="0057268F"/>
    <w:rsid w:val="00572705"/>
    <w:rsid w:val="00572711"/>
    <w:rsid w:val="005728D3"/>
    <w:rsid w:val="00572920"/>
    <w:rsid w:val="005729A5"/>
    <w:rsid w:val="005729DC"/>
    <w:rsid w:val="005729F7"/>
    <w:rsid w:val="00572A60"/>
    <w:rsid w:val="00572B8E"/>
    <w:rsid w:val="00572F14"/>
    <w:rsid w:val="00572FD8"/>
    <w:rsid w:val="00573004"/>
    <w:rsid w:val="00573008"/>
    <w:rsid w:val="00573236"/>
    <w:rsid w:val="00573281"/>
    <w:rsid w:val="0057339E"/>
    <w:rsid w:val="005733EB"/>
    <w:rsid w:val="005734FA"/>
    <w:rsid w:val="00573513"/>
    <w:rsid w:val="00573614"/>
    <w:rsid w:val="0057361E"/>
    <w:rsid w:val="005738F8"/>
    <w:rsid w:val="00573931"/>
    <w:rsid w:val="0057397A"/>
    <w:rsid w:val="00573991"/>
    <w:rsid w:val="005739E6"/>
    <w:rsid w:val="00573C4A"/>
    <w:rsid w:val="00573C96"/>
    <w:rsid w:val="00573CF9"/>
    <w:rsid w:val="00573D8C"/>
    <w:rsid w:val="00573E0D"/>
    <w:rsid w:val="00573E29"/>
    <w:rsid w:val="00573FBA"/>
    <w:rsid w:val="005740EC"/>
    <w:rsid w:val="0057429A"/>
    <w:rsid w:val="005742F2"/>
    <w:rsid w:val="00574324"/>
    <w:rsid w:val="00574392"/>
    <w:rsid w:val="005744EB"/>
    <w:rsid w:val="0057479B"/>
    <w:rsid w:val="005748BB"/>
    <w:rsid w:val="005748F7"/>
    <w:rsid w:val="00574A84"/>
    <w:rsid w:val="00574B55"/>
    <w:rsid w:val="00574B71"/>
    <w:rsid w:val="00574C4E"/>
    <w:rsid w:val="00574E3E"/>
    <w:rsid w:val="00574E47"/>
    <w:rsid w:val="00574EDB"/>
    <w:rsid w:val="005752A2"/>
    <w:rsid w:val="0057534C"/>
    <w:rsid w:val="005753CF"/>
    <w:rsid w:val="0057541F"/>
    <w:rsid w:val="0057543A"/>
    <w:rsid w:val="00575451"/>
    <w:rsid w:val="00575691"/>
    <w:rsid w:val="005756CD"/>
    <w:rsid w:val="00575736"/>
    <w:rsid w:val="005758B3"/>
    <w:rsid w:val="00575A46"/>
    <w:rsid w:val="00575C19"/>
    <w:rsid w:val="00575C2C"/>
    <w:rsid w:val="00575C96"/>
    <w:rsid w:val="00575FAB"/>
    <w:rsid w:val="005760A4"/>
    <w:rsid w:val="0057618A"/>
    <w:rsid w:val="00576217"/>
    <w:rsid w:val="005764DB"/>
    <w:rsid w:val="00576628"/>
    <w:rsid w:val="005766CA"/>
    <w:rsid w:val="005766FC"/>
    <w:rsid w:val="005767B5"/>
    <w:rsid w:val="00576906"/>
    <w:rsid w:val="00576AE4"/>
    <w:rsid w:val="00576B0D"/>
    <w:rsid w:val="00576EEE"/>
    <w:rsid w:val="00576F6D"/>
    <w:rsid w:val="00577423"/>
    <w:rsid w:val="0057757F"/>
    <w:rsid w:val="00577615"/>
    <w:rsid w:val="0057769E"/>
    <w:rsid w:val="005776C3"/>
    <w:rsid w:val="00577842"/>
    <w:rsid w:val="005778FA"/>
    <w:rsid w:val="00577B19"/>
    <w:rsid w:val="00577DC4"/>
    <w:rsid w:val="005800C6"/>
    <w:rsid w:val="0058014C"/>
    <w:rsid w:val="005801B2"/>
    <w:rsid w:val="005801BB"/>
    <w:rsid w:val="0058025D"/>
    <w:rsid w:val="00580465"/>
    <w:rsid w:val="00580488"/>
    <w:rsid w:val="005804A4"/>
    <w:rsid w:val="005806AA"/>
    <w:rsid w:val="00580796"/>
    <w:rsid w:val="005807C9"/>
    <w:rsid w:val="00580815"/>
    <w:rsid w:val="00580855"/>
    <w:rsid w:val="0058093C"/>
    <w:rsid w:val="00580C20"/>
    <w:rsid w:val="00580D16"/>
    <w:rsid w:val="00580DA9"/>
    <w:rsid w:val="00580F03"/>
    <w:rsid w:val="005810D5"/>
    <w:rsid w:val="005811E3"/>
    <w:rsid w:val="005815F2"/>
    <w:rsid w:val="005818A2"/>
    <w:rsid w:val="005818FB"/>
    <w:rsid w:val="00581ABA"/>
    <w:rsid w:val="00581B7B"/>
    <w:rsid w:val="00581CF8"/>
    <w:rsid w:val="00581D68"/>
    <w:rsid w:val="00582098"/>
    <w:rsid w:val="00582276"/>
    <w:rsid w:val="005822E3"/>
    <w:rsid w:val="005823C2"/>
    <w:rsid w:val="0058248D"/>
    <w:rsid w:val="005824D9"/>
    <w:rsid w:val="005824FD"/>
    <w:rsid w:val="00582547"/>
    <w:rsid w:val="00582663"/>
    <w:rsid w:val="005827A1"/>
    <w:rsid w:val="00582A64"/>
    <w:rsid w:val="00582B13"/>
    <w:rsid w:val="00582B88"/>
    <w:rsid w:val="00582B9C"/>
    <w:rsid w:val="00582D87"/>
    <w:rsid w:val="00582DEA"/>
    <w:rsid w:val="00582E64"/>
    <w:rsid w:val="00582F8E"/>
    <w:rsid w:val="00582FEA"/>
    <w:rsid w:val="005832BE"/>
    <w:rsid w:val="0058330A"/>
    <w:rsid w:val="0058346E"/>
    <w:rsid w:val="005834FF"/>
    <w:rsid w:val="00583600"/>
    <w:rsid w:val="0058370C"/>
    <w:rsid w:val="00583737"/>
    <w:rsid w:val="005837F7"/>
    <w:rsid w:val="0058384F"/>
    <w:rsid w:val="00583891"/>
    <w:rsid w:val="00583A0D"/>
    <w:rsid w:val="00583A3F"/>
    <w:rsid w:val="00583AD0"/>
    <w:rsid w:val="005840B8"/>
    <w:rsid w:val="00584268"/>
    <w:rsid w:val="00584447"/>
    <w:rsid w:val="0058448E"/>
    <w:rsid w:val="005844AA"/>
    <w:rsid w:val="00584684"/>
    <w:rsid w:val="00584726"/>
    <w:rsid w:val="00584729"/>
    <w:rsid w:val="00584B46"/>
    <w:rsid w:val="00584B70"/>
    <w:rsid w:val="00585168"/>
    <w:rsid w:val="0058517C"/>
    <w:rsid w:val="005851DA"/>
    <w:rsid w:val="0058551A"/>
    <w:rsid w:val="00585617"/>
    <w:rsid w:val="00585659"/>
    <w:rsid w:val="0058597C"/>
    <w:rsid w:val="00585AB8"/>
    <w:rsid w:val="00585B69"/>
    <w:rsid w:val="00585C4F"/>
    <w:rsid w:val="00585CD2"/>
    <w:rsid w:val="00585E11"/>
    <w:rsid w:val="00585F4B"/>
    <w:rsid w:val="00586068"/>
    <w:rsid w:val="005860CF"/>
    <w:rsid w:val="005860E2"/>
    <w:rsid w:val="00586183"/>
    <w:rsid w:val="0058636A"/>
    <w:rsid w:val="00586408"/>
    <w:rsid w:val="0058644A"/>
    <w:rsid w:val="00586488"/>
    <w:rsid w:val="005865AA"/>
    <w:rsid w:val="00586802"/>
    <w:rsid w:val="00586AE8"/>
    <w:rsid w:val="005871F5"/>
    <w:rsid w:val="00587369"/>
    <w:rsid w:val="005873CE"/>
    <w:rsid w:val="00587598"/>
    <w:rsid w:val="0058762E"/>
    <w:rsid w:val="005876F4"/>
    <w:rsid w:val="0058777F"/>
    <w:rsid w:val="00587825"/>
    <w:rsid w:val="00587826"/>
    <w:rsid w:val="00587ADC"/>
    <w:rsid w:val="00587B37"/>
    <w:rsid w:val="00587E02"/>
    <w:rsid w:val="00587EDB"/>
    <w:rsid w:val="00587EE9"/>
    <w:rsid w:val="005900DB"/>
    <w:rsid w:val="005901BA"/>
    <w:rsid w:val="00590203"/>
    <w:rsid w:val="00590431"/>
    <w:rsid w:val="00590459"/>
    <w:rsid w:val="0059077C"/>
    <w:rsid w:val="005908C6"/>
    <w:rsid w:val="005909B0"/>
    <w:rsid w:val="00590D1A"/>
    <w:rsid w:val="00590ECB"/>
    <w:rsid w:val="00590EE7"/>
    <w:rsid w:val="00590FA0"/>
    <w:rsid w:val="0059104F"/>
    <w:rsid w:val="0059105A"/>
    <w:rsid w:val="005910EB"/>
    <w:rsid w:val="00591177"/>
    <w:rsid w:val="00591195"/>
    <w:rsid w:val="005912AE"/>
    <w:rsid w:val="005912DE"/>
    <w:rsid w:val="0059132D"/>
    <w:rsid w:val="005913ED"/>
    <w:rsid w:val="00591426"/>
    <w:rsid w:val="00591443"/>
    <w:rsid w:val="0059171A"/>
    <w:rsid w:val="00591751"/>
    <w:rsid w:val="005918F9"/>
    <w:rsid w:val="0059195E"/>
    <w:rsid w:val="005919CA"/>
    <w:rsid w:val="005919CE"/>
    <w:rsid w:val="00591C99"/>
    <w:rsid w:val="00591D95"/>
    <w:rsid w:val="00591DFF"/>
    <w:rsid w:val="00591E71"/>
    <w:rsid w:val="00592061"/>
    <w:rsid w:val="005923BA"/>
    <w:rsid w:val="005925A5"/>
    <w:rsid w:val="00592607"/>
    <w:rsid w:val="00592654"/>
    <w:rsid w:val="00592A00"/>
    <w:rsid w:val="00592B8B"/>
    <w:rsid w:val="00592D58"/>
    <w:rsid w:val="00592DE1"/>
    <w:rsid w:val="00592E40"/>
    <w:rsid w:val="00592ECD"/>
    <w:rsid w:val="00592F4D"/>
    <w:rsid w:val="00592F7B"/>
    <w:rsid w:val="0059310B"/>
    <w:rsid w:val="00593198"/>
    <w:rsid w:val="00593210"/>
    <w:rsid w:val="0059331E"/>
    <w:rsid w:val="0059341E"/>
    <w:rsid w:val="0059356D"/>
    <w:rsid w:val="005937AD"/>
    <w:rsid w:val="00593965"/>
    <w:rsid w:val="0059398A"/>
    <w:rsid w:val="00593A94"/>
    <w:rsid w:val="00593C8C"/>
    <w:rsid w:val="00593D2A"/>
    <w:rsid w:val="00593D8D"/>
    <w:rsid w:val="00593E63"/>
    <w:rsid w:val="00593F9E"/>
    <w:rsid w:val="005940E7"/>
    <w:rsid w:val="0059413D"/>
    <w:rsid w:val="0059416D"/>
    <w:rsid w:val="0059421B"/>
    <w:rsid w:val="00594339"/>
    <w:rsid w:val="005944A5"/>
    <w:rsid w:val="00594511"/>
    <w:rsid w:val="00594699"/>
    <w:rsid w:val="005948F2"/>
    <w:rsid w:val="0059491C"/>
    <w:rsid w:val="00594A5E"/>
    <w:rsid w:val="00594C88"/>
    <w:rsid w:val="00595481"/>
    <w:rsid w:val="00595588"/>
    <w:rsid w:val="005956BE"/>
    <w:rsid w:val="005956C7"/>
    <w:rsid w:val="0059574C"/>
    <w:rsid w:val="0059582F"/>
    <w:rsid w:val="005959DC"/>
    <w:rsid w:val="00595CB4"/>
    <w:rsid w:val="00595D17"/>
    <w:rsid w:val="00595E6B"/>
    <w:rsid w:val="00595F95"/>
    <w:rsid w:val="00596104"/>
    <w:rsid w:val="00596139"/>
    <w:rsid w:val="00596190"/>
    <w:rsid w:val="00596421"/>
    <w:rsid w:val="005964A9"/>
    <w:rsid w:val="00596535"/>
    <w:rsid w:val="00596670"/>
    <w:rsid w:val="005967F4"/>
    <w:rsid w:val="0059699A"/>
    <w:rsid w:val="005969F0"/>
    <w:rsid w:val="00596A19"/>
    <w:rsid w:val="00596AF3"/>
    <w:rsid w:val="00596BEC"/>
    <w:rsid w:val="00596E43"/>
    <w:rsid w:val="00596FD7"/>
    <w:rsid w:val="00597082"/>
    <w:rsid w:val="00597085"/>
    <w:rsid w:val="005970F0"/>
    <w:rsid w:val="0059727E"/>
    <w:rsid w:val="0059735D"/>
    <w:rsid w:val="0059742D"/>
    <w:rsid w:val="00597627"/>
    <w:rsid w:val="00597869"/>
    <w:rsid w:val="00597DB6"/>
    <w:rsid w:val="00597E54"/>
    <w:rsid w:val="00597E88"/>
    <w:rsid w:val="00597EBB"/>
    <w:rsid w:val="00597FCF"/>
    <w:rsid w:val="005A0053"/>
    <w:rsid w:val="005A015E"/>
    <w:rsid w:val="005A0380"/>
    <w:rsid w:val="005A06EE"/>
    <w:rsid w:val="005A0827"/>
    <w:rsid w:val="005A08CC"/>
    <w:rsid w:val="005A08D4"/>
    <w:rsid w:val="005A0CDD"/>
    <w:rsid w:val="005A0E53"/>
    <w:rsid w:val="005A0EAE"/>
    <w:rsid w:val="005A0EF0"/>
    <w:rsid w:val="005A0F8B"/>
    <w:rsid w:val="005A0FCB"/>
    <w:rsid w:val="005A109B"/>
    <w:rsid w:val="005A1157"/>
    <w:rsid w:val="005A12D9"/>
    <w:rsid w:val="005A12DC"/>
    <w:rsid w:val="005A13FA"/>
    <w:rsid w:val="005A1677"/>
    <w:rsid w:val="005A168F"/>
    <w:rsid w:val="005A16B3"/>
    <w:rsid w:val="005A1765"/>
    <w:rsid w:val="005A182C"/>
    <w:rsid w:val="005A1864"/>
    <w:rsid w:val="005A18B5"/>
    <w:rsid w:val="005A1A3F"/>
    <w:rsid w:val="005A1B14"/>
    <w:rsid w:val="005A1D2D"/>
    <w:rsid w:val="005A1DC8"/>
    <w:rsid w:val="005A20C8"/>
    <w:rsid w:val="005A2110"/>
    <w:rsid w:val="005A23E0"/>
    <w:rsid w:val="005A28BC"/>
    <w:rsid w:val="005A28F3"/>
    <w:rsid w:val="005A2A31"/>
    <w:rsid w:val="005A2B9B"/>
    <w:rsid w:val="005A2D66"/>
    <w:rsid w:val="005A2E8F"/>
    <w:rsid w:val="005A2EEE"/>
    <w:rsid w:val="005A31E2"/>
    <w:rsid w:val="005A32DA"/>
    <w:rsid w:val="005A3327"/>
    <w:rsid w:val="005A355F"/>
    <w:rsid w:val="005A35AE"/>
    <w:rsid w:val="005A36A4"/>
    <w:rsid w:val="005A3893"/>
    <w:rsid w:val="005A3A72"/>
    <w:rsid w:val="005A3BC7"/>
    <w:rsid w:val="005A3C22"/>
    <w:rsid w:val="005A3F68"/>
    <w:rsid w:val="005A407E"/>
    <w:rsid w:val="005A45E3"/>
    <w:rsid w:val="005A45ED"/>
    <w:rsid w:val="005A46A3"/>
    <w:rsid w:val="005A47DF"/>
    <w:rsid w:val="005A4816"/>
    <w:rsid w:val="005A4970"/>
    <w:rsid w:val="005A4A11"/>
    <w:rsid w:val="005A4EC5"/>
    <w:rsid w:val="005A4ED6"/>
    <w:rsid w:val="005A501B"/>
    <w:rsid w:val="005A5080"/>
    <w:rsid w:val="005A51A3"/>
    <w:rsid w:val="005A53DC"/>
    <w:rsid w:val="005A5468"/>
    <w:rsid w:val="005A55D7"/>
    <w:rsid w:val="005A57A7"/>
    <w:rsid w:val="005A5B52"/>
    <w:rsid w:val="005A5BCB"/>
    <w:rsid w:val="005A5EDA"/>
    <w:rsid w:val="005A5F0D"/>
    <w:rsid w:val="005A5F52"/>
    <w:rsid w:val="005A60D8"/>
    <w:rsid w:val="005A6108"/>
    <w:rsid w:val="005A611A"/>
    <w:rsid w:val="005A6231"/>
    <w:rsid w:val="005A6287"/>
    <w:rsid w:val="005A64EE"/>
    <w:rsid w:val="005A6536"/>
    <w:rsid w:val="005A65D0"/>
    <w:rsid w:val="005A66F9"/>
    <w:rsid w:val="005A6935"/>
    <w:rsid w:val="005A69D2"/>
    <w:rsid w:val="005A6A38"/>
    <w:rsid w:val="005A6A4A"/>
    <w:rsid w:val="005A6C8B"/>
    <w:rsid w:val="005A6DD1"/>
    <w:rsid w:val="005A6DD7"/>
    <w:rsid w:val="005A6E87"/>
    <w:rsid w:val="005A6E89"/>
    <w:rsid w:val="005A6EEC"/>
    <w:rsid w:val="005A6F4D"/>
    <w:rsid w:val="005A6FC9"/>
    <w:rsid w:val="005A73D1"/>
    <w:rsid w:val="005A7540"/>
    <w:rsid w:val="005A773A"/>
    <w:rsid w:val="005A7862"/>
    <w:rsid w:val="005A7926"/>
    <w:rsid w:val="005A7A5E"/>
    <w:rsid w:val="005A7C47"/>
    <w:rsid w:val="005A7CD3"/>
    <w:rsid w:val="005A7F5A"/>
    <w:rsid w:val="005B005B"/>
    <w:rsid w:val="005B01C9"/>
    <w:rsid w:val="005B0371"/>
    <w:rsid w:val="005B03BB"/>
    <w:rsid w:val="005B03D1"/>
    <w:rsid w:val="005B0443"/>
    <w:rsid w:val="005B0444"/>
    <w:rsid w:val="005B065D"/>
    <w:rsid w:val="005B0688"/>
    <w:rsid w:val="005B06A3"/>
    <w:rsid w:val="005B08B5"/>
    <w:rsid w:val="005B099A"/>
    <w:rsid w:val="005B0B3F"/>
    <w:rsid w:val="005B0B83"/>
    <w:rsid w:val="005B0B9E"/>
    <w:rsid w:val="005B0D61"/>
    <w:rsid w:val="005B0D6E"/>
    <w:rsid w:val="005B0E5E"/>
    <w:rsid w:val="005B0EC7"/>
    <w:rsid w:val="005B0EF2"/>
    <w:rsid w:val="005B0FD0"/>
    <w:rsid w:val="005B1082"/>
    <w:rsid w:val="005B12F6"/>
    <w:rsid w:val="005B1370"/>
    <w:rsid w:val="005B15D2"/>
    <w:rsid w:val="005B1798"/>
    <w:rsid w:val="005B1818"/>
    <w:rsid w:val="005B18B2"/>
    <w:rsid w:val="005B18CD"/>
    <w:rsid w:val="005B1A64"/>
    <w:rsid w:val="005B1C97"/>
    <w:rsid w:val="005B1DED"/>
    <w:rsid w:val="005B1FB7"/>
    <w:rsid w:val="005B2043"/>
    <w:rsid w:val="005B21A9"/>
    <w:rsid w:val="005B242A"/>
    <w:rsid w:val="005B26C6"/>
    <w:rsid w:val="005B27C7"/>
    <w:rsid w:val="005B2910"/>
    <w:rsid w:val="005B2AC9"/>
    <w:rsid w:val="005B2B4F"/>
    <w:rsid w:val="005B2C3F"/>
    <w:rsid w:val="005B2DC3"/>
    <w:rsid w:val="005B2E4A"/>
    <w:rsid w:val="005B2F93"/>
    <w:rsid w:val="005B3074"/>
    <w:rsid w:val="005B3322"/>
    <w:rsid w:val="005B3427"/>
    <w:rsid w:val="005B3517"/>
    <w:rsid w:val="005B35CC"/>
    <w:rsid w:val="005B3C86"/>
    <w:rsid w:val="005B3ED0"/>
    <w:rsid w:val="005B41BE"/>
    <w:rsid w:val="005B449C"/>
    <w:rsid w:val="005B4728"/>
    <w:rsid w:val="005B4743"/>
    <w:rsid w:val="005B4778"/>
    <w:rsid w:val="005B48C1"/>
    <w:rsid w:val="005B4A4F"/>
    <w:rsid w:val="005B4AE1"/>
    <w:rsid w:val="005B4B01"/>
    <w:rsid w:val="005B4B79"/>
    <w:rsid w:val="005B4C7C"/>
    <w:rsid w:val="005B4DF3"/>
    <w:rsid w:val="005B4E9C"/>
    <w:rsid w:val="005B4E9E"/>
    <w:rsid w:val="005B4F15"/>
    <w:rsid w:val="005B4F4B"/>
    <w:rsid w:val="005B4FC3"/>
    <w:rsid w:val="005B4FE3"/>
    <w:rsid w:val="005B5018"/>
    <w:rsid w:val="005B5179"/>
    <w:rsid w:val="005B5202"/>
    <w:rsid w:val="005B522E"/>
    <w:rsid w:val="005B526B"/>
    <w:rsid w:val="005B526C"/>
    <w:rsid w:val="005B5287"/>
    <w:rsid w:val="005B52A9"/>
    <w:rsid w:val="005B52CC"/>
    <w:rsid w:val="005B52E3"/>
    <w:rsid w:val="005B561A"/>
    <w:rsid w:val="005B57D0"/>
    <w:rsid w:val="005B586E"/>
    <w:rsid w:val="005B58CF"/>
    <w:rsid w:val="005B58F0"/>
    <w:rsid w:val="005B5947"/>
    <w:rsid w:val="005B59E5"/>
    <w:rsid w:val="005B5BE3"/>
    <w:rsid w:val="005B5C11"/>
    <w:rsid w:val="005B5D5E"/>
    <w:rsid w:val="005B5EE3"/>
    <w:rsid w:val="005B5FEC"/>
    <w:rsid w:val="005B600B"/>
    <w:rsid w:val="005B6387"/>
    <w:rsid w:val="005B655F"/>
    <w:rsid w:val="005B66AB"/>
    <w:rsid w:val="005B66B4"/>
    <w:rsid w:val="005B6753"/>
    <w:rsid w:val="005B6794"/>
    <w:rsid w:val="005B6957"/>
    <w:rsid w:val="005B6A1F"/>
    <w:rsid w:val="005B6ABA"/>
    <w:rsid w:val="005B6AC0"/>
    <w:rsid w:val="005B6BF4"/>
    <w:rsid w:val="005B6BFB"/>
    <w:rsid w:val="005B6C44"/>
    <w:rsid w:val="005B6C48"/>
    <w:rsid w:val="005B6CCA"/>
    <w:rsid w:val="005B6E79"/>
    <w:rsid w:val="005B6F79"/>
    <w:rsid w:val="005B7076"/>
    <w:rsid w:val="005B707A"/>
    <w:rsid w:val="005B7098"/>
    <w:rsid w:val="005B713E"/>
    <w:rsid w:val="005B7142"/>
    <w:rsid w:val="005B7212"/>
    <w:rsid w:val="005B7294"/>
    <w:rsid w:val="005B75F9"/>
    <w:rsid w:val="005B7858"/>
    <w:rsid w:val="005B787B"/>
    <w:rsid w:val="005B7962"/>
    <w:rsid w:val="005B7A1C"/>
    <w:rsid w:val="005B7A9C"/>
    <w:rsid w:val="005B7BFD"/>
    <w:rsid w:val="005B7CD8"/>
    <w:rsid w:val="005B7EB8"/>
    <w:rsid w:val="005B7FCD"/>
    <w:rsid w:val="005C029C"/>
    <w:rsid w:val="005C02DF"/>
    <w:rsid w:val="005C02F7"/>
    <w:rsid w:val="005C04F7"/>
    <w:rsid w:val="005C05AD"/>
    <w:rsid w:val="005C0604"/>
    <w:rsid w:val="005C06AA"/>
    <w:rsid w:val="005C07B2"/>
    <w:rsid w:val="005C0983"/>
    <w:rsid w:val="005C0D4C"/>
    <w:rsid w:val="005C0E3A"/>
    <w:rsid w:val="005C0E4C"/>
    <w:rsid w:val="005C106F"/>
    <w:rsid w:val="005C1213"/>
    <w:rsid w:val="005C1291"/>
    <w:rsid w:val="005C13E6"/>
    <w:rsid w:val="005C14C1"/>
    <w:rsid w:val="005C1521"/>
    <w:rsid w:val="005C155D"/>
    <w:rsid w:val="005C17C2"/>
    <w:rsid w:val="005C1868"/>
    <w:rsid w:val="005C1A2B"/>
    <w:rsid w:val="005C1AE5"/>
    <w:rsid w:val="005C1AF8"/>
    <w:rsid w:val="005C1C0C"/>
    <w:rsid w:val="005C1C4B"/>
    <w:rsid w:val="005C1F46"/>
    <w:rsid w:val="005C1FB6"/>
    <w:rsid w:val="005C20B5"/>
    <w:rsid w:val="005C20D8"/>
    <w:rsid w:val="005C21C7"/>
    <w:rsid w:val="005C2371"/>
    <w:rsid w:val="005C2585"/>
    <w:rsid w:val="005C2610"/>
    <w:rsid w:val="005C26F2"/>
    <w:rsid w:val="005C2902"/>
    <w:rsid w:val="005C297A"/>
    <w:rsid w:val="005C2A13"/>
    <w:rsid w:val="005C2BB5"/>
    <w:rsid w:val="005C2CFC"/>
    <w:rsid w:val="005C2D7A"/>
    <w:rsid w:val="005C2DD7"/>
    <w:rsid w:val="005C2E59"/>
    <w:rsid w:val="005C2FB5"/>
    <w:rsid w:val="005C3127"/>
    <w:rsid w:val="005C31EF"/>
    <w:rsid w:val="005C32D5"/>
    <w:rsid w:val="005C3590"/>
    <w:rsid w:val="005C3739"/>
    <w:rsid w:val="005C37B4"/>
    <w:rsid w:val="005C3805"/>
    <w:rsid w:val="005C3DC0"/>
    <w:rsid w:val="005C3DDF"/>
    <w:rsid w:val="005C412B"/>
    <w:rsid w:val="005C4364"/>
    <w:rsid w:val="005C43CA"/>
    <w:rsid w:val="005C4547"/>
    <w:rsid w:val="005C45B9"/>
    <w:rsid w:val="005C4647"/>
    <w:rsid w:val="005C4677"/>
    <w:rsid w:val="005C467B"/>
    <w:rsid w:val="005C46B8"/>
    <w:rsid w:val="005C46B9"/>
    <w:rsid w:val="005C4762"/>
    <w:rsid w:val="005C478E"/>
    <w:rsid w:val="005C4A4D"/>
    <w:rsid w:val="005C4A91"/>
    <w:rsid w:val="005C4AF5"/>
    <w:rsid w:val="005C4B22"/>
    <w:rsid w:val="005C5099"/>
    <w:rsid w:val="005C5102"/>
    <w:rsid w:val="005C5578"/>
    <w:rsid w:val="005C58B0"/>
    <w:rsid w:val="005C5938"/>
    <w:rsid w:val="005C5AE8"/>
    <w:rsid w:val="005C5B56"/>
    <w:rsid w:val="005C5BC4"/>
    <w:rsid w:val="005C5C07"/>
    <w:rsid w:val="005C5C92"/>
    <w:rsid w:val="005C5E73"/>
    <w:rsid w:val="005C5F1E"/>
    <w:rsid w:val="005C6078"/>
    <w:rsid w:val="005C617A"/>
    <w:rsid w:val="005C64F1"/>
    <w:rsid w:val="005C674B"/>
    <w:rsid w:val="005C67E8"/>
    <w:rsid w:val="005C686C"/>
    <w:rsid w:val="005C6931"/>
    <w:rsid w:val="005C6955"/>
    <w:rsid w:val="005C6B37"/>
    <w:rsid w:val="005C6BE5"/>
    <w:rsid w:val="005C6BEC"/>
    <w:rsid w:val="005C6C03"/>
    <w:rsid w:val="005C6D14"/>
    <w:rsid w:val="005C6DEE"/>
    <w:rsid w:val="005C6E25"/>
    <w:rsid w:val="005C70A1"/>
    <w:rsid w:val="005C723D"/>
    <w:rsid w:val="005C731A"/>
    <w:rsid w:val="005C73E2"/>
    <w:rsid w:val="005C75E4"/>
    <w:rsid w:val="005C772B"/>
    <w:rsid w:val="005C79FC"/>
    <w:rsid w:val="005C7AD8"/>
    <w:rsid w:val="005C7B28"/>
    <w:rsid w:val="005C7D32"/>
    <w:rsid w:val="005C7D9D"/>
    <w:rsid w:val="005C7DED"/>
    <w:rsid w:val="005C7E66"/>
    <w:rsid w:val="005C7F5E"/>
    <w:rsid w:val="005D0714"/>
    <w:rsid w:val="005D0898"/>
    <w:rsid w:val="005D09CE"/>
    <w:rsid w:val="005D09EA"/>
    <w:rsid w:val="005D0CA5"/>
    <w:rsid w:val="005D0CC2"/>
    <w:rsid w:val="005D0FB1"/>
    <w:rsid w:val="005D113D"/>
    <w:rsid w:val="005D13A4"/>
    <w:rsid w:val="005D16E6"/>
    <w:rsid w:val="005D1781"/>
    <w:rsid w:val="005D1810"/>
    <w:rsid w:val="005D193C"/>
    <w:rsid w:val="005D199E"/>
    <w:rsid w:val="005D1AEE"/>
    <w:rsid w:val="005D1B38"/>
    <w:rsid w:val="005D1B49"/>
    <w:rsid w:val="005D1C48"/>
    <w:rsid w:val="005D1D47"/>
    <w:rsid w:val="005D1D59"/>
    <w:rsid w:val="005D1D76"/>
    <w:rsid w:val="005D1F9F"/>
    <w:rsid w:val="005D20B1"/>
    <w:rsid w:val="005D2108"/>
    <w:rsid w:val="005D21D6"/>
    <w:rsid w:val="005D21D7"/>
    <w:rsid w:val="005D226D"/>
    <w:rsid w:val="005D2386"/>
    <w:rsid w:val="005D24C3"/>
    <w:rsid w:val="005D24F6"/>
    <w:rsid w:val="005D26D3"/>
    <w:rsid w:val="005D2705"/>
    <w:rsid w:val="005D2737"/>
    <w:rsid w:val="005D2839"/>
    <w:rsid w:val="005D2899"/>
    <w:rsid w:val="005D2B16"/>
    <w:rsid w:val="005D2B35"/>
    <w:rsid w:val="005D2BE8"/>
    <w:rsid w:val="005D2DA0"/>
    <w:rsid w:val="005D2E72"/>
    <w:rsid w:val="005D2EBF"/>
    <w:rsid w:val="005D2FA6"/>
    <w:rsid w:val="005D3238"/>
    <w:rsid w:val="005D3296"/>
    <w:rsid w:val="005D343E"/>
    <w:rsid w:val="005D3469"/>
    <w:rsid w:val="005D354D"/>
    <w:rsid w:val="005D35D5"/>
    <w:rsid w:val="005D37E4"/>
    <w:rsid w:val="005D38F6"/>
    <w:rsid w:val="005D3920"/>
    <w:rsid w:val="005D39A0"/>
    <w:rsid w:val="005D39FD"/>
    <w:rsid w:val="005D3AA5"/>
    <w:rsid w:val="005D3C2A"/>
    <w:rsid w:val="005D3DE2"/>
    <w:rsid w:val="005D3E72"/>
    <w:rsid w:val="005D3E95"/>
    <w:rsid w:val="005D3F8E"/>
    <w:rsid w:val="005D3FA6"/>
    <w:rsid w:val="005D41A7"/>
    <w:rsid w:val="005D41D8"/>
    <w:rsid w:val="005D42C0"/>
    <w:rsid w:val="005D4317"/>
    <w:rsid w:val="005D4565"/>
    <w:rsid w:val="005D463E"/>
    <w:rsid w:val="005D4772"/>
    <w:rsid w:val="005D480E"/>
    <w:rsid w:val="005D48CA"/>
    <w:rsid w:val="005D4A50"/>
    <w:rsid w:val="005D4AA8"/>
    <w:rsid w:val="005D4BDA"/>
    <w:rsid w:val="005D4D8E"/>
    <w:rsid w:val="005D4E7E"/>
    <w:rsid w:val="005D4FDE"/>
    <w:rsid w:val="005D5101"/>
    <w:rsid w:val="005D5259"/>
    <w:rsid w:val="005D53A5"/>
    <w:rsid w:val="005D54F3"/>
    <w:rsid w:val="005D5679"/>
    <w:rsid w:val="005D57BA"/>
    <w:rsid w:val="005D5935"/>
    <w:rsid w:val="005D5990"/>
    <w:rsid w:val="005D59BB"/>
    <w:rsid w:val="005D5F89"/>
    <w:rsid w:val="005D5FA1"/>
    <w:rsid w:val="005D5FFF"/>
    <w:rsid w:val="005D609F"/>
    <w:rsid w:val="005D60A7"/>
    <w:rsid w:val="005D6217"/>
    <w:rsid w:val="005D6676"/>
    <w:rsid w:val="005D6836"/>
    <w:rsid w:val="005D6862"/>
    <w:rsid w:val="005D6A3A"/>
    <w:rsid w:val="005D6A96"/>
    <w:rsid w:val="005D6B7A"/>
    <w:rsid w:val="005D6B8F"/>
    <w:rsid w:val="005D6C5D"/>
    <w:rsid w:val="005D6FA6"/>
    <w:rsid w:val="005D73BD"/>
    <w:rsid w:val="005D745B"/>
    <w:rsid w:val="005D7552"/>
    <w:rsid w:val="005D75CA"/>
    <w:rsid w:val="005D75D3"/>
    <w:rsid w:val="005D7757"/>
    <w:rsid w:val="005D77D0"/>
    <w:rsid w:val="005D7983"/>
    <w:rsid w:val="005D7B21"/>
    <w:rsid w:val="005D7BD8"/>
    <w:rsid w:val="005D7C96"/>
    <w:rsid w:val="005D7CB3"/>
    <w:rsid w:val="005D7E13"/>
    <w:rsid w:val="005D7E6C"/>
    <w:rsid w:val="005E01BF"/>
    <w:rsid w:val="005E01E8"/>
    <w:rsid w:val="005E0439"/>
    <w:rsid w:val="005E0488"/>
    <w:rsid w:val="005E04C2"/>
    <w:rsid w:val="005E0855"/>
    <w:rsid w:val="005E0A84"/>
    <w:rsid w:val="005E0CEC"/>
    <w:rsid w:val="005E0D34"/>
    <w:rsid w:val="005E0D53"/>
    <w:rsid w:val="005E0DB5"/>
    <w:rsid w:val="005E0EE2"/>
    <w:rsid w:val="005E1273"/>
    <w:rsid w:val="005E12A8"/>
    <w:rsid w:val="005E12BA"/>
    <w:rsid w:val="005E138A"/>
    <w:rsid w:val="005E15FC"/>
    <w:rsid w:val="005E1671"/>
    <w:rsid w:val="005E16F1"/>
    <w:rsid w:val="005E1887"/>
    <w:rsid w:val="005E1939"/>
    <w:rsid w:val="005E1B11"/>
    <w:rsid w:val="005E1C2D"/>
    <w:rsid w:val="005E1C4C"/>
    <w:rsid w:val="005E1E24"/>
    <w:rsid w:val="005E2007"/>
    <w:rsid w:val="005E20BD"/>
    <w:rsid w:val="005E2437"/>
    <w:rsid w:val="005E244F"/>
    <w:rsid w:val="005E247A"/>
    <w:rsid w:val="005E2694"/>
    <w:rsid w:val="005E273F"/>
    <w:rsid w:val="005E2789"/>
    <w:rsid w:val="005E29A0"/>
    <w:rsid w:val="005E29FF"/>
    <w:rsid w:val="005E2AC7"/>
    <w:rsid w:val="005E2DCB"/>
    <w:rsid w:val="005E2EA1"/>
    <w:rsid w:val="005E2F67"/>
    <w:rsid w:val="005E309B"/>
    <w:rsid w:val="005E323C"/>
    <w:rsid w:val="005E351A"/>
    <w:rsid w:val="005E379F"/>
    <w:rsid w:val="005E3843"/>
    <w:rsid w:val="005E38C8"/>
    <w:rsid w:val="005E3911"/>
    <w:rsid w:val="005E3A20"/>
    <w:rsid w:val="005E3A4A"/>
    <w:rsid w:val="005E3AE5"/>
    <w:rsid w:val="005E3B31"/>
    <w:rsid w:val="005E3F81"/>
    <w:rsid w:val="005E4032"/>
    <w:rsid w:val="005E404E"/>
    <w:rsid w:val="005E4183"/>
    <w:rsid w:val="005E4208"/>
    <w:rsid w:val="005E47DC"/>
    <w:rsid w:val="005E48B4"/>
    <w:rsid w:val="005E4AAE"/>
    <w:rsid w:val="005E4D53"/>
    <w:rsid w:val="005E4D55"/>
    <w:rsid w:val="005E5001"/>
    <w:rsid w:val="005E5164"/>
    <w:rsid w:val="005E51DB"/>
    <w:rsid w:val="005E5241"/>
    <w:rsid w:val="005E5516"/>
    <w:rsid w:val="005E55D8"/>
    <w:rsid w:val="005E5782"/>
    <w:rsid w:val="005E57E2"/>
    <w:rsid w:val="005E5879"/>
    <w:rsid w:val="005E5AC4"/>
    <w:rsid w:val="005E5B0A"/>
    <w:rsid w:val="005E5B8E"/>
    <w:rsid w:val="005E5D00"/>
    <w:rsid w:val="005E5DB9"/>
    <w:rsid w:val="005E5EE5"/>
    <w:rsid w:val="005E5FFF"/>
    <w:rsid w:val="005E6096"/>
    <w:rsid w:val="005E6327"/>
    <w:rsid w:val="005E63D9"/>
    <w:rsid w:val="005E64DE"/>
    <w:rsid w:val="005E6754"/>
    <w:rsid w:val="005E688A"/>
    <w:rsid w:val="005E6965"/>
    <w:rsid w:val="005E6AA5"/>
    <w:rsid w:val="005E6D80"/>
    <w:rsid w:val="005E6F93"/>
    <w:rsid w:val="005E702D"/>
    <w:rsid w:val="005E706C"/>
    <w:rsid w:val="005E73F7"/>
    <w:rsid w:val="005E7476"/>
    <w:rsid w:val="005E7572"/>
    <w:rsid w:val="005E75DE"/>
    <w:rsid w:val="005E7692"/>
    <w:rsid w:val="005E76E5"/>
    <w:rsid w:val="005E790B"/>
    <w:rsid w:val="005E7A3B"/>
    <w:rsid w:val="005E7A83"/>
    <w:rsid w:val="005E7BED"/>
    <w:rsid w:val="005E7DA0"/>
    <w:rsid w:val="005E7E33"/>
    <w:rsid w:val="005E7EC8"/>
    <w:rsid w:val="005E7F15"/>
    <w:rsid w:val="005E7F42"/>
    <w:rsid w:val="005E7F9D"/>
    <w:rsid w:val="005F0081"/>
    <w:rsid w:val="005F0125"/>
    <w:rsid w:val="005F0130"/>
    <w:rsid w:val="005F01CA"/>
    <w:rsid w:val="005F0356"/>
    <w:rsid w:val="005F03E1"/>
    <w:rsid w:val="005F04EC"/>
    <w:rsid w:val="005F052D"/>
    <w:rsid w:val="005F05DB"/>
    <w:rsid w:val="005F08AE"/>
    <w:rsid w:val="005F09D7"/>
    <w:rsid w:val="005F0D71"/>
    <w:rsid w:val="005F0F20"/>
    <w:rsid w:val="005F0F29"/>
    <w:rsid w:val="005F125F"/>
    <w:rsid w:val="005F1379"/>
    <w:rsid w:val="005F13B4"/>
    <w:rsid w:val="005F1418"/>
    <w:rsid w:val="005F1578"/>
    <w:rsid w:val="005F158F"/>
    <w:rsid w:val="005F1753"/>
    <w:rsid w:val="005F1797"/>
    <w:rsid w:val="005F196A"/>
    <w:rsid w:val="005F19C6"/>
    <w:rsid w:val="005F1A84"/>
    <w:rsid w:val="005F1D02"/>
    <w:rsid w:val="005F1D3B"/>
    <w:rsid w:val="005F1D76"/>
    <w:rsid w:val="005F1E0F"/>
    <w:rsid w:val="005F1E7A"/>
    <w:rsid w:val="005F1EBE"/>
    <w:rsid w:val="005F2061"/>
    <w:rsid w:val="005F210B"/>
    <w:rsid w:val="005F212D"/>
    <w:rsid w:val="005F24A7"/>
    <w:rsid w:val="005F24D1"/>
    <w:rsid w:val="005F27BF"/>
    <w:rsid w:val="005F28F1"/>
    <w:rsid w:val="005F299F"/>
    <w:rsid w:val="005F2AB3"/>
    <w:rsid w:val="005F2ADF"/>
    <w:rsid w:val="005F2B21"/>
    <w:rsid w:val="005F2DD9"/>
    <w:rsid w:val="005F2E55"/>
    <w:rsid w:val="005F2ED9"/>
    <w:rsid w:val="005F2FF9"/>
    <w:rsid w:val="005F30E4"/>
    <w:rsid w:val="005F318F"/>
    <w:rsid w:val="005F32CE"/>
    <w:rsid w:val="005F33B4"/>
    <w:rsid w:val="005F3420"/>
    <w:rsid w:val="005F383E"/>
    <w:rsid w:val="005F3849"/>
    <w:rsid w:val="005F3878"/>
    <w:rsid w:val="005F3A45"/>
    <w:rsid w:val="005F3E41"/>
    <w:rsid w:val="005F41AD"/>
    <w:rsid w:val="005F42D4"/>
    <w:rsid w:val="005F43BA"/>
    <w:rsid w:val="005F445E"/>
    <w:rsid w:val="005F44E1"/>
    <w:rsid w:val="005F44FE"/>
    <w:rsid w:val="005F45C2"/>
    <w:rsid w:val="005F4602"/>
    <w:rsid w:val="005F4735"/>
    <w:rsid w:val="005F4796"/>
    <w:rsid w:val="005F4C66"/>
    <w:rsid w:val="005F4E3A"/>
    <w:rsid w:val="005F4E6A"/>
    <w:rsid w:val="005F4E77"/>
    <w:rsid w:val="005F51B3"/>
    <w:rsid w:val="005F5718"/>
    <w:rsid w:val="005F5994"/>
    <w:rsid w:val="005F5A07"/>
    <w:rsid w:val="005F5B94"/>
    <w:rsid w:val="005F5C71"/>
    <w:rsid w:val="005F5E00"/>
    <w:rsid w:val="005F5E6D"/>
    <w:rsid w:val="005F6030"/>
    <w:rsid w:val="005F60BB"/>
    <w:rsid w:val="005F618C"/>
    <w:rsid w:val="005F62C4"/>
    <w:rsid w:val="005F64C2"/>
    <w:rsid w:val="005F6628"/>
    <w:rsid w:val="005F67DE"/>
    <w:rsid w:val="005F684C"/>
    <w:rsid w:val="005F6BB7"/>
    <w:rsid w:val="005F6C6B"/>
    <w:rsid w:val="005F6DB7"/>
    <w:rsid w:val="005F6EA8"/>
    <w:rsid w:val="005F6FF2"/>
    <w:rsid w:val="005F7052"/>
    <w:rsid w:val="005F711E"/>
    <w:rsid w:val="005F71A2"/>
    <w:rsid w:val="005F77FC"/>
    <w:rsid w:val="005F78AF"/>
    <w:rsid w:val="005F78F4"/>
    <w:rsid w:val="005F7B16"/>
    <w:rsid w:val="005F7B52"/>
    <w:rsid w:val="005F7B69"/>
    <w:rsid w:val="005F7C96"/>
    <w:rsid w:val="005F7D96"/>
    <w:rsid w:val="005F7DAE"/>
    <w:rsid w:val="0060014C"/>
    <w:rsid w:val="0060019A"/>
    <w:rsid w:val="006002BF"/>
    <w:rsid w:val="00600330"/>
    <w:rsid w:val="006003D8"/>
    <w:rsid w:val="00600549"/>
    <w:rsid w:val="006005B4"/>
    <w:rsid w:val="00600696"/>
    <w:rsid w:val="00600799"/>
    <w:rsid w:val="006007BE"/>
    <w:rsid w:val="00600823"/>
    <w:rsid w:val="0060085B"/>
    <w:rsid w:val="006008EC"/>
    <w:rsid w:val="00600953"/>
    <w:rsid w:val="006009FB"/>
    <w:rsid w:val="00600AB4"/>
    <w:rsid w:val="00600B0E"/>
    <w:rsid w:val="00600B38"/>
    <w:rsid w:val="00600C5C"/>
    <w:rsid w:val="00600E20"/>
    <w:rsid w:val="00600E27"/>
    <w:rsid w:val="00600F58"/>
    <w:rsid w:val="006010C8"/>
    <w:rsid w:val="006010CA"/>
    <w:rsid w:val="006013A7"/>
    <w:rsid w:val="006017B0"/>
    <w:rsid w:val="006017B5"/>
    <w:rsid w:val="0060184E"/>
    <w:rsid w:val="00601869"/>
    <w:rsid w:val="00601D89"/>
    <w:rsid w:val="00601EE5"/>
    <w:rsid w:val="00601FAA"/>
    <w:rsid w:val="00602072"/>
    <w:rsid w:val="00602092"/>
    <w:rsid w:val="006020DE"/>
    <w:rsid w:val="006020E9"/>
    <w:rsid w:val="00602206"/>
    <w:rsid w:val="0060242F"/>
    <w:rsid w:val="0060253B"/>
    <w:rsid w:val="00602574"/>
    <w:rsid w:val="006025EA"/>
    <w:rsid w:val="00602621"/>
    <w:rsid w:val="00602728"/>
    <w:rsid w:val="00602782"/>
    <w:rsid w:val="006028F7"/>
    <w:rsid w:val="0060291B"/>
    <w:rsid w:val="00602B05"/>
    <w:rsid w:val="00602B17"/>
    <w:rsid w:val="00602BEC"/>
    <w:rsid w:val="0060318C"/>
    <w:rsid w:val="006031D9"/>
    <w:rsid w:val="006031F0"/>
    <w:rsid w:val="006032A2"/>
    <w:rsid w:val="006033F7"/>
    <w:rsid w:val="0060344E"/>
    <w:rsid w:val="006034EF"/>
    <w:rsid w:val="00603A34"/>
    <w:rsid w:val="00603A4E"/>
    <w:rsid w:val="00603A70"/>
    <w:rsid w:val="00603C0F"/>
    <w:rsid w:val="00603D77"/>
    <w:rsid w:val="00603F21"/>
    <w:rsid w:val="00603FA4"/>
    <w:rsid w:val="0060410D"/>
    <w:rsid w:val="0060410F"/>
    <w:rsid w:val="00604365"/>
    <w:rsid w:val="0060442E"/>
    <w:rsid w:val="00604548"/>
    <w:rsid w:val="006047F9"/>
    <w:rsid w:val="006048CA"/>
    <w:rsid w:val="00604909"/>
    <w:rsid w:val="00604E6D"/>
    <w:rsid w:val="00604F81"/>
    <w:rsid w:val="00604FCD"/>
    <w:rsid w:val="0060501F"/>
    <w:rsid w:val="00605065"/>
    <w:rsid w:val="0060510B"/>
    <w:rsid w:val="006052DE"/>
    <w:rsid w:val="0060586A"/>
    <w:rsid w:val="006058A7"/>
    <w:rsid w:val="00605D6D"/>
    <w:rsid w:val="00605DBF"/>
    <w:rsid w:val="00605EC0"/>
    <w:rsid w:val="00606048"/>
    <w:rsid w:val="006063B3"/>
    <w:rsid w:val="0060667D"/>
    <w:rsid w:val="006066B3"/>
    <w:rsid w:val="006068C1"/>
    <w:rsid w:val="00606913"/>
    <w:rsid w:val="00606939"/>
    <w:rsid w:val="00606A75"/>
    <w:rsid w:val="00606C13"/>
    <w:rsid w:val="00606DE9"/>
    <w:rsid w:val="0060707B"/>
    <w:rsid w:val="006070B1"/>
    <w:rsid w:val="006070FD"/>
    <w:rsid w:val="006071C8"/>
    <w:rsid w:val="00607435"/>
    <w:rsid w:val="006074B6"/>
    <w:rsid w:val="006074FB"/>
    <w:rsid w:val="00607881"/>
    <w:rsid w:val="00607992"/>
    <w:rsid w:val="006079C0"/>
    <w:rsid w:val="00607BBB"/>
    <w:rsid w:val="00607C6D"/>
    <w:rsid w:val="00607CA8"/>
    <w:rsid w:val="00607D4E"/>
    <w:rsid w:val="00607F12"/>
    <w:rsid w:val="00610162"/>
    <w:rsid w:val="006101A6"/>
    <w:rsid w:val="006101A9"/>
    <w:rsid w:val="006101BC"/>
    <w:rsid w:val="0061027B"/>
    <w:rsid w:val="00610386"/>
    <w:rsid w:val="006103F7"/>
    <w:rsid w:val="006104F8"/>
    <w:rsid w:val="00610705"/>
    <w:rsid w:val="00610810"/>
    <w:rsid w:val="00610830"/>
    <w:rsid w:val="00610915"/>
    <w:rsid w:val="00610935"/>
    <w:rsid w:val="00610959"/>
    <w:rsid w:val="006109CE"/>
    <w:rsid w:val="00610AAD"/>
    <w:rsid w:val="00610C3D"/>
    <w:rsid w:val="00610D34"/>
    <w:rsid w:val="00610D46"/>
    <w:rsid w:val="00610D8A"/>
    <w:rsid w:val="00610ED8"/>
    <w:rsid w:val="00611061"/>
    <w:rsid w:val="006112FD"/>
    <w:rsid w:val="0061131A"/>
    <w:rsid w:val="0061138A"/>
    <w:rsid w:val="00611520"/>
    <w:rsid w:val="006115FC"/>
    <w:rsid w:val="0061188C"/>
    <w:rsid w:val="006118FC"/>
    <w:rsid w:val="00611B45"/>
    <w:rsid w:val="00611C58"/>
    <w:rsid w:val="00611CD9"/>
    <w:rsid w:val="00611D30"/>
    <w:rsid w:val="00611D59"/>
    <w:rsid w:val="00611E40"/>
    <w:rsid w:val="00612021"/>
    <w:rsid w:val="0061214C"/>
    <w:rsid w:val="00612213"/>
    <w:rsid w:val="00612373"/>
    <w:rsid w:val="0061244D"/>
    <w:rsid w:val="006125CA"/>
    <w:rsid w:val="00612698"/>
    <w:rsid w:val="006126A4"/>
    <w:rsid w:val="00612C1C"/>
    <w:rsid w:val="00612C21"/>
    <w:rsid w:val="00612CEB"/>
    <w:rsid w:val="00612D93"/>
    <w:rsid w:val="00612E05"/>
    <w:rsid w:val="006132E7"/>
    <w:rsid w:val="0061349B"/>
    <w:rsid w:val="0061384B"/>
    <w:rsid w:val="00613A1C"/>
    <w:rsid w:val="00613AFA"/>
    <w:rsid w:val="00613C7D"/>
    <w:rsid w:val="00613CC5"/>
    <w:rsid w:val="00613CE6"/>
    <w:rsid w:val="00613DA3"/>
    <w:rsid w:val="00613E07"/>
    <w:rsid w:val="00613FBA"/>
    <w:rsid w:val="0061436E"/>
    <w:rsid w:val="006143AE"/>
    <w:rsid w:val="006143B1"/>
    <w:rsid w:val="0061443E"/>
    <w:rsid w:val="00614485"/>
    <w:rsid w:val="006146E1"/>
    <w:rsid w:val="0061471B"/>
    <w:rsid w:val="00614838"/>
    <w:rsid w:val="00614864"/>
    <w:rsid w:val="006149AC"/>
    <w:rsid w:val="00614F05"/>
    <w:rsid w:val="00615063"/>
    <w:rsid w:val="00615360"/>
    <w:rsid w:val="0061541F"/>
    <w:rsid w:val="0061555B"/>
    <w:rsid w:val="006158E2"/>
    <w:rsid w:val="00615AB3"/>
    <w:rsid w:val="00615B65"/>
    <w:rsid w:val="00615C4E"/>
    <w:rsid w:val="00615F93"/>
    <w:rsid w:val="006160F9"/>
    <w:rsid w:val="00616106"/>
    <w:rsid w:val="0061620F"/>
    <w:rsid w:val="006162BB"/>
    <w:rsid w:val="006163CD"/>
    <w:rsid w:val="00616461"/>
    <w:rsid w:val="0061673F"/>
    <w:rsid w:val="00616A13"/>
    <w:rsid w:val="00616A3C"/>
    <w:rsid w:val="00616ACC"/>
    <w:rsid w:val="00616AF7"/>
    <w:rsid w:val="00616BC8"/>
    <w:rsid w:val="00616C3B"/>
    <w:rsid w:val="00616E34"/>
    <w:rsid w:val="00616F63"/>
    <w:rsid w:val="00617255"/>
    <w:rsid w:val="0061750B"/>
    <w:rsid w:val="0061752D"/>
    <w:rsid w:val="00617558"/>
    <w:rsid w:val="0061756F"/>
    <w:rsid w:val="006175C8"/>
    <w:rsid w:val="0061767A"/>
    <w:rsid w:val="006176B1"/>
    <w:rsid w:val="0061776C"/>
    <w:rsid w:val="006177C4"/>
    <w:rsid w:val="00617883"/>
    <w:rsid w:val="006178A2"/>
    <w:rsid w:val="00617960"/>
    <w:rsid w:val="00617A19"/>
    <w:rsid w:val="00617B4F"/>
    <w:rsid w:val="00617C7C"/>
    <w:rsid w:val="00617CC2"/>
    <w:rsid w:val="00617D2A"/>
    <w:rsid w:val="00617E1E"/>
    <w:rsid w:val="00617F04"/>
    <w:rsid w:val="006201A2"/>
    <w:rsid w:val="00620261"/>
    <w:rsid w:val="006203D5"/>
    <w:rsid w:val="006204AB"/>
    <w:rsid w:val="00620820"/>
    <w:rsid w:val="00620D09"/>
    <w:rsid w:val="00620F1A"/>
    <w:rsid w:val="00620F1C"/>
    <w:rsid w:val="00620FFD"/>
    <w:rsid w:val="006212CF"/>
    <w:rsid w:val="0062135D"/>
    <w:rsid w:val="0062137B"/>
    <w:rsid w:val="006214FF"/>
    <w:rsid w:val="00621586"/>
    <w:rsid w:val="00621691"/>
    <w:rsid w:val="00621A1D"/>
    <w:rsid w:val="00621ABB"/>
    <w:rsid w:val="00621B33"/>
    <w:rsid w:val="00621DEA"/>
    <w:rsid w:val="00621EBE"/>
    <w:rsid w:val="00621F37"/>
    <w:rsid w:val="0062203C"/>
    <w:rsid w:val="00622118"/>
    <w:rsid w:val="00622203"/>
    <w:rsid w:val="006223D4"/>
    <w:rsid w:val="00622482"/>
    <w:rsid w:val="006226AF"/>
    <w:rsid w:val="00622CC9"/>
    <w:rsid w:val="00622E23"/>
    <w:rsid w:val="006231CC"/>
    <w:rsid w:val="00623321"/>
    <w:rsid w:val="0062349B"/>
    <w:rsid w:val="0062380C"/>
    <w:rsid w:val="00623A5F"/>
    <w:rsid w:val="00623C5C"/>
    <w:rsid w:val="00623EB9"/>
    <w:rsid w:val="0062429C"/>
    <w:rsid w:val="006242AB"/>
    <w:rsid w:val="006244D3"/>
    <w:rsid w:val="00624687"/>
    <w:rsid w:val="00624BD9"/>
    <w:rsid w:val="00624C98"/>
    <w:rsid w:val="00624D2D"/>
    <w:rsid w:val="00624F8E"/>
    <w:rsid w:val="006250D7"/>
    <w:rsid w:val="00625201"/>
    <w:rsid w:val="0062523C"/>
    <w:rsid w:val="00625476"/>
    <w:rsid w:val="006254F8"/>
    <w:rsid w:val="006255D5"/>
    <w:rsid w:val="0062563A"/>
    <w:rsid w:val="0062565D"/>
    <w:rsid w:val="006257D1"/>
    <w:rsid w:val="0062580E"/>
    <w:rsid w:val="006258B6"/>
    <w:rsid w:val="00625937"/>
    <w:rsid w:val="00625A1C"/>
    <w:rsid w:val="00625AA3"/>
    <w:rsid w:val="00625B94"/>
    <w:rsid w:val="00625FAB"/>
    <w:rsid w:val="006261AD"/>
    <w:rsid w:val="00626605"/>
    <w:rsid w:val="006267A5"/>
    <w:rsid w:val="006268A2"/>
    <w:rsid w:val="006268B1"/>
    <w:rsid w:val="006268E5"/>
    <w:rsid w:val="00626D78"/>
    <w:rsid w:val="00626FB3"/>
    <w:rsid w:val="006273C7"/>
    <w:rsid w:val="006273CF"/>
    <w:rsid w:val="0062768E"/>
    <w:rsid w:val="00627758"/>
    <w:rsid w:val="00627BEB"/>
    <w:rsid w:val="00627CFA"/>
    <w:rsid w:val="00627D3A"/>
    <w:rsid w:val="00627D46"/>
    <w:rsid w:val="00627FCB"/>
    <w:rsid w:val="00627FF7"/>
    <w:rsid w:val="00630027"/>
    <w:rsid w:val="00630042"/>
    <w:rsid w:val="00630081"/>
    <w:rsid w:val="00630274"/>
    <w:rsid w:val="006303B7"/>
    <w:rsid w:val="006305DD"/>
    <w:rsid w:val="00630A0B"/>
    <w:rsid w:val="00630ACE"/>
    <w:rsid w:val="00630ADD"/>
    <w:rsid w:val="00630AF0"/>
    <w:rsid w:val="00630CEA"/>
    <w:rsid w:val="00630CF3"/>
    <w:rsid w:val="00630CF8"/>
    <w:rsid w:val="00630D2D"/>
    <w:rsid w:val="00630E3E"/>
    <w:rsid w:val="00630E9D"/>
    <w:rsid w:val="00630F62"/>
    <w:rsid w:val="00631492"/>
    <w:rsid w:val="0063152A"/>
    <w:rsid w:val="0063165E"/>
    <w:rsid w:val="006316DC"/>
    <w:rsid w:val="006317A8"/>
    <w:rsid w:val="006318D5"/>
    <w:rsid w:val="0063199F"/>
    <w:rsid w:val="00631A1F"/>
    <w:rsid w:val="00631D6E"/>
    <w:rsid w:val="00631DA8"/>
    <w:rsid w:val="00631DE5"/>
    <w:rsid w:val="00631E66"/>
    <w:rsid w:val="00632018"/>
    <w:rsid w:val="0063240F"/>
    <w:rsid w:val="00632450"/>
    <w:rsid w:val="00632494"/>
    <w:rsid w:val="0063254D"/>
    <w:rsid w:val="006325BC"/>
    <w:rsid w:val="006325BF"/>
    <w:rsid w:val="006326CD"/>
    <w:rsid w:val="0063276B"/>
    <w:rsid w:val="00632785"/>
    <w:rsid w:val="006328F5"/>
    <w:rsid w:val="00632DC5"/>
    <w:rsid w:val="00632E28"/>
    <w:rsid w:val="00632FC9"/>
    <w:rsid w:val="00632FE9"/>
    <w:rsid w:val="006331AE"/>
    <w:rsid w:val="00633351"/>
    <w:rsid w:val="00633679"/>
    <w:rsid w:val="0063396A"/>
    <w:rsid w:val="006339B4"/>
    <w:rsid w:val="006339FD"/>
    <w:rsid w:val="00633C30"/>
    <w:rsid w:val="00633E16"/>
    <w:rsid w:val="00633E65"/>
    <w:rsid w:val="00633E98"/>
    <w:rsid w:val="00634055"/>
    <w:rsid w:val="006340B3"/>
    <w:rsid w:val="006340CC"/>
    <w:rsid w:val="006340F3"/>
    <w:rsid w:val="00634186"/>
    <w:rsid w:val="0063427D"/>
    <w:rsid w:val="00634540"/>
    <w:rsid w:val="00634591"/>
    <w:rsid w:val="006345B5"/>
    <w:rsid w:val="00634609"/>
    <w:rsid w:val="00634681"/>
    <w:rsid w:val="00634774"/>
    <w:rsid w:val="0063482A"/>
    <w:rsid w:val="00634A0F"/>
    <w:rsid w:val="00634AB3"/>
    <w:rsid w:val="00634B20"/>
    <w:rsid w:val="00634B2A"/>
    <w:rsid w:val="00634BB6"/>
    <w:rsid w:val="00634C70"/>
    <w:rsid w:val="00634C7B"/>
    <w:rsid w:val="00634CD0"/>
    <w:rsid w:val="00634F13"/>
    <w:rsid w:val="0063502C"/>
    <w:rsid w:val="0063502F"/>
    <w:rsid w:val="00635325"/>
    <w:rsid w:val="00635406"/>
    <w:rsid w:val="006355C4"/>
    <w:rsid w:val="00635685"/>
    <w:rsid w:val="006357BE"/>
    <w:rsid w:val="0063593E"/>
    <w:rsid w:val="00635952"/>
    <w:rsid w:val="006359EF"/>
    <w:rsid w:val="00635A9F"/>
    <w:rsid w:val="00635B49"/>
    <w:rsid w:val="00635C64"/>
    <w:rsid w:val="00635C78"/>
    <w:rsid w:val="00635F1A"/>
    <w:rsid w:val="0063605C"/>
    <w:rsid w:val="00636396"/>
    <w:rsid w:val="006363FD"/>
    <w:rsid w:val="006366FA"/>
    <w:rsid w:val="00636AB9"/>
    <w:rsid w:val="00636B84"/>
    <w:rsid w:val="00636C58"/>
    <w:rsid w:val="00636D99"/>
    <w:rsid w:val="00636E4C"/>
    <w:rsid w:val="00636E55"/>
    <w:rsid w:val="00636F68"/>
    <w:rsid w:val="00636F88"/>
    <w:rsid w:val="006371BF"/>
    <w:rsid w:val="006371DC"/>
    <w:rsid w:val="00637219"/>
    <w:rsid w:val="0063726C"/>
    <w:rsid w:val="00637397"/>
    <w:rsid w:val="0063751F"/>
    <w:rsid w:val="00637537"/>
    <w:rsid w:val="006376A6"/>
    <w:rsid w:val="006377B2"/>
    <w:rsid w:val="00637840"/>
    <w:rsid w:val="00637B1F"/>
    <w:rsid w:val="00637BDB"/>
    <w:rsid w:val="00637C70"/>
    <w:rsid w:val="00637D88"/>
    <w:rsid w:val="00637F90"/>
    <w:rsid w:val="00640021"/>
    <w:rsid w:val="006400B6"/>
    <w:rsid w:val="006401B1"/>
    <w:rsid w:val="006401C4"/>
    <w:rsid w:val="0064026C"/>
    <w:rsid w:val="0064072D"/>
    <w:rsid w:val="006407C0"/>
    <w:rsid w:val="00640A1E"/>
    <w:rsid w:val="00640B4F"/>
    <w:rsid w:val="00640D26"/>
    <w:rsid w:val="00640D7C"/>
    <w:rsid w:val="00640F08"/>
    <w:rsid w:val="00640F17"/>
    <w:rsid w:val="00641029"/>
    <w:rsid w:val="006410EE"/>
    <w:rsid w:val="00641228"/>
    <w:rsid w:val="00641344"/>
    <w:rsid w:val="00641386"/>
    <w:rsid w:val="006414E7"/>
    <w:rsid w:val="00641590"/>
    <w:rsid w:val="006415B1"/>
    <w:rsid w:val="00641601"/>
    <w:rsid w:val="00641639"/>
    <w:rsid w:val="006416C7"/>
    <w:rsid w:val="00641807"/>
    <w:rsid w:val="006418C8"/>
    <w:rsid w:val="00641927"/>
    <w:rsid w:val="00641A75"/>
    <w:rsid w:val="00641ADD"/>
    <w:rsid w:val="00641D02"/>
    <w:rsid w:val="00641D13"/>
    <w:rsid w:val="00641DE8"/>
    <w:rsid w:val="00642053"/>
    <w:rsid w:val="006420A9"/>
    <w:rsid w:val="00642156"/>
    <w:rsid w:val="0064232D"/>
    <w:rsid w:val="00642330"/>
    <w:rsid w:val="00642449"/>
    <w:rsid w:val="006424A0"/>
    <w:rsid w:val="0064272A"/>
    <w:rsid w:val="00642743"/>
    <w:rsid w:val="0064283E"/>
    <w:rsid w:val="00642BCF"/>
    <w:rsid w:val="00642D46"/>
    <w:rsid w:val="00642D91"/>
    <w:rsid w:val="00643060"/>
    <w:rsid w:val="0064307E"/>
    <w:rsid w:val="006430A7"/>
    <w:rsid w:val="00643B62"/>
    <w:rsid w:val="00643FFE"/>
    <w:rsid w:val="00644139"/>
    <w:rsid w:val="0064413F"/>
    <w:rsid w:val="00644293"/>
    <w:rsid w:val="006444C0"/>
    <w:rsid w:val="0064458E"/>
    <w:rsid w:val="00644618"/>
    <w:rsid w:val="00644767"/>
    <w:rsid w:val="006449BA"/>
    <w:rsid w:val="006449E0"/>
    <w:rsid w:val="00644C11"/>
    <w:rsid w:val="00644F36"/>
    <w:rsid w:val="0064510A"/>
    <w:rsid w:val="0064513E"/>
    <w:rsid w:val="0064514A"/>
    <w:rsid w:val="0064515C"/>
    <w:rsid w:val="0064518B"/>
    <w:rsid w:val="006451E1"/>
    <w:rsid w:val="0064544C"/>
    <w:rsid w:val="006454DC"/>
    <w:rsid w:val="00645571"/>
    <w:rsid w:val="006455E9"/>
    <w:rsid w:val="0064563F"/>
    <w:rsid w:val="00645675"/>
    <w:rsid w:val="006457E9"/>
    <w:rsid w:val="0064595C"/>
    <w:rsid w:val="00645960"/>
    <w:rsid w:val="006459AE"/>
    <w:rsid w:val="006459EF"/>
    <w:rsid w:val="00645AF7"/>
    <w:rsid w:val="00646068"/>
    <w:rsid w:val="00646104"/>
    <w:rsid w:val="00646347"/>
    <w:rsid w:val="006463A7"/>
    <w:rsid w:val="006466DE"/>
    <w:rsid w:val="00646729"/>
    <w:rsid w:val="006468C1"/>
    <w:rsid w:val="00646995"/>
    <w:rsid w:val="00646A2F"/>
    <w:rsid w:val="00646C1C"/>
    <w:rsid w:val="00646D77"/>
    <w:rsid w:val="00646EBC"/>
    <w:rsid w:val="00646F2A"/>
    <w:rsid w:val="0064708B"/>
    <w:rsid w:val="006470EC"/>
    <w:rsid w:val="0064736F"/>
    <w:rsid w:val="006473B9"/>
    <w:rsid w:val="00647479"/>
    <w:rsid w:val="00647517"/>
    <w:rsid w:val="00647977"/>
    <w:rsid w:val="00647983"/>
    <w:rsid w:val="006479A6"/>
    <w:rsid w:val="00647D82"/>
    <w:rsid w:val="00647F3D"/>
    <w:rsid w:val="00647F51"/>
    <w:rsid w:val="006500DA"/>
    <w:rsid w:val="006502B0"/>
    <w:rsid w:val="006502E2"/>
    <w:rsid w:val="00650301"/>
    <w:rsid w:val="006507B0"/>
    <w:rsid w:val="006508D5"/>
    <w:rsid w:val="00650B09"/>
    <w:rsid w:val="00650C40"/>
    <w:rsid w:val="00650E1E"/>
    <w:rsid w:val="00651004"/>
    <w:rsid w:val="0065101F"/>
    <w:rsid w:val="006512E2"/>
    <w:rsid w:val="00651332"/>
    <w:rsid w:val="00651390"/>
    <w:rsid w:val="0065148B"/>
    <w:rsid w:val="006517B3"/>
    <w:rsid w:val="006517ED"/>
    <w:rsid w:val="00651894"/>
    <w:rsid w:val="00651A5D"/>
    <w:rsid w:val="00651A9E"/>
    <w:rsid w:val="00651ADB"/>
    <w:rsid w:val="00651ADD"/>
    <w:rsid w:val="00651C1F"/>
    <w:rsid w:val="00651C79"/>
    <w:rsid w:val="00651CD1"/>
    <w:rsid w:val="00651D6F"/>
    <w:rsid w:val="00652404"/>
    <w:rsid w:val="00652436"/>
    <w:rsid w:val="006524E9"/>
    <w:rsid w:val="006525D1"/>
    <w:rsid w:val="00652663"/>
    <w:rsid w:val="0065282C"/>
    <w:rsid w:val="0065284F"/>
    <w:rsid w:val="00652891"/>
    <w:rsid w:val="006528A2"/>
    <w:rsid w:val="006528B1"/>
    <w:rsid w:val="0065295B"/>
    <w:rsid w:val="00652BDE"/>
    <w:rsid w:val="00652EBE"/>
    <w:rsid w:val="00652EEF"/>
    <w:rsid w:val="00652FEB"/>
    <w:rsid w:val="006531DA"/>
    <w:rsid w:val="006531DE"/>
    <w:rsid w:val="00653206"/>
    <w:rsid w:val="0065324B"/>
    <w:rsid w:val="0065328B"/>
    <w:rsid w:val="006533D6"/>
    <w:rsid w:val="00653408"/>
    <w:rsid w:val="00653495"/>
    <w:rsid w:val="00653595"/>
    <w:rsid w:val="006535BB"/>
    <w:rsid w:val="0065366F"/>
    <w:rsid w:val="00653AB6"/>
    <w:rsid w:val="00653B5A"/>
    <w:rsid w:val="00653D08"/>
    <w:rsid w:val="00653D5F"/>
    <w:rsid w:val="00653D93"/>
    <w:rsid w:val="00653E42"/>
    <w:rsid w:val="00653EDA"/>
    <w:rsid w:val="00653FDD"/>
    <w:rsid w:val="00654459"/>
    <w:rsid w:val="00654483"/>
    <w:rsid w:val="0065449F"/>
    <w:rsid w:val="00654714"/>
    <w:rsid w:val="006547AA"/>
    <w:rsid w:val="00654813"/>
    <w:rsid w:val="00654815"/>
    <w:rsid w:val="00654B4F"/>
    <w:rsid w:val="00654B74"/>
    <w:rsid w:val="00654D12"/>
    <w:rsid w:val="00654D23"/>
    <w:rsid w:val="00654D4B"/>
    <w:rsid w:val="00654F57"/>
    <w:rsid w:val="00654FD7"/>
    <w:rsid w:val="0065500C"/>
    <w:rsid w:val="006550D2"/>
    <w:rsid w:val="00655155"/>
    <w:rsid w:val="006552FE"/>
    <w:rsid w:val="0065532C"/>
    <w:rsid w:val="00655519"/>
    <w:rsid w:val="006558AB"/>
    <w:rsid w:val="00655986"/>
    <w:rsid w:val="00655C6D"/>
    <w:rsid w:val="00655E2C"/>
    <w:rsid w:val="00655E38"/>
    <w:rsid w:val="00655F44"/>
    <w:rsid w:val="006562A9"/>
    <w:rsid w:val="006563EC"/>
    <w:rsid w:val="006565E4"/>
    <w:rsid w:val="00656744"/>
    <w:rsid w:val="0065677B"/>
    <w:rsid w:val="0065685D"/>
    <w:rsid w:val="006569C5"/>
    <w:rsid w:val="006569CD"/>
    <w:rsid w:val="00656AEB"/>
    <w:rsid w:val="00656B69"/>
    <w:rsid w:val="00656B8C"/>
    <w:rsid w:val="00656BD6"/>
    <w:rsid w:val="00656C37"/>
    <w:rsid w:val="00656D18"/>
    <w:rsid w:val="0065703D"/>
    <w:rsid w:val="00657065"/>
    <w:rsid w:val="00657175"/>
    <w:rsid w:val="006571DB"/>
    <w:rsid w:val="006571F5"/>
    <w:rsid w:val="00657288"/>
    <w:rsid w:val="00657368"/>
    <w:rsid w:val="006573BD"/>
    <w:rsid w:val="006574F6"/>
    <w:rsid w:val="0065750F"/>
    <w:rsid w:val="0065754E"/>
    <w:rsid w:val="006575F6"/>
    <w:rsid w:val="00657932"/>
    <w:rsid w:val="00657984"/>
    <w:rsid w:val="0065798E"/>
    <w:rsid w:val="00657BFF"/>
    <w:rsid w:val="00657C3C"/>
    <w:rsid w:val="00657C93"/>
    <w:rsid w:val="00657DC9"/>
    <w:rsid w:val="00657E7F"/>
    <w:rsid w:val="00660037"/>
    <w:rsid w:val="00660271"/>
    <w:rsid w:val="006602C1"/>
    <w:rsid w:val="006605B7"/>
    <w:rsid w:val="006605D0"/>
    <w:rsid w:val="006605DC"/>
    <w:rsid w:val="00660617"/>
    <w:rsid w:val="00660805"/>
    <w:rsid w:val="00660A1A"/>
    <w:rsid w:val="00660A3A"/>
    <w:rsid w:val="00660B47"/>
    <w:rsid w:val="00660B93"/>
    <w:rsid w:val="00660C0D"/>
    <w:rsid w:val="00660C86"/>
    <w:rsid w:val="00660E24"/>
    <w:rsid w:val="00660E29"/>
    <w:rsid w:val="00660F36"/>
    <w:rsid w:val="0066123B"/>
    <w:rsid w:val="006612B2"/>
    <w:rsid w:val="006612FC"/>
    <w:rsid w:val="0066151F"/>
    <w:rsid w:val="006618A7"/>
    <w:rsid w:val="006618DD"/>
    <w:rsid w:val="00661AC2"/>
    <w:rsid w:val="00661AF1"/>
    <w:rsid w:val="00661EE4"/>
    <w:rsid w:val="006620F5"/>
    <w:rsid w:val="0066216A"/>
    <w:rsid w:val="00662221"/>
    <w:rsid w:val="00662309"/>
    <w:rsid w:val="00662328"/>
    <w:rsid w:val="0066234A"/>
    <w:rsid w:val="006623B7"/>
    <w:rsid w:val="006624F0"/>
    <w:rsid w:val="0066257F"/>
    <w:rsid w:val="0066259A"/>
    <w:rsid w:val="00662675"/>
    <w:rsid w:val="00662AF2"/>
    <w:rsid w:val="00662B04"/>
    <w:rsid w:val="00662BB2"/>
    <w:rsid w:val="00663166"/>
    <w:rsid w:val="006631D1"/>
    <w:rsid w:val="0066337A"/>
    <w:rsid w:val="0066349A"/>
    <w:rsid w:val="0066352A"/>
    <w:rsid w:val="00663771"/>
    <w:rsid w:val="00663772"/>
    <w:rsid w:val="0066383B"/>
    <w:rsid w:val="0066387B"/>
    <w:rsid w:val="0066399F"/>
    <w:rsid w:val="00663C29"/>
    <w:rsid w:val="00663CF2"/>
    <w:rsid w:val="00663F9D"/>
    <w:rsid w:val="0066463F"/>
    <w:rsid w:val="006646A7"/>
    <w:rsid w:val="0066478C"/>
    <w:rsid w:val="00664863"/>
    <w:rsid w:val="00664975"/>
    <w:rsid w:val="00664AD9"/>
    <w:rsid w:val="00664B51"/>
    <w:rsid w:val="00664C01"/>
    <w:rsid w:val="00664C88"/>
    <w:rsid w:val="00664CFD"/>
    <w:rsid w:val="00664DF7"/>
    <w:rsid w:val="00665011"/>
    <w:rsid w:val="0066503A"/>
    <w:rsid w:val="006650BE"/>
    <w:rsid w:val="00665159"/>
    <w:rsid w:val="00665160"/>
    <w:rsid w:val="00665293"/>
    <w:rsid w:val="006653D6"/>
    <w:rsid w:val="00665430"/>
    <w:rsid w:val="0066543D"/>
    <w:rsid w:val="006654A8"/>
    <w:rsid w:val="006655D1"/>
    <w:rsid w:val="006656BF"/>
    <w:rsid w:val="00665939"/>
    <w:rsid w:val="006659A8"/>
    <w:rsid w:val="00665C1A"/>
    <w:rsid w:val="00665F2C"/>
    <w:rsid w:val="00666061"/>
    <w:rsid w:val="006661EC"/>
    <w:rsid w:val="006663E9"/>
    <w:rsid w:val="00666730"/>
    <w:rsid w:val="00666C64"/>
    <w:rsid w:val="00666CA2"/>
    <w:rsid w:val="00666D2E"/>
    <w:rsid w:val="00666EA3"/>
    <w:rsid w:val="00666F65"/>
    <w:rsid w:val="00666FE8"/>
    <w:rsid w:val="00667006"/>
    <w:rsid w:val="006671E2"/>
    <w:rsid w:val="00667243"/>
    <w:rsid w:val="0066725E"/>
    <w:rsid w:val="0066737A"/>
    <w:rsid w:val="0066750C"/>
    <w:rsid w:val="00667680"/>
    <w:rsid w:val="00667760"/>
    <w:rsid w:val="006679DD"/>
    <w:rsid w:val="00667A2C"/>
    <w:rsid w:val="00667B02"/>
    <w:rsid w:val="00667B4D"/>
    <w:rsid w:val="00667CAE"/>
    <w:rsid w:val="00667D87"/>
    <w:rsid w:val="00667EDB"/>
    <w:rsid w:val="00667EF6"/>
    <w:rsid w:val="00667F27"/>
    <w:rsid w:val="0067006E"/>
    <w:rsid w:val="0067023B"/>
    <w:rsid w:val="006702B2"/>
    <w:rsid w:val="00670405"/>
    <w:rsid w:val="0067043C"/>
    <w:rsid w:val="00670481"/>
    <w:rsid w:val="0067075F"/>
    <w:rsid w:val="00670994"/>
    <w:rsid w:val="00670B4C"/>
    <w:rsid w:val="00670C8E"/>
    <w:rsid w:val="00670D81"/>
    <w:rsid w:val="00670E31"/>
    <w:rsid w:val="006711AA"/>
    <w:rsid w:val="00671216"/>
    <w:rsid w:val="00671388"/>
    <w:rsid w:val="00671409"/>
    <w:rsid w:val="0067140F"/>
    <w:rsid w:val="006714DC"/>
    <w:rsid w:val="006714F3"/>
    <w:rsid w:val="00671636"/>
    <w:rsid w:val="006716F5"/>
    <w:rsid w:val="0067193B"/>
    <w:rsid w:val="006719B9"/>
    <w:rsid w:val="006719E0"/>
    <w:rsid w:val="00671AC6"/>
    <w:rsid w:val="00671B9B"/>
    <w:rsid w:val="00671C08"/>
    <w:rsid w:val="00671FB4"/>
    <w:rsid w:val="00672150"/>
    <w:rsid w:val="006721A9"/>
    <w:rsid w:val="00672339"/>
    <w:rsid w:val="00672527"/>
    <w:rsid w:val="0067287E"/>
    <w:rsid w:val="00672D7B"/>
    <w:rsid w:val="00673151"/>
    <w:rsid w:val="00673470"/>
    <w:rsid w:val="0067357F"/>
    <w:rsid w:val="0067384B"/>
    <w:rsid w:val="00673860"/>
    <w:rsid w:val="00673B2C"/>
    <w:rsid w:val="00673BF7"/>
    <w:rsid w:val="00673C7F"/>
    <w:rsid w:val="006741CC"/>
    <w:rsid w:val="0067469F"/>
    <w:rsid w:val="006747DE"/>
    <w:rsid w:val="0067481D"/>
    <w:rsid w:val="006749BE"/>
    <w:rsid w:val="00674E0E"/>
    <w:rsid w:val="00674FA6"/>
    <w:rsid w:val="0067529C"/>
    <w:rsid w:val="006755B0"/>
    <w:rsid w:val="00675955"/>
    <w:rsid w:val="00675A26"/>
    <w:rsid w:val="00675A33"/>
    <w:rsid w:val="00675C52"/>
    <w:rsid w:val="00675C9B"/>
    <w:rsid w:val="00675DA8"/>
    <w:rsid w:val="00675F36"/>
    <w:rsid w:val="00676087"/>
    <w:rsid w:val="006760B5"/>
    <w:rsid w:val="0067634C"/>
    <w:rsid w:val="006763F3"/>
    <w:rsid w:val="00676639"/>
    <w:rsid w:val="00676836"/>
    <w:rsid w:val="006768CC"/>
    <w:rsid w:val="00676AF9"/>
    <w:rsid w:val="00676CBD"/>
    <w:rsid w:val="00676D36"/>
    <w:rsid w:val="0067704D"/>
    <w:rsid w:val="006770B9"/>
    <w:rsid w:val="006770F6"/>
    <w:rsid w:val="006771E3"/>
    <w:rsid w:val="00677208"/>
    <w:rsid w:val="00677271"/>
    <w:rsid w:val="006772D3"/>
    <w:rsid w:val="00677454"/>
    <w:rsid w:val="00677461"/>
    <w:rsid w:val="00677479"/>
    <w:rsid w:val="0067769B"/>
    <w:rsid w:val="00677733"/>
    <w:rsid w:val="00677A6B"/>
    <w:rsid w:val="00677BCE"/>
    <w:rsid w:val="00677BE5"/>
    <w:rsid w:val="00677C65"/>
    <w:rsid w:val="00677C7B"/>
    <w:rsid w:val="00677CFD"/>
    <w:rsid w:val="00677F00"/>
    <w:rsid w:val="00677F5F"/>
    <w:rsid w:val="006800AD"/>
    <w:rsid w:val="00680254"/>
    <w:rsid w:val="0068033B"/>
    <w:rsid w:val="00680359"/>
    <w:rsid w:val="006803BC"/>
    <w:rsid w:val="00680412"/>
    <w:rsid w:val="006804F2"/>
    <w:rsid w:val="0068057D"/>
    <w:rsid w:val="00680623"/>
    <w:rsid w:val="0068069E"/>
    <w:rsid w:val="00680741"/>
    <w:rsid w:val="00680807"/>
    <w:rsid w:val="00680885"/>
    <w:rsid w:val="00680962"/>
    <w:rsid w:val="00680AA3"/>
    <w:rsid w:val="00680AD8"/>
    <w:rsid w:val="00680AFD"/>
    <w:rsid w:val="00680C60"/>
    <w:rsid w:val="00680C6B"/>
    <w:rsid w:val="00680C8E"/>
    <w:rsid w:val="00680CBD"/>
    <w:rsid w:val="00680CC5"/>
    <w:rsid w:val="00680E3C"/>
    <w:rsid w:val="00680E47"/>
    <w:rsid w:val="00680E5E"/>
    <w:rsid w:val="00680EFC"/>
    <w:rsid w:val="0068100E"/>
    <w:rsid w:val="006810A4"/>
    <w:rsid w:val="006810AD"/>
    <w:rsid w:val="006810C2"/>
    <w:rsid w:val="00681275"/>
    <w:rsid w:val="0068140E"/>
    <w:rsid w:val="00681433"/>
    <w:rsid w:val="00681724"/>
    <w:rsid w:val="00681A41"/>
    <w:rsid w:val="00681AFC"/>
    <w:rsid w:val="00681CB0"/>
    <w:rsid w:val="00681D0E"/>
    <w:rsid w:val="00681D42"/>
    <w:rsid w:val="00681DB5"/>
    <w:rsid w:val="00681EC2"/>
    <w:rsid w:val="00681F85"/>
    <w:rsid w:val="00681FD9"/>
    <w:rsid w:val="00682129"/>
    <w:rsid w:val="00682362"/>
    <w:rsid w:val="0068238E"/>
    <w:rsid w:val="0068243C"/>
    <w:rsid w:val="006824F9"/>
    <w:rsid w:val="00682648"/>
    <w:rsid w:val="00683338"/>
    <w:rsid w:val="006833DD"/>
    <w:rsid w:val="006834C9"/>
    <w:rsid w:val="0068378D"/>
    <w:rsid w:val="00683862"/>
    <w:rsid w:val="00683885"/>
    <w:rsid w:val="00683904"/>
    <w:rsid w:val="006839BF"/>
    <w:rsid w:val="006839DC"/>
    <w:rsid w:val="00683A74"/>
    <w:rsid w:val="00683C6E"/>
    <w:rsid w:val="00683D51"/>
    <w:rsid w:val="00683EA7"/>
    <w:rsid w:val="00683F66"/>
    <w:rsid w:val="00683FF1"/>
    <w:rsid w:val="0068408D"/>
    <w:rsid w:val="00684670"/>
    <w:rsid w:val="006846AD"/>
    <w:rsid w:val="0068476D"/>
    <w:rsid w:val="0068486D"/>
    <w:rsid w:val="00684898"/>
    <w:rsid w:val="00684970"/>
    <w:rsid w:val="00684A1C"/>
    <w:rsid w:val="00684AA1"/>
    <w:rsid w:val="00684B0A"/>
    <w:rsid w:val="00684B47"/>
    <w:rsid w:val="00684E1F"/>
    <w:rsid w:val="00684E69"/>
    <w:rsid w:val="0068525E"/>
    <w:rsid w:val="00685299"/>
    <w:rsid w:val="00685341"/>
    <w:rsid w:val="0068536C"/>
    <w:rsid w:val="00685447"/>
    <w:rsid w:val="006856D3"/>
    <w:rsid w:val="00685715"/>
    <w:rsid w:val="00685782"/>
    <w:rsid w:val="00685905"/>
    <w:rsid w:val="0068598C"/>
    <w:rsid w:val="00685AAF"/>
    <w:rsid w:val="00685CA6"/>
    <w:rsid w:val="00685D68"/>
    <w:rsid w:val="00685DCD"/>
    <w:rsid w:val="00685F80"/>
    <w:rsid w:val="00686036"/>
    <w:rsid w:val="0068615D"/>
    <w:rsid w:val="006862EC"/>
    <w:rsid w:val="006863A9"/>
    <w:rsid w:val="006864D0"/>
    <w:rsid w:val="006865D3"/>
    <w:rsid w:val="006866CC"/>
    <w:rsid w:val="00686A51"/>
    <w:rsid w:val="00686A9B"/>
    <w:rsid w:val="00686D68"/>
    <w:rsid w:val="00686F19"/>
    <w:rsid w:val="00686F20"/>
    <w:rsid w:val="00686F81"/>
    <w:rsid w:val="00686FA9"/>
    <w:rsid w:val="00687001"/>
    <w:rsid w:val="00687128"/>
    <w:rsid w:val="0068719C"/>
    <w:rsid w:val="00687258"/>
    <w:rsid w:val="0068736E"/>
    <w:rsid w:val="00687499"/>
    <w:rsid w:val="00687577"/>
    <w:rsid w:val="00687661"/>
    <w:rsid w:val="006876F3"/>
    <w:rsid w:val="006879D9"/>
    <w:rsid w:val="00687B3C"/>
    <w:rsid w:val="00687B67"/>
    <w:rsid w:val="00687B6B"/>
    <w:rsid w:val="00687E51"/>
    <w:rsid w:val="00690098"/>
    <w:rsid w:val="0069014A"/>
    <w:rsid w:val="0069031D"/>
    <w:rsid w:val="0069038F"/>
    <w:rsid w:val="0069041A"/>
    <w:rsid w:val="006905EC"/>
    <w:rsid w:val="00690732"/>
    <w:rsid w:val="006907FE"/>
    <w:rsid w:val="0069082D"/>
    <w:rsid w:val="00690912"/>
    <w:rsid w:val="00690AED"/>
    <w:rsid w:val="00690B76"/>
    <w:rsid w:val="00690B8B"/>
    <w:rsid w:val="00690E09"/>
    <w:rsid w:val="006910A4"/>
    <w:rsid w:val="00691157"/>
    <w:rsid w:val="00691249"/>
    <w:rsid w:val="00691320"/>
    <w:rsid w:val="006913F5"/>
    <w:rsid w:val="006914F5"/>
    <w:rsid w:val="00691643"/>
    <w:rsid w:val="00691699"/>
    <w:rsid w:val="00691716"/>
    <w:rsid w:val="00691A02"/>
    <w:rsid w:val="00691A53"/>
    <w:rsid w:val="00691D67"/>
    <w:rsid w:val="00691E29"/>
    <w:rsid w:val="00691E6D"/>
    <w:rsid w:val="00691E85"/>
    <w:rsid w:val="00692026"/>
    <w:rsid w:val="006920D7"/>
    <w:rsid w:val="00692111"/>
    <w:rsid w:val="00692287"/>
    <w:rsid w:val="00692368"/>
    <w:rsid w:val="00692397"/>
    <w:rsid w:val="006923C9"/>
    <w:rsid w:val="006924F3"/>
    <w:rsid w:val="006926D0"/>
    <w:rsid w:val="006928EE"/>
    <w:rsid w:val="00692976"/>
    <w:rsid w:val="006929DF"/>
    <w:rsid w:val="00692A23"/>
    <w:rsid w:val="00692CFD"/>
    <w:rsid w:val="00692D80"/>
    <w:rsid w:val="00692E10"/>
    <w:rsid w:val="00692F41"/>
    <w:rsid w:val="00692F9B"/>
    <w:rsid w:val="006932D2"/>
    <w:rsid w:val="00693341"/>
    <w:rsid w:val="006933E9"/>
    <w:rsid w:val="006933EF"/>
    <w:rsid w:val="00693450"/>
    <w:rsid w:val="0069368F"/>
    <w:rsid w:val="00693882"/>
    <w:rsid w:val="006938E5"/>
    <w:rsid w:val="00693948"/>
    <w:rsid w:val="006939C7"/>
    <w:rsid w:val="00693CE9"/>
    <w:rsid w:val="00693E99"/>
    <w:rsid w:val="006940A0"/>
    <w:rsid w:val="0069427C"/>
    <w:rsid w:val="006943C0"/>
    <w:rsid w:val="006943DC"/>
    <w:rsid w:val="00694440"/>
    <w:rsid w:val="006945A6"/>
    <w:rsid w:val="00694883"/>
    <w:rsid w:val="006948B3"/>
    <w:rsid w:val="00694D3A"/>
    <w:rsid w:val="00694D59"/>
    <w:rsid w:val="00694D83"/>
    <w:rsid w:val="00694DF1"/>
    <w:rsid w:val="00694E4D"/>
    <w:rsid w:val="00695145"/>
    <w:rsid w:val="006951EF"/>
    <w:rsid w:val="00695311"/>
    <w:rsid w:val="00695329"/>
    <w:rsid w:val="006953B8"/>
    <w:rsid w:val="0069584D"/>
    <w:rsid w:val="006958A1"/>
    <w:rsid w:val="00695B04"/>
    <w:rsid w:val="00695C0B"/>
    <w:rsid w:val="00695D9F"/>
    <w:rsid w:val="00695E00"/>
    <w:rsid w:val="00695ED1"/>
    <w:rsid w:val="00695FAC"/>
    <w:rsid w:val="00696164"/>
    <w:rsid w:val="006961CB"/>
    <w:rsid w:val="0069645B"/>
    <w:rsid w:val="006964F8"/>
    <w:rsid w:val="006966C1"/>
    <w:rsid w:val="006966DD"/>
    <w:rsid w:val="00696756"/>
    <w:rsid w:val="00696771"/>
    <w:rsid w:val="00696C63"/>
    <w:rsid w:val="00696DA8"/>
    <w:rsid w:val="006970AD"/>
    <w:rsid w:val="006971E6"/>
    <w:rsid w:val="006973E2"/>
    <w:rsid w:val="00697452"/>
    <w:rsid w:val="00697503"/>
    <w:rsid w:val="006975B8"/>
    <w:rsid w:val="0069779E"/>
    <w:rsid w:val="00697BE4"/>
    <w:rsid w:val="00697E07"/>
    <w:rsid w:val="00697EAB"/>
    <w:rsid w:val="006A0114"/>
    <w:rsid w:val="006A0192"/>
    <w:rsid w:val="006A01B4"/>
    <w:rsid w:val="006A0240"/>
    <w:rsid w:val="006A027D"/>
    <w:rsid w:val="006A029C"/>
    <w:rsid w:val="006A0633"/>
    <w:rsid w:val="006A066A"/>
    <w:rsid w:val="006A0729"/>
    <w:rsid w:val="006A084D"/>
    <w:rsid w:val="006A09A4"/>
    <w:rsid w:val="006A0A22"/>
    <w:rsid w:val="006A0B6F"/>
    <w:rsid w:val="006A0C2F"/>
    <w:rsid w:val="006A0CA5"/>
    <w:rsid w:val="006A0D84"/>
    <w:rsid w:val="006A0F0E"/>
    <w:rsid w:val="006A0FC2"/>
    <w:rsid w:val="006A1074"/>
    <w:rsid w:val="006A10A3"/>
    <w:rsid w:val="006A10D7"/>
    <w:rsid w:val="006A137A"/>
    <w:rsid w:val="006A1494"/>
    <w:rsid w:val="006A14B0"/>
    <w:rsid w:val="006A15BC"/>
    <w:rsid w:val="006A19DC"/>
    <w:rsid w:val="006A19E8"/>
    <w:rsid w:val="006A19EB"/>
    <w:rsid w:val="006A1BE4"/>
    <w:rsid w:val="006A2034"/>
    <w:rsid w:val="006A209B"/>
    <w:rsid w:val="006A2191"/>
    <w:rsid w:val="006A22EA"/>
    <w:rsid w:val="006A23E1"/>
    <w:rsid w:val="006A24A4"/>
    <w:rsid w:val="006A24C8"/>
    <w:rsid w:val="006A25F3"/>
    <w:rsid w:val="006A26AB"/>
    <w:rsid w:val="006A28E7"/>
    <w:rsid w:val="006A2BE2"/>
    <w:rsid w:val="006A2BF1"/>
    <w:rsid w:val="006A2C92"/>
    <w:rsid w:val="006A2F54"/>
    <w:rsid w:val="006A2F60"/>
    <w:rsid w:val="006A2F7A"/>
    <w:rsid w:val="006A30EA"/>
    <w:rsid w:val="006A31B1"/>
    <w:rsid w:val="006A3323"/>
    <w:rsid w:val="006A3367"/>
    <w:rsid w:val="006A33A8"/>
    <w:rsid w:val="006A33C4"/>
    <w:rsid w:val="006A34F5"/>
    <w:rsid w:val="006A3716"/>
    <w:rsid w:val="006A37E2"/>
    <w:rsid w:val="006A384D"/>
    <w:rsid w:val="006A3A27"/>
    <w:rsid w:val="006A3AA2"/>
    <w:rsid w:val="006A3AA6"/>
    <w:rsid w:val="006A3C05"/>
    <w:rsid w:val="006A3C14"/>
    <w:rsid w:val="006A3CBA"/>
    <w:rsid w:val="006A3CC8"/>
    <w:rsid w:val="006A3CDE"/>
    <w:rsid w:val="006A3DAE"/>
    <w:rsid w:val="006A3DDC"/>
    <w:rsid w:val="006A3E0D"/>
    <w:rsid w:val="006A3F6A"/>
    <w:rsid w:val="006A3F7D"/>
    <w:rsid w:val="006A401B"/>
    <w:rsid w:val="006A4305"/>
    <w:rsid w:val="006A465B"/>
    <w:rsid w:val="006A46F3"/>
    <w:rsid w:val="006A4701"/>
    <w:rsid w:val="006A479A"/>
    <w:rsid w:val="006A4851"/>
    <w:rsid w:val="006A48E2"/>
    <w:rsid w:val="006A494D"/>
    <w:rsid w:val="006A4951"/>
    <w:rsid w:val="006A4A31"/>
    <w:rsid w:val="006A4C14"/>
    <w:rsid w:val="006A4F1B"/>
    <w:rsid w:val="006A4F96"/>
    <w:rsid w:val="006A50FE"/>
    <w:rsid w:val="006A5384"/>
    <w:rsid w:val="006A5659"/>
    <w:rsid w:val="006A56B0"/>
    <w:rsid w:val="006A56E6"/>
    <w:rsid w:val="006A5892"/>
    <w:rsid w:val="006A5B7F"/>
    <w:rsid w:val="006A5DD7"/>
    <w:rsid w:val="006A5E9F"/>
    <w:rsid w:val="006A5F3A"/>
    <w:rsid w:val="006A5FDA"/>
    <w:rsid w:val="006A6009"/>
    <w:rsid w:val="006A6363"/>
    <w:rsid w:val="006A659B"/>
    <w:rsid w:val="006A66D4"/>
    <w:rsid w:val="006A68C4"/>
    <w:rsid w:val="006A6B78"/>
    <w:rsid w:val="006A6C4C"/>
    <w:rsid w:val="006A6CA8"/>
    <w:rsid w:val="006A6E45"/>
    <w:rsid w:val="006A6F32"/>
    <w:rsid w:val="006A6F4D"/>
    <w:rsid w:val="006A7032"/>
    <w:rsid w:val="006A70F4"/>
    <w:rsid w:val="006A72CC"/>
    <w:rsid w:val="006A7338"/>
    <w:rsid w:val="006A759D"/>
    <w:rsid w:val="006A771D"/>
    <w:rsid w:val="006A776E"/>
    <w:rsid w:val="006A782D"/>
    <w:rsid w:val="006A78D1"/>
    <w:rsid w:val="006A7A07"/>
    <w:rsid w:val="006A7AA2"/>
    <w:rsid w:val="006A7C40"/>
    <w:rsid w:val="006A7D14"/>
    <w:rsid w:val="006A7D29"/>
    <w:rsid w:val="006A7D61"/>
    <w:rsid w:val="006B0299"/>
    <w:rsid w:val="006B07A3"/>
    <w:rsid w:val="006B08CB"/>
    <w:rsid w:val="006B0927"/>
    <w:rsid w:val="006B0B29"/>
    <w:rsid w:val="006B0B36"/>
    <w:rsid w:val="006B0D6B"/>
    <w:rsid w:val="006B0E24"/>
    <w:rsid w:val="006B0FA1"/>
    <w:rsid w:val="006B1366"/>
    <w:rsid w:val="006B142C"/>
    <w:rsid w:val="006B16F0"/>
    <w:rsid w:val="006B1775"/>
    <w:rsid w:val="006B1A4B"/>
    <w:rsid w:val="006B1AAF"/>
    <w:rsid w:val="006B1ADE"/>
    <w:rsid w:val="006B1C55"/>
    <w:rsid w:val="006B1CCB"/>
    <w:rsid w:val="006B1E65"/>
    <w:rsid w:val="006B1EBE"/>
    <w:rsid w:val="006B22DC"/>
    <w:rsid w:val="006B2535"/>
    <w:rsid w:val="006B2861"/>
    <w:rsid w:val="006B289C"/>
    <w:rsid w:val="006B2938"/>
    <w:rsid w:val="006B2AEF"/>
    <w:rsid w:val="006B2B69"/>
    <w:rsid w:val="006B2BD8"/>
    <w:rsid w:val="006B2D3E"/>
    <w:rsid w:val="006B2F32"/>
    <w:rsid w:val="006B2F9E"/>
    <w:rsid w:val="006B3238"/>
    <w:rsid w:val="006B33AE"/>
    <w:rsid w:val="006B348A"/>
    <w:rsid w:val="006B3557"/>
    <w:rsid w:val="006B36AE"/>
    <w:rsid w:val="006B3704"/>
    <w:rsid w:val="006B3784"/>
    <w:rsid w:val="006B38AB"/>
    <w:rsid w:val="006B396F"/>
    <w:rsid w:val="006B3BE7"/>
    <w:rsid w:val="006B3C24"/>
    <w:rsid w:val="006B4130"/>
    <w:rsid w:val="006B41E6"/>
    <w:rsid w:val="006B4493"/>
    <w:rsid w:val="006B460C"/>
    <w:rsid w:val="006B4618"/>
    <w:rsid w:val="006B4662"/>
    <w:rsid w:val="006B483D"/>
    <w:rsid w:val="006B49F8"/>
    <w:rsid w:val="006B4A64"/>
    <w:rsid w:val="006B4A78"/>
    <w:rsid w:val="006B4CAB"/>
    <w:rsid w:val="006B4D25"/>
    <w:rsid w:val="006B4DDA"/>
    <w:rsid w:val="006B51BB"/>
    <w:rsid w:val="006B52B8"/>
    <w:rsid w:val="006B532E"/>
    <w:rsid w:val="006B538F"/>
    <w:rsid w:val="006B54DD"/>
    <w:rsid w:val="006B56EC"/>
    <w:rsid w:val="006B56F5"/>
    <w:rsid w:val="006B580B"/>
    <w:rsid w:val="006B5B59"/>
    <w:rsid w:val="006B5B89"/>
    <w:rsid w:val="006B5C4D"/>
    <w:rsid w:val="006B5D74"/>
    <w:rsid w:val="006B5E36"/>
    <w:rsid w:val="006B5E39"/>
    <w:rsid w:val="006B5FB5"/>
    <w:rsid w:val="006B6082"/>
    <w:rsid w:val="006B60C8"/>
    <w:rsid w:val="006B60D2"/>
    <w:rsid w:val="006B60DC"/>
    <w:rsid w:val="006B61BA"/>
    <w:rsid w:val="006B6206"/>
    <w:rsid w:val="006B63AA"/>
    <w:rsid w:val="006B644C"/>
    <w:rsid w:val="006B64A6"/>
    <w:rsid w:val="006B64D9"/>
    <w:rsid w:val="006B6908"/>
    <w:rsid w:val="006B690B"/>
    <w:rsid w:val="006B6E47"/>
    <w:rsid w:val="006B6F3D"/>
    <w:rsid w:val="006B6F59"/>
    <w:rsid w:val="006B6FB7"/>
    <w:rsid w:val="006B701E"/>
    <w:rsid w:val="006B7060"/>
    <w:rsid w:val="006B78B8"/>
    <w:rsid w:val="006B7906"/>
    <w:rsid w:val="006B7911"/>
    <w:rsid w:val="006B7918"/>
    <w:rsid w:val="006B7A18"/>
    <w:rsid w:val="006B7B3C"/>
    <w:rsid w:val="006B7D27"/>
    <w:rsid w:val="006B7EA4"/>
    <w:rsid w:val="006B7F5C"/>
    <w:rsid w:val="006C003D"/>
    <w:rsid w:val="006C0066"/>
    <w:rsid w:val="006C016A"/>
    <w:rsid w:val="006C02D4"/>
    <w:rsid w:val="006C0332"/>
    <w:rsid w:val="006C0652"/>
    <w:rsid w:val="006C0691"/>
    <w:rsid w:val="006C07D9"/>
    <w:rsid w:val="006C0845"/>
    <w:rsid w:val="006C0862"/>
    <w:rsid w:val="006C0875"/>
    <w:rsid w:val="006C08CD"/>
    <w:rsid w:val="006C0ADA"/>
    <w:rsid w:val="006C0C0A"/>
    <w:rsid w:val="006C0C47"/>
    <w:rsid w:val="006C0CE3"/>
    <w:rsid w:val="006C0E09"/>
    <w:rsid w:val="006C0E36"/>
    <w:rsid w:val="006C0E46"/>
    <w:rsid w:val="006C1285"/>
    <w:rsid w:val="006C1349"/>
    <w:rsid w:val="006C1444"/>
    <w:rsid w:val="006C1446"/>
    <w:rsid w:val="006C153D"/>
    <w:rsid w:val="006C1568"/>
    <w:rsid w:val="006C15E9"/>
    <w:rsid w:val="006C16D4"/>
    <w:rsid w:val="006C16E2"/>
    <w:rsid w:val="006C1799"/>
    <w:rsid w:val="006C1971"/>
    <w:rsid w:val="006C1AD6"/>
    <w:rsid w:val="006C1AF0"/>
    <w:rsid w:val="006C1BB8"/>
    <w:rsid w:val="006C1C8E"/>
    <w:rsid w:val="006C1DE4"/>
    <w:rsid w:val="006C1E66"/>
    <w:rsid w:val="006C1F0C"/>
    <w:rsid w:val="006C1FEE"/>
    <w:rsid w:val="006C2104"/>
    <w:rsid w:val="006C21E4"/>
    <w:rsid w:val="006C21F0"/>
    <w:rsid w:val="006C21F6"/>
    <w:rsid w:val="006C2244"/>
    <w:rsid w:val="006C2446"/>
    <w:rsid w:val="006C244B"/>
    <w:rsid w:val="006C25AB"/>
    <w:rsid w:val="006C25B1"/>
    <w:rsid w:val="006C2669"/>
    <w:rsid w:val="006C2912"/>
    <w:rsid w:val="006C2B29"/>
    <w:rsid w:val="006C2B94"/>
    <w:rsid w:val="006C2C1B"/>
    <w:rsid w:val="006C2C86"/>
    <w:rsid w:val="006C2D9E"/>
    <w:rsid w:val="006C2DB8"/>
    <w:rsid w:val="006C2E37"/>
    <w:rsid w:val="006C2E4B"/>
    <w:rsid w:val="006C2ECF"/>
    <w:rsid w:val="006C2FDF"/>
    <w:rsid w:val="006C2FE9"/>
    <w:rsid w:val="006C31E5"/>
    <w:rsid w:val="006C32D3"/>
    <w:rsid w:val="006C339E"/>
    <w:rsid w:val="006C35F3"/>
    <w:rsid w:val="006C3664"/>
    <w:rsid w:val="006C3688"/>
    <w:rsid w:val="006C386D"/>
    <w:rsid w:val="006C386E"/>
    <w:rsid w:val="006C3884"/>
    <w:rsid w:val="006C3A43"/>
    <w:rsid w:val="006C3AF2"/>
    <w:rsid w:val="006C3CBD"/>
    <w:rsid w:val="006C3DAE"/>
    <w:rsid w:val="006C406D"/>
    <w:rsid w:val="006C41BB"/>
    <w:rsid w:val="006C422C"/>
    <w:rsid w:val="006C427E"/>
    <w:rsid w:val="006C4491"/>
    <w:rsid w:val="006C4563"/>
    <w:rsid w:val="006C4A4C"/>
    <w:rsid w:val="006C4A67"/>
    <w:rsid w:val="006C4AF5"/>
    <w:rsid w:val="006C5119"/>
    <w:rsid w:val="006C5155"/>
    <w:rsid w:val="006C516E"/>
    <w:rsid w:val="006C5242"/>
    <w:rsid w:val="006C5423"/>
    <w:rsid w:val="006C542F"/>
    <w:rsid w:val="006C5853"/>
    <w:rsid w:val="006C5AE2"/>
    <w:rsid w:val="006C5B32"/>
    <w:rsid w:val="006C5B70"/>
    <w:rsid w:val="006C5EAF"/>
    <w:rsid w:val="006C5F72"/>
    <w:rsid w:val="006C615B"/>
    <w:rsid w:val="006C6420"/>
    <w:rsid w:val="006C65C3"/>
    <w:rsid w:val="006C669D"/>
    <w:rsid w:val="006C6732"/>
    <w:rsid w:val="006C674A"/>
    <w:rsid w:val="006C681B"/>
    <w:rsid w:val="006C68E6"/>
    <w:rsid w:val="006C6B74"/>
    <w:rsid w:val="006C6D20"/>
    <w:rsid w:val="006C6DB1"/>
    <w:rsid w:val="006C6E6F"/>
    <w:rsid w:val="006C6FC8"/>
    <w:rsid w:val="006C71A6"/>
    <w:rsid w:val="006C72F9"/>
    <w:rsid w:val="006C734F"/>
    <w:rsid w:val="006C73C4"/>
    <w:rsid w:val="006C7699"/>
    <w:rsid w:val="006C76F4"/>
    <w:rsid w:val="006C7754"/>
    <w:rsid w:val="006C7B21"/>
    <w:rsid w:val="006C7D1F"/>
    <w:rsid w:val="006C7D97"/>
    <w:rsid w:val="006C7DCC"/>
    <w:rsid w:val="006D010E"/>
    <w:rsid w:val="006D0162"/>
    <w:rsid w:val="006D034C"/>
    <w:rsid w:val="006D057E"/>
    <w:rsid w:val="006D0809"/>
    <w:rsid w:val="006D0864"/>
    <w:rsid w:val="006D0AA5"/>
    <w:rsid w:val="006D0B9F"/>
    <w:rsid w:val="006D0C32"/>
    <w:rsid w:val="006D0C6B"/>
    <w:rsid w:val="006D0CDB"/>
    <w:rsid w:val="006D0F5C"/>
    <w:rsid w:val="006D1100"/>
    <w:rsid w:val="006D1126"/>
    <w:rsid w:val="006D1128"/>
    <w:rsid w:val="006D13EE"/>
    <w:rsid w:val="006D1487"/>
    <w:rsid w:val="006D1677"/>
    <w:rsid w:val="006D17A6"/>
    <w:rsid w:val="006D18D0"/>
    <w:rsid w:val="006D1AE4"/>
    <w:rsid w:val="006D1CB5"/>
    <w:rsid w:val="006D1F0E"/>
    <w:rsid w:val="006D2264"/>
    <w:rsid w:val="006D22A0"/>
    <w:rsid w:val="006D22BA"/>
    <w:rsid w:val="006D233C"/>
    <w:rsid w:val="006D2652"/>
    <w:rsid w:val="006D2827"/>
    <w:rsid w:val="006D296E"/>
    <w:rsid w:val="006D2AC3"/>
    <w:rsid w:val="006D2C30"/>
    <w:rsid w:val="006D2EC3"/>
    <w:rsid w:val="006D31B5"/>
    <w:rsid w:val="006D32D1"/>
    <w:rsid w:val="006D34C0"/>
    <w:rsid w:val="006D350C"/>
    <w:rsid w:val="006D3977"/>
    <w:rsid w:val="006D3BD9"/>
    <w:rsid w:val="006D3C3A"/>
    <w:rsid w:val="006D3C3B"/>
    <w:rsid w:val="006D3C6D"/>
    <w:rsid w:val="006D3DAD"/>
    <w:rsid w:val="006D3E1A"/>
    <w:rsid w:val="006D3F3D"/>
    <w:rsid w:val="006D41A0"/>
    <w:rsid w:val="006D42D3"/>
    <w:rsid w:val="006D45EF"/>
    <w:rsid w:val="006D4847"/>
    <w:rsid w:val="006D4969"/>
    <w:rsid w:val="006D4BAF"/>
    <w:rsid w:val="006D4CFE"/>
    <w:rsid w:val="006D4D77"/>
    <w:rsid w:val="006D4F07"/>
    <w:rsid w:val="006D506E"/>
    <w:rsid w:val="006D50C6"/>
    <w:rsid w:val="006D51C2"/>
    <w:rsid w:val="006D53B2"/>
    <w:rsid w:val="006D56DE"/>
    <w:rsid w:val="006D5812"/>
    <w:rsid w:val="006D5BEA"/>
    <w:rsid w:val="006D5CD3"/>
    <w:rsid w:val="006D5D22"/>
    <w:rsid w:val="006D5E7C"/>
    <w:rsid w:val="006D605B"/>
    <w:rsid w:val="006D6097"/>
    <w:rsid w:val="006D60B4"/>
    <w:rsid w:val="006D60C6"/>
    <w:rsid w:val="006D60CE"/>
    <w:rsid w:val="006D6124"/>
    <w:rsid w:val="006D614B"/>
    <w:rsid w:val="006D6170"/>
    <w:rsid w:val="006D6284"/>
    <w:rsid w:val="006D62F2"/>
    <w:rsid w:val="006D640D"/>
    <w:rsid w:val="006D6570"/>
    <w:rsid w:val="006D660C"/>
    <w:rsid w:val="006D6611"/>
    <w:rsid w:val="006D6833"/>
    <w:rsid w:val="006D6868"/>
    <w:rsid w:val="006D6906"/>
    <w:rsid w:val="006D69CF"/>
    <w:rsid w:val="006D6AAF"/>
    <w:rsid w:val="006D6D08"/>
    <w:rsid w:val="006D6DE1"/>
    <w:rsid w:val="006D6DED"/>
    <w:rsid w:val="006D6ECC"/>
    <w:rsid w:val="006D6FC7"/>
    <w:rsid w:val="006D71DB"/>
    <w:rsid w:val="006D7430"/>
    <w:rsid w:val="006D783F"/>
    <w:rsid w:val="006D787D"/>
    <w:rsid w:val="006D7943"/>
    <w:rsid w:val="006D7978"/>
    <w:rsid w:val="006D7A38"/>
    <w:rsid w:val="006D7C84"/>
    <w:rsid w:val="006D7DAD"/>
    <w:rsid w:val="006D7DB7"/>
    <w:rsid w:val="006D7E44"/>
    <w:rsid w:val="006D7EC0"/>
    <w:rsid w:val="006D7F06"/>
    <w:rsid w:val="006E012D"/>
    <w:rsid w:val="006E03C3"/>
    <w:rsid w:val="006E048F"/>
    <w:rsid w:val="006E0570"/>
    <w:rsid w:val="006E063F"/>
    <w:rsid w:val="006E0D7A"/>
    <w:rsid w:val="006E1194"/>
    <w:rsid w:val="006E1498"/>
    <w:rsid w:val="006E14E2"/>
    <w:rsid w:val="006E1551"/>
    <w:rsid w:val="006E15EA"/>
    <w:rsid w:val="006E169C"/>
    <w:rsid w:val="006E16FE"/>
    <w:rsid w:val="006E1741"/>
    <w:rsid w:val="006E1824"/>
    <w:rsid w:val="006E1856"/>
    <w:rsid w:val="006E1919"/>
    <w:rsid w:val="006E1938"/>
    <w:rsid w:val="006E197E"/>
    <w:rsid w:val="006E198B"/>
    <w:rsid w:val="006E1B6B"/>
    <w:rsid w:val="006E1BA4"/>
    <w:rsid w:val="006E1F3D"/>
    <w:rsid w:val="006E2110"/>
    <w:rsid w:val="006E22DB"/>
    <w:rsid w:val="006E233F"/>
    <w:rsid w:val="006E2595"/>
    <w:rsid w:val="006E267B"/>
    <w:rsid w:val="006E26B9"/>
    <w:rsid w:val="006E26C3"/>
    <w:rsid w:val="006E27F8"/>
    <w:rsid w:val="006E294A"/>
    <w:rsid w:val="006E29DC"/>
    <w:rsid w:val="006E2B50"/>
    <w:rsid w:val="006E2BED"/>
    <w:rsid w:val="006E2D19"/>
    <w:rsid w:val="006E2D88"/>
    <w:rsid w:val="006E2DEC"/>
    <w:rsid w:val="006E2EDB"/>
    <w:rsid w:val="006E2FE1"/>
    <w:rsid w:val="006E30E5"/>
    <w:rsid w:val="006E3305"/>
    <w:rsid w:val="006E33FA"/>
    <w:rsid w:val="006E3402"/>
    <w:rsid w:val="006E3537"/>
    <w:rsid w:val="006E353C"/>
    <w:rsid w:val="006E3685"/>
    <w:rsid w:val="006E3A38"/>
    <w:rsid w:val="006E3D3C"/>
    <w:rsid w:val="006E3E4A"/>
    <w:rsid w:val="006E40A9"/>
    <w:rsid w:val="006E40D8"/>
    <w:rsid w:val="006E4201"/>
    <w:rsid w:val="006E4309"/>
    <w:rsid w:val="006E43D5"/>
    <w:rsid w:val="006E4411"/>
    <w:rsid w:val="006E4616"/>
    <w:rsid w:val="006E4900"/>
    <w:rsid w:val="006E491A"/>
    <w:rsid w:val="006E49A4"/>
    <w:rsid w:val="006E4AFF"/>
    <w:rsid w:val="006E4B50"/>
    <w:rsid w:val="006E4BB9"/>
    <w:rsid w:val="006E4BC3"/>
    <w:rsid w:val="006E4CF5"/>
    <w:rsid w:val="006E4E24"/>
    <w:rsid w:val="006E4EAE"/>
    <w:rsid w:val="006E4ECF"/>
    <w:rsid w:val="006E5064"/>
    <w:rsid w:val="006E54CD"/>
    <w:rsid w:val="006E57A9"/>
    <w:rsid w:val="006E596A"/>
    <w:rsid w:val="006E5B0D"/>
    <w:rsid w:val="006E5DC8"/>
    <w:rsid w:val="006E5DD6"/>
    <w:rsid w:val="006E5F38"/>
    <w:rsid w:val="006E6418"/>
    <w:rsid w:val="006E648A"/>
    <w:rsid w:val="006E65EA"/>
    <w:rsid w:val="006E66CF"/>
    <w:rsid w:val="006E66FE"/>
    <w:rsid w:val="006E6912"/>
    <w:rsid w:val="006E6AB1"/>
    <w:rsid w:val="006E6B1D"/>
    <w:rsid w:val="006E6B23"/>
    <w:rsid w:val="006E6D6F"/>
    <w:rsid w:val="006E6E26"/>
    <w:rsid w:val="006E6EF3"/>
    <w:rsid w:val="006E6F00"/>
    <w:rsid w:val="006E6F5C"/>
    <w:rsid w:val="006E6FFC"/>
    <w:rsid w:val="006E71E2"/>
    <w:rsid w:val="006E72A6"/>
    <w:rsid w:val="006E7305"/>
    <w:rsid w:val="006E733A"/>
    <w:rsid w:val="006E76FD"/>
    <w:rsid w:val="006E77B8"/>
    <w:rsid w:val="006E7810"/>
    <w:rsid w:val="006E781B"/>
    <w:rsid w:val="006E7961"/>
    <w:rsid w:val="006E7970"/>
    <w:rsid w:val="006E7B00"/>
    <w:rsid w:val="006E7B4C"/>
    <w:rsid w:val="006E7EC5"/>
    <w:rsid w:val="006E7ED9"/>
    <w:rsid w:val="006F024F"/>
    <w:rsid w:val="006F031C"/>
    <w:rsid w:val="006F0575"/>
    <w:rsid w:val="006F0612"/>
    <w:rsid w:val="006F0737"/>
    <w:rsid w:val="006F08EB"/>
    <w:rsid w:val="006F08FE"/>
    <w:rsid w:val="006F0ABE"/>
    <w:rsid w:val="006F0B04"/>
    <w:rsid w:val="006F0BEC"/>
    <w:rsid w:val="006F0C8A"/>
    <w:rsid w:val="006F0D4E"/>
    <w:rsid w:val="006F0DE2"/>
    <w:rsid w:val="006F0EE8"/>
    <w:rsid w:val="006F0FD8"/>
    <w:rsid w:val="006F1080"/>
    <w:rsid w:val="006F10B8"/>
    <w:rsid w:val="006F1260"/>
    <w:rsid w:val="006F138B"/>
    <w:rsid w:val="006F13BF"/>
    <w:rsid w:val="006F14F9"/>
    <w:rsid w:val="006F1765"/>
    <w:rsid w:val="006F1B8B"/>
    <w:rsid w:val="006F1CBA"/>
    <w:rsid w:val="006F1E16"/>
    <w:rsid w:val="006F234D"/>
    <w:rsid w:val="006F2512"/>
    <w:rsid w:val="006F25ED"/>
    <w:rsid w:val="006F2739"/>
    <w:rsid w:val="006F283F"/>
    <w:rsid w:val="006F2868"/>
    <w:rsid w:val="006F2A62"/>
    <w:rsid w:val="006F2B5F"/>
    <w:rsid w:val="006F2E55"/>
    <w:rsid w:val="006F2EDF"/>
    <w:rsid w:val="006F2EE7"/>
    <w:rsid w:val="006F2F60"/>
    <w:rsid w:val="006F3116"/>
    <w:rsid w:val="006F3260"/>
    <w:rsid w:val="006F32AF"/>
    <w:rsid w:val="006F32C5"/>
    <w:rsid w:val="006F33A3"/>
    <w:rsid w:val="006F37FE"/>
    <w:rsid w:val="006F381A"/>
    <w:rsid w:val="006F3A0E"/>
    <w:rsid w:val="006F3A1C"/>
    <w:rsid w:val="006F3CCC"/>
    <w:rsid w:val="006F3F82"/>
    <w:rsid w:val="006F4090"/>
    <w:rsid w:val="006F4097"/>
    <w:rsid w:val="006F4198"/>
    <w:rsid w:val="006F45BA"/>
    <w:rsid w:val="006F46EF"/>
    <w:rsid w:val="006F4830"/>
    <w:rsid w:val="006F488C"/>
    <w:rsid w:val="006F48D8"/>
    <w:rsid w:val="006F49FF"/>
    <w:rsid w:val="006F4A35"/>
    <w:rsid w:val="006F4AE3"/>
    <w:rsid w:val="006F4B2B"/>
    <w:rsid w:val="006F4B9B"/>
    <w:rsid w:val="006F4D45"/>
    <w:rsid w:val="006F5084"/>
    <w:rsid w:val="006F51F8"/>
    <w:rsid w:val="006F520D"/>
    <w:rsid w:val="006F53A5"/>
    <w:rsid w:val="006F53A8"/>
    <w:rsid w:val="006F5412"/>
    <w:rsid w:val="006F567A"/>
    <w:rsid w:val="006F5A22"/>
    <w:rsid w:val="006F5A7C"/>
    <w:rsid w:val="006F5A83"/>
    <w:rsid w:val="006F5FCB"/>
    <w:rsid w:val="006F610A"/>
    <w:rsid w:val="006F6144"/>
    <w:rsid w:val="006F6162"/>
    <w:rsid w:val="006F6197"/>
    <w:rsid w:val="006F623E"/>
    <w:rsid w:val="006F625E"/>
    <w:rsid w:val="006F6340"/>
    <w:rsid w:val="006F65EB"/>
    <w:rsid w:val="006F6616"/>
    <w:rsid w:val="006F6628"/>
    <w:rsid w:val="006F67AC"/>
    <w:rsid w:val="006F6A76"/>
    <w:rsid w:val="006F6D76"/>
    <w:rsid w:val="006F6EF0"/>
    <w:rsid w:val="006F6F2D"/>
    <w:rsid w:val="006F716E"/>
    <w:rsid w:val="006F71DA"/>
    <w:rsid w:val="006F7228"/>
    <w:rsid w:val="006F7585"/>
    <w:rsid w:val="006F75D7"/>
    <w:rsid w:val="006F7643"/>
    <w:rsid w:val="006F76FB"/>
    <w:rsid w:val="006F771C"/>
    <w:rsid w:val="006F77E9"/>
    <w:rsid w:val="006F78E0"/>
    <w:rsid w:val="006F79EF"/>
    <w:rsid w:val="006F7C75"/>
    <w:rsid w:val="006F7D7B"/>
    <w:rsid w:val="006F7EC4"/>
    <w:rsid w:val="006F7F24"/>
    <w:rsid w:val="006F7FCD"/>
    <w:rsid w:val="00700346"/>
    <w:rsid w:val="007003D5"/>
    <w:rsid w:val="00700531"/>
    <w:rsid w:val="0070054B"/>
    <w:rsid w:val="0070057F"/>
    <w:rsid w:val="0070060D"/>
    <w:rsid w:val="0070068D"/>
    <w:rsid w:val="007008CB"/>
    <w:rsid w:val="00700902"/>
    <w:rsid w:val="007009B8"/>
    <w:rsid w:val="00700A14"/>
    <w:rsid w:val="00700A9A"/>
    <w:rsid w:val="00700BFD"/>
    <w:rsid w:val="00700D8A"/>
    <w:rsid w:val="00700E35"/>
    <w:rsid w:val="00700F17"/>
    <w:rsid w:val="00700F47"/>
    <w:rsid w:val="00700F71"/>
    <w:rsid w:val="0070115B"/>
    <w:rsid w:val="00701234"/>
    <w:rsid w:val="0070138E"/>
    <w:rsid w:val="0070173D"/>
    <w:rsid w:val="00701769"/>
    <w:rsid w:val="00701806"/>
    <w:rsid w:val="00701839"/>
    <w:rsid w:val="0070189A"/>
    <w:rsid w:val="00701993"/>
    <w:rsid w:val="00701BFF"/>
    <w:rsid w:val="007020BB"/>
    <w:rsid w:val="00702486"/>
    <w:rsid w:val="0070249C"/>
    <w:rsid w:val="00702616"/>
    <w:rsid w:val="0070271D"/>
    <w:rsid w:val="00702720"/>
    <w:rsid w:val="00702971"/>
    <w:rsid w:val="00702DE1"/>
    <w:rsid w:val="007031B2"/>
    <w:rsid w:val="00703306"/>
    <w:rsid w:val="007033E1"/>
    <w:rsid w:val="0070361E"/>
    <w:rsid w:val="00703AB0"/>
    <w:rsid w:val="00703B1A"/>
    <w:rsid w:val="00703CFF"/>
    <w:rsid w:val="00703D91"/>
    <w:rsid w:val="00703F31"/>
    <w:rsid w:val="00703FA3"/>
    <w:rsid w:val="0070435B"/>
    <w:rsid w:val="00704408"/>
    <w:rsid w:val="00704419"/>
    <w:rsid w:val="00704457"/>
    <w:rsid w:val="0070451C"/>
    <w:rsid w:val="007046C0"/>
    <w:rsid w:val="007047E4"/>
    <w:rsid w:val="00704880"/>
    <w:rsid w:val="0070497D"/>
    <w:rsid w:val="00704A5C"/>
    <w:rsid w:val="00704AC4"/>
    <w:rsid w:val="00704BA0"/>
    <w:rsid w:val="00704EC2"/>
    <w:rsid w:val="00704F55"/>
    <w:rsid w:val="0070505B"/>
    <w:rsid w:val="00705114"/>
    <w:rsid w:val="00705269"/>
    <w:rsid w:val="007053DC"/>
    <w:rsid w:val="00705576"/>
    <w:rsid w:val="00705684"/>
    <w:rsid w:val="0070572B"/>
    <w:rsid w:val="007057EA"/>
    <w:rsid w:val="00705878"/>
    <w:rsid w:val="00705AD6"/>
    <w:rsid w:val="00705BB9"/>
    <w:rsid w:val="00705C1B"/>
    <w:rsid w:val="00705C53"/>
    <w:rsid w:val="00705ED2"/>
    <w:rsid w:val="00705F01"/>
    <w:rsid w:val="00705F54"/>
    <w:rsid w:val="00706265"/>
    <w:rsid w:val="007062F1"/>
    <w:rsid w:val="00706346"/>
    <w:rsid w:val="007063FA"/>
    <w:rsid w:val="00706792"/>
    <w:rsid w:val="00706C04"/>
    <w:rsid w:val="00707223"/>
    <w:rsid w:val="00707248"/>
    <w:rsid w:val="007073DD"/>
    <w:rsid w:val="0070743F"/>
    <w:rsid w:val="007074DA"/>
    <w:rsid w:val="007075D4"/>
    <w:rsid w:val="0070767A"/>
    <w:rsid w:val="007077CB"/>
    <w:rsid w:val="00707835"/>
    <w:rsid w:val="007078D3"/>
    <w:rsid w:val="00707B5B"/>
    <w:rsid w:val="00707B74"/>
    <w:rsid w:val="00707BEF"/>
    <w:rsid w:val="00707C42"/>
    <w:rsid w:val="0071028A"/>
    <w:rsid w:val="00710410"/>
    <w:rsid w:val="007104CE"/>
    <w:rsid w:val="007105BE"/>
    <w:rsid w:val="00710801"/>
    <w:rsid w:val="00710AC3"/>
    <w:rsid w:val="00710B23"/>
    <w:rsid w:val="00710B95"/>
    <w:rsid w:val="00710D91"/>
    <w:rsid w:val="00710E59"/>
    <w:rsid w:val="00710EFF"/>
    <w:rsid w:val="00710FE3"/>
    <w:rsid w:val="00711032"/>
    <w:rsid w:val="00711308"/>
    <w:rsid w:val="00711334"/>
    <w:rsid w:val="00711572"/>
    <w:rsid w:val="007115E0"/>
    <w:rsid w:val="0071166E"/>
    <w:rsid w:val="007117BD"/>
    <w:rsid w:val="00711A29"/>
    <w:rsid w:val="00711B0D"/>
    <w:rsid w:val="00711B94"/>
    <w:rsid w:val="00711C94"/>
    <w:rsid w:val="00711CBE"/>
    <w:rsid w:val="00711E5F"/>
    <w:rsid w:val="0071225D"/>
    <w:rsid w:val="00712284"/>
    <w:rsid w:val="0071234C"/>
    <w:rsid w:val="007123B9"/>
    <w:rsid w:val="00712485"/>
    <w:rsid w:val="00712540"/>
    <w:rsid w:val="0071271F"/>
    <w:rsid w:val="00712845"/>
    <w:rsid w:val="007128D4"/>
    <w:rsid w:val="00712964"/>
    <w:rsid w:val="00712AE1"/>
    <w:rsid w:val="00712B1B"/>
    <w:rsid w:val="00712B31"/>
    <w:rsid w:val="00712D6D"/>
    <w:rsid w:val="00713090"/>
    <w:rsid w:val="007133AE"/>
    <w:rsid w:val="007133DD"/>
    <w:rsid w:val="0071349E"/>
    <w:rsid w:val="00713545"/>
    <w:rsid w:val="0071368D"/>
    <w:rsid w:val="00713709"/>
    <w:rsid w:val="00713930"/>
    <w:rsid w:val="00713AC4"/>
    <w:rsid w:val="00713BB3"/>
    <w:rsid w:val="00713BE9"/>
    <w:rsid w:val="00713C52"/>
    <w:rsid w:val="00713CA0"/>
    <w:rsid w:val="00713DAC"/>
    <w:rsid w:val="00713E3C"/>
    <w:rsid w:val="00713EA4"/>
    <w:rsid w:val="00713FB2"/>
    <w:rsid w:val="007140E9"/>
    <w:rsid w:val="0071438E"/>
    <w:rsid w:val="007144A3"/>
    <w:rsid w:val="0071468A"/>
    <w:rsid w:val="007146B3"/>
    <w:rsid w:val="007146BE"/>
    <w:rsid w:val="007147A7"/>
    <w:rsid w:val="00714927"/>
    <w:rsid w:val="007149AA"/>
    <w:rsid w:val="00714A2B"/>
    <w:rsid w:val="00714B3A"/>
    <w:rsid w:val="00714C15"/>
    <w:rsid w:val="00714C56"/>
    <w:rsid w:val="00714D2D"/>
    <w:rsid w:val="00715127"/>
    <w:rsid w:val="007155AF"/>
    <w:rsid w:val="007157B7"/>
    <w:rsid w:val="00715BFA"/>
    <w:rsid w:val="00715C51"/>
    <w:rsid w:val="00715C63"/>
    <w:rsid w:val="00715C6C"/>
    <w:rsid w:val="00715F15"/>
    <w:rsid w:val="00715F19"/>
    <w:rsid w:val="00715F23"/>
    <w:rsid w:val="00715F92"/>
    <w:rsid w:val="00716023"/>
    <w:rsid w:val="007160F1"/>
    <w:rsid w:val="00716136"/>
    <w:rsid w:val="00716189"/>
    <w:rsid w:val="007162B9"/>
    <w:rsid w:val="007165D5"/>
    <w:rsid w:val="00716783"/>
    <w:rsid w:val="00716830"/>
    <w:rsid w:val="00716C7C"/>
    <w:rsid w:val="00716D43"/>
    <w:rsid w:val="0071726A"/>
    <w:rsid w:val="007172A6"/>
    <w:rsid w:val="00717450"/>
    <w:rsid w:val="007176D3"/>
    <w:rsid w:val="007177CE"/>
    <w:rsid w:val="00717908"/>
    <w:rsid w:val="00717939"/>
    <w:rsid w:val="007179F0"/>
    <w:rsid w:val="00717BD4"/>
    <w:rsid w:val="00717DB5"/>
    <w:rsid w:val="00717E30"/>
    <w:rsid w:val="00717F0F"/>
    <w:rsid w:val="00717FD4"/>
    <w:rsid w:val="0072004B"/>
    <w:rsid w:val="00720158"/>
    <w:rsid w:val="00720308"/>
    <w:rsid w:val="007203EF"/>
    <w:rsid w:val="0072058E"/>
    <w:rsid w:val="007205B1"/>
    <w:rsid w:val="0072070C"/>
    <w:rsid w:val="007207B5"/>
    <w:rsid w:val="007208F5"/>
    <w:rsid w:val="007209EC"/>
    <w:rsid w:val="00720A47"/>
    <w:rsid w:val="00720A68"/>
    <w:rsid w:val="00720A99"/>
    <w:rsid w:val="00720B83"/>
    <w:rsid w:val="00720CD5"/>
    <w:rsid w:val="00720E99"/>
    <w:rsid w:val="00720FE8"/>
    <w:rsid w:val="007211E0"/>
    <w:rsid w:val="00721309"/>
    <w:rsid w:val="0072131A"/>
    <w:rsid w:val="00721325"/>
    <w:rsid w:val="007213BC"/>
    <w:rsid w:val="00721429"/>
    <w:rsid w:val="007217E3"/>
    <w:rsid w:val="00721927"/>
    <w:rsid w:val="007219E1"/>
    <w:rsid w:val="00721AF3"/>
    <w:rsid w:val="00721BCA"/>
    <w:rsid w:val="00721D0A"/>
    <w:rsid w:val="00721E70"/>
    <w:rsid w:val="00722149"/>
    <w:rsid w:val="0072226B"/>
    <w:rsid w:val="007222E0"/>
    <w:rsid w:val="007222FE"/>
    <w:rsid w:val="007224E8"/>
    <w:rsid w:val="00722607"/>
    <w:rsid w:val="0072280A"/>
    <w:rsid w:val="007228CD"/>
    <w:rsid w:val="007228E4"/>
    <w:rsid w:val="007228FF"/>
    <w:rsid w:val="00722904"/>
    <w:rsid w:val="00722988"/>
    <w:rsid w:val="00722AF8"/>
    <w:rsid w:val="00722CA3"/>
    <w:rsid w:val="00722E22"/>
    <w:rsid w:val="00722F48"/>
    <w:rsid w:val="00722F91"/>
    <w:rsid w:val="007230A4"/>
    <w:rsid w:val="00723295"/>
    <w:rsid w:val="0072357E"/>
    <w:rsid w:val="00723597"/>
    <w:rsid w:val="00723614"/>
    <w:rsid w:val="00723667"/>
    <w:rsid w:val="00723672"/>
    <w:rsid w:val="007236B7"/>
    <w:rsid w:val="00723B06"/>
    <w:rsid w:val="00723DE6"/>
    <w:rsid w:val="00723E5C"/>
    <w:rsid w:val="00723E7D"/>
    <w:rsid w:val="00724040"/>
    <w:rsid w:val="00724098"/>
    <w:rsid w:val="0072415F"/>
    <w:rsid w:val="007241A7"/>
    <w:rsid w:val="007242C9"/>
    <w:rsid w:val="00724331"/>
    <w:rsid w:val="00724476"/>
    <w:rsid w:val="00724531"/>
    <w:rsid w:val="0072486A"/>
    <w:rsid w:val="007249D4"/>
    <w:rsid w:val="00724D7A"/>
    <w:rsid w:val="00724FCA"/>
    <w:rsid w:val="007250E2"/>
    <w:rsid w:val="0072520F"/>
    <w:rsid w:val="007253A7"/>
    <w:rsid w:val="007253F2"/>
    <w:rsid w:val="007254D0"/>
    <w:rsid w:val="007254FB"/>
    <w:rsid w:val="00725779"/>
    <w:rsid w:val="0072594E"/>
    <w:rsid w:val="00725AE1"/>
    <w:rsid w:val="00725B30"/>
    <w:rsid w:val="00725C75"/>
    <w:rsid w:val="00725D24"/>
    <w:rsid w:val="00725F03"/>
    <w:rsid w:val="007260C8"/>
    <w:rsid w:val="007260CD"/>
    <w:rsid w:val="0072616C"/>
    <w:rsid w:val="007263E6"/>
    <w:rsid w:val="00726601"/>
    <w:rsid w:val="00726675"/>
    <w:rsid w:val="007268E4"/>
    <w:rsid w:val="00726D5F"/>
    <w:rsid w:val="00726ECE"/>
    <w:rsid w:val="00726F06"/>
    <w:rsid w:val="00726F74"/>
    <w:rsid w:val="00727147"/>
    <w:rsid w:val="00727251"/>
    <w:rsid w:val="007273B0"/>
    <w:rsid w:val="00727491"/>
    <w:rsid w:val="007277AD"/>
    <w:rsid w:val="00727A22"/>
    <w:rsid w:val="007300E9"/>
    <w:rsid w:val="0073027E"/>
    <w:rsid w:val="007304CE"/>
    <w:rsid w:val="00730726"/>
    <w:rsid w:val="00730A2A"/>
    <w:rsid w:val="00730BAC"/>
    <w:rsid w:val="00730C45"/>
    <w:rsid w:val="00730CB1"/>
    <w:rsid w:val="00730CFE"/>
    <w:rsid w:val="00730F37"/>
    <w:rsid w:val="00730FCA"/>
    <w:rsid w:val="007310FF"/>
    <w:rsid w:val="007311D5"/>
    <w:rsid w:val="007311E8"/>
    <w:rsid w:val="00731348"/>
    <w:rsid w:val="00731678"/>
    <w:rsid w:val="007317E0"/>
    <w:rsid w:val="007317F0"/>
    <w:rsid w:val="007318A1"/>
    <w:rsid w:val="007319D8"/>
    <w:rsid w:val="00731EF5"/>
    <w:rsid w:val="00732496"/>
    <w:rsid w:val="007324CA"/>
    <w:rsid w:val="00732670"/>
    <w:rsid w:val="007327EE"/>
    <w:rsid w:val="007328CD"/>
    <w:rsid w:val="00732A47"/>
    <w:rsid w:val="00732AAD"/>
    <w:rsid w:val="00732B2C"/>
    <w:rsid w:val="00732EDF"/>
    <w:rsid w:val="00732F08"/>
    <w:rsid w:val="00733062"/>
    <w:rsid w:val="0073306D"/>
    <w:rsid w:val="007330B9"/>
    <w:rsid w:val="007330BE"/>
    <w:rsid w:val="0073314A"/>
    <w:rsid w:val="007331E5"/>
    <w:rsid w:val="0073326E"/>
    <w:rsid w:val="00733800"/>
    <w:rsid w:val="00733917"/>
    <w:rsid w:val="00733A1C"/>
    <w:rsid w:val="00733A42"/>
    <w:rsid w:val="00733B64"/>
    <w:rsid w:val="00733E5D"/>
    <w:rsid w:val="00733EAB"/>
    <w:rsid w:val="00733F3C"/>
    <w:rsid w:val="00733FA5"/>
    <w:rsid w:val="007341A1"/>
    <w:rsid w:val="00734292"/>
    <w:rsid w:val="00734370"/>
    <w:rsid w:val="007343E5"/>
    <w:rsid w:val="007345B6"/>
    <w:rsid w:val="007345BE"/>
    <w:rsid w:val="007345CA"/>
    <w:rsid w:val="007346D3"/>
    <w:rsid w:val="007348A6"/>
    <w:rsid w:val="00734B6B"/>
    <w:rsid w:val="00734C69"/>
    <w:rsid w:val="00734C8F"/>
    <w:rsid w:val="00734D78"/>
    <w:rsid w:val="00734E3F"/>
    <w:rsid w:val="00734EC4"/>
    <w:rsid w:val="00734FDA"/>
    <w:rsid w:val="00734FE3"/>
    <w:rsid w:val="00734FF4"/>
    <w:rsid w:val="0073505E"/>
    <w:rsid w:val="00735086"/>
    <w:rsid w:val="007352AF"/>
    <w:rsid w:val="00735402"/>
    <w:rsid w:val="007357E0"/>
    <w:rsid w:val="007358CA"/>
    <w:rsid w:val="007359FD"/>
    <w:rsid w:val="00735A0A"/>
    <w:rsid w:val="00735A33"/>
    <w:rsid w:val="00735A54"/>
    <w:rsid w:val="00735BC2"/>
    <w:rsid w:val="00735C25"/>
    <w:rsid w:val="00735C27"/>
    <w:rsid w:val="00735C81"/>
    <w:rsid w:val="00735DF0"/>
    <w:rsid w:val="00735EA5"/>
    <w:rsid w:val="00735EF5"/>
    <w:rsid w:val="00736276"/>
    <w:rsid w:val="0073633D"/>
    <w:rsid w:val="007364EE"/>
    <w:rsid w:val="007365CC"/>
    <w:rsid w:val="007366A2"/>
    <w:rsid w:val="007366D3"/>
    <w:rsid w:val="00736737"/>
    <w:rsid w:val="00736785"/>
    <w:rsid w:val="00736B8B"/>
    <w:rsid w:val="00736CC8"/>
    <w:rsid w:val="00736D05"/>
    <w:rsid w:val="00736D91"/>
    <w:rsid w:val="00736E15"/>
    <w:rsid w:val="00736FD4"/>
    <w:rsid w:val="00736FFA"/>
    <w:rsid w:val="007370F7"/>
    <w:rsid w:val="007372C8"/>
    <w:rsid w:val="00737334"/>
    <w:rsid w:val="00737356"/>
    <w:rsid w:val="0073740D"/>
    <w:rsid w:val="00737629"/>
    <w:rsid w:val="007376BD"/>
    <w:rsid w:val="0073777E"/>
    <w:rsid w:val="007377DA"/>
    <w:rsid w:val="007377DF"/>
    <w:rsid w:val="00737865"/>
    <w:rsid w:val="00737C1F"/>
    <w:rsid w:val="00737D59"/>
    <w:rsid w:val="00737EAA"/>
    <w:rsid w:val="00740205"/>
    <w:rsid w:val="0074086F"/>
    <w:rsid w:val="00740996"/>
    <w:rsid w:val="00740CEB"/>
    <w:rsid w:val="0074120B"/>
    <w:rsid w:val="007413B5"/>
    <w:rsid w:val="00741445"/>
    <w:rsid w:val="007414D7"/>
    <w:rsid w:val="00741636"/>
    <w:rsid w:val="0074167F"/>
    <w:rsid w:val="007417FA"/>
    <w:rsid w:val="00741801"/>
    <w:rsid w:val="00741998"/>
    <w:rsid w:val="007419F8"/>
    <w:rsid w:val="00741BEA"/>
    <w:rsid w:val="00741DE9"/>
    <w:rsid w:val="00741E74"/>
    <w:rsid w:val="00741EF5"/>
    <w:rsid w:val="00741F9A"/>
    <w:rsid w:val="0074212A"/>
    <w:rsid w:val="007421C1"/>
    <w:rsid w:val="007422FA"/>
    <w:rsid w:val="0074240F"/>
    <w:rsid w:val="007424D0"/>
    <w:rsid w:val="007424EC"/>
    <w:rsid w:val="007429A1"/>
    <w:rsid w:val="00742A5E"/>
    <w:rsid w:val="00742C02"/>
    <w:rsid w:val="00742D28"/>
    <w:rsid w:val="00742DB0"/>
    <w:rsid w:val="00742E02"/>
    <w:rsid w:val="00742F4D"/>
    <w:rsid w:val="00742F52"/>
    <w:rsid w:val="00742F74"/>
    <w:rsid w:val="00743004"/>
    <w:rsid w:val="007431F2"/>
    <w:rsid w:val="00743278"/>
    <w:rsid w:val="007437A0"/>
    <w:rsid w:val="00743A19"/>
    <w:rsid w:val="00743B62"/>
    <w:rsid w:val="00743B8D"/>
    <w:rsid w:val="00743BA9"/>
    <w:rsid w:val="00743D0B"/>
    <w:rsid w:val="00743DE7"/>
    <w:rsid w:val="00743EBF"/>
    <w:rsid w:val="00743FB4"/>
    <w:rsid w:val="00744054"/>
    <w:rsid w:val="00744104"/>
    <w:rsid w:val="00744474"/>
    <w:rsid w:val="00744585"/>
    <w:rsid w:val="007445F6"/>
    <w:rsid w:val="00744996"/>
    <w:rsid w:val="00744ABC"/>
    <w:rsid w:val="00744C34"/>
    <w:rsid w:val="00744C4A"/>
    <w:rsid w:val="00744CC1"/>
    <w:rsid w:val="00745056"/>
    <w:rsid w:val="007451E4"/>
    <w:rsid w:val="00745295"/>
    <w:rsid w:val="0074529D"/>
    <w:rsid w:val="00745402"/>
    <w:rsid w:val="007457D0"/>
    <w:rsid w:val="007458E8"/>
    <w:rsid w:val="00745986"/>
    <w:rsid w:val="007459DE"/>
    <w:rsid w:val="00745BCA"/>
    <w:rsid w:val="00745E5F"/>
    <w:rsid w:val="00745EF3"/>
    <w:rsid w:val="00746082"/>
    <w:rsid w:val="00746104"/>
    <w:rsid w:val="00746236"/>
    <w:rsid w:val="007464D4"/>
    <w:rsid w:val="0074653C"/>
    <w:rsid w:val="00746612"/>
    <w:rsid w:val="0074676C"/>
    <w:rsid w:val="007469B5"/>
    <w:rsid w:val="00746B7E"/>
    <w:rsid w:val="00746C4D"/>
    <w:rsid w:val="00746D0E"/>
    <w:rsid w:val="00746D20"/>
    <w:rsid w:val="00746D50"/>
    <w:rsid w:val="00746E52"/>
    <w:rsid w:val="0074702A"/>
    <w:rsid w:val="00747041"/>
    <w:rsid w:val="00747131"/>
    <w:rsid w:val="00747177"/>
    <w:rsid w:val="00747374"/>
    <w:rsid w:val="007474B4"/>
    <w:rsid w:val="007476B7"/>
    <w:rsid w:val="007478BB"/>
    <w:rsid w:val="00747A72"/>
    <w:rsid w:val="00747A9C"/>
    <w:rsid w:val="00747B5B"/>
    <w:rsid w:val="00747E4D"/>
    <w:rsid w:val="00747E9A"/>
    <w:rsid w:val="00747EA1"/>
    <w:rsid w:val="007500A3"/>
    <w:rsid w:val="0075016B"/>
    <w:rsid w:val="0075037F"/>
    <w:rsid w:val="00750443"/>
    <w:rsid w:val="007504A0"/>
    <w:rsid w:val="007504BD"/>
    <w:rsid w:val="007505B7"/>
    <w:rsid w:val="00750679"/>
    <w:rsid w:val="00750690"/>
    <w:rsid w:val="0075093D"/>
    <w:rsid w:val="007509A0"/>
    <w:rsid w:val="00750AC2"/>
    <w:rsid w:val="00750B95"/>
    <w:rsid w:val="00750C2F"/>
    <w:rsid w:val="00750DEE"/>
    <w:rsid w:val="00750EE7"/>
    <w:rsid w:val="00750F66"/>
    <w:rsid w:val="007510D0"/>
    <w:rsid w:val="007516B9"/>
    <w:rsid w:val="007518FE"/>
    <w:rsid w:val="007519AF"/>
    <w:rsid w:val="00751C83"/>
    <w:rsid w:val="00751C9D"/>
    <w:rsid w:val="00751CB4"/>
    <w:rsid w:val="00752151"/>
    <w:rsid w:val="007521B6"/>
    <w:rsid w:val="00752263"/>
    <w:rsid w:val="0075226B"/>
    <w:rsid w:val="007526CB"/>
    <w:rsid w:val="0075270C"/>
    <w:rsid w:val="0075275D"/>
    <w:rsid w:val="00752865"/>
    <w:rsid w:val="0075287D"/>
    <w:rsid w:val="00752AAE"/>
    <w:rsid w:val="00752AEE"/>
    <w:rsid w:val="00752C6F"/>
    <w:rsid w:val="00752F57"/>
    <w:rsid w:val="00753069"/>
    <w:rsid w:val="007530F9"/>
    <w:rsid w:val="00753104"/>
    <w:rsid w:val="007531E7"/>
    <w:rsid w:val="007534FD"/>
    <w:rsid w:val="00753B6F"/>
    <w:rsid w:val="00753C4F"/>
    <w:rsid w:val="00753CE3"/>
    <w:rsid w:val="00753E34"/>
    <w:rsid w:val="00754130"/>
    <w:rsid w:val="00754272"/>
    <w:rsid w:val="00754337"/>
    <w:rsid w:val="00754541"/>
    <w:rsid w:val="007548A6"/>
    <w:rsid w:val="00754918"/>
    <w:rsid w:val="0075495E"/>
    <w:rsid w:val="00754998"/>
    <w:rsid w:val="007549E6"/>
    <w:rsid w:val="00754BE3"/>
    <w:rsid w:val="00754C7C"/>
    <w:rsid w:val="00754DC4"/>
    <w:rsid w:val="00754E2F"/>
    <w:rsid w:val="00754E77"/>
    <w:rsid w:val="00754F99"/>
    <w:rsid w:val="00754FB8"/>
    <w:rsid w:val="007551DD"/>
    <w:rsid w:val="007559E7"/>
    <w:rsid w:val="00755B2E"/>
    <w:rsid w:val="00755D61"/>
    <w:rsid w:val="00755DA6"/>
    <w:rsid w:val="00755DCD"/>
    <w:rsid w:val="00755F14"/>
    <w:rsid w:val="0075607F"/>
    <w:rsid w:val="0075615D"/>
    <w:rsid w:val="007562A4"/>
    <w:rsid w:val="0075633F"/>
    <w:rsid w:val="0075639A"/>
    <w:rsid w:val="007564DA"/>
    <w:rsid w:val="0075664B"/>
    <w:rsid w:val="00756659"/>
    <w:rsid w:val="00756839"/>
    <w:rsid w:val="00756923"/>
    <w:rsid w:val="00756AB7"/>
    <w:rsid w:val="00756D8D"/>
    <w:rsid w:val="00756E03"/>
    <w:rsid w:val="00756F21"/>
    <w:rsid w:val="00757083"/>
    <w:rsid w:val="0075718B"/>
    <w:rsid w:val="007571B0"/>
    <w:rsid w:val="0075736E"/>
    <w:rsid w:val="007574C4"/>
    <w:rsid w:val="00757698"/>
    <w:rsid w:val="0075770A"/>
    <w:rsid w:val="0075772A"/>
    <w:rsid w:val="00757770"/>
    <w:rsid w:val="007579CF"/>
    <w:rsid w:val="007579DB"/>
    <w:rsid w:val="007579E1"/>
    <w:rsid w:val="00757AC6"/>
    <w:rsid w:val="00757C67"/>
    <w:rsid w:val="00757CE8"/>
    <w:rsid w:val="00757D34"/>
    <w:rsid w:val="00757DC6"/>
    <w:rsid w:val="00757FB7"/>
    <w:rsid w:val="00760017"/>
    <w:rsid w:val="007600D4"/>
    <w:rsid w:val="00760398"/>
    <w:rsid w:val="007603AD"/>
    <w:rsid w:val="0076046F"/>
    <w:rsid w:val="0076069E"/>
    <w:rsid w:val="0076073C"/>
    <w:rsid w:val="007607C4"/>
    <w:rsid w:val="00760881"/>
    <w:rsid w:val="00760BB2"/>
    <w:rsid w:val="00760C84"/>
    <w:rsid w:val="00760C91"/>
    <w:rsid w:val="00760CA6"/>
    <w:rsid w:val="00760D2A"/>
    <w:rsid w:val="00760DD7"/>
    <w:rsid w:val="00760F6E"/>
    <w:rsid w:val="007611F2"/>
    <w:rsid w:val="00761293"/>
    <w:rsid w:val="00761474"/>
    <w:rsid w:val="007615B2"/>
    <w:rsid w:val="007615DB"/>
    <w:rsid w:val="00761686"/>
    <w:rsid w:val="007616EB"/>
    <w:rsid w:val="0076170C"/>
    <w:rsid w:val="00761836"/>
    <w:rsid w:val="0076188A"/>
    <w:rsid w:val="00761988"/>
    <w:rsid w:val="007619A0"/>
    <w:rsid w:val="007619C1"/>
    <w:rsid w:val="00761ABA"/>
    <w:rsid w:val="00761ABF"/>
    <w:rsid w:val="00761BF1"/>
    <w:rsid w:val="00761C52"/>
    <w:rsid w:val="00761FF7"/>
    <w:rsid w:val="00762032"/>
    <w:rsid w:val="00762067"/>
    <w:rsid w:val="007620BB"/>
    <w:rsid w:val="007620F7"/>
    <w:rsid w:val="007622E4"/>
    <w:rsid w:val="00762386"/>
    <w:rsid w:val="0076268F"/>
    <w:rsid w:val="007626A1"/>
    <w:rsid w:val="007626EA"/>
    <w:rsid w:val="00762787"/>
    <w:rsid w:val="0076286D"/>
    <w:rsid w:val="007628F3"/>
    <w:rsid w:val="007629E6"/>
    <w:rsid w:val="00762D30"/>
    <w:rsid w:val="00762D98"/>
    <w:rsid w:val="00762E61"/>
    <w:rsid w:val="0076322B"/>
    <w:rsid w:val="00763364"/>
    <w:rsid w:val="0076340F"/>
    <w:rsid w:val="00763427"/>
    <w:rsid w:val="0076344D"/>
    <w:rsid w:val="007635F2"/>
    <w:rsid w:val="00763847"/>
    <w:rsid w:val="007638F5"/>
    <w:rsid w:val="007639E6"/>
    <w:rsid w:val="00763BB9"/>
    <w:rsid w:val="00763BFF"/>
    <w:rsid w:val="00763C7C"/>
    <w:rsid w:val="00763E8E"/>
    <w:rsid w:val="00763E94"/>
    <w:rsid w:val="00763F1D"/>
    <w:rsid w:val="00763F51"/>
    <w:rsid w:val="00763FB9"/>
    <w:rsid w:val="007640A7"/>
    <w:rsid w:val="0076411D"/>
    <w:rsid w:val="00764123"/>
    <w:rsid w:val="00764140"/>
    <w:rsid w:val="0076416E"/>
    <w:rsid w:val="007642BB"/>
    <w:rsid w:val="00764384"/>
    <w:rsid w:val="0076439E"/>
    <w:rsid w:val="00764472"/>
    <w:rsid w:val="0076449E"/>
    <w:rsid w:val="00764726"/>
    <w:rsid w:val="00764760"/>
    <w:rsid w:val="00764956"/>
    <w:rsid w:val="0076498C"/>
    <w:rsid w:val="00764A0D"/>
    <w:rsid w:val="00764A8D"/>
    <w:rsid w:val="00764D18"/>
    <w:rsid w:val="00764E62"/>
    <w:rsid w:val="00765020"/>
    <w:rsid w:val="00765287"/>
    <w:rsid w:val="007652C6"/>
    <w:rsid w:val="00765462"/>
    <w:rsid w:val="007655CA"/>
    <w:rsid w:val="00765644"/>
    <w:rsid w:val="007656E9"/>
    <w:rsid w:val="00765774"/>
    <w:rsid w:val="00765917"/>
    <w:rsid w:val="00765A0A"/>
    <w:rsid w:val="00765D51"/>
    <w:rsid w:val="00765DDE"/>
    <w:rsid w:val="00765FFC"/>
    <w:rsid w:val="00766000"/>
    <w:rsid w:val="0076606A"/>
    <w:rsid w:val="00766163"/>
    <w:rsid w:val="0076621A"/>
    <w:rsid w:val="00766267"/>
    <w:rsid w:val="00766329"/>
    <w:rsid w:val="00766364"/>
    <w:rsid w:val="007663C6"/>
    <w:rsid w:val="007666B6"/>
    <w:rsid w:val="007666CC"/>
    <w:rsid w:val="0076679F"/>
    <w:rsid w:val="00766864"/>
    <w:rsid w:val="0076686C"/>
    <w:rsid w:val="00766936"/>
    <w:rsid w:val="00766AD9"/>
    <w:rsid w:val="00766B49"/>
    <w:rsid w:val="00766C49"/>
    <w:rsid w:val="00766F67"/>
    <w:rsid w:val="00766FAD"/>
    <w:rsid w:val="00766FF7"/>
    <w:rsid w:val="00767136"/>
    <w:rsid w:val="00767422"/>
    <w:rsid w:val="0076762F"/>
    <w:rsid w:val="00767790"/>
    <w:rsid w:val="0076779A"/>
    <w:rsid w:val="007678C9"/>
    <w:rsid w:val="00767919"/>
    <w:rsid w:val="00767B8D"/>
    <w:rsid w:val="00770247"/>
    <w:rsid w:val="0077039A"/>
    <w:rsid w:val="0077040C"/>
    <w:rsid w:val="0077056D"/>
    <w:rsid w:val="00770730"/>
    <w:rsid w:val="0077073B"/>
    <w:rsid w:val="00770758"/>
    <w:rsid w:val="00770805"/>
    <w:rsid w:val="00770919"/>
    <w:rsid w:val="00770968"/>
    <w:rsid w:val="007709BF"/>
    <w:rsid w:val="00770C99"/>
    <w:rsid w:val="00770CFD"/>
    <w:rsid w:val="00770D15"/>
    <w:rsid w:val="00770D32"/>
    <w:rsid w:val="00770E44"/>
    <w:rsid w:val="00770FC3"/>
    <w:rsid w:val="00771045"/>
    <w:rsid w:val="00771049"/>
    <w:rsid w:val="0077107E"/>
    <w:rsid w:val="007710E5"/>
    <w:rsid w:val="00771253"/>
    <w:rsid w:val="007712C9"/>
    <w:rsid w:val="0077163A"/>
    <w:rsid w:val="00771B0E"/>
    <w:rsid w:val="00771CBD"/>
    <w:rsid w:val="00771D75"/>
    <w:rsid w:val="00771FC6"/>
    <w:rsid w:val="00772057"/>
    <w:rsid w:val="0077226F"/>
    <w:rsid w:val="0077233C"/>
    <w:rsid w:val="00772355"/>
    <w:rsid w:val="007723CD"/>
    <w:rsid w:val="00772423"/>
    <w:rsid w:val="00772458"/>
    <w:rsid w:val="007724C0"/>
    <w:rsid w:val="007726A8"/>
    <w:rsid w:val="00772728"/>
    <w:rsid w:val="007727AF"/>
    <w:rsid w:val="00772D42"/>
    <w:rsid w:val="007733A8"/>
    <w:rsid w:val="0077362F"/>
    <w:rsid w:val="0077378A"/>
    <w:rsid w:val="007738C4"/>
    <w:rsid w:val="007739B7"/>
    <w:rsid w:val="00773A48"/>
    <w:rsid w:val="00773A9F"/>
    <w:rsid w:val="00773B08"/>
    <w:rsid w:val="00773B24"/>
    <w:rsid w:val="00773BC4"/>
    <w:rsid w:val="00773C3B"/>
    <w:rsid w:val="00773D98"/>
    <w:rsid w:val="00773ED9"/>
    <w:rsid w:val="007741DB"/>
    <w:rsid w:val="00774268"/>
    <w:rsid w:val="007742EB"/>
    <w:rsid w:val="007747A0"/>
    <w:rsid w:val="00774827"/>
    <w:rsid w:val="00774893"/>
    <w:rsid w:val="0077492B"/>
    <w:rsid w:val="00774B16"/>
    <w:rsid w:val="00774DE8"/>
    <w:rsid w:val="00774FAA"/>
    <w:rsid w:val="00774FCE"/>
    <w:rsid w:val="007751C3"/>
    <w:rsid w:val="007752AA"/>
    <w:rsid w:val="0077530C"/>
    <w:rsid w:val="00775322"/>
    <w:rsid w:val="00775430"/>
    <w:rsid w:val="0077553E"/>
    <w:rsid w:val="00775580"/>
    <w:rsid w:val="00775631"/>
    <w:rsid w:val="007759F2"/>
    <w:rsid w:val="00775B56"/>
    <w:rsid w:val="00775BC6"/>
    <w:rsid w:val="00775BD0"/>
    <w:rsid w:val="00775C40"/>
    <w:rsid w:val="0077600A"/>
    <w:rsid w:val="007760BB"/>
    <w:rsid w:val="00776135"/>
    <w:rsid w:val="00776540"/>
    <w:rsid w:val="007765DB"/>
    <w:rsid w:val="00776884"/>
    <w:rsid w:val="00776900"/>
    <w:rsid w:val="00776C0F"/>
    <w:rsid w:val="00776ED2"/>
    <w:rsid w:val="00777083"/>
    <w:rsid w:val="007770C8"/>
    <w:rsid w:val="00777160"/>
    <w:rsid w:val="0077738D"/>
    <w:rsid w:val="007773FF"/>
    <w:rsid w:val="007774D7"/>
    <w:rsid w:val="00777554"/>
    <w:rsid w:val="0077777B"/>
    <w:rsid w:val="007777E8"/>
    <w:rsid w:val="00777831"/>
    <w:rsid w:val="007779C0"/>
    <w:rsid w:val="00777AE7"/>
    <w:rsid w:val="00777B91"/>
    <w:rsid w:val="00777CF0"/>
    <w:rsid w:val="00777E0D"/>
    <w:rsid w:val="00777EA2"/>
    <w:rsid w:val="00777EFF"/>
    <w:rsid w:val="00777F66"/>
    <w:rsid w:val="007800F9"/>
    <w:rsid w:val="00780118"/>
    <w:rsid w:val="00780177"/>
    <w:rsid w:val="00780249"/>
    <w:rsid w:val="007802ED"/>
    <w:rsid w:val="007804E2"/>
    <w:rsid w:val="00780744"/>
    <w:rsid w:val="007807CE"/>
    <w:rsid w:val="00780895"/>
    <w:rsid w:val="007809A7"/>
    <w:rsid w:val="00780A0C"/>
    <w:rsid w:val="00780A78"/>
    <w:rsid w:val="00780B17"/>
    <w:rsid w:val="00780C1A"/>
    <w:rsid w:val="00780FF0"/>
    <w:rsid w:val="00781043"/>
    <w:rsid w:val="00781082"/>
    <w:rsid w:val="007811C9"/>
    <w:rsid w:val="007813B8"/>
    <w:rsid w:val="007813BC"/>
    <w:rsid w:val="007814B8"/>
    <w:rsid w:val="00781568"/>
    <w:rsid w:val="00781626"/>
    <w:rsid w:val="007816AC"/>
    <w:rsid w:val="007816FE"/>
    <w:rsid w:val="0078172D"/>
    <w:rsid w:val="00781739"/>
    <w:rsid w:val="00781744"/>
    <w:rsid w:val="00781787"/>
    <w:rsid w:val="00781822"/>
    <w:rsid w:val="00781932"/>
    <w:rsid w:val="007819E2"/>
    <w:rsid w:val="00781BCE"/>
    <w:rsid w:val="00781BDD"/>
    <w:rsid w:val="00781D01"/>
    <w:rsid w:val="00781DED"/>
    <w:rsid w:val="00781EA8"/>
    <w:rsid w:val="00781EB9"/>
    <w:rsid w:val="00782095"/>
    <w:rsid w:val="0078244A"/>
    <w:rsid w:val="00782643"/>
    <w:rsid w:val="0078297C"/>
    <w:rsid w:val="00782A25"/>
    <w:rsid w:val="00782B43"/>
    <w:rsid w:val="00782D1A"/>
    <w:rsid w:val="00782D41"/>
    <w:rsid w:val="00782DE0"/>
    <w:rsid w:val="00782FB6"/>
    <w:rsid w:val="00783505"/>
    <w:rsid w:val="007837EE"/>
    <w:rsid w:val="0078398C"/>
    <w:rsid w:val="00783A16"/>
    <w:rsid w:val="00783E7B"/>
    <w:rsid w:val="00783EDF"/>
    <w:rsid w:val="00783F00"/>
    <w:rsid w:val="00784119"/>
    <w:rsid w:val="00784178"/>
    <w:rsid w:val="007843F7"/>
    <w:rsid w:val="00784649"/>
    <w:rsid w:val="0078465B"/>
    <w:rsid w:val="00784744"/>
    <w:rsid w:val="007848BE"/>
    <w:rsid w:val="00784943"/>
    <w:rsid w:val="00784EE1"/>
    <w:rsid w:val="00784F8D"/>
    <w:rsid w:val="00784FBB"/>
    <w:rsid w:val="00785098"/>
    <w:rsid w:val="007852A5"/>
    <w:rsid w:val="0078531F"/>
    <w:rsid w:val="00785340"/>
    <w:rsid w:val="007854D5"/>
    <w:rsid w:val="0078559F"/>
    <w:rsid w:val="0078568C"/>
    <w:rsid w:val="007856C5"/>
    <w:rsid w:val="00785B06"/>
    <w:rsid w:val="00785B7A"/>
    <w:rsid w:val="00785B82"/>
    <w:rsid w:val="00785DA1"/>
    <w:rsid w:val="00785F10"/>
    <w:rsid w:val="0078612E"/>
    <w:rsid w:val="00786141"/>
    <w:rsid w:val="007862BA"/>
    <w:rsid w:val="007862BB"/>
    <w:rsid w:val="007864BD"/>
    <w:rsid w:val="007864C2"/>
    <w:rsid w:val="00786783"/>
    <w:rsid w:val="0078681D"/>
    <w:rsid w:val="00786B88"/>
    <w:rsid w:val="00786F28"/>
    <w:rsid w:val="007871F6"/>
    <w:rsid w:val="007874F0"/>
    <w:rsid w:val="00787607"/>
    <w:rsid w:val="007876E8"/>
    <w:rsid w:val="0078799C"/>
    <w:rsid w:val="007879B3"/>
    <w:rsid w:val="00787A8E"/>
    <w:rsid w:val="00787B7D"/>
    <w:rsid w:val="00787C24"/>
    <w:rsid w:val="00787FDF"/>
    <w:rsid w:val="00790131"/>
    <w:rsid w:val="0079016C"/>
    <w:rsid w:val="0079028E"/>
    <w:rsid w:val="007903BA"/>
    <w:rsid w:val="00790547"/>
    <w:rsid w:val="007906DE"/>
    <w:rsid w:val="00790730"/>
    <w:rsid w:val="00790796"/>
    <w:rsid w:val="007908C1"/>
    <w:rsid w:val="00790AFA"/>
    <w:rsid w:val="00790B77"/>
    <w:rsid w:val="00790D98"/>
    <w:rsid w:val="00790E5E"/>
    <w:rsid w:val="00791120"/>
    <w:rsid w:val="00791263"/>
    <w:rsid w:val="00791304"/>
    <w:rsid w:val="007915F9"/>
    <w:rsid w:val="00791602"/>
    <w:rsid w:val="007918A2"/>
    <w:rsid w:val="007918F2"/>
    <w:rsid w:val="00791D35"/>
    <w:rsid w:val="00791EF9"/>
    <w:rsid w:val="0079200D"/>
    <w:rsid w:val="007921A2"/>
    <w:rsid w:val="00792208"/>
    <w:rsid w:val="0079257C"/>
    <w:rsid w:val="00792679"/>
    <w:rsid w:val="007926B6"/>
    <w:rsid w:val="007928FA"/>
    <w:rsid w:val="0079294D"/>
    <w:rsid w:val="00792D3D"/>
    <w:rsid w:val="00792DB2"/>
    <w:rsid w:val="00792E91"/>
    <w:rsid w:val="00792EC7"/>
    <w:rsid w:val="0079349F"/>
    <w:rsid w:val="00793574"/>
    <w:rsid w:val="00793671"/>
    <w:rsid w:val="007937B6"/>
    <w:rsid w:val="007939FD"/>
    <w:rsid w:val="00793AFE"/>
    <w:rsid w:val="00793B7E"/>
    <w:rsid w:val="00793BA9"/>
    <w:rsid w:val="00793BE5"/>
    <w:rsid w:val="00793C73"/>
    <w:rsid w:val="00793E96"/>
    <w:rsid w:val="007941E8"/>
    <w:rsid w:val="007941F8"/>
    <w:rsid w:val="00794226"/>
    <w:rsid w:val="00794391"/>
    <w:rsid w:val="0079470A"/>
    <w:rsid w:val="00794AC9"/>
    <w:rsid w:val="00794BD1"/>
    <w:rsid w:val="00794CBB"/>
    <w:rsid w:val="00794D2D"/>
    <w:rsid w:val="00795119"/>
    <w:rsid w:val="007951E8"/>
    <w:rsid w:val="00795204"/>
    <w:rsid w:val="0079521A"/>
    <w:rsid w:val="0079576A"/>
    <w:rsid w:val="0079577A"/>
    <w:rsid w:val="00795803"/>
    <w:rsid w:val="0079589E"/>
    <w:rsid w:val="00795A6F"/>
    <w:rsid w:val="00795ABB"/>
    <w:rsid w:val="00795BF1"/>
    <w:rsid w:val="00795CA7"/>
    <w:rsid w:val="00795D19"/>
    <w:rsid w:val="00795D99"/>
    <w:rsid w:val="00795DA6"/>
    <w:rsid w:val="00795F74"/>
    <w:rsid w:val="00795FAB"/>
    <w:rsid w:val="00795FC2"/>
    <w:rsid w:val="00796371"/>
    <w:rsid w:val="0079639D"/>
    <w:rsid w:val="00796A4F"/>
    <w:rsid w:val="00796BB0"/>
    <w:rsid w:val="00796BB3"/>
    <w:rsid w:val="00796C24"/>
    <w:rsid w:val="00796C9A"/>
    <w:rsid w:val="00796F26"/>
    <w:rsid w:val="00796F93"/>
    <w:rsid w:val="0079702F"/>
    <w:rsid w:val="00797054"/>
    <w:rsid w:val="0079716A"/>
    <w:rsid w:val="007972CD"/>
    <w:rsid w:val="00797444"/>
    <w:rsid w:val="007974AC"/>
    <w:rsid w:val="007975FF"/>
    <w:rsid w:val="00797816"/>
    <w:rsid w:val="00797849"/>
    <w:rsid w:val="007978B1"/>
    <w:rsid w:val="00797929"/>
    <w:rsid w:val="00797B41"/>
    <w:rsid w:val="00797CA0"/>
    <w:rsid w:val="00797CB8"/>
    <w:rsid w:val="00797EFA"/>
    <w:rsid w:val="007A000A"/>
    <w:rsid w:val="007A0310"/>
    <w:rsid w:val="007A0499"/>
    <w:rsid w:val="007A073F"/>
    <w:rsid w:val="007A07D5"/>
    <w:rsid w:val="007A0AB5"/>
    <w:rsid w:val="007A0B88"/>
    <w:rsid w:val="007A0EAA"/>
    <w:rsid w:val="007A0EC1"/>
    <w:rsid w:val="007A1023"/>
    <w:rsid w:val="007A113B"/>
    <w:rsid w:val="007A1400"/>
    <w:rsid w:val="007A15B2"/>
    <w:rsid w:val="007A1A09"/>
    <w:rsid w:val="007A1A9A"/>
    <w:rsid w:val="007A1B54"/>
    <w:rsid w:val="007A1C96"/>
    <w:rsid w:val="007A1E1A"/>
    <w:rsid w:val="007A1EEC"/>
    <w:rsid w:val="007A1EF8"/>
    <w:rsid w:val="007A1EFA"/>
    <w:rsid w:val="007A21D8"/>
    <w:rsid w:val="007A22B0"/>
    <w:rsid w:val="007A22C0"/>
    <w:rsid w:val="007A2946"/>
    <w:rsid w:val="007A2A02"/>
    <w:rsid w:val="007A2DD6"/>
    <w:rsid w:val="007A2DE0"/>
    <w:rsid w:val="007A30A3"/>
    <w:rsid w:val="007A3192"/>
    <w:rsid w:val="007A3328"/>
    <w:rsid w:val="007A345E"/>
    <w:rsid w:val="007A3528"/>
    <w:rsid w:val="007A35A5"/>
    <w:rsid w:val="007A35B4"/>
    <w:rsid w:val="007A368E"/>
    <w:rsid w:val="007A383E"/>
    <w:rsid w:val="007A39F3"/>
    <w:rsid w:val="007A3D74"/>
    <w:rsid w:val="007A3E89"/>
    <w:rsid w:val="007A43D6"/>
    <w:rsid w:val="007A450A"/>
    <w:rsid w:val="007A46D7"/>
    <w:rsid w:val="007A476B"/>
    <w:rsid w:val="007A48A0"/>
    <w:rsid w:val="007A4E3E"/>
    <w:rsid w:val="007A4E61"/>
    <w:rsid w:val="007A4F74"/>
    <w:rsid w:val="007A5181"/>
    <w:rsid w:val="007A529C"/>
    <w:rsid w:val="007A52F6"/>
    <w:rsid w:val="007A56E6"/>
    <w:rsid w:val="007A5793"/>
    <w:rsid w:val="007A589C"/>
    <w:rsid w:val="007A5AC1"/>
    <w:rsid w:val="007A5B60"/>
    <w:rsid w:val="007A5BA7"/>
    <w:rsid w:val="007A5D7A"/>
    <w:rsid w:val="007A5DFB"/>
    <w:rsid w:val="007A5ED6"/>
    <w:rsid w:val="007A5F40"/>
    <w:rsid w:val="007A5F7C"/>
    <w:rsid w:val="007A5FD6"/>
    <w:rsid w:val="007A610B"/>
    <w:rsid w:val="007A6342"/>
    <w:rsid w:val="007A641B"/>
    <w:rsid w:val="007A684E"/>
    <w:rsid w:val="007A68E4"/>
    <w:rsid w:val="007A6A16"/>
    <w:rsid w:val="007A6C8B"/>
    <w:rsid w:val="007A6D0C"/>
    <w:rsid w:val="007A6E61"/>
    <w:rsid w:val="007A6EEA"/>
    <w:rsid w:val="007A6FE7"/>
    <w:rsid w:val="007A7083"/>
    <w:rsid w:val="007A71FC"/>
    <w:rsid w:val="007A747C"/>
    <w:rsid w:val="007A748D"/>
    <w:rsid w:val="007A7617"/>
    <w:rsid w:val="007A783B"/>
    <w:rsid w:val="007A7ACD"/>
    <w:rsid w:val="007A7BC1"/>
    <w:rsid w:val="007A7BF3"/>
    <w:rsid w:val="007A7C9D"/>
    <w:rsid w:val="007B007B"/>
    <w:rsid w:val="007B00ED"/>
    <w:rsid w:val="007B028D"/>
    <w:rsid w:val="007B037D"/>
    <w:rsid w:val="007B0380"/>
    <w:rsid w:val="007B04E0"/>
    <w:rsid w:val="007B056E"/>
    <w:rsid w:val="007B0725"/>
    <w:rsid w:val="007B07E1"/>
    <w:rsid w:val="007B088A"/>
    <w:rsid w:val="007B0914"/>
    <w:rsid w:val="007B0AAA"/>
    <w:rsid w:val="007B0C7B"/>
    <w:rsid w:val="007B0D4C"/>
    <w:rsid w:val="007B0E86"/>
    <w:rsid w:val="007B0ED4"/>
    <w:rsid w:val="007B1320"/>
    <w:rsid w:val="007B135F"/>
    <w:rsid w:val="007B14F8"/>
    <w:rsid w:val="007B1711"/>
    <w:rsid w:val="007B17E7"/>
    <w:rsid w:val="007B18A1"/>
    <w:rsid w:val="007B198A"/>
    <w:rsid w:val="007B19C4"/>
    <w:rsid w:val="007B19F3"/>
    <w:rsid w:val="007B1A0C"/>
    <w:rsid w:val="007B1D5A"/>
    <w:rsid w:val="007B1EA2"/>
    <w:rsid w:val="007B1ED6"/>
    <w:rsid w:val="007B1F68"/>
    <w:rsid w:val="007B20BC"/>
    <w:rsid w:val="007B214C"/>
    <w:rsid w:val="007B2305"/>
    <w:rsid w:val="007B2326"/>
    <w:rsid w:val="007B23CB"/>
    <w:rsid w:val="007B24CC"/>
    <w:rsid w:val="007B25F3"/>
    <w:rsid w:val="007B25FC"/>
    <w:rsid w:val="007B2703"/>
    <w:rsid w:val="007B28D6"/>
    <w:rsid w:val="007B2C0F"/>
    <w:rsid w:val="007B2CF6"/>
    <w:rsid w:val="007B2E1C"/>
    <w:rsid w:val="007B2EAB"/>
    <w:rsid w:val="007B305F"/>
    <w:rsid w:val="007B306D"/>
    <w:rsid w:val="007B3100"/>
    <w:rsid w:val="007B328B"/>
    <w:rsid w:val="007B34BB"/>
    <w:rsid w:val="007B3511"/>
    <w:rsid w:val="007B353D"/>
    <w:rsid w:val="007B358B"/>
    <w:rsid w:val="007B36CB"/>
    <w:rsid w:val="007B37AF"/>
    <w:rsid w:val="007B3990"/>
    <w:rsid w:val="007B39AE"/>
    <w:rsid w:val="007B39C5"/>
    <w:rsid w:val="007B3A6A"/>
    <w:rsid w:val="007B3CE5"/>
    <w:rsid w:val="007B3D5A"/>
    <w:rsid w:val="007B3E9C"/>
    <w:rsid w:val="007B3EAD"/>
    <w:rsid w:val="007B3FFE"/>
    <w:rsid w:val="007B41C7"/>
    <w:rsid w:val="007B44C9"/>
    <w:rsid w:val="007B44CD"/>
    <w:rsid w:val="007B46C8"/>
    <w:rsid w:val="007B470B"/>
    <w:rsid w:val="007B49C5"/>
    <w:rsid w:val="007B4BD2"/>
    <w:rsid w:val="007B4C98"/>
    <w:rsid w:val="007B4DE0"/>
    <w:rsid w:val="007B4DF2"/>
    <w:rsid w:val="007B4E8A"/>
    <w:rsid w:val="007B504C"/>
    <w:rsid w:val="007B50E9"/>
    <w:rsid w:val="007B5159"/>
    <w:rsid w:val="007B51A6"/>
    <w:rsid w:val="007B53C6"/>
    <w:rsid w:val="007B5475"/>
    <w:rsid w:val="007B5522"/>
    <w:rsid w:val="007B5974"/>
    <w:rsid w:val="007B59BB"/>
    <w:rsid w:val="007B59E8"/>
    <w:rsid w:val="007B5B2E"/>
    <w:rsid w:val="007B5C9F"/>
    <w:rsid w:val="007B5DBE"/>
    <w:rsid w:val="007B5E73"/>
    <w:rsid w:val="007B60DB"/>
    <w:rsid w:val="007B6133"/>
    <w:rsid w:val="007B61FA"/>
    <w:rsid w:val="007B6445"/>
    <w:rsid w:val="007B657B"/>
    <w:rsid w:val="007B6626"/>
    <w:rsid w:val="007B66C4"/>
    <w:rsid w:val="007B66FF"/>
    <w:rsid w:val="007B6879"/>
    <w:rsid w:val="007B68E4"/>
    <w:rsid w:val="007B6A38"/>
    <w:rsid w:val="007B6D97"/>
    <w:rsid w:val="007B6DD7"/>
    <w:rsid w:val="007B6E55"/>
    <w:rsid w:val="007B6EA6"/>
    <w:rsid w:val="007B6F4B"/>
    <w:rsid w:val="007B7019"/>
    <w:rsid w:val="007B71E1"/>
    <w:rsid w:val="007B7468"/>
    <w:rsid w:val="007B752B"/>
    <w:rsid w:val="007B7593"/>
    <w:rsid w:val="007B774C"/>
    <w:rsid w:val="007B77C0"/>
    <w:rsid w:val="007B782B"/>
    <w:rsid w:val="007B7993"/>
    <w:rsid w:val="007B7BB5"/>
    <w:rsid w:val="007B7C2D"/>
    <w:rsid w:val="007B7CF6"/>
    <w:rsid w:val="007B7D65"/>
    <w:rsid w:val="007B7FDB"/>
    <w:rsid w:val="007C049D"/>
    <w:rsid w:val="007C0509"/>
    <w:rsid w:val="007C06EE"/>
    <w:rsid w:val="007C078F"/>
    <w:rsid w:val="007C0C3D"/>
    <w:rsid w:val="007C0E97"/>
    <w:rsid w:val="007C0EB8"/>
    <w:rsid w:val="007C0F49"/>
    <w:rsid w:val="007C1033"/>
    <w:rsid w:val="007C10CF"/>
    <w:rsid w:val="007C1224"/>
    <w:rsid w:val="007C13D8"/>
    <w:rsid w:val="007C145E"/>
    <w:rsid w:val="007C14F8"/>
    <w:rsid w:val="007C1504"/>
    <w:rsid w:val="007C15FD"/>
    <w:rsid w:val="007C182C"/>
    <w:rsid w:val="007C1858"/>
    <w:rsid w:val="007C1928"/>
    <w:rsid w:val="007C19FF"/>
    <w:rsid w:val="007C1A84"/>
    <w:rsid w:val="007C1AB1"/>
    <w:rsid w:val="007C1B5B"/>
    <w:rsid w:val="007C1B7F"/>
    <w:rsid w:val="007C1C6A"/>
    <w:rsid w:val="007C1C6D"/>
    <w:rsid w:val="007C209F"/>
    <w:rsid w:val="007C20F9"/>
    <w:rsid w:val="007C2235"/>
    <w:rsid w:val="007C2292"/>
    <w:rsid w:val="007C235F"/>
    <w:rsid w:val="007C23BB"/>
    <w:rsid w:val="007C242C"/>
    <w:rsid w:val="007C24D1"/>
    <w:rsid w:val="007C26C9"/>
    <w:rsid w:val="007C2996"/>
    <w:rsid w:val="007C2A41"/>
    <w:rsid w:val="007C2B05"/>
    <w:rsid w:val="007C2B3C"/>
    <w:rsid w:val="007C2CAD"/>
    <w:rsid w:val="007C2DE3"/>
    <w:rsid w:val="007C2F68"/>
    <w:rsid w:val="007C3037"/>
    <w:rsid w:val="007C3078"/>
    <w:rsid w:val="007C317A"/>
    <w:rsid w:val="007C31C7"/>
    <w:rsid w:val="007C3420"/>
    <w:rsid w:val="007C3511"/>
    <w:rsid w:val="007C3531"/>
    <w:rsid w:val="007C36B6"/>
    <w:rsid w:val="007C36D9"/>
    <w:rsid w:val="007C36DE"/>
    <w:rsid w:val="007C3864"/>
    <w:rsid w:val="007C3CBF"/>
    <w:rsid w:val="007C3D4A"/>
    <w:rsid w:val="007C3DE0"/>
    <w:rsid w:val="007C3DEA"/>
    <w:rsid w:val="007C40AF"/>
    <w:rsid w:val="007C4175"/>
    <w:rsid w:val="007C42AD"/>
    <w:rsid w:val="007C43FA"/>
    <w:rsid w:val="007C45D5"/>
    <w:rsid w:val="007C4657"/>
    <w:rsid w:val="007C4689"/>
    <w:rsid w:val="007C4736"/>
    <w:rsid w:val="007C475D"/>
    <w:rsid w:val="007C47E7"/>
    <w:rsid w:val="007C4BF2"/>
    <w:rsid w:val="007C4E45"/>
    <w:rsid w:val="007C51CE"/>
    <w:rsid w:val="007C51E7"/>
    <w:rsid w:val="007C526F"/>
    <w:rsid w:val="007C52A8"/>
    <w:rsid w:val="007C53D8"/>
    <w:rsid w:val="007C5448"/>
    <w:rsid w:val="007C5623"/>
    <w:rsid w:val="007C580C"/>
    <w:rsid w:val="007C583C"/>
    <w:rsid w:val="007C5D6F"/>
    <w:rsid w:val="007C5E48"/>
    <w:rsid w:val="007C60AA"/>
    <w:rsid w:val="007C64AE"/>
    <w:rsid w:val="007C65D7"/>
    <w:rsid w:val="007C68F0"/>
    <w:rsid w:val="007C6A26"/>
    <w:rsid w:val="007C6D29"/>
    <w:rsid w:val="007C6D47"/>
    <w:rsid w:val="007C6DB3"/>
    <w:rsid w:val="007C6DD6"/>
    <w:rsid w:val="007C6F91"/>
    <w:rsid w:val="007C6FD8"/>
    <w:rsid w:val="007C7137"/>
    <w:rsid w:val="007C728B"/>
    <w:rsid w:val="007C7352"/>
    <w:rsid w:val="007C75BF"/>
    <w:rsid w:val="007C75EE"/>
    <w:rsid w:val="007C76F0"/>
    <w:rsid w:val="007C78D7"/>
    <w:rsid w:val="007C7917"/>
    <w:rsid w:val="007C7951"/>
    <w:rsid w:val="007C7A86"/>
    <w:rsid w:val="007C7AED"/>
    <w:rsid w:val="007C7B63"/>
    <w:rsid w:val="007C7E52"/>
    <w:rsid w:val="007C7E89"/>
    <w:rsid w:val="007C7F67"/>
    <w:rsid w:val="007C7F7B"/>
    <w:rsid w:val="007D0139"/>
    <w:rsid w:val="007D0444"/>
    <w:rsid w:val="007D047B"/>
    <w:rsid w:val="007D052A"/>
    <w:rsid w:val="007D05A2"/>
    <w:rsid w:val="007D0792"/>
    <w:rsid w:val="007D07E8"/>
    <w:rsid w:val="007D0B29"/>
    <w:rsid w:val="007D0BAF"/>
    <w:rsid w:val="007D0BC4"/>
    <w:rsid w:val="007D0BCB"/>
    <w:rsid w:val="007D0C88"/>
    <w:rsid w:val="007D0D58"/>
    <w:rsid w:val="007D0D81"/>
    <w:rsid w:val="007D1070"/>
    <w:rsid w:val="007D1172"/>
    <w:rsid w:val="007D126C"/>
    <w:rsid w:val="007D13EA"/>
    <w:rsid w:val="007D14C2"/>
    <w:rsid w:val="007D1647"/>
    <w:rsid w:val="007D1894"/>
    <w:rsid w:val="007D18E7"/>
    <w:rsid w:val="007D1957"/>
    <w:rsid w:val="007D1BCF"/>
    <w:rsid w:val="007D1BE4"/>
    <w:rsid w:val="007D1C14"/>
    <w:rsid w:val="007D1C21"/>
    <w:rsid w:val="007D1CD4"/>
    <w:rsid w:val="007D1D88"/>
    <w:rsid w:val="007D1DCF"/>
    <w:rsid w:val="007D1E7F"/>
    <w:rsid w:val="007D210A"/>
    <w:rsid w:val="007D217F"/>
    <w:rsid w:val="007D21C5"/>
    <w:rsid w:val="007D23A0"/>
    <w:rsid w:val="007D269A"/>
    <w:rsid w:val="007D2709"/>
    <w:rsid w:val="007D2B65"/>
    <w:rsid w:val="007D2BBC"/>
    <w:rsid w:val="007D2C8B"/>
    <w:rsid w:val="007D2D28"/>
    <w:rsid w:val="007D2D4E"/>
    <w:rsid w:val="007D3112"/>
    <w:rsid w:val="007D3243"/>
    <w:rsid w:val="007D3298"/>
    <w:rsid w:val="007D32AC"/>
    <w:rsid w:val="007D3639"/>
    <w:rsid w:val="007D37AD"/>
    <w:rsid w:val="007D3828"/>
    <w:rsid w:val="007D38B8"/>
    <w:rsid w:val="007D39E6"/>
    <w:rsid w:val="007D3A10"/>
    <w:rsid w:val="007D3C18"/>
    <w:rsid w:val="007D3E6D"/>
    <w:rsid w:val="007D4006"/>
    <w:rsid w:val="007D4017"/>
    <w:rsid w:val="007D4217"/>
    <w:rsid w:val="007D42BF"/>
    <w:rsid w:val="007D4680"/>
    <w:rsid w:val="007D46B0"/>
    <w:rsid w:val="007D482B"/>
    <w:rsid w:val="007D48AF"/>
    <w:rsid w:val="007D4AD8"/>
    <w:rsid w:val="007D4C00"/>
    <w:rsid w:val="007D4E06"/>
    <w:rsid w:val="007D4EC5"/>
    <w:rsid w:val="007D4F28"/>
    <w:rsid w:val="007D4FCB"/>
    <w:rsid w:val="007D510C"/>
    <w:rsid w:val="007D535C"/>
    <w:rsid w:val="007D5371"/>
    <w:rsid w:val="007D5441"/>
    <w:rsid w:val="007D5516"/>
    <w:rsid w:val="007D554F"/>
    <w:rsid w:val="007D5551"/>
    <w:rsid w:val="007D556F"/>
    <w:rsid w:val="007D5B19"/>
    <w:rsid w:val="007D5BF9"/>
    <w:rsid w:val="007D5E16"/>
    <w:rsid w:val="007D5EAA"/>
    <w:rsid w:val="007D5F0E"/>
    <w:rsid w:val="007D5F25"/>
    <w:rsid w:val="007D628C"/>
    <w:rsid w:val="007D63C1"/>
    <w:rsid w:val="007D63CF"/>
    <w:rsid w:val="007D657D"/>
    <w:rsid w:val="007D668D"/>
    <w:rsid w:val="007D671D"/>
    <w:rsid w:val="007D6A3A"/>
    <w:rsid w:val="007D6C09"/>
    <w:rsid w:val="007D6CF6"/>
    <w:rsid w:val="007D6D70"/>
    <w:rsid w:val="007D6E08"/>
    <w:rsid w:val="007D6E9D"/>
    <w:rsid w:val="007D6F11"/>
    <w:rsid w:val="007D6FD9"/>
    <w:rsid w:val="007D6FF4"/>
    <w:rsid w:val="007D6FFE"/>
    <w:rsid w:val="007D7152"/>
    <w:rsid w:val="007D7170"/>
    <w:rsid w:val="007D71AD"/>
    <w:rsid w:val="007D71D6"/>
    <w:rsid w:val="007D7253"/>
    <w:rsid w:val="007D7538"/>
    <w:rsid w:val="007D76F6"/>
    <w:rsid w:val="007D794A"/>
    <w:rsid w:val="007D7986"/>
    <w:rsid w:val="007D7996"/>
    <w:rsid w:val="007D7B75"/>
    <w:rsid w:val="007D7C75"/>
    <w:rsid w:val="007D7D66"/>
    <w:rsid w:val="007D7E9E"/>
    <w:rsid w:val="007E0325"/>
    <w:rsid w:val="007E03D4"/>
    <w:rsid w:val="007E0447"/>
    <w:rsid w:val="007E045E"/>
    <w:rsid w:val="007E04DA"/>
    <w:rsid w:val="007E05B1"/>
    <w:rsid w:val="007E06B5"/>
    <w:rsid w:val="007E06D0"/>
    <w:rsid w:val="007E06E7"/>
    <w:rsid w:val="007E0700"/>
    <w:rsid w:val="007E0950"/>
    <w:rsid w:val="007E0B90"/>
    <w:rsid w:val="007E0BB2"/>
    <w:rsid w:val="007E0F8C"/>
    <w:rsid w:val="007E107B"/>
    <w:rsid w:val="007E1277"/>
    <w:rsid w:val="007E12FB"/>
    <w:rsid w:val="007E1318"/>
    <w:rsid w:val="007E1499"/>
    <w:rsid w:val="007E186E"/>
    <w:rsid w:val="007E196E"/>
    <w:rsid w:val="007E1996"/>
    <w:rsid w:val="007E1F5D"/>
    <w:rsid w:val="007E1F8F"/>
    <w:rsid w:val="007E20E6"/>
    <w:rsid w:val="007E2129"/>
    <w:rsid w:val="007E21AA"/>
    <w:rsid w:val="007E21EC"/>
    <w:rsid w:val="007E23E2"/>
    <w:rsid w:val="007E241E"/>
    <w:rsid w:val="007E2441"/>
    <w:rsid w:val="007E25D0"/>
    <w:rsid w:val="007E27F1"/>
    <w:rsid w:val="007E28C9"/>
    <w:rsid w:val="007E2A25"/>
    <w:rsid w:val="007E2A93"/>
    <w:rsid w:val="007E2BE0"/>
    <w:rsid w:val="007E2D79"/>
    <w:rsid w:val="007E2E93"/>
    <w:rsid w:val="007E2FEC"/>
    <w:rsid w:val="007E342E"/>
    <w:rsid w:val="007E36B7"/>
    <w:rsid w:val="007E37DB"/>
    <w:rsid w:val="007E38AA"/>
    <w:rsid w:val="007E38AD"/>
    <w:rsid w:val="007E39A2"/>
    <w:rsid w:val="007E3AED"/>
    <w:rsid w:val="007E3B46"/>
    <w:rsid w:val="007E3BC6"/>
    <w:rsid w:val="007E3E9E"/>
    <w:rsid w:val="007E41AE"/>
    <w:rsid w:val="007E42FD"/>
    <w:rsid w:val="007E453D"/>
    <w:rsid w:val="007E458C"/>
    <w:rsid w:val="007E471B"/>
    <w:rsid w:val="007E478A"/>
    <w:rsid w:val="007E47BE"/>
    <w:rsid w:val="007E47FA"/>
    <w:rsid w:val="007E490C"/>
    <w:rsid w:val="007E4AF5"/>
    <w:rsid w:val="007E4BF3"/>
    <w:rsid w:val="007E4C4E"/>
    <w:rsid w:val="007E4CE4"/>
    <w:rsid w:val="007E4DCC"/>
    <w:rsid w:val="007E508E"/>
    <w:rsid w:val="007E54D2"/>
    <w:rsid w:val="007E564B"/>
    <w:rsid w:val="007E56DD"/>
    <w:rsid w:val="007E5896"/>
    <w:rsid w:val="007E58F6"/>
    <w:rsid w:val="007E59DE"/>
    <w:rsid w:val="007E5A12"/>
    <w:rsid w:val="007E5A5E"/>
    <w:rsid w:val="007E5A7C"/>
    <w:rsid w:val="007E5BBC"/>
    <w:rsid w:val="007E5D98"/>
    <w:rsid w:val="007E5E58"/>
    <w:rsid w:val="007E6015"/>
    <w:rsid w:val="007E6482"/>
    <w:rsid w:val="007E64E6"/>
    <w:rsid w:val="007E6662"/>
    <w:rsid w:val="007E67FC"/>
    <w:rsid w:val="007E6A35"/>
    <w:rsid w:val="007E6A38"/>
    <w:rsid w:val="007E6ACC"/>
    <w:rsid w:val="007E6B48"/>
    <w:rsid w:val="007E6D35"/>
    <w:rsid w:val="007E6F9D"/>
    <w:rsid w:val="007E6FE3"/>
    <w:rsid w:val="007E70FE"/>
    <w:rsid w:val="007E71F7"/>
    <w:rsid w:val="007E7274"/>
    <w:rsid w:val="007E7300"/>
    <w:rsid w:val="007E7352"/>
    <w:rsid w:val="007E7389"/>
    <w:rsid w:val="007E745D"/>
    <w:rsid w:val="007E74C6"/>
    <w:rsid w:val="007E7618"/>
    <w:rsid w:val="007E7688"/>
    <w:rsid w:val="007E7914"/>
    <w:rsid w:val="007E79C3"/>
    <w:rsid w:val="007E7A48"/>
    <w:rsid w:val="007E7B36"/>
    <w:rsid w:val="007E7D64"/>
    <w:rsid w:val="007E7DF8"/>
    <w:rsid w:val="007E7E42"/>
    <w:rsid w:val="007E7E56"/>
    <w:rsid w:val="007E7E7C"/>
    <w:rsid w:val="007E7FE1"/>
    <w:rsid w:val="007F00D2"/>
    <w:rsid w:val="007F01AD"/>
    <w:rsid w:val="007F024F"/>
    <w:rsid w:val="007F03E4"/>
    <w:rsid w:val="007F05F0"/>
    <w:rsid w:val="007F0676"/>
    <w:rsid w:val="007F074F"/>
    <w:rsid w:val="007F07E9"/>
    <w:rsid w:val="007F0893"/>
    <w:rsid w:val="007F0B13"/>
    <w:rsid w:val="007F0BE2"/>
    <w:rsid w:val="007F0C4F"/>
    <w:rsid w:val="007F0D36"/>
    <w:rsid w:val="007F0E2C"/>
    <w:rsid w:val="007F0FD2"/>
    <w:rsid w:val="007F10A1"/>
    <w:rsid w:val="007F10DB"/>
    <w:rsid w:val="007F113F"/>
    <w:rsid w:val="007F117F"/>
    <w:rsid w:val="007F142F"/>
    <w:rsid w:val="007F15C5"/>
    <w:rsid w:val="007F181C"/>
    <w:rsid w:val="007F184C"/>
    <w:rsid w:val="007F186A"/>
    <w:rsid w:val="007F18E0"/>
    <w:rsid w:val="007F1A47"/>
    <w:rsid w:val="007F1BA2"/>
    <w:rsid w:val="007F1DB3"/>
    <w:rsid w:val="007F1E24"/>
    <w:rsid w:val="007F239A"/>
    <w:rsid w:val="007F23BC"/>
    <w:rsid w:val="007F24BF"/>
    <w:rsid w:val="007F2539"/>
    <w:rsid w:val="007F25B5"/>
    <w:rsid w:val="007F26B8"/>
    <w:rsid w:val="007F2776"/>
    <w:rsid w:val="007F27B3"/>
    <w:rsid w:val="007F2806"/>
    <w:rsid w:val="007F28A9"/>
    <w:rsid w:val="007F2938"/>
    <w:rsid w:val="007F2AB7"/>
    <w:rsid w:val="007F2BB5"/>
    <w:rsid w:val="007F2BDF"/>
    <w:rsid w:val="007F2BF3"/>
    <w:rsid w:val="007F2BF4"/>
    <w:rsid w:val="007F2E3A"/>
    <w:rsid w:val="007F2E8A"/>
    <w:rsid w:val="007F306A"/>
    <w:rsid w:val="007F32C9"/>
    <w:rsid w:val="007F3405"/>
    <w:rsid w:val="007F3462"/>
    <w:rsid w:val="007F37F0"/>
    <w:rsid w:val="007F387A"/>
    <w:rsid w:val="007F38CD"/>
    <w:rsid w:val="007F3A6B"/>
    <w:rsid w:val="007F3AA9"/>
    <w:rsid w:val="007F3AB2"/>
    <w:rsid w:val="007F3D26"/>
    <w:rsid w:val="007F3E95"/>
    <w:rsid w:val="007F40D5"/>
    <w:rsid w:val="007F4168"/>
    <w:rsid w:val="007F41A8"/>
    <w:rsid w:val="007F42B5"/>
    <w:rsid w:val="007F42EA"/>
    <w:rsid w:val="007F4399"/>
    <w:rsid w:val="007F43AA"/>
    <w:rsid w:val="007F444E"/>
    <w:rsid w:val="007F4769"/>
    <w:rsid w:val="007F494F"/>
    <w:rsid w:val="007F4999"/>
    <w:rsid w:val="007F4D9A"/>
    <w:rsid w:val="007F4F85"/>
    <w:rsid w:val="007F4FA8"/>
    <w:rsid w:val="007F4FF2"/>
    <w:rsid w:val="007F5010"/>
    <w:rsid w:val="007F51A4"/>
    <w:rsid w:val="007F52E5"/>
    <w:rsid w:val="007F580A"/>
    <w:rsid w:val="007F5AD9"/>
    <w:rsid w:val="007F5BC4"/>
    <w:rsid w:val="007F5DC9"/>
    <w:rsid w:val="007F6059"/>
    <w:rsid w:val="007F6098"/>
    <w:rsid w:val="007F6168"/>
    <w:rsid w:val="007F6268"/>
    <w:rsid w:val="007F627E"/>
    <w:rsid w:val="007F62F3"/>
    <w:rsid w:val="007F650B"/>
    <w:rsid w:val="007F6ABC"/>
    <w:rsid w:val="007F6B04"/>
    <w:rsid w:val="007F6C78"/>
    <w:rsid w:val="007F6CA2"/>
    <w:rsid w:val="007F6D10"/>
    <w:rsid w:val="007F6E5B"/>
    <w:rsid w:val="007F6F17"/>
    <w:rsid w:val="007F6F5C"/>
    <w:rsid w:val="007F70A5"/>
    <w:rsid w:val="007F7110"/>
    <w:rsid w:val="007F7228"/>
    <w:rsid w:val="007F723A"/>
    <w:rsid w:val="007F7282"/>
    <w:rsid w:val="007F7373"/>
    <w:rsid w:val="007F74A4"/>
    <w:rsid w:val="007F78CC"/>
    <w:rsid w:val="007F78D3"/>
    <w:rsid w:val="007F792C"/>
    <w:rsid w:val="007F7967"/>
    <w:rsid w:val="007F7A95"/>
    <w:rsid w:val="007F7AC3"/>
    <w:rsid w:val="007F7B61"/>
    <w:rsid w:val="007F7BD9"/>
    <w:rsid w:val="007F7ED6"/>
    <w:rsid w:val="007F7F0B"/>
    <w:rsid w:val="007F7FA3"/>
    <w:rsid w:val="0080005D"/>
    <w:rsid w:val="008001AC"/>
    <w:rsid w:val="008001BF"/>
    <w:rsid w:val="008001CD"/>
    <w:rsid w:val="00800212"/>
    <w:rsid w:val="0080026B"/>
    <w:rsid w:val="008002E3"/>
    <w:rsid w:val="00800468"/>
    <w:rsid w:val="008004C2"/>
    <w:rsid w:val="008004FF"/>
    <w:rsid w:val="00800532"/>
    <w:rsid w:val="0080076F"/>
    <w:rsid w:val="00800B1B"/>
    <w:rsid w:val="00800B46"/>
    <w:rsid w:val="00800C6B"/>
    <w:rsid w:val="00800CC1"/>
    <w:rsid w:val="00800DF2"/>
    <w:rsid w:val="008010B0"/>
    <w:rsid w:val="008010FB"/>
    <w:rsid w:val="008012D1"/>
    <w:rsid w:val="00801535"/>
    <w:rsid w:val="00801792"/>
    <w:rsid w:val="00801D54"/>
    <w:rsid w:val="00801D75"/>
    <w:rsid w:val="00801DF6"/>
    <w:rsid w:val="00802244"/>
    <w:rsid w:val="00802293"/>
    <w:rsid w:val="008023DC"/>
    <w:rsid w:val="008024F0"/>
    <w:rsid w:val="00802582"/>
    <w:rsid w:val="008025AB"/>
    <w:rsid w:val="008025B2"/>
    <w:rsid w:val="008028F2"/>
    <w:rsid w:val="00802931"/>
    <w:rsid w:val="008029B9"/>
    <w:rsid w:val="00802C0F"/>
    <w:rsid w:val="00802EBD"/>
    <w:rsid w:val="00802EE4"/>
    <w:rsid w:val="00802F51"/>
    <w:rsid w:val="00802F77"/>
    <w:rsid w:val="00803020"/>
    <w:rsid w:val="00803292"/>
    <w:rsid w:val="008032A4"/>
    <w:rsid w:val="0080353F"/>
    <w:rsid w:val="008039B3"/>
    <w:rsid w:val="00803A3F"/>
    <w:rsid w:val="00803CA3"/>
    <w:rsid w:val="00803DDF"/>
    <w:rsid w:val="00803F53"/>
    <w:rsid w:val="00803F5D"/>
    <w:rsid w:val="00803FC7"/>
    <w:rsid w:val="008040BE"/>
    <w:rsid w:val="00804237"/>
    <w:rsid w:val="00804278"/>
    <w:rsid w:val="00804326"/>
    <w:rsid w:val="008047A9"/>
    <w:rsid w:val="008047DC"/>
    <w:rsid w:val="00804978"/>
    <w:rsid w:val="00804995"/>
    <w:rsid w:val="008049EF"/>
    <w:rsid w:val="00804B34"/>
    <w:rsid w:val="00804C9F"/>
    <w:rsid w:val="00804E81"/>
    <w:rsid w:val="00805016"/>
    <w:rsid w:val="008050BF"/>
    <w:rsid w:val="008051A1"/>
    <w:rsid w:val="00805356"/>
    <w:rsid w:val="008058FD"/>
    <w:rsid w:val="00805946"/>
    <w:rsid w:val="00805B89"/>
    <w:rsid w:val="00805C3A"/>
    <w:rsid w:val="00805C57"/>
    <w:rsid w:val="00805CBB"/>
    <w:rsid w:val="00805D13"/>
    <w:rsid w:val="00805F31"/>
    <w:rsid w:val="008061D0"/>
    <w:rsid w:val="0080665B"/>
    <w:rsid w:val="00806757"/>
    <w:rsid w:val="008067E5"/>
    <w:rsid w:val="008067E8"/>
    <w:rsid w:val="00806986"/>
    <w:rsid w:val="008069B8"/>
    <w:rsid w:val="00806B90"/>
    <w:rsid w:val="00806BB8"/>
    <w:rsid w:val="00806CD3"/>
    <w:rsid w:val="00806ED3"/>
    <w:rsid w:val="00806FFD"/>
    <w:rsid w:val="008073B0"/>
    <w:rsid w:val="00807516"/>
    <w:rsid w:val="008076A0"/>
    <w:rsid w:val="0080775E"/>
    <w:rsid w:val="0080782D"/>
    <w:rsid w:val="00807863"/>
    <w:rsid w:val="0080796B"/>
    <w:rsid w:val="008079BF"/>
    <w:rsid w:val="00807CA3"/>
    <w:rsid w:val="00807CEB"/>
    <w:rsid w:val="00807CFD"/>
    <w:rsid w:val="00807D34"/>
    <w:rsid w:val="00807D91"/>
    <w:rsid w:val="00807E07"/>
    <w:rsid w:val="00807E27"/>
    <w:rsid w:val="00807F4C"/>
    <w:rsid w:val="00807F4D"/>
    <w:rsid w:val="00810485"/>
    <w:rsid w:val="008104A2"/>
    <w:rsid w:val="008104ED"/>
    <w:rsid w:val="00810ADE"/>
    <w:rsid w:val="0081102C"/>
    <w:rsid w:val="00811142"/>
    <w:rsid w:val="00811402"/>
    <w:rsid w:val="0081155F"/>
    <w:rsid w:val="008115F4"/>
    <w:rsid w:val="00811630"/>
    <w:rsid w:val="008117F1"/>
    <w:rsid w:val="00811801"/>
    <w:rsid w:val="008118B5"/>
    <w:rsid w:val="00811ADC"/>
    <w:rsid w:val="00811B52"/>
    <w:rsid w:val="00811D1A"/>
    <w:rsid w:val="00811E95"/>
    <w:rsid w:val="00811FC6"/>
    <w:rsid w:val="008120D5"/>
    <w:rsid w:val="00812151"/>
    <w:rsid w:val="00812200"/>
    <w:rsid w:val="0081224D"/>
    <w:rsid w:val="00812345"/>
    <w:rsid w:val="008124D5"/>
    <w:rsid w:val="008125A7"/>
    <w:rsid w:val="00812687"/>
    <w:rsid w:val="008126DB"/>
    <w:rsid w:val="00812718"/>
    <w:rsid w:val="00812879"/>
    <w:rsid w:val="008128A9"/>
    <w:rsid w:val="0081298F"/>
    <w:rsid w:val="00812BBC"/>
    <w:rsid w:val="00812C9B"/>
    <w:rsid w:val="00812D71"/>
    <w:rsid w:val="00812DD7"/>
    <w:rsid w:val="00812F2B"/>
    <w:rsid w:val="008131FA"/>
    <w:rsid w:val="00813296"/>
    <w:rsid w:val="008132AE"/>
    <w:rsid w:val="00813460"/>
    <w:rsid w:val="008134D9"/>
    <w:rsid w:val="0081355F"/>
    <w:rsid w:val="00813846"/>
    <w:rsid w:val="0081397E"/>
    <w:rsid w:val="00813ACF"/>
    <w:rsid w:val="00813B60"/>
    <w:rsid w:val="00813BB1"/>
    <w:rsid w:val="00813DA9"/>
    <w:rsid w:val="00813DBF"/>
    <w:rsid w:val="00813F0F"/>
    <w:rsid w:val="00813F91"/>
    <w:rsid w:val="008142F3"/>
    <w:rsid w:val="0081443B"/>
    <w:rsid w:val="0081444E"/>
    <w:rsid w:val="008144FA"/>
    <w:rsid w:val="008146DF"/>
    <w:rsid w:val="00814A26"/>
    <w:rsid w:val="00814ACC"/>
    <w:rsid w:val="00814EC9"/>
    <w:rsid w:val="00815322"/>
    <w:rsid w:val="0081569E"/>
    <w:rsid w:val="008156FB"/>
    <w:rsid w:val="00815715"/>
    <w:rsid w:val="00815876"/>
    <w:rsid w:val="00815CF8"/>
    <w:rsid w:val="00815DB7"/>
    <w:rsid w:val="00815E19"/>
    <w:rsid w:val="00816158"/>
    <w:rsid w:val="00816160"/>
    <w:rsid w:val="00816218"/>
    <w:rsid w:val="00816439"/>
    <w:rsid w:val="0081678E"/>
    <w:rsid w:val="008168A6"/>
    <w:rsid w:val="00816AAE"/>
    <w:rsid w:val="00816B1A"/>
    <w:rsid w:val="00816C26"/>
    <w:rsid w:val="008170F1"/>
    <w:rsid w:val="0081715A"/>
    <w:rsid w:val="0081721F"/>
    <w:rsid w:val="0081724A"/>
    <w:rsid w:val="00817373"/>
    <w:rsid w:val="00817379"/>
    <w:rsid w:val="00817451"/>
    <w:rsid w:val="008176F1"/>
    <w:rsid w:val="008177F1"/>
    <w:rsid w:val="00817A59"/>
    <w:rsid w:val="00817B00"/>
    <w:rsid w:val="00817D30"/>
    <w:rsid w:val="00820038"/>
    <w:rsid w:val="00820187"/>
    <w:rsid w:val="008201C6"/>
    <w:rsid w:val="008202AD"/>
    <w:rsid w:val="0082039A"/>
    <w:rsid w:val="00820416"/>
    <w:rsid w:val="00820429"/>
    <w:rsid w:val="00820856"/>
    <w:rsid w:val="00820A9E"/>
    <w:rsid w:val="00820C25"/>
    <w:rsid w:val="00820C81"/>
    <w:rsid w:val="00820E0C"/>
    <w:rsid w:val="00821191"/>
    <w:rsid w:val="008213B1"/>
    <w:rsid w:val="0082161F"/>
    <w:rsid w:val="00821724"/>
    <w:rsid w:val="00821A37"/>
    <w:rsid w:val="00821A79"/>
    <w:rsid w:val="00821D7F"/>
    <w:rsid w:val="00821ED2"/>
    <w:rsid w:val="00822142"/>
    <w:rsid w:val="008223E3"/>
    <w:rsid w:val="00822647"/>
    <w:rsid w:val="0082270A"/>
    <w:rsid w:val="008228CB"/>
    <w:rsid w:val="00822918"/>
    <w:rsid w:val="00822E15"/>
    <w:rsid w:val="00823195"/>
    <w:rsid w:val="008232F3"/>
    <w:rsid w:val="00823449"/>
    <w:rsid w:val="00823469"/>
    <w:rsid w:val="008234AE"/>
    <w:rsid w:val="008235EA"/>
    <w:rsid w:val="008236D8"/>
    <w:rsid w:val="00823755"/>
    <w:rsid w:val="008237F7"/>
    <w:rsid w:val="008239DA"/>
    <w:rsid w:val="00823B25"/>
    <w:rsid w:val="00823CEF"/>
    <w:rsid w:val="00823ECC"/>
    <w:rsid w:val="00823F4A"/>
    <w:rsid w:val="00823FB0"/>
    <w:rsid w:val="00823FF4"/>
    <w:rsid w:val="0082403C"/>
    <w:rsid w:val="008242D9"/>
    <w:rsid w:val="0082431A"/>
    <w:rsid w:val="0082433A"/>
    <w:rsid w:val="008244A0"/>
    <w:rsid w:val="00824514"/>
    <w:rsid w:val="00824630"/>
    <w:rsid w:val="008246BB"/>
    <w:rsid w:val="0082484A"/>
    <w:rsid w:val="008248B5"/>
    <w:rsid w:val="008249D8"/>
    <w:rsid w:val="00824A43"/>
    <w:rsid w:val="00824A6F"/>
    <w:rsid w:val="00824A9D"/>
    <w:rsid w:val="00824C4C"/>
    <w:rsid w:val="00824CAF"/>
    <w:rsid w:val="00824CF7"/>
    <w:rsid w:val="00824DAF"/>
    <w:rsid w:val="00824E5F"/>
    <w:rsid w:val="00824F64"/>
    <w:rsid w:val="00824F69"/>
    <w:rsid w:val="00824FF9"/>
    <w:rsid w:val="00825069"/>
    <w:rsid w:val="008250DE"/>
    <w:rsid w:val="00825318"/>
    <w:rsid w:val="008253BB"/>
    <w:rsid w:val="008254F1"/>
    <w:rsid w:val="00825539"/>
    <w:rsid w:val="008255A9"/>
    <w:rsid w:val="00825760"/>
    <w:rsid w:val="008257B1"/>
    <w:rsid w:val="0082581C"/>
    <w:rsid w:val="0082598B"/>
    <w:rsid w:val="00825B72"/>
    <w:rsid w:val="00825B8B"/>
    <w:rsid w:val="00825C43"/>
    <w:rsid w:val="00825D8D"/>
    <w:rsid w:val="00826100"/>
    <w:rsid w:val="00826275"/>
    <w:rsid w:val="0082641F"/>
    <w:rsid w:val="00826504"/>
    <w:rsid w:val="0082660D"/>
    <w:rsid w:val="008266F2"/>
    <w:rsid w:val="008268F9"/>
    <w:rsid w:val="00826907"/>
    <w:rsid w:val="00826AB7"/>
    <w:rsid w:val="00826E07"/>
    <w:rsid w:val="00826E52"/>
    <w:rsid w:val="00827342"/>
    <w:rsid w:val="00827344"/>
    <w:rsid w:val="008273B9"/>
    <w:rsid w:val="008274BD"/>
    <w:rsid w:val="008274FA"/>
    <w:rsid w:val="00827521"/>
    <w:rsid w:val="0082764A"/>
    <w:rsid w:val="008277AF"/>
    <w:rsid w:val="008278BF"/>
    <w:rsid w:val="00827A5E"/>
    <w:rsid w:val="00827C90"/>
    <w:rsid w:val="00827CBF"/>
    <w:rsid w:val="00827D99"/>
    <w:rsid w:val="00830141"/>
    <w:rsid w:val="008302B3"/>
    <w:rsid w:val="008303B5"/>
    <w:rsid w:val="008304FC"/>
    <w:rsid w:val="0083059B"/>
    <w:rsid w:val="00830805"/>
    <w:rsid w:val="00830877"/>
    <w:rsid w:val="008309CE"/>
    <w:rsid w:val="00830A85"/>
    <w:rsid w:val="00830B4C"/>
    <w:rsid w:val="00830C27"/>
    <w:rsid w:val="00830CA0"/>
    <w:rsid w:val="00830FB5"/>
    <w:rsid w:val="00831007"/>
    <w:rsid w:val="00831475"/>
    <w:rsid w:val="00831576"/>
    <w:rsid w:val="00831740"/>
    <w:rsid w:val="00831827"/>
    <w:rsid w:val="00831881"/>
    <w:rsid w:val="008318C9"/>
    <w:rsid w:val="008318D0"/>
    <w:rsid w:val="00831ADC"/>
    <w:rsid w:val="00831E30"/>
    <w:rsid w:val="00831E6E"/>
    <w:rsid w:val="00832019"/>
    <w:rsid w:val="0083208E"/>
    <w:rsid w:val="00832447"/>
    <w:rsid w:val="0083247C"/>
    <w:rsid w:val="008324B7"/>
    <w:rsid w:val="00832542"/>
    <w:rsid w:val="0083255A"/>
    <w:rsid w:val="00832900"/>
    <w:rsid w:val="00832975"/>
    <w:rsid w:val="008329EB"/>
    <w:rsid w:val="00832ACA"/>
    <w:rsid w:val="00832D77"/>
    <w:rsid w:val="00832DD3"/>
    <w:rsid w:val="00833392"/>
    <w:rsid w:val="0083342D"/>
    <w:rsid w:val="008334E4"/>
    <w:rsid w:val="00833554"/>
    <w:rsid w:val="00833B30"/>
    <w:rsid w:val="00833C7A"/>
    <w:rsid w:val="00833CA7"/>
    <w:rsid w:val="00833D1C"/>
    <w:rsid w:val="00833FD0"/>
    <w:rsid w:val="00833FD8"/>
    <w:rsid w:val="00834067"/>
    <w:rsid w:val="0083411C"/>
    <w:rsid w:val="008342B5"/>
    <w:rsid w:val="00834477"/>
    <w:rsid w:val="0083465F"/>
    <w:rsid w:val="008346F0"/>
    <w:rsid w:val="0083496A"/>
    <w:rsid w:val="00834A4E"/>
    <w:rsid w:val="00834F26"/>
    <w:rsid w:val="00834F4E"/>
    <w:rsid w:val="00834F6C"/>
    <w:rsid w:val="00834FCC"/>
    <w:rsid w:val="00835416"/>
    <w:rsid w:val="008354F3"/>
    <w:rsid w:val="00835510"/>
    <w:rsid w:val="008355F2"/>
    <w:rsid w:val="0083561D"/>
    <w:rsid w:val="00835721"/>
    <w:rsid w:val="008357A7"/>
    <w:rsid w:val="008358AB"/>
    <w:rsid w:val="008358FE"/>
    <w:rsid w:val="0083593A"/>
    <w:rsid w:val="00835BC4"/>
    <w:rsid w:val="00835BCA"/>
    <w:rsid w:val="00835D2D"/>
    <w:rsid w:val="00835EF2"/>
    <w:rsid w:val="00836021"/>
    <w:rsid w:val="00836301"/>
    <w:rsid w:val="0083662D"/>
    <w:rsid w:val="0083678A"/>
    <w:rsid w:val="00836891"/>
    <w:rsid w:val="00836910"/>
    <w:rsid w:val="00836A0B"/>
    <w:rsid w:val="00836A75"/>
    <w:rsid w:val="00836C18"/>
    <w:rsid w:val="00836C6A"/>
    <w:rsid w:val="00836F19"/>
    <w:rsid w:val="00836F84"/>
    <w:rsid w:val="008370E5"/>
    <w:rsid w:val="00837124"/>
    <w:rsid w:val="008371A8"/>
    <w:rsid w:val="0083725B"/>
    <w:rsid w:val="0083736E"/>
    <w:rsid w:val="00837466"/>
    <w:rsid w:val="008374A5"/>
    <w:rsid w:val="0083783C"/>
    <w:rsid w:val="00837897"/>
    <w:rsid w:val="00837A91"/>
    <w:rsid w:val="00837C6E"/>
    <w:rsid w:val="00837FE4"/>
    <w:rsid w:val="00840194"/>
    <w:rsid w:val="0084047B"/>
    <w:rsid w:val="008404B6"/>
    <w:rsid w:val="008404F3"/>
    <w:rsid w:val="008405DC"/>
    <w:rsid w:val="00840656"/>
    <w:rsid w:val="008406E3"/>
    <w:rsid w:val="00840758"/>
    <w:rsid w:val="0084085D"/>
    <w:rsid w:val="00840AE3"/>
    <w:rsid w:val="00840BE6"/>
    <w:rsid w:val="00840D06"/>
    <w:rsid w:val="00840D11"/>
    <w:rsid w:val="00840D48"/>
    <w:rsid w:val="00841036"/>
    <w:rsid w:val="00841118"/>
    <w:rsid w:val="00841150"/>
    <w:rsid w:val="00841184"/>
    <w:rsid w:val="00841261"/>
    <w:rsid w:val="0084131B"/>
    <w:rsid w:val="008417D4"/>
    <w:rsid w:val="008417DE"/>
    <w:rsid w:val="008418C2"/>
    <w:rsid w:val="00841903"/>
    <w:rsid w:val="00841C1D"/>
    <w:rsid w:val="00841D0A"/>
    <w:rsid w:val="00842104"/>
    <w:rsid w:val="0084215C"/>
    <w:rsid w:val="00842202"/>
    <w:rsid w:val="00842291"/>
    <w:rsid w:val="008422D3"/>
    <w:rsid w:val="00842555"/>
    <w:rsid w:val="00842741"/>
    <w:rsid w:val="00842958"/>
    <w:rsid w:val="00842A2C"/>
    <w:rsid w:val="00842AF1"/>
    <w:rsid w:val="00842BDE"/>
    <w:rsid w:val="00842C75"/>
    <w:rsid w:val="00842D0A"/>
    <w:rsid w:val="00842F8E"/>
    <w:rsid w:val="00842FA5"/>
    <w:rsid w:val="00842FE4"/>
    <w:rsid w:val="0084302D"/>
    <w:rsid w:val="008430A9"/>
    <w:rsid w:val="008430C9"/>
    <w:rsid w:val="0084312A"/>
    <w:rsid w:val="0084341D"/>
    <w:rsid w:val="00843573"/>
    <w:rsid w:val="00843774"/>
    <w:rsid w:val="00843890"/>
    <w:rsid w:val="00843956"/>
    <w:rsid w:val="00843986"/>
    <w:rsid w:val="00843AC5"/>
    <w:rsid w:val="00843B7D"/>
    <w:rsid w:val="00843BB3"/>
    <w:rsid w:val="00843CBA"/>
    <w:rsid w:val="00843CD0"/>
    <w:rsid w:val="00844134"/>
    <w:rsid w:val="008441B2"/>
    <w:rsid w:val="00844217"/>
    <w:rsid w:val="008443D8"/>
    <w:rsid w:val="0084442A"/>
    <w:rsid w:val="00844814"/>
    <w:rsid w:val="008448AE"/>
    <w:rsid w:val="008448C9"/>
    <w:rsid w:val="00844B9F"/>
    <w:rsid w:val="00844C4B"/>
    <w:rsid w:val="00844D97"/>
    <w:rsid w:val="00844E32"/>
    <w:rsid w:val="00844E67"/>
    <w:rsid w:val="00844F72"/>
    <w:rsid w:val="00844FB2"/>
    <w:rsid w:val="0084535B"/>
    <w:rsid w:val="00845375"/>
    <w:rsid w:val="00845536"/>
    <w:rsid w:val="008455CB"/>
    <w:rsid w:val="00845634"/>
    <w:rsid w:val="0084565D"/>
    <w:rsid w:val="0084575E"/>
    <w:rsid w:val="008458E8"/>
    <w:rsid w:val="00845A1A"/>
    <w:rsid w:val="00845A4F"/>
    <w:rsid w:val="00845A5F"/>
    <w:rsid w:val="00845AA6"/>
    <w:rsid w:val="00845B8B"/>
    <w:rsid w:val="00845CCA"/>
    <w:rsid w:val="00845E2D"/>
    <w:rsid w:val="00845F73"/>
    <w:rsid w:val="008462C5"/>
    <w:rsid w:val="008462F3"/>
    <w:rsid w:val="00846305"/>
    <w:rsid w:val="00846400"/>
    <w:rsid w:val="0084666F"/>
    <w:rsid w:val="0084667F"/>
    <w:rsid w:val="00846857"/>
    <w:rsid w:val="00846A84"/>
    <w:rsid w:val="00846B7D"/>
    <w:rsid w:val="00846C2F"/>
    <w:rsid w:val="00846C98"/>
    <w:rsid w:val="00846CB7"/>
    <w:rsid w:val="00846DAF"/>
    <w:rsid w:val="00846DC7"/>
    <w:rsid w:val="00846DEB"/>
    <w:rsid w:val="00846E85"/>
    <w:rsid w:val="00847027"/>
    <w:rsid w:val="008470D4"/>
    <w:rsid w:val="008470E4"/>
    <w:rsid w:val="00847447"/>
    <w:rsid w:val="008474E2"/>
    <w:rsid w:val="00847602"/>
    <w:rsid w:val="008477B2"/>
    <w:rsid w:val="008479AD"/>
    <w:rsid w:val="00847A36"/>
    <w:rsid w:val="00847D89"/>
    <w:rsid w:val="0085002E"/>
    <w:rsid w:val="0085007B"/>
    <w:rsid w:val="008503B7"/>
    <w:rsid w:val="0085086B"/>
    <w:rsid w:val="00850D68"/>
    <w:rsid w:val="00850EBE"/>
    <w:rsid w:val="0085106A"/>
    <w:rsid w:val="008511D4"/>
    <w:rsid w:val="008513F9"/>
    <w:rsid w:val="008514FB"/>
    <w:rsid w:val="00851536"/>
    <w:rsid w:val="00851790"/>
    <w:rsid w:val="008517C8"/>
    <w:rsid w:val="0085180F"/>
    <w:rsid w:val="0085188D"/>
    <w:rsid w:val="008518BC"/>
    <w:rsid w:val="008519BA"/>
    <w:rsid w:val="00851AB2"/>
    <w:rsid w:val="00851B92"/>
    <w:rsid w:val="00851C6C"/>
    <w:rsid w:val="00851DC1"/>
    <w:rsid w:val="00851F3C"/>
    <w:rsid w:val="00852147"/>
    <w:rsid w:val="008521D2"/>
    <w:rsid w:val="00852399"/>
    <w:rsid w:val="0085257D"/>
    <w:rsid w:val="00852856"/>
    <w:rsid w:val="00852A80"/>
    <w:rsid w:val="00852AF8"/>
    <w:rsid w:val="0085309A"/>
    <w:rsid w:val="008530D0"/>
    <w:rsid w:val="0085311A"/>
    <w:rsid w:val="0085320A"/>
    <w:rsid w:val="008533A8"/>
    <w:rsid w:val="008533D6"/>
    <w:rsid w:val="00853414"/>
    <w:rsid w:val="00853430"/>
    <w:rsid w:val="00853518"/>
    <w:rsid w:val="0085355B"/>
    <w:rsid w:val="008535B3"/>
    <w:rsid w:val="00853983"/>
    <w:rsid w:val="00853A4D"/>
    <w:rsid w:val="00853AB7"/>
    <w:rsid w:val="00853C27"/>
    <w:rsid w:val="00853C8F"/>
    <w:rsid w:val="00854022"/>
    <w:rsid w:val="0085404B"/>
    <w:rsid w:val="00854060"/>
    <w:rsid w:val="008541C3"/>
    <w:rsid w:val="00854336"/>
    <w:rsid w:val="0085434A"/>
    <w:rsid w:val="008545CA"/>
    <w:rsid w:val="00854709"/>
    <w:rsid w:val="00854734"/>
    <w:rsid w:val="008547DC"/>
    <w:rsid w:val="008549E5"/>
    <w:rsid w:val="00854B57"/>
    <w:rsid w:val="00854C6F"/>
    <w:rsid w:val="00854CD2"/>
    <w:rsid w:val="00854E4B"/>
    <w:rsid w:val="00854E92"/>
    <w:rsid w:val="00854EDE"/>
    <w:rsid w:val="00854F61"/>
    <w:rsid w:val="00854F72"/>
    <w:rsid w:val="008550B6"/>
    <w:rsid w:val="0085511F"/>
    <w:rsid w:val="00855257"/>
    <w:rsid w:val="00855270"/>
    <w:rsid w:val="00855465"/>
    <w:rsid w:val="008555AB"/>
    <w:rsid w:val="008556AF"/>
    <w:rsid w:val="008557E0"/>
    <w:rsid w:val="0085593E"/>
    <w:rsid w:val="008559D9"/>
    <w:rsid w:val="00855B81"/>
    <w:rsid w:val="00855BA1"/>
    <w:rsid w:val="00855D38"/>
    <w:rsid w:val="00855DB3"/>
    <w:rsid w:val="00856092"/>
    <w:rsid w:val="00856260"/>
    <w:rsid w:val="008564A9"/>
    <w:rsid w:val="0085656C"/>
    <w:rsid w:val="0085673A"/>
    <w:rsid w:val="00856763"/>
    <w:rsid w:val="008568BB"/>
    <w:rsid w:val="00856937"/>
    <w:rsid w:val="00856987"/>
    <w:rsid w:val="00856993"/>
    <w:rsid w:val="00856A5C"/>
    <w:rsid w:val="00856AD9"/>
    <w:rsid w:val="00856B54"/>
    <w:rsid w:val="00856D2D"/>
    <w:rsid w:val="0085704E"/>
    <w:rsid w:val="00857538"/>
    <w:rsid w:val="00857748"/>
    <w:rsid w:val="00857802"/>
    <w:rsid w:val="0085789A"/>
    <w:rsid w:val="008579E6"/>
    <w:rsid w:val="00857C46"/>
    <w:rsid w:val="00857E54"/>
    <w:rsid w:val="00857FEA"/>
    <w:rsid w:val="008600AB"/>
    <w:rsid w:val="00860489"/>
    <w:rsid w:val="0086048C"/>
    <w:rsid w:val="008604B8"/>
    <w:rsid w:val="0086054D"/>
    <w:rsid w:val="008605D0"/>
    <w:rsid w:val="008607C8"/>
    <w:rsid w:val="00860967"/>
    <w:rsid w:val="008609D9"/>
    <w:rsid w:val="00860A0E"/>
    <w:rsid w:val="00860A10"/>
    <w:rsid w:val="00860B20"/>
    <w:rsid w:val="00860B54"/>
    <w:rsid w:val="00860BFB"/>
    <w:rsid w:val="00860C7A"/>
    <w:rsid w:val="00860FA6"/>
    <w:rsid w:val="0086127E"/>
    <w:rsid w:val="008614E3"/>
    <w:rsid w:val="00861784"/>
    <w:rsid w:val="008618AE"/>
    <w:rsid w:val="0086191F"/>
    <w:rsid w:val="00861FD4"/>
    <w:rsid w:val="00862052"/>
    <w:rsid w:val="00862135"/>
    <w:rsid w:val="008621D4"/>
    <w:rsid w:val="00862581"/>
    <w:rsid w:val="00862C2E"/>
    <w:rsid w:val="00862E82"/>
    <w:rsid w:val="00862F2F"/>
    <w:rsid w:val="00863030"/>
    <w:rsid w:val="0086303B"/>
    <w:rsid w:val="008630D0"/>
    <w:rsid w:val="0086312B"/>
    <w:rsid w:val="008632EE"/>
    <w:rsid w:val="0086335E"/>
    <w:rsid w:val="00863626"/>
    <w:rsid w:val="008636F1"/>
    <w:rsid w:val="008637C8"/>
    <w:rsid w:val="00863962"/>
    <w:rsid w:val="00863AE1"/>
    <w:rsid w:val="00863B2A"/>
    <w:rsid w:val="00863B6A"/>
    <w:rsid w:val="00863C30"/>
    <w:rsid w:val="00863D3C"/>
    <w:rsid w:val="00863DE1"/>
    <w:rsid w:val="00863E3E"/>
    <w:rsid w:val="00863F15"/>
    <w:rsid w:val="00863F2F"/>
    <w:rsid w:val="008640DB"/>
    <w:rsid w:val="0086412A"/>
    <w:rsid w:val="008641F8"/>
    <w:rsid w:val="0086420C"/>
    <w:rsid w:val="008643FF"/>
    <w:rsid w:val="00864953"/>
    <w:rsid w:val="00864AFD"/>
    <w:rsid w:val="00864CA1"/>
    <w:rsid w:val="00864CD6"/>
    <w:rsid w:val="00864FBE"/>
    <w:rsid w:val="0086523B"/>
    <w:rsid w:val="00865288"/>
    <w:rsid w:val="0086553D"/>
    <w:rsid w:val="00865551"/>
    <w:rsid w:val="00865562"/>
    <w:rsid w:val="00865778"/>
    <w:rsid w:val="008658A5"/>
    <w:rsid w:val="0086596B"/>
    <w:rsid w:val="00865C00"/>
    <w:rsid w:val="00865D00"/>
    <w:rsid w:val="00865D30"/>
    <w:rsid w:val="00865D3B"/>
    <w:rsid w:val="00865DD2"/>
    <w:rsid w:val="00865E23"/>
    <w:rsid w:val="00865FAC"/>
    <w:rsid w:val="0086600D"/>
    <w:rsid w:val="00866164"/>
    <w:rsid w:val="0086617A"/>
    <w:rsid w:val="0086619D"/>
    <w:rsid w:val="008661CD"/>
    <w:rsid w:val="00866301"/>
    <w:rsid w:val="008669DE"/>
    <w:rsid w:val="00866ADC"/>
    <w:rsid w:val="00866C05"/>
    <w:rsid w:val="00866C38"/>
    <w:rsid w:val="0086732E"/>
    <w:rsid w:val="008673AC"/>
    <w:rsid w:val="008673FC"/>
    <w:rsid w:val="008675D1"/>
    <w:rsid w:val="008677B5"/>
    <w:rsid w:val="00867884"/>
    <w:rsid w:val="008678FA"/>
    <w:rsid w:val="00867A6F"/>
    <w:rsid w:val="00867C34"/>
    <w:rsid w:val="00867CC6"/>
    <w:rsid w:val="00867E34"/>
    <w:rsid w:val="00867F47"/>
    <w:rsid w:val="00870121"/>
    <w:rsid w:val="0087015A"/>
    <w:rsid w:val="00870230"/>
    <w:rsid w:val="008704DB"/>
    <w:rsid w:val="00870690"/>
    <w:rsid w:val="00870A43"/>
    <w:rsid w:val="00870C53"/>
    <w:rsid w:val="00870DFE"/>
    <w:rsid w:val="00870E54"/>
    <w:rsid w:val="00870E69"/>
    <w:rsid w:val="00870FA9"/>
    <w:rsid w:val="00871081"/>
    <w:rsid w:val="00871135"/>
    <w:rsid w:val="0087148A"/>
    <w:rsid w:val="00871636"/>
    <w:rsid w:val="008718CB"/>
    <w:rsid w:val="00871937"/>
    <w:rsid w:val="00871A89"/>
    <w:rsid w:val="00871C00"/>
    <w:rsid w:val="00871D42"/>
    <w:rsid w:val="00871D91"/>
    <w:rsid w:val="00871E0D"/>
    <w:rsid w:val="0087200E"/>
    <w:rsid w:val="00872089"/>
    <w:rsid w:val="00872151"/>
    <w:rsid w:val="00872202"/>
    <w:rsid w:val="00872375"/>
    <w:rsid w:val="0087238B"/>
    <w:rsid w:val="008725F2"/>
    <w:rsid w:val="0087274A"/>
    <w:rsid w:val="008729F1"/>
    <w:rsid w:val="00872C2B"/>
    <w:rsid w:val="00872FEE"/>
    <w:rsid w:val="008730C6"/>
    <w:rsid w:val="0087316D"/>
    <w:rsid w:val="008731F5"/>
    <w:rsid w:val="0087352D"/>
    <w:rsid w:val="00873717"/>
    <w:rsid w:val="0087376F"/>
    <w:rsid w:val="008738A8"/>
    <w:rsid w:val="00873932"/>
    <w:rsid w:val="00873C95"/>
    <w:rsid w:val="00873D78"/>
    <w:rsid w:val="00873E9C"/>
    <w:rsid w:val="0087401F"/>
    <w:rsid w:val="008743A1"/>
    <w:rsid w:val="0087443B"/>
    <w:rsid w:val="008746E6"/>
    <w:rsid w:val="00874758"/>
    <w:rsid w:val="008748D3"/>
    <w:rsid w:val="00874C55"/>
    <w:rsid w:val="00874DF2"/>
    <w:rsid w:val="0087506F"/>
    <w:rsid w:val="00875084"/>
    <w:rsid w:val="008750D0"/>
    <w:rsid w:val="00875197"/>
    <w:rsid w:val="00875395"/>
    <w:rsid w:val="008753D7"/>
    <w:rsid w:val="008753E1"/>
    <w:rsid w:val="00875686"/>
    <w:rsid w:val="008756BD"/>
    <w:rsid w:val="008756F5"/>
    <w:rsid w:val="00875770"/>
    <w:rsid w:val="00875878"/>
    <w:rsid w:val="0087592E"/>
    <w:rsid w:val="0087594A"/>
    <w:rsid w:val="00875A8E"/>
    <w:rsid w:val="00875D8A"/>
    <w:rsid w:val="00875DFF"/>
    <w:rsid w:val="00875E6B"/>
    <w:rsid w:val="00875FD2"/>
    <w:rsid w:val="00876044"/>
    <w:rsid w:val="0087608B"/>
    <w:rsid w:val="008760BA"/>
    <w:rsid w:val="008760F6"/>
    <w:rsid w:val="00876212"/>
    <w:rsid w:val="0087661D"/>
    <w:rsid w:val="00876950"/>
    <w:rsid w:val="00876A89"/>
    <w:rsid w:val="00876B73"/>
    <w:rsid w:val="00876CA7"/>
    <w:rsid w:val="008771DD"/>
    <w:rsid w:val="0087725D"/>
    <w:rsid w:val="0087726C"/>
    <w:rsid w:val="00877270"/>
    <w:rsid w:val="0087727E"/>
    <w:rsid w:val="008772B2"/>
    <w:rsid w:val="00877367"/>
    <w:rsid w:val="008774B6"/>
    <w:rsid w:val="008774E3"/>
    <w:rsid w:val="00877630"/>
    <w:rsid w:val="008776C6"/>
    <w:rsid w:val="00877823"/>
    <w:rsid w:val="00877888"/>
    <w:rsid w:val="00877C0D"/>
    <w:rsid w:val="00877D3B"/>
    <w:rsid w:val="0088009A"/>
    <w:rsid w:val="008800AC"/>
    <w:rsid w:val="008802E5"/>
    <w:rsid w:val="0088047C"/>
    <w:rsid w:val="008806A3"/>
    <w:rsid w:val="0088073C"/>
    <w:rsid w:val="008807AF"/>
    <w:rsid w:val="00880AE8"/>
    <w:rsid w:val="00880B4E"/>
    <w:rsid w:val="00880EC5"/>
    <w:rsid w:val="00881216"/>
    <w:rsid w:val="00881316"/>
    <w:rsid w:val="0088133F"/>
    <w:rsid w:val="008813EB"/>
    <w:rsid w:val="0088151C"/>
    <w:rsid w:val="008815DE"/>
    <w:rsid w:val="00881678"/>
    <w:rsid w:val="00881799"/>
    <w:rsid w:val="008818A2"/>
    <w:rsid w:val="008819E7"/>
    <w:rsid w:val="00881C77"/>
    <w:rsid w:val="00881CFF"/>
    <w:rsid w:val="00881D71"/>
    <w:rsid w:val="0088202E"/>
    <w:rsid w:val="00882039"/>
    <w:rsid w:val="008821CA"/>
    <w:rsid w:val="008821EF"/>
    <w:rsid w:val="008822C6"/>
    <w:rsid w:val="008822DB"/>
    <w:rsid w:val="0088234E"/>
    <w:rsid w:val="0088251A"/>
    <w:rsid w:val="00882534"/>
    <w:rsid w:val="00882632"/>
    <w:rsid w:val="008826C8"/>
    <w:rsid w:val="00882837"/>
    <w:rsid w:val="0088298C"/>
    <w:rsid w:val="00882B41"/>
    <w:rsid w:val="00882C71"/>
    <w:rsid w:val="00882C97"/>
    <w:rsid w:val="0088304B"/>
    <w:rsid w:val="00883265"/>
    <w:rsid w:val="008832DB"/>
    <w:rsid w:val="008835F2"/>
    <w:rsid w:val="0088361E"/>
    <w:rsid w:val="008837C2"/>
    <w:rsid w:val="008837E2"/>
    <w:rsid w:val="00883BE3"/>
    <w:rsid w:val="00883D15"/>
    <w:rsid w:val="00883F02"/>
    <w:rsid w:val="0088418A"/>
    <w:rsid w:val="0088424C"/>
    <w:rsid w:val="00884335"/>
    <w:rsid w:val="008845B6"/>
    <w:rsid w:val="0088473B"/>
    <w:rsid w:val="00884925"/>
    <w:rsid w:val="00884951"/>
    <w:rsid w:val="00884A39"/>
    <w:rsid w:val="00884B61"/>
    <w:rsid w:val="00884BF4"/>
    <w:rsid w:val="00884C89"/>
    <w:rsid w:val="00884D0D"/>
    <w:rsid w:val="00884E18"/>
    <w:rsid w:val="00884E6C"/>
    <w:rsid w:val="00884FAE"/>
    <w:rsid w:val="00884FB9"/>
    <w:rsid w:val="00885318"/>
    <w:rsid w:val="00885380"/>
    <w:rsid w:val="008855FE"/>
    <w:rsid w:val="00885761"/>
    <w:rsid w:val="00885DF1"/>
    <w:rsid w:val="00885E64"/>
    <w:rsid w:val="00885EBD"/>
    <w:rsid w:val="00885FB5"/>
    <w:rsid w:val="0088613E"/>
    <w:rsid w:val="00886179"/>
    <w:rsid w:val="00886853"/>
    <w:rsid w:val="00886B25"/>
    <w:rsid w:val="00887143"/>
    <w:rsid w:val="0088718B"/>
    <w:rsid w:val="00887248"/>
    <w:rsid w:val="00887573"/>
    <w:rsid w:val="0088769D"/>
    <w:rsid w:val="008876A7"/>
    <w:rsid w:val="00887777"/>
    <w:rsid w:val="00887A1D"/>
    <w:rsid w:val="00887A62"/>
    <w:rsid w:val="00887CBD"/>
    <w:rsid w:val="00887CF4"/>
    <w:rsid w:val="00887E1C"/>
    <w:rsid w:val="00887F0D"/>
    <w:rsid w:val="00887FF0"/>
    <w:rsid w:val="00890358"/>
    <w:rsid w:val="00890478"/>
    <w:rsid w:val="0089047E"/>
    <w:rsid w:val="00890484"/>
    <w:rsid w:val="008905CB"/>
    <w:rsid w:val="008905E8"/>
    <w:rsid w:val="00890684"/>
    <w:rsid w:val="008906BE"/>
    <w:rsid w:val="008906D7"/>
    <w:rsid w:val="00890767"/>
    <w:rsid w:val="0089078D"/>
    <w:rsid w:val="008907D3"/>
    <w:rsid w:val="00890803"/>
    <w:rsid w:val="0089081A"/>
    <w:rsid w:val="0089092A"/>
    <w:rsid w:val="00890B05"/>
    <w:rsid w:val="00890CD1"/>
    <w:rsid w:val="00890D28"/>
    <w:rsid w:val="00890DD4"/>
    <w:rsid w:val="00890E2D"/>
    <w:rsid w:val="00891160"/>
    <w:rsid w:val="00891186"/>
    <w:rsid w:val="00891188"/>
    <w:rsid w:val="008911CE"/>
    <w:rsid w:val="008911E6"/>
    <w:rsid w:val="008912C9"/>
    <w:rsid w:val="008914B9"/>
    <w:rsid w:val="0089156B"/>
    <w:rsid w:val="0089175E"/>
    <w:rsid w:val="008917D0"/>
    <w:rsid w:val="00891993"/>
    <w:rsid w:val="00891BAA"/>
    <w:rsid w:val="00891EC7"/>
    <w:rsid w:val="00891FF0"/>
    <w:rsid w:val="008923CF"/>
    <w:rsid w:val="00892428"/>
    <w:rsid w:val="0089251B"/>
    <w:rsid w:val="00892543"/>
    <w:rsid w:val="00892592"/>
    <w:rsid w:val="00892A21"/>
    <w:rsid w:val="00892B71"/>
    <w:rsid w:val="00892B76"/>
    <w:rsid w:val="00892BFB"/>
    <w:rsid w:val="00892D5F"/>
    <w:rsid w:val="00892E29"/>
    <w:rsid w:val="00892E34"/>
    <w:rsid w:val="00892ED2"/>
    <w:rsid w:val="00892FF4"/>
    <w:rsid w:val="00893096"/>
    <w:rsid w:val="008930E9"/>
    <w:rsid w:val="00893129"/>
    <w:rsid w:val="00893184"/>
    <w:rsid w:val="008931D0"/>
    <w:rsid w:val="00893246"/>
    <w:rsid w:val="00893567"/>
    <w:rsid w:val="008935B1"/>
    <w:rsid w:val="008937BE"/>
    <w:rsid w:val="0089382D"/>
    <w:rsid w:val="00893A8A"/>
    <w:rsid w:val="00893D68"/>
    <w:rsid w:val="00893DBB"/>
    <w:rsid w:val="00893E00"/>
    <w:rsid w:val="00893EC8"/>
    <w:rsid w:val="00893F6B"/>
    <w:rsid w:val="00893F96"/>
    <w:rsid w:val="0089408F"/>
    <w:rsid w:val="008941A7"/>
    <w:rsid w:val="008942D6"/>
    <w:rsid w:val="0089434D"/>
    <w:rsid w:val="0089434F"/>
    <w:rsid w:val="00894363"/>
    <w:rsid w:val="008943DE"/>
    <w:rsid w:val="00894650"/>
    <w:rsid w:val="00894AEE"/>
    <w:rsid w:val="00894CDC"/>
    <w:rsid w:val="00894D4F"/>
    <w:rsid w:val="00894EEE"/>
    <w:rsid w:val="00894EF1"/>
    <w:rsid w:val="00894F4F"/>
    <w:rsid w:val="00894F9C"/>
    <w:rsid w:val="00895165"/>
    <w:rsid w:val="008952EC"/>
    <w:rsid w:val="008953C6"/>
    <w:rsid w:val="008955C8"/>
    <w:rsid w:val="00895662"/>
    <w:rsid w:val="008956CA"/>
    <w:rsid w:val="008958D5"/>
    <w:rsid w:val="00895AB7"/>
    <w:rsid w:val="00895B67"/>
    <w:rsid w:val="00896017"/>
    <w:rsid w:val="00896483"/>
    <w:rsid w:val="00896677"/>
    <w:rsid w:val="008969DC"/>
    <w:rsid w:val="00896AE6"/>
    <w:rsid w:val="00896B70"/>
    <w:rsid w:val="00896EA2"/>
    <w:rsid w:val="00896EDF"/>
    <w:rsid w:val="0089700E"/>
    <w:rsid w:val="008970C4"/>
    <w:rsid w:val="00897208"/>
    <w:rsid w:val="0089721E"/>
    <w:rsid w:val="00897461"/>
    <w:rsid w:val="00897480"/>
    <w:rsid w:val="00897720"/>
    <w:rsid w:val="00897741"/>
    <w:rsid w:val="008977D1"/>
    <w:rsid w:val="00897861"/>
    <w:rsid w:val="008978B0"/>
    <w:rsid w:val="008978DE"/>
    <w:rsid w:val="00897A07"/>
    <w:rsid w:val="00897BDB"/>
    <w:rsid w:val="00897D95"/>
    <w:rsid w:val="00897DE2"/>
    <w:rsid w:val="008A03D5"/>
    <w:rsid w:val="008A0600"/>
    <w:rsid w:val="008A064D"/>
    <w:rsid w:val="008A06A5"/>
    <w:rsid w:val="008A0824"/>
    <w:rsid w:val="008A08E5"/>
    <w:rsid w:val="008A0956"/>
    <w:rsid w:val="008A0959"/>
    <w:rsid w:val="008A0C6C"/>
    <w:rsid w:val="008A0D7A"/>
    <w:rsid w:val="008A0EF2"/>
    <w:rsid w:val="008A0FB1"/>
    <w:rsid w:val="008A105A"/>
    <w:rsid w:val="008A1171"/>
    <w:rsid w:val="008A138E"/>
    <w:rsid w:val="008A13AD"/>
    <w:rsid w:val="008A1582"/>
    <w:rsid w:val="008A159E"/>
    <w:rsid w:val="008A15F8"/>
    <w:rsid w:val="008A17B4"/>
    <w:rsid w:val="008A18F3"/>
    <w:rsid w:val="008A222A"/>
    <w:rsid w:val="008A25C7"/>
    <w:rsid w:val="008A2744"/>
    <w:rsid w:val="008A274D"/>
    <w:rsid w:val="008A28AF"/>
    <w:rsid w:val="008A28B3"/>
    <w:rsid w:val="008A2E9E"/>
    <w:rsid w:val="008A2F05"/>
    <w:rsid w:val="008A2FB8"/>
    <w:rsid w:val="008A32B1"/>
    <w:rsid w:val="008A375F"/>
    <w:rsid w:val="008A3820"/>
    <w:rsid w:val="008A38C0"/>
    <w:rsid w:val="008A3E68"/>
    <w:rsid w:val="008A401C"/>
    <w:rsid w:val="008A412D"/>
    <w:rsid w:val="008A438E"/>
    <w:rsid w:val="008A44F8"/>
    <w:rsid w:val="008A46A9"/>
    <w:rsid w:val="008A47C2"/>
    <w:rsid w:val="008A4895"/>
    <w:rsid w:val="008A48B9"/>
    <w:rsid w:val="008A4AC8"/>
    <w:rsid w:val="008A4B07"/>
    <w:rsid w:val="008A4BC2"/>
    <w:rsid w:val="008A4D28"/>
    <w:rsid w:val="008A5025"/>
    <w:rsid w:val="008A50F6"/>
    <w:rsid w:val="008A5168"/>
    <w:rsid w:val="008A52A7"/>
    <w:rsid w:val="008A551D"/>
    <w:rsid w:val="008A55BE"/>
    <w:rsid w:val="008A569B"/>
    <w:rsid w:val="008A5713"/>
    <w:rsid w:val="008A582E"/>
    <w:rsid w:val="008A595C"/>
    <w:rsid w:val="008A59EF"/>
    <w:rsid w:val="008A5B3F"/>
    <w:rsid w:val="008A5EFA"/>
    <w:rsid w:val="008A5F29"/>
    <w:rsid w:val="008A5F8E"/>
    <w:rsid w:val="008A6165"/>
    <w:rsid w:val="008A61C3"/>
    <w:rsid w:val="008A61EE"/>
    <w:rsid w:val="008A6290"/>
    <w:rsid w:val="008A62F0"/>
    <w:rsid w:val="008A62F1"/>
    <w:rsid w:val="008A64C4"/>
    <w:rsid w:val="008A652B"/>
    <w:rsid w:val="008A6769"/>
    <w:rsid w:val="008A681A"/>
    <w:rsid w:val="008A6A51"/>
    <w:rsid w:val="008A6A96"/>
    <w:rsid w:val="008A6B17"/>
    <w:rsid w:val="008A6B30"/>
    <w:rsid w:val="008A6B6B"/>
    <w:rsid w:val="008A6BE3"/>
    <w:rsid w:val="008A6E15"/>
    <w:rsid w:val="008A6F2D"/>
    <w:rsid w:val="008A7004"/>
    <w:rsid w:val="008A709C"/>
    <w:rsid w:val="008A75C8"/>
    <w:rsid w:val="008A77F9"/>
    <w:rsid w:val="008A7C97"/>
    <w:rsid w:val="008A7CD2"/>
    <w:rsid w:val="008A7D62"/>
    <w:rsid w:val="008A7E84"/>
    <w:rsid w:val="008B0172"/>
    <w:rsid w:val="008B0478"/>
    <w:rsid w:val="008B057C"/>
    <w:rsid w:val="008B060B"/>
    <w:rsid w:val="008B074D"/>
    <w:rsid w:val="008B0889"/>
    <w:rsid w:val="008B08F6"/>
    <w:rsid w:val="008B0A8D"/>
    <w:rsid w:val="008B0B0F"/>
    <w:rsid w:val="008B0B52"/>
    <w:rsid w:val="008B0D12"/>
    <w:rsid w:val="008B0D13"/>
    <w:rsid w:val="008B0E6B"/>
    <w:rsid w:val="008B0E71"/>
    <w:rsid w:val="008B0E8C"/>
    <w:rsid w:val="008B0EAC"/>
    <w:rsid w:val="008B1080"/>
    <w:rsid w:val="008B1087"/>
    <w:rsid w:val="008B10AC"/>
    <w:rsid w:val="008B1352"/>
    <w:rsid w:val="008B145B"/>
    <w:rsid w:val="008B14BE"/>
    <w:rsid w:val="008B1786"/>
    <w:rsid w:val="008B17E2"/>
    <w:rsid w:val="008B18A3"/>
    <w:rsid w:val="008B1960"/>
    <w:rsid w:val="008B1A53"/>
    <w:rsid w:val="008B1BE3"/>
    <w:rsid w:val="008B1C99"/>
    <w:rsid w:val="008B1CF0"/>
    <w:rsid w:val="008B1E29"/>
    <w:rsid w:val="008B1E65"/>
    <w:rsid w:val="008B1E70"/>
    <w:rsid w:val="008B2051"/>
    <w:rsid w:val="008B2759"/>
    <w:rsid w:val="008B2A9C"/>
    <w:rsid w:val="008B2B25"/>
    <w:rsid w:val="008B2F4D"/>
    <w:rsid w:val="008B32B6"/>
    <w:rsid w:val="008B3385"/>
    <w:rsid w:val="008B37C0"/>
    <w:rsid w:val="008B37E1"/>
    <w:rsid w:val="008B3848"/>
    <w:rsid w:val="008B385B"/>
    <w:rsid w:val="008B393C"/>
    <w:rsid w:val="008B3ABE"/>
    <w:rsid w:val="008B3BA1"/>
    <w:rsid w:val="008B3CA9"/>
    <w:rsid w:val="008B3D8D"/>
    <w:rsid w:val="008B3E4B"/>
    <w:rsid w:val="008B3E50"/>
    <w:rsid w:val="008B3E5F"/>
    <w:rsid w:val="008B3E6A"/>
    <w:rsid w:val="008B3E84"/>
    <w:rsid w:val="008B3FDB"/>
    <w:rsid w:val="008B41C6"/>
    <w:rsid w:val="008B439C"/>
    <w:rsid w:val="008B43A1"/>
    <w:rsid w:val="008B4661"/>
    <w:rsid w:val="008B47F0"/>
    <w:rsid w:val="008B489D"/>
    <w:rsid w:val="008B4BB0"/>
    <w:rsid w:val="008B4BF4"/>
    <w:rsid w:val="008B4D1F"/>
    <w:rsid w:val="008B4D7D"/>
    <w:rsid w:val="008B4DA7"/>
    <w:rsid w:val="008B4F6A"/>
    <w:rsid w:val="008B5082"/>
    <w:rsid w:val="008B5273"/>
    <w:rsid w:val="008B551F"/>
    <w:rsid w:val="008B57EF"/>
    <w:rsid w:val="008B595F"/>
    <w:rsid w:val="008B5965"/>
    <w:rsid w:val="008B59C1"/>
    <w:rsid w:val="008B5AA0"/>
    <w:rsid w:val="008B5E38"/>
    <w:rsid w:val="008B5E95"/>
    <w:rsid w:val="008B6070"/>
    <w:rsid w:val="008B61D8"/>
    <w:rsid w:val="008B61F0"/>
    <w:rsid w:val="008B6483"/>
    <w:rsid w:val="008B651B"/>
    <w:rsid w:val="008B6B34"/>
    <w:rsid w:val="008B6C2F"/>
    <w:rsid w:val="008B6DA1"/>
    <w:rsid w:val="008B6FDC"/>
    <w:rsid w:val="008B6FFD"/>
    <w:rsid w:val="008B7020"/>
    <w:rsid w:val="008B7087"/>
    <w:rsid w:val="008B72B7"/>
    <w:rsid w:val="008B733A"/>
    <w:rsid w:val="008B7384"/>
    <w:rsid w:val="008B763B"/>
    <w:rsid w:val="008B7964"/>
    <w:rsid w:val="008B7C54"/>
    <w:rsid w:val="008B7D07"/>
    <w:rsid w:val="008B7DD4"/>
    <w:rsid w:val="008B7EE2"/>
    <w:rsid w:val="008B7EFF"/>
    <w:rsid w:val="008C00C3"/>
    <w:rsid w:val="008C0311"/>
    <w:rsid w:val="008C045A"/>
    <w:rsid w:val="008C0529"/>
    <w:rsid w:val="008C0534"/>
    <w:rsid w:val="008C05FE"/>
    <w:rsid w:val="008C078F"/>
    <w:rsid w:val="008C07B4"/>
    <w:rsid w:val="008C0857"/>
    <w:rsid w:val="008C0A3C"/>
    <w:rsid w:val="008C0D52"/>
    <w:rsid w:val="008C0E0D"/>
    <w:rsid w:val="008C0E76"/>
    <w:rsid w:val="008C1034"/>
    <w:rsid w:val="008C1078"/>
    <w:rsid w:val="008C114A"/>
    <w:rsid w:val="008C12A8"/>
    <w:rsid w:val="008C1709"/>
    <w:rsid w:val="008C17EE"/>
    <w:rsid w:val="008C181D"/>
    <w:rsid w:val="008C1962"/>
    <w:rsid w:val="008C197B"/>
    <w:rsid w:val="008C19A7"/>
    <w:rsid w:val="008C1B44"/>
    <w:rsid w:val="008C1DFA"/>
    <w:rsid w:val="008C1E2F"/>
    <w:rsid w:val="008C1EFD"/>
    <w:rsid w:val="008C21D4"/>
    <w:rsid w:val="008C23DE"/>
    <w:rsid w:val="008C2472"/>
    <w:rsid w:val="008C2493"/>
    <w:rsid w:val="008C2527"/>
    <w:rsid w:val="008C2558"/>
    <w:rsid w:val="008C2591"/>
    <w:rsid w:val="008C2593"/>
    <w:rsid w:val="008C25FA"/>
    <w:rsid w:val="008C25FB"/>
    <w:rsid w:val="008C260D"/>
    <w:rsid w:val="008C2729"/>
    <w:rsid w:val="008C290F"/>
    <w:rsid w:val="008C29EA"/>
    <w:rsid w:val="008C2B51"/>
    <w:rsid w:val="008C2B8E"/>
    <w:rsid w:val="008C2BBB"/>
    <w:rsid w:val="008C2C95"/>
    <w:rsid w:val="008C2CC0"/>
    <w:rsid w:val="008C2D2A"/>
    <w:rsid w:val="008C2D59"/>
    <w:rsid w:val="008C2D7C"/>
    <w:rsid w:val="008C2DF3"/>
    <w:rsid w:val="008C2E43"/>
    <w:rsid w:val="008C2F75"/>
    <w:rsid w:val="008C3167"/>
    <w:rsid w:val="008C31F9"/>
    <w:rsid w:val="008C3283"/>
    <w:rsid w:val="008C33C2"/>
    <w:rsid w:val="008C35D9"/>
    <w:rsid w:val="008C3658"/>
    <w:rsid w:val="008C3842"/>
    <w:rsid w:val="008C3CA9"/>
    <w:rsid w:val="008C3CF3"/>
    <w:rsid w:val="008C3DBF"/>
    <w:rsid w:val="008C3DF9"/>
    <w:rsid w:val="008C3F2E"/>
    <w:rsid w:val="008C40B8"/>
    <w:rsid w:val="008C4251"/>
    <w:rsid w:val="008C4278"/>
    <w:rsid w:val="008C427E"/>
    <w:rsid w:val="008C42A7"/>
    <w:rsid w:val="008C4476"/>
    <w:rsid w:val="008C4482"/>
    <w:rsid w:val="008C481B"/>
    <w:rsid w:val="008C48C3"/>
    <w:rsid w:val="008C49D5"/>
    <w:rsid w:val="008C4D35"/>
    <w:rsid w:val="008C51C1"/>
    <w:rsid w:val="008C5205"/>
    <w:rsid w:val="008C522C"/>
    <w:rsid w:val="008C53E9"/>
    <w:rsid w:val="008C543A"/>
    <w:rsid w:val="008C54C9"/>
    <w:rsid w:val="008C5556"/>
    <w:rsid w:val="008C56BC"/>
    <w:rsid w:val="008C56DE"/>
    <w:rsid w:val="008C61CC"/>
    <w:rsid w:val="008C6297"/>
    <w:rsid w:val="008C629E"/>
    <w:rsid w:val="008C653A"/>
    <w:rsid w:val="008C65E2"/>
    <w:rsid w:val="008C6672"/>
    <w:rsid w:val="008C6708"/>
    <w:rsid w:val="008C67A7"/>
    <w:rsid w:val="008C6816"/>
    <w:rsid w:val="008C6C19"/>
    <w:rsid w:val="008C6D2F"/>
    <w:rsid w:val="008C6E10"/>
    <w:rsid w:val="008C7295"/>
    <w:rsid w:val="008C72F1"/>
    <w:rsid w:val="008C73EA"/>
    <w:rsid w:val="008C746B"/>
    <w:rsid w:val="008C75B2"/>
    <w:rsid w:val="008C75C2"/>
    <w:rsid w:val="008C7699"/>
    <w:rsid w:val="008C76E0"/>
    <w:rsid w:val="008C78AD"/>
    <w:rsid w:val="008C7A2A"/>
    <w:rsid w:val="008C7BC2"/>
    <w:rsid w:val="008D026C"/>
    <w:rsid w:val="008D03F4"/>
    <w:rsid w:val="008D05A0"/>
    <w:rsid w:val="008D0773"/>
    <w:rsid w:val="008D07AD"/>
    <w:rsid w:val="008D07C1"/>
    <w:rsid w:val="008D0864"/>
    <w:rsid w:val="008D0896"/>
    <w:rsid w:val="008D0997"/>
    <w:rsid w:val="008D09BD"/>
    <w:rsid w:val="008D0BFD"/>
    <w:rsid w:val="008D0C63"/>
    <w:rsid w:val="008D0E44"/>
    <w:rsid w:val="008D0F30"/>
    <w:rsid w:val="008D0F6E"/>
    <w:rsid w:val="008D150F"/>
    <w:rsid w:val="008D17E7"/>
    <w:rsid w:val="008D183B"/>
    <w:rsid w:val="008D1865"/>
    <w:rsid w:val="008D1878"/>
    <w:rsid w:val="008D18AF"/>
    <w:rsid w:val="008D1907"/>
    <w:rsid w:val="008D1992"/>
    <w:rsid w:val="008D1ACB"/>
    <w:rsid w:val="008D1B7F"/>
    <w:rsid w:val="008D1C8F"/>
    <w:rsid w:val="008D208D"/>
    <w:rsid w:val="008D20A1"/>
    <w:rsid w:val="008D22F5"/>
    <w:rsid w:val="008D22F9"/>
    <w:rsid w:val="008D231F"/>
    <w:rsid w:val="008D2479"/>
    <w:rsid w:val="008D2A1E"/>
    <w:rsid w:val="008D2B52"/>
    <w:rsid w:val="008D2C45"/>
    <w:rsid w:val="008D2DF4"/>
    <w:rsid w:val="008D2EA5"/>
    <w:rsid w:val="008D30D1"/>
    <w:rsid w:val="008D30EF"/>
    <w:rsid w:val="008D342D"/>
    <w:rsid w:val="008D34D7"/>
    <w:rsid w:val="008D34DE"/>
    <w:rsid w:val="008D3660"/>
    <w:rsid w:val="008D3880"/>
    <w:rsid w:val="008D394B"/>
    <w:rsid w:val="008D3991"/>
    <w:rsid w:val="008D39DC"/>
    <w:rsid w:val="008D3B9D"/>
    <w:rsid w:val="008D3CDC"/>
    <w:rsid w:val="008D3CE4"/>
    <w:rsid w:val="008D3E54"/>
    <w:rsid w:val="008D3F10"/>
    <w:rsid w:val="008D3F46"/>
    <w:rsid w:val="008D40A2"/>
    <w:rsid w:val="008D411E"/>
    <w:rsid w:val="008D424D"/>
    <w:rsid w:val="008D4258"/>
    <w:rsid w:val="008D42A4"/>
    <w:rsid w:val="008D4366"/>
    <w:rsid w:val="008D46A0"/>
    <w:rsid w:val="008D48D7"/>
    <w:rsid w:val="008D494B"/>
    <w:rsid w:val="008D49D6"/>
    <w:rsid w:val="008D49FD"/>
    <w:rsid w:val="008D4A0B"/>
    <w:rsid w:val="008D4A86"/>
    <w:rsid w:val="008D4EF6"/>
    <w:rsid w:val="008D50F8"/>
    <w:rsid w:val="008D5222"/>
    <w:rsid w:val="008D524F"/>
    <w:rsid w:val="008D52F6"/>
    <w:rsid w:val="008D559E"/>
    <w:rsid w:val="008D56FA"/>
    <w:rsid w:val="008D5796"/>
    <w:rsid w:val="008D5958"/>
    <w:rsid w:val="008D5BF8"/>
    <w:rsid w:val="008D5CAA"/>
    <w:rsid w:val="008D5F70"/>
    <w:rsid w:val="008D616F"/>
    <w:rsid w:val="008D6725"/>
    <w:rsid w:val="008D684B"/>
    <w:rsid w:val="008D68B0"/>
    <w:rsid w:val="008D6960"/>
    <w:rsid w:val="008D6B25"/>
    <w:rsid w:val="008D6C1F"/>
    <w:rsid w:val="008D6C35"/>
    <w:rsid w:val="008D6D0F"/>
    <w:rsid w:val="008D6DB4"/>
    <w:rsid w:val="008D6FCE"/>
    <w:rsid w:val="008D703F"/>
    <w:rsid w:val="008D7133"/>
    <w:rsid w:val="008D72B5"/>
    <w:rsid w:val="008D7556"/>
    <w:rsid w:val="008D7565"/>
    <w:rsid w:val="008D7A96"/>
    <w:rsid w:val="008D7D2A"/>
    <w:rsid w:val="008D7F1C"/>
    <w:rsid w:val="008E0072"/>
    <w:rsid w:val="008E0220"/>
    <w:rsid w:val="008E0478"/>
    <w:rsid w:val="008E0485"/>
    <w:rsid w:val="008E062E"/>
    <w:rsid w:val="008E06C8"/>
    <w:rsid w:val="008E0770"/>
    <w:rsid w:val="008E0B7F"/>
    <w:rsid w:val="008E0EC0"/>
    <w:rsid w:val="008E0EE7"/>
    <w:rsid w:val="008E0F00"/>
    <w:rsid w:val="008E0FA2"/>
    <w:rsid w:val="008E0FCB"/>
    <w:rsid w:val="008E1087"/>
    <w:rsid w:val="008E1154"/>
    <w:rsid w:val="008E11B8"/>
    <w:rsid w:val="008E12AA"/>
    <w:rsid w:val="008E136D"/>
    <w:rsid w:val="008E13DA"/>
    <w:rsid w:val="008E14D8"/>
    <w:rsid w:val="008E19C0"/>
    <w:rsid w:val="008E19D1"/>
    <w:rsid w:val="008E1B21"/>
    <w:rsid w:val="008E1CC3"/>
    <w:rsid w:val="008E1E30"/>
    <w:rsid w:val="008E1E58"/>
    <w:rsid w:val="008E1FDA"/>
    <w:rsid w:val="008E228A"/>
    <w:rsid w:val="008E2425"/>
    <w:rsid w:val="008E243A"/>
    <w:rsid w:val="008E258C"/>
    <w:rsid w:val="008E2B8B"/>
    <w:rsid w:val="008E2C3C"/>
    <w:rsid w:val="008E2DBB"/>
    <w:rsid w:val="008E3268"/>
    <w:rsid w:val="008E328F"/>
    <w:rsid w:val="008E33AC"/>
    <w:rsid w:val="008E3452"/>
    <w:rsid w:val="008E36FD"/>
    <w:rsid w:val="008E370B"/>
    <w:rsid w:val="008E3B7F"/>
    <w:rsid w:val="008E3C96"/>
    <w:rsid w:val="008E3E3F"/>
    <w:rsid w:val="008E4311"/>
    <w:rsid w:val="008E43DE"/>
    <w:rsid w:val="008E44A9"/>
    <w:rsid w:val="008E4505"/>
    <w:rsid w:val="008E48E9"/>
    <w:rsid w:val="008E4932"/>
    <w:rsid w:val="008E4952"/>
    <w:rsid w:val="008E4A6A"/>
    <w:rsid w:val="008E4B26"/>
    <w:rsid w:val="008E4C25"/>
    <w:rsid w:val="008E4C44"/>
    <w:rsid w:val="008E4C7B"/>
    <w:rsid w:val="008E4D2F"/>
    <w:rsid w:val="008E4D7A"/>
    <w:rsid w:val="008E4DEC"/>
    <w:rsid w:val="008E4EE9"/>
    <w:rsid w:val="008E4FF7"/>
    <w:rsid w:val="008E52C1"/>
    <w:rsid w:val="008E5353"/>
    <w:rsid w:val="008E5581"/>
    <w:rsid w:val="008E590B"/>
    <w:rsid w:val="008E5C33"/>
    <w:rsid w:val="008E5C85"/>
    <w:rsid w:val="008E6351"/>
    <w:rsid w:val="008E638C"/>
    <w:rsid w:val="008E6487"/>
    <w:rsid w:val="008E6553"/>
    <w:rsid w:val="008E6656"/>
    <w:rsid w:val="008E6686"/>
    <w:rsid w:val="008E6728"/>
    <w:rsid w:val="008E67E9"/>
    <w:rsid w:val="008E6909"/>
    <w:rsid w:val="008E69B3"/>
    <w:rsid w:val="008E6BA5"/>
    <w:rsid w:val="008E6DBF"/>
    <w:rsid w:val="008E727A"/>
    <w:rsid w:val="008E731C"/>
    <w:rsid w:val="008E73CD"/>
    <w:rsid w:val="008E7411"/>
    <w:rsid w:val="008E7517"/>
    <w:rsid w:val="008E7718"/>
    <w:rsid w:val="008E771D"/>
    <w:rsid w:val="008E773E"/>
    <w:rsid w:val="008E78EA"/>
    <w:rsid w:val="008E7BA5"/>
    <w:rsid w:val="008E7C10"/>
    <w:rsid w:val="008E7CD0"/>
    <w:rsid w:val="008E7E8A"/>
    <w:rsid w:val="008F0151"/>
    <w:rsid w:val="008F02E3"/>
    <w:rsid w:val="008F02FF"/>
    <w:rsid w:val="008F030D"/>
    <w:rsid w:val="008F044A"/>
    <w:rsid w:val="008F044D"/>
    <w:rsid w:val="008F0573"/>
    <w:rsid w:val="008F058D"/>
    <w:rsid w:val="008F0610"/>
    <w:rsid w:val="008F0641"/>
    <w:rsid w:val="008F0671"/>
    <w:rsid w:val="008F06BC"/>
    <w:rsid w:val="008F06BF"/>
    <w:rsid w:val="008F06D4"/>
    <w:rsid w:val="008F078C"/>
    <w:rsid w:val="008F089B"/>
    <w:rsid w:val="008F08A1"/>
    <w:rsid w:val="008F0A3B"/>
    <w:rsid w:val="008F0ACF"/>
    <w:rsid w:val="008F0B20"/>
    <w:rsid w:val="008F0C31"/>
    <w:rsid w:val="008F0E45"/>
    <w:rsid w:val="008F0E93"/>
    <w:rsid w:val="008F115B"/>
    <w:rsid w:val="008F12C4"/>
    <w:rsid w:val="008F1647"/>
    <w:rsid w:val="008F1A77"/>
    <w:rsid w:val="008F1AE6"/>
    <w:rsid w:val="008F1D33"/>
    <w:rsid w:val="008F1DD9"/>
    <w:rsid w:val="008F1FC3"/>
    <w:rsid w:val="008F2059"/>
    <w:rsid w:val="008F2155"/>
    <w:rsid w:val="008F21FC"/>
    <w:rsid w:val="008F22F7"/>
    <w:rsid w:val="008F23DE"/>
    <w:rsid w:val="008F2656"/>
    <w:rsid w:val="008F268A"/>
    <w:rsid w:val="008F2749"/>
    <w:rsid w:val="008F2797"/>
    <w:rsid w:val="008F2997"/>
    <w:rsid w:val="008F2AA6"/>
    <w:rsid w:val="008F2BED"/>
    <w:rsid w:val="008F3089"/>
    <w:rsid w:val="008F30DA"/>
    <w:rsid w:val="008F32C1"/>
    <w:rsid w:val="008F3317"/>
    <w:rsid w:val="008F33AB"/>
    <w:rsid w:val="008F3578"/>
    <w:rsid w:val="008F36ED"/>
    <w:rsid w:val="008F37AF"/>
    <w:rsid w:val="008F3838"/>
    <w:rsid w:val="008F3876"/>
    <w:rsid w:val="008F399E"/>
    <w:rsid w:val="008F39FB"/>
    <w:rsid w:val="008F3AEE"/>
    <w:rsid w:val="008F3B8B"/>
    <w:rsid w:val="008F3C93"/>
    <w:rsid w:val="008F3EBC"/>
    <w:rsid w:val="008F4350"/>
    <w:rsid w:val="008F43A5"/>
    <w:rsid w:val="008F45E4"/>
    <w:rsid w:val="008F4601"/>
    <w:rsid w:val="008F47F1"/>
    <w:rsid w:val="008F486C"/>
    <w:rsid w:val="008F48F0"/>
    <w:rsid w:val="008F4927"/>
    <w:rsid w:val="008F4C1A"/>
    <w:rsid w:val="008F4D3C"/>
    <w:rsid w:val="008F4D4C"/>
    <w:rsid w:val="008F4F09"/>
    <w:rsid w:val="008F4F7D"/>
    <w:rsid w:val="008F5292"/>
    <w:rsid w:val="008F538B"/>
    <w:rsid w:val="008F5556"/>
    <w:rsid w:val="008F5561"/>
    <w:rsid w:val="008F5658"/>
    <w:rsid w:val="008F5682"/>
    <w:rsid w:val="008F56B4"/>
    <w:rsid w:val="008F59D0"/>
    <w:rsid w:val="008F5A25"/>
    <w:rsid w:val="008F6193"/>
    <w:rsid w:val="008F6309"/>
    <w:rsid w:val="008F63A9"/>
    <w:rsid w:val="008F63EC"/>
    <w:rsid w:val="008F6448"/>
    <w:rsid w:val="008F658A"/>
    <w:rsid w:val="008F660B"/>
    <w:rsid w:val="008F66E0"/>
    <w:rsid w:val="008F6737"/>
    <w:rsid w:val="008F6872"/>
    <w:rsid w:val="008F6AFA"/>
    <w:rsid w:val="008F6B66"/>
    <w:rsid w:val="008F6B95"/>
    <w:rsid w:val="008F6C53"/>
    <w:rsid w:val="008F6C77"/>
    <w:rsid w:val="008F6E9C"/>
    <w:rsid w:val="008F717A"/>
    <w:rsid w:val="008F7210"/>
    <w:rsid w:val="008F7244"/>
    <w:rsid w:val="008F72C5"/>
    <w:rsid w:val="008F7301"/>
    <w:rsid w:val="008F7309"/>
    <w:rsid w:val="008F736C"/>
    <w:rsid w:val="008F746E"/>
    <w:rsid w:val="008F7561"/>
    <w:rsid w:val="008F7589"/>
    <w:rsid w:val="008F75E5"/>
    <w:rsid w:val="008F7604"/>
    <w:rsid w:val="008F767A"/>
    <w:rsid w:val="008F7D15"/>
    <w:rsid w:val="008F7EEB"/>
    <w:rsid w:val="008F7FD5"/>
    <w:rsid w:val="00900078"/>
    <w:rsid w:val="0090035C"/>
    <w:rsid w:val="0090039F"/>
    <w:rsid w:val="0090054E"/>
    <w:rsid w:val="009005FE"/>
    <w:rsid w:val="0090062B"/>
    <w:rsid w:val="00900686"/>
    <w:rsid w:val="009006A6"/>
    <w:rsid w:val="009006C8"/>
    <w:rsid w:val="00900783"/>
    <w:rsid w:val="00900892"/>
    <w:rsid w:val="009008FC"/>
    <w:rsid w:val="00900B2C"/>
    <w:rsid w:val="00900B8C"/>
    <w:rsid w:val="00900CB8"/>
    <w:rsid w:val="009010A4"/>
    <w:rsid w:val="009012DA"/>
    <w:rsid w:val="00901346"/>
    <w:rsid w:val="0090144E"/>
    <w:rsid w:val="00901760"/>
    <w:rsid w:val="009019FE"/>
    <w:rsid w:val="00901A0C"/>
    <w:rsid w:val="00901C6E"/>
    <w:rsid w:val="00901F9E"/>
    <w:rsid w:val="00902167"/>
    <w:rsid w:val="00902187"/>
    <w:rsid w:val="00902248"/>
    <w:rsid w:val="009022B9"/>
    <w:rsid w:val="009023D0"/>
    <w:rsid w:val="009023ED"/>
    <w:rsid w:val="00902423"/>
    <w:rsid w:val="009024FF"/>
    <w:rsid w:val="0090256E"/>
    <w:rsid w:val="00902596"/>
    <w:rsid w:val="009025B2"/>
    <w:rsid w:val="009026AB"/>
    <w:rsid w:val="009026DB"/>
    <w:rsid w:val="009027C8"/>
    <w:rsid w:val="009029C4"/>
    <w:rsid w:val="00902E78"/>
    <w:rsid w:val="00902E81"/>
    <w:rsid w:val="0090303A"/>
    <w:rsid w:val="00903337"/>
    <w:rsid w:val="0090338F"/>
    <w:rsid w:val="00903462"/>
    <w:rsid w:val="009035F3"/>
    <w:rsid w:val="00903AFB"/>
    <w:rsid w:val="00903B4C"/>
    <w:rsid w:val="00903CC7"/>
    <w:rsid w:val="00903CD0"/>
    <w:rsid w:val="00903F1C"/>
    <w:rsid w:val="00903F77"/>
    <w:rsid w:val="00903FA3"/>
    <w:rsid w:val="0090409A"/>
    <w:rsid w:val="00904180"/>
    <w:rsid w:val="00904333"/>
    <w:rsid w:val="00904440"/>
    <w:rsid w:val="00904448"/>
    <w:rsid w:val="009044DD"/>
    <w:rsid w:val="009047E0"/>
    <w:rsid w:val="009049AC"/>
    <w:rsid w:val="00904D80"/>
    <w:rsid w:val="00904DC1"/>
    <w:rsid w:val="00904DF6"/>
    <w:rsid w:val="00904ED1"/>
    <w:rsid w:val="00904F2F"/>
    <w:rsid w:val="00905054"/>
    <w:rsid w:val="00905115"/>
    <w:rsid w:val="00905156"/>
    <w:rsid w:val="009054A4"/>
    <w:rsid w:val="009054D5"/>
    <w:rsid w:val="009055DF"/>
    <w:rsid w:val="00905710"/>
    <w:rsid w:val="009057CF"/>
    <w:rsid w:val="00905876"/>
    <w:rsid w:val="009058CD"/>
    <w:rsid w:val="00905925"/>
    <w:rsid w:val="00905A1B"/>
    <w:rsid w:val="00905A3E"/>
    <w:rsid w:val="00905B22"/>
    <w:rsid w:val="00905B3E"/>
    <w:rsid w:val="00905CAA"/>
    <w:rsid w:val="00905CD6"/>
    <w:rsid w:val="00905D09"/>
    <w:rsid w:val="00905D9F"/>
    <w:rsid w:val="00905E78"/>
    <w:rsid w:val="00905F57"/>
    <w:rsid w:val="00906175"/>
    <w:rsid w:val="0090624B"/>
    <w:rsid w:val="0090640C"/>
    <w:rsid w:val="009064B9"/>
    <w:rsid w:val="009066D8"/>
    <w:rsid w:val="00906756"/>
    <w:rsid w:val="009068C8"/>
    <w:rsid w:val="00906AA6"/>
    <w:rsid w:val="00906ABF"/>
    <w:rsid w:val="00906B05"/>
    <w:rsid w:val="00906D6C"/>
    <w:rsid w:val="00907019"/>
    <w:rsid w:val="00907141"/>
    <w:rsid w:val="0090726C"/>
    <w:rsid w:val="00907332"/>
    <w:rsid w:val="009073C5"/>
    <w:rsid w:val="0090740D"/>
    <w:rsid w:val="00907466"/>
    <w:rsid w:val="0090748D"/>
    <w:rsid w:val="0090749A"/>
    <w:rsid w:val="009075C0"/>
    <w:rsid w:val="0090781C"/>
    <w:rsid w:val="0090785A"/>
    <w:rsid w:val="00907A73"/>
    <w:rsid w:val="00907D10"/>
    <w:rsid w:val="0091007B"/>
    <w:rsid w:val="00910214"/>
    <w:rsid w:val="00910361"/>
    <w:rsid w:val="009103BB"/>
    <w:rsid w:val="00910484"/>
    <w:rsid w:val="00910588"/>
    <w:rsid w:val="009105CF"/>
    <w:rsid w:val="009106AB"/>
    <w:rsid w:val="009107DD"/>
    <w:rsid w:val="0091091A"/>
    <w:rsid w:val="009109CF"/>
    <w:rsid w:val="00910AD3"/>
    <w:rsid w:val="00910D71"/>
    <w:rsid w:val="00911070"/>
    <w:rsid w:val="009110FF"/>
    <w:rsid w:val="009112F9"/>
    <w:rsid w:val="00911300"/>
    <w:rsid w:val="009113B3"/>
    <w:rsid w:val="009114B4"/>
    <w:rsid w:val="009114F1"/>
    <w:rsid w:val="009114FE"/>
    <w:rsid w:val="009116A6"/>
    <w:rsid w:val="00911711"/>
    <w:rsid w:val="0091171C"/>
    <w:rsid w:val="0091182F"/>
    <w:rsid w:val="0091185A"/>
    <w:rsid w:val="00911BEE"/>
    <w:rsid w:val="00911D67"/>
    <w:rsid w:val="0091209C"/>
    <w:rsid w:val="0091227E"/>
    <w:rsid w:val="0091247B"/>
    <w:rsid w:val="00912527"/>
    <w:rsid w:val="0091269A"/>
    <w:rsid w:val="00912985"/>
    <w:rsid w:val="009129FE"/>
    <w:rsid w:val="00912A89"/>
    <w:rsid w:val="00912EDA"/>
    <w:rsid w:val="00912F75"/>
    <w:rsid w:val="00913049"/>
    <w:rsid w:val="00913057"/>
    <w:rsid w:val="009130D8"/>
    <w:rsid w:val="00913145"/>
    <w:rsid w:val="00913196"/>
    <w:rsid w:val="0091319D"/>
    <w:rsid w:val="009131BE"/>
    <w:rsid w:val="00913244"/>
    <w:rsid w:val="009132BD"/>
    <w:rsid w:val="009132C6"/>
    <w:rsid w:val="009133A1"/>
    <w:rsid w:val="0091351B"/>
    <w:rsid w:val="0091355A"/>
    <w:rsid w:val="00913827"/>
    <w:rsid w:val="00913D29"/>
    <w:rsid w:val="00913DCE"/>
    <w:rsid w:val="009140E4"/>
    <w:rsid w:val="00914154"/>
    <w:rsid w:val="00914415"/>
    <w:rsid w:val="00914581"/>
    <w:rsid w:val="009146E6"/>
    <w:rsid w:val="00914900"/>
    <w:rsid w:val="00914AD3"/>
    <w:rsid w:val="00914C96"/>
    <w:rsid w:val="00914CB6"/>
    <w:rsid w:val="00914E38"/>
    <w:rsid w:val="00914EAC"/>
    <w:rsid w:val="00914EE3"/>
    <w:rsid w:val="00914FC8"/>
    <w:rsid w:val="00914FC9"/>
    <w:rsid w:val="00914FDE"/>
    <w:rsid w:val="00915064"/>
    <w:rsid w:val="0091531B"/>
    <w:rsid w:val="00915340"/>
    <w:rsid w:val="009157F4"/>
    <w:rsid w:val="0091589C"/>
    <w:rsid w:val="00915970"/>
    <w:rsid w:val="009159DB"/>
    <w:rsid w:val="00915AF5"/>
    <w:rsid w:val="00915AF9"/>
    <w:rsid w:val="00915D38"/>
    <w:rsid w:val="00915D85"/>
    <w:rsid w:val="00915D93"/>
    <w:rsid w:val="00915DEC"/>
    <w:rsid w:val="00915E21"/>
    <w:rsid w:val="009160FB"/>
    <w:rsid w:val="00916222"/>
    <w:rsid w:val="00916382"/>
    <w:rsid w:val="0091645C"/>
    <w:rsid w:val="009164BF"/>
    <w:rsid w:val="009169AC"/>
    <w:rsid w:val="00916A2D"/>
    <w:rsid w:val="00916A92"/>
    <w:rsid w:val="00916AC0"/>
    <w:rsid w:val="00916E3B"/>
    <w:rsid w:val="00916EBA"/>
    <w:rsid w:val="00916F2D"/>
    <w:rsid w:val="009175DC"/>
    <w:rsid w:val="00917699"/>
    <w:rsid w:val="00917916"/>
    <w:rsid w:val="00917919"/>
    <w:rsid w:val="009179E7"/>
    <w:rsid w:val="00917B2E"/>
    <w:rsid w:val="00917DCA"/>
    <w:rsid w:val="00917FA4"/>
    <w:rsid w:val="009203C2"/>
    <w:rsid w:val="009205EB"/>
    <w:rsid w:val="00920622"/>
    <w:rsid w:val="0092074A"/>
    <w:rsid w:val="00920844"/>
    <w:rsid w:val="00920873"/>
    <w:rsid w:val="009209D9"/>
    <w:rsid w:val="00920A98"/>
    <w:rsid w:val="00920ADD"/>
    <w:rsid w:val="00920B18"/>
    <w:rsid w:val="00920CD8"/>
    <w:rsid w:val="00920D2C"/>
    <w:rsid w:val="00920E4C"/>
    <w:rsid w:val="009211A3"/>
    <w:rsid w:val="0092124E"/>
    <w:rsid w:val="009212C5"/>
    <w:rsid w:val="00921421"/>
    <w:rsid w:val="00921435"/>
    <w:rsid w:val="00921543"/>
    <w:rsid w:val="00921587"/>
    <w:rsid w:val="00921650"/>
    <w:rsid w:val="009217F8"/>
    <w:rsid w:val="00921922"/>
    <w:rsid w:val="00921BE6"/>
    <w:rsid w:val="00921E3D"/>
    <w:rsid w:val="00921FC0"/>
    <w:rsid w:val="00921FF7"/>
    <w:rsid w:val="0092227A"/>
    <w:rsid w:val="00922407"/>
    <w:rsid w:val="009227E7"/>
    <w:rsid w:val="0092283C"/>
    <w:rsid w:val="00922983"/>
    <w:rsid w:val="00922A1A"/>
    <w:rsid w:val="00922B92"/>
    <w:rsid w:val="00922BFB"/>
    <w:rsid w:val="00922C97"/>
    <w:rsid w:val="00922CEE"/>
    <w:rsid w:val="00922D96"/>
    <w:rsid w:val="00922E9E"/>
    <w:rsid w:val="00922EFE"/>
    <w:rsid w:val="009231AC"/>
    <w:rsid w:val="0092321F"/>
    <w:rsid w:val="00923437"/>
    <w:rsid w:val="009235D4"/>
    <w:rsid w:val="009236F3"/>
    <w:rsid w:val="00923AB7"/>
    <w:rsid w:val="00923B61"/>
    <w:rsid w:val="00923B97"/>
    <w:rsid w:val="00923C1F"/>
    <w:rsid w:val="00923EAA"/>
    <w:rsid w:val="009240FD"/>
    <w:rsid w:val="00924125"/>
    <w:rsid w:val="009242F8"/>
    <w:rsid w:val="00924427"/>
    <w:rsid w:val="00924644"/>
    <w:rsid w:val="00924646"/>
    <w:rsid w:val="00924C4F"/>
    <w:rsid w:val="00924F23"/>
    <w:rsid w:val="009251B5"/>
    <w:rsid w:val="00925298"/>
    <w:rsid w:val="009252FA"/>
    <w:rsid w:val="00925302"/>
    <w:rsid w:val="009254E2"/>
    <w:rsid w:val="0092560A"/>
    <w:rsid w:val="009256CF"/>
    <w:rsid w:val="009256F4"/>
    <w:rsid w:val="0092581D"/>
    <w:rsid w:val="0092590B"/>
    <w:rsid w:val="00925C99"/>
    <w:rsid w:val="00925DDF"/>
    <w:rsid w:val="009262FC"/>
    <w:rsid w:val="009264DF"/>
    <w:rsid w:val="009265C2"/>
    <w:rsid w:val="009265E0"/>
    <w:rsid w:val="00926685"/>
    <w:rsid w:val="0092673E"/>
    <w:rsid w:val="00926781"/>
    <w:rsid w:val="00926CCE"/>
    <w:rsid w:val="00927050"/>
    <w:rsid w:val="009270E5"/>
    <w:rsid w:val="0092723B"/>
    <w:rsid w:val="00927283"/>
    <w:rsid w:val="00927471"/>
    <w:rsid w:val="0092766D"/>
    <w:rsid w:val="0092773A"/>
    <w:rsid w:val="00927786"/>
    <w:rsid w:val="00927864"/>
    <w:rsid w:val="00927DB0"/>
    <w:rsid w:val="00927DB2"/>
    <w:rsid w:val="00927DF8"/>
    <w:rsid w:val="0093001F"/>
    <w:rsid w:val="009301C3"/>
    <w:rsid w:val="00930343"/>
    <w:rsid w:val="009303ED"/>
    <w:rsid w:val="009306EA"/>
    <w:rsid w:val="00930793"/>
    <w:rsid w:val="009307BA"/>
    <w:rsid w:val="009307D8"/>
    <w:rsid w:val="009307E7"/>
    <w:rsid w:val="00930991"/>
    <w:rsid w:val="009309BE"/>
    <w:rsid w:val="00930A1F"/>
    <w:rsid w:val="00930B6D"/>
    <w:rsid w:val="00930D53"/>
    <w:rsid w:val="00930DDB"/>
    <w:rsid w:val="00930E54"/>
    <w:rsid w:val="00930EE4"/>
    <w:rsid w:val="00930F70"/>
    <w:rsid w:val="00930FD9"/>
    <w:rsid w:val="009310C4"/>
    <w:rsid w:val="009311AC"/>
    <w:rsid w:val="009312C6"/>
    <w:rsid w:val="00931319"/>
    <w:rsid w:val="009314AB"/>
    <w:rsid w:val="009314E1"/>
    <w:rsid w:val="009317BD"/>
    <w:rsid w:val="00931855"/>
    <w:rsid w:val="00931862"/>
    <w:rsid w:val="0093192A"/>
    <w:rsid w:val="0093197D"/>
    <w:rsid w:val="0093198A"/>
    <w:rsid w:val="009319B6"/>
    <w:rsid w:val="00931AC8"/>
    <w:rsid w:val="00931B5C"/>
    <w:rsid w:val="00931BAF"/>
    <w:rsid w:val="00931C27"/>
    <w:rsid w:val="009322A9"/>
    <w:rsid w:val="009322BF"/>
    <w:rsid w:val="0093245D"/>
    <w:rsid w:val="0093253F"/>
    <w:rsid w:val="00932757"/>
    <w:rsid w:val="00932809"/>
    <w:rsid w:val="0093281A"/>
    <w:rsid w:val="00932876"/>
    <w:rsid w:val="00932913"/>
    <w:rsid w:val="00932AA0"/>
    <w:rsid w:val="00932D59"/>
    <w:rsid w:val="00932E2C"/>
    <w:rsid w:val="00932F16"/>
    <w:rsid w:val="00932F4E"/>
    <w:rsid w:val="009332AD"/>
    <w:rsid w:val="00933374"/>
    <w:rsid w:val="009334E7"/>
    <w:rsid w:val="0093358D"/>
    <w:rsid w:val="00933622"/>
    <w:rsid w:val="00933713"/>
    <w:rsid w:val="00933965"/>
    <w:rsid w:val="009339B9"/>
    <w:rsid w:val="00933A0A"/>
    <w:rsid w:val="00933A6D"/>
    <w:rsid w:val="00933A85"/>
    <w:rsid w:val="00933B25"/>
    <w:rsid w:val="00933B5A"/>
    <w:rsid w:val="00933BE7"/>
    <w:rsid w:val="00933CB4"/>
    <w:rsid w:val="00933F58"/>
    <w:rsid w:val="00933F73"/>
    <w:rsid w:val="009341CF"/>
    <w:rsid w:val="00934232"/>
    <w:rsid w:val="0093446D"/>
    <w:rsid w:val="009344BE"/>
    <w:rsid w:val="009344DD"/>
    <w:rsid w:val="00934621"/>
    <w:rsid w:val="00934707"/>
    <w:rsid w:val="00934766"/>
    <w:rsid w:val="00934870"/>
    <w:rsid w:val="009348B4"/>
    <w:rsid w:val="00934A04"/>
    <w:rsid w:val="00934B13"/>
    <w:rsid w:val="00934C27"/>
    <w:rsid w:val="00934D34"/>
    <w:rsid w:val="00934DC3"/>
    <w:rsid w:val="00934F9B"/>
    <w:rsid w:val="009350B0"/>
    <w:rsid w:val="009350CA"/>
    <w:rsid w:val="0093511E"/>
    <w:rsid w:val="00935395"/>
    <w:rsid w:val="009353C8"/>
    <w:rsid w:val="009353D2"/>
    <w:rsid w:val="00935565"/>
    <w:rsid w:val="009355E8"/>
    <w:rsid w:val="00935863"/>
    <w:rsid w:val="00935864"/>
    <w:rsid w:val="00935992"/>
    <w:rsid w:val="0093599D"/>
    <w:rsid w:val="00935AA7"/>
    <w:rsid w:val="00935C8C"/>
    <w:rsid w:val="0093602A"/>
    <w:rsid w:val="00936059"/>
    <w:rsid w:val="009360AC"/>
    <w:rsid w:val="009362DE"/>
    <w:rsid w:val="00936329"/>
    <w:rsid w:val="009363A1"/>
    <w:rsid w:val="009364F9"/>
    <w:rsid w:val="00936545"/>
    <w:rsid w:val="00936628"/>
    <w:rsid w:val="0093677C"/>
    <w:rsid w:val="009367DB"/>
    <w:rsid w:val="009367DD"/>
    <w:rsid w:val="009368D0"/>
    <w:rsid w:val="009368D3"/>
    <w:rsid w:val="009369E5"/>
    <w:rsid w:val="00936A21"/>
    <w:rsid w:val="00936B34"/>
    <w:rsid w:val="00936C98"/>
    <w:rsid w:val="00936D29"/>
    <w:rsid w:val="00936E82"/>
    <w:rsid w:val="00936F14"/>
    <w:rsid w:val="00936F61"/>
    <w:rsid w:val="00936F8E"/>
    <w:rsid w:val="009370A2"/>
    <w:rsid w:val="0093711D"/>
    <w:rsid w:val="009372FA"/>
    <w:rsid w:val="009373EF"/>
    <w:rsid w:val="00937468"/>
    <w:rsid w:val="00937488"/>
    <w:rsid w:val="00937699"/>
    <w:rsid w:val="00937930"/>
    <w:rsid w:val="0093796E"/>
    <w:rsid w:val="00937A07"/>
    <w:rsid w:val="00937A27"/>
    <w:rsid w:val="00937DAC"/>
    <w:rsid w:val="00937EAB"/>
    <w:rsid w:val="00937FB6"/>
    <w:rsid w:val="0094012D"/>
    <w:rsid w:val="00940191"/>
    <w:rsid w:val="0094048F"/>
    <w:rsid w:val="00940764"/>
    <w:rsid w:val="009408B8"/>
    <w:rsid w:val="00940BBF"/>
    <w:rsid w:val="00940D49"/>
    <w:rsid w:val="00940DC6"/>
    <w:rsid w:val="00940E4D"/>
    <w:rsid w:val="00940E97"/>
    <w:rsid w:val="00941164"/>
    <w:rsid w:val="00941334"/>
    <w:rsid w:val="0094135E"/>
    <w:rsid w:val="009414B1"/>
    <w:rsid w:val="009414BA"/>
    <w:rsid w:val="009415B6"/>
    <w:rsid w:val="0094191F"/>
    <w:rsid w:val="00941944"/>
    <w:rsid w:val="009419A0"/>
    <w:rsid w:val="00941B49"/>
    <w:rsid w:val="00941CCE"/>
    <w:rsid w:val="00941DE0"/>
    <w:rsid w:val="00941EB7"/>
    <w:rsid w:val="00941F79"/>
    <w:rsid w:val="009421C6"/>
    <w:rsid w:val="0094224B"/>
    <w:rsid w:val="009423B5"/>
    <w:rsid w:val="00942653"/>
    <w:rsid w:val="00942669"/>
    <w:rsid w:val="0094288F"/>
    <w:rsid w:val="009428C6"/>
    <w:rsid w:val="00942960"/>
    <w:rsid w:val="009429C7"/>
    <w:rsid w:val="00942C38"/>
    <w:rsid w:val="00942D44"/>
    <w:rsid w:val="00942DCA"/>
    <w:rsid w:val="00943254"/>
    <w:rsid w:val="009433BB"/>
    <w:rsid w:val="00943437"/>
    <w:rsid w:val="0094377B"/>
    <w:rsid w:val="009438AB"/>
    <w:rsid w:val="00943983"/>
    <w:rsid w:val="00943A81"/>
    <w:rsid w:val="00943B6E"/>
    <w:rsid w:val="00943C32"/>
    <w:rsid w:val="00943C48"/>
    <w:rsid w:val="00943C5E"/>
    <w:rsid w:val="00943CA0"/>
    <w:rsid w:val="00943CBD"/>
    <w:rsid w:val="00943D8C"/>
    <w:rsid w:val="00943EBB"/>
    <w:rsid w:val="00943EF8"/>
    <w:rsid w:val="00943F0A"/>
    <w:rsid w:val="00943FA8"/>
    <w:rsid w:val="009443EB"/>
    <w:rsid w:val="0094468A"/>
    <w:rsid w:val="009448CD"/>
    <w:rsid w:val="0094494C"/>
    <w:rsid w:val="00944BBA"/>
    <w:rsid w:val="00944D03"/>
    <w:rsid w:val="00944E0E"/>
    <w:rsid w:val="00944EB2"/>
    <w:rsid w:val="00944F21"/>
    <w:rsid w:val="00944F5E"/>
    <w:rsid w:val="00944F92"/>
    <w:rsid w:val="00944FFF"/>
    <w:rsid w:val="009450F8"/>
    <w:rsid w:val="009451A4"/>
    <w:rsid w:val="0094522C"/>
    <w:rsid w:val="009452F7"/>
    <w:rsid w:val="00945388"/>
    <w:rsid w:val="00945548"/>
    <w:rsid w:val="009457D7"/>
    <w:rsid w:val="0094592B"/>
    <w:rsid w:val="00945B93"/>
    <w:rsid w:val="00945BC7"/>
    <w:rsid w:val="00945CB7"/>
    <w:rsid w:val="00945EBF"/>
    <w:rsid w:val="00945F24"/>
    <w:rsid w:val="00946158"/>
    <w:rsid w:val="00946278"/>
    <w:rsid w:val="00946292"/>
    <w:rsid w:val="0094661B"/>
    <w:rsid w:val="0094667E"/>
    <w:rsid w:val="00946726"/>
    <w:rsid w:val="00946C38"/>
    <w:rsid w:val="00946D29"/>
    <w:rsid w:val="00946D60"/>
    <w:rsid w:val="00946DB3"/>
    <w:rsid w:val="00946E23"/>
    <w:rsid w:val="00946F70"/>
    <w:rsid w:val="0094708C"/>
    <w:rsid w:val="0094719D"/>
    <w:rsid w:val="00947257"/>
    <w:rsid w:val="0094738A"/>
    <w:rsid w:val="009474E1"/>
    <w:rsid w:val="00947589"/>
    <w:rsid w:val="00947614"/>
    <w:rsid w:val="009476C0"/>
    <w:rsid w:val="009477DD"/>
    <w:rsid w:val="009477E1"/>
    <w:rsid w:val="009478AE"/>
    <w:rsid w:val="0094796B"/>
    <w:rsid w:val="0094797C"/>
    <w:rsid w:val="00947A12"/>
    <w:rsid w:val="00947AC3"/>
    <w:rsid w:val="00947CC1"/>
    <w:rsid w:val="00947D77"/>
    <w:rsid w:val="0095014A"/>
    <w:rsid w:val="00950219"/>
    <w:rsid w:val="009502B3"/>
    <w:rsid w:val="0095052A"/>
    <w:rsid w:val="00950542"/>
    <w:rsid w:val="00950678"/>
    <w:rsid w:val="00950702"/>
    <w:rsid w:val="00950753"/>
    <w:rsid w:val="0095086E"/>
    <w:rsid w:val="00950BE0"/>
    <w:rsid w:val="00950C35"/>
    <w:rsid w:val="00950C51"/>
    <w:rsid w:val="00950C89"/>
    <w:rsid w:val="00950C98"/>
    <w:rsid w:val="00950E33"/>
    <w:rsid w:val="00950E62"/>
    <w:rsid w:val="00950ECF"/>
    <w:rsid w:val="0095102F"/>
    <w:rsid w:val="0095118F"/>
    <w:rsid w:val="009511BD"/>
    <w:rsid w:val="009511E9"/>
    <w:rsid w:val="00951462"/>
    <w:rsid w:val="009514B1"/>
    <w:rsid w:val="0095157C"/>
    <w:rsid w:val="00951797"/>
    <w:rsid w:val="00951830"/>
    <w:rsid w:val="009518FE"/>
    <w:rsid w:val="0095196A"/>
    <w:rsid w:val="00951D78"/>
    <w:rsid w:val="00951F12"/>
    <w:rsid w:val="00951F8F"/>
    <w:rsid w:val="00951FD4"/>
    <w:rsid w:val="009521C0"/>
    <w:rsid w:val="0095238C"/>
    <w:rsid w:val="009523BE"/>
    <w:rsid w:val="0095261F"/>
    <w:rsid w:val="009526AE"/>
    <w:rsid w:val="0095278C"/>
    <w:rsid w:val="009527DD"/>
    <w:rsid w:val="00952AF3"/>
    <w:rsid w:val="00952C4B"/>
    <w:rsid w:val="00952C59"/>
    <w:rsid w:val="00952D2B"/>
    <w:rsid w:val="00952DF3"/>
    <w:rsid w:val="00952E66"/>
    <w:rsid w:val="00952E98"/>
    <w:rsid w:val="00952EF5"/>
    <w:rsid w:val="00953037"/>
    <w:rsid w:val="0095321B"/>
    <w:rsid w:val="009533B3"/>
    <w:rsid w:val="009533B4"/>
    <w:rsid w:val="0095342F"/>
    <w:rsid w:val="009535A8"/>
    <w:rsid w:val="009536AB"/>
    <w:rsid w:val="0095380A"/>
    <w:rsid w:val="0095380B"/>
    <w:rsid w:val="00953A44"/>
    <w:rsid w:val="00953BA3"/>
    <w:rsid w:val="00953BC7"/>
    <w:rsid w:val="009540F4"/>
    <w:rsid w:val="009541E6"/>
    <w:rsid w:val="009545A3"/>
    <w:rsid w:val="00954679"/>
    <w:rsid w:val="009546AF"/>
    <w:rsid w:val="009546DE"/>
    <w:rsid w:val="00954810"/>
    <w:rsid w:val="0095497E"/>
    <w:rsid w:val="00954995"/>
    <w:rsid w:val="00954BC7"/>
    <w:rsid w:val="00954C65"/>
    <w:rsid w:val="00954F33"/>
    <w:rsid w:val="00954F7D"/>
    <w:rsid w:val="00955004"/>
    <w:rsid w:val="00955255"/>
    <w:rsid w:val="00955256"/>
    <w:rsid w:val="0095531D"/>
    <w:rsid w:val="00955335"/>
    <w:rsid w:val="0095534C"/>
    <w:rsid w:val="00955552"/>
    <w:rsid w:val="00955572"/>
    <w:rsid w:val="009556D2"/>
    <w:rsid w:val="00955700"/>
    <w:rsid w:val="00955717"/>
    <w:rsid w:val="009557B5"/>
    <w:rsid w:val="00955952"/>
    <w:rsid w:val="00955B0E"/>
    <w:rsid w:val="00955BBD"/>
    <w:rsid w:val="00955C3C"/>
    <w:rsid w:val="00955E1A"/>
    <w:rsid w:val="00955E32"/>
    <w:rsid w:val="00955ED4"/>
    <w:rsid w:val="00955F6C"/>
    <w:rsid w:val="0095625C"/>
    <w:rsid w:val="00956578"/>
    <w:rsid w:val="00956780"/>
    <w:rsid w:val="00956825"/>
    <w:rsid w:val="009569C1"/>
    <w:rsid w:val="00956A41"/>
    <w:rsid w:val="00956A51"/>
    <w:rsid w:val="00956A77"/>
    <w:rsid w:val="00956AAE"/>
    <w:rsid w:val="00956C63"/>
    <w:rsid w:val="00956C83"/>
    <w:rsid w:val="00956E3C"/>
    <w:rsid w:val="00956E98"/>
    <w:rsid w:val="00956ECF"/>
    <w:rsid w:val="00956FDC"/>
    <w:rsid w:val="00957093"/>
    <w:rsid w:val="00957131"/>
    <w:rsid w:val="0095718B"/>
    <w:rsid w:val="00957291"/>
    <w:rsid w:val="00957301"/>
    <w:rsid w:val="0095748D"/>
    <w:rsid w:val="009575CF"/>
    <w:rsid w:val="00957A38"/>
    <w:rsid w:val="00957C8C"/>
    <w:rsid w:val="00957DEC"/>
    <w:rsid w:val="00957EB2"/>
    <w:rsid w:val="00957F82"/>
    <w:rsid w:val="009601A6"/>
    <w:rsid w:val="00960227"/>
    <w:rsid w:val="009604DD"/>
    <w:rsid w:val="0096050F"/>
    <w:rsid w:val="00960515"/>
    <w:rsid w:val="0096068A"/>
    <w:rsid w:val="009606F5"/>
    <w:rsid w:val="009607BF"/>
    <w:rsid w:val="00960812"/>
    <w:rsid w:val="00960839"/>
    <w:rsid w:val="00960846"/>
    <w:rsid w:val="009609AC"/>
    <w:rsid w:val="00960A6E"/>
    <w:rsid w:val="00960D78"/>
    <w:rsid w:val="00960D7F"/>
    <w:rsid w:val="00960F5B"/>
    <w:rsid w:val="00961000"/>
    <w:rsid w:val="00961105"/>
    <w:rsid w:val="0096110B"/>
    <w:rsid w:val="0096173B"/>
    <w:rsid w:val="00961987"/>
    <w:rsid w:val="00961AAD"/>
    <w:rsid w:val="00961B7C"/>
    <w:rsid w:val="00961B98"/>
    <w:rsid w:val="00961CB0"/>
    <w:rsid w:val="00961CE5"/>
    <w:rsid w:val="00961D12"/>
    <w:rsid w:val="00961E55"/>
    <w:rsid w:val="00961F90"/>
    <w:rsid w:val="00961FEA"/>
    <w:rsid w:val="00962070"/>
    <w:rsid w:val="009620C5"/>
    <w:rsid w:val="00962100"/>
    <w:rsid w:val="009621A8"/>
    <w:rsid w:val="009621F5"/>
    <w:rsid w:val="00962355"/>
    <w:rsid w:val="00962546"/>
    <w:rsid w:val="00962653"/>
    <w:rsid w:val="009626F4"/>
    <w:rsid w:val="0096270E"/>
    <w:rsid w:val="009628BA"/>
    <w:rsid w:val="00962AAB"/>
    <w:rsid w:val="00962AFC"/>
    <w:rsid w:val="00962B2A"/>
    <w:rsid w:val="00962B2E"/>
    <w:rsid w:val="00962E2F"/>
    <w:rsid w:val="00962F47"/>
    <w:rsid w:val="009630F1"/>
    <w:rsid w:val="00963190"/>
    <w:rsid w:val="009633CB"/>
    <w:rsid w:val="00963445"/>
    <w:rsid w:val="009635A2"/>
    <w:rsid w:val="009635AA"/>
    <w:rsid w:val="009635BF"/>
    <w:rsid w:val="00963715"/>
    <w:rsid w:val="0096387C"/>
    <w:rsid w:val="00963906"/>
    <w:rsid w:val="00963A21"/>
    <w:rsid w:val="00963B0B"/>
    <w:rsid w:val="00963C8C"/>
    <w:rsid w:val="00963D58"/>
    <w:rsid w:val="00963FE9"/>
    <w:rsid w:val="00963FFB"/>
    <w:rsid w:val="00964512"/>
    <w:rsid w:val="0096456C"/>
    <w:rsid w:val="009645B7"/>
    <w:rsid w:val="0096478E"/>
    <w:rsid w:val="0096480F"/>
    <w:rsid w:val="0096491E"/>
    <w:rsid w:val="00964921"/>
    <w:rsid w:val="00964C30"/>
    <w:rsid w:val="00964D36"/>
    <w:rsid w:val="00964D3D"/>
    <w:rsid w:val="00964E50"/>
    <w:rsid w:val="00964E6D"/>
    <w:rsid w:val="00964F36"/>
    <w:rsid w:val="00964F83"/>
    <w:rsid w:val="00965200"/>
    <w:rsid w:val="0096534B"/>
    <w:rsid w:val="0096538B"/>
    <w:rsid w:val="009653E4"/>
    <w:rsid w:val="009657E2"/>
    <w:rsid w:val="00965AA1"/>
    <w:rsid w:val="00965AFB"/>
    <w:rsid w:val="00965DAD"/>
    <w:rsid w:val="00965DDC"/>
    <w:rsid w:val="00965E29"/>
    <w:rsid w:val="00965E54"/>
    <w:rsid w:val="00966021"/>
    <w:rsid w:val="009660EF"/>
    <w:rsid w:val="009661BB"/>
    <w:rsid w:val="009663C3"/>
    <w:rsid w:val="00966627"/>
    <w:rsid w:val="009666E7"/>
    <w:rsid w:val="0096688C"/>
    <w:rsid w:val="00966951"/>
    <w:rsid w:val="0096698B"/>
    <w:rsid w:val="00966999"/>
    <w:rsid w:val="00966B54"/>
    <w:rsid w:val="00966B6A"/>
    <w:rsid w:val="00966BEB"/>
    <w:rsid w:val="00966C47"/>
    <w:rsid w:val="009675D9"/>
    <w:rsid w:val="00967653"/>
    <w:rsid w:val="0096765D"/>
    <w:rsid w:val="00967810"/>
    <w:rsid w:val="00967A0C"/>
    <w:rsid w:val="00967A3C"/>
    <w:rsid w:val="00967A3E"/>
    <w:rsid w:val="00967B5F"/>
    <w:rsid w:val="00967CA7"/>
    <w:rsid w:val="00967D47"/>
    <w:rsid w:val="00967DAF"/>
    <w:rsid w:val="00967DB1"/>
    <w:rsid w:val="00970067"/>
    <w:rsid w:val="009700FF"/>
    <w:rsid w:val="00970333"/>
    <w:rsid w:val="00970467"/>
    <w:rsid w:val="009706BF"/>
    <w:rsid w:val="00970700"/>
    <w:rsid w:val="009707EC"/>
    <w:rsid w:val="00970800"/>
    <w:rsid w:val="00970874"/>
    <w:rsid w:val="0097087A"/>
    <w:rsid w:val="009709EF"/>
    <w:rsid w:val="00970A16"/>
    <w:rsid w:val="00970B43"/>
    <w:rsid w:val="00970BBC"/>
    <w:rsid w:val="00970E8F"/>
    <w:rsid w:val="00970FFA"/>
    <w:rsid w:val="00971305"/>
    <w:rsid w:val="009714DE"/>
    <w:rsid w:val="0097159C"/>
    <w:rsid w:val="009717DA"/>
    <w:rsid w:val="009719CA"/>
    <w:rsid w:val="00971C26"/>
    <w:rsid w:val="00971CDD"/>
    <w:rsid w:val="00971EE5"/>
    <w:rsid w:val="009721E4"/>
    <w:rsid w:val="009722D0"/>
    <w:rsid w:val="0097232F"/>
    <w:rsid w:val="009724E8"/>
    <w:rsid w:val="009725CD"/>
    <w:rsid w:val="00972A69"/>
    <w:rsid w:val="00972AFF"/>
    <w:rsid w:val="00972B58"/>
    <w:rsid w:val="00972C8F"/>
    <w:rsid w:val="00972C93"/>
    <w:rsid w:val="00972D83"/>
    <w:rsid w:val="00972EF4"/>
    <w:rsid w:val="0097325E"/>
    <w:rsid w:val="009732C4"/>
    <w:rsid w:val="0097341C"/>
    <w:rsid w:val="009734D8"/>
    <w:rsid w:val="00973550"/>
    <w:rsid w:val="0097361A"/>
    <w:rsid w:val="009739B2"/>
    <w:rsid w:val="009739BE"/>
    <w:rsid w:val="00973CF2"/>
    <w:rsid w:val="00973D3D"/>
    <w:rsid w:val="00973D43"/>
    <w:rsid w:val="00973F05"/>
    <w:rsid w:val="00973F59"/>
    <w:rsid w:val="00973F5B"/>
    <w:rsid w:val="0097406E"/>
    <w:rsid w:val="009740AB"/>
    <w:rsid w:val="009740CB"/>
    <w:rsid w:val="00974674"/>
    <w:rsid w:val="00974677"/>
    <w:rsid w:val="0097479A"/>
    <w:rsid w:val="0097493B"/>
    <w:rsid w:val="00974BEE"/>
    <w:rsid w:val="00974C92"/>
    <w:rsid w:val="00975159"/>
    <w:rsid w:val="00975464"/>
    <w:rsid w:val="009754DB"/>
    <w:rsid w:val="009755B0"/>
    <w:rsid w:val="00975622"/>
    <w:rsid w:val="00975638"/>
    <w:rsid w:val="00975717"/>
    <w:rsid w:val="009759B4"/>
    <w:rsid w:val="00975B2C"/>
    <w:rsid w:val="00975CF5"/>
    <w:rsid w:val="00975D6C"/>
    <w:rsid w:val="00975DA6"/>
    <w:rsid w:val="00975F33"/>
    <w:rsid w:val="00975F3D"/>
    <w:rsid w:val="00975FD6"/>
    <w:rsid w:val="009761DB"/>
    <w:rsid w:val="0097626D"/>
    <w:rsid w:val="009763E4"/>
    <w:rsid w:val="009764EF"/>
    <w:rsid w:val="00976607"/>
    <w:rsid w:val="00976697"/>
    <w:rsid w:val="009767B3"/>
    <w:rsid w:val="00976844"/>
    <w:rsid w:val="00976A58"/>
    <w:rsid w:val="00976DFD"/>
    <w:rsid w:val="00976F9E"/>
    <w:rsid w:val="00976FFB"/>
    <w:rsid w:val="0097701B"/>
    <w:rsid w:val="0097710A"/>
    <w:rsid w:val="009771EA"/>
    <w:rsid w:val="0097727A"/>
    <w:rsid w:val="0097734F"/>
    <w:rsid w:val="009773C9"/>
    <w:rsid w:val="009774B7"/>
    <w:rsid w:val="009775EF"/>
    <w:rsid w:val="009776E0"/>
    <w:rsid w:val="00977857"/>
    <w:rsid w:val="00977862"/>
    <w:rsid w:val="009779D6"/>
    <w:rsid w:val="00977A48"/>
    <w:rsid w:val="00977AB5"/>
    <w:rsid w:val="00977AFA"/>
    <w:rsid w:val="00977CD4"/>
    <w:rsid w:val="00977E15"/>
    <w:rsid w:val="00977F0D"/>
    <w:rsid w:val="00977F54"/>
    <w:rsid w:val="0098029D"/>
    <w:rsid w:val="0098033F"/>
    <w:rsid w:val="009804DF"/>
    <w:rsid w:val="00980531"/>
    <w:rsid w:val="009806E0"/>
    <w:rsid w:val="00980752"/>
    <w:rsid w:val="00980805"/>
    <w:rsid w:val="0098081E"/>
    <w:rsid w:val="00980BF5"/>
    <w:rsid w:val="00980C38"/>
    <w:rsid w:val="00980CD0"/>
    <w:rsid w:val="00980F88"/>
    <w:rsid w:val="00980FCF"/>
    <w:rsid w:val="009811CF"/>
    <w:rsid w:val="009812EC"/>
    <w:rsid w:val="009813B9"/>
    <w:rsid w:val="009813E4"/>
    <w:rsid w:val="00981477"/>
    <w:rsid w:val="009814D6"/>
    <w:rsid w:val="0098156F"/>
    <w:rsid w:val="00981602"/>
    <w:rsid w:val="009816F8"/>
    <w:rsid w:val="00981776"/>
    <w:rsid w:val="009817C1"/>
    <w:rsid w:val="009817CF"/>
    <w:rsid w:val="009817D6"/>
    <w:rsid w:val="00981848"/>
    <w:rsid w:val="009818C7"/>
    <w:rsid w:val="00981925"/>
    <w:rsid w:val="00981BDB"/>
    <w:rsid w:val="00981C13"/>
    <w:rsid w:val="00981FD9"/>
    <w:rsid w:val="009825B5"/>
    <w:rsid w:val="0098279D"/>
    <w:rsid w:val="00982914"/>
    <w:rsid w:val="0098292C"/>
    <w:rsid w:val="00982EC5"/>
    <w:rsid w:val="00982FCA"/>
    <w:rsid w:val="0098325C"/>
    <w:rsid w:val="00983301"/>
    <w:rsid w:val="0098338F"/>
    <w:rsid w:val="00983476"/>
    <w:rsid w:val="009834CF"/>
    <w:rsid w:val="009835DA"/>
    <w:rsid w:val="009837CE"/>
    <w:rsid w:val="009837EB"/>
    <w:rsid w:val="00983889"/>
    <w:rsid w:val="00983A02"/>
    <w:rsid w:val="00983A7E"/>
    <w:rsid w:val="00983B58"/>
    <w:rsid w:val="00983C53"/>
    <w:rsid w:val="00983C7F"/>
    <w:rsid w:val="00983C84"/>
    <w:rsid w:val="00983F36"/>
    <w:rsid w:val="009840E5"/>
    <w:rsid w:val="00984663"/>
    <w:rsid w:val="009847EB"/>
    <w:rsid w:val="009848B3"/>
    <w:rsid w:val="009849B1"/>
    <w:rsid w:val="00984A25"/>
    <w:rsid w:val="00984C28"/>
    <w:rsid w:val="00984CA7"/>
    <w:rsid w:val="00984FF0"/>
    <w:rsid w:val="0098504A"/>
    <w:rsid w:val="00985279"/>
    <w:rsid w:val="009853E0"/>
    <w:rsid w:val="009854C9"/>
    <w:rsid w:val="009858C0"/>
    <w:rsid w:val="00985939"/>
    <w:rsid w:val="00985A73"/>
    <w:rsid w:val="00985BEA"/>
    <w:rsid w:val="00985BF7"/>
    <w:rsid w:val="00985C78"/>
    <w:rsid w:val="00985D0B"/>
    <w:rsid w:val="00985D52"/>
    <w:rsid w:val="00985E48"/>
    <w:rsid w:val="00986011"/>
    <w:rsid w:val="0098619E"/>
    <w:rsid w:val="00986336"/>
    <w:rsid w:val="009864E6"/>
    <w:rsid w:val="00986786"/>
    <w:rsid w:val="00986791"/>
    <w:rsid w:val="0098680E"/>
    <w:rsid w:val="0098690E"/>
    <w:rsid w:val="00986BE4"/>
    <w:rsid w:val="00986D88"/>
    <w:rsid w:val="00986E1E"/>
    <w:rsid w:val="00986E28"/>
    <w:rsid w:val="00986E58"/>
    <w:rsid w:val="009872E3"/>
    <w:rsid w:val="009873FC"/>
    <w:rsid w:val="0098768D"/>
    <w:rsid w:val="009876B2"/>
    <w:rsid w:val="009876BA"/>
    <w:rsid w:val="009876BF"/>
    <w:rsid w:val="009877E2"/>
    <w:rsid w:val="0098785B"/>
    <w:rsid w:val="009878C6"/>
    <w:rsid w:val="009879F3"/>
    <w:rsid w:val="00987ADB"/>
    <w:rsid w:val="00987B72"/>
    <w:rsid w:val="00987BA5"/>
    <w:rsid w:val="00987CC2"/>
    <w:rsid w:val="00987F43"/>
    <w:rsid w:val="009903BA"/>
    <w:rsid w:val="00990418"/>
    <w:rsid w:val="0099041E"/>
    <w:rsid w:val="00990464"/>
    <w:rsid w:val="0099057D"/>
    <w:rsid w:val="009905CC"/>
    <w:rsid w:val="00990A40"/>
    <w:rsid w:val="00990ECB"/>
    <w:rsid w:val="00990FAA"/>
    <w:rsid w:val="00991199"/>
    <w:rsid w:val="00991271"/>
    <w:rsid w:val="009915AF"/>
    <w:rsid w:val="009917A4"/>
    <w:rsid w:val="00991899"/>
    <w:rsid w:val="009918A1"/>
    <w:rsid w:val="009918F3"/>
    <w:rsid w:val="00991A6E"/>
    <w:rsid w:val="00991F06"/>
    <w:rsid w:val="00991F6E"/>
    <w:rsid w:val="0099215E"/>
    <w:rsid w:val="00992186"/>
    <w:rsid w:val="00992204"/>
    <w:rsid w:val="0099221F"/>
    <w:rsid w:val="00992222"/>
    <w:rsid w:val="00992274"/>
    <w:rsid w:val="009922D7"/>
    <w:rsid w:val="0099233A"/>
    <w:rsid w:val="0099235F"/>
    <w:rsid w:val="009923A5"/>
    <w:rsid w:val="009923F7"/>
    <w:rsid w:val="00992493"/>
    <w:rsid w:val="0099254D"/>
    <w:rsid w:val="0099263A"/>
    <w:rsid w:val="0099268F"/>
    <w:rsid w:val="009926BB"/>
    <w:rsid w:val="009926E2"/>
    <w:rsid w:val="00992865"/>
    <w:rsid w:val="009928FC"/>
    <w:rsid w:val="0099296F"/>
    <w:rsid w:val="00992AC7"/>
    <w:rsid w:val="00992B6B"/>
    <w:rsid w:val="00992F2A"/>
    <w:rsid w:val="009930A5"/>
    <w:rsid w:val="0099316B"/>
    <w:rsid w:val="009931D7"/>
    <w:rsid w:val="00993225"/>
    <w:rsid w:val="00993239"/>
    <w:rsid w:val="00993420"/>
    <w:rsid w:val="0099365C"/>
    <w:rsid w:val="00993957"/>
    <w:rsid w:val="0099397D"/>
    <w:rsid w:val="009939C8"/>
    <w:rsid w:val="00993B1C"/>
    <w:rsid w:val="00993B27"/>
    <w:rsid w:val="00993F66"/>
    <w:rsid w:val="00994111"/>
    <w:rsid w:val="0099415B"/>
    <w:rsid w:val="009941D4"/>
    <w:rsid w:val="009941E6"/>
    <w:rsid w:val="00994311"/>
    <w:rsid w:val="009947D3"/>
    <w:rsid w:val="009949AB"/>
    <w:rsid w:val="009949EF"/>
    <w:rsid w:val="00994A6D"/>
    <w:rsid w:val="00994ACA"/>
    <w:rsid w:val="00994BC6"/>
    <w:rsid w:val="00994CFC"/>
    <w:rsid w:val="00994ECF"/>
    <w:rsid w:val="00994FB8"/>
    <w:rsid w:val="0099513D"/>
    <w:rsid w:val="00995195"/>
    <w:rsid w:val="009952AB"/>
    <w:rsid w:val="009954B4"/>
    <w:rsid w:val="00995682"/>
    <w:rsid w:val="00995A16"/>
    <w:rsid w:val="00995A1A"/>
    <w:rsid w:val="00995E52"/>
    <w:rsid w:val="00995EE3"/>
    <w:rsid w:val="00995F39"/>
    <w:rsid w:val="00995F3F"/>
    <w:rsid w:val="00996161"/>
    <w:rsid w:val="00996379"/>
    <w:rsid w:val="009963E1"/>
    <w:rsid w:val="00996484"/>
    <w:rsid w:val="00996534"/>
    <w:rsid w:val="0099666F"/>
    <w:rsid w:val="0099677E"/>
    <w:rsid w:val="009967A7"/>
    <w:rsid w:val="00996817"/>
    <w:rsid w:val="0099685B"/>
    <w:rsid w:val="009969B0"/>
    <w:rsid w:val="00996B7F"/>
    <w:rsid w:val="00996D11"/>
    <w:rsid w:val="00996DAC"/>
    <w:rsid w:val="00996DB7"/>
    <w:rsid w:val="00996FE9"/>
    <w:rsid w:val="00997225"/>
    <w:rsid w:val="00997272"/>
    <w:rsid w:val="00997295"/>
    <w:rsid w:val="0099734B"/>
    <w:rsid w:val="00997391"/>
    <w:rsid w:val="009974C7"/>
    <w:rsid w:val="00997520"/>
    <w:rsid w:val="00997620"/>
    <w:rsid w:val="009976D8"/>
    <w:rsid w:val="00997777"/>
    <w:rsid w:val="00997849"/>
    <w:rsid w:val="0099785E"/>
    <w:rsid w:val="00997A2C"/>
    <w:rsid w:val="00997BC6"/>
    <w:rsid w:val="00997C3B"/>
    <w:rsid w:val="00997D67"/>
    <w:rsid w:val="00997D9A"/>
    <w:rsid w:val="009A0031"/>
    <w:rsid w:val="009A004B"/>
    <w:rsid w:val="009A0116"/>
    <w:rsid w:val="009A0224"/>
    <w:rsid w:val="009A0267"/>
    <w:rsid w:val="009A029E"/>
    <w:rsid w:val="009A0321"/>
    <w:rsid w:val="009A0420"/>
    <w:rsid w:val="009A0447"/>
    <w:rsid w:val="009A06F4"/>
    <w:rsid w:val="009A07AF"/>
    <w:rsid w:val="009A0844"/>
    <w:rsid w:val="009A0B36"/>
    <w:rsid w:val="009A0D2E"/>
    <w:rsid w:val="009A0DD1"/>
    <w:rsid w:val="009A0E86"/>
    <w:rsid w:val="009A0EBC"/>
    <w:rsid w:val="009A0EC7"/>
    <w:rsid w:val="009A11DD"/>
    <w:rsid w:val="009A1209"/>
    <w:rsid w:val="009A12D3"/>
    <w:rsid w:val="009A14D4"/>
    <w:rsid w:val="009A1514"/>
    <w:rsid w:val="009A179A"/>
    <w:rsid w:val="009A18B7"/>
    <w:rsid w:val="009A18F5"/>
    <w:rsid w:val="009A1924"/>
    <w:rsid w:val="009A19D7"/>
    <w:rsid w:val="009A1A07"/>
    <w:rsid w:val="009A1B7C"/>
    <w:rsid w:val="009A1D7F"/>
    <w:rsid w:val="009A1D97"/>
    <w:rsid w:val="009A1DD5"/>
    <w:rsid w:val="009A1DFA"/>
    <w:rsid w:val="009A1E2F"/>
    <w:rsid w:val="009A1E8D"/>
    <w:rsid w:val="009A1EB7"/>
    <w:rsid w:val="009A2013"/>
    <w:rsid w:val="009A2586"/>
    <w:rsid w:val="009A262A"/>
    <w:rsid w:val="009A275D"/>
    <w:rsid w:val="009A28BE"/>
    <w:rsid w:val="009A2B0B"/>
    <w:rsid w:val="009A2B29"/>
    <w:rsid w:val="009A2DC9"/>
    <w:rsid w:val="009A2E50"/>
    <w:rsid w:val="009A2EDC"/>
    <w:rsid w:val="009A308B"/>
    <w:rsid w:val="009A3378"/>
    <w:rsid w:val="009A3431"/>
    <w:rsid w:val="009A347B"/>
    <w:rsid w:val="009A3811"/>
    <w:rsid w:val="009A38E9"/>
    <w:rsid w:val="009A398E"/>
    <w:rsid w:val="009A39A8"/>
    <w:rsid w:val="009A3AB8"/>
    <w:rsid w:val="009A3ACB"/>
    <w:rsid w:val="009A3BD5"/>
    <w:rsid w:val="009A4067"/>
    <w:rsid w:val="009A4094"/>
    <w:rsid w:val="009A40BB"/>
    <w:rsid w:val="009A4107"/>
    <w:rsid w:val="009A41B9"/>
    <w:rsid w:val="009A45B6"/>
    <w:rsid w:val="009A4865"/>
    <w:rsid w:val="009A4D9A"/>
    <w:rsid w:val="009A4DAC"/>
    <w:rsid w:val="009A4E1C"/>
    <w:rsid w:val="009A4ED6"/>
    <w:rsid w:val="009A4EF8"/>
    <w:rsid w:val="009A4FC3"/>
    <w:rsid w:val="009A4FE9"/>
    <w:rsid w:val="009A53CF"/>
    <w:rsid w:val="009A5552"/>
    <w:rsid w:val="009A56C9"/>
    <w:rsid w:val="009A5793"/>
    <w:rsid w:val="009A5899"/>
    <w:rsid w:val="009A59A5"/>
    <w:rsid w:val="009A5AB0"/>
    <w:rsid w:val="009A5CDE"/>
    <w:rsid w:val="009A5CE5"/>
    <w:rsid w:val="009A60B1"/>
    <w:rsid w:val="009A61A9"/>
    <w:rsid w:val="009A6246"/>
    <w:rsid w:val="009A65C6"/>
    <w:rsid w:val="009A67FC"/>
    <w:rsid w:val="009A68E6"/>
    <w:rsid w:val="009A6A4F"/>
    <w:rsid w:val="009A6A89"/>
    <w:rsid w:val="009A6AA1"/>
    <w:rsid w:val="009A6B1D"/>
    <w:rsid w:val="009A6B20"/>
    <w:rsid w:val="009A6ECF"/>
    <w:rsid w:val="009A709E"/>
    <w:rsid w:val="009A70CB"/>
    <w:rsid w:val="009A72E5"/>
    <w:rsid w:val="009A7306"/>
    <w:rsid w:val="009A73F7"/>
    <w:rsid w:val="009A74F5"/>
    <w:rsid w:val="009A79D0"/>
    <w:rsid w:val="009A7A3B"/>
    <w:rsid w:val="009A7AB0"/>
    <w:rsid w:val="009A7BF8"/>
    <w:rsid w:val="009A7D4B"/>
    <w:rsid w:val="009A7D7E"/>
    <w:rsid w:val="009A7DB4"/>
    <w:rsid w:val="009A7E15"/>
    <w:rsid w:val="009B01AE"/>
    <w:rsid w:val="009B01FF"/>
    <w:rsid w:val="009B021C"/>
    <w:rsid w:val="009B03B4"/>
    <w:rsid w:val="009B06B8"/>
    <w:rsid w:val="009B0E64"/>
    <w:rsid w:val="009B0ECD"/>
    <w:rsid w:val="009B124B"/>
    <w:rsid w:val="009B1264"/>
    <w:rsid w:val="009B1420"/>
    <w:rsid w:val="009B1587"/>
    <w:rsid w:val="009B1711"/>
    <w:rsid w:val="009B1728"/>
    <w:rsid w:val="009B18E9"/>
    <w:rsid w:val="009B19A3"/>
    <w:rsid w:val="009B1CA8"/>
    <w:rsid w:val="009B1CF5"/>
    <w:rsid w:val="009B1E97"/>
    <w:rsid w:val="009B2080"/>
    <w:rsid w:val="009B2179"/>
    <w:rsid w:val="009B22C7"/>
    <w:rsid w:val="009B2524"/>
    <w:rsid w:val="009B2659"/>
    <w:rsid w:val="009B2780"/>
    <w:rsid w:val="009B29A8"/>
    <w:rsid w:val="009B2AE3"/>
    <w:rsid w:val="009B2BD6"/>
    <w:rsid w:val="009B2C86"/>
    <w:rsid w:val="009B2D92"/>
    <w:rsid w:val="009B2DFA"/>
    <w:rsid w:val="009B2EBC"/>
    <w:rsid w:val="009B2FA5"/>
    <w:rsid w:val="009B3098"/>
    <w:rsid w:val="009B30AC"/>
    <w:rsid w:val="009B314F"/>
    <w:rsid w:val="009B3364"/>
    <w:rsid w:val="009B33D9"/>
    <w:rsid w:val="009B3523"/>
    <w:rsid w:val="009B366F"/>
    <w:rsid w:val="009B36F9"/>
    <w:rsid w:val="009B3917"/>
    <w:rsid w:val="009B397A"/>
    <w:rsid w:val="009B3CD3"/>
    <w:rsid w:val="009B3E88"/>
    <w:rsid w:val="009B3F73"/>
    <w:rsid w:val="009B4013"/>
    <w:rsid w:val="009B403F"/>
    <w:rsid w:val="009B414F"/>
    <w:rsid w:val="009B4157"/>
    <w:rsid w:val="009B41DA"/>
    <w:rsid w:val="009B4314"/>
    <w:rsid w:val="009B4485"/>
    <w:rsid w:val="009B44C5"/>
    <w:rsid w:val="009B44D6"/>
    <w:rsid w:val="009B4500"/>
    <w:rsid w:val="009B4601"/>
    <w:rsid w:val="009B4697"/>
    <w:rsid w:val="009B4765"/>
    <w:rsid w:val="009B49E2"/>
    <w:rsid w:val="009B4BF0"/>
    <w:rsid w:val="009B4D32"/>
    <w:rsid w:val="009B4D95"/>
    <w:rsid w:val="009B4DF1"/>
    <w:rsid w:val="009B4E01"/>
    <w:rsid w:val="009B500F"/>
    <w:rsid w:val="009B5150"/>
    <w:rsid w:val="009B5401"/>
    <w:rsid w:val="009B54A2"/>
    <w:rsid w:val="009B54AB"/>
    <w:rsid w:val="009B57B6"/>
    <w:rsid w:val="009B586D"/>
    <w:rsid w:val="009B5AC0"/>
    <w:rsid w:val="009B5B62"/>
    <w:rsid w:val="009B5F8E"/>
    <w:rsid w:val="009B6027"/>
    <w:rsid w:val="009B608E"/>
    <w:rsid w:val="009B60BE"/>
    <w:rsid w:val="009B6157"/>
    <w:rsid w:val="009B6387"/>
    <w:rsid w:val="009B6394"/>
    <w:rsid w:val="009B6665"/>
    <w:rsid w:val="009B68B0"/>
    <w:rsid w:val="009B6A43"/>
    <w:rsid w:val="009B6A8C"/>
    <w:rsid w:val="009B6B68"/>
    <w:rsid w:val="009B6DF8"/>
    <w:rsid w:val="009B713F"/>
    <w:rsid w:val="009B755E"/>
    <w:rsid w:val="009B758B"/>
    <w:rsid w:val="009B75D0"/>
    <w:rsid w:val="009B7699"/>
    <w:rsid w:val="009B7784"/>
    <w:rsid w:val="009B77E6"/>
    <w:rsid w:val="009B789D"/>
    <w:rsid w:val="009B7988"/>
    <w:rsid w:val="009B7A47"/>
    <w:rsid w:val="009B7B1B"/>
    <w:rsid w:val="009B7B6A"/>
    <w:rsid w:val="009B7D13"/>
    <w:rsid w:val="009B7DAD"/>
    <w:rsid w:val="009B7E18"/>
    <w:rsid w:val="009C0329"/>
    <w:rsid w:val="009C039E"/>
    <w:rsid w:val="009C047D"/>
    <w:rsid w:val="009C05B6"/>
    <w:rsid w:val="009C0720"/>
    <w:rsid w:val="009C0776"/>
    <w:rsid w:val="009C083B"/>
    <w:rsid w:val="009C08DA"/>
    <w:rsid w:val="009C08EE"/>
    <w:rsid w:val="009C0AA2"/>
    <w:rsid w:val="009C0AE4"/>
    <w:rsid w:val="009C0B6E"/>
    <w:rsid w:val="009C0E9E"/>
    <w:rsid w:val="009C0F1F"/>
    <w:rsid w:val="009C1016"/>
    <w:rsid w:val="009C11B7"/>
    <w:rsid w:val="009C11E2"/>
    <w:rsid w:val="009C1218"/>
    <w:rsid w:val="009C1247"/>
    <w:rsid w:val="009C125F"/>
    <w:rsid w:val="009C1437"/>
    <w:rsid w:val="009C1487"/>
    <w:rsid w:val="009C1493"/>
    <w:rsid w:val="009C14C6"/>
    <w:rsid w:val="009C1728"/>
    <w:rsid w:val="009C182E"/>
    <w:rsid w:val="009C1AF7"/>
    <w:rsid w:val="009C1C24"/>
    <w:rsid w:val="009C1C2A"/>
    <w:rsid w:val="009C1C95"/>
    <w:rsid w:val="009C1D61"/>
    <w:rsid w:val="009C206F"/>
    <w:rsid w:val="009C2347"/>
    <w:rsid w:val="009C2375"/>
    <w:rsid w:val="009C23EB"/>
    <w:rsid w:val="009C262D"/>
    <w:rsid w:val="009C27E5"/>
    <w:rsid w:val="009C2B01"/>
    <w:rsid w:val="009C2C51"/>
    <w:rsid w:val="009C2C59"/>
    <w:rsid w:val="009C2D0E"/>
    <w:rsid w:val="009C2E58"/>
    <w:rsid w:val="009C2FBA"/>
    <w:rsid w:val="009C2FDC"/>
    <w:rsid w:val="009C30C0"/>
    <w:rsid w:val="009C3134"/>
    <w:rsid w:val="009C3412"/>
    <w:rsid w:val="009C366D"/>
    <w:rsid w:val="009C37CD"/>
    <w:rsid w:val="009C3822"/>
    <w:rsid w:val="009C3830"/>
    <w:rsid w:val="009C3AD5"/>
    <w:rsid w:val="009C3B0A"/>
    <w:rsid w:val="009C3C2D"/>
    <w:rsid w:val="009C3C41"/>
    <w:rsid w:val="009C3C4F"/>
    <w:rsid w:val="009C3CBF"/>
    <w:rsid w:val="009C3CF8"/>
    <w:rsid w:val="009C3F13"/>
    <w:rsid w:val="009C3F68"/>
    <w:rsid w:val="009C3F6F"/>
    <w:rsid w:val="009C3FA2"/>
    <w:rsid w:val="009C403E"/>
    <w:rsid w:val="009C4363"/>
    <w:rsid w:val="009C437C"/>
    <w:rsid w:val="009C4547"/>
    <w:rsid w:val="009C46C1"/>
    <w:rsid w:val="009C46CC"/>
    <w:rsid w:val="009C470C"/>
    <w:rsid w:val="009C48EE"/>
    <w:rsid w:val="009C4AC0"/>
    <w:rsid w:val="009C4C6B"/>
    <w:rsid w:val="009C4DD0"/>
    <w:rsid w:val="009C5016"/>
    <w:rsid w:val="009C5097"/>
    <w:rsid w:val="009C50EF"/>
    <w:rsid w:val="009C50F5"/>
    <w:rsid w:val="009C515C"/>
    <w:rsid w:val="009C51FD"/>
    <w:rsid w:val="009C536D"/>
    <w:rsid w:val="009C540F"/>
    <w:rsid w:val="009C54D5"/>
    <w:rsid w:val="009C54F5"/>
    <w:rsid w:val="009C5636"/>
    <w:rsid w:val="009C5737"/>
    <w:rsid w:val="009C57DB"/>
    <w:rsid w:val="009C58FE"/>
    <w:rsid w:val="009C5B22"/>
    <w:rsid w:val="009C5BA0"/>
    <w:rsid w:val="009C5D7D"/>
    <w:rsid w:val="009C5DC8"/>
    <w:rsid w:val="009C5E6E"/>
    <w:rsid w:val="009C5F2A"/>
    <w:rsid w:val="009C5F3B"/>
    <w:rsid w:val="009C6158"/>
    <w:rsid w:val="009C6253"/>
    <w:rsid w:val="009C634C"/>
    <w:rsid w:val="009C6467"/>
    <w:rsid w:val="009C678E"/>
    <w:rsid w:val="009C6A5E"/>
    <w:rsid w:val="009C6AB5"/>
    <w:rsid w:val="009C6AC2"/>
    <w:rsid w:val="009C6D3C"/>
    <w:rsid w:val="009C6DB1"/>
    <w:rsid w:val="009C6EA9"/>
    <w:rsid w:val="009C6F11"/>
    <w:rsid w:val="009C6F8F"/>
    <w:rsid w:val="009C7090"/>
    <w:rsid w:val="009C70BF"/>
    <w:rsid w:val="009C7410"/>
    <w:rsid w:val="009C746F"/>
    <w:rsid w:val="009C75CD"/>
    <w:rsid w:val="009C7631"/>
    <w:rsid w:val="009C773B"/>
    <w:rsid w:val="009C78AE"/>
    <w:rsid w:val="009C7CE1"/>
    <w:rsid w:val="009C7E33"/>
    <w:rsid w:val="009C7E9E"/>
    <w:rsid w:val="009C7EE3"/>
    <w:rsid w:val="009C7F17"/>
    <w:rsid w:val="009C7FCA"/>
    <w:rsid w:val="009D00D2"/>
    <w:rsid w:val="009D0445"/>
    <w:rsid w:val="009D05A6"/>
    <w:rsid w:val="009D06C4"/>
    <w:rsid w:val="009D0705"/>
    <w:rsid w:val="009D07A8"/>
    <w:rsid w:val="009D0818"/>
    <w:rsid w:val="009D0912"/>
    <w:rsid w:val="009D09D5"/>
    <w:rsid w:val="009D0A92"/>
    <w:rsid w:val="009D0B84"/>
    <w:rsid w:val="009D0B98"/>
    <w:rsid w:val="009D0EF1"/>
    <w:rsid w:val="009D0EFF"/>
    <w:rsid w:val="009D1209"/>
    <w:rsid w:val="009D1265"/>
    <w:rsid w:val="009D13C5"/>
    <w:rsid w:val="009D13FD"/>
    <w:rsid w:val="009D14A9"/>
    <w:rsid w:val="009D19A7"/>
    <w:rsid w:val="009D1D0A"/>
    <w:rsid w:val="009D1E46"/>
    <w:rsid w:val="009D23D7"/>
    <w:rsid w:val="009D249A"/>
    <w:rsid w:val="009D24FA"/>
    <w:rsid w:val="009D2711"/>
    <w:rsid w:val="009D2717"/>
    <w:rsid w:val="009D27E8"/>
    <w:rsid w:val="009D2857"/>
    <w:rsid w:val="009D2A5D"/>
    <w:rsid w:val="009D2C17"/>
    <w:rsid w:val="009D2D67"/>
    <w:rsid w:val="009D2E11"/>
    <w:rsid w:val="009D2EED"/>
    <w:rsid w:val="009D2F95"/>
    <w:rsid w:val="009D303E"/>
    <w:rsid w:val="009D3142"/>
    <w:rsid w:val="009D3341"/>
    <w:rsid w:val="009D3444"/>
    <w:rsid w:val="009D3734"/>
    <w:rsid w:val="009D37C3"/>
    <w:rsid w:val="009D3899"/>
    <w:rsid w:val="009D38A4"/>
    <w:rsid w:val="009D398E"/>
    <w:rsid w:val="009D39A7"/>
    <w:rsid w:val="009D39D1"/>
    <w:rsid w:val="009D3C90"/>
    <w:rsid w:val="009D3D35"/>
    <w:rsid w:val="009D3E0A"/>
    <w:rsid w:val="009D3F2A"/>
    <w:rsid w:val="009D3F7A"/>
    <w:rsid w:val="009D4354"/>
    <w:rsid w:val="009D450A"/>
    <w:rsid w:val="009D46FA"/>
    <w:rsid w:val="009D4732"/>
    <w:rsid w:val="009D48C8"/>
    <w:rsid w:val="009D4ADD"/>
    <w:rsid w:val="009D4B0D"/>
    <w:rsid w:val="009D4D48"/>
    <w:rsid w:val="009D4D72"/>
    <w:rsid w:val="009D5049"/>
    <w:rsid w:val="009D5166"/>
    <w:rsid w:val="009D5317"/>
    <w:rsid w:val="009D53BC"/>
    <w:rsid w:val="009D548A"/>
    <w:rsid w:val="009D54C2"/>
    <w:rsid w:val="009D5501"/>
    <w:rsid w:val="009D57AF"/>
    <w:rsid w:val="009D5805"/>
    <w:rsid w:val="009D587B"/>
    <w:rsid w:val="009D58CE"/>
    <w:rsid w:val="009D5AE2"/>
    <w:rsid w:val="009D5C4D"/>
    <w:rsid w:val="009D5D34"/>
    <w:rsid w:val="009D5FC4"/>
    <w:rsid w:val="009D60E6"/>
    <w:rsid w:val="009D6203"/>
    <w:rsid w:val="009D63C1"/>
    <w:rsid w:val="009D64E4"/>
    <w:rsid w:val="009D664E"/>
    <w:rsid w:val="009D66B8"/>
    <w:rsid w:val="009D66F2"/>
    <w:rsid w:val="009D6783"/>
    <w:rsid w:val="009D6934"/>
    <w:rsid w:val="009D69E4"/>
    <w:rsid w:val="009D6B06"/>
    <w:rsid w:val="009D6B91"/>
    <w:rsid w:val="009D6BB0"/>
    <w:rsid w:val="009D6CFB"/>
    <w:rsid w:val="009D6D54"/>
    <w:rsid w:val="009D6E98"/>
    <w:rsid w:val="009D6EE0"/>
    <w:rsid w:val="009D7333"/>
    <w:rsid w:val="009D76D9"/>
    <w:rsid w:val="009D77EF"/>
    <w:rsid w:val="009D7834"/>
    <w:rsid w:val="009D7911"/>
    <w:rsid w:val="009D7961"/>
    <w:rsid w:val="009D7BE6"/>
    <w:rsid w:val="009D7CAA"/>
    <w:rsid w:val="009D7D71"/>
    <w:rsid w:val="009D7DFA"/>
    <w:rsid w:val="009D7EF9"/>
    <w:rsid w:val="009E01A1"/>
    <w:rsid w:val="009E0447"/>
    <w:rsid w:val="009E0786"/>
    <w:rsid w:val="009E09C6"/>
    <w:rsid w:val="009E09EE"/>
    <w:rsid w:val="009E0CB0"/>
    <w:rsid w:val="009E0DAF"/>
    <w:rsid w:val="009E0DCF"/>
    <w:rsid w:val="009E0E32"/>
    <w:rsid w:val="009E0EC9"/>
    <w:rsid w:val="009E0F85"/>
    <w:rsid w:val="009E1136"/>
    <w:rsid w:val="009E11D2"/>
    <w:rsid w:val="009E1308"/>
    <w:rsid w:val="009E143E"/>
    <w:rsid w:val="009E148E"/>
    <w:rsid w:val="009E153A"/>
    <w:rsid w:val="009E1577"/>
    <w:rsid w:val="009E1612"/>
    <w:rsid w:val="009E1690"/>
    <w:rsid w:val="009E1984"/>
    <w:rsid w:val="009E19E4"/>
    <w:rsid w:val="009E1AB4"/>
    <w:rsid w:val="009E1B28"/>
    <w:rsid w:val="009E1C6F"/>
    <w:rsid w:val="009E1D1D"/>
    <w:rsid w:val="009E1E37"/>
    <w:rsid w:val="009E2027"/>
    <w:rsid w:val="009E25B0"/>
    <w:rsid w:val="009E25C6"/>
    <w:rsid w:val="009E26D6"/>
    <w:rsid w:val="009E2797"/>
    <w:rsid w:val="009E2875"/>
    <w:rsid w:val="009E289F"/>
    <w:rsid w:val="009E29C2"/>
    <w:rsid w:val="009E2A4E"/>
    <w:rsid w:val="009E2AFC"/>
    <w:rsid w:val="009E2C18"/>
    <w:rsid w:val="009E2DE8"/>
    <w:rsid w:val="009E301E"/>
    <w:rsid w:val="009E308D"/>
    <w:rsid w:val="009E30A0"/>
    <w:rsid w:val="009E30A1"/>
    <w:rsid w:val="009E3140"/>
    <w:rsid w:val="009E330D"/>
    <w:rsid w:val="009E3372"/>
    <w:rsid w:val="009E33DB"/>
    <w:rsid w:val="009E386A"/>
    <w:rsid w:val="009E388D"/>
    <w:rsid w:val="009E394D"/>
    <w:rsid w:val="009E3B34"/>
    <w:rsid w:val="009E3B94"/>
    <w:rsid w:val="009E3D4C"/>
    <w:rsid w:val="009E3E61"/>
    <w:rsid w:val="009E3FB0"/>
    <w:rsid w:val="009E4065"/>
    <w:rsid w:val="009E4300"/>
    <w:rsid w:val="009E4585"/>
    <w:rsid w:val="009E4613"/>
    <w:rsid w:val="009E46D5"/>
    <w:rsid w:val="009E472F"/>
    <w:rsid w:val="009E4A1A"/>
    <w:rsid w:val="009E4A23"/>
    <w:rsid w:val="009E4AD1"/>
    <w:rsid w:val="009E4B03"/>
    <w:rsid w:val="009E4C35"/>
    <w:rsid w:val="009E4E43"/>
    <w:rsid w:val="009E4EF9"/>
    <w:rsid w:val="009E500F"/>
    <w:rsid w:val="009E513E"/>
    <w:rsid w:val="009E53DC"/>
    <w:rsid w:val="009E54DB"/>
    <w:rsid w:val="009E579C"/>
    <w:rsid w:val="009E57A1"/>
    <w:rsid w:val="009E5859"/>
    <w:rsid w:val="009E5A8B"/>
    <w:rsid w:val="009E5B17"/>
    <w:rsid w:val="009E5BA6"/>
    <w:rsid w:val="009E5D7A"/>
    <w:rsid w:val="009E5DDC"/>
    <w:rsid w:val="009E5E23"/>
    <w:rsid w:val="009E5F70"/>
    <w:rsid w:val="009E600F"/>
    <w:rsid w:val="009E6134"/>
    <w:rsid w:val="009E6193"/>
    <w:rsid w:val="009E63AA"/>
    <w:rsid w:val="009E6407"/>
    <w:rsid w:val="009E644A"/>
    <w:rsid w:val="009E645A"/>
    <w:rsid w:val="009E6570"/>
    <w:rsid w:val="009E65C3"/>
    <w:rsid w:val="009E693E"/>
    <w:rsid w:val="009E6945"/>
    <w:rsid w:val="009E697A"/>
    <w:rsid w:val="009E69B8"/>
    <w:rsid w:val="009E6BC3"/>
    <w:rsid w:val="009E6BD2"/>
    <w:rsid w:val="009E6FC5"/>
    <w:rsid w:val="009E7155"/>
    <w:rsid w:val="009E7398"/>
    <w:rsid w:val="009E760C"/>
    <w:rsid w:val="009E770A"/>
    <w:rsid w:val="009E7750"/>
    <w:rsid w:val="009E789C"/>
    <w:rsid w:val="009E78BE"/>
    <w:rsid w:val="009E78FE"/>
    <w:rsid w:val="009E7BA1"/>
    <w:rsid w:val="009E7BE9"/>
    <w:rsid w:val="009E7D85"/>
    <w:rsid w:val="009E7E78"/>
    <w:rsid w:val="009F02DC"/>
    <w:rsid w:val="009F0323"/>
    <w:rsid w:val="009F0399"/>
    <w:rsid w:val="009F041C"/>
    <w:rsid w:val="009F051A"/>
    <w:rsid w:val="009F076B"/>
    <w:rsid w:val="009F0C10"/>
    <w:rsid w:val="009F0C4F"/>
    <w:rsid w:val="009F0CDA"/>
    <w:rsid w:val="009F0F9E"/>
    <w:rsid w:val="009F0FCD"/>
    <w:rsid w:val="009F1015"/>
    <w:rsid w:val="009F108B"/>
    <w:rsid w:val="009F10FE"/>
    <w:rsid w:val="009F1133"/>
    <w:rsid w:val="009F12D1"/>
    <w:rsid w:val="009F149C"/>
    <w:rsid w:val="009F1547"/>
    <w:rsid w:val="009F1584"/>
    <w:rsid w:val="009F16CA"/>
    <w:rsid w:val="009F1AAE"/>
    <w:rsid w:val="009F1C1F"/>
    <w:rsid w:val="009F1CE3"/>
    <w:rsid w:val="009F1D2B"/>
    <w:rsid w:val="009F1DE2"/>
    <w:rsid w:val="009F1EDE"/>
    <w:rsid w:val="009F1FC9"/>
    <w:rsid w:val="009F2194"/>
    <w:rsid w:val="009F2211"/>
    <w:rsid w:val="009F22FF"/>
    <w:rsid w:val="009F2451"/>
    <w:rsid w:val="009F2493"/>
    <w:rsid w:val="009F2660"/>
    <w:rsid w:val="009F2670"/>
    <w:rsid w:val="009F27FE"/>
    <w:rsid w:val="009F286A"/>
    <w:rsid w:val="009F2A6E"/>
    <w:rsid w:val="009F2DC0"/>
    <w:rsid w:val="009F2EA5"/>
    <w:rsid w:val="009F2EAC"/>
    <w:rsid w:val="009F3376"/>
    <w:rsid w:val="009F353C"/>
    <w:rsid w:val="009F35CE"/>
    <w:rsid w:val="009F35E1"/>
    <w:rsid w:val="009F3711"/>
    <w:rsid w:val="009F37B6"/>
    <w:rsid w:val="009F386A"/>
    <w:rsid w:val="009F3A2C"/>
    <w:rsid w:val="009F3AD1"/>
    <w:rsid w:val="009F3B68"/>
    <w:rsid w:val="009F3C40"/>
    <w:rsid w:val="009F3D45"/>
    <w:rsid w:val="009F3D76"/>
    <w:rsid w:val="009F3FE5"/>
    <w:rsid w:val="009F40AD"/>
    <w:rsid w:val="009F4337"/>
    <w:rsid w:val="009F4408"/>
    <w:rsid w:val="009F4515"/>
    <w:rsid w:val="009F486D"/>
    <w:rsid w:val="009F48B1"/>
    <w:rsid w:val="009F4ABB"/>
    <w:rsid w:val="009F4AD8"/>
    <w:rsid w:val="009F4BFF"/>
    <w:rsid w:val="009F4C4F"/>
    <w:rsid w:val="009F4C80"/>
    <w:rsid w:val="009F4D33"/>
    <w:rsid w:val="009F4F27"/>
    <w:rsid w:val="009F51A5"/>
    <w:rsid w:val="009F51F0"/>
    <w:rsid w:val="009F521D"/>
    <w:rsid w:val="009F53E3"/>
    <w:rsid w:val="009F54C7"/>
    <w:rsid w:val="009F5625"/>
    <w:rsid w:val="009F57AA"/>
    <w:rsid w:val="009F58AF"/>
    <w:rsid w:val="009F590E"/>
    <w:rsid w:val="009F5A46"/>
    <w:rsid w:val="009F5B4D"/>
    <w:rsid w:val="009F5C30"/>
    <w:rsid w:val="009F5F7A"/>
    <w:rsid w:val="009F6020"/>
    <w:rsid w:val="009F677B"/>
    <w:rsid w:val="009F67DD"/>
    <w:rsid w:val="009F6AA3"/>
    <w:rsid w:val="009F6F5A"/>
    <w:rsid w:val="009F7019"/>
    <w:rsid w:val="009F709F"/>
    <w:rsid w:val="009F7298"/>
    <w:rsid w:val="009F740A"/>
    <w:rsid w:val="009F74D7"/>
    <w:rsid w:val="009F7537"/>
    <w:rsid w:val="009F7939"/>
    <w:rsid w:val="009F79C0"/>
    <w:rsid w:val="009F7BB6"/>
    <w:rsid w:val="009F7CC6"/>
    <w:rsid w:val="009F7DE5"/>
    <w:rsid w:val="00A00003"/>
    <w:rsid w:val="00A00022"/>
    <w:rsid w:val="00A001AC"/>
    <w:rsid w:val="00A003B0"/>
    <w:rsid w:val="00A0043E"/>
    <w:rsid w:val="00A00689"/>
    <w:rsid w:val="00A0097F"/>
    <w:rsid w:val="00A00999"/>
    <w:rsid w:val="00A00B3A"/>
    <w:rsid w:val="00A00C09"/>
    <w:rsid w:val="00A00C19"/>
    <w:rsid w:val="00A00CCB"/>
    <w:rsid w:val="00A00E4B"/>
    <w:rsid w:val="00A00F5B"/>
    <w:rsid w:val="00A0114B"/>
    <w:rsid w:val="00A01248"/>
    <w:rsid w:val="00A012B4"/>
    <w:rsid w:val="00A015BC"/>
    <w:rsid w:val="00A0161B"/>
    <w:rsid w:val="00A016CE"/>
    <w:rsid w:val="00A016F4"/>
    <w:rsid w:val="00A0173C"/>
    <w:rsid w:val="00A01764"/>
    <w:rsid w:val="00A0179E"/>
    <w:rsid w:val="00A019E7"/>
    <w:rsid w:val="00A01B1F"/>
    <w:rsid w:val="00A01B57"/>
    <w:rsid w:val="00A01B7B"/>
    <w:rsid w:val="00A01BBD"/>
    <w:rsid w:val="00A01CC0"/>
    <w:rsid w:val="00A01CC4"/>
    <w:rsid w:val="00A01D70"/>
    <w:rsid w:val="00A01FD4"/>
    <w:rsid w:val="00A024E0"/>
    <w:rsid w:val="00A02512"/>
    <w:rsid w:val="00A02644"/>
    <w:rsid w:val="00A0269D"/>
    <w:rsid w:val="00A027C4"/>
    <w:rsid w:val="00A0283F"/>
    <w:rsid w:val="00A02877"/>
    <w:rsid w:val="00A02891"/>
    <w:rsid w:val="00A0290B"/>
    <w:rsid w:val="00A02A81"/>
    <w:rsid w:val="00A02BDB"/>
    <w:rsid w:val="00A02CF4"/>
    <w:rsid w:val="00A02E2A"/>
    <w:rsid w:val="00A02F09"/>
    <w:rsid w:val="00A02FF9"/>
    <w:rsid w:val="00A030FB"/>
    <w:rsid w:val="00A0329C"/>
    <w:rsid w:val="00A03422"/>
    <w:rsid w:val="00A03544"/>
    <w:rsid w:val="00A03B88"/>
    <w:rsid w:val="00A03C5A"/>
    <w:rsid w:val="00A03DBF"/>
    <w:rsid w:val="00A03DEF"/>
    <w:rsid w:val="00A03E8C"/>
    <w:rsid w:val="00A03F3F"/>
    <w:rsid w:val="00A04139"/>
    <w:rsid w:val="00A0426E"/>
    <w:rsid w:val="00A042A6"/>
    <w:rsid w:val="00A043A3"/>
    <w:rsid w:val="00A044D0"/>
    <w:rsid w:val="00A04625"/>
    <w:rsid w:val="00A04661"/>
    <w:rsid w:val="00A0466F"/>
    <w:rsid w:val="00A04699"/>
    <w:rsid w:val="00A047B9"/>
    <w:rsid w:val="00A048AB"/>
    <w:rsid w:val="00A048C7"/>
    <w:rsid w:val="00A04906"/>
    <w:rsid w:val="00A04C09"/>
    <w:rsid w:val="00A04E90"/>
    <w:rsid w:val="00A04F5C"/>
    <w:rsid w:val="00A0502D"/>
    <w:rsid w:val="00A0524D"/>
    <w:rsid w:val="00A05364"/>
    <w:rsid w:val="00A05445"/>
    <w:rsid w:val="00A054AB"/>
    <w:rsid w:val="00A054F8"/>
    <w:rsid w:val="00A055FF"/>
    <w:rsid w:val="00A05622"/>
    <w:rsid w:val="00A05639"/>
    <w:rsid w:val="00A0563A"/>
    <w:rsid w:val="00A0567D"/>
    <w:rsid w:val="00A056B2"/>
    <w:rsid w:val="00A05936"/>
    <w:rsid w:val="00A05938"/>
    <w:rsid w:val="00A05A15"/>
    <w:rsid w:val="00A05C66"/>
    <w:rsid w:val="00A05CEF"/>
    <w:rsid w:val="00A05D0D"/>
    <w:rsid w:val="00A05DAF"/>
    <w:rsid w:val="00A05E29"/>
    <w:rsid w:val="00A05E3B"/>
    <w:rsid w:val="00A05E5B"/>
    <w:rsid w:val="00A061D5"/>
    <w:rsid w:val="00A06310"/>
    <w:rsid w:val="00A063A8"/>
    <w:rsid w:val="00A0663E"/>
    <w:rsid w:val="00A0665F"/>
    <w:rsid w:val="00A068E4"/>
    <w:rsid w:val="00A06907"/>
    <w:rsid w:val="00A06ADD"/>
    <w:rsid w:val="00A06AEB"/>
    <w:rsid w:val="00A06B1D"/>
    <w:rsid w:val="00A07094"/>
    <w:rsid w:val="00A070B6"/>
    <w:rsid w:val="00A0717A"/>
    <w:rsid w:val="00A0752E"/>
    <w:rsid w:val="00A076C8"/>
    <w:rsid w:val="00A0797D"/>
    <w:rsid w:val="00A07994"/>
    <w:rsid w:val="00A079D9"/>
    <w:rsid w:val="00A07A48"/>
    <w:rsid w:val="00A07AF5"/>
    <w:rsid w:val="00A07E6F"/>
    <w:rsid w:val="00A07ECE"/>
    <w:rsid w:val="00A07F8D"/>
    <w:rsid w:val="00A108A5"/>
    <w:rsid w:val="00A109ED"/>
    <w:rsid w:val="00A10ACF"/>
    <w:rsid w:val="00A10D0F"/>
    <w:rsid w:val="00A10E33"/>
    <w:rsid w:val="00A10E3B"/>
    <w:rsid w:val="00A10F33"/>
    <w:rsid w:val="00A111C5"/>
    <w:rsid w:val="00A111F9"/>
    <w:rsid w:val="00A114B5"/>
    <w:rsid w:val="00A1154F"/>
    <w:rsid w:val="00A115D1"/>
    <w:rsid w:val="00A11825"/>
    <w:rsid w:val="00A11B56"/>
    <w:rsid w:val="00A11BBD"/>
    <w:rsid w:val="00A11D9E"/>
    <w:rsid w:val="00A11EB1"/>
    <w:rsid w:val="00A11EB5"/>
    <w:rsid w:val="00A11F53"/>
    <w:rsid w:val="00A11F5A"/>
    <w:rsid w:val="00A11FF9"/>
    <w:rsid w:val="00A1226D"/>
    <w:rsid w:val="00A122E7"/>
    <w:rsid w:val="00A1230F"/>
    <w:rsid w:val="00A123BA"/>
    <w:rsid w:val="00A12487"/>
    <w:rsid w:val="00A1248F"/>
    <w:rsid w:val="00A1259D"/>
    <w:rsid w:val="00A127E7"/>
    <w:rsid w:val="00A128B3"/>
    <w:rsid w:val="00A12A93"/>
    <w:rsid w:val="00A12D00"/>
    <w:rsid w:val="00A12D03"/>
    <w:rsid w:val="00A12DEA"/>
    <w:rsid w:val="00A12FC9"/>
    <w:rsid w:val="00A131B5"/>
    <w:rsid w:val="00A13245"/>
    <w:rsid w:val="00A1359E"/>
    <w:rsid w:val="00A13656"/>
    <w:rsid w:val="00A136C9"/>
    <w:rsid w:val="00A13797"/>
    <w:rsid w:val="00A137BB"/>
    <w:rsid w:val="00A138C8"/>
    <w:rsid w:val="00A13C57"/>
    <w:rsid w:val="00A13FC7"/>
    <w:rsid w:val="00A1415B"/>
    <w:rsid w:val="00A14238"/>
    <w:rsid w:val="00A143DA"/>
    <w:rsid w:val="00A145E0"/>
    <w:rsid w:val="00A1462B"/>
    <w:rsid w:val="00A1472C"/>
    <w:rsid w:val="00A14B52"/>
    <w:rsid w:val="00A14C64"/>
    <w:rsid w:val="00A14CB5"/>
    <w:rsid w:val="00A14E22"/>
    <w:rsid w:val="00A14F04"/>
    <w:rsid w:val="00A14F99"/>
    <w:rsid w:val="00A150A2"/>
    <w:rsid w:val="00A1517B"/>
    <w:rsid w:val="00A15275"/>
    <w:rsid w:val="00A15404"/>
    <w:rsid w:val="00A155D3"/>
    <w:rsid w:val="00A155E2"/>
    <w:rsid w:val="00A15790"/>
    <w:rsid w:val="00A159F9"/>
    <w:rsid w:val="00A15B24"/>
    <w:rsid w:val="00A15BFF"/>
    <w:rsid w:val="00A15C19"/>
    <w:rsid w:val="00A15C5B"/>
    <w:rsid w:val="00A15E85"/>
    <w:rsid w:val="00A15F2C"/>
    <w:rsid w:val="00A16261"/>
    <w:rsid w:val="00A1632A"/>
    <w:rsid w:val="00A16351"/>
    <w:rsid w:val="00A16399"/>
    <w:rsid w:val="00A164B9"/>
    <w:rsid w:val="00A165C5"/>
    <w:rsid w:val="00A16688"/>
    <w:rsid w:val="00A16773"/>
    <w:rsid w:val="00A16798"/>
    <w:rsid w:val="00A1695B"/>
    <w:rsid w:val="00A16A08"/>
    <w:rsid w:val="00A16B68"/>
    <w:rsid w:val="00A16C11"/>
    <w:rsid w:val="00A16C2A"/>
    <w:rsid w:val="00A16C6E"/>
    <w:rsid w:val="00A16D6F"/>
    <w:rsid w:val="00A16DD9"/>
    <w:rsid w:val="00A17056"/>
    <w:rsid w:val="00A170BA"/>
    <w:rsid w:val="00A171A8"/>
    <w:rsid w:val="00A1748C"/>
    <w:rsid w:val="00A17643"/>
    <w:rsid w:val="00A176C7"/>
    <w:rsid w:val="00A17717"/>
    <w:rsid w:val="00A179A5"/>
    <w:rsid w:val="00A17A04"/>
    <w:rsid w:val="00A17A9C"/>
    <w:rsid w:val="00A17CF8"/>
    <w:rsid w:val="00A17D74"/>
    <w:rsid w:val="00A17E0F"/>
    <w:rsid w:val="00A17ECA"/>
    <w:rsid w:val="00A202D2"/>
    <w:rsid w:val="00A203C5"/>
    <w:rsid w:val="00A203CA"/>
    <w:rsid w:val="00A20637"/>
    <w:rsid w:val="00A207F8"/>
    <w:rsid w:val="00A20885"/>
    <w:rsid w:val="00A208F3"/>
    <w:rsid w:val="00A20A70"/>
    <w:rsid w:val="00A20BD7"/>
    <w:rsid w:val="00A20CAE"/>
    <w:rsid w:val="00A20EB1"/>
    <w:rsid w:val="00A21150"/>
    <w:rsid w:val="00A211EE"/>
    <w:rsid w:val="00A21223"/>
    <w:rsid w:val="00A212F2"/>
    <w:rsid w:val="00A213BB"/>
    <w:rsid w:val="00A21425"/>
    <w:rsid w:val="00A21457"/>
    <w:rsid w:val="00A214C5"/>
    <w:rsid w:val="00A2154D"/>
    <w:rsid w:val="00A216DD"/>
    <w:rsid w:val="00A217D8"/>
    <w:rsid w:val="00A21994"/>
    <w:rsid w:val="00A21ABB"/>
    <w:rsid w:val="00A21F7B"/>
    <w:rsid w:val="00A2220E"/>
    <w:rsid w:val="00A223A7"/>
    <w:rsid w:val="00A2292C"/>
    <w:rsid w:val="00A229A5"/>
    <w:rsid w:val="00A22C7D"/>
    <w:rsid w:val="00A22CD6"/>
    <w:rsid w:val="00A22F9B"/>
    <w:rsid w:val="00A23002"/>
    <w:rsid w:val="00A230A4"/>
    <w:rsid w:val="00A232FD"/>
    <w:rsid w:val="00A23369"/>
    <w:rsid w:val="00A233AF"/>
    <w:rsid w:val="00A233E3"/>
    <w:rsid w:val="00A23626"/>
    <w:rsid w:val="00A2375C"/>
    <w:rsid w:val="00A239CA"/>
    <w:rsid w:val="00A23BDA"/>
    <w:rsid w:val="00A23C85"/>
    <w:rsid w:val="00A23DE0"/>
    <w:rsid w:val="00A23E59"/>
    <w:rsid w:val="00A23EF2"/>
    <w:rsid w:val="00A2414E"/>
    <w:rsid w:val="00A241A8"/>
    <w:rsid w:val="00A24350"/>
    <w:rsid w:val="00A243CF"/>
    <w:rsid w:val="00A246C0"/>
    <w:rsid w:val="00A24779"/>
    <w:rsid w:val="00A24A40"/>
    <w:rsid w:val="00A24B29"/>
    <w:rsid w:val="00A24F58"/>
    <w:rsid w:val="00A24FB8"/>
    <w:rsid w:val="00A24FEB"/>
    <w:rsid w:val="00A25305"/>
    <w:rsid w:val="00A254A7"/>
    <w:rsid w:val="00A254CE"/>
    <w:rsid w:val="00A2556B"/>
    <w:rsid w:val="00A25572"/>
    <w:rsid w:val="00A25630"/>
    <w:rsid w:val="00A256FB"/>
    <w:rsid w:val="00A257EA"/>
    <w:rsid w:val="00A258A5"/>
    <w:rsid w:val="00A25A7F"/>
    <w:rsid w:val="00A25C64"/>
    <w:rsid w:val="00A25E3A"/>
    <w:rsid w:val="00A25F1C"/>
    <w:rsid w:val="00A26018"/>
    <w:rsid w:val="00A26041"/>
    <w:rsid w:val="00A262A5"/>
    <w:rsid w:val="00A263B2"/>
    <w:rsid w:val="00A26408"/>
    <w:rsid w:val="00A26666"/>
    <w:rsid w:val="00A2669B"/>
    <w:rsid w:val="00A266A6"/>
    <w:rsid w:val="00A26715"/>
    <w:rsid w:val="00A26D02"/>
    <w:rsid w:val="00A26D28"/>
    <w:rsid w:val="00A26D88"/>
    <w:rsid w:val="00A26EDF"/>
    <w:rsid w:val="00A26FE0"/>
    <w:rsid w:val="00A271BD"/>
    <w:rsid w:val="00A27255"/>
    <w:rsid w:val="00A27357"/>
    <w:rsid w:val="00A273D3"/>
    <w:rsid w:val="00A274DD"/>
    <w:rsid w:val="00A27522"/>
    <w:rsid w:val="00A27639"/>
    <w:rsid w:val="00A277D0"/>
    <w:rsid w:val="00A2784B"/>
    <w:rsid w:val="00A27882"/>
    <w:rsid w:val="00A2788D"/>
    <w:rsid w:val="00A27978"/>
    <w:rsid w:val="00A27B01"/>
    <w:rsid w:val="00A27CC5"/>
    <w:rsid w:val="00A27CF8"/>
    <w:rsid w:val="00A27DB3"/>
    <w:rsid w:val="00A27EFD"/>
    <w:rsid w:val="00A30065"/>
    <w:rsid w:val="00A301AE"/>
    <w:rsid w:val="00A3027B"/>
    <w:rsid w:val="00A302F0"/>
    <w:rsid w:val="00A303A4"/>
    <w:rsid w:val="00A304C1"/>
    <w:rsid w:val="00A3055E"/>
    <w:rsid w:val="00A30D41"/>
    <w:rsid w:val="00A30F1B"/>
    <w:rsid w:val="00A30F5B"/>
    <w:rsid w:val="00A311CF"/>
    <w:rsid w:val="00A31202"/>
    <w:rsid w:val="00A31294"/>
    <w:rsid w:val="00A312E7"/>
    <w:rsid w:val="00A315AB"/>
    <w:rsid w:val="00A315FE"/>
    <w:rsid w:val="00A316F2"/>
    <w:rsid w:val="00A316FF"/>
    <w:rsid w:val="00A31738"/>
    <w:rsid w:val="00A31988"/>
    <w:rsid w:val="00A3199D"/>
    <w:rsid w:val="00A319CE"/>
    <w:rsid w:val="00A31C99"/>
    <w:rsid w:val="00A31CD0"/>
    <w:rsid w:val="00A31D0E"/>
    <w:rsid w:val="00A31E5E"/>
    <w:rsid w:val="00A31E66"/>
    <w:rsid w:val="00A32124"/>
    <w:rsid w:val="00A3223A"/>
    <w:rsid w:val="00A32295"/>
    <w:rsid w:val="00A322A5"/>
    <w:rsid w:val="00A323BE"/>
    <w:rsid w:val="00A32400"/>
    <w:rsid w:val="00A3243E"/>
    <w:rsid w:val="00A32562"/>
    <w:rsid w:val="00A32618"/>
    <w:rsid w:val="00A326C1"/>
    <w:rsid w:val="00A326D1"/>
    <w:rsid w:val="00A327C4"/>
    <w:rsid w:val="00A32B9C"/>
    <w:rsid w:val="00A32C6F"/>
    <w:rsid w:val="00A32E18"/>
    <w:rsid w:val="00A3306E"/>
    <w:rsid w:val="00A3313F"/>
    <w:rsid w:val="00A331EF"/>
    <w:rsid w:val="00A332A8"/>
    <w:rsid w:val="00A333B2"/>
    <w:rsid w:val="00A334F5"/>
    <w:rsid w:val="00A3350A"/>
    <w:rsid w:val="00A3378C"/>
    <w:rsid w:val="00A33798"/>
    <w:rsid w:val="00A33D67"/>
    <w:rsid w:val="00A34008"/>
    <w:rsid w:val="00A34035"/>
    <w:rsid w:val="00A342E3"/>
    <w:rsid w:val="00A34431"/>
    <w:rsid w:val="00A344F1"/>
    <w:rsid w:val="00A346AB"/>
    <w:rsid w:val="00A34996"/>
    <w:rsid w:val="00A349DD"/>
    <w:rsid w:val="00A34D25"/>
    <w:rsid w:val="00A34FCE"/>
    <w:rsid w:val="00A35097"/>
    <w:rsid w:val="00A3518D"/>
    <w:rsid w:val="00A352BE"/>
    <w:rsid w:val="00A3542E"/>
    <w:rsid w:val="00A35466"/>
    <w:rsid w:val="00A354D0"/>
    <w:rsid w:val="00A35869"/>
    <w:rsid w:val="00A359D4"/>
    <w:rsid w:val="00A35A89"/>
    <w:rsid w:val="00A35B8E"/>
    <w:rsid w:val="00A35D6F"/>
    <w:rsid w:val="00A35DAA"/>
    <w:rsid w:val="00A361EB"/>
    <w:rsid w:val="00A3625A"/>
    <w:rsid w:val="00A364D2"/>
    <w:rsid w:val="00A3657E"/>
    <w:rsid w:val="00A367D7"/>
    <w:rsid w:val="00A36868"/>
    <w:rsid w:val="00A368F9"/>
    <w:rsid w:val="00A36B32"/>
    <w:rsid w:val="00A36DCC"/>
    <w:rsid w:val="00A36FBD"/>
    <w:rsid w:val="00A37239"/>
    <w:rsid w:val="00A3724A"/>
    <w:rsid w:val="00A37268"/>
    <w:rsid w:val="00A3740D"/>
    <w:rsid w:val="00A3746E"/>
    <w:rsid w:val="00A3754E"/>
    <w:rsid w:val="00A37578"/>
    <w:rsid w:val="00A37752"/>
    <w:rsid w:val="00A377B7"/>
    <w:rsid w:val="00A3781A"/>
    <w:rsid w:val="00A379CD"/>
    <w:rsid w:val="00A37A27"/>
    <w:rsid w:val="00A37B2D"/>
    <w:rsid w:val="00A37C75"/>
    <w:rsid w:val="00A401B6"/>
    <w:rsid w:val="00A40271"/>
    <w:rsid w:val="00A40547"/>
    <w:rsid w:val="00A40654"/>
    <w:rsid w:val="00A407E0"/>
    <w:rsid w:val="00A40B01"/>
    <w:rsid w:val="00A40B38"/>
    <w:rsid w:val="00A40E96"/>
    <w:rsid w:val="00A40F48"/>
    <w:rsid w:val="00A4128C"/>
    <w:rsid w:val="00A41315"/>
    <w:rsid w:val="00A4131E"/>
    <w:rsid w:val="00A4148C"/>
    <w:rsid w:val="00A416A0"/>
    <w:rsid w:val="00A416DA"/>
    <w:rsid w:val="00A417F6"/>
    <w:rsid w:val="00A41B40"/>
    <w:rsid w:val="00A41B76"/>
    <w:rsid w:val="00A41B92"/>
    <w:rsid w:val="00A41C57"/>
    <w:rsid w:val="00A41D33"/>
    <w:rsid w:val="00A41E1A"/>
    <w:rsid w:val="00A41ED6"/>
    <w:rsid w:val="00A42070"/>
    <w:rsid w:val="00A42226"/>
    <w:rsid w:val="00A4222F"/>
    <w:rsid w:val="00A42243"/>
    <w:rsid w:val="00A4253A"/>
    <w:rsid w:val="00A42676"/>
    <w:rsid w:val="00A426C9"/>
    <w:rsid w:val="00A42AE8"/>
    <w:rsid w:val="00A42AF7"/>
    <w:rsid w:val="00A42E82"/>
    <w:rsid w:val="00A42FC8"/>
    <w:rsid w:val="00A43091"/>
    <w:rsid w:val="00A431EB"/>
    <w:rsid w:val="00A4328C"/>
    <w:rsid w:val="00A43309"/>
    <w:rsid w:val="00A4348A"/>
    <w:rsid w:val="00A43517"/>
    <w:rsid w:val="00A4356C"/>
    <w:rsid w:val="00A43652"/>
    <w:rsid w:val="00A4376F"/>
    <w:rsid w:val="00A4383D"/>
    <w:rsid w:val="00A43978"/>
    <w:rsid w:val="00A43BB7"/>
    <w:rsid w:val="00A43C88"/>
    <w:rsid w:val="00A43D4C"/>
    <w:rsid w:val="00A43DE8"/>
    <w:rsid w:val="00A43E5D"/>
    <w:rsid w:val="00A43EAA"/>
    <w:rsid w:val="00A43F17"/>
    <w:rsid w:val="00A43F9A"/>
    <w:rsid w:val="00A43FD2"/>
    <w:rsid w:val="00A440E2"/>
    <w:rsid w:val="00A44170"/>
    <w:rsid w:val="00A4423F"/>
    <w:rsid w:val="00A4442A"/>
    <w:rsid w:val="00A44432"/>
    <w:rsid w:val="00A4447B"/>
    <w:rsid w:val="00A44485"/>
    <w:rsid w:val="00A44787"/>
    <w:rsid w:val="00A448F4"/>
    <w:rsid w:val="00A44925"/>
    <w:rsid w:val="00A449CD"/>
    <w:rsid w:val="00A44A3E"/>
    <w:rsid w:val="00A44A42"/>
    <w:rsid w:val="00A44A8D"/>
    <w:rsid w:val="00A44B0C"/>
    <w:rsid w:val="00A44BF1"/>
    <w:rsid w:val="00A44EF1"/>
    <w:rsid w:val="00A451D5"/>
    <w:rsid w:val="00A452C2"/>
    <w:rsid w:val="00A4536E"/>
    <w:rsid w:val="00A4549D"/>
    <w:rsid w:val="00A45662"/>
    <w:rsid w:val="00A4582B"/>
    <w:rsid w:val="00A458FE"/>
    <w:rsid w:val="00A45B99"/>
    <w:rsid w:val="00A45D02"/>
    <w:rsid w:val="00A45F1F"/>
    <w:rsid w:val="00A46006"/>
    <w:rsid w:val="00A461FC"/>
    <w:rsid w:val="00A46233"/>
    <w:rsid w:val="00A46347"/>
    <w:rsid w:val="00A4640E"/>
    <w:rsid w:val="00A4641E"/>
    <w:rsid w:val="00A46556"/>
    <w:rsid w:val="00A465F7"/>
    <w:rsid w:val="00A4671A"/>
    <w:rsid w:val="00A467B8"/>
    <w:rsid w:val="00A46977"/>
    <w:rsid w:val="00A46B1B"/>
    <w:rsid w:val="00A46B78"/>
    <w:rsid w:val="00A46B94"/>
    <w:rsid w:val="00A46B9B"/>
    <w:rsid w:val="00A46D0D"/>
    <w:rsid w:val="00A46F71"/>
    <w:rsid w:val="00A47131"/>
    <w:rsid w:val="00A47248"/>
    <w:rsid w:val="00A47273"/>
    <w:rsid w:val="00A4728B"/>
    <w:rsid w:val="00A47362"/>
    <w:rsid w:val="00A47442"/>
    <w:rsid w:val="00A474C3"/>
    <w:rsid w:val="00A474D2"/>
    <w:rsid w:val="00A47708"/>
    <w:rsid w:val="00A47A94"/>
    <w:rsid w:val="00A47B9B"/>
    <w:rsid w:val="00A47C70"/>
    <w:rsid w:val="00A47C9D"/>
    <w:rsid w:val="00A47CDC"/>
    <w:rsid w:val="00A47D48"/>
    <w:rsid w:val="00A47DBC"/>
    <w:rsid w:val="00A47F27"/>
    <w:rsid w:val="00A47F35"/>
    <w:rsid w:val="00A5004A"/>
    <w:rsid w:val="00A501F0"/>
    <w:rsid w:val="00A50297"/>
    <w:rsid w:val="00A50351"/>
    <w:rsid w:val="00A50370"/>
    <w:rsid w:val="00A505CA"/>
    <w:rsid w:val="00A5072C"/>
    <w:rsid w:val="00A50B9E"/>
    <w:rsid w:val="00A50FB0"/>
    <w:rsid w:val="00A5111A"/>
    <w:rsid w:val="00A51151"/>
    <w:rsid w:val="00A512BE"/>
    <w:rsid w:val="00A51459"/>
    <w:rsid w:val="00A51542"/>
    <w:rsid w:val="00A517F2"/>
    <w:rsid w:val="00A519D4"/>
    <w:rsid w:val="00A51E4E"/>
    <w:rsid w:val="00A51E62"/>
    <w:rsid w:val="00A51E90"/>
    <w:rsid w:val="00A520E7"/>
    <w:rsid w:val="00A5226D"/>
    <w:rsid w:val="00A52360"/>
    <w:rsid w:val="00A52413"/>
    <w:rsid w:val="00A5255A"/>
    <w:rsid w:val="00A52710"/>
    <w:rsid w:val="00A528FD"/>
    <w:rsid w:val="00A52910"/>
    <w:rsid w:val="00A529B3"/>
    <w:rsid w:val="00A52A7F"/>
    <w:rsid w:val="00A52AA4"/>
    <w:rsid w:val="00A52B51"/>
    <w:rsid w:val="00A52C64"/>
    <w:rsid w:val="00A52CDA"/>
    <w:rsid w:val="00A52EAE"/>
    <w:rsid w:val="00A53065"/>
    <w:rsid w:val="00A53236"/>
    <w:rsid w:val="00A533AC"/>
    <w:rsid w:val="00A534A9"/>
    <w:rsid w:val="00A5377E"/>
    <w:rsid w:val="00A537B7"/>
    <w:rsid w:val="00A53838"/>
    <w:rsid w:val="00A538C2"/>
    <w:rsid w:val="00A53915"/>
    <w:rsid w:val="00A539B3"/>
    <w:rsid w:val="00A53AFB"/>
    <w:rsid w:val="00A53C1D"/>
    <w:rsid w:val="00A53EB8"/>
    <w:rsid w:val="00A53F83"/>
    <w:rsid w:val="00A54303"/>
    <w:rsid w:val="00A543D6"/>
    <w:rsid w:val="00A54473"/>
    <w:rsid w:val="00A54482"/>
    <w:rsid w:val="00A54645"/>
    <w:rsid w:val="00A548CC"/>
    <w:rsid w:val="00A54BF6"/>
    <w:rsid w:val="00A54C32"/>
    <w:rsid w:val="00A54D77"/>
    <w:rsid w:val="00A54DEB"/>
    <w:rsid w:val="00A55041"/>
    <w:rsid w:val="00A55100"/>
    <w:rsid w:val="00A5559A"/>
    <w:rsid w:val="00A55704"/>
    <w:rsid w:val="00A55997"/>
    <w:rsid w:val="00A55A7E"/>
    <w:rsid w:val="00A55A84"/>
    <w:rsid w:val="00A55ABE"/>
    <w:rsid w:val="00A55DA1"/>
    <w:rsid w:val="00A56159"/>
    <w:rsid w:val="00A5626E"/>
    <w:rsid w:val="00A562CF"/>
    <w:rsid w:val="00A56507"/>
    <w:rsid w:val="00A56628"/>
    <w:rsid w:val="00A566BA"/>
    <w:rsid w:val="00A566D9"/>
    <w:rsid w:val="00A567C6"/>
    <w:rsid w:val="00A56CB7"/>
    <w:rsid w:val="00A56CD8"/>
    <w:rsid w:val="00A56E48"/>
    <w:rsid w:val="00A56F6F"/>
    <w:rsid w:val="00A57013"/>
    <w:rsid w:val="00A57427"/>
    <w:rsid w:val="00A5744E"/>
    <w:rsid w:val="00A575DA"/>
    <w:rsid w:val="00A5760C"/>
    <w:rsid w:val="00A57755"/>
    <w:rsid w:val="00A57A0D"/>
    <w:rsid w:val="00A57A71"/>
    <w:rsid w:val="00A57C53"/>
    <w:rsid w:val="00A57C6E"/>
    <w:rsid w:val="00A57E03"/>
    <w:rsid w:val="00A57FDA"/>
    <w:rsid w:val="00A60199"/>
    <w:rsid w:val="00A601A7"/>
    <w:rsid w:val="00A601EC"/>
    <w:rsid w:val="00A602BB"/>
    <w:rsid w:val="00A602F8"/>
    <w:rsid w:val="00A603CF"/>
    <w:rsid w:val="00A606F2"/>
    <w:rsid w:val="00A60A8A"/>
    <w:rsid w:val="00A60AD1"/>
    <w:rsid w:val="00A60BA9"/>
    <w:rsid w:val="00A60BD8"/>
    <w:rsid w:val="00A60CF0"/>
    <w:rsid w:val="00A611AD"/>
    <w:rsid w:val="00A615C3"/>
    <w:rsid w:val="00A615DE"/>
    <w:rsid w:val="00A61638"/>
    <w:rsid w:val="00A6172D"/>
    <w:rsid w:val="00A61892"/>
    <w:rsid w:val="00A618BE"/>
    <w:rsid w:val="00A61C41"/>
    <w:rsid w:val="00A61D7B"/>
    <w:rsid w:val="00A62206"/>
    <w:rsid w:val="00A6227E"/>
    <w:rsid w:val="00A62366"/>
    <w:rsid w:val="00A62472"/>
    <w:rsid w:val="00A6270D"/>
    <w:rsid w:val="00A6282A"/>
    <w:rsid w:val="00A6293D"/>
    <w:rsid w:val="00A6295A"/>
    <w:rsid w:val="00A62A2B"/>
    <w:rsid w:val="00A62E95"/>
    <w:rsid w:val="00A62ED0"/>
    <w:rsid w:val="00A63274"/>
    <w:rsid w:val="00A632E9"/>
    <w:rsid w:val="00A63306"/>
    <w:rsid w:val="00A63337"/>
    <w:rsid w:val="00A633BF"/>
    <w:rsid w:val="00A63630"/>
    <w:rsid w:val="00A6389E"/>
    <w:rsid w:val="00A638C4"/>
    <w:rsid w:val="00A63AF7"/>
    <w:rsid w:val="00A63B1C"/>
    <w:rsid w:val="00A63D5B"/>
    <w:rsid w:val="00A63FEB"/>
    <w:rsid w:val="00A6421D"/>
    <w:rsid w:val="00A64238"/>
    <w:rsid w:val="00A642CF"/>
    <w:rsid w:val="00A6430A"/>
    <w:rsid w:val="00A6436C"/>
    <w:rsid w:val="00A6453B"/>
    <w:rsid w:val="00A646D1"/>
    <w:rsid w:val="00A64880"/>
    <w:rsid w:val="00A64883"/>
    <w:rsid w:val="00A64B52"/>
    <w:rsid w:val="00A64CC7"/>
    <w:rsid w:val="00A64CCF"/>
    <w:rsid w:val="00A64DA0"/>
    <w:rsid w:val="00A64E88"/>
    <w:rsid w:val="00A64EC3"/>
    <w:rsid w:val="00A64F9C"/>
    <w:rsid w:val="00A6505A"/>
    <w:rsid w:val="00A6516A"/>
    <w:rsid w:val="00A65284"/>
    <w:rsid w:val="00A652C1"/>
    <w:rsid w:val="00A6530F"/>
    <w:rsid w:val="00A6545D"/>
    <w:rsid w:val="00A6556B"/>
    <w:rsid w:val="00A6574E"/>
    <w:rsid w:val="00A65762"/>
    <w:rsid w:val="00A65891"/>
    <w:rsid w:val="00A65AFA"/>
    <w:rsid w:val="00A65B4A"/>
    <w:rsid w:val="00A65EE4"/>
    <w:rsid w:val="00A65F88"/>
    <w:rsid w:val="00A66154"/>
    <w:rsid w:val="00A6617F"/>
    <w:rsid w:val="00A662AF"/>
    <w:rsid w:val="00A662C4"/>
    <w:rsid w:val="00A664A2"/>
    <w:rsid w:val="00A666CE"/>
    <w:rsid w:val="00A666E6"/>
    <w:rsid w:val="00A6678A"/>
    <w:rsid w:val="00A66817"/>
    <w:rsid w:val="00A6683C"/>
    <w:rsid w:val="00A6683D"/>
    <w:rsid w:val="00A669A5"/>
    <w:rsid w:val="00A66BA3"/>
    <w:rsid w:val="00A66BB0"/>
    <w:rsid w:val="00A66FA3"/>
    <w:rsid w:val="00A66FB5"/>
    <w:rsid w:val="00A6716F"/>
    <w:rsid w:val="00A6755C"/>
    <w:rsid w:val="00A676ED"/>
    <w:rsid w:val="00A678A7"/>
    <w:rsid w:val="00A67931"/>
    <w:rsid w:val="00A679DD"/>
    <w:rsid w:val="00A67A0E"/>
    <w:rsid w:val="00A67A2D"/>
    <w:rsid w:val="00A67B18"/>
    <w:rsid w:val="00A67C0E"/>
    <w:rsid w:val="00A67EFE"/>
    <w:rsid w:val="00A67F68"/>
    <w:rsid w:val="00A70116"/>
    <w:rsid w:val="00A70238"/>
    <w:rsid w:val="00A70250"/>
    <w:rsid w:val="00A704BA"/>
    <w:rsid w:val="00A70532"/>
    <w:rsid w:val="00A7071F"/>
    <w:rsid w:val="00A70749"/>
    <w:rsid w:val="00A70763"/>
    <w:rsid w:val="00A70823"/>
    <w:rsid w:val="00A70847"/>
    <w:rsid w:val="00A709BE"/>
    <w:rsid w:val="00A709D5"/>
    <w:rsid w:val="00A70A13"/>
    <w:rsid w:val="00A70A5D"/>
    <w:rsid w:val="00A70B3F"/>
    <w:rsid w:val="00A70B53"/>
    <w:rsid w:val="00A70B9D"/>
    <w:rsid w:val="00A70C12"/>
    <w:rsid w:val="00A70CD1"/>
    <w:rsid w:val="00A70F6D"/>
    <w:rsid w:val="00A7145C"/>
    <w:rsid w:val="00A7159E"/>
    <w:rsid w:val="00A71845"/>
    <w:rsid w:val="00A718AB"/>
    <w:rsid w:val="00A71925"/>
    <w:rsid w:val="00A71A8A"/>
    <w:rsid w:val="00A71EA5"/>
    <w:rsid w:val="00A71F59"/>
    <w:rsid w:val="00A71FBB"/>
    <w:rsid w:val="00A71FC8"/>
    <w:rsid w:val="00A71FE0"/>
    <w:rsid w:val="00A72130"/>
    <w:rsid w:val="00A72287"/>
    <w:rsid w:val="00A722C3"/>
    <w:rsid w:val="00A723F5"/>
    <w:rsid w:val="00A7263E"/>
    <w:rsid w:val="00A727AB"/>
    <w:rsid w:val="00A728DB"/>
    <w:rsid w:val="00A728E5"/>
    <w:rsid w:val="00A72958"/>
    <w:rsid w:val="00A72A22"/>
    <w:rsid w:val="00A72ABA"/>
    <w:rsid w:val="00A72AF5"/>
    <w:rsid w:val="00A72D9B"/>
    <w:rsid w:val="00A72EC3"/>
    <w:rsid w:val="00A73020"/>
    <w:rsid w:val="00A730F3"/>
    <w:rsid w:val="00A731AE"/>
    <w:rsid w:val="00A7334A"/>
    <w:rsid w:val="00A73376"/>
    <w:rsid w:val="00A733DD"/>
    <w:rsid w:val="00A733F4"/>
    <w:rsid w:val="00A735F3"/>
    <w:rsid w:val="00A73664"/>
    <w:rsid w:val="00A7369D"/>
    <w:rsid w:val="00A73735"/>
    <w:rsid w:val="00A737BE"/>
    <w:rsid w:val="00A739A1"/>
    <w:rsid w:val="00A739FC"/>
    <w:rsid w:val="00A73A0B"/>
    <w:rsid w:val="00A73A63"/>
    <w:rsid w:val="00A73B21"/>
    <w:rsid w:val="00A73B8E"/>
    <w:rsid w:val="00A73BC3"/>
    <w:rsid w:val="00A73BFD"/>
    <w:rsid w:val="00A73C98"/>
    <w:rsid w:val="00A73F22"/>
    <w:rsid w:val="00A7406B"/>
    <w:rsid w:val="00A740DF"/>
    <w:rsid w:val="00A741C5"/>
    <w:rsid w:val="00A743C0"/>
    <w:rsid w:val="00A745A6"/>
    <w:rsid w:val="00A745CC"/>
    <w:rsid w:val="00A74604"/>
    <w:rsid w:val="00A7468C"/>
    <w:rsid w:val="00A74745"/>
    <w:rsid w:val="00A747DA"/>
    <w:rsid w:val="00A747EF"/>
    <w:rsid w:val="00A7481F"/>
    <w:rsid w:val="00A74939"/>
    <w:rsid w:val="00A7499B"/>
    <w:rsid w:val="00A74BF9"/>
    <w:rsid w:val="00A74D4D"/>
    <w:rsid w:val="00A74D59"/>
    <w:rsid w:val="00A74E8C"/>
    <w:rsid w:val="00A74F5B"/>
    <w:rsid w:val="00A7500F"/>
    <w:rsid w:val="00A75080"/>
    <w:rsid w:val="00A75185"/>
    <w:rsid w:val="00A751B7"/>
    <w:rsid w:val="00A751BF"/>
    <w:rsid w:val="00A75205"/>
    <w:rsid w:val="00A753A1"/>
    <w:rsid w:val="00A754E4"/>
    <w:rsid w:val="00A75530"/>
    <w:rsid w:val="00A75547"/>
    <w:rsid w:val="00A755C4"/>
    <w:rsid w:val="00A755F1"/>
    <w:rsid w:val="00A7561A"/>
    <w:rsid w:val="00A75710"/>
    <w:rsid w:val="00A757A8"/>
    <w:rsid w:val="00A759EF"/>
    <w:rsid w:val="00A75A92"/>
    <w:rsid w:val="00A75BB3"/>
    <w:rsid w:val="00A75BDD"/>
    <w:rsid w:val="00A75C2C"/>
    <w:rsid w:val="00A75C6D"/>
    <w:rsid w:val="00A75CD8"/>
    <w:rsid w:val="00A75D19"/>
    <w:rsid w:val="00A75D3E"/>
    <w:rsid w:val="00A75ED6"/>
    <w:rsid w:val="00A75F46"/>
    <w:rsid w:val="00A7600C"/>
    <w:rsid w:val="00A76017"/>
    <w:rsid w:val="00A765AA"/>
    <w:rsid w:val="00A76652"/>
    <w:rsid w:val="00A76ACD"/>
    <w:rsid w:val="00A76B80"/>
    <w:rsid w:val="00A76B8C"/>
    <w:rsid w:val="00A76BD2"/>
    <w:rsid w:val="00A76CBD"/>
    <w:rsid w:val="00A76DBE"/>
    <w:rsid w:val="00A76F5C"/>
    <w:rsid w:val="00A76F61"/>
    <w:rsid w:val="00A76FAA"/>
    <w:rsid w:val="00A771FC"/>
    <w:rsid w:val="00A77274"/>
    <w:rsid w:val="00A77341"/>
    <w:rsid w:val="00A7741E"/>
    <w:rsid w:val="00A77491"/>
    <w:rsid w:val="00A775DD"/>
    <w:rsid w:val="00A776C8"/>
    <w:rsid w:val="00A77A4C"/>
    <w:rsid w:val="00A77A5C"/>
    <w:rsid w:val="00A77C1B"/>
    <w:rsid w:val="00A77D8A"/>
    <w:rsid w:val="00A80037"/>
    <w:rsid w:val="00A8005D"/>
    <w:rsid w:val="00A8014D"/>
    <w:rsid w:val="00A801C0"/>
    <w:rsid w:val="00A80231"/>
    <w:rsid w:val="00A8039F"/>
    <w:rsid w:val="00A805A5"/>
    <w:rsid w:val="00A8061E"/>
    <w:rsid w:val="00A8067C"/>
    <w:rsid w:val="00A80817"/>
    <w:rsid w:val="00A80939"/>
    <w:rsid w:val="00A809E3"/>
    <w:rsid w:val="00A80BFA"/>
    <w:rsid w:val="00A80D36"/>
    <w:rsid w:val="00A80D68"/>
    <w:rsid w:val="00A80E3B"/>
    <w:rsid w:val="00A80EBF"/>
    <w:rsid w:val="00A81151"/>
    <w:rsid w:val="00A811E1"/>
    <w:rsid w:val="00A811E3"/>
    <w:rsid w:val="00A8150F"/>
    <w:rsid w:val="00A81684"/>
    <w:rsid w:val="00A817DB"/>
    <w:rsid w:val="00A8191C"/>
    <w:rsid w:val="00A819CE"/>
    <w:rsid w:val="00A81A6E"/>
    <w:rsid w:val="00A81A8E"/>
    <w:rsid w:val="00A81AF9"/>
    <w:rsid w:val="00A81D8F"/>
    <w:rsid w:val="00A81ECB"/>
    <w:rsid w:val="00A82029"/>
    <w:rsid w:val="00A8207B"/>
    <w:rsid w:val="00A82131"/>
    <w:rsid w:val="00A8216B"/>
    <w:rsid w:val="00A82195"/>
    <w:rsid w:val="00A821FB"/>
    <w:rsid w:val="00A8235B"/>
    <w:rsid w:val="00A824B1"/>
    <w:rsid w:val="00A82590"/>
    <w:rsid w:val="00A82612"/>
    <w:rsid w:val="00A8278A"/>
    <w:rsid w:val="00A827FB"/>
    <w:rsid w:val="00A82851"/>
    <w:rsid w:val="00A82973"/>
    <w:rsid w:val="00A82EA2"/>
    <w:rsid w:val="00A83348"/>
    <w:rsid w:val="00A833DC"/>
    <w:rsid w:val="00A834BB"/>
    <w:rsid w:val="00A83894"/>
    <w:rsid w:val="00A83A1B"/>
    <w:rsid w:val="00A83A54"/>
    <w:rsid w:val="00A83CE4"/>
    <w:rsid w:val="00A83E87"/>
    <w:rsid w:val="00A84025"/>
    <w:rsid w:val="00A84062"/>
    <w:rsid w:val="00A84151"/>
    <w:rsid w:val="00A843F1"/>
    <w:rsid w:val="00A845DB"/>
    <w:rsid w:val="00A8465C"/>
    <w:rsid w:val="00A8466B"/>
    <w:rsid w:val="00A8467D"/>
    <w:rsid w:val="00A84835"/>
    <w:rsid w:val="00A8488A"/>
    <w:rsid w:val="00A84AD5"/>
    <w:rsid w:val="00A84BE1"/>
    <w:rsid w:val="00A84EB2"/>
    <w:rsid w:val="00A84EC9"/>
    <w:rsid w:val="00A8507E"/>
    <w:rsid w:val="00A850DE"/>
    <w:rsid w:val="00A851C2"/>
    <w:rsid w:val="00A85357"/>
    <w:rsid w:val="00A85383"/>
    <w:rsid w:val="00A854C3"/>
    <w:rsid w:val="00A854DC"/>
    <w:rsid w:val="00A85553"/>
    <w:rsid w:val="00A85561"/>
    <w:rsid w:val="00A856B8"/>
    <w:rsid w:val="00A856DC"/>
    <w:rsid w:val="00A85711"/>
    <w:rsid w:val="00A85A56"/>
    <w:rsid w:val="00A85D3D"/>
    <w:rsid w:val="00A85D85"/>
    <w:rsid w:val="00A85DCA"/>
    <w:rsid w:val="00A85EA6"/>
    <w:rsid w:val="00A85F04"/>
    <w:rsid w:val="00A85FA1"/>
    <w:rsid w:val="00A8602B"/>
    <w:rsid w:val="00A86158"/>
    <w:rsid w:val="00A86299"/>
    <w:rsid w:val="00A8672A"/>
    <w:rsid w:val="00A8696F"/>
    <w:rsid w:val="00A86972"/>
    <w:rsid w:val="00A86A65"/>
    <w:rsid w:val="00A86AB6"/>
    <w:rsid w:val="00A86CE6"/>
    <w:rsid w:val="00A8703E"/>
    <w:rsid w:val="00A8733B"/>
    <w:rsid w:val="00A874F9"/>
    <w:rsid w:val="00A87643"/>
    <w:rsid w:val="00A87822"/>
    <w:rsid w:val="00A8783A"/>
    <w:rsid w:val="00A87884"/>
    <w:rsid w:val="00A87B06"/>
    <w:rsid w:val="00A87CAC"/>
    <w:rsid w:val="00A87DD9"/>
    <w:rsid w:val="00A87F62"/>
    <w:rsid w:val="00A90144"/>
    <w:rsid w:val="00A90225"/>
    <w:rsid w:val="00A90589"/>
    <w:rsid w:val="00A9071C"/>
    <w:rsid w:val="00A909A5"/>
    <w:rsid w:val="00A909BD"/>
    <w:rsid w:val="00A90A3C"/>
    <w:rsid w:val="00A90BA5"/>
    <w:rsid w:val="00A90F55"/>
    <w:rsid w:val="00A90FC9"/>
    <w:rsid w:val="00A90FE2"/>
    <w:rsid w:val="00A91038"/>
    <w:rsid w:val="00A912A9"/>
    <w:rsid w:val="00A913E0"/>
    <w:rsid w:val="00A914FD"/>
    <w:rsid w:val="00A915D4"/>
    <w:rsid w:val="00A916B6"/>
    <w:rsid w:val="00A91EBD"/>
    <w:rsid w:val="00A91EFF"/>
    <w:rsid w:val="00A92057"/>
    <w:rsid w:val="00A920BD"/>
    <w:rsid w:val="00A920D0"/>
    <w:rsid w:val="00A92106"/>
    <w:rsid w:val="00A921E0"/>
    <w:rsid w:val="00A9260D"/>
    <w:rsid w:val="00A9264E"/>
    <w:rsid w:val="00A927EA"/>
    <w:rsid w:val="00A928EE"/>
    <w:rsid w:val="00A929C7"/>
    <w:rsid w:val="00A92AC0"/>
    <w:rsid w:val="00A92AE8"/>
    <w:rsid w:val="00A92E81"/>
    <w:rsid w:val="00A92EC1"/>
    <w:rsid w:val="00A92ED3"/>
    <w:rsid w:val="00A92FB5"/>
    <w:rsid w:val="00A930C5"/>
    <w:rsid w:val="00A93110"/>
    <w:rsid w:val="00A931F7"/>
    <w:rsid w:val="00A938CD"/>
    <w:rsid w:val="00A93C24"/>
    <w:rsid w:val="00A93F12"/>
    <w:rsid w:val="00A94024"/>
    <w:rsid w:val="00A941D4"/>
    <w:rsid w:val="00A9426F"/>
    <w:rsid w:val="00A942B5"/>
    <w:rsid w:val="00A94303"/>
    <w:rsid w:val="00A943D3"/>
    <w:rsid w:val="00A94482"/>
    <w:rsid w:val="00A944E1"/>
    <w:rsid w:val="00A948C6"/>
    <w:rsid w:val="00A949AD"/>
    <w:rsid w:val="00A94EF9"/>
    <w:rsid w:val="00A9509F"/>
    <w:rsid w:val="00A9523E"/>
    <w:rsid w:val="00A952E3"/>
    <w:rsid w:val="00A953B2"/>
    <w:rsid w:val="00A95542"/>
    <w:rsid w:val="00A95543"/>
    <w:rsid w:val="00A95556"/>
    <w:rsid w:val="00A958E7"/>
    <w:rsid w:val="00A95C02"/>
    <w:rsid w:val="00A95C3A"/>
    <w:rsid w:val="00A95CBF"/>
    <w:rsid w:val="00A95DAE"/>
    <w:rsid w:val="00A95F05"/>
    <w:rsid w:val="00A95F1F"/>
    <w:rsid w:val="00A95F6C"/>
    <w:rsid w:val="00A95FFF"/>
    <w:rsid w:val="00A96388"/>
    <w:rsid w:val="00A966E7"/>
    <w:rsid w:val="00A96883"/>
    <w:rsid w:val="00A96A00"/>
    <w:rsid w:val="00A96B3E"/>
    <w:rsid w:val="00A96BAE"/>
    <w:rsid w:val="00A96D6A"/>
    <w:rsid w:val="00A96FBC"/>
    <w:rsid w:val="00A97348"/>
    <w:rsid w:val="00A97422"/>
    <w:rsid w:val="00A974BC"/>
    <w:rsid w:val="00A975A1"/>
    <w:rsid w:val="00A975C7"/>
    <w:rsid w:val="00A97675"/>
    <w:rsid w:val="00A97C83"/>
    <w:rsid w:val="00AA01D3"/>
    <w:rsid w:val="00AA01E7"/>
    <w:rsid w:val="00AA03B6"/>
    <w:rsid w:val="00AA05B3"/>
    <w:rsid w:val="00AA07CF"/>
    <w:rsid w:val="00AA0883"/>
    <w:rsid w:val="00AA0958"/>
    <w:rsid w:val="00AA0EDF"/>
    <w:rsid w:val="00AA0FAD"/>
    <w:rsid w:val="00AA1023"/>
    <w:rsid w:val="00AA1029"/>
    <w:rsid w:val="00AA104C"/>
    <w:rsid w:val="00AA10AB"/>
    <w:rsid w:val="00AA143E"/>
    <w:rsid w:val="00AA14CF"/>
    <w:rsid w:val="00AA15AD"/>
    <w:rsid w:val="00AA171D"/>
    <w:rsid w:val="00AA1906"/>
    <w:rsid w:val="00AA1A02"/>
    <w:rsid w:val="00AA1B26"/>
    <w:rsid w:val="00AA1B98"/>
    <w:rsid w:val="00AA1D32"/>
    <w:rsid w:val="00AA1E4E"/>
    <w:rsid w:val="00AA1F08"/>
    <w:rsid w:val="00AA1F52"/>
    <w:rsid w:val="00AA1F61"/>
    <w:rsid w:val="00AA1F70"/>
    <w:rsid w:val="00AA2015"/>
    <w:rsid w:val="00AA2093"/>
    <w:rsid w:val="00AA2158"/>
    <w:rsid w:val="00AA21FD"/>
    <w:rsid w:val="00AA22EB"/>
    <w:rsid w:val="00AA23EC"/>
    <w:rsid w:val="00AA23F0"/>
    <w:rsid w:val="00AA242E"/>
    <w:rsid w:val="00AA28B4"/>
    <w:rsid w:val="00AA2B10"/>
    <w:rsid w:val="00AA2F8F"/>
    <w:rsid w:val="00AA3095"/>
    <w:rsid w:val="00AA30D0"/>
    <w:rsid w:val="00AA3110"/>
    <w:rsid w:val="00AA31FC"/>
    <w:rsid w:val="00AA3212"/>
    <w:rsid w:val="00AA3688"/>
    <w:rsid w:val="00AA3695"/>
    <w:rsid w:val="00AA36F4"/>
    <w:rsid w:val="00AA3A29"/>
    <w:rsid w:val="00AA3C14"/>
    <w:rsid w:val="00AA3FCA"/>
    <w:rsid w:val="00AA3FF5"/>
    <w:rsid w:val="00AA425B"/>
    <w:rsid w:val="00AA429B"/>
    <w:rsid w:val="00AA4482"/>
    <w:rsid w:val="00AA458A"/>
    <w:rsid w:val="00AA45D1"/>
    <w:rsid w:val="00AA495B"/>
    <w:rsid w:val="00AA49CE"/>
    <w:rsid w:val="00AA4A2E"/>
    <w:rsid w:val="00AA4B13"/>
    <w:rsid w:val="00AA4E80"/>
    <w:rsid w:val="00AA4E95"/>
    <w:rsid w:val="00AA4EAF"/>
    <w:rsid w:val="00AA4EDB"/>
    <w:rsid w:val="00AA5050"/>
    <w:rsid w:val="00AA50F7"/>
    <w:rsid w:val="00AA5551"/>
    <w:rsid w:val="00AA56AD"/>
    <w:rsid w:val="00AA5AA3"/>
    <w:rsid w:val="00AA5AF6"/>
    <w:rsid w:val="00AA5B80"/>
    <w:rsid w:val="00AA5D5C"/>
    <w:rsid w:val="00AA5E65"/>
    <w:rsid w:val="00AA5FAC"/>
    <w:rsid w:val="00AA6130"/>
    <w:rsid w:val="00AA62C4"/>
    <w:rsid w:val="00AA62EA"/>
    <w:rsid w:val="00AA646B"/>
    <w:rsid w:val="00AA6484"/>
    <w:rsid w:val="00AA666D"/>
    <w:rsid w:val="00AA685A"/>
    <w:rsid w:val="00AA68C8"/>
    <w:rsid w:val="00AA6A51"/>
    <w:rsid w:val="00AA6A96"/>
    <w:rsid w:val="00AA6AEE"/>
    <w:rsid w:val="00AA6B49"/>
    <w:rsid w:val="00AA6BEC"/>
    <w:rsid w:val="00AA6E03"/>
    <w:rsid w:val="00AA6FFE"/>
    <w:rsid w:val="00AA7027"/>
    <w:rsid w:val="00AA7063"/>
    <w:rsid w:val="00AA7111"/>
    <w:rsid w:val="00AA71D4"/>
    <w:rsid w:val="00AA741B"/>
    <w:rsid w:val="00AA74A7"/>
    <w:rsid w:val="00AA7513"/>
    <w:rsid w:val="00AA7707"/>
    <w:rsid w:val="00AA77E7"/>
    <w:rsid w:val="00AA7917"/>
    <w:rsid w:val="00AA7AC4"/>
    <w:rsid w:val="00AA7AF3"/>
    <w:rsid w:val="00AA7D9E"/>
    <w:rsid w:val="00AA7E7B"/>
    <w:rsid w:val="00AA7F77"/>
    <w:rsid w:val="00AB0157"/>
    <w:rsid w:val="00AB04A3"/>
    <w:rsid w:val="00AB0777"/>
    <w:rsid w:val="00AB0797"/>
    <w:rsid w:val="00AB093A"/>
    <w:rsid w:val="00AB0BB7"/>
    <w:rsid w:val="00AB0C3A"/>
    <w:rsid w:val="00AB0C6E"/>
    <w:rsid w:val="00AB0D9F"/>
    <w:rsid w:val="00AB0F83"/>
    <w:rsid w:val="00AB108D"/>
    <w:rsid w:val="00AB109B"/>
    <w:rsid w:val="00AB10DB"/>
    <w:rsid w:val="00AB114A"/>
    <w:rsid w:val="00AB1336"/>
    <w:rsid w:val="00AB13A2"/>
    <w:rsid w:val="00AB1470"/>
    <w:rsid w:val="00AB1570"/>
    <w:rsid w:val="00AB15CA"/>
    <w:rsid w:val="00AB1603"/>
    <w:rsid w:val="00AB16CE"/>
    <w:rsid w:val="00AB17BD"/>
    <w:rsid w:val="00AB18FE"/>
    <w:rsid w:val="00AB1C1D"/>
    <w:rsid w:val="00AB1D08"/>
    <w:rsid w:val="00AB1E0B"/>
    <w:rsid w:val="00AB1F1C"/>
    <w:rsid w:val="00AB205E"/>
    <w:rsid w:val="00AB228D"/>
    <w:rsid w:val="00AB2407"/>
    <w:rsid w:val="00AB2409"/>
    <w:rsid w:val="00AB265F"/>
    <w:rsid w:val="00AB270D"/>
    <w:rsid w:val="00AB27AD"/>
    <w:rsid w:val="00AB28EE"/>
    <w:rsid w:val="00AB295D"/>
    <w:rsid w:val="00AB2C53"/>
    <w:rsid w:val="00AB2CE0"/>
    <w:rsid w:val="00AB2EC1"/>
    <w:rsid w:val="00AB30E5"/>
    <w:rsid w:val="00AB3315"/>
    <w:rsid w:val="00AB343A"/>
    <w:rsid w:val="00AB3488"/>
    <w:rsid w:val="00AB36AD"/>
    <w:rsid w:val="00AB3753"/>
    <w:rsid w:val="00AB37AF"/>
    <w:rsid w:val="00AB3936"/>
    <w:rsid w:val="00AB3A5E"/>
    <w:rsid w:val="00AB3D5D"/>
    <w:rsid w:val="00AB3DF9"/>
    <w:rsid w:val="00AB3E7E"/>
    <w:rsid w:val="00AB3F83"/>
    <w:rsid w:val="00AB40B5"/>
    <w:rsid w:val="00AB40CC"/>
    <w:rsid w:val="00AB415F"/>
    <w:rsid w:val="00AB43B9"/>
    <w:rsid w:val="00AB447B"/>
    <w:rsid w:val="00AB44B0"/>
    <w:rsid w:val="00AB461F"/>
    <w:rsid w:val="00AB4805"/>
    <w:rsid w:val="00AB4853"/>
    <w:rsid w:val="00AB4903"/>
    <w:rsid w:val="00AB49EE"/>
    <w:rsid w:val="00AB4A9A"/>
    <w:rsid w:val="00AB4B45"/>
    <w:rsid w:val="00AB4C85"/>
    <w:rsid w:val="00AB4EC6"/>
    <w:rsid w:val="00AB4F01"/>
    <w:rsid w:val="00AB4F13"/>
    <w:rsid w:val="00AB4F21"/>
    <w:rsid w:val="00AB4F28"/>
    <w:rsid w:val="00AB5030"/>
    <w:rsid w:val="00AB5112"/>
    <w:rsid w:val="00AB51E4"/>
    <w:rsid w:val="00AB53AA"/>
    <w:rsid w:val="00AB53DF"/>
    <w:rsid w:val="00AB54DE"/>
    <w:rsid w:val="00AB55AE"/>
    <w:rsid w:val="00AB5853"/>
    <w:rsid w:val="00AB5B3E"/>
    <w:rsid w:val="00AB5B47"/>
    <w:rsid w:val="00AB5B8A"/>
    <w:rsid w:val="00AB5E06"/>
    <w:rsid w:val="00AB6043"/>
    <w:rsid w:val="00AB60CF"/>
    <w:rsid w:val="00AB659F"/>
    <w:rsid w:val="00AB66DA"/>
    <w:rsid w:val="00AB6746"/>
    <w:rsid w:val="00AB6839"/>
    <w:rsid w:val="00AB693B"/>
    <w:rsid w:val="00AB69EA"/>
    <w:rsid w:val="00AB69F0"/>
    <w:rsid w:val="00AB6D26"/>
    <w:rsid w:val="00AB6D6E"/>
    <w:rsid w:val="00AB6E03"/>
    <w:rsid w:val="00AB7018"/>
    <w:rsid w:val="00AB717A"/>
    <w:rsid w:val="00AB7333"/>
    <w:rsid w:val="00AB73F4"/>
    <w:rsid w:val="00AB74F7"/>
    <w:rsid w:val="00AB7754"/>
    <w:rsid w:val="00AB7773"/>
    <w:rsid w:val="00AB7B96"/>
    <w:rsid w:val="00AB7C44"/>
    <w:rsid w:val="00AB7C74"/>
    <w:rsid w:val="00AB7D7C"/>
    <w:rsid w:val="00AB7DE5"/>
    <w:rsid w:val="00AB7F82"/>
    <w:rsid w:val="00AB7FCB"/>
    <w:rsid w:val="00AC0072"/>
    <w:rsid w:val="00AC01FC"/>
    <w:rsid w:val="00AC030D"/>
    <w:rsid w:val="00AC04DF"/>
    <w:rsid w:val="00AC0666"/>
    <w:rsid w:val="00AC06A8"/>
    <w:rsid w:val="00AC0769"/>
    <w:rsid w:val="00AC078A"/>
    <w:rsid w:val="00AC0A5E"/>
    <w:rsid w:val="00AC0AAF"/>
    <w:rsid w:val="00AC0B38"/>
    <w:rsid w:val="00AC0BDE"/>
    <w:rsid w:val="00AC0D84"/>
    <w:rsid w:val="00AC0DC6"/>
    <w:rsid w:val="00AC0ED2"/>
    <w:rsid w:val="00AC1096"/>
    <w:rsid w:val="00AC12D2"/>
    <w:rsid w:val="00AC159F"/>
    <w:rsid w:val="00AC15B6"/>
    <w:rsid w:val="00AC16AA"/>
    <w:rsid w:val="00AC1804"/>
    <w:rsid w:val="00AC1875"/>
    <w:rsid w:val="00AC19FD"/>
    <w:rsid w:val="00AC1A10"/>
    <w:rsid w:val="00AC1C35"/>
    <w:rsid w:val="00AC1DB9"/>
    <w:rsid w:val="00AC1E89"/>
    <w:rsid w:val="00AC202E"/>
    <w:rsid w:val="00AC211C"/>
    <w:rsid w:val="00AC21D4"/>
    <w:rsid w:val="00AC2245"/>
    <w:rsid w:val="00AC2290"/>
    <w:rsid w:val="00AC2303"/>
    <w:rsid w:val="00AC2609"/>
    <w:rsid w:val="00AC269A"/>
    <w:rsid w:val="00AC2981"/>
    <w:rsid w:val="00AC2B52"/>
    <w:rsid w:val="00AC2D36"/>
    <w:rsid w:val="00AC2D55"/>
    <w:rsid w:val="00AC2E94"/>
    <w:rsid w:val="00AC2F50"/>
    <w:rsid w:val="00AC304A"/>
    <w:rsid w:val="00AC3149"/>
    <w:rsid w:val="00AC3284"/>
    <w:rsid w:val="00AC342A"/>
    <w:rsid w:val="00AC34EE"/>
    <w:rsid w:val="00AC352B"/>
    <w:rsid w:val="00AC35F1"/>
    <w:rsid w:val="00AC37D6"/>
    <w:rsid w:val="00AC37DF"/>
    <w:rsid w:val="00AC380E"/>
    <w:rsid w:val="00AC399E"/>
    <w:rsid w:val="00AC3B4C"/>
    <w:rsid w:val="00AC3CA3"/>
    <w:rsid w:val="00AC3F2F"/>
    <w:rsid w:val="00AC3FBC"/>
    <w:rsid w:val="00AC435A"/>
    <w:rsid w:val="00AC459F"/>
    <w:rsid w:val="00AC4CC2"/>
    <w:rsid w:val="00AC4F03"/>
    <w:rsid w:val="00AC5031"/>
    <w:rsid w:val="00AC5049"/>
    <w:rsid w:val="00AC50CA"/>
    <w:rsid w:val="00AC5168"/>
    <w:rsid w:val="00AC530A"/>
    <w:rsid w:val="00AC53F3"/>
    <w:rsid w:val="00AC5411"/>
    <w:rsid w:val="00AC57B1"/>
    <w:rsid w:val="00AC5A85"/>
    <w:rsid w:val="00AC5BBF"/>
    <w:rsid w:val="00AC5E3E"/>
    <w:rsid w:val="00AC5E49"/>
    <w:rsid w:val="00AC60E2"/>
    <w:rsid w:val="00AC61DE"/>
    <w:rsid w:val="00AC6308"/>
    <w:rsid w:val="00AC6357"/>
    <w:rsid w:val="00AC6649"/>
    <w:rsid w:val="00AC6785"/>
    <w:rsid w:val="00AC6891"/>
    <w:rsid w:val="00AC6998"/>
    <w:rsid w:val="00AC6C0A"/>
    <w:rsid w:val="00AC6C15"/>
    <w:rsid w:val="00AC6CF6"/>
    <w:rsid w:val="00AC6DF2"/>
    <w:rsid w:val="00AC6EAD"/>
    <w:rsid w:val="00AC705D"/>
    <w:rsid w:val="00AC71F2"/>
    <w:rsid w:val="00AC73BA"/>
    <w:rsid w:val="00AC74D1"/>
    <w:rsid w:val="00AC7501"/>
    <w:rsid w:val="00AC7532"/>
    <w:rsid w:val="00AC7594"/>
    <w:rsid w:val="00AC76B4"/>
    <w:rsid w:val="00AC7791"/>
    <w:rsid w:val="00AC7879"/>
    <w:rsid w:val="00AC794A"/>
    <w:rsid w:val="00AC79E0"/>
    <w:rsid w:val="00AC7A0E"/>
    <w:rsid w:val="00AC7B87"/>
    <w:rsid w:val="00AC7BB4"/>
    <w:rsid w:val="00AC7C22"/>
    <w:rsid w:val="00AC7D25"/>
    <w:rsid w:val="00AC7D71"/>
    <w:rsid w:val="00AC7EF7"/>
    <w:rsid w:val="00AD0107"/>
    <w:rsid w:val="00AD03F8"/>
    <w:rsid w:val="00AD041D"/>
    <w:rsid w:val="00AD05FC"/>
    <w:rsid w:val="00AD0B1A"/>
    <w:rsid w:val="00AD0B26"/>
    <w:rsid w:val="00AD0CCE"/>
    <w:rsid w:val="00AD0E75"/>
    <w:rsid w:val="00AD0FF9"/>
    <w:rsid w:val="00AD1080"/>
    <w:rsid w:val="00AD1224"/>
    <w:rsid w:val="00AD14E7"/>
    <w:rsid w:val="00AD16DC"/>
    <w:rsid w:val="00AD1739"/>
    <w:rsid w:val="00AD17AB"/>
    <w:rsid w:val="00AD1AB0"/>
    <w:rsid w:val="00AD1AB7"/>
    <w:rsid w:val="00AD1B42"/>
    <w:rsid w:val="00AD1BE6"/>
    <w:rsid w:val="00AD1DBF"/>
    <w:rsid w:val="00AD1DE3"/>
    <w:rsid w:val="00AD1F78"/>
    <w:rsid w:val="00AD2128"/>
    <w:rsid w:val="00AD22A7"/>
    <w:rsid w:val="00AD235C"/>
    <w:rsid w:val="00AD260C"/>
    <w:rsid w:val="00AD26EA"/>
    <w:rsid w:val="00AD2747"/>
    <w:rsid w:val="00AD2883"/>
    <w:rsid w:val="00AD2B5C"/>
    <w:rsid w:val="00AD2C1D"/>
    <w:rsid w:val="00AD2CA2"/>
    <w:rsid w:val="00AD2D06"/>
    <w:rsid w:val="00AD2D18"/>
    <w:rsid w:val="00AD2DA3"/>
    <w:rsid w:val="00AD3050"/>
    <w:rsid w:val="00AD322A"/>
    <w:rsid w:val="00AD33EC"/>
    <w:rsid w:val="00AD3418"/>
    <w:rsid w:val="00AD3463"/>
    <w:rsid w:val="00AD3478"/>
    <w:rsid w:val="00AD3519"/>
    <w:rsid w:val="00AD360C"/>
    <w:rsid w:val="00AD37FC"/>
    <w:rsid w:val="00AD37FD"/>
    <w:rsid w:val="00AD389B"/>
    <w:rsid w:val="00AD38E5"/>
    <w:rsid w:val="00AD3A06"/>
    <w:rsid w:val="00AD3A12"/>
    <w:rsid w:val="00AD3A7A"/>
    <w:rsid w:val="00AD40F0"/>
    <w:rsid w:val="00AD41CA"/>
    <w:rsid w:val="00AD4257"/>
    <w:rsid w:val="00AD4309"/>
    <w:rsid w:val="00AD447D"/>
    <w:rsid w:val="00AD44C4"/>
    <w:rsid w:val="00AD4508"/>
    <w:rsid w:val="00AD4656"/>
    <w:rsid w:val="00AD469E"/>
    <w:rsid w:val="00AD46DF"/>
    <w:rsid w:val="00AD4715"/>
    <w:rsid w:val="00AD471E"/>
    <w:rsid w:val="00AD477A"/>
    <w:rsid w:val="00AD482F"/>
    <w:rsid w:val="00AD48A1"/>
    <w:rsid w:val="00AD496D"/>
    <w:rsid w:val="00AD4A27"/>
    <w:rsid w:val="00AD4A60"/>
    <w:rsid w:val="00AD4A9B"/>
    <w:rsid w:val="00AD4C50"/>
    <w:rsid w:val="00AD4C5E"/>
    <w:rsid w:val="00AD4C63"/>
    <w:rsid w:val="00AD4D7B"/>
    <w:rsid w:val="00AD4FF3"/>
    <w:rsid w:val="00AD5042"/>
    <w:rsid w:val="00AD50CF"/>
    <w:rsid w:val="00AD50F2"/>
    <w:rsid w:val="00AD5130"/>
    <w:rsid w:val="00AD544A"/>
    <w:rsid w:val="00AD5471"/>
    <w:rsid w:val="00AD5516"/>
    <w:rsid w:val="00AD56CE"/>
    <w:rsid w:val="00AD5903"/>
    <w:rsid w:val="00AD5997"/>
    <w:rsid w:val="00AD59EB"/>
    <w:rsid w:val="00AD5DB4"/>
    <w:rsid w:val="00AD6031"/>
    <w:rsid w:val="00AD604A"/>
    <w:rsid w:val="00AD6055"/>
    <w:rsid w:val="00AD6074"/>
    <w:rsid w:val="00AD6107"/>
    <w:rsid w:val="00AD62A8"/>
    <w:rsid w:val="00AD635A"/>
    <w:rsid w:val="00AD6395"/>
    <w:rsid w:val="00AD68F8"/>
    <w:rsid w:val="00AD6944"/>
    <w:rsid w:val="00AD6988"/>
    <w:rsid w:val="00AD6BED"/>
    <w:rsid w:val="00AD6D4B"/>
    <w:rsid w:val="00AD6D52"/>
    <w:rsid w:val="00AD6E45"/>
    <w:rsid w:val="00AD6E56"/>
    <w:rsid w:val="00AD6EA6"/>
    <w:rsid w:val="00AD6EF6"/>
    <w:rsid w:val="00AD6FC1"/>
    <w:rsid w:val="00AD7052"/>
    <w:rsid w:val="00AD7093"/>
    <w:rsid w:val="00AD7154"/>
    <w:rsid w:val="00AD71E2"/>
    <w:rsid w:val="00AD720F"/>
    <w:rsid w:val="00AD72D3"/>
    <w:rsid w:val="00AD7483"/>
    <w:rsid w:val="00AD75AB"/>
    <w:rsid w:val="00AD7701"/>
    <w:rsid w:val="00AD7791"/>
    <w:rsid w:val="00AD7800"/>
    <w:rsid w:val="00AD7820"/>
    <w:rsid w:val="00AD792A"/>
    <w:rsid w:val="00AD7B2D"/>
    <w:rsid w:val="00AD7C8E"/>
    <w:rsid w:val="00AD7E3E"/>
    <w:rsid w:val="00AD7F32"/>
    <w:rsid w:val="00AD7FBC"/>
    <w:rsid w:val="00AE0120"/>
    <w:rsid w:val="00AE041E"/>
    <w:rsid w:val="00AE0AB1"/>
    <w:rsid w:val="00AE0B51"/>
    <w:rsid w:val="00AE0B52"/>
    <w:rsid w:val="00AE0CB3"/>
    <w:rsid w:val="00AE0DA0"/>
    <w:rsid w:val="00AE0DDC"/>
    <w:rsid w:val="00AE0DF1"/>
    <w:rsid w:val="00AE0E8C"/>
    <w:rsid w:val="00AE0E8E"/>
    <w:rsid w:val="00AE1201"/>
    <w:rsid w:val="00AE1295"/>
    <w:rsid w:val="00AE1460"/>
    <w:rsid w:val="00AE1676"/>
    <w:rsid w:val="00AE16DB"/>
    <w:rsid w:val="00AE17DD"/>
    <w:rsid w:val="00AE19D0"/>
    <w:rsid w:val="00AE1D38"/>
    <w:rsid w:val="00AE1D3A"/>
    <w:rsid w:val="00AE1DE4"/>
    <w:rsid w:val="00AE1F90"/>
    <w:rsid w:val="00AE224E"/>
    <w:rsid w:val="00AE25B6"/>
    <w:rsid w:val="00AE2721"/>
    <w:rsid w:val="00AE27EC"/>
    <w:rsid w:val="00AE28EA"/>
    <w:rsid w:val="00AE2A9C"/>
    <w:rsid w:val="00AE2ACD"/>
    <w:rsid w:val="00AE2AF9"/>
    <w:rsid w:val="00AE2DBA"/>
    <w:rsid w:val="00AE2F5D"/>
    <w:rsid w:val="00AE2FEA"/>
    <w:rsid w:val="00AE30B6"/>
    <w:rsid w:val="00AE319E"/>
    <w:rsid w:val="00AE3207"/>
    <w:rsid w:val="00AE32BD"/>
    <w:rsid w:val="00AE34D3"/>
    <w:rsid w:val="00AE34F9"/>
    <w:rsid w:val="00AE355D"/>
    <w:rsid w:val="00AE3673"/>
    <w:rsid w:val="00AE3721"/>
    <w:rsid w:val="00AE38C2"/>
    <w:rsid w:val="00AE38E8"/>
    <w:rsid w:val="00AE3932"/>
    <w:rsid w:val="00AE3BD8"/>
    <w:rsid w:val="00AE3D8F"/>
    <w:rsid w:val="00AE4144"/>
    <w:rsid w:val="00AE414D"/>
    <w:rsid w:val="00AE431F"/>
    <w:rsid w:val="00AE432C"/>
    <w:rsid w:val="00AE4508"/>
    <w:rsid w:val="00AE4744"/>
    <w:rsid w:val="00AE48B0"/>
    <w:rsid w:val="00AE4917"/>
    <w:rsid w:val="00AE49A1"/>
    <w:rsid w:val="00AE4A2D"/>
    <w:rsid w:val="00AE4B1C"/>
    <w:rsid w:val="00AE4B27"/>
    <w:rsid w:val="00AE4D68"/>
    <w:rsid w:val="00AE4D81"/>
    <w:rsid w:val="00AE4E53"/>
    <w:rsid w:val="00AE5109"/>
    <w:rsid w:val="00AE54A5"/>
    <w:rsid w:val="00AE5502"/>
    <w:rsid w:val="00AE55A0"/>
    <w:rsid w:val="00AE5618"/>
    <w:rsid w:val="00AE577C"/>
    <w:rsid w:val="00AE5AF5"/>
    <w:rsid w:val="00AE5BC5"/>
    <w:rsid w:val="00AE5D58"/>
    <w:rsid w:val="00AE5E59"/>
    <w:rsid w:val="00AE6433"/>
    <w:rsid w:val="00AE6613"/>
    <w:rsid w:val="00AE6638"/>
    <w:rsid w:val="00AE6938"/>
    <w:rsid w:val="00AE6B90"/>
    <w:rsid w:val="00AE6C5E"/>
    <w:rsid w:val="00AE6C6D"/>
    <w:rsid w:val="00AE6DA2"/>
    <w:rsid w:val="00AE6DE6"/>
    <w:rsid w:val="00AE70E2"/>
    <w:rsid w:val="00AE7342"/>
    <w:rsid w:val="00AE75F5"/>
    <w:rsid w:val="00AE7784"/>
    <w:rsid w:val="00AE79F4"/>
    <w:rsid w:val="00AE7B4B"/>
    <w:rsid w:val="00AE7B69"/>
    <w:rsid w:val="00AE7C17"/>
    <w:rsid w:val="00AE7CF8"/>
    <w:rsid w:val="00AE7E85"/>
    <w:rsid w:val="00AE7ECB"/>
    <w:rsid w:val="00AE7FA8"/>
    <w:rsid w:val="00AF0084"/>
    <w:rsid w:val="00AF051F"/>
    <w:rsid w:val="00AF05EA"/>
    <w:rsid w:val="00AF060A"/>
    <w:rsid w:val="00AF08EF"/>
    <w:rsid w:val="00AF0E2E"/>
    <w:rsid w:val="00AF0EB2"/>
    <w:rsid w:val="00AF0F4E"/>
    <w:rsid w:val="00AF10D8"/>
    <w:rsid w:val="00AF1160"/>
    <w:rsid w:val="00AF1186"/>
    <w:rsid w:val="00AF1248"/>
    <w:rsid w:val="00AF1386"/>
    <w:rsid w:val="00AF139C"/>
    <w:rsid w:val="00AF1664"/>
    <w:rsid w:val="00AF1748"/>
    <w:rsid w:val="00AF1909"/>
    <w:rsid w:val="00AF19B6"/>
    <w:rsid w:val="00AF1B77"/>
    <w:rsid w:val="00AF1BC4"/>
    <w:rsid w:val="00AF1C01"/>
    <w:rsid w:val="00AF1FDA"/>
    <w:rsid w:val="00AF205E"/>
    <w:rsid w:val="00AF2664"/>
    <w:rsid w:val="00AF26D0"/>
    <w:rsid w:val="00AF27E6"/>
    <w:rsid w:val="00AF285F"/>
    <w:rsid w:val="00AF2951"/>
    <w:rsid w:val="00AF2A65"/>
    <w:rsid w:val="00AF2B80"/>
    <w:rsid w:val="00AF2B95"/>
    <w:rsid w:val="00AF2D6A"/>
    <w:rsid w:val="00AF2ED6"/>
    <w:rsid w:val="00AF2FFD"/>
    <w:rsid w:val="00AF305B"/>
    <w:rsid w:val="00AF30C8"/>
    <w:rsid w:val="00AF30E4"/>
    <w:rsid w:val="00AF350A"/>
    <w:rsid w:val="00AF3994"/>
    <w:rsid w:val="00AF3AAF"/>
    <w:rsid w:val="00AF3B2B"/>
    <w:rsid w:val="00AF3B3E"/>
    <w:rsid w:val="00AF3C77"/>
    <w:rsid w:val="00AF4096"/>
    <w:rsid w:val="00AF413F"/>
    <w:rsid w:val="00AF41C4"/>
    <w:rsid w:val="00AF4264"/>
    <w:rsid w:val="00AF431C"/>
    <w:rsid w:val="00AF44F0"/>
    <w:rsid w:val="00AF46C8"/>
    <w:rsid w:val="00AF48E8"/>
    <w:rsid w:val="00AF4CDB"/>
    <w:rsid w:val="00AF4EA5"/>
    <w:rsid w:val="00AF4FFE"/>
    <w:rsid w:val="00AF523B"/>
    <w:rsid w:val="00AF529C"/>
    <w:rsid w:val="00AF542B"/>
    <w:rsid w:val="00AF5488"/>
    <w:rsid w:val="00AF552B"/>
    <w:rsid w:val="00AF5833"/>
    <w:rsid w:val="00AF59F7"/>
    <w:rsid w:val="00AF5ACF"/>
    <w:rsid w:val="00AF5C01"/>
    <w:rsid w:val="00AF5D46"/>
    <w:rsid w:val="00AF5D74"/>
    <w:rsid w:val="00AF5F1E"/>
    <w:rsid w:val="00AF607A"/>
    <w:rsid w:val="00AF6233"/>
    <w:rsid w:val="00AF63E3"/>
    <w:rsid w:val="00AF64B0"/>
    <w:rsid w:val="00AF678D"/>
    <w:rsid w:val="00AF67BD"/>
    <w:rsid w:val="00AF69A5"/>
    <w:rsid w:val="00AF69DA"/>
    <w:rsid w:val="00AF6A26"/>
    <w:rsid w:val="00AF6AC2"/>
    <w:rsid w:val="00AF6B85"/>
    <w:rsid w:val="00AF6F35"/>
    <w:rsid w:val="00AF71B7"/>
    <w:rsid w:val="00AF71F8"/>
    <w:rsid w:val="00AF730F"/>
    <w:rsid w:val="00AF733E"/>
    <w:rsid w:val="00AF7583"/>
    <w:rsid w:val="00AF76DC"/>
    <w:rsid w:val="00AF7825"/>
    <w:rsid w:val="00AF78B0"/>
    <w:rsid w:val="00AF78F9"/>
    <w:rsid w:val="00AF7953"/>
    <w:rsid w:val="00AF7BE8"/>
    <w:rsid w:val="00AF7C0F"/>
    <w:rsid w:val="00AF7C79"/>
    <w:rsid w:val="00AF7DDF"/>
    <w:rsid w:val="00B0003F"/>
    <w:rsid w:val="00B001B8"/>
    <w:rsid w:val="00B00507"/>
    <w:rsid w:val="00B00584"/>
    <w:rsid w:val="00B006FC"/>
    <w:rsid w:val="00B00993"/>
    <w:rsid w:val="00B00994"/>
    <w:rsid w:val="00B009B1"/>
    <w:rsid w:val="00B00B61"/>
    <w:rsid w:val="00B00DC1"/>
    <w:rsid w:val="00B00EF5"/>
    <w:rsid w:val="00B01001"/>
    <w:rsid w:val="00B01227"/>
    <w:rsid w:val="00B0144A"/>
    <w:rsid w:val="00B015CE"/>
    <w:rsid w:val="00B015E8"/>
    <w:rsid w:val="00B016B1"/>
    <w:rsid w:val="00B01764"/>
    <w:rsid w:val="00B019DF"/>
    <w:rsid w:val="00B01A6D"/>
    <w:rsid w:val="00B01BF8"/>
    <w:rsid w:val="00B01D8D"/>
    <w:rsid w:val="00B01DD6"/>
    <w:rsid w:val="00B01DE3"/>
    <w:rsid w:val="00B01EA9"/>
    <w:rsid w:val="00B01FC5"/>
    <w:rsid w:val="00B02249"/>
    <w:rsid w:val="00B02254"/>
    <w:rsid w:val="00B02471"/>
    <w:rsid w:val="00B0249E"/>
    <w:rsid w:val="00B024AC"/>
    <w:rsid w:val="00B02604"/>
    <w:rsid w:val="00B026C2"/>
    <w:rsid w:val="00B026F2"/>
    <w:rsid w:val="00B02711"/>
    <w:rsid w:val="00B02836"/>
    <w:rsid w:val="00B02A35"/>
    <w:rsid w:val="00B02C5D"/>
    <w:rsid w:val="00B02E83"/>
    <w:rsid w:val="00B02F11"/>
    <w:rsid w:val="00B02FE9"/>
    <w:rsid w:val="00B03049"/>
    <w:rsid w:val="00B0323A"/>
    <w:rsid w:val="00B032E8"/>
    <w:rsid w:val="00B0330E"/>
    <w:rsid w:val="00B033CD"/>
    <w:rsid w:val="00B0349D"/>
    <w:rsid w:val="00B038C6"/>
    <w:rsid w:val="00B03A0B"/>
    <w:rsid w:val="00B03A2F"/>
    <w:rsid w:val="00B03BD6"/>
    <w:rsid w:val="00B03C62"/>
    <w:rsid w:val="00B03CC8"/>
    <w:rsid w:val="00B03D40"/>
    <w:rsid w:val="00B03E2C"/>
    <w:rsid w:val="00B03F82"/>
    <w:rsid w:val="00B0412B"/>
    <w:rsid w:val="00B042CA"/>
    <w:rsid w:val="00B043F3"/>
    <w:rsid w:val="00B04578"/>
    <w:rsid w:val="00B045FF"/>
    <w:rsid w:val="00B046A8"/>
    <w:rsid w:val="00B04774"/>
    <w:rsid w:val="00B04917"/>
    <w:rsid w:val="00B04991"/>
    <w:rsid w:val="00B04D4E"/>
    <w:rsid w:val="00B05042"/>
    <w:rsid w:val="00B050F4"/>
    <w:rsid w:val="00B0511A"/>
    <w:rsid w:val="00B05403"/>
    <w:rsid w:val="00B0552E"/>
    <w:rsid w:val="00B05976"/>
    <w:rsid w:val="00B05A53"/>
    <w:rsid w:val="00B05B2A"/>
    <w:rsid w:val="00B05DAF"/>
    <w:rsid w:val="00B05DD8"/>
    <w:rsid w:val="00B05E66"/>
    <w:rsid w:val="00B060B2"/>
    <w:rsid w:val="00B0622D"/>
    <w:rsid w:val="00B0627A"/>
    <w:rsid w:val="00B062BA"/>
    <w:rsid w:val="00B06613"/>
    <w:rsid w:val="00B06995"/>
    <w:rsid w:val="00B069DC"/>
    <w:rsid w:val="00B06C7C"/>
    <w:rsid w:val="00B06D80"/>
    <w:rsid w:val="00B06DEB"/>
    <w:rsid w:val="00B06E80"/>
    <w:rsid w:val="00B06FDC"/>
    <w:rsid w:val="00B07177"/>
    <w:rsid w:val="00B07208"/>
    <w:rsid w:val="00B0724C"/>
    <w:rsid w:val="00B073FA"/>
    <w:rsid w:val="00B074DE"/>
    <w:rsid w:val="00B07575"/>
    <w:rsid w:val="00B0768B"/>
    <w:rsid w:val="00B0771E"/>
    <w:rsid w:val="00B07974"/>
    <w:rsid w:val="00B07A1F"/>
    <w:rsid w:val="00B07AD4"/>
    <w:rsid w:val="00B07AED"/>
    <w:rsid w:val="00B07F21"/>
    <w:rsid w:val="00B102EB"/>
    <w:rsid w:val="00B103A0"/>
    <w:rsid w:val="00B10570"/>
    <w:rsid w:val="00B10622"/>
    <w:rsid w:val="00B106E1"/>
    <w:rsid w:val="00B106EA"/>
    <w:rsid w:val="00B10B17"/>
    <w:rsid w:val="00B110C9"/>
    <w:rsid w:val="00B1111A"/>
    <w:rsid w:val="00B111AC"/>
    <w:rsid w:val="00B11542"/>
    <w:rsid w:val="00B11547"/>
    <w:rsid w:val="00B11600"/>
    <w:rsid w:val="00B1163F"/>
    <w:rsid w:val="00B11667"/>
    <w:rsid w:val="00B117A1"/>
    <w:rsid w:val="00B117E2"/>
    <w:rsid w:val="00B11AD6"/>
    <w:rsid w:val="00B11C7F"/>
    <w:rsid w:val="00B11E87"/>
    <w:rsid w:val="00B11F1E"/>
    <w:rsid w:val="00B120E3"/>
    <w:rsid w:val="00B12156"/>
    <w:rsid w:val="00B125CC"/>
    <w:rsid w:val="00B126B7"/>
    <w:rsid w:val="00B12987"/>
    <w:rsid w:val="00B12AA9"/>
    <w:rsid w:val="00B12B32"/>
    <w:rsid w:val="00B12B92"/>
    <w:rsid w:val="00B12BD4"/>
    <w:rsid w:val="00B12D16"/>
    <w:rsid w:val="00B12DD8"/>
    <w:rsid w:val="00B13457"/>
    <w:rsid w:val="00B13488"/>
    <w:rsid w:val="00B1365E"/>
    <w:rsid w:val="00B1375A"/>
    <w:rsid w:val="00B137C1"/>
    <w:rsid w:val="00B13804"/>
    <w:rsid w:val="00B1383C"/>
    <w:rsid w:val="00B13ABA"/>
    <w:rsid w:val="00B13C62"/>
    <w:rsid w:val="00B13CFB"/>
    <w:rsid w:val="00B13F1B"/>
    <w:rsid w:val="00B140DB"/>
    <w:rsid w:val="00B140FE"/>
    <w:rsid w:val="00B145D9"/>
    <w:rsid w:val="00B145E7"/>
    <w:rsid w:val="00B145F3"/>
    <w:rsid w:val="00B14744"/>
    <w:rsid w:val="00B147FF"/>
    <w:rsid w:val="00B1480D"/>
    <w:rsid w:val="00B14968"/>
    <w:rsid w:val="00B14AC8"/>
    <w:rsid w:val="00B14C1A"/>
    <w:rsid w:val="00B14EF8"/>
    <w:rsid w:val="00B14F8A"/>
    <w:rsid w:val="00B1502A"/>
    <w:rsid w:val="00B15185"/>
    <w:rsid w:val="00B15233"/>
    <w:rsid w:val="00B152BC"/>
    <w:rsid w:val="00B15304"/>
    <w:rsid w:val="00B153B8"/>
    <w:rsid w:val="00B15499"/>
    <w:rsid w:val="00B1553A"/>
    <w:rsid w:val="00B155E2"/>
    <w:rsid w:val="00B15624"/>
    <w:rsid w:val="00B1563D"/>
    <w:rsid w:val="00B156FF"/>
    <w:rsid w:val="00B157F7"/>
    <w:rsid w:val="00B159BE"/>
    <w:rsid w:val="00B15BB2"/>
    <w:rsid w:val="00B15E2F"/>
    <w:rsid w:val="00B15E44"/>
    <w:rsid w:val="00B1610A"/>
    <w:rsid w:val="00B16144"/>
    <w:rsid w:val="00B162B3"/>
    <w:rsid w:val="00B16492"/>
    <w:rsid w:val="00B164ED"/>
    <w:rsid w:val="00B166AA"/>
    <w:rsid w:val="00B16A1F"/>
    <w:rsid w:val="00B16C0E"/>
    <w:rsid w:val="00B16D13"/>
    <w:rsid w:val="00B17034"/>
    <w:rsid w:val="00B17035"/>
    <w:rsid w:val="00B171BB"/>
    <w:rsid w:val="00B17784"/>
    <w:rsid w:val="00B178F0"/>
    <w:rsid w:val="00B17933"/>
    <w:rsid w:val="00B17941"/>
    <w:rsid w:val="00B17BF4"/>
    <w:rsid w:val="00B17F05"/>
    <w:rsid w:val="00B17F07"/>
    <w:rsid w:val="00B17FA2"/>
    <w:rsid w:val="00B17FEC"/>
    <w:rsid w:val="00B2050E"/>
    <w:rsid w:val="00B206B2"/>
    <w:rsid w:val="00B20804"/>
    <w:rsid w:val="00B208B5"/>
    <w:rsid w:val="00B208C9"/>
    <w:rsid w:val="00B20AC3"/>
    <w:rsid w:val="00B20AE8"/>
    <w:rsid w:val="00B20AFC"/>
    <w:rsid w:val="00B20E1E"/>
    <w:rsid w:val="00B20EDF"/>
    <w:rsid w:val="00B210D6"/>
    <w:rsid w:val="00B21144"/>
    <w:rsid w:val="00B21211"/>
    <w:rsid w:val="00B21346"/>
    <w:rsid w:val="00B21359"/>
    <w:rsid w:val="00B21436"/>
    <w:rsid w:val="00B21472"/>
    <w:rsid w:val="00B2159F"/>
    <w:rsid w:val="00B215E4"/>
    <w:rsid w:val="00B21718"/>
    <w:rsid w:val="00B21840"/>
    <w:rsid w:val="00B2198B"/>
    <w:rsid w:val="00B21A0D"/>
    <w:rsid w:val="00B21AB0"/>
    <w:rsid w:val="00B21B27"/>
    <w:rsid w:val="00B21C9D"/>
    <w:rsid w:val="00B21CE9"/>
    <w:rsid w:val="00B21E9B"/>
    <w:rsid w:val="00B22299"/>
    <w:rsid w:val="00B223C6"/>
    <w:rsid w:val="00B2242B"/>
    <w:rsid w:val="00B224B0"/>
    <w:rsid w:val="00B224B4"/>
    <w:rsid w:val="00B22728"/>
    <w:rsid w:val="00B2276D"/>
    <w:rsid w:val="00B227B6"/>
    <w:rsid w:val="00B22854"/>
    <w:rsid w:val="00B22A53"/>
    <w:rsid w:val="00B22A61"/>
    <w:rsid w:val="00B22ACD"/>
    <w:rsid w:val="00B22B47"/>
    <w:rsid w:val="00B22B5C"/>
    <w:rsid w:val="00B22E61"/>
    <w:rsid w:val="00B22EF1"/>
    <w:rsid w:val="00B22F14"/>
    <w:rsid w:val="00B23032"/>
    <w:rsid w:val="00B2304D"/>
    <w:rsid w:val="00B230F0"/>
    <w:rsid w:val="00B2347D"/>
    <w:rsid w:val="00B234D4"/>
    <w:rsid w:val="00B236D3"/>
    <w:rsid w:val="00B2371D"/>
    <w:rsid w:val="00B23C19"/>
    <w:rsid w:val="00B23CEF"/>
    <w:rsid w:val="00B23DA2"/>
    <w:rsid w:val="00B24063"/>
    <w:rsid w:val="00B2409D"/>
    <w:rsid w:val="00B240F8"/>
    <w:rsid w:val="00B24327"/>
    <w:rsid w:val="00B24353"/>
    <w:rsid w:val="00B2447F"/>
    <w:rsid w:val="00B24C14"/>
    <w:rsid w:val="00B24C82"/>
    <w:rsid w:val="00B25048"/>
    <w:rsid w:val="00B25058"/>
    <w:rsid w:val="00B250FA"/>
    <w:rsid w:val="00B25267"/>
    <w:rsid w:val="00B25314"/>
    <w:rsid w:val="00B25422"/>
    <w:rsid w:val="00B25458"/>
    <w:rsid w:val="00B254E8"/>
    <w:rsid w:val="00B256B0"/>
    <w:rsid w:val="00B256EE"/>
    <w:rsid w:val="00B25811"/>
    <w:rsid w:val="00B25829"/>
    <w:rsid w:val="00B25838"/>
    <w:rsid w:val="00B2597F"/>
    <w:rsid w:val="00B25B99"/>
    <w:rsid w:val="00B25BB6"/>
    <w:rsid w:val="00B25CD1"/>
    <w:rsid w:val="00B25D0F"/>
    <w:rsid w:val="00B25EA9"/>
    <w:rsid w:val="00B25FA0"/>
    <w:rsid w:val="00B260B4"/>
    <w:rsid w:val="00B260D3"/>
    <w:rsid w:val="00B261C0"/>
    <w:rsid w:val="00B261D7"/>
    <w:rsid w:val="00B2627D"/>
    <w:rsid w:val="00B263BB"/>
    <w:rsid w:val="00B2662E"/>
    <w:rsid w:val="00B266F0"/>
    <w:rsid w:val="00B26747"/>
    <w:rsid w:val="00B26A43"/>
    <w:rsid w:val="00B26BB2"/>
    <w:rsid w:val="00B26DB3"/>
    <w:rsid w:val="00B27223"/>
    <w:rsid w:val="00B27238"/>
    <w:rsid w:val="00B27366"/>
    <w:rsid w:val="00B273A5"/>
    <w:rsid w:val="00B274F4"/>
    <w:rsid w:val="00B2777B"/>
    <w:rsid w:val="00B2791D"/>
    <w:rsid w:val="00B279F5"/>
    <w:rsid w:val="00B27AA8"/>
    <w:rsid w:val="00B27C0F"/>
    <w:rsid w:val="00B27D22"/>
    <w:rsid w:val="00B27D4C"/>
    <w:rsid w:val="00B27D87"/>
    <w:rsid w:val="00B27E3F"/>
    <w:rsid w:val="00B3028B"/>
    <w:rsid w:val="00B30320"/>
    <w:rsid w:val="00B30635"/>
    <w:rsid w:val="00B30764"/>
    <w:rsid w:val="00B3076C"/>
    <w:rsid w:val="00B3098C"/>
    <w:rsid w:val="00B30D1A"/>
    <w:rsid w:val="00B30F4B"/>
    <w:rsid w:val="00B30F6C"/>
    <w:rsid w:val="00B310B1"/>
    <w:rsid w:val="00B31228"/>
    <w:rsid w:val="00B3132F"/>
    <w:rsid w:val="00B31523"/>
    <w:rsid w:val="00B31750"/>
    <w:rsid w:val="00B31B98"/>
    <w:rsid w:val="00B31C88"/>
    <w:rsid w:val="00B31DB5"/>
    <w:rsid w:val="00B31F75"/>
    <w:rsid w:val="00B31FD5"/>
    <w:rsid w:val="00B31FFE"/>
    <w:rsid w:val="00B320D7"/>
    <w:rsid w:val="00B3226F"/>
    <w:rsid w:val="00B323B5"/>
    <w:rsid w:val="00B32434"/>
    <w:rsid w:val="00B3250A"/>
    <w:rsid w:val="00B3256E"/>
    <w:rsid w:val="00B325E2"/>
    <w:rsid w:val="00B32635"/>
    <w:rsid w:val="00B328AD"/>
    <w:rsid w:val="00B32938"/>
    <w:rsid w:val="00B329A5"/>
    <w:rsid w:val="00B32A58"/>
    <w:rsid w:val="00B32B62"/>
    <w:rsid w:val="00B32D84"/>
    <w:rsid w:val="00B32F3D"/>
    <w:rsid w:val="00B32FF1"/>
    <w:rsid w:val="00B33227"/>
    <w:rsid w:val="00B33245"/>
    <w:rsid w:val="00B333AF"/>
    <w:rsid w:val="00B3344C"/>
    <w:rsid w:val="00B33550"/>
    <w:rsid w:val="00B335B1"/>
    <w:rsid w:val="00B33876"/>
    <w:rsid w:val="00B3391B"/>
    <w:rsid w:val="00B33A14"/>
    <w:rsid w:val="00B33A21"/>
    <w:rsid w:val="00B33BD7"/>
    <w:rsid w:val="00B33C10"/>
    <w:rsid w:val="00B33C42"/>
    <w:rsid w:val="00B33D08"/>
    <w:rsid w:val="00B3408F"/>
    <w:rsid w:val="00B34160"/>
    <w:rsid w:val="00B346C0"/>
    <w:rsid w:val="00B346F5"/>
    <w:rsid w:val="00B34706"/>
    <w:rsid w:val="00B34AA3"/>
    <w:rsid w:val="00B34B08"/>
    <w:rsid w:val="00B34B13"/>
    <w:rsid w:val="00B34C0F"/>
    <w:rsid w:val="00B34C92"/>
    <w:rsid w:val="00B34D8E"/>
    <w:rsid w:val="00B34D9E"/>
    <w:rsid w:val="00B34DF4"/>
    <w:rsid w:val="00B34E42"/>
    <w:rsid w:val="00B34EAA"/>
    <w:rsid w:val="00B35021"/>
    <w:rsid w:val="00B3502C"/>
    <w:rsid w:val="00B35064"/>
    <w:rsid w:val="00B351A0"/>
    <w:rsid w:val="00B351F4"/>
    <w:rsid w:val="00B355A9"/>
    <w:rsid w:val="00B35623"/>
    <w:rsid w:val="00B35632"/>
    <w:rsid w:val="00B356CF"/>
    <w:rsid w:val="00B35B40"/>
    <w:rsid w:val="00B35B97"/>
    <w:rsid w:val="00B35DE6"/>
    <w:rsid w:val="00B35F8B"/>
    <w:rsid w:val="00B36076"/>
    <w:rsid w:val="00B3646C"/>
    <w:rsid w:val="00B36481"/>
    <w:rsid w:val="00B36668"/>
    <w:rsid w:val="00B366D4"/>
    <w:rsid w:val="00B369BC"/>
    <w:rsid w:val="00B36B21"/>
    <w:rsid w:val="00B36E7F"/>
    <w:rsid w:val="00B3714B"/>
    <w:rsid w:val="00B3715D"/>
    <w:rsid w:val="00B372AB"/>
    <w:rsid w:val="00B373BA"/>
    <w:rsid w:val="00B374E4"/>
    <w:rsid w:val="00B3767A"/>
    <w:rsid w:val="00B37777"/>
    <w:rsid w:val="00B37905"/>
    <w:rsid w:val="00B37A57"/>
    <w:rsid w:val="00B37A5F"/>
    <w:rsid w:val="00B37A61"/>
    <w:rsid w:val="00B37A63"/>
    <w:rsid w:val="00B37BB6"/>
    <w:rsid w:val="00B37C08"/>
    <w:rsid w:val="00B37D26"/>
    <w:rsid w:val="00B37D30"/>
    <w:rsid w:val="00B37DCE"/>
    <w:rsid w:val="00B37DE3"/>
    <w:rsid w:val="00B37FBC"/>
    <w:rsid w:val="00B37FC0"/>
    <w:rsid w:val="00B400B8"/>
    <w:rsid w:val="00B402B1"/>
    <w:rsid w:val="00B40368"/>
    <w:rsid w:val="00B404B6"/>
    <w:rsid w:val="00B40590"/>
    <w:rsid w:val="00B405BC"/>
    <w:rsid w:val="00B406F3"/>
    <w:rsid w:val="00B406FE"/>
    <w:rsid w:val="00B407D5"/>
    <w:rsid w:val="00B40846"/>
    <w:rsid w:val="00B4093B"/>
    <w:rsid w:val="00B40C38"/>
    <w:rsid w:val="00B40C54"/>
    <w:rsid w:val="00B40C86"/>
    <w:rsid w:val="00B410F9"/>
    <w:rsid w:val="00B4112E"/>
    <w:rsid w:val="00B411D4"/>
    <w:rsid w:val="00B4120E"/>
    <w:rsid w:val="00B4135A"/>
    <w:rsid w:val="00B414DC"/>
    <w:rsid w:val="00B41509"/>
    <w:rsid w:val="00B41545"/>
    <w:rsid w:val="00B4154C"/>
    <w:rsid w:val="00B4166F"/>
    <w:rsid w:val="00B416CA"/>
    <w:rsid w:val="00B417FD"/>
    <w:rsid w:val="00B41985"/>
    <w:rsid w:val="00B41995"/>
    <w:rsid w:val="00B41E8C"/>
    <w:rsid w:val="00B41EC8"/>
    <w:rsid w:val="00B41EE2"/>
    <w:rsid w:val="00B41FE0"/>
    <w:rsid w:val="00B4206B"/>
    <w:rsid w:val="00B42327"/>
    <w:rsid w:val="00B42546"/>
    <w:rsid w:val="00B425EE"/>
    <w:rsid w:val="00B4260F"/>
    <w:rsid w:val="00B42691"/>
    <w:rsid w:val="00B42963"/>
    <w:rsid w:val="00B42C27"/>
    <w:rsid w:val="00B42D8E"/>
    <w:rsid w:val="00B42E28"/>
    <w:rsid w:val="00B42EDA"/>
    <w:rsid w:val="00B43013"/>
    <w:rsid w:val="00B4308E"/>
    <w:rsid w:val="00B43226"/>
    <w:rsid w:val="00B432FF"/>
    <w:rsid w:val="00B435A9"/>
    <w:rsid w:val="00B4364B"/>
    <w:rsid w:val="00B43842"/>
    <w:rsid w:val="00B43977"/>
    <w:rsid w:val="00B43A17"/>
    <w:rsid w:val="00B43AC9"/>
    <w:rsid w:val="00B43B4F"/>
    <w:rsid w:val="00B43BC7"/>
    <w:rsid w:val="00B43BF8"/>
    <w:rsid w:val="00B43DC2"/>
    <w:rsid w:val="00B43E53"/>
    <w:rsid w:val="00B43E62"/>
    <w:rsid w:val="00B43F92"/>
    <w:rsid w:val="00B440F6"/>
    <w:rsid w:val="00B442F3"/>
    <w:rsid w:val="00B443B3"/>
    <w:rsid w:val="00B447EC"/>
    <w:rsid w:val="00B44896"/>
    <w:rsid w:val="00B448BC"/>
    <w:rsid w:val="00B44994"/>
    <w:rsid w:val="00B44A14"/>
    <w:rsid w:val="00B44B2B"/>
    <w:rsid w:val="00B44C31"/>
    <w:rsid w:val="00B44F03"/>
    <w:rsid w:val="00B44FE6"/>
    <w:rsid w:val="00B450E7"/>
    <w:rsid w:val="00B45594"/>
    <w:rsid w:val="00B4581F"/>
    <w:rsid w:val="00B459DA"/>
    <w:rsid w:val="00B45AA1"/>
    <w:rsid w:val="00B45B40"/>
    <w:rsid w:val="00B45BD2"/>
    <w:rsid w:val="00B45BEA"/>
    <w:rsid w:val="00B45DBA"/>
    <w:rsid w:val="00B45E23"/>
    <w:rsid w:val="00B45E98"/>
    <w:rsid w:val="00B460C5"/>
    <w:rsid w:val="00B4610A"/>
    <w:rsid w:val="00B46118"/>
    <w:rsid w:val="00B46157"/>
    <w:rsid w:val="00B461A7"/>
    <w:rsid w:val="00B46217"/>
    <w:rsid w:val="00B46439"/>
    <w:rsid w:val="00B46458"/>
    <w:rsid w:val="00B4646B"/>
    <w:rsid w:val="00B4657A"/>
    <w:rsid w:val="00B465EE"/>
    <w:rsid w:val="00B465FD"/>
    <w:rsid w:val="00B46661"/>
    <w:rsid w:val="00B466A8"/>
    <w:rsid w:val="00B46AA6"/>
    <w:rsid w:val="00B46C26"/>
    <w:rsid w:val="00B46C93"/>
    <w:rsid w:val="00B46D35"/>
    <w:rsid w:val="00B47224"/>
    <w:rsid w:val="00B4748F"/>
    <w:rsid w:val="00B47758"/>
    <w:rsid w:val="00B4784F"/>
    <w:rsid w:val="00B47C21"/>
    <w:rsid w:val="00B47D54"/>
    <w:rsid w:val="00B47DE8"/>
    <w:rsid w:val="00B47DF2"/>
    <w:rsid w:val="00B47F2F"/>
    <w:rsid w:val="00B504E2"/>
    <w:rsid w:val="00B50665"/>
    <w:rsid w:val="00B50856"/>
    <w:rsid w:val="00B50864"/>
    <w:rsid w:val="00B508D2"/>
    <w:rsid w:val="00B50971"/>
    <w:rsid w:val="00B509DB"/>
    <w:rsid w:val="00B509FB"/>
    <w:rsid w:val="00B50D8D"/>
    <w:rsid w:val="00B50DE6"/>
    <w:rsid w:val="00B50EB8"/>
    <w:rsid w:val="00B51025"/>
    <w:rsid w:val="00B51321"/>
    <w:rsid w:val="00B51635"/>
    <w:rsid w:val="00B51636"/>
    <w:rsid w:val="00B516E2"/>
    <w:rsid w:val="00B51706"/>
    <w:rsid w:val="00B51880"/>
    <w:rsid w:val="00B519B7"/>
    <w:rsid w:val="00B51D59"/>
    <w:rsid w:val="00B51DF2"/>
    <w:rsid w:val="00B51E44"/>
    <w:rsid w:val="00B5220D"/>
    <w:rsid w:val="00B52316"/>
    <w:rsid w:val="00B5237E"/>
    <w:rsid w:val="00B525B9"/>
    <w:rsid w:val="00B525FD"/>
    <w:rsid w:val="00B526DA"/>
    <w:rsid w:val="00B527EC"/>
    <w:rsid w:val="00B52897"/>
    <w:rsid w:val="00B52975"/>
    <w:rsid w:val="00B52B3E"/>
    <w:rsid w:val="00B52BEE"/>
    <w:rsid w:val="00B52C79"/>
    <w:rsid w:val="00B52D10"/>
    <w:rsid w:val="00B52DB2"/>
    <w:rsid w:val="00B52E3B"/>
    <w:rsid w:val="00B52E42"/>
    <w:rsid w:val="00B53066"/>
    <w:rsid w:val="00B530D1"/>
    <w:rsid w:val="00B5315F"/>
    <w:rsid w:val="00B5317A"/>
    <w:rsid w:val="00B53499"/>
    <w:rsid w:val="00B534F7"/>
    <w:rsid w:val="00B5376E"/>
    <w:rsid w:val="00B537B5"/>
    <w:rsid w:val="00B53802"/>
    <w:rsid w:val="00B53884"/>
    <w:rsid w:val="00B5396E"/>
    <w:rsid w:val="00B53B79"/>
    <w:rsid w:val="00B53C3E"/>
    <w:rsid w:val="00B53E2A"/>
    <w:rsid w:val="00B540E2"/>
    <w:rsid w:val="00B547BD"/>
    <w:rsid w:val="00B547FA"/>
    <w:rsid w:val="00B54A72"/>
    <w:rsid w:val="00B54AE4"/>
    <w:rsid w:val="00B54BE3"/>
    <w:rsid w:val="00B54C1D"/>
    <w:rsid w:val="00B54EB7"/>
    <w:rsid w:val="00B54F2A"/>
    <w:rsid w:val="00B55072"/>
    <w:rsid w:val="00B55116"/>
    <w:rsid w:val="00B55170"/>
    <w:rsid w:val="00B55210"/>
    <w:rsid w:val="00B5521C"/>
    <w:rsid w:val="00B5535E"/>
    <w:rsid w:val="00B55614"/>
    <w:rsid w:val="00B556DC"/>
    <w:rsid w:val="00B55A14"/>
    <w:rsid w:val="00B55A39"/>
    <w:rsid w:val="00B55C67"/>
    <w:rsid w:val="00B55C6A"/>
    <w:rsid w:val="00B55CFE"/>
    <w:rsid w:val="00B55D1D"/>
    <w:rsid w:val="00B55E71"/>
    <w:rsid w:val="00B56054"/>
    <w:rsid w:val="00B5612F"/>
    <w:rsid w:val="00B562F1"/>
    <w:rsid w:val="00B56611"/>
    <w:rsid w:val="00B56827"/>
    <w:rsid w:val="00B56938"/>
    <w:rsid w:val="00B56945"/>
    <w:rsid w:val="00B569B4"/>
    <w:rsid w:val="00B56E7C"/>
    <w:rsid w:val="00B56EC9"/>
    <w:rsid w:val="00B56ECB"/>
    <w:rsid w:val="00B56FDB"/>
    <w:rsid w:val="00B56FE0"/>
    <w:rsid w:val="00B56FFC"/>
    <w:rsid w:val="00B5712B"/>
    <w:rsid w:val="00B57923"/>
    <w:rsid w:val="00B57967"/>
    <w:rsid w:val="00B57A1C"/>
    <w:rsid w:val="00B57B37"/>
    <w:rsid w:val="00B57C9F"/>
    <w:rsid w:val="00B57D24"/>
    <w:rsid w:val="00B57D86"/>
    <w:rsid w:val="00B57EA5"/>
    <w:rsid w:val="00B57FC4"/>
    <w:rsid w:val="00B60187"/>
    <w:rsid w:val="00B60231"/>
    <w:rsid w:val="00B603D3"/>
    <w:rsid w:val="00B606D6"/>
    <w:rsid w:val="00B607F9"/>
    <w:rsid w:val="00B60804"/>
    <w:rsid w:val="00B60809"/>
    <w:rsid w:val="00B60826"/>
    <w:rsid w:val="00B60898"/>
    <w:rsid w:val="00B6094C"/>
    <w:rsid w:val="00B60B99"/>
    <w:rsid w:val="00B60BA0"/>
    <w:rsid w:val="00B60D78"/>
    <w:rsid w:val="00B60D90"/>
    <w:rsid w:val="00B60FB7"/>
    <w:rsid w:val="00B6106F"/>
    <w:rsid w:val="00B61174"/>
    <w:rsid w:val="00B611BB"/>
    <w:rsid w:val="00B611FB"/>
    <w:rsid w:val="00B6138D"/>
    <w:rsid w:val="00B613BB"/>
    <w:rsid w:val="00B6147E"/>
    <w:rsid w:val="00B61490"/>
    <w:rsid w:val="00B6159D"/>
    <w:rsid w:val="00B61626"/>
    <w:rsid w:val="00B616F6"/>
    <w:rsid w:val="00B618DB"/>
    <w:rsid w:val="00B61995"/>
    <w:rsid w:val="00B619BD"/>
    <w:rsid w:val="00B61B0F"/>
    <w:rsid w:val="00B61C43"/>
    <w:rsid w:val="00B61C98"/>
    <w:rsid w:val="00B61CFA"/>
    <w:rsid w:val="00B61F63"/>
    <w:rsid w:val="00B61FA6"/>
    <w:rsid w:val="00B6242C"/>
    <w:rsid w:val="00B62439"/>
    <w:rsid w:val="00B6267F"/>
    <w:rsid w:val="00B62846"/>
    <w:rsid w:val="00B62918"/>
    <w:rsid w:val="00B62B21"/>
    <w:rsid w:val="00B62B6B"/>
    <w:rsid w:val="00B62D55"/>
    <w:rsid w:val="00B62E5C"/>
    <w:rsid w:val="00B62E67"/>
    <w:rsid w:val="00B62EA9"/>
    <w:rsid w:val="00B631BC"/>
    <w:rsid w:val="00B632DA"/>
    <w:rsid w:val="00B63379"/>
    <w:rsid w:val="00B63530"/>
    <w:rsid w:val="00B63548"/>
    <w:rsid w:val="00B6364D"/>
    <w:rsid w:val="00B636C1"/>
    <w:rsid w:val="00B63831"/>
    <w:rsid w:val="00B63C0B"/>
    <w:rsid w:val="00B63CBB"/>
    <w:rsid w:val="00B63CEE"/>
    <w:rsid w:val="00B63D5A"/>
    <w:rsid w:val="00B63ED4"/>
    <w:rsid w:val="00B63F1C"/>
    <w:rsid w:val="00B6427F"/>
    <w:rsid w:val="00B6431C"/>
    <w:rsid w:val="00B6444B"/>
    <w:rsid w:val="00B644C2"/>
    <w:rsid w:val="00B644C9"/>
    <w:rsid w:val="00B6484B"/>
    <w:rsid w:val="00B649C1"/>
    <w:rsid w:val="00B64A96"/>
    <w:rsid w:val="00B64B52"/>
    <w:rsid w:val="00B64BED"/>
    <w:rsid w:val="00B64F9C"/>
    <w:rsid w:val="00B64FD3"/>
    <w:rsid w:val="00B6500C"/>
    <w:rsid w:val="00B6520E"/>
    <w:rsid w:val="00B65238"/>
    <w:rsid w:val="00B655B9"/>
    <w:rsid w:val="00B65723"/>
    <w:rsid w:val="00B6593F"/>
    <w:rsid w:val="00B65A9C"/>
    <w:rsid w:val="00B65AE5"/>
    <w:rsid w:val="00B65AF1"/>
    <w:rsid w:val="00B65BB3"/>
    <w:rsid w:val="00B65C04"/>
    <w:rsid w:val="00B65D3D"/>
    <w:rsid w:val="00B65DAD"/>
    <w:rsid w:val="00B65DE1"/>
    <w:rsid w:val="00B65E73"/>
    <w:rsid w:val="00B65F7A"/>
    <w:rsid w:val="00B662D4"/>
    <w:rsid w:val="00B662EF"/>
    <w:rsid w:val="00B66471"/>
    <w:rsid w:val="00B66473"/>
    <w:rsid w:val="00B66535"/>
    <w:rsid w:val="00B66574"/>
    <w:rsid w:val="00B667DD"/>
    <w:rsid w:val="00B66818"/>
    <w:rsid w:val="00B668FC"/>
    <w:rsid w:val="00B66CDA"/>
    <w:rsid w:val="00B66CDB"/>
    <w:rsid w:val="00B66D2A"/>
    <w:rsid w:val="00B6718A"/>
    <w:rsid w:val="00B671AD"/>
    <w:rsid w:val="00B67206"/>
    <w:rsid w:val="00B67506"/>
    <w:rsid w:val="00B67583"/>
    <w:rsid w:val="00B67B1F"/>
    <w:rsid w:val="00B67BD8"/>
    <w:rsid w:val="00B67C68"/>
    <w:rsid w:val="00B67D81"/>
    <w:rsid w:val="00B67E40"/>
    <w:rsid w:val="00B67ED7"/>
    <w:rsid w:val="00B70120"/>
    <w:rsid w:val="00B702C2"/>
    <w:rsid w:val="00B70425"/>
    <w:rsid w:val="00B70436"/>
    <w:rsid w:val="00B70663"/>
    <w:rsid w:val="00B70750"/>
    <w:rsid w:val="00B709EA"/>
    <w:rsid w:val="00B70E3A"/>
    <w:rsid w:val="00B70EDC"/>
    <w:rsid w:val="00B70EDF"/>
    <w:rsid w:val="00B70F5D"/>
    <w:rsid w:val="00B70FCC"/>
    <w:rsid w:val="00B71096"/>
    <w:rsid w:val="00B71155"/>
    <w:rsid w:val="00B71478"/>
    <w:rsid w:val="00B7154C"/>
    <w:rsid w:val="00B7166D"/>
    <w:rsid w:val="00B7176D"/>
    <w:rsid w:val="00B718FF"/>
    <w:rsid w:val="00B71BAD"/>
    <w:rsid w:val="00B71F83"/>
    <w:rsid w:val="00B7209E"/>
    <w:rsid w:val="00B7212D"/>
    <w:rsid w:val="00B721E8"/>
    <w:rsid w:val="00B72328"/>
    <w:rsid w:val="00B72447"/>
    <w:rsid w:val="00B72831"/>
    <w:rsid w:val="00B7283D"/>
    <w:rsid w:val="00B72AE5"/>
    <w:rsid w:val="00B72C5C"/>
    <w:rsid w:val="00B72EF3"/>
    <w:rsid w:val="00B7321D"/>
    <w:rsid w:val="00B73399"/>
    <w:rsid w:val="00B7339A"/>
    <w:rsid w:val="00B735AA"/>
    <w:rsid w:val="00B735D4"/>
    <w:rsid w:val="00B73692"/>
    <w:rsid w:val="00B73845"/>
    <w:rsid w:val="00B7385A"/>
    <w:rsid w:val="00B73914"/>
    <w:rsid w:val="00B73BBE"/>
    <w:rsid w:val="00B73DC3"/>
    <w:rsid w:val="00B73DCD"/>
    <w:rsid w:val="00B73F24"/>
    <w:rsid w:val="00B73F62"/>
    <w:rsid w:val="00B742C8"/>
    <w:rsid w:val="00B74565"/>
    <w:rsid w:val="00B746B0"/>
    <w:rsid w:val="00B74B4F"/>
    <w:rsid w:val="00B74C46"/>
    <w:rsid w:val="00B74C4E"/>
    <w:rsid w:val="00B74F12"/>
    <w:rsid w:val="00B750C0"/>
    <w:rsid w:val="00B7516D"/>
    <w:rsid w:val="00B75350"/>
    <w:rsid w:val="00B754EC"/>
    <w:rsid w:val="00B75608"/>
    <w:rsid w:val="00B75A36"/>
    <w:rsid w:val="00B75BBE"/>
    <w:rsid w:val="00B75C17"/>
    <w:rsid w:val="00B75DFB"/>
    <w:rsid w:val="00B75F71"/>
    <w:rsid w:val="00B760A0"/>
    <w:rsid w:val="00B76138"/>
    <w:rsid w:val="00B76177"/>
    <w:rsid w:val="00B76232"/>
    <w:rsid w:val="00B76527"/>
    <w:rsid w:val="00B765DA"/>
    <w:rsid w:val="00B7667B"/>
    <w:rsid w:val="00B76698"/>
    <w:rsid w:val="00B766F0"/>
    <w:rsid w:val="00B76A9D"/>
    <w:rsid w:val="00B76B0E"/>
    <w:rsid w:val="00B76B17"/>
    <w:rsid w:val="00B76E1A"/>
    <w:rsid w:val="00B76E6B"/>
    <w:rsid w:val="00B76E7B"/>
    <w:rsid w:val="00B76F65"/>
    <w:rsid w:val="00B77255"/>
    <w:rsid w:val="00B773F1"/>
    <w:rsid w:val="00B77448"/>
    <w:rsid w:val="00B77543"/>
    <w:rsid w:val="00B7772E"/>
    <w:rsid w:val="00B77740"/>
    <w:rsid w:val="00B7789B"/>
    <w:rsid w:val="00B778CA"/>
    <w:rsid w:val="00B77943"/>
    <w:rsid w:val="00B779BF"/>
    <w:rsid w:val="00B77AD0"/>
    <w:rsid w:val="00B77D29"/>
    <w:rsid w:val="00B77DD8"/>
    <w:rsid w:val="00B77EC5"/>
    <w:rsid w:val="00B80155"/>
    <w:rsid w:val="00B8020A"/>
    <w:rsid w:val="00B80219"/>
    <w:rsid w:val="00B80497"/>
    <w:rsid w:val="00B804DB"/>
    <w:rsid w:val="00B805D4"/>
    <w:rsid w:val="00B8075D"/>
    <w:rsid w:val="00B807A4"/>
    <w:rsid w:val="00B80851"/>
    <w:rsid w:val="00B808A4"/>
    <w:rsid w:val="00B80B34"/>
    <w:rsid w:val="00B80BDA"/>
    <w:rsid w:val="00B80CE6"/>
    <w:rsid w:val="00B80DA2"/>
    <w:rsid w:val="00B80EA3"/>
    <w:rsid w:val="00B80F9B"/>
    <w:rsid w:val="00B81004"/>
    <w:rsid w:val="00B8126C"/>
    <w:rsid w:val="00B814B7"/>
    <w:rsid w:val="00B815FC"/>
    <w:rsid w:val="00B8160F"/>
    <w:rsid w:val="00B81923"/>
    <w:rsid w:val="00B8194E"/>
    <w:rsid w:val="00B81BD8"/>
    <w:rsid w:val="00B81C0F"/>
    <w:rsid w:val="00B81CB0"/>
    <w:rsid w:val="00B81D60"/>
    <w:rsid w:val="00B8216F"/>
    <w:rsid w:val="00B82196"/>
    <w:rsid w:val="00B822D2"/>
    <w:rsid w:val="00B822D8"/>
    <w:rsid w:val="00B82428"/>
    <w:rsid w:val="00B826FA"/>
    <w:rsid w:val="00B82A9F"/>
    <w:rsid w:val="00B82AA4"/>
    <w:rsid w:val="00B82AB4"/>
    <w:rsid w:val="00B82B3A"/>
    <w:rsid w:val="00B82C2F"/>
    <w:rsid w:val="00B82E9B"/>
    <w:rsid w:val="00B82EC7"/>
    <w:rsid w:val="00B831E9"/>
    <w:rsid w:val="00B832F0"/>
    <w:rsid w:val="00B833AC"/>
    <w:rsid w:val="00B83578"/>
    <w:rsid w:val="00B8359B"/>
    <w:rsid w:val="00B835C2"/>
    <w:rsid w:val="00B83900"/>
    <w:rsid w:val="00B839BA"/>
    <w:rsid w:val="00B83C09"/>
    <w:rsid w:val="00B83D10"/>
    <w:rsid w:val="00B83DD0"/>
    <w:rsid w:val="00B83E7C"/>
    <w:rsid w:val="00B83F36"/>
    <w:rsid w:val="00B83FA6"/>
    <w:rsid w:val="00B83FD9"/>
    <w:rsid w:val="00B841F3"/>
    <w:rsid w:val="00B8422F"/>
    <w:rsid w:val="00B84233"/>
    <w:rsid w:val="00B842CB"/>
    <w:rsid w:val="00B843FD"/>
    <w:rsid w:val="00B84559"/>
    <w:rsid w:val="00B847C3"/>
    <w:rsid w:val="00B84831"/>
    <w:rsid w:val="00B84D60"/>
    <w:rsid w:val="00B84DBC"/>
    <w:rsid w:val="00B84E43"/>
    <w:rsid w:val="00B84E8E"/>
    <w:rsid w:val="00B84F22"/>
    <w:rsid w:val="00B84F6D"/>
    <w:rsid w:val="00B84FA8"/>
    <w:rsid w:val="00B8500B"/>
    <w:rsid w:val="00B85085"/>
    <w:rsid w:val="00B85347"/>
    <w:rsid w:val="00B85878"/>
    <w:rsid w:val="00B85CB9"/>
    <w:rsid w:val="00B85E34"/>
    <w:rsid w:val="00B8607A"/>
    <w:rsid w:val="00B862E5"/>
    <w:rsid w:val="00B8639B"/>
    <w:rsid w:val="00B863E3"/>
    <w:rsid w:val="00B86676"/>
    <w:rsid w:val="00B8671A"/>
    <w:rsid w:val="00B869F5"/>
    <w:rsid w:val="00B86A56"/>
    <w:rsid w:val="00B86C26"/>
    <w:rsid w:val="00B86CFD"/>
    <w:rsid w:val="00B86D7A"/>
    <w:rsid w:val="00B86E92"/>
    <w:rsid w:val="00B86F2C"/>
    <w:rsid w:val="00B86FE5"/>
    <w:rsid w:val="00B8709E"/>
    <w:rsid w:val="00B87375"/>
    <w:rsid w:val="00B87493"/>
    <w:rsid w:val="00B876E7"/>
    <w:rsid w:val="00B87746"/>
    <w:rsid w:val="00B879E0"/>
    <w:rsid w:val="00B87C48"/>
    <w:rsid w:val="00B87DA3"/>
    <w:rsid w:val="00B87F4A"/>
    <w:rsid w:val="00B87FDF"/>
    <w:rsid w:val="00B90362"/>
    <w:rsid w:val="00B9036D"/>
    <w:rsid w:val="00B90408"/>
    <w:rsid w:val="00B9045B"/>
    <w:rsid w:val="00B9056E"/>
    <w:rsid w:val="00B90578"/>
    <w:rsid w:val="00B90671"/>
    <w:rsid w:val="00B9079B"/>
    <w:rsid w:val="00B90A81"/>
    <w:rsid w:val="00B90BED"/>
    <w:rsid w:val="00B90C3F"/>
    <w:rsid w:val="00B90CCF"/>
    <w:rsid w:val="00B90D11"/>
    <w:rsid w:val="00B90E34"/>
    <w:rsid w:val="00B90F7B"/>
    <w:rsid w:val="00B912EF"/>
    <w:rsid w:val="00B9132F"/>
    <w:rsid w:val="00B916A3"/>
    <w:rsid w:val="00B91924"/>
    <w:rsid w:val="00B9199E"/>
    <w:rsid w:val="00B919A7"/>
    <w:rsid w:val="00B91B8B"/>
    <w:rsid w:val="00B91C55"/>
    <w:rsid w:val="00B91DEA"/>
    <w:rsid w:val="00B91E43"/>
    <w:rsid w:val="00B91E6C"/>
    <w:rsid w:val="00B92017"/>
    <w:rsid w:val="00B92028"/>
    <w:rsid w:val="00B92105"/>
    <w:rsid w:val="00B921CF"/>
    <w:rsid w:val="00B922E6"/>
    <w:rsid w:val="00B92333"/>
    <w:rsid w:val="00B923B0"/>
    <w:rsid w:val="00B923F1"/>
    <w:rsid w:val="00B924A9"/>
    <w:rsid w:val="00B92545"/>
    <w:rsid w:val="00B92551"/>
    <w:rsid w:val="00B9273D"/>
    <w:rsid w:val="00B92894"/>
    <w:rsid w:val="00B92949"/>
    <w:rsid w:val="00B92B51"/>
    <w:rsid w:val="00B931F8"/>
    <w:rsid w:val="00B93584"/>
    <w:rsid w:val="00B93587"/>
    <w:rsid w:val="00B93607"/>
    <w:rsid w:val="00B93680"/>
    <w:rsid w:val="00B936A8"/>
    <w:rsid w:val="00B93796"/>
    <w:rsid w:val="00B938D0"/>
    <w:rsid w:val="00B93C48"/>
    <w:rsid w:val="00B93CA7"/>
    <w:rsid w:val="00B93DFD"/>
    <w:rsid w:val="00B93F47"/>
    <w:rsid w:val="00B9404C"/>
    <w:rsid w:val="00B94150"/>
    <w:rsid w:val="00B94248"/>
    <w:rsid w:val="00B9440C"/>
    <w:rsid w:val="00B94652"/>
    <w:rsid w:val="00B94714"/>
    <w:rsid w:val="00B94813"/>
    <w:rsid w:val="00B948AC"/>
    <w:rsid w:val="00B948BD"/>
    <w:rsid w:val="00B94C2E"/>
    <w:rsid w:val="00B94C6C"/>
    <w:rsid w:val="00B94CAD"/>
    <w:rsid w:val="00B94D0E"/>
    <w:rsid w:val="00B94DF4"/>
    <w:rsid w:val="00B9519F"/>
    <w:rsid w:val="00B954BB"/>
    <w:rsid w:val="00B954C7"/>
    <w:rsid w:val="00B95626"/>
    <w:rsid w:val="00B9573B"/>
    <w:rsid w:val="00B95824"/>
    <w:rsid w:val="00B9584C"/>
    <w:rsid w:val="00B958D6"/>
    <w:rsid w:val="00B958FD"/>
    <w:rsid w:val="00B96122"/>
    <w:rsid w:val="00B9622F"/>
    <w:rsid w:val="00B96579"/>
    <w:rsid w:val="00B96986"/>
    <w:rsid w:val="00B96ABE"/>
    <w:rsid w:val="00B96B51"/>
    <w:rsid w:val="00B96BD7"/>
    <w:rsid w:val="00B96BDC"/>
    <w:rsid w:val="00B96D5B"/>
    <w:rsid w:val="00B96E57"/>
    <w:rsid w:val="00B96EDD"/>
    <w:rsid w:val="00B96F6E"/>
    <w:rsid w:val="00B96FE6"/>
    <w:rsid w:val="00B9701F"/>
    <w:rsid w:val="00B972FC"/>
    <w:rsid w:val="00B9736B"/>
    <w:rsid w:val="00B9758E"/>
    <w:rsid w:val="00B975D7"/>
    <w:rsid w:val="00B97714"/>
    <w:rsid w:val="00B97721"/>
    <w:rsid w:val="00B9780A"/>
    <w:rsid w:val="00B97862"/>
    <w:rsid w:val="00B97A04"/>
    <w:rsid w:val="00B97C75"/>
    <w:rsid w:val="00B97CFA"/>
    <w:rsid w:val="00B97D01"/>
    <w:rsid w:val="00BA00B6"/>
    <w:rsid w:val="00BA0201"/>
    <w:rsid w:val="00BA0265"/>
    <w:rsid w:val="00BA0272"/>
    <w:rsid w:val="00BA029B"/>
    <w:rsid w:val="00BA040E"/>
    <w:rsid w:val="00BA0574"/>
    <w:rsid w:val="00BA058E"/>
    <w:rsid w:val="00BA067A"/>
    <w:rsid w:val="00BA080F"/>
    <w:rsid w:val="00BA0A71"/>
    <w:rsid w:val="00BA0A8E"/>
    <w:rsid w:val="00BA0D2E"/>
    <w:rsid w:val="00BA0EAB"/>
    <w:rsid w:val="00BA0F95"/>
    <w:rsid w:val="00BA1042"/>
    <w:rsid w:val="00BA105D"/>
    <w:rsid w:val="00BA1188"/>
    <w:rsid w:val="00BA1370"/>
    <w:rsid w:val="00BA1573"/>
    <w:rsid w:val="00BA15AC"/>
    <w:rsid w:val="00BA1652"/>
    <w:rsid w:val="00BA16D2"/>
    <w:rsid w:val="00BA16ED"/>
    <w:rsid w:val="00BA1749"/>
    <w:rsid w:val="00BA1882"/>
    <w:rsid w:val="00BA18CF"/>
    <w:rsid w:val="00BA1A62"/>
    <w:rsid w:val="00BA1F58"/>
    <w:rsid w:val="00BA211D"/>
    <w:rsid w:val="00BA21BC"/>
    <w:rsid w:val="00BA2215"/>
    <w:rsid w:val="00BA22BD"/>
    <w:rsid w:val="00BA241F"/>
    <w:rsid w:val="00BA259D"/>
    <w:rsid w:val="00BA26B2"/>
    <w:rsid w:val="00BA277A"/>
    <w:rsid w:val="00BA2787"/>
    <w:rsid w:val="00BA279F"/>
    <w:rsid w:val="00BA2979"/>
    <w:rsid w:val="00BA29F8"/>
    <w:rsid w:val="00BA32C0"/>
    <w:rsid w:val="00BA32EB"/>
    <w:rsid w:val="00BA33AC"/>
    <w:rsid w:val="00BA34E3"/>
    <w:rsid w:val="00BA34E4"/>
    <w:rsid w:val="00BA3512"/>
    <w:rsid w:val="00BA351F"/>
    <w:rsid w:val="00BA35C3"/>
    <w:rsid w:val="00BA35DD"/>
    <w:rsid w:val="00BA39BA"/>
    <w:rsid w:val="00BA3A23"/>
    <w:rsid w:val="00BA3AFB"/>
    <w:rsid w:val="00BA3C49"/>
    <w:rsid w:val="00BA3D75"/>
    <w:rsid w:val="00BA3E4D"/>
    <w:rsid w:val="00BA3EFE"/>
    <w:rsid w:val="00BA3F46"/>
    <w:rsid w:val="00BA3FE6"/>
    <w:rsid w:val="00BA44A9"/>
    <w:rsid w:val="00BA476E"/>
    <w:rsid w:val="00BA4771"/>
    <w:rsid w:val="00BA47A6"/>
    <w:rsid w:val="00BA4966"/>
    <w:rsid w:val="00BA4B06"/>
    <w:rsid w:val="00BA4EA0"/>
    <w:rsid w:val="00BA5098"/>
    <w:rsid w:val="00BA53B3"/>
    <w:rsid w:val="00BA54C1"/>
    <w:rsid w:val="00BA563F"/>
    <w:rsid w:val="00BA5683"/>
    <w:rsid w:val="00BA5836"/>
    <w:rsid w:val="00BA583A"/>
    <w:rsid w:val="00BA58F6"/>
    <w:rsid w:val="00BA5975"/>
    <w:rsid w:val="00BA5A2E"/>
    <w:rsid w:val="00BA5BF3"/>
    <w:rsid w:val="00BA5CD6"/>
    <w:rsid w:val="00BA5DF6"/>
    <w:rsid w:val="00BA5EA9"/>
    <w:rsid w:val="00BA5FB3"/>
    <w:rsid w:val="00BA6266"/>
    <w:rsid w:val="00BA630F"/>
    <w:rsid w:val="00BA6336"/>
    <w:rsid w:val="00BA63DB"/>
    <w:rsid w:val="00BA6421"/>
    <w:rsid w:val="00BA6A94"/>
    <w:rsid w:val="00BA71C3"/>
    <w:rsid w:val="00BA71D4"/>
    <w:rsid w:val="00BA71FC"/>
    <w:rsid w:val="00BA737B"/>
    <w:rsid w:val="00BA7389"/>
    <w:rsid w:val="00BA75D3"/>
    <w:rsid w:val="00BA77C4"/>
    <w:rsid w:val="00BA7A1C"/>
    <w:rsid w:val="00BA7ABC"/>
    <w:rsid w:val="00BA7ACE"/>
    <w:rsid w:val="00BA7C11"/>
    <w:rsid w:val="00BA7D28"/>
    <w:rsid w:val="00BA7E86"/>
    <w:rsid w:val="00BB0190"/>
    <w:rsid w:val="00BB039B"/>
    <w:rsid w:val="00BB03C3"/>
    <w:rsid w:val="00BB055C"/>
    <w:rsid w:val="00BB06D0"/>
    <w:rsid w:val="00BB0882"/>
    <w:rsid w:val="00BB088B"/>
    <w:rsid w:val="00BB0A69"/>
    <w:rsid w:val="00BB0B94"/>
    <w:rsid w:val="00BB0CEA"/>
    <w:rsid w:val="00BB0D4B"/>
    <w:rsid w:val="00BB0DBC"/>
    <w:rsid w:val="00BB0DD8"/>
    <w:rsid w:val="00BB0E15"/>
    <w:rsid w:val="00BB0E7B"/>
    <w:rsid w:val="00BB0EE3"/>
    <w:rsid w:val="00BB0F04"/>
    <w:rsid w:val="00BB0F69"/>
    <w:rsid w:val="00BB118B"/>
    <w:rsid w:val="00BB121D"/>
    <w:rsid w:val="00BB126D"/>
    <w:rsid w:val="00BB1291"/>
    <w:rsid w:val="00BB1459"/>
    <w:rsid w:val="00BB153F"/>
    <w:rsid w:val="00BB156A"/>
    <w:rsid w:val="00BB16CF"/>
    <w:rsid w:val="00BB16ED"/>
    <w:rsid w:val="00BB16FF"/>
    <w:rsid w:val="00BB17C7"/>
    <w:rsid w:val="00BB1A16"/>
    <w:rsid w:val="00BB1AF5"/>
    <w:rsid w:val="00BB1B52"/>
    <w:rsid w:val="00BB1BB8"/>
    <w:rsid w:val="00BB1BC1"/>
    <w:rsid w:val="00BB1CB1"/>
    <w:rsid w:val="00BB1D30"/>
    <w:rsid w:val="00BB1DB3"/>
    <w:rsid w:val="00BB1F60"/>
    <w:rsid w:val="00BB1F8F"/>
    <w:rsid w:val="00BB1FBF"/>
    <w:rsid w:val="00BB21A0"/>
    <w:rsid w:val="00BB2399"/>
    <w:rsid w:val="00BB2784"/>
    <w:rsid w:val="00BB27F9"/>
    <w:rsid w:val="00BB2917"/>
    <w:rsid w:val="00BB2A7C"/>
    <w:rsid w:val="00BB2BD7"/>
    <w:rsid w:val="00BB2DF5"/>
    <w:rsid w:val="00BB306C"/>
    <w:rsid w:val="00BB3171"/>
    <w:rsid w:val="00BB31FF"/>
    <w:rsid w:val="00BB3290"/>
    <w:rsid w:val="00BB3314"/>
    <w:rsid w:val="00BB33FE"/>
    <w:rsid w:val="00BB3528"/>
    <w:rsid w:val="00BB3620"/>
    <w:rsid w:val="00BB36EF"/>
    <w:rsid w:val="00BB36F3"/>
    <w:rsid w:val="00BB37EF"/>
    <w:rsid w:val="00BB387C"/>
    <w:rsid w:val="00BB3AF5"/>
    <w:rsid w:val="00BB3B56"/>
    <w:rsid w:val="00BB3E17"/>
    <w:rsid w:val="00BB403A"/>
    <w:rsid w:val="00BB41C1"/>
    <w:rsid w:val="00BB423B"/>
    <w:rsid w:val="00BB4649"/>
    <w:rsid w:val="00BB476C"/>
    <w:rsid w:val="00BB4777"/>
    <w:rsid w:val="00BB4AFD"/>
    <w:rsid w:val="00BB4BD9"/>
    <w:rsid w:val="00BB4C76"/>
    <w:rsid w:val="00BB4CB1"/>
    <w:rsid w:val="00BB4CDC"/>
    <w:rsid w:val="00BB4EA5"/>
    <w:rsid w:val="00BB5059"/>
    <w:rsid w:val="00BB5112"/>
    <w:rsid w:val="00BB5288"/>
    <w:rsid w:val="00BB52C0"/>
    <w:rsid w:val="00BB52EA"/>
    <w:rsid w:val="00BB5594"/>
    <w:rsid w:val="00BB55C3"/>
    <w:rsid w:val="00BB572C"/>
    <w:rsid w:val="00BB5742"/>
    <w:rsid w:val="00BB5800"/>
    <w:rsid w:val="00BB5C0F"/>
    <w:rsid w:val="00BB5C61"/>
    <w:rsid w:val="00BB5D7E"/>
    <w:rsid w:val="00BB5D9A"/>
    <w:rsid w:val="00BB5EA4"/>
    <w:rsid w:val="00BB6097"/>
    <w:rsid w:val="00BB614C"/>
    <w:rsid w:val="00BB622B"/>
    <w:rsid w:val="00BB6457"/>
    <w:rsid w:val="00BB6684"/>
    <w:rsid w:val="00BB671F"/>
    <w:rsid w:val="00BB68B5"/>
    <w:rsid w:val="00BB68E3"/>
    <w:rsid w:val="00BB697E"/>
    <w:rsid w:val="00BB6985"/>
    <w:rsid w:val="00BB6BD4"/>
    <w:rsid w:val="00BB6BDB"/>
    <w:rsid w:val="00BB6D18"/>
    <w:rsid w:val="00BB6E3C"/>
    <w:rsid w:val="00BB6EA5"/>
    <w:rsid w:val="00BB70B0"/>
    <w:rsid w:val="00BB70F5"/>
    <w:rsid w:val="00BB7419"/>
    <w:rsid w:val="00BB7456"/>
    <w:rsid w:val="00BB746B"/>
    <w:rsid w:val="00BB748A"/>
    <w:rsid w:val="00BB7659"/>
    <w:rsid w:val="00BB766E"/>
    <w:rsid w:val="00BB767E"/>
    <w:rsid w:val="00BB76DA"/>
    <w:rsid w:val="00BB78A8"/>
    <w:rsid w:val="00BB795C"/>
    <w:rsid w:val="00BB7B7D"/>
    <w:rsid w:val="00BB7BC3"/>
    <w:rsid w:val="00BC0120"/>
    <w:rsid w:val="00BC01A0"/>
    <w:rsid w:val="00BC0221"/>
    <w:rsid w:val="00BC02B1"/>
    <w:rsid w:val="00BC0535"/>
    <w:rsid w:val="00BC05DB"/>
    <w:rsid w:val="00BC0661"/>
    <w:rsid w:val="00BC0713"/>
    <w:rsid w:val="00BC0CD5"/>
    <w:rsid w:val="00BC1053"/>
    <w:rsid w:val="00BC10BA"/>
    <w:rsid w:val="00BC10F6"/>
    <w:rsid w:val="00BC11B3"/>
    <w:rsid w:val="00BC134E"/>
    <w:rsid w:val="00BC1367"/>
    <w:rsid w:val="00BC1640"/>
    <w:rsid w:val="00BC173C"/>
    <w:rsid w:val="00BC173D"/>
    <w:rsid w:val="00BC1A2F"/>
    <w:rsid w:val="00BC1A96"/>
    <w:rsid w:val="00BC1ACE"/>
    <w:rsid w:val="00BC1BD1"/>
    <w:rsid w:val="00BC1CD7"/>
    <w:rsid w:val="00BC1CF2"/>
    <w:rsid w:val="00BC1D09"/>
    <w:rsid w:val="00BC1E89"/>
    <w:rsid w:val="00BC1EA8"/>
    <w:rsid w:val="00BC2064"/>
    <w:rsid w:val="00BC22E0"/>
    <w:rsid w:val="00BC230D"/>
    <w:rsid w:val="00BC25BE"/>
    <w:rsid w:val="00BC278D"/>
    <w:rsid w:val="00BC2849"/>
    <w:rsid w:val="00BC28A9"/>
    <w:rsid w:val="00BC290C"/>
    <w:rsid w:val="00BC2A8D"/>
    <w:rsid w:val="00BC2AD1"/>
    <w:rsid w:val="00BC2CC1"/>
    <w:rsid w:val="00BC2D3D"/>
    <w:rsid w:val="00BC2E9F"/>
    <w:rsid w:val="00BC2ED9"/>
    <w:rsid w:val="00BC3002"/>
    <w:rsid w:val="00BC310E"/>
    <w:rsid w:val="00BC318C"/>
    <w:rsid w:val="00BC34BF"/>
    <w:rsid w:val="00BC3584"/>
    <w:rsid w:val="00BC35DE"/>
    <w:rsid w:val="00BC36C2"/>
    <w:rsid w:val="00BC37CF"/>
    <w:rsid w:val="00BC37E0"/>
    <w:rsid w:val="00BC39D2"/>
    <w:rsid w:val="00BC3AE7"/>
    <w:rsid w:val="00BC40CF"/>
    <w:rsid w:val="00BC40D5"/>
    <w:rsid w:val="00BC40F4"/>
    <w:rsid w:val="00BC411D"/>
    <w:rsid w:val="00BC477A"/>
    <w:rsid w:val="00BC48CD"/>
    <w:rsid w:val="00BC48D4"/>
    <w:rsid w:val="00BC4938"/>
    <w:rsid w:val="00BC4ACE"/>
    <w:rsid w:val="00BC4B0E"/>
    <w:rsid w:val="00BC4BCB"/>
    <w:rsid w:val="00BC4D50"/>
    <w:rsid w:val="00BC4DA6"/>
    <w:rsid w:val="00BC4F5B"/>
    <w:rsid w:val="00BC550C"/>
    <w:rsid w:val="00BC5617"/>
    <w:rsid w:val="00BC5827"/>
    <w:rsid w:val="00BC5934"/>
    <w:rsid w:val="00BC5A38"/>
    <w:rsid w:val="00BC5BC3"/>
    <w:rsid w:val="00BC5BCB"/>
    <w:rsid w:val="00BC5C18"/>
    <w:rsid w:val="00BC5EF6"/>
    <w:rsid w:val="00BC5FD4"/>
    <w:rsid w:val="00BC61A1"/>
    <w:rsid w:val="00BC627E"/>
    <w:rsid w:val="00BC63B9"/>
    <w:rsid w:val="00BC63BE"/>
    <w:rsid w:val="00BC63D2"/>
    <w:rsid w:val="00BC657D"/>
    <w:rsid w:val="00BC65E0"/>
    <w:rsid w:val="00BC6704"/>
    <w:rsid w:val="00BC6939"/>
    <w:rsid w:val="00BC6B71"/>
    <w:rsid w:val="00BC6C60"/>
    <w:rsid w:val="00BC6D28"/>
    <w:rsid w:val="00BC6EDE"/>
    <w:rsid w:val="00BC700B"/>
    <w:rsid w:val="00BC70E9"/>
    <w:rsid w:val="00BC7210"/>
    <w:rsid w:val="00BC72B2"/>
    <w:rsid w:val="00BC74D0"/>
    <w:rsid w:val="00BC759A"/>
    <w:rsid w:val="00BC75C6"/>
    <w:rsid w:val="00BC79B0"/>
    <w:rsid w:val="00BC7D68"/>
    <w:rsid w:val="00BC7EEE"/>
    <w:rsid w:val="00BD019D"/>
    <w:rsid w:val="00BD0213"/>
    <w:rsid w:val="00BD02BB"/>
    <w:rsid w:val="00BD0475"/>
    <w:rsid w:val="00BD0580"/>
    <w:rsid w:val="00BD06D2"/>
    <w:rsid w:val="00BD0726"/>
    <w:rsid w:val="00BD0D53"/>
    <w:rsid w:val="00BD0D86"/>
    <w:rsid w:val="00BD0F04"/>
    <w:rsid w:val="00BD0F30"/>
    <w:rsid w:val="00BD103A"/>
    <w:rsid w:val="00BD10A0"/>
    <w:rsid w:val="00BD1266"/>
    <w:rsid w:val="00BD1268"/>
    <w:rsid w:val="00BD12E3"/>
    <w:rsid w:val="00BD14A2"/>
    <w:rsid w:val="00BD1764"/>
    <w:rsid w:val="00BD18B1"/>
    <w:rsid w:val="00BD18DF"/>
    <w:rsid w:val="00BD1960"/>
    <w:rsid w:val="00BD1963"/>
    <w:rsid w:val="00BD2105"/>
    <w:rsid w:val="00BD210B"/>
    <w:rsid w:val="00BD22E9"/>
    <w:rsid w:val="00BD2347"/>
    <w:rsid w:val="00BD234D"/>
    <w:rsid w:val="00BD234F"/>
    <w:rsid w:val="00BD23BA"/>
    <w:rsid w:val="00BD248D"/>
    <w:rsid w:val="00BD255E"/>
    <w:rsid w:val="00BD25AF"/>
    <w:rsid w:val="00BD25BC"/>
    <w:rsid w:val="00BD2646"/>
    <w:rsid w:val="00BD26E8"/>
    <w:rsid w:val="00BD27BA"/>
    <w:rsid w:val="00BD282E"/>
    <w:rsid w:val="00BD28EA"/>
    <w:rsid w:val="00BD2955"/>
    <w:rsid w:val="00BD2D3B"/>
    <w:rsid w:val="00BD3114"/>
    <w:rsid w:val="00BD3268"/>
    <w:rsid w:val="00BD363E"/>
    <w:rsid w:val="00BD38EC"/>
    <w:rsid w:val="00BD4064"/>
    <w:rsid w:val="00BD4411"/>
    <w:rsid w:val="00BD44DE"/>
    <w:rsid w:val="00BD4537"/>
    <w:rsid w:val="00BD4553"/>
    <w:rsid w:val="00BD4606"/>
    <w:rsid w:val="00BD481D"/>
    <w:rsid w:val="00BD49CF"/>
    <w:rsid w:val="00BD4D1A"/>
    <w:rsid w:val="00BD4D81"/>
    <w:rsid w:val="00BD4DD8"/>
    <w:rsid w:val="00BD50B2"/>
    <w:rsid w:val="00BD50C9"/>
    <w:rsid w:val="00BD50DE"/>
    <w:rsid w:val="00BD513D"/>
    <w:rsid w:val="00BD5157"/>
    <w:rsid w:val="00BD51C9"/>
    <w:rsid w:val="00BD51D9"/>
    <w:rsid w:val="00BD5239"/>
    <w:rsid w:val="00BD5340"/>
    <w:rsid w:val="00BD5489"/>
    <w:rsid w:val="00BD5605"/>
    <w:rsid w:val="00BD56A3"/>
    <w:rsid w:val="00BD56DF"/>
    <w:rsid w:val="00BD5967"/>
    <w:rsid w:val="00BD597B"/>
    <w:rsid w:val="00BD59AB"/>
    <w:rsid w:val="00BD5BC9"/>
    <w:rsid w:val="00BD5BDE"/>
    <w:rsid w:val="00BD5DBD"/>
    <w:rsid w:val="00BD5E00"/>
    <w:rsid w:val="00BD613B"/>
    <w:rsid w:val="00BD6368"/>
    <w:rsid w:val="00BD6431"/>
    <w:rsid w:val="00BD644C"/>
    <w:rsid w:val="00BD64AB"/>
    <w:rsid w:val="00BD65DD"/>
    <w:rsid w:val="00BD6606"/>
    <w:rsid w:val="00BD661F"/>
    <w:rsid w:val="00BD6718"/>
    <w:rsid w:val="00BD6BB9"/>
    <w:rsid w:val="00BD6EC9"/>
    <w:rsid w:val="00BD7059"/>
    <w:rsid w:val="00BD719C"/>
    <w:rsid w:val="00BD72F1"/>
    <w:rsid w:val="00BD74A1"/>
    <w:rsid w:val="00BD757E"/>
    <w:rsid w:val="00BD76DB"/>
    <w:rsid w:val="00BD7726"/>
    <w:rsid w:val="00BD7832"/>
    <w:rsid w:val="00BD789A"/>
    <w:rsid w:val="00BD791C"/>
    <w:rsid w:val="00BD7953"/>
    <w:rsid w:val="00BD79DC"/>
    <w:rsid w:val="00BD7ADE"/>
    <w:rsid w:val="00BD7C4E"/>
    <w:rsid w:val="00BD7EA0"/>
    <w:rsid w:val="00BD7F2F"/>
    <w:rsid w:val="00BE0034"/>
    <w:rsid w:val="00BE012C"/>
    <w:rsid w:val="00BE0148"/>
    <w:rsid w:val="00BE0391"/>
    <w:rsid w:val="00BE04F4"/>
    <w:rsid w:val="00BE0500"/>
    <w:rsid w:val="00BE0649"/>
    <w:rsid w:val="00BE06E2"/>
    <w:rsid w:val="00BE086A"/>
    <w:rsid w:val="00BE0A7A"/>
    <w:rsid w:val="00BE0B5F"/>
    <w:rsid w:val="00BE0D45"/>
    <w:rsid w:val="00BE0E59"/>
    <w:rsid w:val="00BE0E80"/>
    <w:rsid w:val="00BE0EF7"/>
    <w:rsid w:val="00BE1064"/>
    <w:rsid w:val="00BE10B6"/>
    <w:rsid w:val="00BE1181"/>
    <w:rsid w:val="00BE11C3"/>
    <w:rsid w:val="00BE1245"/>
    <w:rsid w:val="00BE1333"/>
    <w:rsid w:val="00BE14D5"/>
    <w:rsid w:val="00BE1720"/>
    <w:rsid w:val="00BE189D"/>
    <w:rsid w:val="00BE191E"/>
    <w:rsid w:val="00BE19D4"/>
    <w:rsid w:val="00BE1F81"/>
    <w:rsid w:val="00BE21A4"/>
    <w:rsid w:val="00BE22E9"/>
    <w:rsid w:val="00BE248E"/>
    <w:rsid w:val="00BE2492"/>
    <w:rsid w:val="00BE26BB"/>
    <w:rsid w:val="00BE27C9"/>
    <w:rsid w:val="00BE2856"/>
    <w:rsid w:val="00BE2916"/>
    <w:rsid w:val="00BE2A0B"/>
    <w:rsid w:val="00BE2A4F"/>
    <w:rsid w:val="00BE2C0A"/>
    <w:rsid w:val="00BE2F5E"/>
    <w:rsid w:val="00BE3109"/>
    <w:rsid w:val="00BE31CA"/>
    <w:rsid w:val="00BE31DC"/>
    <w:rsid w:val="00BE3358"/>
    <w:rsid w:val="00BE33EC"/>
    <w:rsid w:val="00BE3520"/>
    <w:rsid w:val="00BE388C"/>
    <w:rsid w:val="00BE38DC"/>
    <w:rsid w:val="00BE3A3A"/>
    <w:rsid w:val="00BE3B0E"/>
    <w:rsid w:val="00BE3C14"/>
    <w:rsid w:val="00BE3C98"/>
    <w:rsid w:val="00BE3DF8"/>
    <w:rsid w:val="00BE3E68"/>
    <w:rsid w:val="00BE3F01"/>
    <w:rsid w:val="00BE4173"/>
    <w:rsid w:val="00BE43DD"/>
    <w:rsid w:val="00BE43E2"/>
    <w:rsid w:val="00BE4592"/>
    <w:rsid w:val="00BE468D"/>
    <w:rsid w:val="00BE472E"/>
    <w:rsid w:val="00BE48D3"/>
    <w:rsid w:val="00BE49A2"/>
    <w:rsid w:val="00BE4A48"/>
    <w:rsid w:val="00BE4ABD"/>
    <w:rsid w:val="00BE4B6A"/>
    <w:rsid w:val="00BE4E86"/>
    <w:rsid w:val="00BE52E0"/>
    <w:rsid w:val="00BE5458"/>
    <w:rsid w:val="00BE54C5"/>
    <w:rsid w:val="00BE5590"/>
    <w:rsid w:val="00BE56A3"/>
    <w:rsid w:val="00BE57DC"/>
    <w:rsid w:val="00BE5BB7"/>
    <w:rsid w:val="00BE5E0E"/>
    <w:rsid w:val="00BE60BA"/>
    <w:rsid w:val="00BE6114"/>
    <w:rsid w:val="00BE61AC"/>
    <w:rsid w:val="00BE620B"/>
    <w:rsid w:val="00BE6357"/>
    <w:rsid w:val="00BE63FF"/>
    <w:rsid w:val="00BE6442"/>
    <w:rsid w:val="00BE665C"/>
    <w:rsid w:val="00BE6692"/>
    <w:rsid w:val="00BE6723"/>
    <w:rsid w:val="00BE6751"/>
    <w:rsid w:val="00BE68D7"/>
    <w:rsid w:val="00BE6B2D"/>
    <w:rsid w:val="00BE6C95"/>
    <w:rsid w:val="00BE6CD9"/>
    <w:rsid w:val="00BE6DEA"/>
    <w:rsid w:val="00BE706E"/>
    <w:rsid w:val="00BE70C5"/>
    <w:rsid w:val="00BE7139"/>
    <w:rsid w:val="00BE7345"/>
    <w:rsid w:val="00BE7412"/>
    <w:rsid w:val="00BE7426"/>
    <w:rsid w:val="00BE746D"/>
    <w:rsid w:val="00BE763D"/>
    <w:rsid w:val="00BE779A"/>
    <w:rsid w:val="00BE77D3"/>
    <w:rsid w:val="00BE7828"/>
    <w:rsid w:val="00BE79B9"/>
    <w:rsid w:val="00BE79C2"/>
    <w:rsid w:val="00BE7C5E"/>
    <w:rsid w:val="00BE7F26"/>
    <w:rsid w:val="00BF0119"/>
    <w:rsid w:val="00BF02BF"/>
    <w:rsid w:val="00BF02E8"/>
    <w:rsid w:val="00BF07AF"/>
    <w:rsid w:val="00BF082C"/>
    <w:rsid w:val="00BF08B7"/>
    <w:rsid w:val="00BF095B"/>
    <w:rsid w:val="00BF0C1F"/>
    <w:rsid w:val="00BF0D6F"/>
    <w:rsid w:val="00BF0DEA"/>
    <w:rsid w:val="00BF0E09"/>
    <w:rsid w:val="00BF0EC2"/>
    <w:rsid w:val="00BF0F1C"/>
    <w:rsid w:val="00BF0F83"/>
    <w:rsid w:val="00BF122E"/>
    <w:rsid w:val="00BF1289"/>
    <w:rsid w:val="00BF12D4"/>
    <w:rsid w:val="00BF136F"/>
    <w:rsid w:val="00BF157F"/>
    <w:rsid w:val="00BF17FB"/>
    <w:rsid w:val="00BF1937"/>
    <w:rsid w:val="00BF19DB"/>
    <w:rsid w:val="00BF19F5"/>
    <w:rsid w:val="00BF1A6A"/>
    <w:rsid w:val="00BF1AFC"/>
    <w:rsid w:val="00BF1BC4"/>
    <w:rsid w:val="00BF1C67"/>
    <w:rsid w:val="00BF1E5D"/>
    <w:rsid w:val="00BF1E6D"/>
    <w:rsid w:val="00BF216A"/>
    <w:rsid w:val="00BF2421"/>
    <w:rsid w:val="00BF24EF"/>
    <w:rsid w:val="00BF25F8"/>
    <w:rsid w:val="00BF2795"/>
    <w:rsid w:val="00BF2808"/>
    <w:rsid w:val="00BF2814"/>
    <w:rsid w:val="00BF2C0C"/>
    <w:rsid w:val="00BF2D4A"/>
    <w:rsid w:val="00BF302B"/>
    <w:rsid w:val="00BF30C4"/>
    <w:rsid w:val="00BF325A"/>
    <w:rsid w:val="00BF32F5"/>
    <w:rsid w:val="00BF3491"/>
    <w:rsid w:val="00BF3521"/>
    <w:rsid w:val="00BF3667"/>
    <w:rsid w:val="00BF36BC"/>
    <w:rsid w:val="00BF37F7"/>
    <w:rsid w:val="00BF3823"/>
    <w:rsid w:val="00BF3859"/>
    <w:rsid w:val="00BF390A"/>
    <w:rsid w:val="00BF3A78"/>
    <w:rsid w:val="00BF3B37"/>
    <w:rsid w:val="00BF3F1A"/>
    <w:rsid w:val="00BF403D"/>
    <w:rsid w:val="00BF4089"/>
    <w:rsid w:val="00BF40B9"/>
    <w:rsid w:val="00BF40E9"/>
    <w:rsid w:val="00BF4111"/>
    <w:rsid w:val="00BF434D"/>
    <w:rsid w:val="00BF4505"/>
    <w:rsid w:val="00BF45BF"/>
    <w:rsid w:val="00BF481F"/>
    <w:rsid w:val="00BF49A4"/>
    <w:rsid w:val="00BF4ADF"/>
    <w:rsid w:val="00BF4BE0"/>
    <w:rsid w:val="00BF4C47"/>
    <w:rsid w:val="00BF4D21"/>
    <w:rsid w:val="00BF4D33"/>
    <w:rsid w:val="00BF4E27"/>
    <w:rsid w:val="00BF502C"/>
    <w:rsid w:val="00BF5065"/>
    <w:rsid w:val="00BF511F"/>
    <w:rsid w:val="00BF513A"/>
    <w:rsid w:val="00BF51A3"/>
    <w:rsid w:val="00BF51EB"/>
    <w:rsid w:val="00BF529D"/>
    <w:rsid w:val="00BF5386"/>
    <w:rsid w:val="00BF5497"/>
    <w:rsid w:val="00BF556B"/>
    <w:rsid w:val="00BF55CB"/>
    <w:rsid w:val="00BF5630"/>
    <w:rsid w:val="00BF58C3"/>
    <w:rsid w:val="00BF58DF"/>
    <w:rsid w:val="00BF5ACF"/>
    <w:rsid w:val="00BF5AEF"/>
    <w:rsid w:val="00BF5C7C"/>
    <w:rsid w:val="00BF5F1D"/>
    <w:rsid w:val="00BF5F5B"/>
    <w:rsid w:val="00BF6580"/>
    <w:rsid w:val="00BF689F"/>
    <w:rsid w:val="00BF68ED"/>
    <w:rsid w:val="00BF6CFC"/>
    <w:rsid w:val="00BF6E87"/>
    <w:rsid w:val="00BF732C"/>
    <w:rsid w:val="00BF7402"/>
    <w:rsid w:val="00BF741C"/>
    <w:rsid w:val="00BF75A2"/>
    <w:rsid w:val="00BF761A"/>
    <w:rsid w:val="00BF7876"/>
    <w:rsid w:val="00BF789F"/>
    <w:rsid w:val="00BF7A7C"/>
    <w:rsid w:val="00BF7B13"/>
    <w:rsid w:val="00BF7D5F"/>
    <w:rsid w:val="00BF7D82"/>
    <w:rsid w:val="00C00278"/>
    <w:rsid w:val="00C005AF"/>
    <w:rsid w:val="00C00921"/>
    <w:rsid w:val="00C0099F"/>
    <w:rsid w:val="00C009E2"/>
    <w:rsid w:val="00C00A42"/>
    <w:rsid w:val="00C00CF2"/>
    <w:rsid w:val="00C00DBF"/>
    <w:rsid w:val="00C00FC3"/>
    <w:rsid w:val="00C01002"/>
    <w:rsid w:val="00C01113"/>
    <w:rsid w:val="00C01383"/>
    <w:rsid w:val="00C0158A"/>
    <w:rsid w:val="00C015AD"/>
    <w:rsid w:val="00C01989"/>
    <w:rsid w:val="00C01A4A"/>
    <w:rsid w:val="00C01C88"/>
    <w:rsid w:val="00C01DA7"/>
    <w:rsid w:val="00C02088"/>
    <w:rsid w:val="00C020E1"/>
    <w:rsid w:val="00C0211D"/>
    <w:rsid w:val="00C021A4"/>
    <w:rsid w:val="00C021F6"/>
    <w:rsid w:val="00C025FB"/>
    <w:rsid w:val="00C02711"/>
    <w:rsid w:val="00C028D7"/>
    <w:rsid w:val="00C0292A"/>
    <w:rsid w:val="00C02C4D"/>
    <w:rsid w:val="00C02C9A"/>
    <w:rsid w:val="00C02E64"/>
    <w:rsid w:val="00C02E86"/>
    <w:rsid w:val="00C03134"/>
    <w:rsid w:val="00C0317E"/>
    <w:rsid w:val="00C03213"/>
    <w:rsid w:val="00C032BB"/>
    <w:rsid w:val="00C03334"/>
    <w:rsid w:val="00C034E4"/>
    <w:rsid w:val="00C0359D"/>
    <w:rsid w:val="00C0376C"/>
    <w:rsid w:val="00C038D4"/>
    <w:rsid w:val="00C038EA"/>
    <w:rsid w:val="00C039EE"/>
    <w:rsid w:val="00C03A46"/>
    <w:rsid w:val="00C03C2A"/>
    <w:rsid w:val="00C03F3C"/>
    <w:rsid w:val="00C040D5"/>
    <w:rsid w:val="00C040D9"/>
    <w:rsid w:val="00C04235"/>
    <w:rsid w:val="00C0427F"/>
    <w:rsid w:val="00C0434E"/>
    <w:rsid w:val="00C0444E"/>
    <w:rsid w:val="00C0453D"/>
    <w:rsid w:val="00C04711"/>
    <w:rsid w:val="00C0478F"/>
    <w:rsid w:val="00C0494D"/>
    <w:rsid w:val="00C04959"/>
    <w:rsid w:val="00C04A5E"/>
    <w:rsid w:val="00C04B97"/>
    <w:rsid w:val="00C04BBD"/>
    <w:rsid w:val="00C04C74"/>
    <w:rsid w:val="00C04D90"/>
    <w:rsid w:val="00C04F31"/>
    <w:rsid w:val="00C04FA7"/>
    <w:rsid w:val="00C0515B"/>
    <w:rsid w:val="00C051D3"/>
    <w:rsid w:val="00C05344"/>
    <w:rsid w:val="00C05882"/>
    <w:rsid w:val="00C0593A"/>
    <w:rsid w:val="00C05CAF"/>
    <w:rsid w:val="00C06100"/>
    <w:rsid w:val="00C06117"/>
    <w:rsid w:val="00C0613A"/>
    <w:rsid w:val="00C061AB"/>
    <w:rsid w:val="00C061E8"/>
    <w:rsid w:val="00C06220"/>
    <w:rsid w:val="00C062FF"/>
    <w:rsid w:val="00C063DA"/>
    <w:rsid w:val="00C0643A"/>
    <w:rsid w:val="00C0660A"/>
    <w:rsid w:val="00C06C2E"/>
    <w:rsid w:val="00C06CCA"/>
    <w:rsid w:val="00C06EBB"/>
    <w:rsid w:val="00C06F79"/>
    <w:rsid w:val="00C07034"/>
    <w:rsid w:val="00C07193"/>
    <w:rsid w:val="00C07334"/>
    <w:rsid w:val="00C07428"/>
    <w:rsid w:val="00C07833"/>
    <w:rsid w:val="00C0789D"/>
    <w:rsid w:val="00C07A04"/>
    <w:rsid w:val="00C07BE7"/>
    <w:rsid w:val="00C07C12"/>
    <w:rsid w:val="00C07DF6"/>
    <w:rsid w:val="00C07E23"/>
    <w:rsid w:val="00C101B8"/>
    <w:rsid w:val="00C101DC"/>
    <w:rsid w:val="00C10288"/>
    <w:rsid w:val="00C1036D"/>
    <w:rsid w:val="00C1052B"/>
    <w:rsid w:val="00C10956"/>
    <w:rsid w:val="00C10AC1"/>
    <w:rsid w:val="00C10B0D"/>
    <w:rsid w:val="00C10C7C"/>
    <w:rsid w:val="00C10DDD"/>
    <w:rsid w:val="00C10E73"/>
    <w:rsid w:val="00C10F3D"/>
    <w:rsid w:val="00C10F45"/>
    <w:rsid w:val="00C111E5"/>
    <w:rsid w:val="00C11239"/>
    <w:rsid w:val="00C112E6"/>
    <w:rsid w:val="00C11563"/>
    <w:rsid w:val="00C116C4"/>
    <w:rsid w:val="00C1184C"/>
    <w:rsid w:val="00C11B9A"/>
    <w:rsid w:val="00C11FC1"/>
    <w:rsid w:val="00C12008"/>
    <w:rsid w:val="00C122B1"/>
    <w:rsid w:val="00C123C8"/>
    <w:rsid w:val="00C123E4"/>
    <w:rsid w:val="00C12453"/>
    <w:rsid w:val="00C12483"/>
    <w:rsid w:val="00C124AA"/>
    <w:rsid w:val="00C124C5"/>
    <w:rsid w:val="00C1259D"/>
    <w:rsid w:val="00C125BC"/>
    <w:rsid w:val="00C125CB"/>
    <w:rsid w:val="00C126B7"/>
    <w:rsid w:val="00C1283B"/>
    <w:rsid w:val="00C12978"/>
    <w:rsid w:val="00C12B61"/>
    <w:rsid w:val="00C12BE7"/>
    <w:rsid w:val="00C12CB2"/>
    <w:rsid w:val="00C12EA9"/>
    <w:rsid w:val="00C12FFB"/>
    <w:rsid w:val="00C131B8"/>
    <w:rsid w:val="00C13289"/>
    <w:rsid w:val="00C13446"/>
    <w:rsid w:val="00C13653"/>
    <w:rsid w:val="00C136DC"/>
    <w:rsid w:val="00C138A4"/>
    <w:rsid w:val="00C13A6C"/>
    <w:rsid w:val="00C13BCB"/>
    <w:rsid w:val="00C13C21"/>
    <w:rsid w:val="00C13E65"/>
    <w:rsid w:val="00C13EA9"/>
    <w:rsid w:val="00C13F34"/>
    <w:rsid w:val="00C14145"/>
    <w:rsid w:val="00C143AA"/>
    <w:rsid w:val="00C1484A"/>
    <w:rsid w:val="00C14944"/>
    <w:rsid w:val="00C1494D"/>
    <w:rsid w:val="00C14E59"/>
    <w:rsid w:val="00C14F7B"/>
    <w:rsid w:val="00C15016"/>
    <w:rsid w:val="00C1518F"/>
    <w:rsid w:val="00C152EA"/>
    <w:rsid w:val="00C15318"/>
    <w:rsid w:val="00C1531D"/>
    <w:rsid w:val="00C15458"/>
    <w:rsid w:val="00C154E5"/>
    <w:rsid w:val="00C15845"/>
    <w:rsid w:val="00C159C5"/>
    <w:rsid w:val="00C15A27"/>
    <w:rsid w:val="00C15B22"/>
    <w:rsid w:val="00C15D29"/>
    <w:rsid w:val="00C160E7"/>
    <w:rsid w:val="00C165E2"/>
    <w:rsid w:val="00C16612"/>
    <w:rsid w:val="00C16690"/>
    <w:rsid w:val="00C167F1"/>
    <w:rsid w:val="00C1694A"/>
    <w:rsid w:val="00C1698A"/>
    <w:rsid w:val="00C16A9B"/>
    <w:rsid w:val="00C16ACE"/>
    <w:rsid w:val="00C16BBC"/>
    <w:rsid w:val="00C16C65"/>
    <w:rsid w:val="00C16E04"/>
    <w:rsid w:val="00C16E20"/>
    <w:rsid w:val="00C16E85"/>
    <w:rsid w:val="00C16E86"/>
    <w:rsid w:val="00C16FDE"/>
    <w:rsid w:val="00C1724E"/>
    <w:rsid w:val="00C17455"/>
    <w:rsid w:val="00C1745B"/>
    <w:rsid w:val="00C17478"/>
    <w:rsid w:val="00C1747E"/>
    <w:rsid w:val="00C176D2"/>
    <w:rsid w:val="00C177EF"/>
    <w:rsid w:val="00C17805"/>
    <w:rsid w:val="00C178BF"/>
    <w:rsid w:val="00C17911"/>
    <w:rsid w:val="00C1792D"/>
    <w:rsid w:val="00C17A9A"/>
    <w:rsid w:val="00C17AA5"/>
    <w:rsid w:val="00C17C5C"/>
    <w:rsid w:val="00C17FBB"/>
    <w:rsid w:val="00C2002C"/>
    <w:rsid w:val="00C20031"/>
    <w:rsid w:val="00C20037"/>
    <w:rsid w:val="00C201D2"/>
    <w:rsid w:val="00C202D5"/>
    <w:rsid w:val="00C20464"/>
    <w:rsid w:val="00C205BA"/>
    <w:rsid w:val="00C20717"/>
    <w:rsid w:val="00C20934"/>
    <w:rsid w:val="00C20BE3"/>
    <w:rsid w:val="00C20C6C"/>
    <w:rsid w:val="00C20C8C"/>
    <w:rsid w:val="00C20DB1"/>
    <w:rsid w:val="00C20DBA"/>
    <w:rsid w:val="00C20E45"/>
    <w:rsid w:val="00C20E6F"/>
    <w:rsid w:val="00C2118E"/>
    <w:rsid w:val="00C211E9"/>
    <w:rsid w:val="00C2132E"/>
    <w:rsid w:val="00C21677"/>
    <w:rsid w:val="00C216AE"/>
    <w:rsid w:val="00C216EC"/>
    <w:rsid w:val="00C2175E"/>
    <w:rsid w:val="00C21A18"/>
    <w:rsid w:val="00C21C0C"/>
    <w:rsid w:val="00C21DA2"/>
    <w:rsid w:val="00C21DB1"/>
    <w:rsid w:val="00C21F5B"/>
    <w:rsid w:val="00C21F71"/>
    <w:rsid w:val="00C21FC3"/>
    <w:rsid w:val="00C22146"/>
    <w:rsid w:val="00C22175"/>
    <w:rsid w:val="00C2252A"/>
    <w:rsid w:val="00C2258B"/>
    <w:rsid w:val="00C22740"/>
    <w:rsid w:val="00C227CD"/>
    <w:rsid w:val="00C228D5"/>
    <w:rsid w:val="00C2297E"/>
    <w:rsid w:val="00C22ADD"/>
    <w:rsid w:val="00C22B42"/>
    <w:rsid w:val="00C22E18"/>
    <w:rsid w:val="00C22F95"/>
    <w:rsid w:val="00C22FC5"/>
    <w:rsid w:val="00C22FD1"/>
    <w:rsid w:val="00C2302A"/>
    <w:rsid w:val="00C233B2"/>
    <w:rsid w:val="00C23497"/>
    <w:rsid w:val="00C23529"/>
    <w:rsid w:val="00C2357D"/>
    <w:rsid w:val="00C235C6"/>
    <w:rsid w:val="00C23694"/>
    <w:rsid w:val="00C238E8"/>
    <w:rsid w:val="00C2399D"/>
    <w:rsid w:val="00C239A9"/>
    <w:rsid w:val="00C23A7F"/>
    <w:rsid w:val="00C23AA9"/>
    <w:rsid w:val="00C23ADE"/>
    <w:rsid w:val="00C23B64"/>
    <w:rsid w:val="00C23D00"/>
    <w:rsid w:val="00C2400F"/>
    <w:rsid w:val="00C24041"/>
    <w:rsid w:val="00C24049"/>
    <w:rsid w:val="00C2409F"/>
    <w:rsid w:val="00C24118"/>
    <w:rsid w:val="00C24144"/>
    <w:rsid w:val="00C24149"/>
    <w:rsid w:val="00C243C4"/>
    <w:rsid w:val="00C24475"/>
    <w:rsid w:val="00C24621"/>
    <w:rsid w:val="00C248AB"/>
    <w:rsid w:val="00C249E9"/>
    <w:rsid w:val="00C24A2C"/>
    <w:rsid w:val="00C24B33"/>
    <w:rsid w:val="00C24CDF"/>
    <w:rsid w:val="00C24E06"/>
    <w:rsid w:val="00C2504B"/>
    <w:rsid w:val="00C25057"/>
    <w:rsid w:val="00C25315"/>
    <w:rsid w:val="00C253D8"/>
    <w:rsid w:val="00C254E7"/>
    <w:rsid w:val="00C25616"/>
    <w:rsid w:val="00C256A7"/>
    <w:rsid w:val="00C256F0"/>
    <w:rsid w:val="00C2580E"/>
    <w:rsid w:val="00C25819"/>
    <w:rsid w:val="00C25A2C"/>
    <w:rsid w:val="00C25B4A"/>
    <w:rsid w:val="00C25C8C"/>
    <w:rsid w:val="00C25CA7"/>
    <w:rsid w:val="00C25D2A"/>
    <w:rsid w:val="00C25D6E"/>
    <w:rsid w:val="00C25DE0"/>
    <w:rsid w:val="00C25E12"/>
    <w:rsid w:val="00C2608D"/>
    <w:rsid w:val="00C26105"/>
    <w:rsid w:val="00C2615C"/>
    <w:rsid w:val="00C26272"/>
    <w:rsid w:val="00C262C5"/>
    <w:rsid w:val="00C263DD"/>
    <w:rsid w:val="00C268AB"/>
    <w:rsid w:val="00C26907"/>
    <w:rsid w:val="00C26A98"/>
    <w:rsid w:val="00C26C73"/>
    <w:rsid w:val="00C26C7B"/>
    <w:rsid w:val="00C26D23"/>
    <w:rsid w:val="00C26D6E"/>
    <w:rsid w:val="00C271AD"/>
    <w:rsid w:val="00C271F4"/>
    <w:rsid w:val="00C2731D"/>
    <w:rsid w:val="00C2769A"/>
    <w:rsid w:val="00C27AC3"/>
    <w:rsid w:val="00C27B69"/>
    <w:rsid w:val="00C27BC4"/>
    <w:rsid w:val="00C27C23"/>
    <w:rsid w:val="00C27C7E"/>
    <w:rsid w:val="00C27F78"/>
    <w:rsid w:val="00C3005C"/>
    <w:rsid w:val="00C30377"/>
    <w:rsid w:val="00C304C1"/>
    <w:rsid w:val="00C304C5"/>
    <w:rsid w:val="00C306A1"/>
    <w:rsid w:val="00C306DF"/>
    <w:rsid w:val="00C3084D"/>
    <w:rsid w:val="00C308C5"/>
    <w:rsid w:val="00C30935"/>
    <w:rsid w:val="00C30A15"/>
    <w:rsid w:val="00C30A79"/>
    <w:rsid w:val="00C30ABB"/>
    <w:rsid w:val="00C30E19"/>
    <w:rsid w:val="00C30E65"/>
    <w:rsid w:val="00C30F5D"/>
    <w:rsid w:val="00C3108C"/>
    <w:rsid w:val="00C31109"/>
    <w:rsid w:val="00C311EC"/>
    <w:rsid w:val="00C313AC"/>
    <w:rsid w:val="00C31439"/>
    <w:rsid w:val="00C314BE"/>
    <w:rsid w:val="00C316E9"/>
    <w:rsid w:val="00C31899"/>
    <w:rsid w:val="00C31AD7"/>
    <w:rsid w:val="00C31AE0"/>
    <w:rsid w:val="00C31B9C"/>
    <w:rsid w:val="00C31D0F"/>
    <w:rsid w:val="00C32040"/>
    <w:rsid w:val="00C320A3"/>
    <w:rsid w:val="00C320E2"/>
    <w:rsid w:val="00C3242B"/>
    <w:rsid w:val="00C327F2"/>
    <w:rsid w:val="00C32830"/>
    <w:rsid w:val="00C3283B"/>
    <w:rsid w:val="00C32935"/>
    <w:rsid w:val="00C32978"/>
    <w:rsid w:val="00C32C06"/>
    <w:rsid w:val="00C32CF4"/>
    <w:rsid w:val="00C32D4D"/>
    <w:rsid w:val="00C32E3C"/>
    <w:rsid w:val="00C32F2A"/>
    <w:rsid w:val="00C3302B"/>
    <w:rsid w:val="00C330B9"/>
    <w:rsid w:val="00C33191"/>
    <w:rsid w:val="00C33282"/>
    <w:rsid w:val="00C3345C"/>
    <w:rsid w:val="00C33524"/>
    <w:rsid w:val="00C3356E"/>
    <w:rsid w:val="00C335BA"/>
    <w:rsid w:val="00C336EF"/>
    <w:rsid w:val="00C3384F"/>
    <w:rsid w:val="00C33864"/>
    <w:rsid w:val="00C33BC9"/>
    <w:rsid w:val="00C33BD8"/>
    <w:rsid w:val="00C33E6F"/>
    <w:rsid w:val="00C33ECA"/>
    <w:rsid w:val="00C33EF1"/>
    <w:rsid w:val="00C33FCF"/>
    <w:rsid w:val="00C34156"/>
    <w:rsid w:val="00C34417"/>
    <w:rsid w:val="00C3458D"/>
    <w:rsid w:val="00C345C8"/>
    <w:rsid w:val="00C3466C"/>
    <w:rsid w:val="00C3473F"/>
    <w:rsid w:val="00C34998"/>
    <w:rsid w:val="00C34B40"/>
    <w:rsid w:val="00C34B48"/>
    <w:rsid w:val="00C34B7B"/>
    <w:rsid w:val="00C34BFF"/>
    <w:rsid w:val="00C34CFF"/>
    <w:rsid w:val="00C34E30"/>
    <w:rsid w:val="00C34EB7"/>
    <w:rsid w:val="00C34EE2"/>
    <w:rsid w:val="00C34F2D"/>
    <w:rsid w:val="00C350C7"/>
    <w:rsid w:val="00C3514D"/>
    <w:rsid w:val="00C35223"/>
    <w:rsid w:val="00C352C3"/>
    <w:rsid w:val="00C353BF"/>
    <w:rsid w:val="00C3540C"/>
    <w:rsid w:val="00C35469"/>
    <w:rsid w:val="00C3551C"/>
    <w:rsid w:val="00C35557"/>
    <w:rsid w:val="00C35570"/>
    <w:rsid w:val="00C355FD"/>
    <w:rsid w:val="00C35780"/>
    <w:rsid w:val="00C3583E"/>
    <w:rsid w:val="00C35886"/>
    <w:rsid w:val="00C358FA"/>
    <w:rsid w:val="00C35930"/>
    <w:rsid w:val="00C35CC4"/>
    <w:rsid w:val="00C35E52"/>
    <w:rsid w:val="00C35E98"/>
    <w:rsid w:val="00C363F7"/>
    <w:rsid w:val="00C3644D"/>
    <w:rsid w:val="00C364B5"/>
    <w:rsid w:val="00C365B7"/>
    <w:rsid w:val="00C368F4"/>
    <w:rsid w:val="00C36B0E"/>
    <w:rsid w:val="00C36D53"/>
    <w:rsid w:val="00C36E4A"/>
    <w:rsid w:val="00C36ED8"/>
    <w:rsid w:val="00C36EFD"/>
    <w:rsid w:val="00C36F55"/>
    <w:rsid w:val="00C3705E"/>
    <w:rsid w:val="00C37152"/>
    <w:rsid w:val="00C3734D"/>
    <w:rsid w:val="00C37399"/>
    <w:rsid w:val="00C373D8"/>
    <w:rsid w:val="00C377ED"/>
    <w:rsid w:val="00C379DC"/>
    <w:rsid w:val="00C37B74"/>
    <w:rsid w:val="00C37BBB"/>
    <w:rsid w:val="00C37BD7"/>
    <w:rsid w:val="00C37BE5"/>
    <w:rsid w:val="00C37C9C"/>
    <w:rsid w:val="00C37CCF"/>
    <w:rsid w:val="00C37CDA"/>
    <w:rsid w:val="00C40026"/>
    <w:rsid w:val="00C40038"/>
    <w:rsid w:val="00C402A4"/>
    <w:rsid w:val="00C40334"/>
    <w:rsid w:val="00C404A9"/>
    <w:rsid w:val="00C404D4"/>
    <w:rsid w:val="00C404FE"/>
    <w:rsid w:val="00C405B9"/>
    <w:rsid w:val="00C405D3"/>
    <w:rsid w:val="00C40661"/>
    <w:rsid w:val="00C406F0"/>
    <w:rsid w:val="00C40709"/>
    <w:rsid w:val="00C407C3"/>
    <w:rsid w:val="00C40835"/>
    <w:rsid w:val="00C408EC"/>
    <w:rsid w:val="00C4095D"/>
    <w:rsid w:val="00C40AB8"/>
    <w:rsid w:val="00C40AD0"/>
    <w:rsid w:val="00C40ED1"/>
    <w:rsid w:val="00C41135"/>
    <w:rsid w:val="00C41167"/>
    <w:rsid w:val="00C41389"/>
    <w:rsid w:val="00C41397"/>
    <w:rsid w:val="00C4151F"/>
    <w:rsid w:val="00C415AB"/>
    <w:rsid w:val="00C4162D"/>
    <w:rsid w:val="00C4175D"/>
    <w:rsid w:val="00C4187F"/>
    <w:rsid w:val="00C418C8"/>
    <w:rsid w:val="00C41A07"/>
    <w:rsid w:val="00C41A44"/>
    <w:rsid w:val="00C41AB2"/>
    <w:rsid w:val="00C41BA6"/>
    <w:rsid w:val="00C41BF1"/>
    <w:rsid w:val="00C41C2B"/>
    <w:rsid w:val="00C41C4F"/>
    <w:rsid w:val="00C41D82"/>
    <w:rsid w:val="00C41DFF"/>
    <w:rsid w:val="00C41FA1"/>
    <w:rsid w:val="00C4202E"/>
    <w:rsid w:val="00C42182"/>
    <w:rsid w:val="00C422EF"/>
    <w:rsid w:val="00C42415"/>
    <w:rsid w:val="00C4241E"/>
    <w:rsid w:val="00C428E9"/>
    <w:rsid w:val="00C4298F"/>
    <w:rsid w:val="00C42A4D"/>
    <w:rsid w:val="00C42AB6"/>
    <w:rsid w:val="00C42B7D"/>
    <w:rsid w:val="00C42BA0"/>
    <w:rsid w:val="00C42DAD"/>
    <w:rsid w:val="00C42DFD"/>
    <w:rsid w:val="00C430B6"/>
    <w:rsid w:val="00C430E8"/>
    <w:rsid w:val="00C43238"/>
    <w:rsid w:val="00C43641"/>
    <w:rsid w:val="00C4376A"/>
    <w:rsid w:val="00C43856"/>
    <w:rsid w:val="00C4393F"/>
    <w:rsid w:val="00C43947"/>
    <w:rsid w:val="00C43A06"/>
    <w:rsid w:val="00C43C19"/>
    <w:rsid w:val="00C43D52"/>
    <w:rsid w:val="00C43D78"/>
    <w:rsid w:val="00C43F97"/>
    <w:rsid w:val="00C44063"/>
    <w:rsid w:val="00C4410E"/>
    <w:rsid w:val="00C441FF"/>
    <w:rsid w:val="00C4452A"/>
    <w:rsid w:val="00C447B1"/>
    <w:rsid w:val="00C447FB"/>
    <w:rsid w:val="00C44801"/>
    <w:rsid w:val="00C44813"/>
    <w:rsid w:val="00C4485C"/>
    <w:rsid w:val="00C44A0B"/>
    <w:rsid w:val="00C44AAC"/>
    <w:rsid w:val="00C44B46"/>
    <w:rsid w:val="00C44DDF"/>
    <w:rsid w:val="00C44F5A"/>
    <w:rsid w:val="00C44FC7"/>
    <w:rsid w:val="00C450CA"/>
    <w:rsid w:val="00C451F3"/>
    <w:rsid w:val="00C45250"/>
    <w:rsid w:val="00C453C2"/>
    <w:rsid w:val="00C45481"/>
    <w:rsid w:val="00C455A7"/>
    <w:rsid w:val="00C455AC"/>
    <w:rsid w:val="00C456B5"/>
    <w:rsid w:val="00C457BD"/>
    <w:rsid w:val="00C45C01"/>
    <w:rsid w:val="00C45C5B"/>
    <w:rsid w:val="00C45DF6"/>
    <w:rsid w:val="00C45EFD"/>
    <w:rsid w:val="00C45F51"/>
    <w:rsid w:val="00C463A0"/>
    <w:rsid w:val="00C46487"/>
    <w:rsid w:val="00C46522"/>
    <w:rsid w:val="00C46525"/>
    <w:rsid w:val="00C46607"/>
    <w:rsid w:val="00C46619"/>
    <w:rsid w:val="00C46775"/>
    <w:rsid w:val="00C46811"/>
    <w:rsid w:val="00C46934"/>
    <w:rsid w:val="00C46ACA"/>
    <w:rsid w:val="00C46B36"/>
    <w:rsid w:val="00C46BB1"/>
    <w:rsid w:val="00C46BD4"/>
    <w:rsid w:val="00C470F1"/>
    <w:rsid w:val="00C47118"/>
    <w:rsid w:val="00C471B0"/>
    <w:rsid w:val="00C4720B"/>
    <w:rsid w:val="00C475F5"/>
    <w:rsid w:val="00C47652"/>
    <w:rsid w:val="00C476CF"/>
    <w:rsid w:val="00C47721"/>
    <w:rsid w:val="00C47792"/>
    <w:rsid w:val="00C47AA2"/>
    <w:rsid w:val="00C47B4D"/>
    <w:rsid w:val="00C47ED8"/>
    <w:rsid w:val="00C47FF5"/>
    <w:rsid w:val="00C50015"/>
    <w:rsid w:val="00C500FC"/>
    <w:rsid w:val="00C50206"/>
    <w:rsid w:val="00C502D2"/>
    <w:rsid w:val="00C50407"/>
    <w:rsid w:val="00C50425"/>
    <w:rsid w:val="00C50465"/>
    <w:rsid w:val="00C505D0"/>
    <w:rsid w:val="00C506EB"/>
    <w:rsid w:val="00C507CE"/>
    <w:rsid w:val="00C50818"/>
    <w:rsid w:val="00C508B0"/>
    <w:rsid w:val="00C508CA"/>
    <w:rsid w:val="00C508CF"/>
    <w:rsid w:val="00C50945"/>
    <w:rsid w:val="00C50D73"/>
    <w:rsid w:val="00C50FD9"/>
    <w:rsid w:val="00C50FFF"/>
    <w:rsid w:val="00C510BB"/>
    <w:rsid w:val="00C5112C"/>
    <w:rsid w:val="00C51407"/>
    <w:rsid w:val="00C5142D"/>
    <w:rsid w:val="00C514BE"/>
    <w:rsid w:val="00C514F5"/>
    <w:rsid w:val="00C517E6"/>
    <w:rsid w:val="00C518EC"/>
    <w:rsid w:val="00C519E3"/>
    <w:rsid w:val="00C519F6"/>
    <w:rsid w:val="00C51A2D"/>
    <w:rsid w:val="00C51A5B"/>
    <w:rsid w:val="00C51D27"/>
    <w:rsid w:val="00C51E00"/>
    <w:rsid w:val="00C51E8D"/>
    <w:rsid w:val="00C5225D"/>
    <w:rsid w:val="00C5260D"/>
    <w:rsid w:val="00C526A3"/>
    <w:rsid w:val="00C52714"/>
    <w:rsid w:val="00C5277A"/>
    <w:rsid w:val="00C5289B"/>
    <w:rsid w:val="00C529D7"/>
    <w:rsid w:val="00C52BA9"/>
    <w:rsid w:val="00C52CB9"/>
    <w:rsid w:val="00C52DB4"/>
    <w:rsid w:val="00C52ECE"/>
    <w:rsid w:val="00C52F1D"/>
    <w:rsid w:val="00C5319E"/>
    <w:rsid w:val="00C531FD"/>
    <w:rsid w:val="00C5320C"/>
    <w:rsid w:val="00C53454"/>
    <w:rsid w:val="00C534A0"/>
    <w:rsid w:val="00C535FB"/>
    <w:rsid w:val="00C5381D"/>
    <w:rsid w:val="00C53844"/>
    <w:rsid w:val="00C5388D"/>
    <w:rsid w:val="00C5391B"/>
    <w:rsid w:val="00C539EA"/>
    <w:rsid w:val="00C53AA7"/>
    <w:rsid w:val="00C53D83"/>
    <w:rsid w:val="00C54174"/>
    <w:rsid w:val="00C54209"/>
    <w:rsid w:val="00C54228"/>
    <w:rsid w:val="00C5422A"/>
    <w:rsid w:val="00C54637"/>
    <w:rsid w:val="00C548FF"/>
    <w:rsid w:val="00C54A1F"/>
    <w:rsid w:val="00C54A59"/>
    <w:rsid w:val="00C54B97"/>
    <w:rsid w:val="00C54B9A"/>
    <w:rsid w:val="00C54E9E"/>
    <w:rsid w:val="00C55058"/>
    <w:rsid w:val="00C5517C"/>
    <w:rsid w:val="00C55234"/>
    <w:rsid w:val="00C554B0"/>
    <w:rsid w:val="00C55585"/>
    <w:rsid w:val="00C5565C"/>
    <w:rsid w:val="00C55680"/>
    <w:rsid w:val="00C55A82"/>
    <w:rsid w:val="00C55B5E"/>
    <w:rsid w:val="00C55BC5"/>
    <w:rsid w:val="00C55C50"/>
    <w:rsid w:val="00C55CB3"/>
    <w:rsid w:val="00C55CCD"/>
    <w:rsid w:val="00C55CE4"/>
    <w:rsid w:val="00C55D78"/>
    <w:rsid w:val="00C55D9B"/>
    <w:rsid w:val="00C55DE2"/>
    <w:rsid w:val="00C55E1C"/>
    <w:rsid w:val="00C55E46"/>
    <w:rsid w:val="00C55E77"/>
    <w:rsid w:val="00C5605E"/>
    <w:rsid w:val="00C560EA"/>
    <w:rsid w:val="00C563BC"/>
    <w:rsid w:val="00C56544"/>
    <w:rsid w:val="00C5667D"/>
    <w:rsid w:val="00C566D0"/>
    <w:rsid w:val="00C566E2"/>
    <w:rsid w:val="00C5681F"/>
    <w:rsid w:val="00C568BC"/>
    <w:rsid w:val="00C56BDE"/>
    <w:rsid w:val="00C56DA1"/>
    <w:rsid w:val="00C56DC5"/>
    <w:rsid w:val="00C5708F"/>
    <w:rsid w:val="00C571BF"/>
    <w:rsid w:val="00C571F4"/>
    <w:rsid w:val="00C573A9"/>
    <w:rsid w:val="00C576AC"/>
    <w:rsid w:val="00C5795F"/>
    <w:rsid w:val="00C57AEA"/>
    <w:rsid w:val="00C57D11"/>
    <w:rsid w:val="00C57E3A"/>
    <w:rsid w:val="00C57FAA"/>
    <w:rsid w:val="00C57FFB"/>
    <w:rsid w:val="00C60028"/>
    <w:rsid w:val="00C60185"/>
    <w:rsid w:val="00C60460"/>
    <w:rsid w:val="00C604CB"/>
    <w:rsid w:val="00C6057E"/>
    <w:rsid w:val="00C60649"/>
    <w:rsid w:val="00C6067D"/>
    <w:rsid w:val="00C60981"/>
    <w:rsid w:val="00C60B11"/>
    <w:rsid w:val="00C60B91"/>
    <w:rsid w:val="00C60D3C"/>
    <w:rsid w:val="00C610DE"/>
    <w:rsid w:val="00C61135"/>
    <w:rsid w:val="00C6126B"/>
    <w:rsid w:val="00C61287"/>
    <w:rsid w:val="00C61353"/>
    <w:rsid w:val="00C61377"/>
    <w:rsid w:val="00C615C4"/>
    <w:rsid w:val="00C617BE"/>
    <w:rsid w:val="00C618EF"/>
    <w:rsid w:val="00C61A64"/>
    <w:rsid w:val="00C61CA2"/>
    <w:rsid w:val="00C61EAC"/>
    <w:rsid w:val="00C6232E"/>
    <w:rsid w:val="00C623FF"/>
    <w:rsid w:val="00C6256B"/>
    <w:rsid w:val="00C62641"/>
    <w:rsid w:val="00C62651"/>
    <w:rsid w:val="00C627A7"/>
    <w:rsid w:val="00C6290E"/>
    <w:rsid w:val="00C62FD5"/>
    <w:rsid w:val="00C630E0"/>
    <w:rsid w:val="00C630F9"/>
    <w:rsid w:val="00C631E5"/>
    <w:rsid w:val="00C63284"/>
    <w:rsid w:val="00C63445"/>
    <w:rsid w:val="00C63642"/>
    <w:rsid w:val="00C637D7"/>
    <w:rsid w:val="00C638F6"/>
    <w:rsid w:val="00C639B0"/>
    <w:rsid w:val="00C63A66"/>
    <w:rsid w:val="00C63FCA"/>
    <w:rsid w:val="00C64037"/>
    <w:rsid w:val="00C64126"/>
    <w:rsid w:val="00C6417C"/>
    <w:rsid w:val="00C641E7"/>
    <w:rsid w:val="00C6446F"/>
    <w:rsid w:val="00C64490"/>
    <w:rsid w:val="00C645B1"/>
    <w:rsid w:val="00C645E2"/>
    <w:rsid w:val="00C6461C"/>
    <w:rsid w:val="00C64B10"/>
    <w:rsid w:val="00C64C5B"/>
    <w:rsid w:val="00C64DA6"/>
    <w:rsid w:val="00C64E5B"/>
    <w:rsid w:val="00C64EDB"/>
    <w:rsid w:val="00C64F1F"/>
    <w:rsid w:val="00C65176"/>
    <w:rsid w:val="00C65A0A"/>
    <w:rsid w:val="00C65A0D"/>
    <w:rsid w:val="00C65B64"/>
    <w:rsid w:val="00C65B78"/>
    <w:rsid w:val="00C66072"/>
    <w:rsid w:val="00C66280"/>
    <w:rsid w:val="00C664E8"/>
    <w:rsid w:val="00C6654C"/>
    <w:rsid w:val="00C66714"/>
    <w:rsid w:val="00C667C9"/>
    <w:rsid w:val="00C66A8E"/>
    <w:rsid w:val="00C66C47"/>
    <w:rsid w:val="00C66C49"/>
    <w:rsid w:val="00C67025"/>
    <w:rsid w:val="00C6733D"/>
    <w:rsid w:val="00C673E8"/>
    <w:rsid w:val="00C673F1"/>
    <w:rsid w:val="00C6773E"/>
    <w:rsid w:val="00C67769"/>
    <w:rsid w:val="00C677E6"/>
    <w:rsid w:val="00C679D8"/>
    <w:rsid w:val="00C67ED9"/>
    <w:rsid w:val="00C700BE"/>
    <w:rsid w:val="00C700CF"/>
    <w:rsid w:val="00C702A6"/>
    <w:rsid w:val="00C7038D"/>
    <w:rsid w:val="00C703D9"/>
    <w:rsid w:val="00C703E4"/>
    <w:rsid w:val="00C70521"/>
    <w:rsid w:val="00C70578"/>
    <w:rsid w:val="00C705FA"/>
    <w:rsid w:val="00C70612"/>
    <w:rsid w:val="00C7062B"/>
    <w:rsid w:val="00C7063C"/>
    <w:rsid w:val="00C706B1"/>
    <w:rsid w:val="00C706B8"/>
    <w:rsid w:val="00C7082C"/>
    <w:rsid w:val="00C70948"/>
    <w:rsid w:val="00C70980"/>
    <w:rsid w:val="00C70992"/>
    <w:rsid w:val="00C70B7E"/>
    <w:rsid w:val="00C70BAA"/>
    <w:rsid w:val="00C70BE5"/>
    <w:rsid w:val="00C710E1"/>
    <w:rsid w:val="00C7145A"/>
    <w:rsid w:val="00C71518"/>
    <w:rsid w:val="00C715DC"/>
    <w:rsid w:val="00C715F4"/>
    <w:rsid w:val="00C7161A"/>
    <w:rsid w:val="00C71706"/>
    <w:rsid w:val="00C71A37"/>
    <w:rsid w:val="00C71CF6"/>
    <w:rsid w:val="00C71DF4"/>
    <w:rsid w:val="00C72037"/>
    <w:rsid w:val="00C72263"/>
    <w:rsid w:val="00C7230D"/>
    <w:rsid w:val="00C723D7"/>
    <w:rsid w:val="00C72567"/>
    <w:rsid w:val="00C725E4"/>
    <w:rsid w:val="00C728C7"/>
    <w:rsid w:val="00C728ED"/>
    <w:rsid w:val="00C72962"/>
    <w:rsid w:val="00C72A85"/>
    <w:rsid w:val="00C72B22"/>
    <w:rsid w:val="00C72B5D"/>
    <w:rsid w:val="00C72BC0"/>
    <w:rsid w:val="00C72C59"/>
    <w:rsid w:val="00C72DC0"/>
    <w:rsid w:val="00C73138"/>
    <w:rsid w:val="00C7314A"/>
    <w:rsid w:val="00C73253"/>
    <w:rsid w:val="00C73266"/>
    <w:rsid w:val="00C73352"/>
    <w:rsid w:val="00C73394"/>
    <w:rsid w:val="00C73655"/>
    <w:rsid w:val="00C73AB6"/>
    <w:rsid w:val="00C73AF0"/>
    <w:rsid w:val="00C73BAC"/>
    <w:rsid w:val="00C73C88"/>
    <w:rsid w:val="00C73E76"/>
    <w:rsid w:val="00C73FE0"/>
    <w:rsid w:val="00C73FF5"/>
    <w:rsid w:val="00C7406B"/>
    <w:rsid w:val="00C74187"/>
    <w:rsid w:val="00C741AC"/>
    <w:rsid w:val="00C74289"/>
    <w:rsid w:val="00C742C6"/>
    <w:rsid w:val="00C74349"/>
    <w:rsid w:val="00C7453C"/>
    <w:rsid w:val="00C745D8"/>
    <w:rsid w:val="00C746AB"/>
    <w:rsid w:val="00C7479A"/>
    <w:rsid w:val="00C747D1"/>
    <w:rsid w:val="00C7485D"/>
    <w:rsid w:val="00C749D5"/>
    <w:rsid w:val="00C74A02"/>
    <w:rsid w:val="00C74A32"/>
    <w:rsid w:val="00C74B2A"/>
    <w:rsid w:val="00C74B55"/>
    <w:rsid w:val="00C74BF8"/>
    <w:rsid w:val="00C74C55"/>
    <w:rsid w:val="00C74D8B"/>
    <w:rsid w:val="00C74F80"/>
    <w:rsid w:val="00C74FC9"/>
    <w:rsid w:val="00C750C2"/>
    <w:rsid w:val="00C751DA"/>
    <w:rsid w:val="00C75597"/>
    <w:rsid w:val="00C7565F"/>
    <w:rsid w:val="00C75728"/>
    <w:rsid w:val="00C75842"/>
    <w:rsid w:val="00C75A62"/>
    <w:rsid w:val="00C75B66"/>
    <w:rsid w:val="00C75D74"/>
    <w:rsid w:val="00C75E7B"/>
    <w:rsid w:val="00C760AB"/>
    <w:rsid w:val="00C763C4"/>
    <w:rsid w:val="00C76553"/>
    <w:rsid w:val="00C76696"/>
    <w:rsid w:val="00C766EA"/>
    <w:rsid w:val="00C7698F"/>
    <w:rsid w:val="00C76C54"/>
    <w:rsid w:val="00C76C65"/>
    <w:rsid w:val="00C76E1B"/>
    <w:rsid w:val="00C76EFC"/>
    <w:rsid w:val="00C7700C"/>
    <w:rsid w:val="00C7721D"/>
    <w:rsid w:val="00C774B4"/>
    <w:rsid w:val="00C77519"/>
    <w:rsid w:val="00C77563"/>
    <w:rsid w:val="00C7757D"/>
    <w:rsid w:val="00C7765C"/>
    <w:rsid w:val="00C77684"/>
    <w:rsid w:val="00C7788E"/>
    <w:rsid w:val="00C778A7"/>
    <w:rsid w:val="00C778B7"/>
    <w:rsid w:val="00C77B3A"/>
    <w:rsid w:val="00C77E20"/>
    <w:rsid w:val="00C77ED2"/>
    <w:rsid w:val="00C77FE2"/>
    <w:rsid w:val="00C80006"/>
    <w:rsid w:val="00C80064"/>
    <w:rsid w:val="00C80237"/>
    <w:rsid w:val="00C8034D"/>
    <w:rsid w:val="00C80629"/>
    <w:rsid w:val="00C8063B"/>
    <w:rsid w:val="00C8080D"/>
    <w:rsid w:val="00C809AA"/>
    <w:rsid w:val="00C80DF4"/>
    <w:rsid w:val="00C80E50"/>
    <w:rsid w:val="00C80E59"/>
    <w:rsid w:val="00C811CE"/>
    <w:rsid w:val="00C81470"/>
    <w:rsid w:val="00C816A5"/>
    <w:rsid w:val="00C81868"/>
    <w:rsid w:val="00C81AC9"/>
    <w:rsid w:val="00C81CB7"/>
    <w:rsid w:val="00C81DAF"/>
    <w:rsid w:val="00C81EFE"/>
    <w:rsid w:val="00C81FAC"/>
    <w:rsid w:val="00C82091"/>
    <w:rsid w:val="00C82204"/>
    <w:rsid w:val="00C82479"/>
    <w:rsid w:val="00C824BD"/>
    <w:rsid w:val="00C824EE"/>
    <w:rsid w:val="00C824FE"/>
    <w:rsid w:val="00C82690"/>
    <w:rsid w:val="00C82921"/>
    <w:rsid w:val="00C82975"/>
    <w:rsid w:val="00C82A9E"/>
    <w:rsid w:val="00C82D83"/>
    <w:rsid w:val="00C82E4C"/>
    <w:rsid w:val="00C82F21"/>
    <w:rsid w:val="00C82F22"/>
    <w:rsid w:val="00C83272"/>
    <w:rsid w:val="00C835BC"/>
    <w:rsid w:val="00C835D5"/>
    <w:rsid w:val="00C835E2"/>
    <w:rsid w:val="00C83658"/>
    <w:rsid w:val="00C837B0"/>
    <w:rsid w:val="00C83825"/>
    <w:rsid w:val="00C839F6"/>
    <w:rsid w:val="00C83C29"/>
    <w:rsid w:val="00C83CC9"/>
    <w:rsid w:val="00C83EF2"/>
    <w:rsid w:val="00C8408F"/>
    <w:rsid w:val="00C8409A"/>
    <w:rsid w:val="00C841CF"/>
    <w:rsid w:val="00C84397"/>
    <w:rsid w:val="00C843E0"/>
    <w:rsid w:val="00C84619"/>
    <w:rsid w:val="00C84A69"/>
    <w:rsid w:val="00C84C03"/>
    <w:rsid w:val="00C84C06"/>
    <w:rsid w:val="00C84C0E"/>
    <w:rsid w:val="00C84CA0"/>
    <w:rsid w:val="00C84E3D"/>
    <w:rsid w:val="00C84E43"/>
    <w:rsid w:val="00C85293"/>
    <w:rsid w:val="00C8541C"/>
    <w:rsid w:val="00C854D9"/>
    <w:rsid w:val="00C85551"/>
    <w:rsid w:val="00C856DA"/>
    <w:rsid w:val="00C857FF"/>
    <w:rsid w:val="00C85857"/>
    <w:rsid w:val="00C858BA"/>
    <w:rsid w:val="00C85AD1"/>
    <w:rsid w:val="00C85AE8"/>
    <w:rsid w:val="00C85B4A"/>
    <w:rsid w:val="00C85F8E"/>
    <w:rsid w:val="00C8605C"/>
    <w:rsid w:val="00C86165"/>
    <w:rsid w:val="00C86331"/>
    <w:rsid w:val="00C8654B"/>
    <w:rsid w:val="00C86775"/>
    <w:rsid w:val="00C86BA6"/>
    <w:rsid w:val="00C86C2D"/>
    <w:rsid w:val="00C86D41"/>
    <w:rsid w:val="00C86D75"/>
    <w:rsid w:val="00C87224"/>
    <w:rsid w:val="00C874AE"/>
    <w:rsid w:val="00C87634"/>
    <w:rsid w:val="00C876AB"/>
    <w:rsid w:val="00C876C4"/>
    <w:rsid w:val="00C87882"/>
    <w:rsid w:val="00C87916"/>
    <w:rsid w:val="00C8798E"/>
    <w:rsid w:val="00C879BE"/>
    <w:rsid w:val="00C87B50"/>
    <w:rsid w:val="00C87B9B"/>
    <w:rsid w:val="00C87F04"/>
    <w:rsid w:val="00C87F71"/>
    <w:rsid w:val="00C90046"/>
    <w:rsid w:val="00C901A6"/>
    <w:rsid w:val="00C90346"/>
    <w:rsid w:val="00C9036F"/>
    <w:rsid w:val="00C9046C"/>
    <w:rsid w:val="00C90497"/>
    <w:rsid w:val="00C904F8"/>
    <w:rsid w:val="00C90566"/>
    <w:rsid w:val="00C907F0"/>
    <w:rsid w:val="00C909A0"/>
    <w:rsid w:val="00C90A20"/>
    <w:rsid w:val="00C90C92"/>
    <w:rsid w:val="00C90E15"/>
    <w:rsid w:val="00C90E4A"/>
    <w:rsid w:val="00C90E9F"/>
    <w:rsid w:val="00C90EC2"/>
    <w:rsid w:val="00C90FC4"/>
    <w:rsid w:val="00C9137E"/>
    <w:rsid w:val="00C9138C"/>
    <w:rsid w:val="00C913D7"/>
    <w:rsid w:val="00C91424"/>
    <w:rsid w:val="00C91645"/>
    <w:rsid w:val="00C916E3"/>
    <w:rsid w:val="00C9185A"/>
    <w:rsid w:val="00C918AB"/>
    <w:rsid w:val="00C9190E"/>
    <w:rsid w:val="00C9199E"/>
    <w:rsid w:val="00C91A0F"/>
    <w:rsid w:val="00C920C4"/>
    <w:rsid w:val="00C92109"/>
    <w:rsid w:val="00C923BE"/>
    <w:rsid w:val="00C925B4"/>
    <w:rsid w:val="00C925D4"/>
    <w:rsid w:val="00C9264C"/>
    <w:rsid w:val="00C9272F"/>
    <w:rsid w:val="00C9280C"/>
    <w:rsid w:val="00C929BB"/>
    <w:rsid w:val="00C92A2E"/>
    <w:rsid w:val="00C92AF2"/>
    <w:rsid w:val="00C92BD9"/>
    <w:rsid w:val="00C92FB3"/>
    <w:rsid w:val="00C93069"/>
    <w:rsid w:val="00C93306"/>
    <w:rsid w:val="00C9336B"/>
    <w:rsid w:val="00C933BC"/>
    <w:rsid w:val="00C934C4"/>
    <w:rsid w:val="00C9363A"/>
    <w:rsid w:val="00C9367A"/>
    <w:rsid w:val="00C936DD"/>
    <w:rsid w:val="00C9383A"/>
    <w:rsid w:val="00C93A36"/>
    <w:rsid w:val="00C93AE6"/>
    <w:rsid w:val="00C93B12"/>
    <w:rsid w:val="00C93B14"/>
    <w:rsid w:val="00C93B5E"/>
    <w:rsid w:val="00C93E26"/>
    <w:rsid w:val="00C940EF"/>
    <w:rsid w:val="00C94138"/>
    <w:rsid w:val="00C94162"/>
    <w:rsid w:val="00C943BF"/>
    <w:rsid w:val="00C94447"/>
    <w:rsid w:val="00C945A8"/>
    <w:rsid w:val="00C945AE"/>
    <w:rsid w:val="00C94853"/>
    <w:rsid w:val="00C94B06"/>
    <w:rsid w:val="00C94CD1"/>
    <w:rsid w:val="00C94E19"/>
    <w:rsid w:val="00C94EEB"/>
    <w:rsid w:val="00C94FE9"/>
    <w:rsid w:val="00C95157"/>
    <w:rsid w:val="00C9516C"/>
    <w:rsid w:val="00C956A1"/>
    <w:rsid w:val="00C956A2"/>
    <w:rsid w:val="00C956B3"/>
    <w:rsid w:val="00C956CB"/>
    <w:rsid w:val="00C956CE"/>
    <w:rsid w:val="00C95808"/>
    <w:rsid w:val="00C95872"/>
    <w:rsid w:val="00C958DD"/>
    <w:rsid w:val="00C95B42"/>
    <w:rsid w:val="00C95BE1"/>
    <w:rsid w:val="00C95C33"/>
    <w:rsid w:val="00C95D98"/>
    <w:rsid w:val="00C95E0C"/>
    <w:rsid w:val="00C96006"/>
    <w:rsid w:val="00C96008"/>
    <w:rsid w:val="00C96217"/>
    <w:rsid w:val="00C9632E"/>
    <w:rsid w:val="00C9636B"/>
    <w:rsid w:val="00C963CA"/>
    <w:rsid w:val="00C964D0"/>
    <w:rsid w:val="00C96657"/>
    <w:rsid w:val="00C968C0"/>
    <w:rsid w:val="00C969BB"/>
    <w:rsid w:val="00C96AF6"/>
    <w:rsid w:val="00C96B8A"/>
    <w:rsid w:val="00C96C8A"/>
    <w:rsid w:val="00C9700D"/>
    <w:rsid w:val="00C97052"/>
    <w:rsid w:val="00C970B7"/>
    <w:rsid w:val="00C9721D"/>
    <w:rsid w:val="00C9732B"/>
    <w:rsid w:val="00C973F6"/>
    <w:rsid w:val="00C97403"/>
    <w:rsid w:val="00C974EB"/>
    <w:rsid w:val="00C9761E"/>
    <w:rsid w:val="00C97962"/>
    <w:rsid w:val="00C97B93"/>
    <w:rsid w:val="00C97C84"/>
    <w:rsid w:val="00C97CB1"/>
    <w:rsid w:val="00C97CCB"/>
    <w:rsid w:val="00C97E21"/>
    <w:rsid w:val="00CA010E"/>
    <w:rsid w:val="00CA0116"/>
    <w:rsid w:val="00CA038D"/>
    <w:rsid w:val="00CA049A"/>
    <w:rsid w:val="00CA050E"/>
    <w:rsid w:val="00CA05CD"/>
    <w:rsid w:val="00CA0717"/>
    <w:rsid w:val="00CA0753"/>
    <w:rsid w:val="00CA086A"/>
    <w:rsid w:val="00CA08FA"/>
    <w:rsid w:val="00CA0A60"/>
    <w:rsid w:val="00CA0B11"/>
    <w:rsid w:val="00CA0B92"/>
    <w:rsid w:val="00CA0C0E"/>
    <w:rsid w:val="00CA0CBB"/>
    <w:rsid w:val="00CA0EED"/>
    <w:rsid w:val="00CA0F21"/>
    <w:rsid w:val="00CA0F2B"/>
    <w:rsid w:val="00CA0F98"/>
    <w:rsid w:val="00CA0FEA"/>
    <w:rsid w:val="00CA0FFB"/>
    <w:rsid w:val="00CA10FB"/>
    <w:rsid w:val="00CA1102"/>
    <w:rsid w:val="00CA1103"/>
    <w:rsid w:val="00CA1275"/>
    <w:rsid w:val="00CA127A"/>
    <w:rsid w:val="00CA129C"/>
    <w:rsid w:val="00CA14D0"/>
    <w:rsid w:val="00CA178C"/>
    <w:rsid w:val="00CA1BF8"/>
    <w:rsid w:val="00CA1CA7"/>
    <w:rsid w:val="00CA1FBE"/>
    <w:rsid w:val="00CA2000"/>
    <w:rsid w:val="00CA20BB"/>
    <w:rsid w:val="00CA2138"/>
    <w:rsid w:val="00CA2375"/>
    <w:rsid w:val="00CA2489"/>
    <w:rsid w:val="00CA24A1"/>
    <w:rsid w:val="00CA2501"/>
    <w:rsid w:val="00CA2503"/>
    <w:rsid w:val="00CA2536"/>
    <w:rsid w:val="00CA2567"/>
    <w:rsid w:val="00CA25F4"/>
    <w:rsid w:val="00CA26CE"/>
    <w:rsid w:val="00CA2714"/>
    <w:rsid w:val="00CA27AE"/>
    <w:rsid w:val="00CA27F8"/>
    <w:rsid w:val="00CA2877"/>
    <w:rsid w:val="00CA28AB"/>
    <w:rsid w:val="00CA28ED"/>
    <w:rsid w:val="00CA2AEF"/>
    <w:rsid w:val="00CA2C7C"/>
    <w:rsid w:val="00CA2DD8"/>
    <w:rsid w:val="00CA2DFD"/>
    <w:rsid w:val="00CA2E82"/>
    <w:rsid w:val="00CA2EA8"/>
    <w:rsid w:val="00CA3042"/>
    <w:rsid w:val="00CA31C0"/>
    <w:rsid w:val="00CA3225"/>
    <w:rsid w:val="00CA3237"/>
    <w:rsid w:val="00CA3430"/>
    <w:rsid w:val="00CA34CC"/>
    <w:rsid w:val="00CA36C0"/>
    <w:rsid w:val="00CA36FF"/>
    <w:rsid w:val="00CA372C"/>
    <w:rsid w:val="00CA37A8"/>
    <w:rsid w:val="00CA3938"/>
    <w:rsid w:val="00CA3955"/>
    <w:rsid w:val="00CA3A57"/>
    <w:rsid w:val="00CA3B9B"/>
    <w:rsid w:val="00CA3C6C"/>
    <w:rsid w:val="00CA3F8B"/>
    <w:rsid w:val="00CA42A9"/>
    <w:rsid w:val="00CA42C4"/>
    <w:rsid w:val="00CA42F6"/>
    <w:rsid w:val="00CA438A"/>
    <w:rsid w:val="00CA43FD"/>
    <w:rsid w:val="00CA4739"/>
    <w:rsid w:val="00CA486A"/>
    <w:rsid w:val="00CA4A3A"/>
    <w:rsid w:val="00CA4AD9"/>
    <w:rsid w:val="00CA4DDC"/>
    <w:rsid w:val="00CA4E6D"/>
    <w:rsid w:val="00CA4EED"/>
    <w:rsid w:val="00CA4F2C"/>
    <w:rsid w:val="00CA5014"/>
    <w:rsid w:val="00CA51C2"/>
    <w:rsid w:val="00CA5591"/>
    <w:rsid w:val="00CA55A5"/>
    <w:rsid w:val="00CA56B2"/>
    <w:rsid w:val="00CA56E1"/>
    <w:rsid w:val="00CA57F6"/>
    <w:rsid w:val="00CA588D"/>
    <w:rsid w:val="00CA5935"/>
    <w:rsid w:val="00CA5D7B"/>
    <w:rsid w:val="00CA5E7E"/>
    <w:rsid w:val="00CA5F84"/>
    <w:rsid w:val="00CA5FE5"/>
    <w:rsid w:val="00CA618B"/>
    <w:rsid w:val="00CA6594"/>
    <w:rsid w:val="00CA6743"/>
    <w:rsid w:val="00CA6755"/>
    <w:rsid w:val="00CA6757"/>
    <w:rsid w:val="00CA6809"/>
    <w:rsid w:val="00CA699F"/>
    <w:rsid w:val="00CA6B1D"/>
    <w:rsid w:val="00CA6C82"/>
    <w:rsid w:val="00CA6D05"/>
    <w:rsid w:val="00CA6D0A"/>
    <w:rsid w:val="00CA6E50"/>
    <w:rsid w:val="00CA717E"/>
    <w:rsid w:val="00CA7270"/>
    <w:rsid w:val="00CA7337"/>
    <w:rsid w:val="00CA7436"/>
    <w:rsid w:val="00CA77DB"/>
    <w:rsid w:val="00CA7814"/>
    <w:rsid w:val="00CA7A3B"/>
    <w:rsid w:val="00CA7B78"/>
    <w:rsid w:val="00CA7B8F"/>
    <w:rsid w:val="00CA7BB4"/>
    <w:rsid w:val="00CA7F85"/>
    <w:rsid w:val="00CB02C0"/>
    <w:rsid w:val="00CB0323"/>
    <w:rsid w:val="00CB035D"/>
    <w:rsid w:val="00CB03D0"/>
    <w:rsid w:val="00CB055D"/>
    <w:rsid w:val="00CB05C6"/>
    <w:rsid w:val="00CB0609"/>
    <w:rsid w:val="00CB06CE"/>
    <w:rsid w:val="00CB07B9"/>
    <w:rsid w:val="00CB0942"/>
    <w:rsid w:val="00CB0A49"/>
    <w:rsid w:val="00CB0ACA"/>
    <w:rsid w:val="00CB0BDF"/>
    <w:rsid w:val="00CB0C95"/>
    <w:rsid w:val="00CB0CED"/>
    <w:rsid w:val="00CB0E08"/>
    <w:rsid w:val="00CB0E29"/>
    <w:rsid w:val="00CB0F47"/>
    <w:rsid w:val="00CB0F71"/>
    <w:rsid w:val="00CB1049"/>
    <w:rsid w:val="00CB1174"/>
    <w:rsid w:val="00CB138B"/>
    <w:rsid w:val="00CB1434"/>
    <w:rsid w:val="00CB154A"/>
    <w:rsid w:val="00CB1559"/>
    <w:rsid w:val="00CB16BB"/>
    <w:rsid w:val="00CB17B2"/>
    <w:rsid w:val="00CB19CD"/>
    <w:rsid w:val="00CB1BB9"/>
    <w:rsid w:val="00CB1CFA"/>
    <w:rsid w:val="00CB1D20"/>
    <w:rsid w:val="00CB1FD1"/>
    <w:rsid w:val="00CB204E"/>
    <w:rsid w:val="00CB2067"/>
    <w:rsid w:val="00CB20F1"/>
    <w:rsid w:val="00CB2161"/>
    <w:rsid w:val="00CB222B"/>
    <w:rsid w:val="00CB23AE"/>
    <w:rsid w:val="00CB25D4"/>
    <w:rsid w:val="00CB2698"/>
    <w:rsid w:val="00CB2919"/>
    <w:rsid w:val="00CB29DA"/>
    <w:rsid w:val="00CB2A21"/>
    <w:rsid w:val="00CB2A29"/>
    <w:rsid w:val="00CB2A63"/>
    <w:rsid w:val="00CB2D20"/>
    <w:rsid w:val="00CB2DA7"/>
    <w:rsid w:val="00CB3055"/>
    <w:rsid w:val="00CB30EB"/>
    <w:rsid w:val="00CB3154"/>
    <w:rsid w:val="00CB32C4"/>
    <w:rsid w:val="00CB32E8"/>
    <w:rsid w:val="00CB342F"/>
    <w:rsid w:val="00CB357D"/>
    <w:rsid w:val="00CB362D"/>
    <w:rsid w:val="00CB3663"/>
    <w:rsid w:val="00CB37AF"/>
    <w:rsid w:val="00CB3963"/>
    <w:rsid w:val="00CB3AD9"/>
    <w:rsid w:val="00CB3B4E"/>
    <w:rsid w:val="00CB3B73"/>
    <w:rsid w:val="00CB3D79"/>
    <w:rsid w:val="00CB3E2A"/>
    <w:rsid w:val="00CB3E2E"/>
    <w:rsid w:val="00CB3F99"/>
    <w:rsid w:val="00CB4656"/>
    <w:rsid w:val="00CB480A"/>
    <w:rsid w:val="00CB48A1"/>
    <w:rsid w:val="00CB48AA"/>
    <w:rsid w:val="00CB48FC"/>
    <w:rsid w:val="00CB493B"/>
    <w:rsid w:val="00CB4D7A"/>
    <w:rsid w:val="00CB4D97"/>
    <w:rsid w:val="00CB4E53"/>
    <w:rsid w:val="00CB4EBD"/>
    <w:rsid w:val="00CB505B"/>
    <w:rsid w:val="00CB506B"/>
    <w:rsid w:val="00CB5133"/>
    <w:rsid w:val="00CB527F"/>
    <w:rsid w:val="00CB53AD"/>
    <w:rsid w:val="00CB5589"/>
    <w:rsid w:val="00CB55E3"/>
    <w:rsid w:val="00CB56A6"/>
    <w:rsid w:val="00CB5774"/>
    <w:rsid w:val="00CB5804"/>
    <w:rsid w:val="00CB5B26"/>
    <w:rsid w:val="00CB5C45"/>
    <w:rsid w:val="00CB5D14"/>
    <w:rsid w:val="00CB5EC6"/>
    <w:rsid w:val="00CB5EE0"/>
    <w:rsid w:val="00CB5FBF"/>
    <w:rsid w:val="00CB6441"/>
    <w:rsid w:val="00CB6513"/>
    <w:rsid w:val="00CB6614"/>
    <w:rsid w:val="00CB69E8"/>
    <w:rsid w:val="00CB6A3F"/>
    <w:rsid w:val="00CB6A79"/>
    <w:rsid w:val="00CB6AA6"/>
    <w:rsid w:val="00CB6AAF"/>
    <w:rsid w:val="00CB6D47"/>
    <w:rsid w:val="00CB6E8A"/>
    <w:rsid w:val="00CB6F6C"/>
    <w:rsid w:val="00CB7019"/>
    <w:rsid w:val="00CB72E2"/>
    <w:rsid w:val="00CB742B"/>
    <w:rsid w:val="00CB746E"/>
    <w:rsid w:val="00CB74E1"/>
    <w:rsid w:val="00CB74E5"/>
    <w:rsid w:val="00CB752D"/>
    <w:rsid w:val="00CB7564"/>
    <w:rsid w:val="00CB7598"/>
    <w:rsid w:val="00CB76D2"/>
    <w:rsid w:val="00CB7724"/>
    <w:rsid w:val="00CB77C7"/>
    <w:rsid w:val="00CB785D"/>
    <w:rsid w:val="00CB7A05"/>
    <w:rsid w:val="00CB7AD5"/>
    <w:rsid w:val="00CB7E6B"/>
    <w:rsid w:val="00CB7FF7"/>
    <w:rsid w:val="00CB7FF8"/>
    <w:rsid w:val="00CC00C6"/>
    <w:rsid w:val="00CC0356"/>
    <w:rsid w:val="00CC04B4"/>
    <w:rsid w:val="00CC0655"/>
    <w:rsid w:val="00CC06A3"/>
    <w:rsid w:val="00CC0989"/>
    <w:rsid w:val="00CC09A9"/>
    <w:rsid w:val="00CC0B49"/>
    <w:rsid w:val="00CC0BD1"/>
    <w:rsid w:val="00CC0E41"/>
    <w:rsid w:val="00CC0EA0"/>
    <w:rsid w:val="00CC0F32"/>
    <w:rsid w:val="00CC0F5B"/>
    <w:rsid w:val="00CC100A"/>
    <w:rsid w:val="00CC10E3"/>
    <w:rsid w:val="00CC120C"/>
    <w:rsid w:val="00CC1225"/>
    <w:rsid w:val="00CC133C"/>
    <w:rsid w:val="00CC1617"/>
    <w:rsid w:val="00CC16CB"/>
    <w:rsid w:val="00CC17DF"/>
    <w:rsid w:val="00CC17F2"/>
    <w:rsid w:val="00CC18AE"/>
    <w:rsid w:val="00CC1A13"/>
    <w:rsid w:val="00CC1B93"/>
    <w:rsid w:val="00CC1C2D"/>
    <w:rsid w:val="00CC1D0D"/>
    <w:rsid w:val="00CC1E51"/>
    <w:rsid w:val="00CC2166"/>
    <w:rsid w:val="00CC21B6"/>
    <w:rsid w:val="00CC22D6"/>
    <w:rsid w:val="00CC256F"/>
    <w:rsid w:val="00CC2633"/>
    <w:rsid w:val="00CC2817"/>
    <w:rsid w:val="00CC289B"/>
    <w:rsid w:val="00CC2A95"/>
    <w:rsid w:val="00CC2D68"/>
    <w:rsid w:val="00CC30B4"/>
    <w:rsid w:val="00CC30CC"/>
    <w:rsid w:val="00CC3175"/>
    <w:rsid w:val="00CC33E5"/>
    <w:rsid w:val="00CC35CC"/>
    <w:rsid w:val="00CC3634"/>
    <w:rsid w:val="00CC376C"/>
    <w:rsid w:val="00CC37F3"/>
    <w:rsid w:val="00CC38FA"/>
    <w:rsid w:val="00CC3C99"/>
    <w:rsid w:val="00CC3D41"/>
    <w:rsid w:val="00CC3DF2"/>
    <w:rsid w:val="00CC3E67"/>
    <w:rsid w:val="00CC4260"/>
    <w:rsid w:val="00CC4266"/>
    <w:rsid w:val="00CC42E3"/>
    <w:rsid w:val="00CC4367"/>
    <w:rsid w:val="00CC444A"/>
    <w:rsid w:val="00CC456D"/>
    <w:rsid w:val="00CC47AF"/>
    <w:rsid w:val="00CC47D1"/>
    <w:rsid w:val="00CC4979"/>
    <w:rsid w:val="00CC4ACA"/>
    <w:rsid w:val="00CC4B50"/>
    <w:rsid w:val="00CC4D05"/>
    <w:rsid w:val="00CC4DD3"/>
    <w:rsid w:val="00CC4E09"/>
    <w:rsid w:val="00CC4EC1"/>
    <w:rsid w:val="00CC4F34"/>
    <w:rsid w:val="00CC4F58"/>
    <w:rsid w:val="00CC4FCE"/>
    <w:rsid w:val="00CC5068"/>
    <w:rsid w:val="00CC5390"/>
    <w:rsid w:val="00CC5415"/>
    <w:rsid w:val="00CC552F"/>
    <w:rsid w:val="00CC56EE"/>
    <w:rsid w:val="00CC5744"/>
    <w:rsid w:val="00CC5868"/>
    <w:rsid w:val="00CC5C93"/>
    <w:rsid w:val="00CC5DEA"/>
    <w:rsid w:val="00CC5FF1"/>
    <w:rsid w:val="00CC6519"/>
    <w:rsid w:val="00CC653B"/>
    <w:rsid w:val="00CC66B8"/>
    <w:rsid w:val="00CC66BA"/>
    <w:rsid w:val="00CC66F8"/>
    <w:rsid w:val="00CC6738"/>
    <w:rsid w:val="00CC6766"/>
    <w:rsid w:val="00CC6794"/>
    <w:rsid w:val="00CC6878"/>
    <w:rsid w:val="00CC6883"/>
    <w:rsid w:val="00CC688D"/>
    <w:rsid w:val="00CC6A82"/>
    <w:rsid w:val="00CC6B8A"/>
    <w:rsid w:val="00CC6CB8"/>
    <w:rsid w:val="00CC6D99"/>
    <w:rsid w:val="00CC6E15"/>
    <w:rsid w:val="00CC6ECF"/>
    <w:rsid w:val="00CC6FCD"/>
    <w:rsid w:val="00CC7007"/>
    <w:rsid w:val="00CC7142"/>
    <w:rsid w:val="00CC720C"/>
    <w:rsid w:val="00CC7269"/>
    <w:rsid w:val="00CC75C0"/>
    <w:rsid w:val="00CC7653"/>
    <w:rsid w:val="00CC76BE"/>
    <w:rsid w:val="00CC77CB"/>
    <w:rsid w:val="00CC77FB"/>
    <w:rsid w:val="00CC79F7"/>
    <w:rsid w:val="00CC7A30"/>
    <w:rsid w:val="00CC7A3C"/>
    <w:rsid w:val="00CC7A55"/>
    <w:rsid w:val="00CC7ABF"/>
    <w:rsid w:val="00CC7C47"/>
    <w:rsid w:val="00CC7E45"/>
    <w:rsid w:val="00CD0159"/>
    <w:rsid w:val="00CD0190"/>
    <w:rsid w:val="00CD027A"/>
    <w:rsid w:val="00CD0327"/>
    <w:rsid w:val="00CD05FA"/>
    <w:rsid w:val="00CD071E"/>
    <w:rsid w:val="00CD086C"/>
    <w:rsid w:val="00CD0911"/>
    <w:rsid w:val="00CD0AC0"/>
    <w:rsid w:val="00CD0CD7"/>
    <w:rsid w:val="00CD0D03"/>
    <w:rsid w:val="00CD0E79"/>
    <w:rsid w:val="00CD0E86"/>
    <w:rsid w:val="00CD0F4D"/>
    <w:rsid w:val="00CD0FF1"/>
    <w:rsid w:val="00CD14A8"/>
    <w:rsid w:val="00CD15DA"/>
    <w:rsid w:val="00CD1A80"/>
    <w:rsid w:val="00CD1BFF"/>
    <w:rsid w:val="00CD1FCE"/>
    <w:rsid w:val="00CD20B9"/>
    <w:rsid w:val="00CD20E0"/>
    <w:rsid w:val="00CD2123"/>
    <w:rsid w:val="00CD2211"/>
    <w:rsid w:val="00CD2223"/>
    <w:rsid w:val="00CD22A6"/>
    <w:rsid w:val="00CD246A"/>
    <w:rsid w:val="00CD2573"/>
    <w:rsid w:val="00CD26BE"/>
    <w:rsid w:val="00CD2769"/>
    <w:rsid w:val="00CD29D2"/>
    <w:rsid w:val="00CD2BC6"/>
    <w:rsid w:val="00CD2D1D"/>
    <w:rsid w:val="00CD2F82"/>
    <w:rsid w:val="00CD3179"/>
    <w:rsid w:val="00CD32DE"/>
    <w:rsid w:val="00CD333B"/>
    <w:rsid w:val="00CD355A"/>
    <w:rsid w:val="00CD3832"/>
    <w:rsid w:val="00CD38E7"/>
    <w:rsid w:val="00CD38E9"/>
    <w:rsid w:val="00CD3911"/>
    <w:rsid w:val="00CD3D00"/>
    <w:rsid w:val="00CD3DA3"/>
    <w:rsid w:val="00CD3DD6"/>
    <w:rsid w:val="00CD3DED"/>
    <w:rsid w:val="00CD3EDF"/>
    <w:rsid w:val="00CD3FB2"/>
    <w:rsid w:val="00CD4858"/>
    <w:rsid w:val="00CD4871"/>
    <w:rsid w:val="00CD4895"/>
    <w:rsid w:val="00CD4930"/>
    <w:rsid w:val="00CD4A6F"/>
    <w:rsid w:val="00CD4BD1"/>
    <w:rsid w:val="00CD4CA3"/>
    <w:rsid w:val="00CD4D3F"/>
    <w:rsid w:val="00CD4DC5"/>
    <w:rsid w:val="00CD4F3B"/>
    <w:rsid w:val="00CD5200"/>
    <w:rsid w:val="00CD551D"/>
    <w:rsid w:val="00CD567A"/>
    <w:rsid w:val="00CD583F"/>
    <w:rsid w:val="00CD5B34"/>
    <w:rsid w:val="00CD5CC3"/>
    <w:rsid w:val="00CD6029"/>
    <w:rsid w:val="00CD60CA"/>
    <w:rsid w:val="00CD610E"/>
    <w:rsid w:val="00CD6211"/>
    <w:rsid w:val="00CD622C"/>
    <w:rsid w:val="00CD6310"/>
    <w:rsid w:val="00CD64FF"/>
    <w:rsid w:val="00CD66E1"/>
    <w:rsid w:val="00CD688C"/>
    <w:rsid w:val="00CD68E9"/>
    <w:rsid w:val="00CD6BD1"/>
    <w:rsid w:val="00CD6C29"/>
    <w:rsid w:val="00CD6C8F"/>
    <w:rsid w:val="00CD6D35"/>
    <w:rsid w:val="00CD6E72"/>
    <w:rsid w:val="00CD6EAB"/>
    <w:rsid w:val="00CD6F7F"/>
    <w:rsid w:val="00CD6FBE"/>
    <w:rsid w:val="00CD7098"/>
    <w:rsid w:val="00CD7152"/>
    <w:rsid w:val="00CD72F0"/>
    <w:rsid w:val="00CD73AD"/>
    <w:rsid w:val="00CD74BC"/>
    <w:rsid w:val="00CD77BE"/>
    <w:rsid w:val="00CD7946"/>
    <w:rsid w:val="00CD7968"/>
    <w:rsid w:val="00CD7B13"/>
    <w:rsid w:val="00CD7BA8"/>
    <w:rsid w:val="00CD7BAA"/>
    <w:rsid w:val="00CD7BF8"/>
    <w:rsid w:val="00CD7C31"/>
    <w:rsid w:val="00CD7C49"/>
    <w:rsid w:val="00CD7CE4"/>
    <w:rsid w:val="00CD7D98"/>
    <w:rsid w:val="00CE0021"/>
    <w:rsid w:val="00CE00D0"/>
    <w:rsid w:val="00CE040D"/>
    <w:rsid w:val="00CE046A"/>
    <w:rsid w:val="00CE0482"/>
    <w:rsid w:val="00CE059E"/>
    <w:rsid w:val="00CE065D"/>
    <w:rsid w:val="00CE06FF"/>
    <w:rsid w:val="00CE0959"/>
    <w:rsid w:val="00CE0996"/>
    <w:rsid w:val="00CE0A7E"/>
    <w:rsid w:val="00CE0A8A"/>
    <w:rsid w:val="00CE0B92"/>
    <w:rsid w:val="00CE0C83"/>
    <w:rsid w:val="00CE0CBF"/>
    <w:rsid w:val="00CE0D9C"/>
    <w:rsid w:val="00CE1128"/>
    <w:rsid w:val="00CE1393"/>
    <w:rsid w:val="00CE13F6"/>
    <w:rsid w:val="00CE157F"/>
    <w:rsid w:val="00CE15A0"/>
    <w:rsid w:val="00CE15F8"/>
    <w:rsid w:val="00CE16B5"/>
    <w:rsid w:val="00CE16D1"/>
    <w:rsid w:val="00CE17EB"/>
    <w:rsid w:val="00CE19F5"/>
    <w:rsid w:val="00CE1A3F"/>
    <w:rsid w:val="00CE1BAB"/>
    <w:rsid w:val="00CE1C91"/>
    <w:rsid w:val="00CE1DB7"/>
    <w:rsid w:val="00CE1E36"/>
    <w:rsid w:val="00CE1E3E"/>
    <w:rsid w:val="00CE1F55"/>
    <w:rsid w:val="00CE1FAD"/>
    <w:rsid w:val="00CE1FB8"/>
    <w:rsid w:val="00CE2194"/>
    <w:rsid w:val="00CE2423"/>
    <w:rsid w:val="00CE2474"/>
    <w:rsid w:val="00CE24A8"/>
    <w:rsid w:val="00CE2653"/>
    <w:rsid w:val="00CE27FB"/>
    <w:rsid w:val="00CE29FA"/>
    <w:rsid w:val="00CE2B5F"/>
    <w:rsid w:val="00CE2B66"/>
    <w:rsid w:val="00CE2B7C"/>
    <w:rsid w:val="00CE301D"/>
    <w:rsid w:val="00CE3116"/>
    <w:rsid w:val="00CE3175"/>
    <w:rsid w:val="00CE31C8"/>
    <w:rsid w:val="00CE347E"/>
    <w:rsid w:val="00CE350E"/>
    <w:rsid w:val="00CE3597"/>
    <w:rsid w:val="00CE3745"/>
    <w:rsid w:val="00CE37CD"/>
    <w:rsid w:val="00CE381C"/>
    <w:rsid w:val="00CE3847"/>
    <w:rsid w:val="00CE3857"/>
    <w:rsid w:val="00CE3945"/>
    <w:rsid w:val="00CE39B9"/>
    <w:rsid w:val="00CE3A56"/>
    <w:rsid w:val="00CE3A98"/>
    <w:rsid w:val="00CE3B3E"/>
    <w:rsid w:val="00CE417C"/>
    <w:rsid w:val="00CE41D8"/>
    <w:rsid w:val="00CE4296"/>
    <w:rsid w:val="00CE4424"/>
    <w:rsid w:val="00CE473D"/>
    <w:rsid w:val="00CE48B9"/>
    <w:rsid w:val="00CE4B9B"/>
    <w:rsid w:val="00CE4D59"/>
    <w:rsid w:val="00CE4DAC"/>
    <w:rsid w:val="00CE4DED"/>
    <w:rsid w:val="00CE4E83"/>
    <w:rsid w:val="00CE4F52"/>
    <w:rsid w:val="00CE4F90"/>
    <w:rsid w:val="00CE5137"/>
    <w:rsid w:val="00CE5183"/>
    <w:rsid w:val="00CE5373"/>
    <w:rsid w:val="00CE5437"/>
    <w:rsid w:val="00CE5487"/>
    <w:rsid w:val="00CE54A3"/>
    <w:rsid w:val="00CE55D2"/>
    <w:rsid w:val="00CE5675"/>
    <w:rsid w:val="00CE58FB"/>
    <w:rsid w:val="00CE59C2"/>
    <w:rsid w:val="00CE5B5E"/>
    <w:rsid w:val="00CE5BDA"/>
    <w:rsid w:val="00CE5BE3"/>
    <w:rsid w:val="00CE5C03"/>
    <w:rsid w:val="00CE5C0E"/>
    <w:rsid w:val="00CE5C91"/>
    <w:rsid w:val="00CE5C9E"/>
    <w:rsid w:val="00CE5E76"/>
    <w:rsid w:val="00CE5FB3"/>
    <w:rsid w:val="00CE5FD0"/>
    <w:rsid w:val="00CE607E"/>
    <w:rsid w:val="00CE625E"/>
    <w:rsid w:val="00CE63A4"/>
    <w:rsid w:val="00CE66F2"/>
    <w:rsid w:val="00CE6713"/>
    <w:rsid w:val="00CE69DC"/>
    <w:rsid w:val="00CE6A05"/>
    <w:rsid w:val="00CE6C2D"/>
    <w:rsid w:val="00CE6D10"/>
    <w:rsid w:val="00CE6D24"/>
    <w:rsid w:val="00CE724D"/>
    <w:rsid w:val="00CE72A9"/>
    <w:rsid w:val="00CE72E0"/>
    <w:rsid w:val="00CE74DE"/>
    <w:rsid w:val="00CE77D0"/>
    <w:rsid w:val="00CE7A0F"/>
    <w:rsid w:val="00CE7A4D"/>
    <w:rsid w:val="00CE7B40"/>
    <w:rsid w:val="00CE7B9C"/>
    <w:rsid w:val="00CE7BAA"/>
    <w:rsid w:val="00CE7BC0"/>
    <w:rsid w:val="00CE7C30"/>
    <w:rsid w:val="00CE7CBC"/>
    <w:rsid w:val="00CE7E34"/>
    <w:rsid w:val="00CE7E68"/>
    <w:rsid w:val="00CE7E72"/>
    <w:rsid w:val="00CE7ED3"/>
    <w:rsid w:val="00CE7EFF"/>
    <w:rsid w:val="00CE7F13"/>
    <w:rsid w:val="00CE7F33"/>
    <w:rsid w:val="00CF01AB"/>
    <w:rsid w:val="00CF036D"/>
    <w:rsid w:val="00CF03D8"/>
    <w:rsid w:val="00CF0509"/>
    <w:rsid w:val="00CF051F"/>
    <w:rsid w:val="00CF0B54"/>
    <w:rsid w:val="00CF0C63"/>
    <w:rsid w:val="00CF0FFB"/>
    <w:rsid w:val="00CF1027"/>
    <w:rsid w:val="00CF12B9"/>
    <w:rsid w:val="00CF1328"/>
    <w:rsid w:val="00CF1470"/>
    <w:rsid w:val="00CF162A"/>
    <w:rsid w:val="00CF1814"/>
    <w:rsid w:val="00CF1856"/>
    <w:rsid w:val="00CF1B78"/>
    <w:rsid w:val="00CF1D71"/>
    <w:rsid w:val="00CF2164"/>
    <w:rsid w:val="00CF22B6"/>
    <w:rsid w:val="00CF2362"/>
    <w:rsid w:val="00CF2436"/>
    <w:rsid w:val="00CF2486"/>
    <w:rsid w:val="00CF2549"/>
    <w:rsid w:val="00CF259D"/>
    <w:rsid w:val="00CF26C2"/>
    <w:rsid w:val="00CF2819"/>
    <w:rsid w:val="00CF2841"/>
    <w:rsid w:val="00CF286D"/>
    <w:rsid w:val="00CF291F"/>
    <w:rsid w:val="00CF2C9A"/>
    <w:rsid w:val="00CF2DD4"/>
    <w:rsid w:val="00CF2E9A"/>
    <w:rsid w:val="00CF2FA7"/>
    <w:rsid w:val="00CF2FAC"/>
    <w:rsid w:val="00CF31A1"/>
    <w:rsid w:val="00CF3227"/>
    <w:rsid w:val="00CF362F"/>
    <w:rsid w:val="00CF397F"/>
    <w:rsid w:val="00CF39A3"/>
    <w:rsid w:val="00CF39BF"/>
    <w:rsid w:val="00CF3AD5"/>
    <w:rsid w:val="00CF3BEE"/>
    <w:rsid w:val="00CF3CDC"/>
    <w:rsid w:val="00CF3E99"/>
    <w:rsid w:val="00CF3EDA"/>
    <w:rsid w:val="00CF3F6D"/>
    <w:rsid w:val="00CF3FA6"/>
    <w:rsid w:val="00CF4154"/>
    <w:rsid w:val="00CF43A0"/>
    <w:rsid w:val="00CF44CD"/>
    <w:rsid w:val="00CF4552"/>
    <w:rsid w:val="00CF4563"/>
    <w:rsid w:val="00CF4581"/>
    <w:rsid w:val="00CF4726"/>
    <w:rsid w:val="00CF4748"/>
    <w:rsid w:val="00CF494D"/>
    <w:rsid w:val="00CF4B71"/>
    <w:rsid w:val="00CF4DE7"/>
    <w:rsid w:val="00CF4DF3"/>
    <w:rsid w:val="00CF4E61"/>
    <w:rsid w:val="00CF5184"/>
    <w:rsid w:val="00CF5374"/>
    <w:rsid w:val="00CF53B2"/>
    <w:rsid w:val="00CF53D4"/>
    <w:rsid w:val="00CF53FF"/>
    <w:rsid w:val="00CF560E"/>
    <w:rsid w:val="00CF568F"/>
    <w:rsid w:val="00CF56CF"/>
    <w:rsid w:val="00CF5728"/>
    <w:rsid w:val="00CF5AEE"/>
    <w:rsid w:val="00CF5B06"/>
    <w:rsid w:val="00CF5BB7"/>
    <w:rsid w:val="00CF5BFB"/>
    <w:rsid w:val="00CF600E"/>
    <w:rsid w:val="00CF61B6"/>
    <w:rsid w:val="00CF6340"/>
    <w:rsid w:val="00CF63A8"/>
    <w:rsid w:val="00CF655F"/>
    <w:rsid w:val="00CF65E8"/>
    <w:rsid w:val="00CF6605"/>
    <w:rsid w:val="00CF6873"/>
    <w:rsid w:val="00CF6962"/>
    <w:rsid w:val="00CF6A08"/>
    <w:rsid w:val="00CF6AD9"/>
    <w:rsid w:val="00CF6CA5"/>
    <w:rsid w:val="00CF6D1C"/>
    <w:rsid w:val="00CF6DE7"/>
    <w:rsid w:val="00CF6E05"/>
    <w:rsid w:val="00CF6EEC"/>
    <w:rsid w:val="00CF6EF8"/>
    <w:rsid w:val="00CF6F1F"/>
    <w:rsid w:val="00CF708C"/>
    <w:rsid w:val="00CF714E"/>
    <w:rsid w:val="00CF72D1"/>
    <w:rsid w:val="00CF7357"/>
    <w:rsid w:val="00CF7571"/>
    <w:rsid w:val="00CF798A"/>
    <w:rsid w:val="00CF79A7"/>
    <w:rsid w:val="00CF7AF5"/>
    <w:rsid w:val="00CF7B26"/>
    <w:rsid w:val="00CF7C0A"/>
    <w:rsid w:val="00CF7C3B"/>
    <w:rsid w:val="00CF7E87"/>
    <w:rsid w:val="00CF7F09"/>
    <w:rsid w:val="00D00134"/>
    <w:rsid w:val="00D0015C"/>
    <w:rsid w:val="00D001AA"/>
    <w:rsid w:val="00D0028B"/>
    <w:rsid w:val="00D003B0"/>
    <w:rsid w:val="00D00657"/>
    <w:rsid w:val="00D007FB"/>
    <w:rsid w:val="00D00880"/>
    <w:rsid w:val="00D00B43"/>
    <w:rsid w:val="00D00DC7"/>
    <w:rsid w:val="00D00E2B"/>
    <w:rsid w:val="00D00ED4"/>
    <w:rsid w:val="00D01118"/>
    <w:rsid w:val="00D0139E"/>
    <w:rsid w:val="00D013DF"/>
    <w:rsid w:val="00D01532"/>
    <w:rsid w:val="00D01611"/>
    <w:rsid w:val="00D01758"/>
    <w:rsid w:val="00D01795"/>
    <w:rsid w:val="00D017F5"/>
    <w:rsid w:val="00D018B8"/>
    <w:rsid w:val="00D01D4A"/>
    <w:rsid w:val="00D01FBE"/>
    <w:rsid w:val="00D02491"/>
    <w:rsid w:val="00D024C3"/>
    <w:rsid w:val="00D026A8"/>
    <w:rsid w:val="00D026CE"/>
    <w:rsid w:val="00D028E7"/>
    <w:rsid w:val="00D029AD"/>
    <w:rsid w:val="00D02AB4"/>
    <w:rsid w:val="00D02C5C"/>
    <w:rsid w:val="00D02C6D"/>
    <w:rsid w:val="00D02C86"/>
    <w:rsid w:val="00D02D59"/>
    <w:rsid w:val="00D02DEC"/>
    <w:rsid w:val="00D02E7E"/>
    <w:rsid w:val="00D0310E"/>
    <w:rsid w:val="00D03114"/>
    <w:rsid w:val="00D0323A"/>
    <w:rsid w:val="00D032CB"/>
    <w:rsid w:val="00D0335D"/>
    <w:rsid w:val="00D03419"/>
    <w:rsid w:val="00D03532"/>
    <w:rsid w:val="00D035EA"/>
    <w:rsid w:val="00D037C6"/>
    <w:rsid w:val="00D038FD"/>
    <w:rsid w:val="00D03963"/>
    <w:rsid w:val="00D0397F"/>
    <w:rsid w:val="00D03C7F"/>
    <w:rsid w:val="00D03E2A"/>
    <w:rsid w:val="00D03FA1"/>
    <w:rsid w:val="00D03FDC"/>
    <w:rsid w:val="00D04172"/>
    <w:rsid w:val="00D04460"/>
    <w:rsid w:val="00D044D2"/>
    <w:rsid w:val="00D044FB"/>
    <w:rsid w:val="00D045D1"/>
    <w:rsid w:val="00D046C8"/>
    <w:rsid w:val="00D04711"/>
    <w:rsid w:val="00D0473D"/>
    <w:rsid w:val="00D04AA5"/>
    <w:rsid w:val="00D04D05"/>
    <w:rsid w:val="00D04D2F"/>
    <w:rsid w:val="00D04E70"/>
    <w:rsid w:val="00D04EAD"/>
    <w:rsid w:val="00D04F4C"/>
    <w:rsid w:val="00D04F55"/>
    <w:rsid w:val="00D05136"/>
    <w:rsid w:val="00D0514E"/>
    <w:rsid w:val="00D05158"/>
    <w:rsid w:val="00D05207"/>
    <w:rsid w:val="00D052E5"/>
    <w:rsid w:val="00D055D3"/>
    <w:rsid w:val="00D05833"/>
    <w:rsid w:val="00D05867"/>
    <w:rsid w:val="00D05ACA"/>
    <w:rsid w:val="00D05C32"/>
    <w:rsid w:val="00D05E1D"/>
    <w:rsid w:val="00D0610C"/>
    <w:rsid w:val="00D0611A"/>
    <w:rsid w:val="00D0625D"/>
    <w:rsid w:val="00D06263"/>
    <w:rsid w:val="00D062CF"/>
    <w:rsid w:val="00D0657E"/>
    <w:rsid w:val="00D0658C"/>
    <w:rsid w:val="00D065D2"/>
    <w:rsid w:val="00D06760"/>
    <w:rsid w:val="00D06878"/>
    <w:rsid w:val="00D068C0"/>
    <w:rsid w:val="00D068C6"/>
    <w:rsid w:val="00D06918"/>
    <w:rsid w:val="00D06A09"/>
    <w:rsid w:val="00D06BAC"/>
    <w:rsid w:val="00D06BF2"/>
    <w:rsid w:val="00D06BF4"/>
    <w:rsid w:val="00D06C72"/>
    <w:rsid w:val="00D06CDC"/>
    <w:rsid w:val="00D06D0B"/>
    <w:rsid w:val="00D06F47"/>
    <w:rsid w:val="00D06F5B"/>
    <w:rsid w:val="00D077CB"/>
    <w:rsid w:val="00D077E8"/>
    <w:rsid w:val="00D077EA"/>
    <w:rsid w:val="00D07870"/>
    <w:rsid w:val="00D07AAA"/>
    <w:rsid w:val="00D07D51"/>
    <w:rsid w:val="00D07DD5"/>
    <w:rsid w:val="00D100AA"/>
    <w:rsid w:val="00D10BA3"/>
    <w:rsid w:val="00D10C1C"/>
    <w:rsid w:val="00D10C2C"/>
    <w:rsid w:val="00D10E2E"/>
    <w:rsid w:val="00D10E63"/>
    <w:rsid w:val="00D1100E"/>
    <w:rsid w:val="00D111E5"/>
    <w:rsid w:val="00D11310"/>
    <w:rsid w:val="00D113C9"/>
    <w:rsid w:val="00D11548"/>
    <w:rsid w:val="00D11647"/>
    <w:rsid w:val="00D11771"/>
    <w:rsid w:val="00D117C4"/>
    <w:rsid w:val="00D11AF6"/>
    <w:rsid w:val="00D11BF6"/>
    <w:rsid w:val="00D11C2E"/>
    <w:rsid w:val="00D11C32"/>
    <w:rsid w:val="00D11D12"/>
    <w:rsid w:val="00D11DF0"/>
    <w:rsid w:val="00D11E94"/>
    <w:rsid w:val="00D11F95"/>
    <w:rsid w:val="00D11FC1"/>
    <w:rsid w:val="00D1217D"/>
    <w:rsid w:val="00D121AA"/>
    <w:rsid w:val="00D122BB"/>
    <w:rsid w:val="00D12365"/>
    <w:rsid w:val="00D125DD"/>
    <w:rsid w:val="00D12804"/>
    <w:rsid w:val="00D12A90"/>
    <w:rsid w:val="00D12BA8"/>
    <w:rsid w:val="00D12EE0"/>
    <w:rsid w:val="00D12F46"/>
    <w:rsid w:val="00D12FF2"/>
    <w:rsid w:val="00D1303B"/>
    <w:rsid w:val="00D1303E"/>
    <w:rsid w:val="00D13053"/>
    <w:rsid w:val="00D130C5"/>
    <w:rsid w:val="00D131DA"/>
    <w:rsid w:val="00D134F1"/>
    <w:rsid w:val="00D1363B"/>
    <w:rsid w:val="00D137C0"/>
    <w:rsid w:val="00D13947"/>
    <w:rsid w:val="00D13AC3"/>
    <w:rsid w:val="00D13B67"/>
    <w:rsid w:val="00D13C10"/>
    <w:rsid w:val="00D13C49"/>
    <w:rsid w:val="00D13D2A"/>
    <w:rsid w:val="00D13E65"/>
    <w:rsid w:val="00D141AE"/>
    <w:rsid w:val="00D14295"/>
    <w:rsid w:val="00D14317"/>
    <w:rsid w:val="00D143EA"/>
    <w:rsid w:val="00D144D5"/>
    <w:rsid w:val="00D14584"/>
    <w:rsid w:val="00D14640"/>
    <w:rsid w:val="00D1471D"/>
    <w:rsid w:val="00D147E4"/>
    <w:rsid w:val="00D1485B"/>
    <w:rsid w:val="00D14C35"/>
    <w:rsid w:val="00D14EB0"/>
    <w:rsid w:val="00D14EF7"/>
    <w:rsid w:val="00D14FC8"/>
    <w:rsid w:val="00D1515E"/>
    <w:rsid w:val="00D1527F"/>
    <w:rsid w:val="00D1542E"/>
    <w:rsid w:val="00D1545C"/>
    <w:rsid w:val="00D15511"/>
    <w:rsid w:val="00D1555A"/>
    <w:rsid w:val="00D1557B"/>
    <w:rsid w:val="00D155B7"/>
    <w:rsid w:val="00D15A4B"/>
    <w:rsid w:val="00D15A4E"/>
    <w:rsid w:val="00D15ADC"/>
    <w:rsid w:val="00D15B35"/>
    <w:rsid w:val="00D15B99"/>
    <w:rsid w:val="00D15BD9"/>
    <w:rsid w:val="00D15CA9"/>
    <w:rsid w:val="00D160CE"/>
    <w:rsid w:val="00D162E5"/>
    <w:rsid w:val="00D16318"/>
    <w:rsid w:val="00D16434"/>
    <w:rsid w:val="00D16498"/>
    <w:rsid w:val="00D16675"/>
    <w:rsid w:val="00D16737"/>
    <w:rsid w:val="00D169C2"/>
    <w:rsid w:val="00D169CD"/>
    <w:rsid w:val="00D16ACB"/>
    <w:rsid w:val="00D16B71"/>
    <w:rsid w:val="00D16C29"/>
    <w:rsid w:val="00D16D3A"/>
    <w:rsid w:val="00D16D7E"/>
    <w:rsid w:val="00D16FCE"/>
    <w:rsid w:val="00D17534"/>
    <w:rsid w:val="00D175CD"/>
    <w:rsid w:val="00D176BA"/>
    <w:rsid w:val="00D17932"/>
    <w:rsid w:val="00D1799C"/>
    <w:rsid w:val="00D17A58"/>
    <w:rsid w:val="00D17AFD"/>
    <w:rsid w:val="00D17C2E"/>
    <w:rsid w:val="00D17CAB"/>
    <w:rsid w:val="00D17D5D"/>
    <w:rsid w:val="00D17E17"/>
    <w:rsid w:val="00D17E21"/>
    <w:rsid w:val="00D17E27"/>
    <w:rsid w:val="00D20015"/>
    <w:rsid w:val="00D200CC"/>
    <w:rsid w:val="00D200ED"/>
    <w:rsid w:val="00D20202"/>
    <w:rsid w:val="00D2030C"/>
    <w:rsid w:val="00D20536"/>
    <w:rsid w:val="00D206B7"/>
    <w:rsid w:val="00D20744"/>
    <w:rsid w:val="00D2080D"/>
    <w:rsid w:val="00D20B96"/>
    <w:rsid w:val="00D20BEC"/>
    <w:rsid w:val="00D20C4B"/>
    <w:rsid w:val="00D20C5E"/>
    <w:rsid w:val="00D20E0B"/>
    <w:rsid w:val="00D20FD8"/>
    <w:rsid w:val="00D2117B"/>
    <w:rsid w:val="00D21188"/>
    <w:rsid w:val="00D211A3"/>
    <w:rsid w:val="00D211EA"/>
    <w:rsid w:val="00D2126D"/>
    <w:rsid w:val="00D21476"/>
    <w:rsid w:val="00D21584"/>
    <w:rsid w:val="00D21614"/>
    <w:rsid w:val="00D21874"/>
    <w:rsid w:val="00D218A7"/>
    <w:rsid w:val="00D219A0"/>
    <w:rsid w:val="00D21A2F"/>
    <w:rsid w:val="00D21A79"/>
    <w:rsid w:val="00D21AEE"/>
    <w:rsid w:val="00D21C77"/>
    <w:rsid w:val="00D21E16"/>
    <w:rsid w:val="00D21F51"/>
    <w:rsid w:val="00D21F66"/>
    <w:rsid w:val="00D2200E"/>
    <w:rsid w:val="00D2202F"/>
    <w:rsid w:val="00D22032"/>
    <w:rsid w:val="00D220C7"/>
    <w:rsid w:val="00D222E5"/>
    <w:rsid w:val="00D22527"/>
    <w:rsid w:val="00D227A6"/>
    <w:rsid w:val="00D2295C"/>
    <w:rsid w:val="00D22C82"/>
    <w:rsid w:val="00D22DB2"/>
    <w:rsid w:val="00D22DC2"/>
    <w:rsid w:val="00D230CE"/>
    <w:rsid w:val="00D2310F"/>
    <w:rsid w:val="00D231EF"/>
    <w:rsid w:val="00D233DD"/>
    <w:rsid w:val="00D2342A"/>
    <w:rsid w:val="00D234AB"/>
    <w:rsid w:val="00D23566"/>
    <w:rsid w:val="00D235A7"/>
    <w:rsid w:val="00D238E8"/>
    <w:rsid w:val="00D23B1E"/>
    <w:rsid w:val="00D23CF2"/>
    <w:rsid w:val="00D23D17"/>
    <w:rsid w:val="00D23E6C"/>
    <w:rsid w:val="00D23EEA"/>
    <w:rsid w:val="00D23EF4"/>
    <w:rsid w:val="00D241B7"/>
    <w:rsid w:val="00D241D8"/>
    <w:rsid w:val="00D2430F"/>
    <w:rsid w:val="00D2433C"/>
    <w:rsid w:val="00D24433"/>
    <w:rsid w:val="00D24536"/>
    <w:rsid w:val="00D24867"/>
    <w:rsid w:val="00D249B0"/>
    <w:rsid w:val="00D24B38"/>
    <w:rsid w:val="00D24C18"/>
    <w:rsid w:val="00D24D9F"/>
    <w:rsid w:val="00D24F85"/>
    <w:rsid w:val="00D250BB"/>
    <w:rsid w:val="00D256C5"/>
    <w:rsid w:val="00D258F3"/>
    <w:rsid w:val="00D25942"/>
    <w:rsid w:val="00D25B98"/>
    <w:rsid w:val="00D25C3C"/>
    <w:rsid w:val="00D25D1B"/>
    <w:rsid w:val="00D25D24"/>
    <w:rsid w:val="00D25D96"/>
    <w:rsid w:val="00D25DC7"/>
    <w:rsid w:val="00D25DCE"/>
    <w:rsid w:val="00D25E02"/>
    <w:rsid w:val="00D25E99"/>
    <w:rsid w:val="00D25FF5"/>
    <w:rsid w:val="00D260BD"/>
    <w:rsid w:val="00D261FC"/>
    <w:rsid w:val="00D26417"/>
    <w:rsid w:val="00D26584"/>
    <w:rsid w:val="00D26AAA"/>
    <w:rsid w:val="00D26DA3"/>
    <w:rsid w:val="00D26E13"/>
    <w:rsid w:val="00D26F82"/>
    <w:rsid w:val="00D271CC"/>
    <w:rsid w:val="00D27661"/>
    <w:rsid w:val="00D27686"/>
    <w:rsid w:val="00D279FA"/>
    <w:rsid w:val="00D27E10"/>
    <w:rsid w:val="00D27F02"/>
    <w:rsid w:val="00D27FB3"/>
    <w:rsid w:val="00D27FF7"/>
    <w:rsid w:val="00D30136"/>
    <w:rsid w:val="00D3015E"/>
    <w:rsid w:val="00D30499"/>
    <w:rsid w:val="00D304B6"/>
    <w:rsid w:val="00D305C4"/>
    <w:rsid w:val="00D30641"/>
    <w:rsid w:val="00D30672"/>
    <w:rsid w:val="00D30673"/>
    <w:rsid w:val="00D307E0"/>
    <w:rsid w:val="00D30891"/>
    <w:rsid w:val="00D30932"/>
    <w:rsid w:val="00D3093E"/>
    <w:rsid w:val="00D30AFA"/>
    <w:rsid w:val="00D30B0B"/>
    <w:rsid w:val="00D31453"/>
    <w:rsid w:val="00D31618"/>
    <w:rsid w:val="00D316DB"/>
    <w:rsid w:val="00D3177E"/>
    <w:rsid w:val="00D317DB"/>
    <w:rsid w:val="00D31930"/>
    <w:rsid w:val="00D319C4"/>
    <w:rsid w:val="00D31AEE"/>
    <w:rsid w:val="00D31C61"/>
    <w:rsid w:val="00D31D98"/>
    <w:rsid w:val="00D31E24"/>
    <w:rsid w:val="00D32242"/>
    <w:rsid w:val="00D323E0"/>
    <w:rsid w:val="00D3245C"/>
    <w:rsid w:val="00D32605"/>
    <w:rsid w:val="00D327BB"/>
    <w:rsid w:val="00D327E5"/>
    <w:rsid w:val="00D32885"/>
    <w:rsid w:val="00D3294F"/>
    <w:rsid w:val="00D32A05"/>
    <w:rsid w:val="00D32D57"/>
    <w:rsid w:val="00D33001"/>
    <w:rsid w:val="00D33273"/>
    <w:rsid w:val="00D33302"/>
    <w:rsid w:val="00D334F1"/>
    <w:rsid w:val="00D3357D"/>
    <w:rsid w:val="00D335B8"/>
    <w:rsid w:val="00D33918"/>
    <w:rsid w:val="00D33967"/>
    <w:rsid w:val="00D33B37"/>
    <w:rsid w:val="00D33B68"/>
    <w:rsid w:val="00D33BB3"/>
    <w:rsid w:val="00D33C7F"/>
    <w:rsid w:val="00D33DCC"/>
    <w:rsid w:val="00D33DF5"/>
    <w:rsid w:val="00D34013"/>
    <w:rsid w:val="00D341FD"/>
    <w:rsid w:val="00D342CD"/>
    <w:rsid w:val="00D34303"/>
    <w:rsid w:val="00D34399"/>
    <w:rsid w:val="00D343DF"/>
    <w:rsid w:val="00D34486"/>
    <w:rsid w:val="00D344CB"/>
    <w:rsid w:val="00D3491D"/>
    <w:rsid w:val="00D34ACA"/>
    <w:rsid w:val="00D34B3F"/>
    <w:rsid w:val="00D34C45"/>
    <w:rsid w:val="00D34C4E"/>
    <w:rsid w:val="00D351D2"/>
    <w:rsid w:val="00D3529B"/>
    <w:rsid w:val="00D353E2"/>
    <w:rsid w:val="00D354BC"/>
    <w:rsid w:val="00D35534"/>
    <w:rsid w:val="00D355DB"/>
    <w:rsid w:val="00D35C65"/>
    <w:rsid w:val="00D35DE0"/>
    <w:rsid w:val="00D361BB"/>
    <w:rsid w:val="00D361EF"/>
    <w:rsid w:val="00D36226"/>
    <w:rsid w:val="00D36246"/>
    <w:rsid w:val="00D36377"/>
    <w:rsid w:val="00D364DA"/>
    <w:rsid w:val="00D36B0F"/>
    <w:rsid w:val="00D36D7A"/>
    <w:rsid w:val="00D36F40"/>
    <w:rsid w:val="00D3712E"/>
    <w:rsid w:val="00D3713F"/>
    <w:rsid w:val="00D373F2"/>
    <w:rsid w:val="00D37469"/>
    <w:rsid w:val="00D374D4"/>
    <w:rsid w:val="00D3766B"/>
    <w:rsid w:val="00D3794B"/>
    <w:rsid w:val="00D37ADA"/>
    <w:rsid w:val="00D37B44"/>
    <w:rsid w:val="00D37B6C"/>
    <w:rsid w:val="00D37D72"/>
    <w:rsid w:val="00D40001"/>
    <w:rsid w:val="00D40395"/>
    <w:rsid w:val="00D40465"/>
    <w:rsid w:val="00D404C7"/>
    <w:rsid w:val="00D40694"/>
    <w:rsid w:val="00D406F6"/>
    <w:rsid w:val="00D40759"/>
    <w:rsid w:val="00D408C0"/>
    <w:rsid w:val="00D4095C"/>
    <w:rsid w:val="00D40997"/>
    <w:rsid w:val="00D409A7"/>
    <w:rsid w:val="00D40A2E"/>
    <w:rsid w:val="00D40B81"/>
    <w:rsid w:val="00D40C1F"/>
    <w:rsid w:val="00D40D23"/>
    <w:rsid w:val="00D40E28"/>
    <w:rsid w:val="00D40E52"/>
    <w:rsid w:val="00D40EE6"/>
    <w:rsid w:val="00D40F9F"/>
    <w:rsid w:val="00D410C0"/>
    <w:rsid w:val="00D4128C"/>
    <w:rsid w:val="00D413D5"/>
    <w:rsid w:val="00D414EF"/>
    <w:rsid w:val="00D4160F"/>
    <w:rsid w:val="00D41777"/>
    <w:rsid w:val="00D41913"/>
    <w:rsid w:val="00D41A06"/>
    <w:rsid w:val="00D41A5E"/>
    <w:rsid w:val="00D41C23"/>
    <w:rsid w:val="00D41DBA"/>
    <w:rsid w:val="00D41DC6"/>
    <w:rsid w:val="00D41EC0"/>
    <w:rsid w:val="00D41F98"/>
    <w:rsid w:val="00D41FD3"/>
    <w:rsid w:val="00D42003"/>
    <w:rsid w:val="00D421D4"/>
    <w:rsid w:val="00D42284"/>
    <w:rsid w:val="00D42292"/>
    <w:rsid w:val="00D422BC"/>
    <w:rsid w:val="00D4254F"/>
    <w:rsid w:val="00D426C1"/>
    <w:rsid w:val="00D42718"/>
    <w:rsid w:val="00D42756"/>
    <w:rsid w:val="00D429B2"/>
    <w:rsid w:val="00D42A92"/>
    <w:rsid w:val="00D42B1F"/>
    <w:rsid w:val="00D42CF1"/>
    <w:rsid w:val="00D42ED7"/>
    <w:rsid w:val="00D42F90"/>
    <w:rsid w:val="00D4315F"/>
    <w:rsid w:val="00D43246"/>
    <w:rsid w:val="00D4329D"/>
    <w:rsid w:val="00D433AF"/>
    <w:rsid w:val="00D434D0"/>
    <w:rsid w:val="00D43686"/>
    <w:rsid w:val="00D43840"/>
    <w:rsid w:val="00D43939"/>
    <w:rsid w:val="00D439B1"/>
    <w:rsid w:val="00D43B21"/>
    <w:rsid w:val="00D43BF0"/>
    <w:rsid w:val="00D43E7C"/>
    <w:rsid w:val="00D43E96"/>
    <w:rsid w:val="00D43FA2"/>
    <w:rsid w:val="00D443DB"/>
    <w:rsid w:val="00D4447F"/>
    <w:rsid w:val="00D4459F"/>
    <w:rsid w:val="00D44632"/>
    <w:rsid w:val="00D446C2"/>
    <w:rsid w:val="00D446D4"/>
    <w:rsid w:val="00D44759"/>
    <w:rsid w:val="00D44793"/>
    <w:rsid w:val="00D447D6"/>
    <w:rsid w:val="00D44AFB"/>
    <w:rsid w:val="00D44CD0"/>
    <w:rsid w:val="00D44CFD"/>
    <w:rsid w:val="00D44DB1"/>
    <w:rsid w:val="00D44E5E"/>
    <w:rsid w:val="00D44EDD"/>
    <w:rsid w:val="00D4523E"/>
    <w:rsid w:val="00D45330"/>
    <w:rsid w:val="00D453BE"/>
    <w:rsid w:val="00D4542E"/>
    <w:rsid w:val="00D45512"/>
    <w:rsid w:val="00D45652"/>
    <w:rsid w:val="00D456D7"/>
    <w:rsid w:val="00D45850"/>
    <w:rsid w:val="00D4585E"/>
    <w:rsid w:val="00D4589C"/>
    <w:rsid w:val="00D4591F"/>
    <w:rsid w:val="00D45CE6"/>
    <w:rsid w:val="00D45E63"/>
    <w:rsid w:val="00D45F05"/>
    <w:rsid w:val="00D4622A"/>
    <w:rsid w:val="00D462E4"/>
    <w:rsid w:val="00D4650C"/>
    <w:rsid w:val="00D46686"/>
    <w:rsid w:val="00D467E2"/>
    <w:rsid w:val="00D46906"/>
    <w:rsid w:val="00D46A76"/>
    <w:rsid w:val="00D46C0E"/>
    <w:rsid w:val="00D46D7D"/>
    <w:rsid w:val="00D46E14"/>
    <w:rsid w:val="00D46E33"/>
    <w:rsid w:val="00D46F16"/>
    <w:rsid w:val="00D46F60"/>
    <w:rsid w:val="00D47095"/>
    <w:rsid w:val="00D472F0"/>
    <w:rsid w:val="00D47476"/>
    <w:rsid w:val="00D47490"/>
    <w:rsid w:val="00D47525"/>
    <w:rsid w:val="00D47667"/>
    <w:rsid w:val="00D47972"/>
    <w:rsid w:val="00D4797F"/>
    <w:rsid w:val="00D47A6C"/>
    <w:rsid w:val="00D47A7D"/>
    <w:rsid w:val="00D47DD9"/>
    <w:rsid w:val="00D47EE7"/>
    <w:rsid w:val="00D47F4D"/>
    <w:rsid w:val="00D47F8F"/>
    <w:rsid w:val="00D50109"/>
    <w:rsid w:val="00D501C1"/>
    <w:rsid w:val="00D501E2"/>
    <w:rsid w:val="00D503B7"/>
    <w:rsid w:val="00D50488"/>
    <w:rsid w:val="00D50654"/>
    <w:rsid w:val="00D5074A"/>
    <w:rsid w:val="00D507F2"/>
    <w:rsid w:val="00D50937"/>
    <w:rsid w:val="00D50A18"/>
    <w:rsid w:val="00D50B3C"/>
    <w:rsid w:val="00D50B98"/>
    <w:rsid w:val="00D50B9D"/>
    <w:rsid w:val="00D50C35"/>
    <w:rsid w:val="00D50CD0"/>
    <w:rsid w:val="00D50DD2"/>
    <w:rsid w:val="00D51330"/>
    <w:rsid w:val="00D515E1"/>
    <w:rsid w:val="00D51823"/>
    <w:rsid w:val="00D51866"/>
    <w:rsid w:val="00D51A43"/>
    <w:rsid w:val="00D51AB7"/>
    <w:rsid w:val="00D51B59"/>
    <w:rsid w:val="00D51C66"/>
    <w:rsid w:val="00D51E66"/>
    <w:rsid w:val="00D51F3D"/>
    <w:rsid w:val="00D51FD6"/>
    <w:rsid w:val="00D5209A"/>
    <w:rsid w:val="00D52156"/>
    <w:rsid w:val="00D5221C"/>
    <w:rsid w:val="00D523D0"/>
    <w:rsid w:val="00D52434"/>
    <w:rsid w:val="00D52721"/>
    <w:rsid w:val="00D52896"/>
    <w:rsid w:val="00D528F4"/>
    <w:rsid w:val="00D52A5B"/>
    <w:rsid w:val="00D52DBB"/>
    <w:rsid w:val="00D52EF8"/>
    <w:rsid w:val="00D52F8D"/>
    <w:rsid w:val="00D5304A"/>
    <w:rsid w:val="00D530E8"/>
    <w:rsid w:val="00D53113"/>
    <w:rsid w:val="00D533C9"/>
    <w:rsid w:val="00D535F3"/>
    <w:rsid w:val="00D5366D"/>
    <w:rsid w:val="00D536D9"/>
    <w:rsid w:val="00D53714"/>
    <w:rsid w:val="00D53876"/>
    <w:rsid w:val="00D538CC"/>
    <w:rsid w:val="00D53966"/>
    <w:rsid w:val="00D539FB"/>
    <w:rsid w:val="00D53A14"/>
    <w:rsid w:val="00D53B90"/>
    <w:rsid w:val="00D53C00"/>
    <w:rsid w:val="00D53C32"/>
    <w:rsid w:val="00D53E0E"/>
    <w:rsid w:val="00D53F1D"/>
    <w:rsid w:val="00D54048"/>
    <w:rsid w:val="00D540E9"/>
    <w:rsid w:val="00D54248"/>
    <w:rsid w:val="00D5430D"/>
    <w:rsid w:val="00D543B4"/>
    <w:rsid w:val="00D546F7"/>
    <w:rsid w:val="00D5474C"/>
    <w:rsid w:val="00D547A1"/>
    <w:rsid w:val="00D54AD3"/>
    <w:rsid w:val="00D54B00"/>
    <w:rsid w:val="00D54BAB"/>
    <w:rsid w:val="00D54DD2"/>
    <w:rsid w:val="00D55235"/>
    <w:rsid w:val="00D5533F"/>
    <w:rsid w:val="00D55667"/>
    <w:rsid w:val="00D5570B"/>
    <w:rsid w:val="00D557C2"/>
    <w:rsid w:val="00D558BD"/>
    <w:rsid w:val="00D5599E"/>
    <w:rsid w:val="00D559D5"/>
    <w:rsid w:val="00D55B7F"/>
    <w:rsid w:val="00D55BF8"/>
    <w:rsid w:val="00D55C9A"/>
    <w:rsid w:val="00D55F25"/>
    <w:rsid w:val="00D56035"/>
    <w:rsid w:val="00D5626B"/>
    <w:rsid w:val="00D56348"/>
    <w:rsid w:val="00D56352"/>
    <w:rsid w:val="00D5639D"/>
    <w:rsid w:val="00D5643F"/>
    <w:rsid w:val="00D56464"/>
    <w:rsid w:val="00D567D2"/>
    <w:rsid w:val="00D5691D"/>
    <w:rsid w:val="00D56998"/>
    <w:rsid w:val="00D569D7"/>
    <w:rsid w:val="00D56A1E"/>
    <w:rsid w:val="00D56B34"/>
    <w:rsid w:val="00D56BF9"/>
    <w:rsid w:val="00D56D47"/>
    <w:rsid w:val="00D56DB8"/>
    <w:rsid w:val="00D56F62"/>
    <w:rsid w:val="00D56FB0"/>
    <w:rsid w:val="00D56FED"/>
    <w:rsid w:val="00D5702E"/>
    <w:rsid w:val="00D5707F"/>
    <w:rsid w:val="00D574AE"/>
    <w:rsid w:val="00D5760F"/>
    <w:rsid w:val="00D5772E"/>
    <w:rsid w:val="00D5772F"/>
    <w:rsid w:val="00D5785D"/>
    <w:rsid w:val="00D57882"/>
    <w:rsid w:val="00D57950"/>
    <w:rsid w:val="00D57AF3"/>
    <w:rsid w:val="00D57E6C"/>
    <w:rsid w:val="00D57FB8"/>
    <w:rsid w:val="00D60033"/>
    <w:rsid w:val="00D60073"/>
    <w:rsid w:val="00D6017F"/>
    <w:rsid w:val="00D6035D"/>
    <w:rsid w:val="00D604EB"/>
    <w:rsid w:val="00D60628"/>
    <w:rsid w:val="00D606E4"/>
    <w:rsid w:val="00D60716"/>
    <w:rsid w:val="00D60766"/>
    <w:rsid w:val="00D60796"/>
    <w:rsid w:val="00D60821"/>
    <w:rsid w:val="00D609DD"/>
    <w:rsid w:val="00D60A29"/>
    <w:rsid w:val="00D60A4F"/>
    <w:rsid w:val="00D60A7D"/>
    <w:rsid w:val="00D60C6C"/>
    <w:rsid w:val="00D60EA6"/>
    <w:rsid w:val="00D6108B"/>
    <w:rsid w:val="00D6128E"/>
    <w:rsid w:val="00D613F6"/>
    <w:rsid w:val="00D6142F"/>
    <w:rsid w:val="00D614D0"/>
    <w:rsid w:val="00D61550"/>
    <w:rsid w:val="00D61654"/>
    <w:rsid w:val="00D6166A"/>
    <w:rsid w:val="00D616EC"/>
    <w:rsid w:val="00D617D0"/>
    <w:rsid w:val="00D61883"/>
    <w:rsid w:val="00D61A4B"/>
    <w:rsid w:val="00D61B3F"/>
    <w:rsid w:val="00D61C62"/>
    <w:rsid w:val="00D61E5E"/>
    <w:rsid w:val="00D62072"/>
    <w:rsid w:val="00D62074"/>
    <w:rsid w:val="00D62080"/>
    <w:rsid w:val="00D62255"/>
    <w:rsid w:val="00D62329"/>
    <w:rsid w:val="00D6270A"/>
    <w:rsid w:val="00D6296B"/>
    <w:rsid w:val="00D62A0B"/>
    <w:rsid w:val="00D62B24"/>
    <w:rsid w:val="00D62B64"/>
    <w:rsid w:val="00D62F71"/>
    <w:rsid w:val="00D630D9"/>
    <w:rsid w:val="00D63100"/>
    <w:rsid w:val="00D63127"/>
    <w:rsid w:val="00D633CE"/>
    <w:rsid w:val="00D6360B"/>
    <w:rsid w:val="00D63658"/>
    <w:rsid w:val="00D63675"/>
    <w:rsid w:val="00D637BF"/>
    <w:rsid w:val="00D63B5C"/>
    <w:rsid w:val="00D63BC5"/>
    <w:rsid w:val="00D63C2D"/>
    <w:rsid w:val="00D63C8D"/>
    <w:rsid w:val="00D63CB5"/>
    <w:rsid w:val="00D63EF0"/>
    <w:rsid w:val="00D63F4C"/>
    <w:rsid w:val="00D6403F"/>
    <w:rsid w:val="00D641AB"/>
    <w:rsid w:val="00D64202"/>
    <w:rsid w:val="00D6428C"/>
    <w:rsid w:val="00D64296"/>
    <w:rsid w:val="00D645ED"/>
    <w:rsid w:val="00D64619"/>
    <w:rsid w:val="00D64659"/>
    <w:rsid w:val="00D6473E"/>
    <w:rsid w:val="00D64876"/>
    <w:rsid w:val="00D64892"/>
    <w:rsid w:val="00D6496F"/>
    <w:rsid w:val="00D64975"/>
    <w:rsid w:val="00D6497D"/>
    <w:rsid w:val="00D64CC8"/>
    <w:rsid w:val="00D64CEF"/>
    <w:rsid w:val="00D64DE4"/>
    <w:rsid w:val="00D6536F"/>
    <w:rsid w:val="00D6537A"/>
    <w:rsid w:val="00D657FD"/>
    <w:rsid w:val="00D65D67"/>
    <w:rsid w:val="00D65E01"/>
    <w:rsid w:val="00D65F01"/>
    <w:rsid w:val="00D65F7C"/>
    <w:rsid w:val="00D660E5"/>
    <w:rsid w:val="00D6613D"/>
    <w:rsid w:val="00D66277"/>
    <w:rsid w:val="00D66550"/>
    <w:rsid w:val="00D665DE"/>
    <w:rsid w:val="00D66634"/>
    <w:rsid w:val="00D666D3"/>
    <w:rsid w:val="00D66766"/>
    <w:rsid w:val="00D667ED"/>
    <w:rsid w:val="00D667F6"/>
    <w:rsid w:val="00D66836"/>
    <w:rsid w:val="00D66AAD"/>
    <w:rsid w:val="00D66BAC"/>
    <w:rsid w:val="00D66E32"/>
    <w:rsid w:val="00D66F0C"/>
    <w:rsid w:val="00D67111"/>
    <w:rsid w:val="00D6723C"/>
    <w:rsid w:val="00D6723E"/>
    <w:rsid w:val="00D6724F"/>
    <w:rsid w:val="00D6739C"/>
    <w:rsid w:val="00D673F9"/>
    <w:rsid w:val="00D6750E"/>
    <w:rsid w:val="00D6757C"/>
    <w:rsid w:val="00D6759A"/>
    <w:rsid w:val="00D676FF"/>
    <w:rsid w:val="00D677D4"/>
    <w:rsid w:val="00D677FB"/>
    <w:rsid w:val="00D67A35"/>
    <w:rsid w:val="00D67A57"/>
    <w:rsid w:val="00D67C42"/>
    <w:rsid w:val="00D67C96"/>
    <w:rsid w:val="00D67CD2"/>
    <w:rsid w:val="00D67D28"/>
    <w:rsid w:val="00D67D79"/>
    <w:rsid w:val="00D67FE5"/>
    <w:rsid w:val="00D7005E"/>
    <w:rsid w:val="00D70109"/>
    <w:rsid w:val="00D70159"/>
    <w:rsid w:val="00D702C4"/>
    <w:rsid w:val="00D70352"/>
    <w:rsid w:val="00D703F0"/>
    <w:rsid w:val="00D7048A"/>
    <w:rsid w:val="00D705CD"/>
    <w:rsid w:val="00D706FF"/>
    <w:rsid w:val="00D70768"/>
    <w:rsid w:val="00D70A21"/>
    <w:rsid w:val="00D70ACB"/>
    <w:rsid w:val="00D70D37"/>
    <w:rsid w:val="00D70DBC"/>
    <w:rsid w:val="00D71143"/>
    <w:rsid w:val="00D712B7"/>
    <w:rsid w:val="00D7153D"/>
    <w:rsid w:val="00D71593"/>
    <w:rsid w:val="00D715FC"/>
    <w:rsid w:val="00D71751"/>
    <w:rsid w:val="00D717F5"/>
    <w:rsid w:val="00D71C8E"/>
    <w:rsid w:val="00D71D09"/>
    <w:rsid w:val="00D71D8F"/>
    <w:rsid w:val="00D71E55"/>
    <w:rsid w:val="00D71EF4"/>
    <w:rsid w:val="00D720A9"/>
    <w:rsid w:val="00D722DD"/>
    <w:rsid w:val="00D72553"/>
    <w:rsid w:val="00D7259C"/>
    <w:rsid w:val="00D72638"/>
    <w:rsid w:val="00D72749"/>
    <w:rsid w:val="00D728ED"/>
    <w:rsid w:val="00D72967"/>
    <w:rsid w:val="00D72A8F"/>
    <w:rsid w:val="00D72A9F"/>
    <w:rsid w:val="00D72AC2"/>
    <w:rsid w:val="00D72B52"/>
    <w:rsid w:val="00D72C31"/>
    <w:rsid w:val="00D72DE2"/>
    <w:rsid w:val="00D72E90"/>
    <w:rsid w:val="00D72F40"/>
    <w:rsid w:val="00D73362"/>
    <w:rsid w:val="00D73457"/>
    <w:rsid w:val="00D73573"/>
    <w:rsid w:val="00D73628"/>
    <w:rsid w:val="00D73831"/>
    <w:rsid w:val="00D73976"/>
    <w:rsid w:val="00D73B16"/>
    <w:rsid w:val="00D73B94"/>
    <w:rsid w:val="00D73CE0"/>
    <w:rsid w:val="00D73D41"/>
    <w:rsid w:val="00D73E0E"/>
    <w:rsid w:val="00D73EC9"/>
    <w:rsid w:val="00D73EDB"/>
    <w:rsid w:val="00D73FD8"/>
    <w:rsid w:val="00D7402F"/>
    <w:rsid w:val="00D740B1"/>
    <w:rsid w:val="00D741C2"/>
    <w:rsid w:val="00D742A6"/>
    <w:rsid w:val="00D746FF"/>
    <w:rsid w:val="00D74CFC"/>
    <w:rsid w:val="00D74E9A"/>
    <w:rsid w:val="00D74F65"/>
    <w:rsid w:val="00D74F6A"/>
    <w:rsid w:val="00D75150"/>
    <w:rsid w:val="00D75348"/>
    <w:rsid w:val="00D7536F"/>
    <w:rsid w:val="00D753EF"/>
    <w:rsid w:val="00D7547B"/>
    <w:rsid w:val="00D75588"/>
    <w:rsid w:val="00D75769"/>
    <w:rsid w:val="00D758A9"/>
    <w:rsid w:val="00D758AA"/>
    <w:rsid w:val="00D758B5"/>
    <w:rsid w:val="00D75B94"/>
    <w:rsid w:val="00D75BC2"/>
    <w:rsid w:val="00D75C1D"/>
    <w:rsid w:val="00D75D44"/>
    <w:rsid w:val="00D75D5B"/>
    <w:rsid w:val="00D75F8F"/>
    <w:rsid w:val="00D75FC4"/>
    <w:rsid w:val="00D76079"/>
    <w:rsid w:val="00D7610D"/>
    <w:rsid w:val="00D761D4"/>
    <w:rsid w:val="00D7646D"/>
    <w:rsid w:val="00D765C1"/>
    <w:rsid w:val="00D765FD"/>
    <w:rsid w:val="00D76869"/>
    <w:rsid w:val="00D7696C"/>
    <w:rsid w:val="00D76AEA"/>
    <w:rsid w:val="00D76B74"/>
    <w:rsid w:val="00D76B82"/>
    <w:rsid w:val="00D76B8D"/>
    <w:rsid w:val="00D76C11"/>
    <w:rsid w:val="00D7701D"/>
    <w:rsid w:val="00D77026"/>
    <w:rsid w:val="00D770EA"/>
    <w:rsid w:val="00D77177"/>
    <w:rsid w:val="00D772C4"/>
    <w:rsid w:val="00D772D7"/>
    <w:rsid w:val="00D776AE"/>
    <w:rsid w:val="00D77724"/>
    <w:rsid w:val="00D7792E"/>
    <w:rsid w:val="00D779FB"/>
    <w:rsid w:val="00D77A7A"/>
    <w:rsid w:val="00D77BDF"/>
    <w:rsid w:val="00D77BF1"/>
    <w:rsid w:val="00D77D95"/>
    <w:rsid w:val="00D77E22"/>
    <w:rsid w:val="00D77E72"/>
    <w:rsid w:val="00D8023C"/>
    <w:rsid w:val="00D80394"/>
    <w:rsid w:val="00D80401"/>
    <w:rsid w:val="00D80506"/>
    <w:rsid w:val="00D80592"/>
    <w:rsid w:val="00D80709"/>
    <w:rsid w:val="00D807FF"/>
    <w:rsid w:val="00D80895"/>
    <w:rsid w:val="00D808DC"/>
    <w:rsid w:val="00D80AB0"/>
    <w:rsid w:val="00D80FFD"/>
    <w:rsid w:val="00D81005"/>
    <w:rsid w:val="00D81028"/>
    <w:rsid w:val="00D8131D"/>
    <w:rsid w:val="00D81357"/>
    <w:rsid w:val="00D81456"/>
    <w:rsid w:val="00D816AA"/>
    <w:rsid w:val="00D81989"/>
    <w:rsid w:val="00D819CB"/>
    <w:rsid w:val="00D81A65"/>
    <w:rsid w:val="00D81ED8"/>
    <w:rsid w:val="00D81FED"/>
    <w:rsid w:val="00D820A6"/>
    <w:rsid w:val="00D8215A"/>
    <w:rsid w:val="00D82219"/>
    <w:rsid w:val="00D8222D"/>
    <w:rsid w:val="00D82334"/>
    <w:rsid w:val="00D82443"/>
    <w:rsid w:val="00D82529"/>
    <w:rsid w:val="00D8256E"/>
    <w:rsid w:val="00D82599"/>
    <w:rsid w:val="00D82667"/>
    <w:rsid w:val="00D8268C"/>
    <w:rsid w:val="00D827C3"/>
    <w:rsid w:val="00D827C4"/>
    <w:rsid w:val="00D82A26"/>
    <w:rsid w:val="00D82C3E"/>
    <w:rsid w:val="00D82C52"/>
    <w:rsid w:val="00D82C96"/>
    <w:rsid w:val="00D82E86"/>
    <w:rsid w:val="00D82FFE"/>
    <w:rsid w:val="00D83030"/>
    <w:rsid w:val="00D830F6"/>
    <w:rsid w:val="00D8318B"/>
    <w:rsid w:val="00D83543"/>
    <w:rsid w:val="00D83809"/>
    <w:rsid w:val="00D8384C"/>
    <w:rsid w:val="00D83A4E"/>
    <w:rsid w:val="00D83AB6"/>
    <w:rsid w:val="00D83B1E"/>
    <w:rsid w:val="00D83BC4"/>
    <w:rsid w:val="00D83BEB"/>
    <w:rsid w:val="00D83CAB"/>
    <w:rsid w:val="00D83D13"/>
    <w:rsid w:val="00D83D9E"/>
    <w:rsid w:val="00D83E9B"/>
    <w:rsid w:val="00D83F5B"/>
    <w:rsid w:val="00D84026"/>
    <w:rsid w:val="00D841D4"/>
    <w:rsid w:val="00D841FC"/>
    <w:rsid w:val="00D842D7"/>
    <w:rsid w:val="00D8433C"/>
    <w:rsid w:val="00D84572"/>
    <w:rsid w:val="00D84585"/>
    <w:rsid w:val="00D845D3"/>
    <w:rsid w:val="00D845D4"/>
    <w:rsid w:val="00D84612"/>
    <w:rsid w:val="00D84692"/>
    <w:rsid w:val="00D84776"/>
    <w:rsid w:val="00D8488D"/>
    <w:rsid w:val="00D84908"/>
    <w:rsid w:val="00D84929"/>
    <w:rsid w:val="00D84A10"/>
    <w:rsid w:val="00D84B2F"/>
    <w:rsid w:val="00D84B39"/>
    <w:rsid w:val="00D84BC8"/>
    <w:rsid w:val="00D84D49"/>
    <w:rsid w:val="00D84E34"/>
    <w:rsid w:val="00D8502B"/>
    <w:rsid w:val="00D851BC"/>
    <w:rsid w:val="00D851EA"/>
    <w:rsid w:val="00D85342"/>
    <w:rsid w:val="00D85538"/>
    <w:rsid w:val="00D855C4"/>
    <w:rsid w:val="00D85641"/>
    <w:rsid w:val="00D8580A"/>
    <w:rsid w:val="00D85914"/>
    <w:rsid w:val="00D8594D"/>
    <w:rsid w:val="00D85953"/>
    <w:rsid w:val="00D85BF2"/>
    <w:rsid w:val="00D85C57"/>
    <w:rsid w:val="00D85C66"/>
    <w:rsid w:val="00D85CF8"/>
    <w:rsid w:val="00D85D8E"/>
    <w:rsid w:val="00D85EDB"/>
    <w:rsid w:val="00D85F48"/>
    <w:rsid w:val="00D85FD5"/>
    <w:rsid w:val="00D862DB"/>
    <w:rsid w:val="00D862E4"/>
    <w:rsid w:val="00D86364"/>
    <w:rsid w:val="00D866E7"/>
    <w:rsid w:val="00D86750"/>
    <w:rsid w:val="00D86751"/>
    <w:rsid w:val="00D8695F"/>
    <w:rsid w:val="00D869CE"/>
    <w:rsid w:val="00D86A0B"/>
    <w:rsid w:val="00D86B82"/>
    <w:rsid w:val="00D86DC9"/>
    <w:rsid w:val="00D86E13"/>
    <w:rsid w:val="00D86F19"/>
    <w:rsid w:val="00D86F49"/>
    <w:rsid w:val="00D87003"/>
    <w:rsid w:val="00D870FE"/>
    <w:rsid w:val="00D8716B"/>
    <w:rsid w:val="00D87570"/>
    <w:rsid w:val="00D87687"/>
    <w:rsid w:val="00D87AB5"/>
    <w:rsid w:val="00D87C06"/>
    <w:rsid w:val="00D87E3A"/>
    <w:rsid w:val="00D90049"/>
    <w:rsid w:val="00D902EF"/>
    <w:rsid w:val="00D903EF"/>
    <w:rsid w:val="00D90454"/>
    <w:rsid w:val="00D904A3"/>
    <w:rsid w:val="00D904E4"/>
    <w:rsid w:val="00D905C8"/>
    <w:rsid w:val="00D905E3"/>
    <w:rsid w:val="00D9085A"/>
    <w:rsid w:val="00D90916"/>
    <w:rsid w:val="00D90982"/>
    <w:rsid w:val="00D909E2"/>
    <w:rsid w:val="00D90DF2"/>
    <w:rsid w:val="00D90E6E"/>
    <w:rsid w:val="00D90E86"/>
    <w:rsid w:val="00D90EB3"/>
    <w:rsid w:val="00D90FD3"/>
    <w:rsid w:val="00D9102C"/>
    <w:rsid w:val="00D9102F"/>
    <w:rsid w:val="00D9118C"/>
    <w:rsid w:val="00D911A1"/>
    <w:rsid w:val="00D914EC"/>
    <w:rsid w:val="00D915C9"/>
    <w:rsid w:val="00D91627"/>
    <w:rsid w:val="00D91709"/>
    <w:rsid w:val="00D9171E"/>
    <w:rsid w:val="00D91810"/>
    <w:rsid w:val="00D91926"/>
    <w:rsid w:val="00D91B5B"/>
    <w:rsid w:val="00D91C95"/>
    <w:rsid w:val="00D91D3B"/>
    <w:rsid w:val="00D91E1D"/>
    <w:rsid w:val="00D91E84"/>
    <w:rsid w:val="00D9211C"/>
    <w:rsid w:val="00D92169"/>
    <w:rsid w:val="00D92235"/>
    <w:rsid w:val="00D92565"/>
    <w:rsid w:val="00D925F2"/>
    <w:rsid w:val="00D92656"/>
    <w:rsid w:val="00D928B1"/>
    <w:rsid w:val="00D92994"/>
    <w:rsid w:val="00D92A4B"/>
    <w:rsid w:val="00D92A9C"/>
    <w:rsid w:val="00D92B01"/>
    <w:rsid w:val="00D92B6A"/>
    <w:rsid w:val="00D92BF2"/>
    <w:rsid w:val="00D92CD3"/>
    <w:rsid w:val="00D92D17"/>
    <w:rsid w:val="00D92D28"/>
    <w:rsid w:val="00D92D9D"/>
    <w:rsid w:val="00D92DC8"/>
    <w:rsid w:val="00D92EDD"/>
    <w:rsid w:val="00D93008"/>
    <w:rsid w:val="00D931BB"/>
    <w:rsid w:val="00D9361E"/>
    <w:rsid w:val="00D936A8"/>
    <w:rsid w:val="00D936E4"/>
    <w:rsid w:val="00D938AF"/>
    <w:rsid w:val="00D938D3"/>
    <w:rsid w:val="00D938D6"/>
    <w:rsid w:val="00D9397A"/>
    <w:rsid w:val="00D93A65"/>
    <w:rsid w:val="00D93CB7"/>
    <w:rsid w:val="00D93E48"/>
    <w:rsid w:val="00D94222"/>
    <w:rsid w:val="00D94461"/>
    <w:rsid w:val="00D944A9"/>
    <w:rsid w:val="00D94544"/>
    <w:rsid w:val="00D945FD"/>
    <w:rsid w:val="00D946D9"/>
    <w:rsid w:val="00D946FE"/>
    <w:rsid w:val="00D9473D"/>
    <w:rsid w:val="00D9474E"/>
    <w:rsid w:val="00D94760"/>
    <w:rsid w:val="00D94868"/>
    <w:rsid w:val="00D948F8"/>
    <w:rsid w:val="00D949A9"/>
    <w:rsid w:val="00D94BD0"/>
    <w:rsid w:val="00D94C41"/>
    <w:rsid w:val="00D94E6A"/>
    <w:rsid w:val="00D95164"/>
    <w:rsid w:val="00D95258"/>
    <w:rsid w:val="00D95429"/>
    <w:rsid w:val="00D95438"/>
    <w:rsid w:val="00D95728"/>
    <w:rsid w:val="00D95799"/>
    <w:rsid w:val="00D9594F"/>
    <w:rsid w:val="00D95958"/>
    <w:rsid w:val="00D95985"/>
    <w:rsid w:val="00D95A90"/>
    <w:rsid w:val="00D95C07"/>
    <w:rsid w:val="00D95F0C"/>
    <w:rsid w:val="00D9618F"/>
    <w:rsid w:val="00D96197"/>
    <w:rsid w:val="00D961C7"/>
    <w:rsid w:val="00D96335"/>
    <w:rsid w:val="00D9636C"/>
    <w:rsid w:val="00D9638B"/>
    <w:rsid w:val="00D965A4"/>
    <w:rsid w:val="00D965AF"/>
    <w:rsid w:val="00D96800"/>
    <w:rsid w:val="00D96879"/>
    <w:rsid w:val="00D96885"/>
    <w:rsid w:val="00D968A5"/>
    <w:rsid w:val="00D96A80"/>
    <w:rsid w:val="00D96B31"/>
    <w:rsid w:val="00D96CC5"/>
    <w:rsid w:val="00D96E5A"/>
    <w:rsid w:val="00D970BB"/>
    <w:rsid w:val="00D9710E"/>
    <w:rsid w:val="00D9712A"/>
    <w:rsid w:val="00D9719B"/>
    <w:rsid w:val="00D973BA"/>
    <w:rsid w:val="00D97691"/>
    <w:rsid w:val="00D97722"/>
    <w:rsid w:val="00D977A1"/>
    <w:rsid w:val="00D977B9"/>
    <w:rsid w:val="00D979F9"/>
    <w:rsid w:val="00D97A8C"/>
    <w:rsid w:val="00D97ABC"/>
    <w:rsid w:val="00D97C97"/>
    <w:rsid w:val="00D97CDF"/>
    <w:rsid w:val="00D97D38"/>
    <w:rsid w:val="00D97D66"/>
    <w:rsid w:val="00D97F2E"/>
    <w:rsid w:val="00DA00BA"/>
    <w:rsid w:val="00DA01D3"/>
    <w:rsid w:val="00DA01F5"/>
    <w:rsid w:val="00DA04D5"/>
    <w:rsid w:val="00DA069F"/>
    <w:rsid w:val="00DA0831"/>
    <w:rsid w:val="00DA0976"/>
    <w:rsid w:val="00DA0A88"/>
    <w:rsid w:val="00DA0AF4"/>
    <w:rsid w:val="00DA0E23"/>
    <w:rsid w:val="00DA0EC8"/>
    <w:rsid w:val="00DA1028"/>
    <w:rsid w:val="00DA10D8"/>
    <w:rsid w:val="00DA152C"/>
    <w:rsid w:val="00DA15A4"/>
    <w:rsid w:val="00DA15A9"/>
    <w:rsid w:val="00DA1657"/>
    <w:rsid w:val="00DA18E2"/>
    <w:rsid w:val="00DA199B"/>
    <w:rsid w:val="00DA1A17"/>
    <w:rsid w:val="00DA1B39"/>
    <w:rsid w:val="00DA1B7B"/>
    <w:rsid w:val="00DA1CC6"/>
    <w:rsid w:val="00DA1D4B"/>
    <w:rsid w:val="00DA1EB3"/>
    <w:rsid w:val="00DA20EE"/>
    <w:rsid w:val="00DA2201"/>
    <w:rsid w:val="00DA222D"/>
    <w:rsid w:val="00DA2513"/>
    <w:rsid w:val="00DA25EA"/>
    <w:rsid w:val="00DA262C"/>
    <w:rsid w:val="00DA28F5"/>
    <w:rsid w:val="00DA29A8"/>
    <w:rsid w:val="00DA2A95"/>
    <w:rsid w:val="00DA2B18"/>
    <w:rsid w:val="00DA2F7B"/>
    <w:rsid w:val="00DA2F86"/>
    <w:rsid w:val="00DA3003"/>
    <w:rsid w:val="00DA30EF"/>
    <w:rsid w:val="00DA3128"/>
    <w:rsid w:val="00DA3247"/>
    <w:rsid w:val="00DA3448"/>
    <w:rsid w:val="00DA3585"/>
    <w:rsid w:val="00DA3685"/>
    <w:rsid w:val="00DA371B"/>
    <w:rsid w:val="00DA37C1"/>
    <w:rsid w:val="00DA3851"/>
    <w:rsid w:val="00DA393C"/>
    <w:rsid w:val="00DA3A3D"/>
    <w:rsid w:val="00DA3A73"/>
    <w:rsid w:val="00DA3A79"/>
    <w:rsid w:val="00DA3D77"/>
    <w:rsid w:val="00DA3E5B"/>
    <w:rsid w:val="00DA3F74"/>
    <w:rsid w:val="00DA43C8"/>
    <w:rsid w:val="00DA4691"/>
    <w:rsid w:val="00DA4694"/>
    <w:rsid w:val="00DA48D1"/>
    <w:rsid w:val="00DA493B"/>
    <w:rsid w:val="00DA4952"/>
    <w:rsid w:val="00DA4C24"/>
    <w:rsid w:val="00DA4F89"/>
    <w:rsid w:val="00DA5142"/>
    <w:rsid w:val="00DA5398"/>
    <w:rsid w:val="00DA541B"/>
    <w:rsid w:val="00DA5599"/>
    <w:rsid w:val="00DA5653"/>
    <w:rsid w:val="00DA56E9"/>
    <w:rsid w:val="00DA58C7"/>
    <w:rsid w:val="00DA5934"/>
    <w:rsid w:val="00DA59A3"/>
    <w:rsid w:val="00DA5A54"/>
    <w:rsid w:val="00DA5A98"/>
    <w:rsid w:val="00DA5D89"/>
    <w:rsid w:val="00DA5EC0"/>
    <w:rsid w:val="00DA5F7F"/>
    <w:rsid w:val="00DA60B6"/>
    <w:rsid w:val="00DA60D7"/>
    <w:rsid w:val="00DA62D4"/>
    <w:rsid w:val="00DA639C"/>
    <w:rsid w:val="00DA63BC"/>
    <w:rsid w:val="00DA6530"/>
    <w:rsid w:val="00DA665F"/>
    <w:rsid w:val="00DA667D"/>
    <w:rsid w:val="00DA6870"/>
    <w:rsid w:val="00DA6930"/>
    <w:rsid w:val="00DA6A53"/>
    <w:rsid w:val="00DA6A6F"/>
    <w:rsid w:val="00DA6D3E"/>
    <w:rsid w:val="00DA769E"/>
    <w:rsid w:val="00DA7797"/>
    <w:rsid w:val="00DA79E6"/>
    <w:rsid w:val="00DA7A71"/>
    <w:rsid w:val="00DA7B3E"/>
    <w:rsid w:val="00DA7B89"/>
    <w:rsid w:val="00DA7E9D"/>
    <w:rsid w:val="00DA7EB1"/>
    <w:rsid w:val="00DA7EDF"/>
    <w:rsid w:val="00DA7FE0"/>
    <w:rsid w:val="00DB00A3"/>
    <w:rsid w:val="00DB00AB"/>
    <w:rsid w:val="00DB020C"/>
    <w:rsid w:val="00DB047B"/>
    <w:rsid w:val="00DB05B1"/>
    <w:rsid w:val="00DB06D0"/>
    <w:rsid w:val="00DB07FF"/>
    <w:rsid w:val="00DB0AC8"/>
    <w:rsid w:val="00DB0B17"/>
    <w:rsid w:val="00DB0B53"/>
    <w:rsid w:val="00DB0C4C"/>
    <w:rsid w:val="00DB0E7D"/>
    <w:rsid w:val="00DB1525"/>
    <w:rsid w:val="00DB15CF"/>
    <w:rsid w:val="00DB1784"/>
    <w:rsid w:val="00DB17C9"/>
    <w:rsid w:val="00DB1943"/>
    <w:rsid w:val="00DB1B10"/>
    <w:rsid w:val="00DB1CA1"/>
    <w:rsid w:val="00DB1E41"/>
    <w:rsid w:val="00DB1ED6"/>
    <w:rsid w:val="00DB1F1B"/>
    <w:rsid w:val="00DB2038"/>
    <w:rsid w:val="00DB206D"/>
    <w:rsid w:val="00DB2164"/>
    <w:rsid w:val="00DB21CE"/>
    <w:rsid w:val="00DB2254"/>
    <w:rsid w:val="00DB233D"/>
    <w:rsid w:val="00DB2394"/>
    <w:rsid w:val="00DB25BB"/>
    <w:rsid w:val="00DB2685"/>
    <w:rsid w:val="00DB286C"/>
    <w:rsid w:val="00DB2AF7"/>
    <w:rsid w:val="00DB2B2E"/>
    <w:rsid w:val="00DB2D7A"/>
    <w:rsid w:val="00DB2F28"/>
    <w:rsid w:val="00DB2FD2"/>
    <w:rsid w:val="00DB2FF6"/>
    <w:rsid w:val="00DB3148"/>
    <w:rsid w:val="00DB3197"/>
    <w:rsid w:val="00DB31BC"/>
    <w:rsid w:val="00DB320D"/>
    <w:rsid w:val="00DB330D"/>
    <w:rsid w:val="00DB34A6"/>
    <w:rsid w:val="00DB351E"/>
    <w:rsid w:val="00DB357A"/>
    <w:rsid w:val="00DB357E"/>
    <w:rsid w:val="00DB35B1"/>
    <w:rsid w:val="00DB365D"/>
    <w:rsid w:val="00DB37ED"/>
    <w:rsid w:val="00DB3898"/>
    <w:rsid w:val="00DB399E"/>
    <w:rsid w:val="00DB3A60"/>
    <w:rsid w:val="00DB3DA9"/>
    <w:rsid w:val="00DB3FD9"/>
    <w:rsid w:val="00DB407E"/>
    <w:rsid w:val="00DB4115"/>
    <w:rsid w:val="00DB4195"/>
    <w:rsid w:val="00DB420F"/>
    <w:rsid w:val="00DB42FC"/>
    <w:rsid w:val="00DB440E"/>
    <w:rsid w:val="00DB45FD"/>
    <w:rsid w:val="00DB4702"/>
    <w:rsid w:val="00DB48CF"/>
    <w:rsid w:val="00DB4967"/>
    <w:rsid w:val="00DB4AAF"/>
    <w:rsid w:val="00DB4D33"/>
    <w:rsid w:val="00DB4DC5"/>
    <w:rsid w:val="00DB4F7D"/>
    <w:rsid w:val="00DB4FA7"/>
    <w:rsid w:val="00DB527E"/>
    <w:rsid w:val="00DB5351"/>
    <w:rsid w:val="00DB53FB"/>
    <w:rsid w:val="00DB56B9"/>
    <w:rsid w:val="00DB5765"/>
    <w:rsid w:val="00DB592D"/>
    <w:rsid w:val="00DB5BB5"/>
    <w:rsid w:val="00DB5BC5"/>
    <w:rsid w:val="00DB5CBC"/>
    <w:rsid w:val="00DB5EB3"/>
    <w:rsid w:val="00DB5FB8"/>
    <w:rsid w:val="00DB602E"/>
    <w:rsid w:val="00DB608C"/>
    <w:rsid w:val="00DB60E1"/>
    <w:rsid w:val="00DB623E"/>
    <w:rsid w:val="00DB6273"/>
    <w:rsid w:val="00DB63F7"/>
    <w:rsid w:val="00DB6486"/>
    <w:rsid w:val="00DB64CE"/>
    <w:rsid w:val="00DB6665"/>
    <w:rsid w:val="00DB6728"/>
    <w:rsid w:val="00DB672C"/>
    <w:rsid w:val="00DB687E"/>
    <w:rsid w:val="00DB6936"/>
    <w:rsid w:val="00DB6976"/>
    <w:rsid w:val="00DB69BF"/>
    <w:rsid w:val="00DB6E31"/>
    <w:rsid w:val="00DB6E4B"/>
    <w:rsid w:val="00DB74C2"/>
    <w:rsid w:val="00DB751E"/>
    <w:rsid w:val="00DB75D8"/>
    <w:rsid w:val="00DB7951"/>
    <w:rsid w:val="00DB7B33"/>
    <w:rsid w:val="00DB7BA9"/>
    <w:rsid w:val="00DC02FF"/>
    <w:rsid w:val="00DC0345"/>
    <w:rsid w:val="00DC04E5"/>
    <w:rsid w:val="00DC06B4"/>
    <w:rsid w:val="00DC0A35"/>
    <w:rsid w:val="00DC0AC6"/>
    <w:rsid w:val="00DC0ACA"/>
    <w:rsid w:val="00DC0C9A"/>
    <w:rsid w:val="00DC0D9B"/>
    <w:rsid w:val="00DC11AC"/>
    <w:rsid w:val="00DC1332"/>
    <w:rsid w:val="00DC1522"/>
    <w:rsid w:val="00DC15AE"/>
    <w:rsid w:val="00DC176A"/>
    <w:rsid w:val="00DC17BC"/>
    <w:rsid w:val="00DC1ACC"/>
    <w:rsid w:val="00DC1ACF"/>
    <w:rsid w:val="00DC1B03"/>
    <w:rsid w:val="00DC1DBF"/>
    <w:rsid w:val="00DC235F"/>
    <w:rsid w:val="00DC251A"/>
    <w:rsid w:val="00DC26B6"/>
    <w:rsid w:val="00DC26CE"/>
    <w:rsid w:val="00DC29EC"/>
    <w:rsid w:val="00DC2F60"/>
    <w:rsid w:val="00DC3049"/>
    <w:rsid w:val="00DC3152"/>
    <w:rsid w:val="00DC31B6"/>
    <w:rsid w:val="00DC3531"/>
    <w:rsid w:val="00DC37C9"/>
    <w:rsid w:val="00DC3825"/>
    <w:rsid w:val="00DC3980"/>
    <w:rsid w:val="00DC3981"/>
    <w:rsid w:val="00DC399B"/>
    <w:rsid w:val="00DC399F"/>
    <w:rsid w:val="00DC3D9E"/>
    <w:rsid w:val="00DC3F86"/>
    <w:rsid w:val="00DC3F91"/>
    <w:rsid w:val="00DC407E"/>
    <w:rsid w:val="00DC4280"/>
    <w:rsid w:val="00DC42B3"/>
    <w:rsid w:val="00DC4319"/>
    <w:rsid w:val="00DC4397"/>
    <w:rsid w:val="00DC47E5"/>
    <w:rsid w:val="00DC4A57"/>
    <w:rsid w:val="00DC4A58"/>
    <w:rsid w:val="00DC4D16"/>
    <w:rsid w:val="00DC4DE3"/>
    <w:rsid w:val="00DC4F17"/>
    <w:rsid w:val="00DC4F27"/>
    <w:rsid w:val="00DC4F30"/>
    <w:rsid w:val="00DC4F8C"/>
    <w:rsid w:val="00DC5764"/>
    <w:rsid w:val="00DC584E"/>
    <w:rsid w:val="00DC59C8"/>
    <w:rsid w:val="00DC5A0B"/>
    <w:rsid w:val="00DC5C4A"/>
    <w:rsid w:val="00DC5D10"/>
    <w:rsid w:val="00DC5DA7"/>
    <w:rsid w:val="00DC5F40"/>
    <w:rsid w:val="00DC6073"/>
    <w:rsid w:val="00DC60A0"/>
    <w:rsid w:val="00DC611B"/>
    <w:rsid w:val="00DC6260"/>
    <w:rsid w:val="00DC630E"/>
    <w:rsid w:val="00DC646E"/>
    <w:rsid w:val="00DC64A4"/>
    <w:rsid w:val="00DC6523"/>
    <w:rsid w:val="00DC66DD"/>
    <w:rsid w:val="00DC6765"/>
    <w:rsid w:val="00DC67AF"/>
    <w:rsid w:val="00DC6B50"/>
    <w:rsid w:val="00DC6D15"/>
    <w:rsid w:val="00DC6DFC"/>
    <w:rsid w:val="00DC6E71"/>
    <w:rsid w:val="00DC6FD7"/>
    <w:rsid w:val="00DC7266"/>
    <w:rsid w:val="00DC726F"/>
    <w:rsid w:val="00DC72C1"/>
    <w:rsid w:val="00DC73C4"/>
    <w:rsid w:val="00DC74D9"/>
    <w:rsid w:val="00DC75EB"/>
    <w:rsid w:val="00DC7643"/>
    <w:rsid w:val="00DC76BC"/>
    <w:rsid w:val="00DC76C9"/>
    <w:rsid w:val="00DC7700"/>
    <w:rsid w:val="00DC77B8"/>
    <w:rsid w:val="00DC79FD"/>
    <w:rsid w:val="00DC7A25"/>
    <w:rsid w:val="00DC7B4A"/>
    <w:rsid w:val="00DC7CDD"/>
    <w:rsid w:val="00DC7DE5"/>
    <w:rsid w:val="00DD0077"/>
    <w:rsid w:val="00DD0718"/>
    <w:rsid w:val="00DD0784"/>
    <w:rsid w:val="00DD0B07"/>
    <w:rsid w:val="00DD0BA0"/>
    <w:rsid w:val="00DD0C48"/>
    <w:rsid w:val="00DD0CA4"/>
    <w:rsid w:val="00DD0DD5"/>
    <w:rsid w:val="00DD0ED8"/>
    <w:rsid w:val="00DD0EFD"/>
    <w:rsid w:val="00DD0F28"/>
    <w:rsid w:val="00DD10C0"/>
    <w:rsid w:val="00DD1105"/>
    <w:rsid w:val="00DD11BF"/>
    <w:rsid w:val="00DD1493"/>
    <w:rsid w:val="00DD1639"/>
    <w:rsid w:val="00DD177A"/>
    <w:rsid w:val="00DD1969"/>
    <w:rsid w:val="00DD1BD8"/>
    <w:rsid w:val="00DD1CCE"/>
    <w:rsid w:val="00DD1D3A"/>
    <w:rsid w:val="00DD1D4B"/>
    <w:rsid w:val="00DD1D67"/>
    <w:rsid w:val="00DD2192"/>
    <w:rsid w:val="00DD2213"/>
    <w:rsid w:val="00DD22AC"/>
    <w:rsid w:val="00DD2336"/>
    <w:rsid w:val="00DD282D"/>
    <w:rsid w:val="00DD287B"/>
    <w:rsid w:val="00DD288E"/>
    <w:rsid w:val="00DD2997"/>
    <w:rsid w:val="00DD2A88"/>
    <w:rsid w:val="00DD2A95"/>
    <w:rsid w:val="00DD2B42"/>
    <w:rsid w:val="00DD2BAF"/>
    <w:rsid w:val="00DD2D89"/>
    <w:rsid w:val="00DD2EF5"/>
    <w:rsid w:val="00DD311D"/>
    <w:rsid w:val="00DD32DD"/>
    <w:rsid w:val="00DD341D"/>
    <w:rsid w:val="00DD344D"/>
    <w:rsid w:val="00DD3487"/>
    <w:rsid w:val="00DD34B3"/>
    <w:rsid w:val="00DD3516"/>
    <w:rsid w:val="00DD3553"/>
    <w:rsid w:val="00DD378F"/>
    <w:rsid w:val="00DD38D1"/>
    <w:rsid w:val="00DD38DA"/>
    <w:rsid w:val="00DD38DE"/>
    <w:rsid w:val="00DD3C47"/>
    <w:rsid w:val="00DD3E18"/>
    <w:rsid w:val="00DD3E30"/>
    <w:rsid w:val="00DD3E85"/>
    <w:rsid w:val="00DD3F18"/>
    <w:rsid w:val="00DD4001"/>
    <w:rsid w:val="00DD4266"/>
    <w:rsid w:val="00DD4357"/>
    <w:rsid w:val="00DD4855"/>
    <w:rsid w:val="00DD4CED"/>
    <w:rsid w:val="00DD4DCD"/>
    <w:rsid w:val="00DD4E61"/>
    <w:rsid w:val="00DD4F34"/>
    <w:rsid w:val="00DD506A"/>
    <w:rsid w:val="00DD52E1"/>
    <w:rsid w:val="00DD5603"/>
    <w:rsid w:val="00DD57ED"/>
    <w:rsid w:val="00DD59C1"/>
    <w:rsid w:val="00DD5B52"/>
    <w:rsid w:val="00DD5BA4"/>
    <w:rsid w:val="00DD5C40"/>
    <w:rsid w:val="00DD5D1D"/>
    <w:rsid w:val="00DD5E01"/>
    <w:rsid w:val="00DD5E85"/>
    <w:rsid w:val="00DD5EC7"/>
    <w:rsid w:val="00DD608C"/>
    <w:rsid w:val="00DD61C7"/>
    <w:rsid w:val="00DD623C"/>
    <w:rsid w:val="00DD631A"/>
    <w:rsid w:val="00DD6343"/>
    <w:rsid w:val="00DD6479"/>
    <w:rsid w:val="00DD6544"/>
    <w:rsid w:val="00DD67EF"/>
    <w:rsid w:val="00DD68D1"/>
    <w:rsid w:val="00DD692A"/>
    <w:rsid w:val="00DD6965"/>
    <w:rsid w:val="00DD6A00"/>
    <w:rsid w:val="00DD6B0C"/>
    <w:rsid w:val="00DD6BAF"/>
    <w:rsid w:val="00DD6C0D"/>
    <w:rsid w:val="00DD6C8B"/>
    <w:rsid w:val="00DD6D22"/>
    <w:rsid w:val="00DD6EAA"/>
    <w:rsid w:val="00DD6FE3"/>
    <w:rsid w:val="00DD715A"/>
    <w:rsid w:val="00DD7167"/>
    <w:rsid w:val="00DD7208"/>
    <w:rsid w:val="00DD7209"/>
    <w:rsid w:val="00DD7326"/>
    <w:rsid w:val="00DD75BA"/>
    <w:rsid w:val="00DD76C0"/>
    <w:rsid w:val="00DD76F1"/>
    <w:rsid w:val="00DD7749"/>
    <w:rsid w:val="00DD7850"/>
    <w:rsid w:val="00DD79AC"/>
    <w:rsid w:val="00DD7B3E"/>
    <w:rsid w:val="00DD7B9A"/>
    <w:rsid w:val="00DD7CA6"/>
    <w:rsid w:val="00DD7CE1"/>
    <w:rsid w:val="00DD7E24"/>
    <w:rsid w:val="00DD7F25"/>
    <w:rsid w:val="00DD7FE7"/>
    <w:rsid w:val="00DE0155"/>
    <w:rsid w:val="00DE0159"/>
    <w:rsid w:val="00DE01DD"/>
    <w:rsid w:val="00DE022F"/>
    <w:rsid w:val="00DE0255"/>
    <w:rsid w:val="00DE05DD"/>
    <w:rsid w:val="00DE0654"/>
    <w:rsid w:val="00DE069A"/>
    <w:rsid w:val="00DE0832"/>
    <w:rsid w:val="00DE0874"/>
    <w:rsid w:val="00DE09DF"/>
    <w:rsid w:val="00DE0A4E"/>
    <w:rsid w:val="00DE0BB2"/>
    <w:rsid w:val="00DE11F7"/>
    <w:rsid w:val="00DE1533"/>
    <w:rsid w:val="00DE15FA"/>
    <w:rsid w:val="00DE168A"/>
    <w:rsid w:val="00DE1A7A"/>
    <w:rsid w:val="00DE1DED"/>
    <w:rsid w:val="00DE1EFE"/>
    <w:rsid w:val="00DE20C8"/>
    <w:rsid w:val="00DE2298"/>
    <w:rsid w:val="00DE229A"/>
    <w:rsid w:val="00DE22D5"/>
    <w:rsid w:val="00DE2319"/>
    <w:rsid w:val="00DE233D"/>
    <w:rsid w:val="00DE2440"/>
    <w:rsid w:val="00DE25E7"/>
    <w:rsid w:val="00DE267C"/>
    <w:rsid w:val="00DE27DB"/>
    <w:rsid w:val="00DE2925"/>
    <w:rsid w:val="00DE2996"/>
    <w:rsid w:val="00DE2AD2"/>
    <w:rsid w:val="00DE2DAC"/>
    <w:rsid w:val="00DE2EF1"/>
    <w:rsid w:val="00DE2F70"/>
    <w:rsid w:val="00DE2FB7"/>
    <w:rsid w:val="00DE34B2"/>
    <w:rsid w:val="00DE34CE"/>
    <w:rsid w:val="00DE371D"/>
    <w:rsid w:val="00DE386A"/>
    <w:rsid w:val="00DE3880"/>
    <w:rsid w:val="00DE398A"/>
    <w:rsid w:val="00DE3AC0"/>
    <w:rsid w:val="00DE3D0C"/>
    <w:rsid w:val="00DE3EB8"/>
    <w:rsid w:val="00DE3F75"/>
    <w:rsid w:val="00DE3FAB"/>
    <w:rsid w:val="00DE3FF8"/>
    <w:rsid w:val="00DE4035"/>
    <w:rsid w:val="00DE410B"/>
    <w:rsid w:val="00DE4196"/>
    <w:rsid w:val="00DE419C"/>
    <w:rsid w:val="00DE42F8"/>
    <w:rsid w:val="00DE4527"/>
    <w:rsid w:val="00DE4805"/>
    <w:rsid w:val="00DE49A5"/>
    <w:rsid w:val="00DE4A11"/>
    <w:rsid w:val="00DE4B29"/>
    <w:rsid w:val="00DE4C1A"/>
    <w:rsid w:val="00DE4D2A"/>
    <w:rsid w:val="00DE4E25"/>
    <w:rsid w:val="00DE52BD"/>
    <w:rsid w:val="00DE543F"/>
    <w:rsid w:val="00DE5445"/>
    <w:rsid w:val="00DE5476"/>
    <w:rsid w:val="00DE552C"/>
    <w:rsid w:val="00DE55FB"/>
    <w:rsid w:val="00DE56D8"/>
    <w:rsid w:val="00DE56DB"/>
    <w:rsid w:val="00DE56EC"/>
    <w:rsid w:val="00DE5765"/>
    <w:rsid w:val="00DE59C8"/>
    <w:rsid w:val="00DE5B30"/>
    <w:rsid w:val="00DE5B8D"/>
    <w:rsid w:val="00DE5BDC"/>
    <w:rsid w:val="00DE5E98"/>
    <w:rsid w:val="00DE5ED3"/>
    <w:rsid w:val="00DE5FB8"/>
    <w:rsid w:val="00DE6008"/>
    <w:rsid w:val="00DE60CA"/>
    <w:rsid w:val="00DE61E5"/>
    <w:rsid w:val="00DE624C"/>
    <w:rsid w:val="00DE63D2"/>
    <w:rsid w:val="00DE6417"/>
    <w:rsid w:val="00DE64F3"/>
    <w:rsid w:val="00DE6524"/>
    <w:rsid w:val="00DE65AD"/>
    <w:rsid w:val="00DE668A"/>
    <w:rsid w:val="00DE6746"/>
    <w:rsid w:val="00DE6771"/>
    <w:rsid w:val="00DE67D8"/>
    <w:rsid w:val="00DE69BB"/>
    <w:rsid w:val="00DE6A0A"/>
    <w:rsid w:val="00DE6D11"/>
    <w:rsid w:val="00DE6D15"/>
    <w:rsid w:val="00DE6D1C"/>
    <w:rsid w:val="00DE6D23"/>
    <w:rsid w:val="00DE6D74"/>
    <w:rsid w:val="00DE6DD0"/>
    <w:rsid w:val="00DE6FCE"/>
    <w:rsid w:val="00DE70C1"/>
    <w:rsid w:val="00DE7179"/>
    <w:rsid w:val="00DE71F2"/>
    <w:rsid w:val="00DE7222"/>
    <w:rsid w:val="00DE72B9"/>
    <w:rsid w:val="00DE73C7"/>
    <w:rsid w:val="00DE75F9"/>
    <w:rsid w:val="00DE7A9C"/>
    <w:rsid w:val="00DE7B00"/>
    <w:rsid w:val="00DE7B09"/>
    <w:rsid w:val="00DE7B11"/>
    <w:rsid w:val="00DE7B1E"/>
    <w:rsid w:val="00DE7C94"/>
    <w:rsid w:val="00DE7CB0"/>
    <w:rsid w:val="00DE7E7A"/>
    <w:rsid w:val="00DE7EC6"/>
    <w:rsid w:val="00DE7FDD"/>
    <w:rsid w:val="00DF012C"/>
    <w:rsid w:val="00DF01C5"/>
    <w:rsid w:val="00DF0285"/>
    <w:rsid w:val="00DF0437"/>
    <w:rsid w:val="00DF0471"/>
    <w:rsid w:val="00DF04C5"/>
    <w:rsid w:val="00DF05D1"/>
    <w:rsid w:val="00DF06BD"/>
    <w:rsid w:val="00DF072F"/>
    <w:rsid w:val="00DF07DF"/>
    <w:rsid w:val="00DF083D"/>
    <w:rsid w:val="00DF0955"/>
    <w:rsid w:val="00DF098F"/>
    <w:rsid w:val="00DF0A79"/>
    <w:rsid w:val="00DF0A82"/>
    <w:rsid w:val="00DF0B2E"/>
    <w:rsid w:val="00DF0D65"/>
    <w:rsid w:val="00DF0F9B"/>
    <w:rsid w:val="00DF11DC"/>
    <w:rsid w:val="00DF1203"/>
    <w:rsid w:val="00DF1313"/>
    <w:rsid w:val="00DF1355"/>
    <w:rsid w:val="00DF15F6"/>
    <w:rsid w:val="00DF16BC"/>
    <w:rsid w:val="00DF16BF"/>
    <w:rsid w:val="00DF16EA"/>
    <w:rsid w:val="00DF1ADA"/>
    <w:rsid w:val="00DF1BE3"/>
    <w:rsid w:val="00DF1DD1"/>
    <w:rsid w:val="00DF1EBF"/>
    <w:rsid w:val="00DF26FB"/>
    <w:rsid w:val="00DF27C4"/>
    <w:rsid w:val="00DF2A45"/>
    <w:rsid w:val="00DF2BDE"/>
    <w:rsid w:val="00DF2C7E"/>
    <w:rsid w:val="00DF2CE8"/>
    <w:rsid w:val="00DF2DA0"/>
    <w:rsid w:val="00DF2F64"/>
    <w:rsid w:val="00DF3026"/>
    <w:rsid w:val="00DF30BA"/>
    <w:rsid w:val="00DF3131"/>
    <w:rsid w:val="00DF31ED"/>
    <w:rsid w:val="00DF32D8"/>
    <w:rsid w:val="00DF3322"/>
    <w:rsid w:val="00DF34FF"/>
    <w:rsid w:val="00DF3514"/>
    <w:rsid w:val="00DF3605"/>
    <w:rsid w:val="00DF39A3"/>
    <w:rsid w:val="00DF3BDD"/>
    <w:rsid w:val="00DF3DFF"/>
    <w:rsid w:val="00DF3F27"/>
    <w:rsid w:val="00DF3FE2"/>
    <w:rsid w:val="00DF4035"/>
    <w:rsid w:val="00DF40F0"/>
    <w:rsid w:val="00DF4101"/>
    <w:rsid w:val="00DF4165"/>
    <w:rsid w:val="00DF4222"/>
    <w:rsid w:val="00DF43A2"/>
    <w:rsid w:val="00DF4558"/>
    <w:rsid w:val="00DF458E"/>
    <w:rsid w:val="00DF45C1"/>
    <w:rsid w:val="00DF4614"/>
    <w:rsid w:val="00DF46AE"/>
    <w:rsid w:val="00DF47B0"/>
    <w:rsid w:val="00DF48B6"/>
    <w:rsid w:val="00DF4900"/>
    <w:rsid w:val="00DF4C29"/>
    <w:rsid w:val="00DF4D37"/>
    <w:rsid w:val="00DF4E9C"/>
    <w:rsid w:val="00DF5146"/>
    <w:rsid w:val="00DF51F7"/>
    <w:rsid w:val="00DF520A"/>
    <w:rsid w:val="00DF5211"/>
    <w:rsid w:val="00DF54A6"/>
    <w:rsid w:val="00DF54C3"/>
    <w:rsid w:val="00DF5562"/>
    <w:rsid w:val="00DF56B4"/>
    <w:rsid w:val="00DF5724"/>
    <w:rsid w:val="00DF5744"/>
    <w:rsid w:val="00DF5778"/>
    <w:rsid w:val="00DF578D"/>
    <w:rsid w:val="00DF582B"/>
    <w:rsid w:val="00DF5905"/>
    <w:rsid w:val="00DF5AD7"/>
    <w:rsid w:val="00DF5B01"/>
    <w:rsid w:val="00DF5D4D"/>
    <w:rsid w:val="00DF5F5F"/>
    <w:rsid w:val="00DF5F9B"/>
    <w:rsid w:val="00DF5FA4"/>
    <w:rsid w:val="00DF6020"/>
    <w:rsid w:val="00DF621B"/>
    <w:rsid w:val="00DF6273"/>
    <w:rsid w:val="00DF641A"/>
    <w:rsid w:val="00DF64C1"/>
    <w:rsid w:val="00DF6556"/>
    <w:rsid w:val="00DF6588"/>
    <w:rsid w:val="00DF65A4"/>
    <w:rsid w:val="00DF67B9"/>
    <w:rsid w:val="00DF67F8"/>
    <w:rsid w:val="00DF681A"/>
    <w:rsid w:val="00DF68FE"/>
    <w:rsid w:val="00DF696F"/>
    <w:rsid w:val="00DF6A03"/>
    <w:rsid w:val="00DF6A4C"/>
    <w:rsid w:val="00DF6A9A"/>
    <w:rsid w:val="00DF6C02"/>
    <w:rsid w:val="00DF6DE5"/>
    <w:rsid w:val="00DF6E7F"/>
    <w:rsid w:val="00DF6F57"/>
    <w:rsid w:val="00DF7093"/>
    <w:rsid w:val="00DF71C6"/>
    <w:rsid w:val="00DF7211"/>
    <w:rsid w:val="00DF747F"/>
    <w:rsid w:val="00DF749F"/>
    <w:rsid w:val="00DF75AA"/>
    <w:rsid w:val="00DF767F"/>
    <w:rsid w:val="00DF77B1"/>
    <w:rsid w:val="00DF79E8"/>
    <w:rsid w:val="00DF7A92"/>
    <w:rsid w:val="00DF7AD5"/>
    <w:rsid w:val="00DF7B73"/>
    <w:rsid w:val="00DF7B90"/>
    <w:rsid w:val="00DF7BAC"/>
    <w:rsid w:val="00DF7BEB"/>
    <w:rsid w:val="00DF7EFB"/>
    <w:rsid w:val="00E000A6"/>
    <w:rsid w:val="00E000FA"/>
    <w:rsid w:val="00E003F4"/>
    <w:rsid w:val="00E00483"/>
    <w:rsid w:val="00E004AC"/>
    <w:rsid w:val="00E004E5"/>
    <w:rsid w:val="00E005F2"/>
    <w:rsid w:val="00E009A9"/>
    <w:rsid w:val="00E00D96"/>
    <w:rsid w:val="00E0108D"/>
    <w:rsid w:val="00E014F8"/>
    <w:rsid w:val="00E01671"/>
    <w:rsid w:val="00E0188F"/>
    <w:rsid w:val="00E01934"/>
    <w:rsid w:val="00E01A06"/>
    <w:rsid w:val="00E01B5F"/>
    <w:rsid w:val="00E01BBA"/>
    <w:rsid w:val="00E01BEA"/>
    <w:rsid w:val="00E01C05"/>
    <w:rsid w:val="00E01DA5"/>
    <w:rsid w:val="00E01E02"/>
    <w:rsid w:val="00E01EE7"/>
    <w:rsid w:val="00E01F33"/>
    <w:rsid w:val="00E02389"/>
    <w:rsid w:val="00E02390"/>
    <w:rsid w:val="00E023F1"/>
    <w:rsid w:val="00E028B3"/>
    <w:rsid w:val="00E028E6"/>
    <w:rsid w:val="00E02926"/>
    <w:rsid w:val="00E02960"/>
    <w:rsid w:val="00E02961"/>
    <w:rsid w:val="00E02B78"/>
    <w:rsid w:val="00E02D28"/>
    <w:rsid w:val="00E02DC7"/>
    <w:rsid w:val="00E02DD8"/>
    <w:rsid w:val="00E02E92"/>
    <w:rsid w:val="00E02FC7"/>
    <w:rsid w:val="00E03007"/>
    <w:rsid w:val="00E03056"/>
    <w:rsid w:val="00E0306E"/>
    <w:rsid w:val="00E030C9"/>
    <w:rsid w:val="00E03182"/>
    <w:rsid w:val="00E03244"/>
    <w:rsid w:val="00E03352"/>
    <w:rsid w:val="00E033DC"/>
    <w:rsid w:val="00E03654"/>
    <w:rsid w:val="00E03683"/>
    <w:rsid w:val="00E036EE"/>
    <w:rsid w:val="00E0376A"/>
    <w:rsid w:val="00E03867"/>
    <w:rsid w:val="00E03937"/>
    <w:rsid w:val="00E039C5"/>
    <w:rsid w:val="00E03B4E"/>
    <w:rsid w:val="00E03CFE"/>
    <w:rsid w:val="00E03DF1"/>
    <w:rsid w:val="00E03F4D"/>
    <w:rsid w:val="00E040B9"/>
    <w:rsid w:val="00E04179"/>
    <w:rsid w:val="00E04292"/>
    <w:rsid w:val="00E04294"/>
    <w:rsid w:val="00E042D9"/>
    <w:rsid w:val="00E043DF"/>
    <w:rsid w:val="00E0492A"/>
    <w:rsid w:val="00E04D29"/>
    <w:rsid w:val="00E04E17"/>
    <w:rsid w:val="00E050F3"/>
    <w:rsid w:val="00E0512D"/>
    <w:rsid w:val="00E05153"/>
    <w:rsid w:val="00E05489"/>
    <w:rsid w:val="00E054E9"/>
    <w:rsid w:val="00E05672"/>
    <w:rsid w:val="00E057BA"/>
    <w:rsid w:val="00E059B9"/>
    <w:rsid w:val="00E05A14"/>
    <w:rsid w:val="00E05A17"/>
    <w:rsid w:val="00E05A91"/>
    <w:rsid w:val="00E05AEE"/>
    <w:rsid w:val="00E05AFD"/>
    <w:rsid w:val="00E05EEC"/>
    <w:rsid w:val="00E05F38"/>
    <w:rsid w:val="00E05FD0"/>
    <w:rsid w:val="00E060C1"/>
    <w:rsid w:val="00E06184"/>
    <w:rsid w:val="00E061F3"/>
    <w:rsid w:val="00E066EB"/>
    <w:rsid w:val="00E06738"/>
    <w:rsid w:val="00E067B0"/>
    <w:rsid w:val="00E0694B"/>
    <w:rsid w:val="00E069EF"/>
    <w:rsid w:val="00E06A42"/>
    <w:rsid w:val="00E06A4C"/>
    <w:rsid w:val="00E06B66"/>
    <w:rsid w:val="00E06CB4"/>
    <w:rsid w:val="00E06DB7"/>
    <w:rsid w:val="00E06DDB"/>
    <w:rsid w:val="00E06E2E"/>
    <w:rsid w:val="00E06E64"/>
    <w:rsid w:val="00E070CB"/>
    <w:rsid w:val="00E07194"/>
    <w:rsid w:val="00E07350"/>
    <w:rsid w:val="00E07487"/>
    <w:rsid w:val="00E07498"/>
    <w:rsid w:val="00E0774A"/>
    <w:rsid w:val="00E077A8"/>
    <w:rsid w:val="00E077CD"/>
    <w:rsid w:val="00E0794D"/>
    <w:rsid w:val="00E07969"/>
    <w:rsid w:val="00E07A39"/>
    <w:rsid w:val="00E07AE6"/>
    <w:rsid w:val="00E07B09"/>
    <w:rsid w:val="00E07C23"/>
    <w:rsid w:val="00E07C7E"/>
    <w:rsid w:val="00E07D05"/>
    <w:rsid w:val="00E07DD8"/>
    <w:rsid w:val="00E07E1F"/>
    <w:rsid w:val="00E07E4D"/>
    <w:rsid w:val="00E07EFE"/>
    <w:rsid w:val="00E07F09"/>
    <w:rsid w:val="00E100B0"/>
    <w:rsid w:val="00E10235"/>
    <w:rsid w:val="00E10457"/>
    <w:rsid w:val="00E10630"/>
    <w:rsid w:val="00E1068B"/>
    <w:rsid w:val="00E106BA"/>
    <w:rsid w:val="00E10820"/>
    <w:rsid w:val="00E1085E"/>
    <w:rsid w:val="00E108D6"/>
    <w:rsid w:val="00E109D8"/>
    <w:rsid w:val="00E10A9E"/>
    <w:rsid w:val="00E10B49"/>
    <w:rsid w:val="00E10B8F"/>
    <w:rsid w:val="00E10C2C"/>
    <w:rsid w:val="00E10CE0"/>
    <w:rsid w:val="00E10D30"/>
    <w:rsid w:val="00E10DDF"/>
    <w:rsid w:val="00E10EC6"/>
    <w:rsid w:val="00E10EC8"/>
    <w:rsid w:val="00E10F70"/>
    <w:rsid w:val="00E11093"/>
    <w:rsid w:val="00E1111D"/>
    <w:rsid w:val="00E11186"/>
    <w:rsid w:val="00E11237"/>
    <w:rsid w:val="00E1156A"/>
    <w:rsid w:val="00E117FB"/>
    <w:rsid w:val="00E11B27"/>
    <w:rsid w:val="00E11D26"/>
    <w:rsid w:val="00E11D58"/>
    <w:rsid w:val="00E11DC2"/>
    <w:rsid w:val="00E11E7B"/>
    <w:rsid w:val="00E11EC4"/>
    <w:rsid w:val="00E12156"/>
    <w:rsid w:val="00E1215C"/>
    <w:rsid w:val="00E12259"/>
    <w:rsid w:val="00E12462"/>
    <w:rsid w:val="00E125ED"/>
    <w:rsid w:val="00E12613"/>
    <w:rsid w:val="00E12639"/>
    <w:rsid w:val="00E12A00"/>
    <w:rsid w:val="00E12ABA"/>
    <w:rsid w:val="00E12BB2"/>
    <w:rsid w:val="00E12D7F"/>
    <w:rsid w:val="00E12EC9"/>
    <w:rsid w:val="00E131AB"/>
    <w:rsid w:val="00E1333C"/>
    <w:rsid w:val="00E133C4"/>
    <w:rsid w:val="00E13400"/>
    <w:rsid w:val="00E13420"/>
    <w:rsid w:val="00E135A7"/>
    <w:rsid w:val="00E136B0"/>
    <w:rsid w:val="00E1388F"/>
    <w:rsid w:val="00E13B25"/>
    <w:rsid w:val="00E13B26"/>
    <w:rsid w:val="00E13B2F"/>
    <w:rsid w:val="00E13BB5"/>
    <w:rsid w:val="00E13C0F"/>
    <w:rsid w:val="00E13C4A"/>
    <w:rsid w:val="00E13C7F"/>
    <w:rsid w:val="00E13D7B"/>
    <w:rsid w:val="00E1408E"/>
    <w:rsid w:val="00E140F0"/>
    <w:rsid w:val="00E14136"/>
    <w:rsid w:val="00E141F0"/>
    <w:rsid w:val="00E1427B"/>
    <w:rsid w:val="00E14287"/>
    <w:rsid w:val="00E14294"/>
    <w:rsid w:val="00E142C3"/>
    <w:rsid w:val="00E1480D"/>
    <w:rsid w:val="00E14875"/>
    <w:rsid w:val="00E14C20"/>
    <w:rsid w:val="00E14DE8"/>
    <w:rsid w:val="00E14FBC"/>
    <w:rsid w:val="00E151FA"/>
    <w:rsid w:val="00E15243"/>
    <w:rsid w:val="00E15340"/>
    <w:rsid w:val="00E1569C"/>
    <w:rsid w:val="00E15802"/>
    <w:rsid w:val="00E158D8"/>
    <w:rsid w:val="00E15AAB"/>
    <w:rsid w:val="00E15CE9"/>
    <w:rsid w:val="00E15F29"/>
    <w:rsid w:val="00E161E2"/>
    <w:rsid w:val="00E16244"/>
    <w:rsid w:val="00E1667E"/>
    <w:rsid w:val="00E16B21"/>
    <w:rsid w:val="00E16BF1"/>
    <w:rsid w:val="00E16C79"/>
    <w:rsid w:val="00E16CA7"/>
    <w:rsid w:val="00E16D11"/>
    <w:rsid w:val="00E16D58"/>
    <w:rsid w:val="00E16D8C"/>
    <w:rsid w:val="00E16E4A"/>
    <w:rsid w:val="00E16F90"/>
    <w:rsid w:val="00E16FD8"/>
    <w:rsid w:val="00E16FEE"/>
    <w:rsid w:val="00E1711A"/>
    <w:rsid w:val="00E17193"/>
    <w:rsid w:val="00E17308"/>
    <w:rsid w:val="00E17511"/>
    <w:rsid w:val="00E17589"/>
    <w:rsid w:val="00E17675"/>
    <w:rsid w:val="00E17692"/>
    <w:rsid w:val="00E17744"/>
    <w:rsid w:val="00E177B5"/>
    <w:rsid w:val="00E17A3A"/>
    <w:rsid w:val="00E17A73"/>
    <w:rsid w:val="00E17BBD"/>
    <w:rsid w:val="00E17C2E"/>
    <w:rsid w:val="00E17DD3"/>
    <w:rsid w:val="00E17E65"/>
    <w:rsid w:val="00E17F6F"/>
    <w:rsid w:val="00E17FC3"/>
    <w:rsid w:val="00E20057"/>
    <w:rsid w:val="00E20301"/>
    <w:rsid w:val="00E205BD"/>
    <w:rsid w:val="00E20668"/>
    <w:rsid w:val="00E206D3"/>
    <w:rsid w:val="00E207A4"/>
    <w:rsid w:val="00E207D0"/>
    <w:rsid w:val="00E209A1"/>
    <w:rsid w:val="00E20B36"/>
    <w:rsid w:val="00E20B48"/>
    <w:rsid w:val="00E20BAB"/>
    <w:rsid w:val="00E20BFE"/>
    <w:rsid w:val="00E20C12"/>
    <w:rsid w:val="00E20C43"/>
    <w:rsid w:val="00E20C51"/>
    <w:rsid w:val="00E20C52"/>
    <w:rsid w:val="00E20CBD"/>
    <w:rsid w:val="00E2122F"/>
    <w:rsid w:val="00E212F1"/>
    <w:rsid w:val="00E21515"/>
    <w:rsid w:val="00E2152B"/>
    <w:rsid w:val="00E2168A"/>
    <w:rsid w:val="00E216E2"/>
    <w:rsid w:val="00E217D0"/>
    <w:rsid w:val="00E2198C"/>
    <w:rsid w:val="00E21A11"/>
    <w:rsid w:val="00E21ACD"/>
    <w:rsid w:val="00E21BAB"/>
    <w:rsid w:val="00E21CFE"/>
    <w:rsid w:val="00E21FA1"/>
    <w:rsid w:val="00E221F2"/>
    <w:rsid w:val="00E222F7"/>
    <w:rsid w:val="00E226B0"/>
    <w:rsid w:val="00E227D3"/>
    <w:rsid w:val="00E22801"/>
    <w:rsid w:val="00E229D0"/>
    <w:rsid w:val="00E22A99"/>
    <w:rsid w:val="00E22AED"/>
    <w:rsid w:val="00E22B35"/>
    <w:rsid w:val="00E22B37"/>
    <w:rsid w:val="00E22B7B"/>
    <w:rsid w:val="00E22D90"/>
    <w:rsid w:val="00E22F6A"/>
    <w:rsid w:val="00E23097"/>
    <w:rsid w:val="00E233E6"/>
    <w:rsid w:val="00E23630"/>
    <w:rsid w:val="00E23666"/>
    <w:rsid w:val="00E23670"/>
    <w:rsid w:val="00E236C4"/>
    <w:rsid w:val="00E236D7"/>
    <w:rsid w:val="00E2373F"/>
    <w:rsid w:val="00E23893"/>
    <w:rsid w:val="00E23A73"/>
    <w:rsid w:val="00E23D9A"/>
    <w:rsid w:val="00E23E55"/>
    <w:rsid w:val="00E23E80"/>
    <w:rsid w:val="00E23E9F"/>
    <w:rsid w:val="00E23EC8"/>
    <w:rsid w:val="00E23EF9"/>
    <w:rsid w:val="00E24017"/>
    <w:rsid w:val="00E24345"/>
    <w:rsid w:val="00E243A2"/>
    <w:rsid w:val="00E2441B"/>
    <w:rsid w:val="00E2489A"/>
    <w:rsid w:val="00E24958"/>
    <w:rsid w:val="00E24A62"/>
    <w:rsid w:val="00E24C33"/>
    <w:rsid w:val="00E24CF1"/>
    <w:rsid w:val="00E24DB2"/>
    <w:rsid w:val="00E24EC0"/>
    <w:rsid w:val="00E24FA9"/>
    <w:rsid w:val="00E2501B"/>
    <w:rsid w:val="00E25087"/>
    <w:rsid w:val="00E250EE"/>
    <w:rsid w:val="00E255C9"/>
    <w:rsid w:val="00E25702"/>
    <w:rsid w:val="00E257F6"/>
    <w:rsid w:val="00E25BDE"/>
    <w:rsid w:val="00E25CC7"/>
    <w:rsid w:val="00E25DED"/>
    <w:rsid w:val="00E25EA7"/>
    <w:rsid w:val="00E25EC4"/>
    <w:rsid w:val="00E26099"/>
    <w:rsid w:val="00E261B0"/>
    <w:rsid w:val="00E261FA"/>
    <w:rsid w:val="00E262C8"/>
    <w:rsid w:val="00E262DF"/>
    <w:rsid w:val="00E262E0"/>
    <w:rsid w:val="00E26330"/>
    <w:rsid w:val="00E2642C"/>
    <w:rsid w:val="00E266B0"/>
    <w:rsid w:val="00E26A04"/>
    <w:rsid w:val="00E26A33"/>
    <w:rsid w:val="00E26BC7"/>
    <w:rsid w:val="00E26BE6"/>
    <w:rsid w:val="00E26CF1"/>
    <w:rsid w:val="00E272CF"/>
    <w:rsid w:val="00E2741C"/>
    <w:rsid w:val="00E275C8"/>
    <w:rsid w:val="00E27660"/>
    <w:rsid w:val="00E278FA"/>
    <w:rsid w:val="00E27919"/>
    <w:rsid w:val="00E27A0D"/>
    <w:rsid w:val="00E27A65"/>
    <w:rsid w:val="00E27C8B"/>
    <w:rsid w:val="00E27CC8"/>
    <w:rsid w:val="00E27E1D"/>
    <w:rsid w:val="00E27F68"/>
    <w:rsid w:val="00E3003D"/>
    <w:rsid w:val="00E300A2"/>
    <w:rsid w:val="00E30222"/>
    <w:rsid w:val="00E304FA"/>
    <w:rsid w:val="00E305C0"/>
    <w:rsid w:val="00E30630"/>
    <w:rsid w:val="00E306B5"/>
    <w:rsid w:val="00E3077E"/>
    <w:rsid w:val="00E307A7"/>
    <w:rsid w:val="00E3083C"/>
    <w:rsid w:val="00E30876"/>
    <w:rsid w:val="00E30A52"/>
    <w:rsid w:val="00E30C00"/>
    <w:rsid w:val="00E30CF7"/>
    <w:rsid w:val="00E30DE8"/>
    <w:rsid w:val="00E31168"/>
    <w:rsid w:val="00E314C2"/>
    <w:rsid w:val="00E315DB"/>
    <w:rsid w:val="00E31661"/>
    <w:rsid w:val="00E3168E"/>
    <w:rsid w:val="00E317B2"/>
    <w:rsid w:val="00E31842"/>
    <w:rsid w:val="00E318CD"/>
    <w:rsid w:val="00E31963"/>
    <w:rsid w:val="00E31972"/>
    <w:rsid w:val="00E31AB6"/>
    <w:rsid w:val="00E31C5C"/>
    <w:rsid w:val="00E31C74"/>
    <w:rsid w:val="00E31D69"/>
    <w:rsid w:val="00E31EEE"/>
    <w:rsid w:val="00E3200B"/>
    <w:rsid w:val="00E32183"/>
    <w:rsid w:val="00E32318"/>
    <w:rsid w:val="00E3234C"/>
    <w:rsid w:val="00E323BC"/>
    <w:rsid w:val="00E323C0"/>
    <w:rsid w:val="00E32401"/>
    <w:rsid w:val="00E3252D"/>
    <w:rsid w:val="00E325AC"/>
    <w:rsid w:val="00E325E3"/>
    <w:rsid w:val="00E3273F"/>
    <w:rsid w:val="00E327E3"/>
    <w:rsid w:val="00E32963"/>
    <w:rsid w:val="00E3299F"/>
    <w:rsid w:val="00E32A51"/>
    <w:rsid w:val="00E32A67"/>
    <w:rsid w:val="00E32B22"/>
    <w:rsid w:val="00E32B9D"/>
    <w:rsid w:val="00E32C56"/>
    <w:rsid w:val="00E32CCA"/>
    <w:rsid w:val="00E32D5E"/>
    <w:rsid w:val="00E32E1D"/>
    <w:rsid w:val="00E32EA6"/>
    <w:rsid w:val="00E32EFD"/>
    <w:rsid w:val="00E32FF5"/>
    <w:rsid w:val="00E3303F"/>
    <w:rsid w:val="00E330DB"/>
    <w:rsid w:val="00E332C9"/>
    <w:rsid w:val="00E332DA"/>
    <w:rsid w:val="00E33348"/>
    <w:rsid w:val="00E33398"/>
    <w:rsid w:val="00E333C8"/>
    <w:rsid w:val="00E335B8"/>
    <w:rsid w:val="00E335CD"/>
    <w:rsid w:val="00E337E6"/>
    <w:rsid w:val="00E33922"/>
    <w:rsid w:val="00E33ABF"/>
    <w:rsid w:val="00E33BB1"/>
    <w:rsid w:val="00E33E6B"/>
    <w:rsid w:val="00E3418C"/>
    <w:rsid w:val="00E34376"/>
    <w:rsid w:val="00E34462"/>
    <w:rsid w:val="00E34587"/>
    <w:rsid w:val="00E3467F"/>
    <w:rsid w:val="00E34875"/>
    <w:rsid w:val="00E34965"/>
    <w:rsid w:val="00E349B2"/>
    <w:rsid w:val="00E34A93"/>
    <w:rsid w:val="00E34C64"/>
    <w:rsid w:val="00E34D03"/>
    <w:rsid w:val="00E34D09"/>
    <w:rsid w:val="00E3505E"/>
    <w:rsid w:val="00E350C1"/>
    <w:rsid w:val="00E350EF"/>
    <w:rsid w:val="00E3528B"/>
    <w:rsid w:val="00E35381"/>
    <w:rsid w:val="00E3557B"/>
    <w:rsid w:val="00E35588"/>
    <w:rsid w:val="00E355D7"/>
    <w:rsid w:val="00E356D4"/>
    <w:rsid w:val="00E3570F"/>
    <w:rsid w:val="00E35CBC"/>
    <w:rsid w:val="00E35D79"/>
    <w:rsid w:val="00E35D90"/>
    <w:rsid w:val="00E35DFC"/>
    <w:rsid w:val="00E35FEC"/>
    <w:rsid w:val="00E360D6"/>
    <w:rsid w:val="00E36110"/>
    <w:rsid w:val="00E3611F"/>
    <w:rsid w:val="00E36501"/>
    <w:rsid w:val="00E36851"/>
    <w:rsid w:val="00E36942"/>
    <w:rsid w:val="00E36B48"/>
    <w:rsid w:val="00E36D4D"/>
    <w:rsid w:val="00E36DF2"/>
    <w:rsid w:val="00E36EF4"/>
    <w:rsid w:val="00E36F25"/>
    <w:rsid w:val="00E3707E"/>
    <w:rsid w:val="00E3712B"/>
    <w:rsid w:val="00E37172"/>
    <w:rsid w:val="00E3732B"/>
    <w:rsid w:val="00E374B0"/>
    <w:rsid w:val="00E3774F"/>
    <w:rsid w:val="00E3778D"/>
    <w:rsid w:val="00E37793"/>
    <w:rsid w:val="00E3780B"/>
    <w:rsid w:val="00E37959"/>
    <w:rsid w:val="00E37B79"/>
    <w:rsid w:val="00E37B80"/>
    <w:rsid w:val="00E37DF4"/>
    <w:rsid w:val="00E37EB5"/>
    <w:rsid w:val="00E37F7A"/>
    <w:rsid w:val="00E37F8B"/>
    <w:rsid w:val="00E40005"/>
    <w:rsid w:val="00E400EB"/>
    <w:rsid w:val="00E4025D"/>
    <w:rsid w:val="00E403B4"/>
    <w:rsid w:val="00E40429"/>
    <w:rsid w:val="00E4049B"/>
    <w:rsid w:val="00E405A5"/>
    <w:rsid w:val="00E4077D"/>
    <w:rsid w:val="00E407B3"/>
    <w:rsid w:val="00E408EE"/>
    <w:rsid w:val="00E40A75"/>
    <w:rsid w:val="00E40AFC"/>
    <w:rsid w:val="00E40B8F"/>
    <w:rsid w:val="00E40C72"/>
    <w:rsid w:val="00E410F9"/>
    <w:rsid w:val="00E4118F"/>
    <w:rsid w:val="00E413ED"/>
    <w:rsid w:val="00E4146A"/>
    <w:rsid w:val="00E415AA"/>
    <w:rsid w:val="00E41884"/>
    <w:rsid w:val="00E41BC3"/>
    <w:rsid w:val="00E41BE3"/>
    <w:rsid w:val="00E4200F"/>
    <w:rsid w:val="00E42055"/>
    <w:rsid w:val="00E422B0"/>
    <w:rsid w:val="00E42465"/>
    <w:rsid w:val="00E42830"/>
    <w:rsid w:val="00E42BA7"/>
    <w:rsid w:val="00E42D59"/>
    <w:rsid w:val="00E42DA6"/>
    <w:rsid w:val="00E42F4E"/>
    <w:rsid w:val="00E42F7D"/>
    <w:rsid w:val="00E42FDC"/>
    <w:rsid w:val="00E430CC"/>
    <w:rsid w:val="00E43155"/>
    <w:rsid w:val="00E4320B"/>
    <w:rsid w:val="00E43446"/>
    <w:rsid w:val="00E438FE"/>
    <w:rsid w:val="00E43909"/>
    <w:rsid w:val="00E43A17"/>
    <w:rsid w:val="00E43A89"/>
    <w:rsid w:val="00E43B5E"/>
    <w:rsid w:val="00E43FAC"/>
    <w:rsid w:val="00E4403C"/>
    <w:rsid w:val="00E4404B"/>
    <w:rsid w:val="00E440FC"/>
    <w:rsid w:val="00E44226"/>
    <w:rsid w:val="00E44574"/>
    <w:rsid w:val="00E4462B"/>
    <w:rsid w:val="00E44642"/>
    <w:rsid w:val="00E44691"/>
    <w:rsid w:val="00E446DD"/>
    <w:rsid w:val="00E44893"/>
    <w:rsid w:val="00E44BB5"/>
    <w:rsid w:val="00E44CED"/>
    <w:rsid w:val="00E44D44"/>
    <w:rsid w:val="00E44D7C"/>
    <w:rsid w:val="00E44E3D"/>
    <w:rsid w:val="00E44E95"/>
    <w:rsid w:val="00E44ECE"/>
    <w:rsid w:val="00E44EEC"/>
    <w:rsid w:val="00E44F7E"/>
    <w:rsid w:val="00E451DD"/>
    <w:rsid w:val="00E45251"/>
    <w:rsid w:val="00E4578E"/>
    <w:rsid w:val="00E45A6E"/>
    <w:rsid w:val="00E45C3A"/>
    <w:rsid w:val="00E45CF8"/>
    <w:rsid w:val="00E45DDD"/>
    <w:rsid w:val="00E45F0D"/>
    <w:rsid w:val="00E4603F"/>
    <w:rsid w:val="00E463D8"/>
    <w:rsid w:val="00E464DA"/>
    <w:rsid w:val="00E465A3"/>
    <w:rsid w:val="00E466B3"/>
    <w:rsid w:val="00E4684D"/>
    <w:rsid w:val="00E46DD2"/>
    <w:rsid w:val="00E46F40"/>
    <w:rsid w:val="00E46FD1"/>
    <w:rsid w:val="00E47035"/>
    <w:rsid w:val="00E47059"/>
    <w:rsid w:val="00E4716D"/>
    <w:rsid w:val="00E471AC"/>
    <w:rsid w:val="00E471C4"/>
    <w:rsid w:val="00E4720A"/>
    <w:rsid w:val="00E47276"/>
    <w:rsid w:val="00E47278"/>
    <w:rsid w:val="00E4735E"/>
    <w:rsid w:val="00E47700"/>
    <w:rsid w:val="00E47B16"/>
    <w:rsid w:val="00E47B17"/>
    <w:rsid w:val="00E47C6C"/>
    <w:rsid w:val="00E47F61"/>
    <w:rsid w:val="00E501D9"/>
    <w:rsid w:val="00E50293"/>
    <w:rsid w:val="00E50300"/>
    <w:rsid w:val="00E503C1"/>
    <w:rsid w:val="00E50418"/>
    <w:rsid w:val="00E50512"/>
    <w:rsid w:val="00E505B9"/>
    <w:rsid w:val="00E505C9"/>
    <w:rsid w:val="00E5064B"/>
    <w:rsid w:val="00E50AA7"/>
    <w:rsid w:val="00E50BC2"/>
    <w:rsid w:val="00E50EBB"/>
    <w:rsid w:val="00E50F23"/>
    <w:rsid w:val="00E511AA"/>
    <w:rsid w:val="00E512C6"/>
    <w:rsid w:val="00E513A1"/>
    <w:rsid w:val="00E5143D"/>
    <w:rsid w:val="00E514C4"/>
    <w:rsid w:val="00E515A2"/>
    <w:rsid w:val="00E51AAE"/>
    <w:rsid w:val="00E51CD1"/>
    <w:rsid w:val="00E51E71"/>
    <w:rsid w:val="00E51E86"/>
    <w:rsid w:val="00E5207C"/>
    <w:rsid w:val="00E52089"/>
    <w:rsid w:val="00E52103"/>
    <w:rsid w:val="00E5210A"/>
    <w:rsid w:val="00E522BE"/>
    <w:rsid w:val="00E52307"/>
    <w:rsid w:val="00E5247C"/>
    <w:rsid w:val="00E524C9"/>
    <w:rsid w:val="00E526E3"/>
    <w:rsid w:val="00E52801"/>
    <w:rsid w:val="00E52888"/>
    <w:rsid w:val="00E528E6"/>
    <w:rsid w:val="00E5296E"/>
    <w:rsid w:val="00E529DB"/>
    <w:rsid w:val="00E52A3D"/>
    <w:rsid w:val="00E52A73"/>
    <w:rsid w:val="00E52AEF"/>
    <w:rsid w:val="00E52B5C"/>
    <w:rsid w:val="00E52D9D"/>
    <w:rsid w:val="00E52F5A"/>
    <w:rsid w:val="00E53082"/>
    <w:rsid w:val="00E53092"/>
    <w:rsid w:val="00E53156"/>
    <w:rsid w:val="00E5318F"/>
    <w:rsid w:val="00E53253"/>
    <w:rsid w:val="00E53264"/>
    <w:rsid w:val="00E532C0"/>
    <w:rsid w:val="00E532EE"/>
    <w:rsid w:val="00E53364"/>
    <w:rsid w:val="00E53403"/>
    <w:rsid w:val="00E53688"/>
    <w:rsid w:val="00E537CC"/>
    <w:rsid w:val="00E53933"/>
    <w:rsid w:val="00E5395F"/>
    <w:rsid w:val="00E53A1F"/>
    <w:rsid w:val="00E53AB0"/>
    <w:rsid w:val="00E53ABE"/>
    <w:rsid w:val="00E53BD8"/>
    <w:rsid w:val="00E53D84"/>
    <w:rsid w:val="00E54039"/>
    <w:rsid w:val="00E54076"/>
    <w:rsid w:val="00E54087"/>
    <w:rsid w:val="00E54212"/>
    <w:rsid w:val="00E54424"/>
    <w:rsid w:val="00E54593"/>
    <w:rsid w:val="00E545DB"/>
    <w:rsid w:val="00E5476B"/>
    <w:rsid w:val="00E5495C"/>
    <w:rsid w:val="00E54995"/>
    <w:rsid w:val="00E54A3A"/>
    <w:rsid w:val="00E54AB5"/>
    <w:rsid w:val="00E54E75"/>
    <w:rsid w:val="00E54F93"/>
    <w:rsid w:val="00E54FC9"/>
    <w:rsid w:val="00E5515D"/>
    <w:rsid w:val="00E55167"/>
    <w:rsid w:val="00E5518E"/>
    <w:rsid w:val="00E551ED"/>
    <w:rsid w:val="00E551FA"/>
    <w:rsid w:val="00E55236"/>
    <w:rsid w:val="00E5525A"/>
    <w:rsid w:val="00E55275"/>
    <w:rsid w:val="00E5529C"/>
    <w:rsid w:val="00E55301"/>
    <w:rsid w:val="00E5530C"/>
    <w:rsid w:val="00E5540F"/>
    <w:rsid w:val="00E5543B"/>
    <w:rsid w:val="00E555BE"/>
    <w:rsid w:val="00E555C2"/>
    <w:rsid w:val="00E5572A"/>
    <w:rsid w:val="00E557F5"/>
    <w:rsid w:val="00E5588E"/>
    <w:rsid w:val="00E55B19"/>
    <w:rsid w:val="00E55D40"/>
    <w:rsid w:val="00E55E86"/>
    <w:rsid w:val="00E55FB2"/>
    <w:rsid w:val="00E56409"/>
    <w:rsid w:val="00E56498"/>
    <w:rsid w:val="00E56504"/>
    <w:rsid w:val="00E5652E"/>
    <w:rsid w:val="00E56727"/>
    <w:rsid w:val="00E56856"/>
    <w:rsid w:val="00E569DE"/>
    <w:rsid w:val="00E56BFD"/>
    <w:rsid w:val="00E56E9D"/>
    <w:rsid w:val="00E56F4C"/>
    <w:rsid w:val="00E56FDE"/>
    <w:rsid w:val="00E56FE2"/>
    <w:rsid w:val="00E5704E"/>
    <w:rsid w:val="00E571EF"/>
    <w:rsid w:val="00E572A1"/>
    <w:rsid w:val="00E572D2"/>
    <w:rsid w:val="00E573C8"/>
    <w:rsid w:val="00E5742B"/>
    <w:rsid w:val="00E5767F"/>
    <w:rsid w:val="00E577D2"/>
    <w:rsid w:val="00E57874"/>
    <w:rsid w:val="00E57A27"/>
    <w:rsid w:val="00E57B48"/>
    <w:rsid w:val="00E57C08"/>
    <w:rsid w:val="00E57C72"/>
    <w:rsid w:val="00E57DAD"/>
    <w:rsid w:val="00E57E71"/>
    <w:rsid w:val="00E57F4C"/>
    <w:rsid w:val="00E57F6E"/>
    <w:rsid w:val="00E60088"/>
    <w:rsid w:val="00E6020E"/>
    <w:rsid w:val="00E60341"/>
    <w:rsid w:val="00E60365"/>
    <w:rsid w:val="00E604F4"/>
    <w:rsid w:val="00E606CE"/>
    <w:rsid w:val="00E607B2"/>
    <w:rsid w:val="00E60849"/>
    <w:rsid w:val="00E60881"/>
    <w:rsid w:val="00E60A00"/>
    <w:rsid w:val="00E60A7C"/>
    <w:rsid w:val="00E60B1C"/>
    <w:rsid w:val="00E60B59"/>
    <w:rsid w:val="00E61052"/>
    <w:rsid w:val="00E61101"/>
    <w:rsid w:val="00E612B6"/>
    <w:rsid w:val="00E61374"/>
    <w:rsid w:val="00E61577"/>
    <w:rsid w:val="00E615C8"/>
    <w:rsid w:val="00E6167F"/>
    <w:rsid w:val="00E616D4"/>
    <w:rsid w:val="00E61CDA"/>
    <w:rsid w:val="00E61D40"/>
    <w:rsid w:val="00E61D66"/>
    <w:rsid w:val="00E61E52"/>
    <w:rsid w:val="00E61F8F"/>
    <w:rsid w:val="00E61FE1"/>
    <w:rsid w:val="00E620E6"/>
    <w:rsid w:val="00E622A9"/>
    <w:rsid w:val="00E622D0"/>
    <w:rsid w:val="00E62478"/>
    <w:rsid w:val="00E62574"/>
    <w:rsid w:val="00E625A9"/>
    <w:rsid w:val="00E62611"/>
    <w:rsid w:val="00E62751"/>
    <w:rsid w:val="00E62837"/>
    <w:rsid w:val="00E6291E"/>
    <w:rsid w:val="00E62954"/>
    <w:rsid w:val="00E62A46"/>
    <w:rsid w:val="00E62ACA"/>
    <w:rsid w:val="00E62E55"/>
    <w:rsid w:val="00E630D1"/>
    <w:rsid w:val="00E63233"/>
    <w:rsid w:val="00E632F8"/>
    <w:rsid w:val="00E633D9"/>
    <w:rsid w:val="00E6361E"/>
    <w:rsid w:val="00E6379A"/>
    <w:rsid w:val="00E637AA"/>
    <w:rsid w:val="00E638BA"/>
    <w:rsid w:val="00E63957"/>
    <w:rsid w:val="00E6396C"/>
    <w:rsid w:val="00E6396F"/>
    <w:rsid w:val="00E63A97"/>
    <w:rsid w:val="00E63B99"/>
    <w:rsid w:val="00E63C21"/>
    <w:rsid w:val="00E63D89"/>
    <w:rsid w:val="00E63DDB"/>
    <w:rsid w:val="00E63EDB"/>
    <w:rsid w:val="00E640E0"/>
    <w:rsid w:val="00E64144"/>
    <w:rsid w:val="00E64287"/>
    <w:rsid w:val="00E64467"/>
    <w:rsid w:val="00E64559"/>
    <w:rsid w:val="00E6466D"/>
    <w:rsid w:val="00E64798"/>
    <w:rsid w:val="00E64964"/>
    <w:rsid w:val="00E6499F"/>
    <w:rsid w:val="00E64AA6"/>
    <w:rsid w:val="00E64B38"/>
    <w:rsid w:val="00E64F7C"/>
    <w:rsid w:val="00E6537F"/>
    <w:rsid w:val="00E654D4"/>
    <w:rsid w:val="00E655F5"/>
    <w:rsid w:val="00E65712"/>
    <w:rsid w:val="00E657CB"/>
    <w:rsid w:val="00E65841"/>
    <w:rsid w:val="00E65854"/>
    <w:rsid w:val="00E658DB"/>
    <w:rsid w:val="00E658E7"/>
    <w:rsid w:val="00E658EA"/>
    <w:rsid w:val="00E6590D"/>
    <w:rsid w:val="00E6590E"/>
    <w:rsid w:val="00E659C8"/>
    <w:rsid w:val="00E65C61"/>
    <w:rsid w:val="00E65CAA"/>
    <w:rsid w:val="00E65D59"/>
    <w:rsid w:val="00E65E87"/>
    <w:rsid w:val="00E65F75"/>
    <w:rsid w:val="00E65F9F"/>
    <w:rsid w:val="00E66112"/>
    <w:rsid w:val="00E662B0"/>
    <w:rsid w:val="00E662FC"/>
    <w:rsid w:val="00E6631E"/>
    <w:rsid w:val="00E663BB"/>
    <w:rsid w:val="00E6656B"/>
    <w:rsid w:val="00E66815"/>
    <w:rsid w:val="00E66A1C"/>
    <w:rsid w:val="00E66B0C"/>
    <w:rsid w:val="00E66CEC"/>
    <w:rsid w:val="00E66D88"/>
    <w:rsid w:val="00E66E51"/>
    <w:rsid w:val="00E66E8E"/>
    <w:rsid w:val="00E67246"/>
    <w:rsid w:val="00E6748A"/>
    <w:rsid w:val="00E6755A"/>
    <w:rsid w:val="00E676DA"/>
    <w:rsid w:val="00E67759"/>
    <w:rsid w:val="00E67803"/>
    <w:rsid w:val="00E67957"/>
    <w:rsid w:val="00E67A20"/>
    <w:rsid w:val="00E67B74"/>
    <w:rsid w:val="00E67D9E"/>
    <w:rsid w:val="00E67DD4"/>
    <w:rsid w:val="00E67F26"/>
    <w:rsid w:val="00E7029A"/>
    <w:rsid w:val="00E7030B"/>
    <w:rsid w:val="00E70333"/>
    <w:rsid w:val="00E70405"/>
    <w:rsid w:val="00E70445"/>
    <w:rsid w:val="00E70447"/>
    <w:rsid w:val="00E706F4"/>
    <w:rsid w:val="00E707A0"/>
    <w:rsid w:val="00E708C8"/>
    <w:rsid w:val="00E70A95"/>
    <w:rsid w:val="00E70CBC"/>
    <w:rsid w:val="00E70CD6"/>
    <w:rsid w:val="00E70DED"/>
    <w:rsid w:val="00E71055"/>
    <w:rsid w:val="00E7111E"/>
    <w:rsid w:val="00E711A0"/>
    <w:rsid w:val="00E71213"/>
    <w:rsid w:val="00E712A5"/>
    <w:rsid w:val="00E712CD"/>
    <w:rsid w:val="00E71315"/>
    <w:rsid w:val="00E714D7"/>
    <w:rsid w:val="00E7159D"/>
    <w:rsid w:val="00E7173C"/>
    <w:rsid w:val="00E718C1"/>
    <w:rsid w:val="00E719D7"/>
    <w:rsid w:val="00E71AD9"/>
    <w:rsid w:val="00E71EA7"/>
    <w:rsid w:val="00E71F59"/>
    <w:rsid w:val="00E720B4"/>
    <w:rsid w:val="00E7214C"/>
    <w:rsid w:val="00E7223E"/>
    <w:rsid w:val="00E72443"/>
    <w:rsid w:val="00E725B3"/>
    <w:rsid w:val="00E725CA"/>
    <w:rsid w:val="00E72D0A"/>
    <w:rsid w:val="00E72DE3"/>
    <w:rsid w:val="00E7301E"/>
    <w:rsid w:val="00E730B9"/>
    <w:rsid w:val="00E730E5"/>
    <w:rsid w:val="00E731B0"/>
    <w:rsid w:val="00E7321E"/>
    <w:rsid w:val="00E7327B"/>
    <w:rsid w:val="00E73290"/>
    <w:rsid w:val="00E733DC"/>
    <w:rsid w:val="00E734BF"/>
    <w:rsid w:val="00E73516"/>
    <w:rsid w:val="00E73560"/>
    <w:rsid w:val="00E7361B"/>
    <w:rsid w:val="00E73648"/>
    <w:rsid w:val="00E7368B"/>
    <w:rsid w:val="00E736FA"/>
    <w:rsid w:val="00E737AC"/>
    <w:rsid w:val="00E73842"/>
    <w:rsid w:val="00E73857"/>
    <w:rsid w:val="00E73977"/>
    <w:rsid w:val="00E739E8"/>
    <w:rsid w:val="00E739F0"/>
    <w:rsid w:val="00E73A07"/>
    <w:rsid w:val="00E73B8D"/>
    <w:rsid w:val="00E73BD0"/>
    <w:rsid w:val="00E73D6A"/>
    <w:rsid w:val="00E73DE3"/>
    <w:rsid w:val="00E74274"/>
    <w:rsid w:val="00E74584"/>
    <w:rsid w:val="00E749A2"/>
    <w:rsid w:val="00E74D99"/>
    <w:rsid w:val="00E74F3E"/>
    <w:rsid w:val="00E751CA"/>
    <w:rsid w:val="00E753F4"/>
    <w:rsid w:val="00E754B8"/>
    <w:rsid w:val="00E754CA"/>
    <w:rsid w:val="00E755D0"/>
    <w:rsid w:val="00E75756"/>
    <w:rsid w:val="00E7594A"/>
    <w:rsid w:val="00E75BBC"/>
    <w:rsid w:val="00E75C79"/>
    <w:rsid w:val="00E75E1E"/>
    <w:rsid w:val="00E7601B"/>
    <w:rsid w:val="00E7602C"/>
    <w:rsid w:val="00E76217"/>
    <w:rsid w:val="00E76251"/>
    <w:rsid w:val="00E763BB"/>
    <w:rsid w:val="00E7657F"/>
    <w:rsid w:val="00E765B4"/>
    <w:rsid w:val="00E766D9"/>
    <w:rsid w:val="00E7673C"/>
    <w:rsid w:val="00E76749"/>
    <w:rsid w:val="00E7679D"/>
    <w:rsid w:val="00E76805"/>
    <w:rsid w:val="00E76A81"/>
    <w:rsid w:val="00E76B79"/>
    <w:rsid w:val="00E76CB5"/>
    <w:rsid w:val="00E76FC6"/>
    <w:rsid w:val="00E77321"/>
    <w:rsid w:val="00E773A3"/>
    <w:rsid w:val="00E774C1"/>
    <w:rsid w:val="00E77524"/>
    <w:rsid w:val="00E7759D"/>
    <w:rsid w:val="00E77614"/>
    <w:rsid w:val="00E7783D"/>
    <w:rsid w:val="00E778AD"/>
    <w:rsid w:val="00E778EA"/>
    <w:rsid w:val="00E77935"/>
    <w:rsid w:val="00E8000B"/>
    <w:rsid w:val="00E800E2"/>
    <w:rsid w:val="00E802B4"/>
    <w:rsid w:val="00E80317"/>
    <w:rsid w:val="00E8041D"/>
    <w:rsid w:val="00E8041E"/>
    <w:rsid w:val="00E805B7"/>
    <w:rsid w:val="00E806FD"/>
    <w:rsid w:val="00E80AFB"/>
    <w:rsid w:val="00E80BBF"/>
    <w:rsid w:val="00E80DA9"/>
    <w:rsid w:val="00E80DFF"/>
    <w:rsid w:val="00E80E97"/>
    <w:rsid w:val="00E80ED7"/>
    <w:rsid w:val="00E80F30"/>
    <w:rsid w:val="00E81040"/>
    <w:rsid w:val="00E812D7"/>
    <w:rsid w:val="00E8150B"/>
    <w:rsid w:val="00E817C7"/>
    <w:rsid w:val="00E818C5"/>
    <w:rsid w:val="00E8199F"/>
    <w:rsid w:val="00E81A9B"/>
    <w:rsid w:val="00E81C5F"/>
    <w:rsid w:val="00E81D32"/>
    <w:rsid w:val="00E81E84"/>
    <w:rsid w:val="00E820AC"/>
    <w:rsid w:val="00E820F2"/>
    <w:rsid w:val="00E8217E"/>
    <w:rsid w:val="00E8251C"/>
    <w:rsid w:val="00E82756"/>
    <w:rsid w:val="00E827B7"/>
    <w:rsid w:val="00E827FE"/>
    <w:rsid w:val="00E82876"/>
    <w:rsid w:val="00E82998"/>
    <w:rsid w:val="00E82A5E"/>
    <w:rsid w:val="00E82AAD"/>
    <w:rsid w:val="00E82D77"/>
    <w:rsid w:val="00E82DC2"/>
    <w:rsid w:val="00E82F89"/>
    <w:rsid w:val="00E831AB"/>
    <w:rsid w:val="00E83270"/>
    <w:rsid w:val="00E8329B"/>
    <w:rsid w:val="00E83349"/>
    <w:rsid w:val="00E8352C"/>
    <w:rsid w:val="00E837B9"/>
    <w:rsid w:val="00E837E6"/>
    <w:rsid w:val="00E838D0"/>
    <w:rsid w:val="00E83905"/>
    <w:rsid w:val="00E83A1B"/>
    <w:rsid w:val="00E83AA6"/>
    <w:rsid w:val="00E83D37"/>
    <w:rsid w:val="00E83DC0"/>
    <w:rsid w:val="00E844A9"/>
    <w:rsid w:val="00E8450B"/>
    <w:rsid w:val="00E846F6"/>
    <w:rsid w:val="00E84755"/>
    <w:rsid w:val="00E8492E"/>
    <w:rsid w:val="00E84BAA"/>
    <w:rsid w:val="00E84CBF"/>
    <w:rsid w:val="00E84D0C"/>
    <w:rsid w:val="00E84D41"/>
    <w:rsid w:val="00E84E2A"/>
    <w:rsid w:val="00E85474"/>
    <w:rsid w:val="00E85690"/>
    <w:rsid w:val="00E8570B"/>
    <w:rsid w:val="00E85716"/>
    <w:rsid w:val="00E8577A"/>
    <w:rsid w:val="00E858EF"/>
    <w:rsid w:val="00E8590E"/>
    <w:rsid w:val="00E85BC1"/>
    <w:rsid w:val="00E85D21"/>
    <w:rsid w:val="00E85E40"/>
    <w:rsid w:val="00E85EE0"/>
    <w:rsid w:val="00E86013"/>
    <w:rsid w:val="00E860CB"/>
    <w:rsid w:val="00E860F4"/>
    <w:rsid w:val="00E86204"/>
    <w:rsid w:val="00E865EB"/>
    <w:rsid w:val="00E865F6"/>
    <w:rsid w:val="00E8687A"/>
    <w:rsid w:val="00E86882"/>
    <w:rsid w:val="00E8688C"/>
    <w:rsid w:val="00E868CB"/>
    <w:rsid w:val="00E869E5"/>
    <w:rsid w:val="00E86AE4"/>
    <w:rsid w:val="00E86B20"/>
    <w:rsid w:val="00E86B5D"/>
    <w:rsid w:val="00E86DF7"/>
    <w:rsid w:val="00E871EF"/>
    <w:rsid w:val="00E873B1"/>
    <w:rsid w:val="00E873CC"/>
    <w:rsid w:val="00E87448"/>
    <w:rsid w:val="00E87668"/>
    <w:rsid w:val="00E876EB"/>
    <w:rsid w:val="00E87822"/>
    <w:rsid w:val="00E879E1"/>
    <w:rsid w:val="00E87A80"/>
    <w:rsid w:val="00E87B12"/>
    <w:rsid w:val="00E87B13"/>
    <w:rsid w:val="00E87B1A"/>
    <w:rsid w:val="00E87B21"/>
    <w:rsid w:val="00E87DBA"/>
    <w:rsid w:val="00E87DEB"/>
    <w:rsid w:val="00E87E20"/>
    <w:rsid w:val="00E90013"/>
    <w:rsid w:val="00E90123"/>
    <w:rsid w:val="00E90189"/>
    <w:rsid w:val="00E906BD"/>
    <w:rsid w:val="00E90700"/>
    <w:rsid w:val="00E90877"/>
    <w:rsid w:val="00E90C77"/>
    <w:rsid w:val="00E911B4"/>
    <w:rsid w:val="00E911F9"/>
    <w:rsid w:val="00E91322"/>
    <w:rsid w:val="00E91592"/>
    <w:rsid w:val="00E91824"/>
    <w:rsid w:val="00E91895"/>
    <w:rsid w:val="00E919CC"/>
    <w:rsid w:val="00E91C30"/>
    <w:rsid w:val="00E91C91"/>
    <w:rsid w:val="00E91CBC"/>
    <w:rsid w:val="00E91E0A"/>
    <w:rsid w:val="00E91E18"/>
    <w:rsid w:val="00E91FDE"/>
    <w:rsid w:val="00E920B2"/>
    <w:rsid w:val="00E92367"/>
    <w:rsid w:val="00E92541"/>
    <w:rsid w:val="00E92631"/>
    <w:rsid w:val="00E927BA"/>
    <w:rsid w:val="00E92A79"/>
    <w:rsid w:val="00E92AB8"/>
    <w:rsid w:val="00E92B25"/>
    <w:rsid w:val="00E92C26"/>
    <w:rsid w:val="00E92C35"/>
    <w:rsid w:val="00E92CF1"/>
    <w:rsid w:val="00E92DE6"/>
    <w:rsid w:val="00E92E82"/>
    <w:rsid w:val="00E932FB"/>
    <w:rsid w:val="00E933A2"/>
    <w:rsid w:val="00E935EC"/>
    <w:rsid w:val="00E936B0"/>
    <w:rsid w:val="00E93835"/>
    <w:rsid w:val="00E9388E"/>
    <w:rsid w:val="00E9396A"/>
    <w:rsid w:val="00E93A7B"/>
    <w:rsid w:val="00E93B1C"/>
    <w:rsid w:val="00E93BD5"/>
    <w:rsid w:val="00E93BF9"/>
    <w:rsid w:val="00E93CC7"/>
    <w:rsid w:val="00E93FB4"/>
    <w:rsid w:val="00E940DE"/>
    <w:rsid w:val="00E94110"/>
    <w:rsid w:val="00E9419F"/>
    <w:rsid w:val="00E9448C"/>
    <w:rsid w:val="00E944A8"/>
    <w:rsid w:val="00E94537"/>
    <w:rsid w:val="00E945CE"/>
    <w:rsid w:val="00E94AA2"/>
    <w:rsid w:val="00E94BCB"/>
    <w:rsid w:val="00E94E25"/>
    <w:rsid w:val="00E9515D"/>
    <w:rsid w:val="00E951E4"/>
    <w:rsid w:val="00E951F4"/>
    <w:rsid w:val="00E9539B"/>
    <w:rsid w:val="00E9548F"/>
    <w:rsid w:val="00E958BD"/>
    <w:rsid w:val="00E9597A"/>
    <w:rsid w:val="00E95C4B"/>
    <w:rsid w:val="00E95CB3"/>
    <w:rsid w:val="00E9611E"/>
    <w:rsid w:val="00E96162"/>
    <w:rsid w:val="00E961B3"/>
    <w:rsid w:val="00E962B5"/>
    <w:rsid w:val="00E96301"/>
    <w:rsid w:val="00E96795"/>
    <w:rsid w:val="00E9682D"/>
    <w:rsid w:val="00E9692C"/>
    <w:rsid w:val="00E96A93"/>
    <w:rsid w:val="00E96BFB"/>
    <w:rsid w:val="00E96E1A"/>
    <w:rsid w:val="00E96E6A"/>
    <w:rsid w:val="00E96F37"/>
    <w:rsid w:val="00E96FC6"/>
    <w:rsid w:val="00E97013"/>
    <w:rsid w:val="00E9701B"/>
    <w:rsid w:val="00E97475"/>
    <w:rsid w:val="00E97521"/>
    <w:rsid w:val="00E979D7"/>
    <w:rsid w:val="00E97A5C"/>
    <w:rsid w:val="00E97CBA"/>
    <w:rsid w:val="00E97D00"/>
    <w:rsid w:val="00E97D31"/>
    <w:rsid w:val="00E97E11"/>
    <w:rsid w:val="00E97E4B"/>
    <w:rsid w:val="00EA00C7"/>
    <w:rsid w:val="00EA01F0"/>
    <w:rsid w:val="00EA037C"/>
    <w:rsid w:val="00EA064E"/>
    <w:rsid w:val="00EA09D8"/>
    <w:rsid w:val="00EA0A3D"/>
    <w:rsid w:val="00EA0B0C"/>
    <w:rsid w:val="00EA0C47"/>
    <w:rsid w:val="00EA0C75"/>
    <w:rsid w:val="00EA0D82"/>
    <w:rsid w:val="00EA0DD9"/>
    <w:rsid w:val="00EA0EBB"/>
    <w:rsid w:val="00EA0ECD"/>
    <w:rsid w:val="00EA10AB"/>
    <w:rsid w:val="00EA111F"/>
    <w:rsid w:val="00EA1355"/>
    <w:rsid w:val="00EA138E"/>
    <w:rsid w:val="00EA16D2"/>
    <w:rsid w:val="00EA18A4"/>
    <w:rsid w:val="00EA1A47"/>
    <w:rsid w:val="00EA1ABB"/>
    <w:rsid w:val="00EA1B44"/>
    <w:rsid w:val="00EA1C34"/>
    <w:rsid w:val="00EA1F43"/>
    <w:rsid w:val="00EA1F90"/>
    <w:rsid w:val="00EA2012"/>
    <w:rsid w:val="00EA21ED"/>
    <w:rsid w:val="00EA2261"/>
    <w:rsid w:val="00EA23A9"/>
    <w:rsid w:val="00EA23C3"/>
    <w:rsid w:val="00EA2444"/>
    <w:rsid w:val="00EA249C"/>
    <w:rsid w:val="00EA24D3"/>
    <w:rsid w:val="00EA2508"/>
    <w:rsid w:val="00EA292F"/>
    <w:rsid w:val="00EA29C5"/>
    <w:rsid w:val="00EA2B62"/>
    <w:rsid w:val="00EA2C06"/>
    <w:rsid w:val="00EA2F31"/>
    <w:rsid w:val="00EA30EC"/>
    <w:rsid w:val="00EA339D"/>
    <w:rsid w:val="00EA342C"/>
    <w:rsid w:val="00EA35DE"/>
    <w:rsid w:val="00EA3663"/>
    <w:rsid w:val="00EA36B9"/>
    <w:rsid w:val="00EA36F3"/>
    <w:rsid w:val="00EA3710"/>
    <w:rsid w:val="00EA371A"/>
    <w:rsid w:val="00EA393E"/>
    <w:rsid w:val="00EA3B7A"/>
    <w:rsid w:val="00EA3E47"/>
    <w:rsid w:val="00EA413B"/>
    <w:rsid w:val="00EA4253"/>
    <w:rsid w:val="00EA429C"/>
    <w:rsid w:val="00EA4356"/>
    <w:rsid w:val="00EA46D2"/>
    <w:rsid w:val="00EA46EF"/>
    <w:rsid w:val="00EA4758"/>
    <w:rsid w:val="00EA4846"/>
    <w:rsid w:val="00EA49C7"/>
    <w:rsid w:val="00EA4A0E"/>
    <w:rsid w:val="00EA4B2A"/>
    <w:rsid w:val="00EA4FA0"/>
    <w:rsid w:val="00EA5106"/>
    <w:rsid w:val="00EA517D"/>
    <w:rsid w:val="00EA5397"/>
    <w:rsid w:val="00EA53BE"/>
    <w:rsid w:val="00EA54C1"/>
    <w:rsid w:val="00EA5574"/>
    <w:rsid w:val="00EA55E5"/>
    <w:rsid w:val="00EA55E9"/>
    <w:rsid w:val="00EA5701"/>
    <w:rsid w:val="00EA572C"/>
    <w:rsid w:val="00EA580F"/>
    <w:rsid w:val="00EA5902"/>
    <w:rsid w:val="00EA5A28"/>
    <w:rsid w:val="00EA5AC1"/>
    <w:rsid w:val="00EA5AF6"/>
    <w:rsid w:val="00EA5B4A"/>
    <w:rsid w:val="00EA5C5E"/>
    <w:rsid w:val="00EA5CB6"/>
    <w:rsid w:val="00EA5CCA"/>
    <w:rsid w:val="00EA5DE3"/>
    <w:rsid w:val="00EA5FA7"/>
    <w:rsid w:val="00EA6158"/>
    <w:rsid w:val="00EA67F7"/>
    <w:rsid w:val="00EA68FF"/>
    <w:rsid w:val="00EA6BFA"/>
    <w:rsid w:val="00EA6CCC"/>
    <w:rsid w:val="00EA6D5E"/>
    <w:rsid w:val="00EA6DA4"/>
    <w:rsid w:val="00EA6E80"/>
    <w:rsid w:val="00EA6E83"/>
    <w:rsid w:val="00EA6EF8"/>
    <w:rsid w:val="00EA6F86"/>
    <w:rsid w:val="00EA6FC0"/>
    <w:rsid w:val="00EA722B"/>
    <w:rsid w:val="00EA739F"/>
    <w:rsid w:val="00EA74D1"/>
    <w:rsid w:val="00EA7750"/>
    <w:rsid w:val="00EA7868"/>
    <w:rsid w:val="00EA7982"/>
    <w:rsid w:val="00EA7A7D"/>
    <w:rsid w:val="00EA7BAB"/>
    <w:rsid w:val="00EA7E59"/>
    <w:rsid w:val="00EA7FB2"/>
    <w:rsid w:val="00EB001E"/>
    <w:rsid w:val="00EB023F"/>
    <w:rsid w:val="00EB028F"/>
    <w:rsid w:val="00EB0304"/>
    <w:rsid w:val="00EB03EC"/>
    <w:rsid w:val="00EB040E"/>
    <w:rsid w:val="00EB04FC"/>
    <w:rsid w:val="00EB05E0"/>
    <w:rsid w:val="00EB05E4"/>
    <w:rsid w:val="00EB06B0"/>
    <w:rsid w:val="00EB09D6"/>
    <w:rsid w:val="00EB0B58"/>
    <w:rsid w:val="00EB0F90"/>
    <w:rsid w:val="00EB0FE9"/>
    <w:rsid w:val="00EB10C2"/>
    <w:rsid w:val="00EB1219"/>
    <w:rsid w:val="00EB1363"/>
    <w:rsid w:val="00EB17D4"/>
    <w:rsid w:val="00EB18BC"/>
    <w:rsid w:val="00EB19EC"/>
    <w:rsid w:val="00EB1B9D"/>
    <w:rsid w:val="00EB1BE7"/>
    <w:rsid w:val="00EB1C0A"/>
    <w:rsid w:val="00EB1CAA"/>
    <w:rsid w:val="00EB1CB7"/>
    <w:rsid w:val="00EB1D1F"/>
    <w:rsid w:val="00EB1D80"/>
    <w:rsid w:val="00EB1F31"/>
    <w:rsid w:val="00EB230B"/>
    <w:rsid w:val="00EB231F"/>
    <w:rsid w:val="00EB25AB"/>
    <w:rsid w:val="00EB26F5"/>
    <w:rsid w:val="00EB27BB"/>
    <w:rsid w:val="00EB2B91"/>
    <w:rsid w:val="00EB2C21"/>
    <w:rsid w:val="00EB2DCA"/>
    <w:rsid w:val="00EB2E2E"/>
    <w:rsid w:val="00EB2E5A"/>
    <w:rsid w:val="00EB2E6C"/>
    <w:rsid w:val="00EB2F54"/>
    <w:rsid w:val="00EB30AF"/>
    <w:rsid w:val="00EB314C"/>
    <w:rsid w:val="00EB3182"/>
    <w:rsid w:val="00EB3243"/>
    <w:rsid w:val="00EB3401"/>
    <w:rsid w:val="00EB3775"/>
    <w:rsid w:val="00EB3833"/>
    <w:rsid w:val="00EB389F"/>
    <w:rsid w:val="00EB391F"/>
    <w:rsid w:val="00EB3969"/>
    <w:rsid w:val="00EB39A5"/>
    <w:rsid w:val="00EB3A62"/>
    <w:rsid w:val="00EB3B1B"/>
    <w:rsid w:val="00EB3B54"/>
    <w:rsid w:val="00EB3B5B"/>
    <w:rsid w:val="00EB3B8C"/>
    <w:rsid w:val="00EB3BF1"/>
    <w:rsid w:val="00EB3D73"/>
    <w:rsid w:val="00EB3F5F"/>
    <w:rsid w:val="00EB3FC4"/>
    <w:rsid w:val="00EB41B2"/>
    <w:rsid w:val="00EB42BE"/>
    <w:rsid w:val="00EB4338"/>
    <w:rsid w:val="00EB443C"/>
    <w:rsid w:val="00EB450E"/>
    <w:rsid w:val="00EB46EE"/>
    <w:rsid w:val="00EB4703"/>
    <w:rsid w:val="00EB47FE"/>
    <w:rsid w:val="00EB4988"/>
    <w:rsid w:val="00EB4CAC"/>
    <w:rsid w:val="00EB4D7C"/>
    <w:rsid w:val="00EB4E8D"/>
    <w:rsid w:val="00EB4EB7"/>
    <w:rsid w:val="00EB4F16"/>
    <w:rsid w:val="00EB506F"/>
    <w:rsid w:val="00EB5323"/>
    <w:rsid w:val="00EB5354"/>
    <w:rsid w:val="00EB53EA"/>
    <w:rsid w:val="00EB5615"/>
    <w:rsid w:val="00EB56F5"/>
    <w:rsid w:val="00EB5798"/>
    <w:rsid w:val="00EB5802"/>
    <w:rsid w:val="00EB59E9"/>
    <w:rsid w:val="00EB5AD1"/>
    <w:rsid w:val="00EB5BB3"/>
    <w:rsid w:val="00EB5C67"/>
    <w:rsid w:val="00EB5C9D"/>
    <w:rsid w:val="00EB5EC1"/>
    <w:rsid w:val="00EB5F2E"/>
    <w:rsid w:val="00EB5FF9"/>
    <w:rsid w:val="00EB615A"/>
    <w:rsid w:val="00EB6175"/>
    <w:rsid w:val="00EB6207"/>
    <w:rsid w:val="00EB63CD"/>
    <w:rsid w:val="00EB6464"/>
    <w:rsid w:val="00EB6648"/>
    <w:rsid w:val="00EB66E9"/>
    <w:rsid w:val="00EB674A"/>
    <w:rsid w:val="00EB67DB"/>
    <w:rsid w:val="00EB68B8"/>
    <w:rsid w:val="00EB6934"/>
    <w:rsid w:val="00EB6AF5"/>
    <w:rsid w:val="00EB6C37"/>
    <w:rsid w:val="00EB6CE6"/>
    <w:rsid w:val="00EB6EA1"/>
    <w:rsid w:val="00EB7381"/>
    <w:rsid w:val="00EB73B5"/>
    <w:rsid w:val="00EB74DA"/>
    <w:rsid w:val="00EB7783"/>
    <w:rsid w:val="00EB7821"/>
    <w:rsid w:val="00EB785C"/>
    <w:rsid w:val="00EB797F"/>
    <w:rsid w:val="00EB7B8B"/>
    <w:rsid w:val="00EB7C66"/>
    <w:rsid w:val="00EB7D80"/>
    <w:rsid w:val="00EB7EA2"/>
    <w:rsid w:val="00EB7FC7"/>
    <w:rsid w:val="00EC018B"/>
    <w:rsid w:val="00EC01E2"/>
    <w:rsid w:val="00EC0248"/>
    <w:rsid w:val="00EC029E"/>
    <w:rsid w:val="00EC0368"/>
    <w:rsid w:val="00EC051A"/>
    <w:rsid w:val="00EC057F"/>
    <w:rsid w:val="00EC0908"/>
    <w:rsid w:val="00EC098D"/>
    <w:rsid w:val="00EC0B6F"/>
    <w:rsid w:val="00EC0D5D"/>
    <w:rsid w:val="00EC0ED1"/>
    <w:rsid w:val="00EC0F83"/>
    <w:rsid w:val="00EC1053"/>
    <w:rsid w:val="00EC114B"/>
    <w:rsid w:val="00EC1310"/>
    <w:rsid w:val="00EC1342"/>
    <w:rsid w:val="00EC14E3"/>
    <w:rsid w:val="00EC1615"/>
    <w:rsid w:val="00EC172E"/>
    <w:rsid w:val="00EC1858"/>
    <w:rsid w:val="00EC18AB"/>
    <w:rsid w:val="00EC1A39"/>
    <w:rsid w:val="00EC1B5B"/>
    <w:rsid w:val="00EC1DE6"/>
    <w:rsid w:val="00EC1E63"/>
    <w:rsid w:val="00EC23A5"/>
    <w:rsid w:val="00EC23FE"/>
    <w:rsid w:val="00EC2452"/>
    <w:rsid w:val="00EC24C6"/>
    <w:rsid w:val="00EC26E6"/>
    <w:rsid w:val="00EC27AE"/>
    <w:rsid w:val="00EC28C1"/>
    <w:rsid w:val="00EC2B12"/>
    <w:rsid w:val="00EC2DF5"/>
    <w:rsid w:val="00EC2EDE"/>
    <w:rsid w:val="00EC2F6F"/>
    <w:rsid w:val="00EC306D"/>
    <w:rsid w:val="00EC31D8"/>
    <w:rsid w:val="00EC31EA"/>
    <w:rsid w:val="00EC31EF"/>
    <w:rsid w:val="00EC32BB"/>
    <w:rsid w:val="00EC33A5"/>
    <w:rsid w:val="00EC33C3"/>
    <w:rsid w:val="00EC3460"/>
    <w:rsid w:val="00EC3535"/>
    <w:rsid w:val="00EC360C"/>
    <w:rsid w:val="00EC3723"/>
    <w:rsid w:val="00EC37F1"/>
    <w:rsid w:val="00EC3922"/>
    <w:rsid w:val="00EC3969"/>
    <w:rsid w:val="00EC3AC0"/>
    <w:rsid w:val="00EC3CA0"/>
    <w:rsid w:val="00EC3DCE"/>
    <w:rsid w:val="00EC3F90"/>
    <w:rsid w:val="00EC3FCB"/>
    <w:rsid w:val="00EC4140"/>
    <w:rsid w:val="00EC41DE"/>
    <w:rsid w:val="00EC43D1"/>
    <w:rsid w:val="00EC445A"/>
    <w:rsid w:val="00EC44CD"/>
    <w:rsid w:val="00EC454C"/>
    <w:rsid w:val="00EC4615"/>
    <w:rsid w:val="00EC495E"/>
    <w:rsid w:val="00EC4968"/>
    <w:rsid w:val="00EC498D"/>
    <w:rsid w:val="00EC4A3D"/>
    <w:rsid w:val="00EC4A66"/>
    <w:rsid w:val="00EC4BFC"/>
    <w:rsid w:val="00EC4C1C"/>
    <w:rsid w:val="00EC4DA5"/>
    <w:rsid w:val="00EC4FCA"/>
    <w:rsid w:val="00EC5114"/>
    <w:rsid w:val="00EC5389"/>
    <w:rsid w:val="00EC53A5"/>
    <w:rsid w:val="00EC5635"/>
    <w:rsid w:val="00EC57C5"/>
    <w:rsid w:val="00EC57D0"/>
    <w:rsid w:val="00EC59F2"/>
    <w:rsid w:val="00EC5F29"/>
    <w:rsid w:val="00EC6211"/>
    <w:rsid w:val="00EC6223"/>
    <w:rsid w:val="00EC6420"/>
    <w:rsid w:val="00EC66C4"/>
    <w:rsid w:val="00EC66EB"/>
    <w:rsid w:val="00EC6793"/>
    <w:rsid w:val="00EC6FAD"/>
    <w:rsid w:val="00EC7365"/>
    <w:rsid w:val="00EC78DA"/>
    <w:rsid w:val="00EC79FD"/>
    <w:rsid w:val="00EC7A17"/>
    <w:rsid w:val="00EC7A99"/>
    <w:rsid w:val="00EC7B29"/>
    <w:rsid w:val="00EC7EAE"/>
    <w:rsid w:val="00ED00DB"/>
    <w:rsid w:val="00ED01E5"/>
    <w:rsid w:val="00ED0268"/>
    <w:rsid w:val="00ED043F"/>
    <w:rsid w:val="00ED05FF"/>
    <w:rsid w:val="00ED06C2"/>
    <w:rsid w:val="00ED06E5"/>
    <w:rsid w:val="00ED078C"/>
    <w:rsid w:val="00ED0A1A"/>
    <w:rsid w:val="00ED0A69"/>
    <w:rsid w:val="00ED0AC4"/>
    <w:rsid w:val="00ED0B25"/>
    <w:rsid w:val="00ED0B52"/>
    <w:rsid w:val="00ED0CAB"/>
    <w:rsid w:val="00ED0CEF"/>
    <w:rsid w:val="00ED0E83"/>
    <w:rsid w:val="00ED1074"/>
    <w:rsid w:val="00ED13CA"/>
    <w:rsid w:val="00ED1567"/>
    <w:rsid w:val="00ED1604"/>
    <w:rsid w:val="00ED1657"/>
    <w:rsid w:val="00ED176B"/>
    <w:rsid w:val="00ED1789"/>
    <w:rsid w:val="00ED17DE"/>
    <w:rsid w:val="00ED18BC"/>
    <w:rsid w:val="00ED199B"/>
    <w:rsid w:val="00ED19D9"/>
    <w:rsid w:val="00ED1B11"/>
    <w:rsid w:val="00ED1B46"/>
    <w:rsid w:val="00ED1CC1"/>
    <w:rsid w:val="00ED1D0F"/>
    <w:rsid w:val="00ED20B2"/>
    <w:rsid w:val="00ED237A"/>
    <w:rsid w:val="00ED23DE"/>
    <w:rsid w:val="00ED2401"/>
    <w:rsid w:val="00ED2558"/>
    <w:rsid w:val="00ED2790"/>
    <w:rsid w:val="00ED29AA"/>
    <w:rsid w:val="00ED2A42"/>
    <w:rsid w:val="00ED2B69"/>
    <w:rsid w:val="00ED2E03"/>
    <w:rsid w:val="00ED2E27"/>
    <w:rsid w:val="00ED2E90"/>
    <w:rsid w:val="00ED2FAF"/>
    <w:rsid w:val="00ED2FC2"/>
    <w:rsid w:val="00ED3131"/>
    <w:rsid w:val="00ED3334"/>
    <w:rsid w:val="00ED3335"/>
    <w:rsid w:val="00ED33A5"/>
    <w:rsid w:val="00ED3407"/>
    <w:rsid w:val="00ED342C"/>
    <w:rsid w:val="00ED34A7"/>
    <w:rsid w:val="00ED35C8"/>
    <w:rsid w:val="00ED3653"/>
    <w:rsid w:val="00ED3749"/>
    <w:rsid w:val="00ED382E"/>
    <w:rsid w:val="00ED38AD"/>
    <w:rsid w:val="00ED3A0A"/>
    <w:rsid w:val="00ED3B1B"/>
    <w:rsid w:val="00ED3B53"/>
    <w:rsid w:val="00ED3BC1"/>
    <w:rsid w:val="00ED3C61"/>
    <w:rsid w:val="00ED3F39"/>
    <w:rsid w:val="00ED3FD6"/>
    <w:rsid w:val="00ED403B"/>
    <w:rsid w:val="00ED44B6"/>
    <w:rsid w:val="00ED4664"/>
    <w:rsid w:val="00ED479E"/>
    <w:rsid w:val="00ED47F4"/>
    <w:rsid w:val="00ED4951"/>
    <w:rsid w:val="00ED49E8"/>
    <w:rsid w:val="00ED4D22"/>
    <w:rsid w:val="00ED4D9B"/>
    <w:rsid w:val="00ED4EA7"/>
    <w:rsid w:val="00ED4F46"/>
    <w:rsid w:val="00ED5507"/>
    <w:rsid w:val="00ED5859"/>
    <w:rsid w:val="00ED5884"/>
    <w:rsid w:val="00ED5AB7"/>
    <w:rsid w:val="00ED5C36"/>
    <w:rsid w:val="00ED5C76"/>
    <w:rsid w:val="00ED5D32"/>
    <w:rsid w:val="00ED5DFA"/>
    <w:rsid w:val="00ED5E6E"/>
    <w:rsid w:val="00ED5FC4"/>
    <w:rsid w:val="00ED601F"/>
    <w:rsid w:val="00ED6048"/>
    <w:rsid w:val="00ED6060"/>
    <w:rsid w:val="00ED60D6"/>
    <w:rsid w:val="00ED6183"/>
    <w:rsid w:val="00ED61DA"/>
    <w:rsid w:val="00ED61DD"/>
    <w:rsid w:val="00ED61E2"/>
    <w:rsid w:val="00ED62DF"/>
    <w:rsid w:val="00ED6393"/>
    <w:rsid w:val="00ED6662"/>
    <w:rsid w:val="00ED691C"/>
    <w:rsid w:val="00ED6A89"/>
    <w:rsid w:val="00ED6ADE"/>
    <w:rsid w:val="00ED6B1E"/>
    <w:rsid w:val="00ED6D75"/>
    <w:rsid w:val="00ED6E32"/>
    <w:rsid w:val="00ED71BE"/>
    <w:rsid w:val="00ED7365"/>
    <w:rsid w:val="00ED753C"/>
    <w:rsid w:val="00ED7653"/>
    <w:rsid w:val="00ED7838"/>
    <w:rsid w:val="00ED7CCE"/>
    <w:rsid w:val="00ED7E37"/>
    <w:rsid w:val="00ED7E75"/>
    <w:rsid w:val="00ED7FAD"/>
    <w:rsid w:val="00EE0072"/>
    <w:rsid w:val="00EE0076"/>
    <w:rsid w:val="00EE0309"/>
    <w:rsid w:val="00EE0319"/>
    <w:rsid w:val="00EE04B1"/>
    <w:rsid w:val="00EE053B"/>
    <w:rsid w:val="00EE05DE"/>
    <w:rsid w:val="00EE0635"/>
    <w:rsid w:val="00EE066A"/>
    <w:rsid w:val="00EE07EA"/>
    <w:rsid w:val="00EE0966"/>
    <w:rsid w:val="00EE0B89"/>
    <w:rsid w:val="00EE0CC3"/>
    <w:rsid w:val="00EE0F12"/>
    <w:rsid w:val="00EE10F4"/>
    <w:rsid w:val="00EE1120"/>
    <w:rsid w:val="00EE117E"/>
    <w:rsid w:val="00EE1224"/>
    <w:rsid w:val="00EE1244"/>
    <w:rsid w:val="00EE1370"/>
    <w:rsid w:val="00EE13A7"/>
    <w:rsid w:val="00EE159A"/>
    <w:rsid w:val="00EE15AD"/>
    <w:rsid w:val="00EE1862"/>
    <w:rsid w:val="00EE18BE"/>
    <w:rsid w:val="00EE1A9C"/>
    <w:rsid w:val="00EE1B53"/>
    <w:rsid w:val="00EE1B90"/>
    <w:rsid w:val="00EE1CF9"/>
    <w:rsid w:val="00EE1D7C"/>
    <w:rsid w:val="00EE1FFE"/>
    <w:rsid w:val="00EE21B2"/>
    <w:rsid w:val="00EE22B9"/>
    <w:rsid w:val="00EE246F"/>
    <w:rsid w:val="00EE2600"/>
    <w:rsid w:val="00EE2822"/>
    <w:rsid w:val="00EE28CE"/>
    <w:rsid w:val="00EE2A2E"/>
    <w:rsid w:val="00EE2C69"/>
    <w:rsid w:val="00EE2E2E"/>
    <w:rsid w:val="00EE2E73"/>
    <w:rsid w:val="00EE2EE9"/>
    <w:rsid w:val="00EE2FBA"/>
    <w:rsid w:val="00EE301B"/>
    <w:rsid w:val="00EE3084"/>
    <w:rsid w:val="00EE31A8"/>
    <w:rsid w:val="00EE3364"/>
    <w:rsid w:val="00EE33D8"/>
    <w:rsid w:val="00EE3434"/>
    <w:rsid w:val="00EE3436"/>
    <w:rsid w:val="00EE3444"/>
    <w:rsid w:val="00EE382B"/>
    <w:rsid w:val="00EE3939"/>
    <w:rsid w:val="00EE397D"/>
    <w:rsid w:val="00EE3B3F"/>
    <w:rsid w:val="00EE3DA3"/>
    <w:rsid w:val="00EE3E22"/>
    <w:rsid w:val="00EE3F82"/>
    <w:rsid w:val="00EE409F"/>
    <w:rsid w:val="00EE430C"/>
    <w:rsid w:val="00EE4339"/>
    <w:rsid w:val="00EE4367"/>
    <w:rsid w:val="00EE43D2"/>
    <w:rsid w:val="00EE4494"/>
    <w:rsid w:val="00EE4497"/>
    <w:rsid w:val="00EE456E"/>
    <w:rsid w:val="00EE459E"/>
    <w:rsid w:val="00EE48FE"/>
    <w:rsid w:val="00EE4B50"/>
    <w:rsid w:val="00EE4B52"/>
    <w:rsid w:val="00EE4C03"/>
    <w:rsid w:val="00EE4C2A"/>
    <w:rsid w:val="00EE4CB9"/>
    <w:rsid w:val="00EE4D7D"/>
    <w:rsid w:val="00EE5193"/>
    <w:rsid w:val="00EE55FE"/>
    <w:rsid w:val="00EE5992"/>
    <w:rsid w:val="00EE5A5D"/>
    <w:rsid w:val="00EE5A84"/>
    <w:rsid w:val="00EE5AD7"/>
    <w:rsid w:val="00EE5BA4"/>
    <w:rsid w:val="00EE5CBA"/>
    <w:rsid w:val="00EE5D85"/>
    <w:rsid w:val="00EE5EDD"/>
    <w:rsid w:val="00EE5EE9"/>
    <w:rsid w:val="00EE5EFC"/>
    <w:rsid w:val="00EE60B4"/>
    <w:rsid w:val="00EE634D"/>
    <w:rsid w:val="00EE63FD"/>
    <w:rsid w:val="00EE6541"/>
    <w:rsid w:val="00EE678C"/>
    <w:rsid w:val="00EE6932"/>
    <w:rsid w:val="00EE6A70"/>
    <w:rsid w:val="00EE6A81"/>
    <w:rsid w:val="00EE6AC4"/>
    <w:rsid w:val="00EE6C42"/>
    <w:rsid w:val="00EE6D0E"/>
    <w:rsid w:val="00EE6EC7"/>
    <w:rsid w:val="00EE6F3E"/>
    <w:rsid w:val="00EE6F8C"/>
    <w:rsid w:val="00EE7058"/>
    <w:rsid w:val="00EE7125"/>
    <w:rsid w:val="00EE72AC"/>
    <w:rsid w:val="00EE72F0"/>
    <w:rsid w:val="00EE73D2"/>
    <w:rsid w:val="00EE7456"/>
    <w:rsid w:val="00EE74D2"/>
    <w:rsid w:val="00EE78C7"/>
    <w:rsid w:val="00EE7993"/>
    <w:rsid w:val="00EE7A0B"/>
    <w:rsid w:val="00EE7AC6"/>
    <w:rsid w:val="00EE7B69"/>
    <w:rsid w:val="00EE7BA8"/>
    <w:rsid w:val="00EE7C7D"/>
    <w:rsid w:val="00EE7C9E"/>
    <w:rsid w:val="00EE7E41"/>
    <w:rsid w:val="00EE7E6A"/>
    <w:rsid w:val="00EF0079"/>
    <w:rsid w:val="00EF00B1"/>
    <w:rsid w:val="00EF00FD"/>
    <w:rsid w:val="00EF02FD"/>
    <w:rsid w:val="00EF0613"/>
    <w:rsid w:val="00EF0934"/>
    <w:rsid w:val="00EF09C0"/>
    <w:rsid w:val="00EF0FC6"/>
    <w:rsid w:val="00EF101F"/>
    <w:rsid w:val="00EF1095"/>
    <w:rsid w:val="00EF139E"/>
    <w:rsid w:val="00EF13F6"/>
    <w:rsid w:val="00EF14B3"/>
    <w:rsid w:val="00EF1560"/>
    <w:rsid w:val="00EF1789"/>
    <w:rsid w:val="00EF1836"/>
    <w:rsid w:val="00EF19F1"/>
    <w:rsid w:val="00EF1A36"/>
    <w:rsid w:val="00EF1B31"/>
    <w:rsid w:val="00EF1C10"/>
    <w:rsid w:val="00EF1E71"/>
    <w:rsid w:val="00EF1EB1"/>
    <w:rsid w:val="00EF1F9F"/>
    <w:rsid w:val="00EF1FD0"/>
    <w:rsid w:val="00EF1FFD"/>
    <w:rsid w:val="00EF23FD"/>
    <w:rsid w:val="00EF25E2"/>
    <w:rsid w:val="00EF2660"/>
    <w:rsid w:val="00EF26F8"/>
    <w:rsid w:val="00EF2780"/>
    <w:rsid w:val="00EF28BA"/>
    <w:rsid w:val="00EF2A1A"/>
    <w:rsid w:val="00EF2B7C"/>
    <w:rsid w:val="00EF2B8D"/>
    <w:rsid w:val="00EF2D70"/>
    <w:rsid w:val="00EF2D76"/>
    <w:rsid w:val="00EF2D97"/>
    <w:rsid w:val="00EF2DCC"/>
    <w:rsid w:val="00EF2E3B"/>
    <w:rsid w:val="00EF2F66"/>
    <w:rsid w:val="00EF2FDC"/>
    <w:rsid w:val="00EF2FDE"/>
    <w:rsid w:val="00EF30BF"/>
    <w:rsid w:val="00EF36B2"/>
    <w:rsid w:val="00EF379D"/>
    <w:rsid w:val="00EF37AE"/>
    <w:rsid w:val="00EF37BF"/>
    <w:rsid w:val="00EF3858"/>
    <w:rsid w:val="00EF3A2F"/>
    <w:rsid w:val="00EF3A99"/>
    <w:rsid w:val="00EF3B91"/>
    <w:rsid w:val="00EF3C80"/>
    <w:rsid w:val="00EF3ED9"/>
    <w:rsid w:val="00EF3F9C"/>
    <w:rsid w:val="00EF405B"/>
    <w:rsid w:val="00EF4069"/>
    <w:rsid w:val="00EF4120"/>
    <w:rsid w:val="00EF4310"/>
    <w:rsid w:val="00EF4362"/>
    <w:rsid w:val="00EF44F3"/>
    <w:rsid w:val="00EF4574"/>
    <w:rsid w:val="00EF47B0"/>
    <w:rsid w:val="00EF47F0"/>
    <w:rsid w:val="00EF493C"/>
    <w:rsid w:val="00EF4953"/>
    <w:rsid w:val="00EF49DA"/>
    <w:rsid w:val="00EF4B12"/>
    <w:rsid w:val="00EF4C23"/>
    <w:rsid w:val="00EF4C63"/>
    <w:rsid w:val="00EF4E10"/>
    <w:rsid w:val="00EF5036"/>
    <w:rsid w:val="00EF5052"/>
    <w:rsid w:val="00EF50F2"/>
    <w:rsid w:val="00EF5176"/>
    <w:rsid w:val="00EF5208"/>
    <w:rsid w:val="00EF53C0"/>
    <w:rsid w:val="00EF5432"/>
    <w:rsid w:val="00EF55AD"/>
    <w:rsid w:val="00EF5865"/>
    <w:rsid w:val="00EF590E"/>
    <w:rsid w:val="00EF59C6"/>
    <w:rsid w:val="00EF5A12"/>
    <w:rsid w:val="00EF5B45"/>
    <w:rsid w:val="00EF5B64"/>
    <w:rsid w:val="00EF5C56"/>
    <w:rsid w:val="00EF5EFD"/>
    <w:rsid w:val="00EF5F6C"/>
    <w:rsid w:val="00EF5FBA"/>
    <w:rsid w:val="00EF5FDD"/>
    <w:rsid w:val="00EF60C3"/>
    <w:rsid w:val="00EF618B"/>
    <w:rsid w:val="00EF6361"/>
    <w:rsid w:val="00EF655D"/>
    <w:rsid w:val="00EF65D9"/>
    <w:rsid w:val="00EF6760"/>
    <w:rsid w:val="00EF6940"/>
    <w:rsid w:val="00EF69BB"/>
    <w:rsid w:val="00EF6B13"/>
    <w:rsid w:val="00EF6BE3"/>
    <w:rsid w:val="00EF6CB7"/>
    <w:rsid w:val="00EF72CD"/>
    <w:rsid w:val="00EF7306"/>
    <w:rsid w:val="00EF7347"/>
    <w:rsid w:val="00EF76F4"/>
    <w:rsid w:val="00EF78A7"/>
    <w:rsid w:val="00EF79EB"/>
    <w:rsid w:val="00EF7A64"/>
    <w:rsid w:val="00EF7C58"/>
    <w:rsid w:val="00EF7D52"/>
    <w:rsid w:val="00EF7E3B"/>
    <w:rsid w:val="00EF7E66"/>
    <w:rsid w:val="00EF7FB5"/>
    <w:rsid w:val="00F00148"/>
    <w:rsid w:val="00F00487"/>
    <w:rsid w:val="00F0083A"/>
    <w:rsid w:val="00F008CA"/>
    <w:rsid w:val="00F00981"/>
    <w:rsid w:val="00F00A6A"/>
    <w:rsid w:val="00F00B60"/>
    <w:rsid w:val="00F00C1B"/>
    <w:rsid w:val="00F00CFF"/>
    <w:rsid w:val="00F00F68"/>
    <w:rsid w:val="00F01135"/>
    <w:rsid w:val="00F01183"/>
    <w:rsid w:val="00F0133D"/>
    <w:rsid w:val="00F015F1"/>
    <w:rsid w:val="00F018DA"/>
    <w:rsid w:val="00F019A0"/>
    <w:rsid w:val="00F01A76"/>
    <w:rsid w:val="00F01B11"/>
    <w:rsid w:val="00F01BE3"/>
    <w:rsid w:val="00F01DD4"/>
    <w:rsid w:val="00F01E57"/>
    <w:rsid w:val="00F01FAA"/>
    <w:rsid w:val="00F02116"/>
    <w:rsid w:val="00F021A4"/>
    <w:rsid w:val="00F023BD"/>
    <w:rsid w:val="00F023C4"/>
    <w:rsid w:val="00F02502"/>
    <w:rsid w:val="00F02647"/>
    <w:rsid w:val="00F0289F"/>
    <w:rsid w:val="00F0297F"/>
    <w:rsid w:val="00F02B35"/>
    <w:rsid w:val="00F02C20"/>
    <w:rsid w:val="00F02D34"/>
    <w:rsid w:val="00F02E70"/>
    <w:rsid w:val="00F02E9C"/>
    <w:rsid w:val="00F02F6B"/>
    <w:rsid w:val="00F03142"/>
    <w:rsid w:val="00F0322F"/>
    <w:rsid w:val="00F0332A"/>
    <w:rsid w:val="00F03540"/>
    <w:rsid w:val="00F03885"/>
    <w:rsid w:val="00F038AA"/>
    <w:rsid w:val="00F03A11"/>
    <w:rsid w:val="00F03C5A"/>
    <w:rsid w:val="00F03C94"/>
    <w:rsid w:val="00F03CA5"/>
    <w:rsid w:val="00F03EDE"/>
    <w:rsid w:val="00F0406E"/>
    <w:rsid w:val="00F041FF"/>
    <w:rsid w:val="00F0435E"/>
    <w:rsid w:val="00F0437E"/>
    <w:rsid w:val="00F043FC"/>
    <w:rsid w:val="00F0464D"/>
    <w:rsid w:val="00F046F6"/>
    <w:rsid w:val="00F04B79"/>
    <w:rsid w:val="00F04BDD"/>
    <w:rsid w:val="00F04F96"/>
    <w:rsid w:val="00F05188"/>
    <w:rsid w:val="00F051CB"/>
    <w:rsid w:val="00F05865"/>
    <w:rsid w:val="00F05BA9"/>
    <w:rsid w:val="00F05D00"/>
    <w:rsid w:val="00F05E7F"/>
    <w:rsid w:val="00F05E95"/>
    <w:rsid w:val="00F05F33"/>
    <w:rsid w:val="00F0607B"/>
    <w:rsid w:val="00F0624B"/>
    <w:rsid w:val="00F063FC"/>
    <w:rsid w:val="00F06651"/>
    <w:rsid w:val="00F066DE"/>
    <w:rsid w:val="00F0673D"/>
    <w:rsid w:val="00F06746"/>
    <w:rsid w:val="00F0686F"/>
    <w:rsid w:val="00F06A36"/>
    <w:rsid w:val="00F06A95"/>
    <w:rsid w:val="00F06AB0"/>
    <w:rsid w:val="00F06B2E"/>
    <w:rsid w:val="00F06BA6"/>
    <w:rsid w:val="00F06BCB"/>
    <w:rsid w:val="00F06D09"/>
    <w:rsid w:val="00F06EBE"/>
    <w:rsid w:val="00F06F68"/>
    <w:rsid w:val="00F06FE5"/>
    <w:rsid w:val="00F0701F"/>
    <w:rsid w:val="00F0702A"/>
    <w:rsid w:val="00F0705C"/>
    <w:rsid w:val="00F070D8"/>
    <w:rsid w:val="00F070E6"/>
    <w:rsid w:val="00F07567"/>
    <w:rsid w:val="00F0778D"/>
    <w:rsid w:val="00F079D5"/>
    <w:rsid w:val="00F07A89"/>
    <w:rsid w:val="00F07BD2"/>
    <w:rsid w:val="00F07BFA"/>
    <w:rsid w:val="00F07CAD"/>
    <w:rsid w:val="00F07E20"/>
    <w:rsid w:val="00F07F0D"/>
    <w:rsid w:val="00F10102"/>
    <w:rsid w:val="00F1022A"/>
    <w:rsid w:val="00F1025D"/>
    <w:rsid w:val="00F1031C"/>
    <w:rsid w:val="00F10516"/>
    <w:rsid w:val="00F1060B"/>
    <w:rsid w:val="00F1064B"/>
    <w:rsid w:val="00F1089D"/>
    <w:rsid w:val="00F10948"/>
    <w:rsid w:val="00F10A3E"/>
    <w:rsid w:val="00F10B22"/>
    <w:rsid w:val="00F10C39"/>
    <w:rsid w:val="00F10C5F"/>
    <w:rsid w:val="00F10C60"/>
    <w:rsid w:val="00F10CAC"/>
    <w:rsid w:val="00F10D5D"/>
    <w:rsid w:val="00F10DDE"/>
    <w:rsid w:val="00F10ED8"/>
    <w:rsid w:val="00F10F92"/>
    <w:rsid w:val="00F110B3"/>
    <w:rsid w:val="00F1132B"/>
    <w:rsid w:val="00F1140D"/>
    <w:rsid w:val="00F11434"/>
    <w:rsid w:val="00F11523"/>
    <w:rsid w:val="00F115B5"/>
    <w:rsid w:val="00F11706"/>
    <w:rsid w:val="00F118BE"/>
    <w:rsid w:val="00F118FF"/>
    <w:rsid w:val="00F119D2"/>
    <w:rsid w:val="00F11B60"/>
    <w:rsid w:val="00F11C21"/>
    <w:rsid w:val="00F11CF7"/>
    <w:rsid w:val="00F11E0A"/>
    <w:rsid w:val="00F1232A"/>
    <w:rsid w:val="00F123FB"/>
    <w:rsid w:val="00F12517"/>
    <w:rsid w:val="00F12969"/>
    <w:rsid w:val="00F1299B"/>
    <w:rsid w:val="00F129BF"/>
    <w:rsid w:val="00F12B9D"/>
    <w:rsid w:val="00F12BAD"/>
    <w:rsid w:val="00F12C02"/>
    <w:rsid w:val="00F13451"/>
    <w:rsid w:val="00F13470"/>
    <w:rsid w:val="00F134AC"/>
    <w:rsid w:val="00F13704"/>
    <w:rsid w:val="00F13857"/>
    <w:rsid w:val="00F1395F"/>
    <w:rsid w:val="00F13A7F"/>
    <w:rsid w:val="00F13F47"/>
    <w:rsid w:val="00F13F50"/>
    <w:rsid w:val="00F14057"/>
    <w:rsid w:val="00F1415C"/>
    <w:rsid w:val="00F141E7"/>
    <w:rsid w:val="00F14296"/>
    <w:rsid w:val="00F142C4"/>
    <w:rsid w:val="00F14536"/>
    <w:rsid w:val="00F14539"/>
    <w:rsid w:val="00F147A3"/>
    <w:rsid w:val="00F14836"/>
    <w:rsid w:val="00F1496C"/>
    <w:rsid w:val="00F14977"/>
    <w:rsid w:val="00F14A61"/>
    <w:rsid w:val="00F14AE4"/>
    <w:rsid w:val="00F14F4E"/>
    <w:rsid w:val="00F14FE6"/>
    <w:rsid w:val="00F15202"/>
    <w:rsid w:val="00F15481"/>
    <w:rsid w:val="00F1554D"/>
    <w:rsid w:val="00F15592"/>
    <w:rsid w:val="00F15789"/>
    <w:rsid w:val="00F157B4"/>
    <w:rsid w:val="00F15967"/>
    <w:rsid w:val="00F15A55"/>
    <w:rsid w:val="00F15C24"/>
    <w:rsid w:val="00F15E72"/>
    <w:rsid w:val="00F1607F"/>
    <w:rsid w:val="00F161B9"/>
    <w:rsid w:val="00F16221"/>
    <w:rsid w:val="00F1628E"/>
    <w:rsid w:val="00F163F9"/>
    <w:rsid w:val="00F1652D"/>
    <w:rsid w:val="00F16613"/>
    <w:rsid w:val="00F167D1"/>
    <w:rsid w:val="00F1687E"/>
    <w:rsid w:val="00F1696E"/>
    <w:rsid w:val="00F169AA"/>
    <w:rsid w:val="00F16A3B"/>
    <w:rsid w:val="00F16A8E"/>
    <w:rsid w:val="00F16BA7"/>
    <w:rsid w:val="00F16D76"/>
    <w:rsid w:val="00F17038"/>
    <w:rsid w:val="00F17173"/>
    <w:rsid w:val="00F17183"/>
    <w:rsid w:val="00F173D6"/>
    <w:rsid w:val="00F177A1"/>
    <w:rsid w:val="00F178CA"/>
    <w:rsid w:val="00F179DB"/>
    <w:rsid w:val="00F179ED"/>
    <w:rsid w:val="00F17D64"/>
    <w:rsid w:val="00F17D9D"/>
    <w:rsid w:val="00F2018C"/>
    <w:rsid w:val="00F20367"/>
    <w:rsid w:val="00F203DD"/>
    <w:rsid w:val="00F20570"/>
    <w:rsid w:val="00F20815"/>
    <w:rsid w:val="00F20865"/>
    <w:rsid w:val="00F20991"/>
    <w:rsid w:val="00F20F2C"/>
    <w:rsid w:val="00F212EF"/>
    <w:rsid w:val="00F2153F"/>
    <w:rsid w:val="00F21629"/>
    <w:rsid w:val="00F216B2"/>
    <w:rsid w:val="00F2171D"/>
    <w:rsid w:val="00F2174F"/>
    <w:rsid w:val="00F21809"/>
    <w:rsid w:val="00F21893"/>
    <w:rsid w:val="00F219D3"/>
    <w:rsid w:val="00F21CF5"/>
    <w:rsid w:val="00F21E39"/>
    <w:rsid w:val="00F21F34"/>
    <w:rsid w:val="00F21F4F"/>
    <w:rsid w:val="00F21FF1"/>
    <w:rsid w:val="00F220DF"/>
    <w:rsid w:val="00F221C6"/>
    <w:rsid w:val="00F2221A"/>
    <w:rsid w:val="00F22393"/>
    <w:rsid w:val="00F22531"/>
    <w:rsid w:val="00F225CC"/>
    <w:rsid w:val="00F226F6"/>
    <w:rsid w:val="00F22720"/>
    <w:rsid w:val="00F22842"/>
    <w:rsid w:val="00F22956"/>
    <w:rsid w:val="00F22BB7"/>
    <w:rsid w:val="00F22BBC"/>
    <w:rsid w:val="00F22C90"/>
    <w:rsid w:val="00F22D2A"/>
    <w:rsid w:val="00F22DC7"/>
    <w:rsid w:val="00F22DE0"/>
    <w:rsid w:val="00F22ECC"/>
    <w:rsid w:val="00F23181"/>
    <w:rsid w:val="00F23255"/>
    <w:rsid w:val="00F235D9"/>
    <w:rsid w:val="00F2383D"/>
    <w:rsid w:val="00F23A17"/>
    <w:rsid w:val="00F23AAD"/>
    <w:rsid w:val="00F23BFB"/>
    <w:rsid w:val="00F23CAD"/>
    <w:rsid w:val="00F23D01"/>
    <w:rsid w:val="00F23D2E"/>
    <w:rsid w:val="00F23D3B"/>
    <w:rsid w:val="00F23E48"/>
    <w:rsid w:val="00F23EDC"/>
    <w:rsid w:val="00F23F0D"/>
    <w:rsid w:val="00F23FDF"/>
    <w:rsid w:val="00F24036"/>
    <w:rsid w:val="00F24044"/>
    <w:rsid w:val="00F2408C"/>
    <w:rsid w:val="00F24166"/>
    <w:rsid w:val="00F241BB"/>
    <w:rsid w:val="00F242CE"/>
    <w:rsid w:val="00F243E2"/>
    <w:rsid w:val="00F243FA"/>
    <w:rsid w:val="00F244E0"/>
    <w:rsid w:val="00F2469D"/>
    <w:rsid w:val="00F248F5"/>
    <w:rsid w:val="00F24A74"/>
    <w:rsid w:val="00F24AAB"/>
    <w:rsid w:val="00F24BEB"/>
    <w:rsid w:val="00F24D3B"/>
    <w:rsid w:val="00F24E97"/>
    <w:rsid w:val="00F24F74"/>
    <w:rsid w:val="00F251F2"/>
    <w:rsid w:val="00F2550A"/>
    <w:rsid w:val="00F2552A"/>
    <w:rsid w:val="00F25532"/>
    <w:rsid w:val="00F25922"/>
    <w:rsid w:val="00F25C12"/>
    <w:rsid w:val="00F25C9C"/>
    <w:rsid w:val="00F25CFC"/>
    <w:rsid w:val="00F25E7B"/>
    <w:rsid w:val="00F25EAC"/>
    <w:rsid w:val="00F25EC4"/>
    <w:rsid w:val="00F2600B"/>
    <w:rsid w:val="00F26210"/>
    <w:rsid w:val="00F26228"/>
    <w:rsid w:val="00F263F6"/>
    <w:rsid w:val="00F2641C"/>
    <w:rsid w:val="00F26648"/>
    <w:rsid w:val="00F26790"/>
    <w:rsid w:val="00F267C1"/>
    <w:rsid w:val="00F26A6D"/>
    <w:rsid w:val="00F26CB2"/>
    <w:rsid w:val="00F26DE8"/>
    <w:rsid w:val="00F26E98"/>
    <w:rsid w:val="00F26ED7"/>
    <w:rsid w:val="00F26FD8"/>
    <w:rsid w:val="00F2707B"/>
    <w:rsid w:val="00F27123"/>
    <w:rsid w:val="00F27138"/>
    <w:rsid w:val="00F27147"/>
    <w:rsid w:val="00F27153"/>
    <w:rsid w:val="00F271F4"/>
    <w:rsid w:val="00F27343"/>
    <w:rsid w:val="00F276AD"/>
    <w:rsid w:val="00F27953"/>
    <w:rsid w:val="00F27D18"/>
    <w:rsid w:val="00F27D5F"/>
    <w:rsid w:val="00F27DE1"/>
    <w:rsid w:val="00F27EFA"/>
    <w:rsid w:val="00F3001A"/>
    <w:rsid w:val="00F30153"/>
    <w:rsid w:val="00F303BB"/>
    <w:rsid w:val="00F3052F"/>
    <w:rsid w:val="00F305D0"/>
    <w:rsid w:val="00F30753"/>
    <w:rsid w:val="00F307CA"/>
    <w:rsid w:val="00F3080A"/>
    <w:rsid w:val="00F30998"/>
    <w:rsid w:val="00F309CC"/>
    <w:rsid w:val="00F31011"/>
    <w:rsid w:val="00F3124C"/>
    <w:rsid w:val="00F3128A"/>
    <w:rsid w:val="00F314E8"/>
    <w:rsid w:val="00F315CE"/>
    <w:rsid w:val="00F315D5"/>
    <w:rsid w:val="00F31CC9"/>
    <w:rsid w:val="00F31D76"/>
    <w:rsid w:val="00F31DF6"/>
    <w:rsid w:val="00F31E60"/>
    <w:rsid w:val="00F31ED7"/>
    <w:rsid w:val="00F31F69"/>
    <w:rsid w:val="00F32106"/>
    <w:rsid w:val="00F32281"/>
    <w:rsid w:val="00F32339"/>
    <w:rsid w:val="00F323E2"/>
    <w:rsid w:val="00F324C4"/>
    <w:rsid w:val="00F324E5"/>
    <w:rsid w:val="00F326B9"/>
    <w:rsid w:val="00F326D6"/>
    <w:rsid w:val="00F32911"/>
    <w:rsid w:val="00F32AB1"/>
    <w:rsid w:val="00F32B4F"/>
    <w:rsid w:val="00F32C18"/>
    <w:rsid w:val="00F32CA3"/>
    <w:rsid w:val="00F32CC5"/>
    <w:rsid w:val="00F32CD2"/>
    <w:rsid w:val="00F32D39"/>
    <w:rsid w:val="00F33144"/>
    <w:rsid w:val="00F33320"/>
    <w:rsid w:val="00F333BD"/>
    <w:rsid w:val="00F33A82"/>
    <w:rsid w:val="00F33BD9"/>
    <w:rsid w:val="00F34075"/>
    <w:rsid w:val="00F343CE"/>
    <w:rsid w:val="00F34432"/>
    <w:rsid w:val="00F344D2"/>
    <w:rsid w:val="00F34542"/>
    <w:rsid w:val="00F34650"/>
    <w:rsid w:val="00F347C4"/>
    <w:rsid w:val="00F3485D"/>
    <w:rsid w:val="00F348DF"/>
    <w:rsid w:val="00F34A0F"/>
    <w:rsid w:val="00F34C7C"/>
    <w:rsid w:val="00F34CF0"/>
    <w:rsid w:val="00F34EF4"/>
    <w:rsid w:val="00F34F0D"/>
    <w:rsid w:val="00F35290"/>
    <w:rsid w:val="00F354FF"/>
    <w:rsid w:val="00F35519"/>
    <w:rsid w:val="00F3553D"/>
    <w:rsid w:val="00F3555E"/>
    <w:rsid w:val="00F356CF"/>
    <w:rsid w:val="00F3575D"/>
    <w:rsid w:val="00F358E6"/>
    <w:rsid w:val="00F35ADF"/>
    <w:rsid w:val="00F35B41"/>
    <w:rsid w:val="00F35C32"/>
    <w:rsid w:val="00F35FFA"/>
    <w:rsid w:val="00F36061"/>
    <w:rsid w:val="00F36136"/>
    <w:rsid w:val="00F361DE"/>
    <w:rsid w:val="00F36400"/>
    <w:rsid w:val="00F36448"/>
    <w:rsid w:val="00F3654C"/>
    <w:rsid w:val="00F3656C"/>
    <w:rsid w:val="00F3660D"/>
    <w:rsid w:val="00F36714"/>
    <w:rsid w:val="00F36865"/>
    <w:rsid w:val="00F36B27"/>
    <w:rsid w:val="00F36C57"/>
    <w:rsid w:val="00F36D4D"/>
    <w:rsid w:val="00F36F9B"/>
    <w:rsid w:val="00F37083"/>
    <w:rsid w:val="00F37524"/>
    <w:rsid w:val="00F37572"/>
    <w:rsid w:val="00F37589"/>
    <w:rsid w:val="00F375F2"/>
    <w:rsid w:val="00F3764A"/>
    <w:rsid w:val="00F377B8"/>
    <w:rsid w:val="00F3786E"/>
    <w:rsid w:val="00F37AB6"/>
    <w:rsid w:val="00F37B52"/>
    <w:rsid w:val="00F37CA3"/>
    <w:rsid w:val="00F37D7E"/>
    <w:rsid w:val="00F37D8C"/>
    <w:rsid w:val="00F37EEB"/>
    <w:rsid w:val="00F37F08"/>
    <w:rsid w:val="00F40320"/>
    <w:rsid w:val="00F40453"/>
    <w:rsid w:val="00F40875"/>
    <w:rsid w:val="00F40AC3"/>
    <w:rsid w:val="00F40B9D"/>
    <w:rsid w:val="00F40BE4"/>
    <w:rsid w:val="00F40FA8"/>
    <w:rsid w:val="00F4103E"/>
    <w:rsid w:val="00F4116C"/>
    <w:rsid w:val="00F4126F"/>
    <w:rsid w:val="00F41273"/>
    <w:rsid w:val="00F41302"/>
    <w:rsid w:val="00F4139A"/>
    <w:rsid w:val="00F413CB"/>
    <w:rsid w:val="00F413FE"/>
    <w:rsid w:val="00F41697"/>
    <w:rsid w:val="00F41737"/>
    <w:rsid w:val="00F41800"/>
    <w:rsid w:val="00F41809"/>
    <w:rsid w:val="00F41909"/>
    <w:rsid w:val="00F4191D"/>
    <w:rsid w:val="00F41ED2"/>
    <w:rsid w:val="00F41FCD"/>
    <w:rsid w:val="00F420E1"/>
    <w:rsid w:val="00F42154"/>
    <w:rsid w:val="00F42481"/>
    <w:rsid w:val="00F424CA"/>
    <w:rsid w:val="00F42620"/>
    <w:rsid w:val="00F42803"/>
    <w:rsid w:val="00F4288B"/>
    <w:rsid w:val="00F428F1"/>
    <w:rsid w:val="00F4290E"/>
    <w:rsid w:val="00F42928"/>
    <w:rsid w:val="00F4293C"/>
    <w:rsid w:val="00F429CA"/>
    <w:rsid w:val="00F429DE"/>
    <w:rsid w:val="00F42C8E"/>
    <w:rsid w:val="00F42E1A"/>
    <w:rsid w:val="00F42F3F"/>
    <w:rsid w:val="00F4313F"/>
    <w:rsid w:val="00F43391"/>
    <w:rsid w:val="00F43649"/>
    <w:rsid w:val="00F4381B"/>
    <w:rsid w:val="00F43946"/>
    <w:rsid w:val="00F439B5"/>
    <w:rsid w:val="00F43B12"/>
    <w:rsid w:val="00F43B2E"/>
    <w:rsid w:val="00F43E56"/>
    <w:rsid w:val="00F43F01"/>
    <w:rsid w:val="00F43F92"/>
    <w:rsid w:val="00F43FB5"/>
    <w:rsid w:val="00F44121"/>
    <w:rsid w:val="00F4427F"/>
    <w:rsid w:val="00F44436"/>
    <w:rsid w:val="00F44474"/>
    <w:rsid w:val="00F44598"/>
    <w:rsid w:val="00F44646"/>
    <w:rsid w:val="00F448AE"/>
    <w:rsid w:val="00F44D02"/>
    <w:rsid w:val="00F44E5F"/>
    <w:rsid w:val="00F44FA0"/>
    <w:rsid w:val="00F44FE9"/>
    <w:rsid w:val="00F4506B"/>
    <w:rsid w:val="00F45128"/>
    <w:rsid w:val="00F4525F"/>
    <w:rsid w:val="00F45412"/>
    <w:rsid w:val="00F4548A"/>
    <w:rsid w:val="00F45607"/>
    <w:rsid w:val="00F45707"/>
    <w:rsid w:val="00F4578D"/>
    <w:rsid w:val="00F45937"/>
    <w:rsid w:val="00F45960"/>
    <w:rsid w:val="00F45A88"/>
    <w:rsid w:val="00F45B0D"/>
    <w:rsid w:val="00F45DF2"/>
    <w:rsid w:val="00F45EC9"/>
    <w:rsid w:val="00F4600B"/>
    <w:rsid w:val="00F46029"/>
    <w:rsid w:val="00F461F3"/>
    <w:rsid w:val="00F46200"/>
    <w:rsid w:val="00F463F3"/>
    <w:rsid w:val="00F46470"/>
    <w:rsid w:val="00F46588"/>
    <w:rsid w:val="00F465AB"/>
    <w:rsid w:val="00F46BC8"/>
    <w:rsid w:val="00F46BD3"/>
    <w:rsid w:val="00F46C12"/>
    <w:rsid w:val="00F46C1C"/>
    <w:rsid w:val="00F46C65"/>
    <w:rsid w:val="00F46C93"/>
    <w:rsid w:val="00F46CED"/>
    <w:rsid w:val="00F46D84"/>
    <w:rsid w:val="00F46F43"/>
    <w:rsid w:val="00F46FB6"/>
    <w:rsid w:val="00F46FD4"/>
    <w:rsid w:val="00F4715C"/>
    <w:rsid w:val="00F47177"/>
    <w:rsid w:val="00F471F6"/>
    <w:rsid w:val="00F4743A"/>
    <w:rsid w:val="00F47636"/>
    <w:rsid w:val="00F47937"/>
    <w:rsid w:val="00F479F5"/>
    <w:rsid w:val="00F47A74"/>
    <w:rsid w:val="00F47AF0"/>
    <w:rsid w:val="00F47EE6"/>
    <w:rsid w:val="00F47F74"/>
    <w:rsid w:val="00F47F89"/>
    <w:rsid w:val="00F47FE1"/>
    <w:rsid w:val="00F50100"/>
    <w:rsid w:val="00F50369"/>
    <w:rsid w:val="00F50483"/>
    <w:rsid w:val="00F504F1"/>
    <w:rsid w:val="00F50570"/>
    <w:rsid w:val="00F506D4"/>
    <w:rsid w:val="00F508A7"/>
    <w:rsid w:val="00F50A3D"/>
    <w:rsid w:val="00F50BB8"/>
    <w:rsid w:val="00F50D98"/>
    <w:rsid w:val="00F511BE"/>
    <w:rsid w:val="00F511D6"/>
    <w:rsid w:val="00F512BD"/>
    <w:rsid w:val="00F513AE"/>
    <w:rsid w:val="00F51456"/>
    <w:rsid w:val="00F514B8"/>
    <w:rsid w:val="00F514EB"/>
    <w:rsid w:val="00F514EC"/>
    <w:rsid w:val="00F515E5"/>
    <w:rsid w:val="00F51656"/>
    <w:rsid w:val="00F516BC"/>
    <w:rsid w:val="00F517BC"/>
    <w:rsid w:val="00F51825"/>
    <w:rsid w:val="00F518BB"/>
    <w:rsid w:val="00F519F3"/>
    <w:rsid w:val="00F51B17"/>
    <w:rsid w:val="00F51B7D"/>
    <w:rsid w:val="00F51BA3"/>
    <w:rsid w:val="00F51CA0"/>
    <w:rsid w:val="00F51E11"/>
    <w:rsid w:val="00F52231"/>
    <w:rsid w:val="00F52388"/>
    <w:rsid w:val="00F5241A"/>
    <w:rsid w:val="00F52460"/>
    <w:rsid w:val="00F52486"/>
    <w:rsid w:val="00F52573"/>
    <w:rsid w:val="00F525DA"/>
    <w:rsid w:val="00F5263C"/>
    <w:rsid w:val="00F527BE"/>
    <w:rsid w:val="00F5292D"/>
    <w:rsid w:val="00F52988"/>
    <w:rsid w:val="00F52A51"/>
    <w:rsid w:val="00F52BAF"/>
    <w:rsid w:val="00F52CC9"/>
    <w:rsid w:val="00F52DF1"/>
    <w:rsid w:val="00F52F9A"/>
    <w:rsid w:val="00F53029"/>
    <w:rsid w:val="00F53161"/>
    <w:rsid w:val="00F53362"/>
    <w:rsid w:val="00F53526"/>
    <w:rsid w:val="00F536B5"/>
    <w:rsid w:val="00F5371C"/>
    <w:rsid w:val="00F53798"/>
    <w:rsid w:val="00F53A55"/>
    <w:rsid w:val="00F53AA1"/>
    <w:rsid w:val="00F53BC5"/>
    <w:rsid w:val="00F53D57"/>
    <w:rsid w:val="00F53DB0"/>
    <w:rsid w:val="00F53E43"/>
    <w:rsid w:val="00F53EDB"/>
    <w:rsid w:val="00F540F3"/>
    <w:rsid w:val="00F54395"/>
    <w:rsid w:val="00F543E2"/>
    <w:rsid w:val="00F544A2"/>
    <w:rsid w:val="00F54756"/>
    <w:rsid w:val="00F547A8"/>
    <w:rsid w:val="00F548DB"/>
    <w:rsid w:val="00F548F1"/>
    <w:rsid w:val="00F5495E"/>
    <w:rsid w:val="00F5496F"/>
    <w:rsid w:val="00F54AF9"/>
    <w:rsid w:val="00F550C7"/>
    <w:rsid w:val="00F5521A"/>
    <w:rsid w:val="00F5529E"/>
    <w:rsid w:val="00F55524"/>
    <w:rsid w:val="00F555A1"/>
    <w:rsid w:val="00F5563A"/>
    <w:rsid w:val="00F55905"/>
    <w:rsid w:val="00F5594F"/>
    <w:rsid w:val="00F55C87"/>
    <w:rsid w:val="00F55E2C"/>
    <w:rsid w:val="00F55EBE"/>
    <w:rsid w:val="00F55ECA"/>
    <w:rsid w:val="00F55EE8"/>
    <w:rsid w:val="00F560E7"/>
    <w:rsid w:val="00F562BE"/>
    <w:rsid w:val="00F56302"/>
    <w:rsid w:val="00F563B6"/>
    <w:rsid w:val="00F5650C"/>
    <w:rsid w:val="00F56582"/>
    <w:rsid w:val="00F56599"/>
    <w:rsid w:val="00F56B0C"/>
    <w:rsid w:val="00F56E51"/>
    <w:rsid w:val="00F56FA5"/>
    <w:rsid w:val="00F57084"/>
    <w:rsid w:val="00F570AD"/>
    <w:rsid w:val="00F5712B"/>
    <w:rsid w:val="00F57159"/>
    <w:rsid w:val="00F57200"/>
    <w:rsid w:val="00F57242"/>
    <w:rsid w:val="00F572F0"/>
    <w:rsid w:val="00F57317"/>
    <w:rsid w:val="00F57526"/>
    <w:rsid w:val="00F5760F"/>
    <w:rsid w:val="00F5779B"/>
    <w:rsid w:val="00F577E7"/>
    <w:rsid w:val="00F577F4"/>
    <w:rsid w:val="00F5788A"/>
    <w:rsid w:val="00F57948"/>
    <w:rsid w:val="00F579B1"/>
    <w:rsid w:val="00F57D29"/>
    <w:rsid w:val="00F57EAC"/>
    <w:rsid w:val="00F60268"/>
    <w:rsid w:val="00F602C9"/>
    <w:rsid w:val="00F602CF"/>
    <w:rsid w:val="00F605C5"/>
    <w:rsid w:val="00F60694"/>
    <w:rsid w:val="00F607C2"/>
    <w:rsid w:val="00F60881"/>
    <w:rsid w:val="00F60975"/>
    <w:rsid w:val="00F60A0B"/>
    <w:rsid w:val="00F60CB5"/>
    <w:rsid w:val="00F60CEA"/>
    <w:rsid w:val="00F60D74"/>
    <w:rsid w:val="00F60DD1"/>
    <w:rsid w:val="00F60DE4"/>
    <w:rsid w:val="00F60F4A"/>
    <w:rsid w:val="00F60F71"/>
    <w:rsid w:val="00F60FB6"/>
    <w:rsid w:val="00F61186"/>
    <w:rsid w:val="00F611F9"/>
    <w:rsid w:val="00F612C7"/>
    <w:rsid w:val="00F616F2"/>
    <w:rsid w:val="00F61720"/>
    <w:rsid w:val="00F61A36"/>
    <w:rsid w:val="00F61AB9"/>
    <w:rsid w:val="00F61CB1"/>
    <w:rsid w:val="00F61D6A"/>
    <w:rsid w:val="00F61D79"/>
    <w:rsid w:val="00F61DD0"/>
    <w:rsid w:val="00F61EC7"/>
    <w:rsid w:val="00F62419"/>
    <w:rsid w:val="00F624FB"/>
    <w:rsid w:val="00F6270E"/>
    <w:rsid w:val="00F6282E"/>
    <w:rsid w:val="00F62861"/>
    <w:rsid w:val="00F62A28"/>
    <w:rsid w:val="00F62BBC"/>
    <w:rsid w:val="00F62BC1"/>
    <w:rsid w:val="00F62C64"/>
    <w:rsid w:val="00F62C66"/>
    <w:rsid w:val="00F62F9F"/>
    <w:rsid w:val="00F631CD"/>
    <w:rsid w:val="00F63221"/>
    <w:rsid w:val="00F6331A"/>
    <w:rsid w:val="00F63347"/>
    <w:rsid w:val="00F63449"/>
    <w:rsid w:val="00F637FE"/>
    <w:rsid w:val="00F63840"/>
    <w:rsid w:val="00F63B29"/>
    <w:rsid w:val="00F63BDC"/>
    <w:rsid w:val="00F63F99"/>
    <w:rsid w:val="00F640FA"/>
    <w:rsid w:val="00F6414D"/>
    <w:rsid w:val="00F64297"/>
    <w:rsid w:val="00F643D4"/>
    <w:rsid w:val="00F6478B"/>
    <w:rsid w:val="00F6478C"/>
    <w:rsid w:val="00F647B5"/>
    <w:rsid w:val="00F648F8"/>
    <w:rsid w:val="00F64A30"/>
    <w:rsid w:val="00F64B86"/>
    <w:rsid w:val="00F64C1C"/>
    <w:rsid w:val="00F64C8A"/>
    <w:rsid w:val="00F64DE4"/>
    <w:rsid w:val="00F6508A"/>
    <w:rsid w:val="00F650B4"/>
    <w:rsid w:val="00F650BC"/>
    <w:rsid w:val="00F6525B"/>
    <w:rsid w:val="00F65486"/>
    <w:rsid w:val="00F656E8"/>
    <w:rsid w:val="00F65796"/>
    <w:rsid w:val="00F65905"/>
    <w:rsid w:val="00F6593D"/>
    <w:rsid w:val="00F65AF2"/>
    <w:rsid w:val="00F65AF3"/>
    <w:rsid w:val="00F65B42"/>
    <w:rsid w:val="00F65D18"/>
    <w:rsid w:val="00F65DFB"/>
    <w:rsid w:val="00F65F10"/>
    <w:rsid w:val="00F661B4"/>
    <w:rsid w:val="00F6624E"/>
    <w:rsid w:val="00F66309"/>
    <w:rsid w:val="00F6635E"/>
    <w:rsid w:val="00F66449"/>
    <w:rsid w:val="00F66454"/>
    <w:rsid w:val="00F664F4"/>
    <w:rsid w:val="00F6651D"/>
    <w:rsid w:val="00F667B5"/>
    <w:rsid w:val="00F667E5"/>
    <w:rsid w:val="00F66836"/>
    <w:rsid w:val="00F668B0"/>
    <w:rsid w:val="00F66A93"/>
    <w:rsid w:val="00F66AB1"/>
    <w:rsid w:val="00F66C81"/>
    <w:rsid w:val="00F66EF5"/>
    <w:rsid w:val="00F66F26"/>
    <w:rsid w:val="00F66F69"/>
    <w:rsid w:val="00F66F75"/>
    <w:rsid w:val="00F66F97"/>
    <w:rsid w:val="00F6724E"/>
    <w:rsid w:val="00F6727C"/>
    <w:rsid w:val="00F6737F"/>
    <w:rsid w:val="00F67421"/>
    <w:rsid w:val="00F67549"/>
    <w:rsid w:val="00F675B3"/>
    <w:rsid w:val="00F67630"/>
    <w:rsid w:val="00F678DE"/>
    <w:rsid w:val="00F679F8"/>
    <w:rsid w:val="00F67B5B"/>
    <w:rsid w:val="00F67BA2"/>
    <w:rsid w:val="00F70094"/>
    <w:rsid w:val="00F700D1"/>
    <w:rsid w:val="00F701F6"/>
    <w:rsid w:val="00F703C5"/>
    <w:rsid w:val="00F7057C"/>
    <w:rsid w:val="00F709E4"/>
    <w:rsid w:val="00F70AFF"/>
    <w:rsid w:val="00F70B27"/>
    <w:rsid w:val="00F70C39"/>
    <w:rsid w:val="00F70C76"/>
    <w:rsid w:val="00F70F1A"/>
    <w:rsid w:val="00F70F36"/>
    <w:rsid w:val="00F7102B"/>
    <w:rsid w:val="00F71040"/>
    <w:rsid w:val="00F711C6"/>
    <w:rsid w:val="00F7127D"/>
    <w:rsid w:val="00F71285"/>
    <w:rsid w:val="00F712D3"/>
    <w:rsid w:val="00F713BC"/>
    <w:rsid w:val="00F716BE"/>
    <w:rsid w:val="00F719FA"/>
    <w:rsid w:val="00F71A1B"/>
    <w:rsid w:val="00F71B55"/>
    <w:rsid w:val="00F71C8C"/>
    <w:rsid w:val="00F72126"/>
    <w:rsid w:val="00F722DD"/>
    <w:rsid w:val="00F722F5"/>
    <w:rsid w:val="00F722F9"/>
    <w:rsid w:val="00F72439"/>
    <w:rsid w:val="00F72518"/>
    <w:rsid w:val="00F72572"/>
    <w:rsid w:val="00F72976"/>
    <w:rsid w:val="00F72C93"/>
    <w:rsid w:val="00F72D09"/>
    <w:rsid w:val="00F72FA9"/>
    <w:rsid w:val="00F72FE7"/>
    <w:rsid w:val="00F731E1"/>
    <w:rsid w:val="00F73354"/>
    <w:rsid w:val="00F73371"/>
    <w:rsid w:val="00F733F5"/>
    <w:rsid w:val="00F7342A"/>
    <w:rsid w:val="00F73451"/>
    <w:rsid w:val="00F73833"/>
    <w:rsid w:val="00F73986"/>
    <w:rsid w:val="00F73B2A"/>
    <w:rsid w:val="00F73C1E"/>
    <w:rsid w:val="00F73C42"/>
    <w:rsid w:val="00F73DB7"/>
    <w:rsid w:val="00F73EA0"/>
    <w:rsid w:val="00F74016"/>
    <w:rsid w:val="00F7415B"/>
    <w:rsid w:val="00F741EE"/>
    <w:rsid w:val="00F7421C"/>
    <w:rsid w:val="00F74250"/>
    <w:rsid w:val="00F7437A"/>
    <w:rsid w:val="00F74896"/>
    <w:rsid w:val="00F7491A"/>
    <w:rsid w:val="00F749B2"/>
    <w:rsid w:val="00F74C26"/>
    <w:rsid w:val="00F74C60"/>
    <w:rsid w:val="00F74C65"/>
    <w:rsid w:val="00F74E92"/>
    <w:rsid w:val="00F74EF4"/>
    <w:rsid w:val="00F74F7C"/>
    <w:rsid w:val="00F754DF"/>
    <w:rsid w:val="00F756D0"/>
    <w:rsid w:val="00F756E4"/>
    <w:rsid w:val="00F757E6"/>
    <w:rsid w:val="00F75937"/>
    <w:rsid w:val="00F75B65"/>
    <w:rsid w:val="00F75BCA"/>
    <w:rsid w:val="00F75C70"/>
    <w:rsid w:val="00F75EC3"/>
    <w:rsid w:val="00F760AB"/>
    <w:rsid w:val="00F761EA"/>
    <w:rsid w:val="00F762E8"/>
    <w:rsid w:val="00F7639C"/>
    <w:rsid w:val="00F7659A"/>
    <w:rsid w:val="00F7663A"/>
    <w:rsid w:val="00F767A9"/>
    <w:rsid w:val="00F76909"/>
    <w:rsid w:val="00F76937"/>
    <w:rsid w:val="00F769F9"/>
    <w:rsid w:val="00F76B4A"/>
    <w:rsid w:val="00F76B61"/>
    <w:rsid w:val="00F76D71"/>
    <w:rsid w:val="00F76DF2"/>
    <w:rsid w:val="00F76E41"/>
    <w:rsid w:val="00F76EB4"/>
    <w:rsid w:val="00F77183"/>
    <w:rsid w:val="00F771A5"/>
    <w:rsid w:val="00F7752D"/>
    <w:rsid w:val="00F7754F"/>
    <w:rsid w:val="00F77555"/>
    <w:rsid w:val="00F775F8"/>
    <w:rsid w:val="00F7784A"/>
    <w:rsid w:val="00F77A04"/>
    <w:rsid w:val="00F77E95"/>
    <w:rsid w:val="00F80011"/>
    <w:rsid w:val="00F80069"/>
    <w:rsid w:val="00F80181"/>
    <w:rsid w:val="00F80250"/>
    <w:rsid w:val="00F8031C"/>
    <w:rsid w:val="00F8047F"/>
    <w:rsid w:val="00F80620"/>
    <w:rsid w:val="00F807F3"/>
    <w:rsid w:val="00F80879"/>
    <w:rsid w:val="00F808BF"/>
    <w:rsid w:val="00F808F8"/>
    <w:rsid w:val="00F80B2E"/>
    <w:rsid w:val="00F80B53"/>
    <w:rsid w:val="00F80C51"/>
    <w:rsid w:val="00F80CED"/>
    <w:rsid w:val="00F80EB1"/>
    <w:rsid w:val="00F80F84"/>
    <w:rsid w:val="00F8112A"/>
    <w:rsid w:val="00F8124C"/>
    <w:rsid w:val="00F8127A"/>
    <w:rsid w:val="00F81502"/>
    <w:rsid w:val="00F8169F"/>
    <w:rsid w:val="00F817BE"/>
    <w:rsid w:val="00F818A4"/>
    <w:rsid w:val="00F81944"/>
    <w:rsid w:val="00F81B70"/>
    <w:rsid w:val="00F81BE6"/>
    <w:rsid w:val="00F81E66"/>
    <w:rsid w:val="00F81F7F"/>
    <w:rsid w:val="00F822FD"/>
    <w:rsid w:val="00F82368"/>
    <w:rsid w:val="00F825C0"/>
    <w:rsid w:val="00F825F9"/>
    <w:rsid w:val="00F82610"/>
    <w:rsid w:val="00F826F4"/>
    <w:rsid w:val="00F82711"/>
    <w:rsid w:val="00F827C5"/>
    <w:rsid w:val="00F82874"/>
    <w:rsid w:val="00F828A4"/>
    <w:rsid w:val="00F82CAD"/>
    <w:rsid w:val="00F82D35"/>
    <w:rsid w:val="00F82FF7"/>
    <w:rsid w:val="00F83233"/>
    <w:rsid w:val="00F832D5"/>
    <w:rsid w:val="00F836DA"/>
    <w:rsid w:val="00F83736"/>
    <w:rsid w:val="00F8386C"/>
    <w:rsid w:val="00F838CC"/>
    <w:rsid w:val="00F8399B"/>
    <w:rsid w:val="00F83A87"/>
    <w:rsid w:val="00F83B6E"/>
    <w:rsid w:val="00F83E2E"/>
    <w:rsid w:val="00F83F38"/>
    <w:rsid w:val="00F84098"/>
    <w:rsid w:val="00F84262"/>
    <w:rsid w:val="00F842F8"/>
    <w:rsid w:val="00F843D3"/>
    <w:rsid w:val="00F843F0"/>
    <w:rsid w:val="00F84559"/>
    <w:rsid w:val="00F8467E"/>
    <w:rsid w:val="00F84730"/>
    <w:rsid w:val="00F847BD"/>
    <w:rsid w:val="00F847CE"/>
    <w:rsid w:val="00F84A0D"/>
    <w:rsid w:val="00F84A1B"/>
    <w:rsid w:val="00F84A24"/>
    <w:rsid w:val="00F84E91"/>
    <w:rsid w:val="00F84EA8"/>
    <w:rsid w:val="00F85201"/>
    <w:rsid w:val="00F852DA"/>
    <w:rsid w:val="00F853FB"/>
    <w:rsid w:val="00F8540A"/>
    <w:rsid w:val="00F854EC"/>
    <w:rsid w:val="00F85555"/>
    <w:rsid w:val="00F85565"/>
    <w:rsid w:val="00F856F4"/>
    <w:rsid w:val="00F8580D"/>
    <w:rsid w:val="00F85812"/>
    <w:rsid w:val="00F858FD"/>
    <w:rsid w:val="00F85C44"/>
    <w:rsid w:val="00F8604A"/>
    <w:rsid w:val="00F86051"/>
    <w:rsid w:val="00F861BB"/>
    <w:rsid w:val="00F863FD"/>
    <w:rsid w:val="00F86456"/>
    <w:rsid w:val="00F8654E"/>
    <w:rsid w:val="00F8662B"/>
    <w:rsid w:val="00F86682"/>
    <w:rsid w:val="00F86810"/>
    <w:rsid w:val="00F8683F"/>
    <w:rsid w:val="00F86A23"/>
    <w:rsid w:val="00F86D87"/>
    <w:rsid w:val="00F86DCD"/>
    <w:rsid w:val="00F86F42"/>
    <w:rsid w:val="00F87279"/>
    <w:rsid w:val="00F872FB"/>
    <w:rsid w:val="00F87332"/>
    <w:rsid w:val="00F874A3"/>
    <w:rsid w:val="00F87544"/>
    <w:rsid w:val="00F87598"/>
    <w:rsid w:val="00F876CF"/>
    <w:rsid w:val="00F87726"/>
    <w:rsid w:val="00F877F1"/>
    <w:rsid w:val="00F878C7"/>
    <w:rsid w:val="00F87925"/>
    <w:rsid w:val="00F87994"/>
    <w:rsid w:val="00F87FA4"/>
    <w:rsid w:val="00F90128"/>
    <w:rsid w:val="00F90182"/>
    <w:rsid w:val="00F901A9"/>
    <w:rsid w:val="00F9020E"/>
    <w:rsid w:val="00F9039D"/>
    <w:rsid w:val="00F905AB"/>
    <w:rsid w:val="00F905C7"/>
    <w:rsid w:val="00F90711"/>
    <w:rsid w:val="00F90862"/>
    <w:rsid w:val="00F909B5"/>
    <w:rsid w:val="00F90A01"/>
    <w:rsid w:val="00F90E16"/>
    <w:rsid w:val="00F90EA7"/>
    <w:rsid w:val="00F90EEF"/>
    <w:rsid w:val="00F90F93"/>
    <w:rsid w:val="00F91074"/>
    <w:rsid w:val="00F9111E"/>
    <w:rsid w:val="00F9113B"/>
    <w:rsid w:val="00F911D1"/>
    <w:rsid w:val="00F913EC"/>
    <w:rsid w:val="00F91462"/>
    <w:rsid w:val="00F9168B"/>
    <w:rsid w:val="00F91D95"/>
    <w:rsid w:val="00F91FAE"/>
    <w:rsid w:val="00F922B7"/>
    <w:rsid w:val="00F92312"/>
    <w:rsid w:val="00F9244D"/>
    <w:rsid w:val="00F928A0"/>
    <w:rsid w:val="00F92B58"/>
    <w:rsid w:val="00F92BC2"/>
    <w:rsid w:val="00F92F1E"/>
    <w:rsid w:val="00F92F5A"/>
    <w:rsid w:val="00F93296"/>
    <w:rsid w:val="00F93359"/>
    <w:rsid w:val="00F934A2"/>
    <w:rsid w:val="00F9355C"/>
    <w:rsid w:val="00F93688"/>
    <w:rsid w:val="00F937C9"/>
    <w:rsid w:val="00F93B0F"/>
    <w:rsid w:val="00F93B52"/>
    <w:rsid w:val="00F93BD6"/>
    <w:rsid w:val="00F93CCF"/>
    <w:rsid w:val="00F93F2B"/>
    <w:rsid w:val="00F942E7"/>
    <w:rsid w:val="00F9430D"/>
    <w:rsid w:val="00F943DC"/>
    <w:rsid w:val="00F94597"/>
    <w:rsid w:val="00F9478E"/>
    <w:rsid w:val="00F947BB"/>
    <w:rsid w:val="00F947FD"/>
    <w:rsid w:val="00F94B14"/>
    <w:rsid w:val="00F94BBC"/>
    <w:rsid w:val="00F94BD1"/>
    <w:rsid w:val="00F94CB0"/>
    <w:rsid w:val="00F94CB3"/>
    <w:rsid w:val="00F94D2D"/>
    <w:rsid w:val="00F94D53"/>
    <w:rsid w:val="00F94FAD"/>
    <w:rsid w:val="00F95038"/>
    <w:rsid w:val="00F95256"/>
    <w:rsid w:val="00F952C3"/>
    <w:rsid w:val="00F95439"/>
    <w:rsid w:val="00F95542"/>
    <w:rsid w:val="00F95AD8"/>
    <w:rsid w:val="00F95DEE"/>
    <w:rsid w:val="00F95E1F"/>
    <w:rsid w:val="00F95FA1"/>
    <w:rsid w:val="00F96285"/>
    <w:rsid w:val="00F96324"/>
    <w:rsid w:val="00F96452"/>
    <w:rsid w:val="00F9670B"/>
    <w:rsid w:val="00F967FC"/>
    <w:rsid w:val="00F96B01"/>
    <w:rsid w:val="00F97041"/>
    <w:rsid w:val="00F97112"/>
    <w:rsid w:val="00F97130"/>
    <w:rsid w:val="00F971E1"/>
    <w:rsid w:val="00F9723D"/>
    <w:rsid w:val="00F973EC"/>
    <w:rsid w:val="00F9746D"/>
    <w:rsid w:val="00F975D6"/>
    <w:rsid w:val="00F97829"/>
    <w:rsid w:val="00F9791D"/>
    <w:rsid w:val="00F97A81"/>
    <w:rsid w:val="00F97CFB"/>
    <w:rsid w:val="00F97D36"/>
    <w:rsid w:val="00F97E2F"/>
    <w:rsid w:val="00F97E48"/>
    <w:rsid w:val="00F97E82"/>
    <w:rsid w:val="00FA0060"/>
    <w:rsid w:val="00FA00CA"/>
    <w:rsid w:val="00FA027A"/>
    <w:rsid w:val="00FA0400"/>
    <w:rsid w:val="00FA0412"/>
    <w:rsid w:val="00FA05DF"/>
    <w:rsid w:val="00FA061E"/>
    <w:rsid w:val="00FA0703"/>
    <w:rsid w:val="00FA0877"/>
    <w:rsid w:val="00FA0A91"/>
    <w:rsid w:val="00FA0BED"/>
    <w:rsid w:val="00FA0DAF"/>
    <w:rsid w:val="00FA0DF1"/>
    <w:rsid w:val="00FA0F34"/>
    <w:rsid w:val="00FA1075"/>
    <w:rsid w:val="00FA121A"/>
    <w:rsid w:val="00FA15EB"/>
    <w:rsid w:val="00FA1851"/>
    <w:rsid w:val="00FA1A4A"/>
    <w:rsid w:val="00FA1B32"/>
    <w:rsid w:val="00FA1CA0"/>
    <w:rsid w:val="00FA1D3F"/>
    <w:rsid w:val="00FA1D40"/>
    <w:rsid w:val="00FA1EFF"/>
    <w:rsid w:val="00FA20EB"/>
    <w:rsid w:val="00FA21F1"/>
    <w:rsid w:val="00FA2372"/>
    <w:rsid w:val="00FA2554"/>
    <w:rsid w:val="00FA28B9"/>
    <w:rsid w:val="00FA2911"/>
    <w:rsid w:val="00FA29D8"/>
    <w:rsid w:val="00FA2D4B"/>
    <w:rsid w:val="00FA2DE3"/>
    <w:rsid w:val="00FA30E4"/>
    <w:rsid w:val="00FA317D"/>
    <w:rsid w:val="00FA31CE"/>
    <w:rsid w:val="00FA3590"/>
    <w:rsid w:val="00FA382C"/>
    <w:rsid w:val="00FA3867"/>
    <w:rsid w:val="00FA3ACA"/>
    <w:rsid w:val="00FA3DBC"/>
    <w:rsid w:val="00FA3E74"/>
    <w:rsid w:val="00FA3FD1"/>
    <w:rsid w:val="00FA42EC"/>
    <w:rsid w:val="00FA470B"/>
    <w:rsid w:val="00FA477A"/>
    <w:rsid w:val="00FA47BE"/>
    <w:rsid w:val="00FA4860"/>
    <w:rsid w:val="00FA496F"/>
    <w:rsid w:val="00FA4A7F"/>
    <w:rsid w:val="00FA4B7B"/>
    <w:rsid w:val="00FA4D48"/>
    <w:rsid w:val="00FA4D7A"/>
    <w:rsid w:val="00FA4EC0"/>
    <w:rsid w:val="00FA5439"/>
    <w:rsid w:val="00FA589B"/>
    <w:rsid w:val="00FA5ADE"/>
    <w:rsid w:val="00FA5D1E"/>
    <w:rsid w:val="00FA5DC4"/>
    <w:rsid w:val="00FA5ED5"/>
    <w:rsid w:val="00FA5F5C"/>
    <w:rsid w:val="00FA615B"/>
    <w:rsid w:val="00FA6244"/>
    <w:rsid w:val="00FA635F"/>
    <w:rsid w:val="00FA63A0"/>
    <w:rsid w:val="00FA65B4"/>
    <w:rsid w:val="00FA65F0"/>
    <w:rsid w:val="00FA6815"/>
    <w:rsid w:val="00FA68DD"/>
    <w:rsid w:val="00FA6910"/>
    <w:rsid w:val="00FA6BCD"/>
    <w:rsid w:val="00FA6C90"/>
    <w:rsid w:val="00FA6CBD"/>
    <w:rsid w:val="00FA6FC0"/>
    <w:rsid w:val="00FA7069"/>
    <w:rsid w:val="00FA713C"/>
    <w:rsid w:val="00FA7305"/>
    <w:rsid w:val="00FA751D"/>
    <w:rsid w:val="00FA7A67"/>
    <w:rsid w:val="00FA7D84"/>
    <w:rsid w:val="00FA7EDF"/>
    <w:rsid w:val="00FB0020"/>
    <w:rsid w:val="00FB00B6"/>
    <w:rsid w:val="00FB01D8"/>
    <w:rsid w:val="00FB03C4"/>
    <w:rsid w:val="00FB055F"/>
    <w:rsid w:val="00FB05BC"/>
    <w:rsid w:val="00FB094A"/>
    <w:rsid w:val="00FB09AB"/>
    <w:rsid w:val="00FB0A0B"/>
    <w:rsid w:val="00FB0A21"/>
    <w:rsid w:val="00FB0B9B"/>
    <w:rsid w:val="00FB1057"/>
    <w:rsid w:val="00FB1189"/>
    <w:rsid w:val="00FB125E"/>
    <w:rsid w:val="00FB12AD"/>
    <w:rsid w:val="00FB1565"/>
    <w:rsid w:val="00FB15A0"/>
    <w:rsid w:val="00FB15FB"/>
    <w:rsid w:val="00FB1861"/>
    <w:rsid w:val="00FB192D"/>
    <w:rsid w:val="00FB1A2A"/>
    <w:rsid w:val="00FB1A89"/>
    <w:rsid w:val="00FB1AC6"/>
    <w:rsid w:val="00FB1B8F"/>
    <w:rsid w:val="00FB1C3A"/>
    <w:rsid w:val="00FB1D1D"/>
    <w:rsid w:val="00FB1F17"/>
    <w:rsid w:val="00FB1FC3"/>
    <w:rsid w:val="00FB2379"/>
    <w:rsid w:val="00FB2557"/>
    <w:rsid w:val="00FB2606"/>
    <w:rsid w:val="00FB266E"/>
    <w:rsid w:val="00FB27C7"/>
    <w:rsid w:val="00FB27DB"/>
    <w:rsid w:val="00FB28C3"/>
    <w:rsid w:val="00FB2E58"/>
    <w:rsid w:val="00FB305D"/>
    <w:rsid w:val="00FB3144"/>
    <w:rsid w:val="00FB3304"/>
    <w:rsid w:val="00FB3385"/>
    <w:rsid w:val="00FB33AA"/>
    <w:rsid w:val="00FB33F3"/>
    <w:rsid w:val="00FB3409"/>
    <w:rsid w:val="00FB3536"/>
    <w:rsid w:val="00FB3547"/>
    <w:rsid w:val="00FB3613"/>
    <w:rsid w:val="00FB36CD"/>
    <w:rsid w:val="00FB36DB"/>
    <w:rsid w:val="00FB373F"/>
    <w:rsid w:val="00FB37C4"/>
    <w:rsid w:val="00FB3887"/>
    <w:rsid w:val="00FB3980"/>
    <w:rsid w:val="00FB3DDA"/>
    <w:rsid w:val="00FB3E30"/>
    <w:rsid w:val="00FB3EBA"/>
    <w:rsid w:val="00FB3EEE"/>
    <w:rsid w:val="00FB3FF5"/>
    <w:rsid w:val="00FB429C"/>
    <w:rsid w:val="00FB43B4"/>
    <w:rsid w:val="00FB47EE"/>
    <w:rsid w:val="00FB4AC8"/>
    <w:rsid w:val="00FB4B51"/>
    <w:rsid w:val="00FB4B54"/>
    <w:rsid w:val="00FB4DD9"/>
    <w:rsid w:val="00FB4E3A"/>
    <w:rsid w:val="00FB506C"/>
    <w:rsid w:val="00FB50A5"/>
    <w:rsid w:val="00FB526A"/>
    <w:rsid w:val="00FB5329"/>
    <w:rsid w:val="00FB5340"/>
    <w:rsid w:val="00FB54CC"/>
    <w:rsid w:val="00FB5513"/>
    <w:rsid w:val="00FB5579"/>
    <w:rsid w:val="00FB55A7"/>
    <w:rsid w:val="00FB55E4"/>
    <w:rsid w:val="00FB560F"/>
    <w:rsid w:val="00FB5946"/>
    <w:rsid w:val="00FB59D6"/>
    <w:rsid w:val="00FB5A17"/>
    <w:rsid w:val="00FB5B60"/>
    <w:rsid w:val="00FB5D39"/>
    <w:rsid w:val="00FB5E65"/>
    <w:rsid w:val="00FB5F9D"/>
    <w:rsid w:val="00FB6045"/>
    <w:rsid w:val="00FB606A"/>
    <w:rsid w:val="00FB607A"/>
    <w:rsid w:val="00FB6083"/>
    <w:rsid w:val="00FB60FE"/>
    <w:rsid w:val="00FB616D"/>
    <w:rsid w:val="00FB64E4"/>
    <w:rsid w:val="00FB6C6D"/>
    <w:rsid w:val="00FB6FAD"/>
    <w:rsid w:val="00FB6FE0"/>
    <w:rsid w:val="00FB7109"/>
    <w:rsid w:val="00FB731D"/>
    <w:rsid w:val="00FB73DB"/>
    <w:rsid w:val="00FB74D8"/>
    <w:rsid w:val="00FB75A5"/>
    <w:rsid w:val="00FB75F1"/>
    <w:rsid w:val="00FB75F9"/>
    <w:rsid w:val="00FB7671"/>
    <w:rsid w:val="00FB7672"/>
    <w:rsid w:val="00FB76AF"/>
    <w:rsid w:val="00FB7AD2"/>
    <w:rsid w:val="00FB7F70"/>
    <w:rsid w:val="00FC0085"/>
    <w:rsid w:val="00FC012A"/>
    <w:rsid w:val="00FC02FE"/>
    <w:rsid w:val="00FC06A5"/>
    <w:rsid w:val="00FC06F0"/>
    <w:rsid w:val="00FC0719"/>
    <w:rsid w:val="00FC07A6"/>
    <w:rsid w:val="00FC08AA"/>
    <w:rsid w:val="00FC096C"/>
    <w:rsid w:val="00FC0988"/>
    <w:rsid w:val="00FC0A49"/>
    <w:rsid w:val="00FC0B1F"/>
    <w:rsid w:val="00FC0CD0"/>
    <w:rsid w:val="00FC0EFD"/>
    <w:rsid w:val="00FC0F1D"/>
    <w:rsid w:val="00FC0FD2"/>
    <w:rsid w:val="00FC1004"/>
    <w:rsid w:val="00FC10AF"/>
    <w:rsid w:val="00FC1104"/>
    <w:rsid w:val="00FC1402"/>
    <w:rsid w:val="00FC15B4"/>
    <w:rsid w:val="00FC15E1"/>
    <w:rsid w:val="00FC17A5"/>
    <w:rsid w:val="00FC18ED"/>
    <w:rsid w:val="00FC1AF2"/>
    <w:rsid w:val="00FC1F5F"/>
    <w:rsid w:val="00FC1F89"/>
    <w:rsid w:val="00FC208D"/>
    <w:rsid w:val="00FC20B5"/>
    <w:rsid w:val="00FC2281"/>
    <w:rsid w:val="00FC23F1"/>
    <w:rsid w:val="00FC2449"/>
    <w:rsid w:val="00FC276E"/>
    <w:rsid w:val="00FC27BF"/>
    <w:rsid w:val="00FC28F4"/>
    <w:rsid w:val="00FC2912"/>
    <w:rsid w:val="00FC2999"/>
    <w:rsid w:val="00FC29A2"/>
    <w:rsid w:val="00FC29B5"/>
    <w:rsid w:val="00FC2A24"/>
    <w:rsid w:val="00FC2B87"/>
    <w:rsid w:val="00FC2DA1"/>
    <w:rsid w:val="00FC2DE1"/>
    <w:rsid w:val="00FC2E62"/>
    <w:rsid w:val="00FC3116"/>
    <w:rsid w:val="00FC3194"/>
    <w:rsid w:val="00FC31E7"/>
    <w:rsid w:val="00FC3910"/>
    <w:rsid w:val="00FC3955"/>
    <w:rsid w:val="00FC3DA6"/>
    <w:rsid w:val="00FC3F24"/>
    <w:rsid w:val="00FC3F46"/>
    <w:rsid w:val="00FC41AB"/>
    <w:rsid w:val="00FC42B1"/>
    <w:rsid w:val="00FC439D"/>
    <w:rsid w:val="00FC4596"/>
    <w:rsid w:val="00FC47A6"/>
    <w:rsid w:val="00FC4C1B"/>
    <w:rsid w:val="00FC4D42"/>
    <w:rsid w:val="00FC4D4F"/>
    <w:rsid w:val="00FC4ED0"/>
    <w:rsid w:val="00FC50D4"/>
    <w:rsid w:val="00FC5526"/>
    <w:rsid w:val="00FC55CC"/>
    <w:rsid w:val="00FC563B"/>
    <w:rsid w:val="00FC5714"/>
    <w:rsid w:val="00FC5820"/>
    <w:rsid w:val="00FC5ABF"/>
    <w:rsid w:val="00FC5AD4"/>
    <w:rsid w:val="00FC5DBA"/>
    <w:rsid w:val="00FC5E93"/>
    <w:rsid w:val="00FC5EBB"/>
    <w:rsid w:val="00FC5F01"/>
    <w:rsid w:val="00FC5F4B"/>
    <w:rsid w:val="00FC60A6"/>
    <w:rsid w:val="00FC611F"/>
    <w:rsid w:val="00FC640B"/>
    <w:rsid w:val="00FC6798"/>
    <w:rsid w:val="00FC67F5"/>
    <w:rsid w:val="00FC68AB"/>
    <w:rsid w:val="00FC6B81"/>
    <w:rsid w:val="00FC6C38"/>
    <w:rsid w:val="00FC6D63"/>
    <w:rsid w:val="00FC6D7D"/>
    <w:rsid w:val="00FC6DEA"/>
    <w:rsid w:val="00FC6EE3"/>
    <w:rsid w:val="00FC6F45"/>
    <w:rsid w:val="00FC701F"/>
    <w:rsid w:val="00FC70A9"/>
    <w:rsid w:val="00FC7563"/>
    <w:rsid w:val="00FC75A6"/>
    <w:rsid w:val="00FC7691"/>
    <w:rsid w:val="00FC7752"/>
    <w:rsid w:val="00FC77AD"/>
    <w:rsid w:val="00FC7826"/>
    <w:rsid w:val="00FC78E3"/>
    <w:rsid w:val="00FC7A1D"/>
    <w:rsid w:val="00FC7AED"/>
    <w:rsid w:val="00FC7D08"/>
    <w:rsid w:val="00FC7DFE"/>
    <w:rsid w:val="00FD0012"/>
    <w:rsid w:val="00FD0066"/>
    <w:rsid w:val="00FD00D6"/>
    <w:rsid w:val="00FD089D"/>
    <w:rsid w:val="00FD0B16"/>
    <w:rsid w:val="00FD0B28"/>
    <w:rsid w:val="00FD0B49"/>
    <w:rsid w:val="00FD0B99"/>
    <w:rsid w:val="00FD0D19"/>
    <w:rsid w:val="00FD0D2F"/>
    <w:rsid w:val="00FD0D42"/>
    <w:rsid w:val="00FD0E15"/>
    <w:rsid w:val="00FD0F95"/>
    <w:rsid w:val="00FD1031"/>
    <w:rsid w:val="00FD1049"/>
    <w:rsid w:val="00FD1088"/>
    <w:rsid w:val="00FD10A8"/>
    <w:rsid w:val="00FD12B0"/>
    <w:rsid w:val="00FD138D"/>
    <w:rsid w:val="00FD157A"/>
    <w:rsid w:val="00FD1616"/>
    <w:rsid w:val="00FD16A9"/>
    <w:rsid w:val="00FD1785"/>
    <w:rsid w:val="00FD1958"/>
    <w:rsid w:val="00FD1B90"/>
    <w:rsid w:val="00FD1C99"/>
    <w:rsid w:val="00FD1DB8"/>
    <w:rsid w:val="00FD1F01"/>
    <w:rsid w:val="00FD1F20"/>
    <w:rsid w:val="00FD1F26"/>
    <w:rsid w:val="00FD1F6E"/>
    <w:rsid w:val="00FD1FEE"/>
    <w:rsid w:val="00FD2001"/>
    <w:rsid w:val="00FD2172"/>
    <w:rsid w:val="00FD22C1"/>
    <w:rsid w:val="00FD2343"/>
    <w:rsid w:val="00FD265B"/>
    <w:rsid w:val="00FD2711"/>
    <w:rsid w:val="00FD3355"/>
    <w:rsid w:val="00FD3456"/>
    <w:rsid w:val="00FD346A"/>
    <w:rsid w:val="00FD3546"/>
    <w:rsid w:val="00FD38AF"/>
    <w:rsid w:val="00FD39F1"/>
    <w:rsid w:val="00FD39FF"/>
    <w:rsid w:val="00FD3C7D"/>
    <w:rsid w:val="00FD4062"/>
    <w:rsid w:val="00FD408C"/>
    <w:rsid w:val="00FD432E"/>
    <w:rsid w:val="00FD4497"/>
    <w:rsid w:val="00FD4598"/>
    <w:rsid w:val="00FD45B3"/>
    <w:rsid w:val="00FD4603"/>
    <w:rsid w:val="00FD47BA"/>
    <w:rsid w:val="00FD47F9"/>
    <w:rsid w:val="00FD4D65"/>
    <w:rsid w:val="00FD5084"/>
    <w:rsid w:val="00FD517F"/>
    <w:rsid w:val="00FD5315"/>
    <w:rsid w:val="00FD53E9"/>
    <w:rsid w:val="00FD54B1"/>
    <w:rsid w:val="00FD54EF"/>
    <w:rsid w:val="00FD57E2"/>
    <w:rsid w:val="00FD58DF"/>
    <w:rsid w:val="00FD5C17"/>
    <w:rsid w:val="00FD5C99"/>
    <w:rsid w:val="00FD5D48"/>
    <w:rsid w:val="00FD5DD0"/>
    <w:rsid w:val="00FD5E2A"/>
    <w:rsid w:val="00FD5F52"/>
    <w:rsid w:val="00FD5F98"/>
    <w:rsid w:val="00FD6009"/>
    <w:rsid w:val="00FD62B3"/>
    <w:rsid w:val="00FD6491"/>
    <w:rsid w:val="00FD654D"/>
    <w:rsid w:val="00FD66F7"/>
    <w:rsid w:val="00FD6A81"/>
    <w:rsid w:val="00FD6D17"/>
    <w:rsid w:val="00FD6D64"/>
    <w:rsid w:val="00FD6DB7"/>
    <w:rsid w:val="00FD6DCD"/>
    <w:rsid w:val="00FD6F93"/>
    <w:rsid w:val="00FD705B"/>
    <w:rsid w:val="00FD719A"/>
    <w:rsid w:val="00FD7231"/>
    <w:rsid w:val="00FD7294"/>
    <w:rsid w:val="00FD76B8"/>
    <w:rsid w:val="00FD7808"/>
    <w:rsid w:val="00FD796D"/>
    <w:rsid w:val="00FD7AF8"/>
    <w:rsid w:val="00FD7E83"/>
    <w:rsid w:val="00FE0042"/>
    <w:rsid w:val="00FE02F6"/>
    <w:rsid w:val="00FE032D"/>
    <w:rsid w:val="00FE0439"/>
    <w:rsid w:val="00FE0496"/>
    <w:rsid w:val="00FE0525"/>
    <w:rsid w:val="00FE08B9"/>
    <w:rsid w:val="00FE0A16"/>
    <w:rsid w:val="00FE0BFF"/>
    <w:rsid w:val="00FE0D4D"/>
    <w:rsid w:val="00FE0EF8"/>
    <w:rsid w:val="00FE106D"/>
    <w:rsid w:val="00FE123A"/>
    <w:rsid w:val="00FE12BC"/>
    <w:rsid w:val="00FE13FD"/>
    <w:rsid w:val="00FE144A"/>
    <w:rsid w:val="00FE15DF"/>
    <w:rsid w:val="00FE1688"/>
    <w:rsid w:val="00FE18D3"/>
    <w:rsid w:val="00FE1958"/>
    <w:rsid w:val="00FE1A82"/>
    <w:rsid w:val="00FE1B78"/>
    <w:rsid w:val="00FE1C51"/>
    <w:rsid w:val="00FE1DC3"/>
    <w:rsid w:val="00FE1DDA"/>
    <w:rsid w:val="00FE214F"/>
    <w:rsid w:val="00FE21EB"/>
    <w:rsid w:val="00FE235F"/>
    <w:rsid w:val="00FE2424"/>
    <w:rsid w:val="00FE251A"/>
    <w:rsid w:val="00FE254E"/>
    <w:rsid w:val="00FE258E"/>
    <w:rsid w:val="00FE2620"/>
    <w:rsid w:val="00FE2692"/>
    <w:rsid w:val="00FE2789"/>
    <w:rsid w:val="00FE28B8"/>
    <w:rsid w:val="00FE2ACD"/>
    <w:rsid w:val="00FE2B0F"/>
    <w:rsid w:val="00FE2B5C"/>
    <w:rsid w:val="00FE2BC0"/>
    <w:rsid w:val="00FE2D38"/>
    <w:rsid w:val="00FE2D9B"/>
    <w:rsid w:val="00FE2DAE"/>
    <w:rsid w:val="00FE3034"/>
    <w:rsid w:val="00FE32DC"/>
    <w:rsid w:val="00FE3408"/>
    <w:rsid w:val="00FE3573"/>
    <w:rsid w:val="00FE35A2"/>
    <w:rsid w:val="00FE36E6"/>
    <w:rsid w:val="00FE382C"/>
    <w:rsid w:val="00FE3C05"/>
    <w:rsid w:val="00FE3C1F"/>
    <w:rsid w:val="00FE3D6C"/>
    <w:rsid w:val="00FE3ECC"/>
    <w:rsid w:val="00FE3F5C"/>
    <w:rsid w:val="00FE40FF"/>
    <w:rsid w:val="00FE4290"/>
    <w:rsid w:val="00FE44B4"/>
    <w:rsid w:val="00FE46F1"/>
    <w:rsid w:val="00FE47AF"/>
    <w:rsid w:val="00FE47C2"/>
    <w:rsid w:val="00FE49BB"/>
    <w:rsid w:val="00FE49DF"/>
    <w:rsid w:val="00FE507A"/>
    <w:rsid w:val="00FE5083"/>
    <w:rsid w:val="00FE50E4"/>
    <w:rsid w:val="00FE5106"/>
    <w:rsid w:val="00FE5370"/>
    <w:rsid w:val="00FE5452"/>
    <w:rsid w:val="00FE54EE"/>
    <w:rsid w:val="00FE572F"/>
    <w:rsid w:val="00FE5B6D"/>
    <w:rsid w:val="00FE5BE8"/>
    <w:rsid w:val="00FE5DB2"/>
    <w:rsid w:val="00FE5E14"/>
    <w:rsid w:val="00FE6012"/>
    <w:rsid w:val="00FE6025"/>
    <w:rsid w:val="00FE60AA"/>
    <w:rsid w:val="00FE60EA"/>
    <w:rsid w:val="00FE62B6"/>
    <w:rsid w:val="00FE63C7"/>
    <w:rsid w:val="00FE6515"/>
    <w:rsid w:val="00FE65FE"/>
    <w:rsid w:val="00FE66AB"/>
    <w:rsid w:val="00FE6740"/>
    <w:rsid w:val="00FE6777"/>
    <w:rsid w:val="00FE697C"/>
    <w:rsid w:val="00FE6EFD"/>
    <w:rsid w:val="00FE6F69"/>
    <w:rsid w:val="00FE70AE"/>
    <w:rsid w:val="00FE711B"/>
    <w:rsid w:val="00FE71ED"/>
    <w:rsid w:val="00FE73CA"/>
    <w:rsid w:val="00FE742D"/>
    <w:rsid w:val="00FE7992"/>
    <w:rsid w:val="00FE7A8C"/>
    <w:rsid w:val="00FE7AF2"/>
    <w:rsid w:val="00FE7D69"/>
    <w:rsid w:val="00FE7E00"/>
    <w:rsid w:val="00FE7ECE"/>
    <w:rsid w:val="00FE7F57"/>
    <w:rsid w:val="00FF00D9"/>
    <w:rsid w:val="00FF0314"/>
    <w:rsid w:val="00FF03C7"/>
    <w:rsid w:val="00FF064E"/>
    <w:rsid w:val="00FF0728"/>
    <w:rsid w:val="00FF0767"/>
    <w:rsid w:val="00FF07E1"/>
    <w:rsid w:val="00FF0800"/>
    <w:rsid w:val="00FF0833"/>
    <w:rsid w:val="00FF08B6"/>
    <w:rsid w:val="00FF0A13"/>
    <w:rsid w:val="00FF0C0D"/>
    <w:rsid w:val="00FF0C23"/>
    <w:rsid w:val="00FF0CFE"/>
    <w:rsid w:val="00FF0D36"/>
    <w:rsid w:val="00FF0F51"/>
    <w:rsid w:val="00FF0FB1"/>
    <w:rsid w:val="00FF1487"/>
    <w:rsid w:val="00FF17AA"/>
    <w:rsid w:val="00FF17DC"/>
    <w:rsid w:val="00FF1AE6"/>
    <w:rsid w:val="00FF1DD2"/>
    <w:rsid w:val="00FF1F83"/>
    <w:rsid w:val="00FF205F"/>
    <w:rsid w:val="00FF208D"/>
    <w:rsid w:val="00FF21EC"/>
    <w:rsid w:val="00FF2451"/>
    <w:rsid w:val="00FF24F5"/>
    <w:rsid w:val="00FF2674"/>
    <w:rsid w:val="00FF27C9"/>
    <w:rsid w:val="00FF2A0D"/>
    <w:rsid w:val="00FF2A1D"/>
    <w:rsid w:val="00FF2AFA"/>
    <w:rsid w:val="00FF2AFF"/>
    <w:rsid w:val="00FF2DB3"/>
    <w:rsid w:val="00FF2E09"/>
    <w:rsid w:val="00FF2F7D"/>
    <w:rsid w:val="00FF3118"/>
    <w:rsid w:val="00FF3125"/>
    <w:rsid w:val="00FF3147"/>
    <w:rsid w:val="00FF3264"/>
    <w:rsid w:val="00FF329E"/>
    <w:rsid w:val="00FF3470"/>
    <w:rsid w:val="00FF34E6"/>
    <w:rsid w:val="00FF36E0"/>
    <w:rsid w:val="00FF36FE"/>
    <w:rsid w:val="00FF3779"/>
    <w:rsid w:val="00FF37F9"/>
    <w:rsid w:val="00FF38EE"/>
    <w:rsid w:val="00FF39BE"/>
    <w:rsid w:val="00FF3A4D"/>
    <w:rsid w:val="00FF3B71"/>
    <w:rsid w:val="00FF3D6A"/>
    <w:rsid w:val="00FF3D99"/>
    <w:rsid w:val="00FF3E50"/>
    <w:rsid w:val="00FF3EC5"/>
    <w:rsid w:val="00FF400D"/>
    <w:rsid w:val="00FF4018"/>
    <w:rsid w:val="00FF4140"/>
    <w:rsid w:val="00FF4466"/>
    <w:rsid w:val="00FF4491"/>
    <w:rsid w:val="00FF44BC"/>
    <w:rsid w:val="00FF44EB"/>
    <w:rsid w:val="00FF45DF"/>
    <w:rsid w:val="00FF4AE4"/>
    <w:rsid w:val="00FF4DBF"/>
    <w:rsid w:val="00FF4E0C"/>
    <w:rsid w:val="00FF4EA2"/>
    <w:rsid w:val="00FF5358"/>
    <w:rsid w:val="00FF53DD"/>
    <w:rsid w:val="00FF540E"/>
    <w:rsid w:val="00FF544E"/>
    <w:rsid w:val="00FF54D8"/>
    <w:rsid w:val="00FF5594"/>
    <w:rsid w:val="00FF55AF"/>
    <w:rsid w:val="00FF55D2"/>
    <w:rsid w:val="00FF5698"/>
    <w:rsid w:val="00FF57C0"/>
    <w:rsid w:val="00FF5992"/>
    <w:rsid w:val="00FF5B6C"/>
    <w:rsid w:val="00FF5D5F"/>
    <w:rsid w:val="00FF5EA2"/>
    <w:rsid w:val="00FF5FD0"/>
    <w:rsid w:val="00FF61C4"/>
    <w:rsid w:val="00FF63F0"/>
    <w:rsid w:val="00FF6483"/>
    <w:rsid w:val="00FF64B6"/>
    <w:rsid w:val="00FF6580"/>
    <w:rsid w:val="00FF6726"/>
    <w:rsid w:val="00FF67D8"/>
    <w:rsid w:val="00FF685D"/>
    <w:rsid w:val="00FF6940"/>
    <w:rsid w:val="00FF6A39"/>
    <w:rsid w:val="00FF6A6C"/>
    <w:rsid w:val="00FF6B73"/>
    <w:rsid w:val="00FF6DD3"/>
    <w:rsid w:val="00FF6E43"/>
    <w:rsid w:val="00FF6F94"/>
    <w:rsid w:val="00FF72D6"/>
    <w:rsid w:val="00FF7323"/>
    <w:rsid w:val="00FF732D"/>
    <w:rsid w:val="00FF7512"/>
    <w:rsid w:val="00FF76AB"/>
    <w:rsid w:val="00FF7728"/>
    <w:rsid w:val="00FF7823"/>
    <w:rsid w:val="00FF78BA"/>
    <w:rsid w:val="00FF7968"/>
    <w:rsid w:val="00FF798D"/>
    <w:rsid w:val="00FF7AA7"/>
    <w:rsid w:val="00FF7AFA"/>
    <w:rsid w:val="00FF7B47"/>
    <w:rsid w:val="00FF7EA4"/>
    <w:rsid w:val="00FF7ECB"/>
    <w:rsid w:val="01F78B5B"/>
    <w:rsid w:val="0480D3DA"/>
    <w:rsid w:val="06720571"/>
    <w:rsid w:val="07FB1BB4"/>
    <w:rsid w:val="08085C1B"/>
    <w:rsid w:val="082F7160"/>
    <w:rsid w:val="084396DF"/>
    <w:rsid w:val="08C20DDB"/>
    <w:rsid w:val="08F707A4"/>
    <w:rsid w:val="097FA9A2"/>
    <w:rsid w:val="09B65345"/>
    <w:rsid w:val="0B0B4B47"/>
    <w:rsid w:val="0B176C60"/>
    <w:rsid w:val="0B579098"/>
    <w:rsid w:val="0B67294C"/>
    <w:rsid w:val="0B95C326"/>
    <w:rsid w:val="0BD03B41"/>
    <w:rsid w:val="0C2BEF96"/>
    <w:rsid w:val="0C8C0B0B"/>
    <w:rsid w:val="0D0E8FCF"/>
    <w:rsid w:val="0D959FC0"/>
    <w:rsid w:val="0DE62A7C"/>
    <w:rsid w:val="10B5AAA2"/>
    <w:rsid w:val="10E54655"/>
    <w:rsid w:val="111F1167"/>
    <w:rsid w:val="1143C661"/>
    <w:rsid w:val="120E3E36"/>
    <w:rsid w:val="123BCC7A"/>
    <w:rsid w:val="133C1C77"/>
    <w:rsid w:val="13A8F8A7"/>
    <w:rsid w:val="153D6301"/>
    <w:rsid w:val="156464FD"/>
    <w:rsid w:val="15D67EDB"/>
    <w:rsid w:val="15E6E8FA"/>
    <w:rsid w:val="1667FF94"/>
    <w:rsid w:val="1686C7EC"/>
    <w:rsid w:val="17E95BF7"/>
    <w:rsid w:val="198991A9"/>
    <w:rsid w:val="19D01708"/>
    <w:rsid w:val="1ACA2399"/>
    <w:rsid w:val="1ADC1584"/>
    <w:rsid w:val="1B08D801"/>
    <w:rsid w:val="1B22DADC"/>
    <w:rsid w:val="1B911B8E"/>
    <w:rsid w:val="1BEDF508"/>
    <w:rsid w:val="1DBF50F0"/>
    <w:rsid w:val="1FE60965"/>
    <w:rsid w:val="213C9021"/>
    <w:rsid w:val="21C28A90"/>
    <w:rsid w:val="220AACA7"/>
    <w:rsid w:val="224E2596"/>
    <w:rsid w:val="2263C64C"/>
    <w:rsid w:val="24244E88"/>
    <w:rsid w:val="24C3DADF"/>
    <w:rsid w:val="250851C2"/>
    <w:rsid w:val="25092C9C"/>
    <w:rsid w:val="265E3527"/>
    <w:rsid w:val="269E0913"/>
    <w:rsid w:val="2816C5A1"/>
    <w:rsid w:val="281A0FB3"/>
    <w:rsid w:val="2876A6A4"/>
    <w:rsid w:val="292FF6D3"/>
    <w:rsid w:val="29B7061E"/>
    <w:rsid w:val="29BF787E"/>
    <w:rsid w:val="2A534D5D"/>
    <w:rsid w:val="2B7C158A"/>
    <w:rsid w:val="2C292EB5"/>
    <w:rsid w:val="2C3C3CF4"/>
    <w:rsid w:val="2E36DE82"/>
    <w:rsid w:val="2EF4994E"/>
    <w:rsid w:val="2F1D3C40"/>
    <w:rsid w:val="2F27F406"/>
    <w:rsid w:val="30724D24"/>
    <w:rsid w:val="3234F15F"/>
    <w:rsid w:val="3274B57A"/>
    <w:rsid w:val="32B03232"/>
    <w:rsid w:val="32BBC163"/>
    <w:rsid w:val="33727B39"/>
    <w:rsid w:val="339F3AFB"/>
    <w:rsid w:val="344E8579"/>
    <w:rsid w:val="353511D7"/>
    <w:rsid w:val="3597321A"/>
    <w:rsid w:val="36901507"/>
    <w:rsid w:val="36C48149"/>
    <w:rsid w:val="371DFCCF"/>
    <w:rsid w:val="37C38121"/>
    <w:rsid w:val="37E2FAE2"/>
    <w:rsid w:val="38B4AC5E"/>
    <w:rsid w:val="39ADA42C"/>
    <w:rsid w:val="3A118EC2"/>
    <w:rsid w:val="3A70FE9C"/>
    <w:rsid w:val="3BA8EF3F"/>
    <w:rsid w:val="3C0542D8"/>
    <w:rsid w:val="3C61E42E"/>
    <w:rsid w:val="3CCBD8F1"/>
    <w:rsid w:val="3D246D22"/>
    <w:rsid w:val="3D4649E9"/>
    <w:rsid w:val="3D4F44DD"/>
    <w:rsid w:val="3DC0F2A2"/>
    <w:rsid w:val="3DEA4F06"/>
    <w:rsid w:val="3E2CD157"/>
    <w:rsid w:val="3E5EB7E9"/>
    <w:rsid w:val="3F187351"/>
    <w:rsid w:val="3F77B41D"/>
    <w:rsid w:val="3FEA6238"/>
    <w:rsid w:val="42915AA8"/>
    <w:rsid w:val="42F26EC1"/>
    <w:rsid w:val="43C12E87"/>
    <w:rsid w:val="4558EA9A"/>
    <w:rsid w:val="4574EB4E"/>
    <w:rsid w:val="472D7746"/>
    <w:rsid w:val="48CEEE9F"/>
    <w:rsid w:val="4969F2CC"/>
    <w:rsid w:val="4A3B2D3F"/>
    <w:rsid w:val="4AEC7472"/>
    <w:rsid w:val="4B54378E"/>
    <w:rsid w:val="4BADF7E1"/>
    <w:rsid w:val="4C30471F"/>
    <w:rsid w:val="4D9F05BF"/>
    <w:rsid w:val="4E6C46E8"/>
    <w:rsid w:val="4E9ACDB6"/>
    <w:rsid w:val="503B8E96"/>
    <w:rsid w:val="50B82D0A"/>
    <w:rsid w:val="50BADE6E"/>
    <w:rsid w:val="52D0B769"/>
    <w:rsid w:val="538C32D3"/>
    <w:rsid w:val="5393B301"/>
    <w:rsid w:val="53B89066"/>
    <w:rsid w:val="5411066D"/>
    <w:rsid w:val="542B47FC"/>
    <w:rsid w:val="54E409BF"/>
    <w:rsid w:val="553AD9AA"/>
    <w:rsid w:val="558718A9"/>
    <w:rsid w:val="55CEAC9E"/>
    <w:rsid w:val="55D65E52"/>
    <w:rsid w:val="594540B2"/>
    <w:rsid w:val="5954C301"/>
    <w:rsid w:val="5984C955"/>
    <w:rsid w:val="59C06A38"/>
    <w:rsid w:val="59CB49FA"/>
    <w:rsid w:val="59DDE8AA"/>
    <w:rsid w:val="59F8B43C"/>
    <w:rsid w:val="59FBEF9D"/>
    <w:rsid w:val="5A81B3C3"/>
    <w:rsid w:val="5A92632D"/>
    <w:rsid w:val="5B4D6681"/>
    <w:rsid w:val="5B4DE299"/>
    <w:rsid w:val="5CE2DC85"/>
    <w:rsid w:val="5E2D7300"/>
    <w:rsid w:val="5E2E1594"/>
    <w:rsid w:val="5E49EDE8"/>
    <w:rsid w:val="5E4EEAD4"/>
    <w:rsid w:val="5EC0D73E"/>
    <w:rsid w:val="5F14554A"/>
    <w:rsid w:val="600F9940"/>
    <w:rsid w:val="604385BD"/>
    <w:rsid w:val="61D78714"/>
    <w:rsid w:val="6278E238"/>
    <w:rsid w:val="6583BEA7"/>
    <w:rsid w:val="6662C196"/>
    <w:rsid w:val="6696AA8C"/>
    <w:rsid w:val="67AA3450"/>
    <w:rsid w:val="68461E8F"/>
    <w:rsid w:val="68C91A29"/>
    <w:rsid w:val="6AB0F83C"/>
    <w:rsid w:val="6B0E7289"/>
    <w:rsid w:val="6DC4E826"/>
    <w:rsid w:val="6E4D7A3F"/>
    <w:rsid w:val="6E6DF17B"/>
    <w:rsid w:val="6ED1EBF4"/>
    <w:rsid w:val="6EE4D027"/>
    <w:rsid w:val="6F98AD41"/>
    <w:rsid w:val="6FE8AD7E"/>
    <w:rsid w:val="700D36DC"/>
    <w:rsid w:val="70F0CD95"/>
    <w:rsid w:val="719766D5"/>
    <w:rsid w:val="72E4E4B6"/>
    <w:rsid w:val="74400313"/>
    <w:rsid w:val="74AB427D"/>
    <w:rsid w:val="74FA557C"/>
    <w:rsid w:val="75545315"/>
    <w:rsid w:val="75A7D2F5"/>
    <w:rsid w:val="765FD792"/>
    <w:rsid w:val="767C0F4C"/>
    <w:rsid w:val="76F14935"/>
    <w:rsid w:val="775F3C85"/>
    <w:rsid w:val="7799648E"/>
    <w:rsid w:val="7811C09F"/>
    <w:rsid w:val="784F6344"/>
    <w:rsid w:val="79677EF4"/>
    <w:rsid w:val="798CAD9F"/>
    <w:rsid w:val="79CF2A74"/>
    <w:rsid w:val="79F25D36"/>
    <w:rsid w:val="7A7C6B89"/>
    <w:rsid w:val="7AC25C92"/>
    <w:rsid w:val="7B7C5C08"/>
    <w:rsid w:val="7C65EBA7"/>
    <w:rsid w:val="7CFA1A21"/>
    <w:rsid w:val="7D4FE6CE"/>
    <w:rsid w:val="7D5CFD92"/>
    <w:rsid w:val="7EB5E30C"/>
    <w:rsid w:val="7F56924B"/>
    <w:rsid w:val="7F606B1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F510D"/>
  <w15:chartTrackingRefBased/>
  <w15:docId w15:val="{DC79DF7C-F67D-4336-9099-75D42EECF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iPriority="9" w:unhideWhenUsed="1" w:qFormat="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1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2C0"/>
  </w:style>
  <w:style w:type="paragraph" w:styleId="Heading1">
    <w:name w:val="heading 1"/>
    <w:basedOn w:val="Normal"/>
    <w:next w:val="Normal"/>
    <w:link w:val="Heading1Char"/>
    <w:uiPriority w:val="9"/>
    <w:qFormat/>
    <w:rsid w:val="00F13451"/>
    <w:pPr>
      <w:spacing w:before="360" w:after="200" w:line="276" w:lineRule="auto"/>
      <w:outlineLvl w:val="0"/>
    </w:pPr>
    <w:rPr>
      <w:rFonts w:ascii="Work Sans" w:eastAsia="Times New Roman" w:hAnsi="Work Sans" w:cs="Open Sans"/>
      <w:b/>
      <w:bCs/>
      <w:color w:val="006991"/>
      <w:sz w:val="40"/>
      <w:szCs w:val="40"/>
    </w:rPr>
  </w:style>
  <w:style w:type="paragraph" w:styleId="Heading2">
    <w:name w:val="heading 2"/>
    <w:aliases w:val="CGC 2025 Heading 2"/>
    <w:basedOn w:val="Normal"/>
    <w:next w:val="Heading3"/>
    <w:link w:val="Heading2Char"/>
    <w:uiPriority w:val="9"/>
    <w:qFormat/>
    <w:rsid w:val="009C437C"/>
    <w:pPr>
      <w:spacing w:before="360" w:after="200" w:line="276" w:lineRule="auto"/>
      <w:outlineLvl w:val="1"/>
    </w:pPr>
    <w:rPr>
      <w:rFonts w:ascii="Work Sans" w:eastAsia="Times New Roman" w:hAnsi="Work Sans" w:cs="Open Sans"/>
      <w:b/>
      <w:bCs/>
      <w:color w:val="006991"/>
      <w:sz w:val="36"/>
      <w:szCs w:val="36"/>
    </w:rPr>
  </w:style>
  <w:style w:type="paragraph" w:styleId="Heading3">
    <w:name w:val="heading 3"/>
    <w:aliases w:val="CGC 2025 Heading 3"/>
    <w:basedOn w:val="Normal"/>
    <w:next w:val="Heading4"/>
    <w:link w:val="Heading3Char"/>
    <w:uiPriority w:val="9"/>
    <w:qFormat/>
    <w:rsid w:val="009C437C"/>
    <w:pPr>
      <w:spacing w:before="240" w:after="200" w:line="276" w:lineRule="auto"/>
      <w:outlineLvl w:val="2"/>
    </w:pPr>
    <w:rPr>
      <w:rFonts w:ascii="Work Sans" w:eastAsia="Times New Roman" w:hAnsi="Work Sans" w:cs="Open Sans"/>
      <w:b/>
      <w:bCs/>
      <w:color w:val="006991"/>
      <w:sz w:val="28"/>
      <w:szCs w:val="28"/>
    </w:rPr>
  </w:style>
  <w:style w:type="paragraph" w:styleId="Heading4">
    <w:name w:val="heading 4"/>
    <w:aliases w:val="CGC 2025 Heading 4"/>
    <w:basedOn w:val="Normal"/>
    <w:next w:val="Heading5"/>
    <w:link w:val="Heading4Char"/>
    <w:uiPriority w:val="9"/>
    <w:qFormat/>
    <w:rsid w:val="009C437C"/>
    <w:pPr>
      <w:keepNext/>
      <w:widowControl w:val="0"/>
      <w:tabs>
        <w:tab w:val="left" w:pos="567"/>
      </w:tabs>
      <w:spacing w:before="240" w:after="0" w:line="240" w:lineRule="auto"/>
      <w:outlineLvl w:val="3"/>
    </w:pPr>
    <w:rPr>
      <w:rFonts w:ascii="Work Sans" w:eastAsiaTheme="majorEastAsia" w:hAnsi="Work Sans" w:cstheme="majorBidi"/>
      <w:b/>
      <w:bCs/>
      <w:iCs/>
      <w:color w:val="006991"/>
      <w:sz w:val="24"/>
    </w:rPr>
  </w:style>
  <w:style w:type="paragraph" w:styleId="Heading5">
    <w:name w:val="heading 5"/>
    <w:aliases w:val="CGC 2025 Heading 5"/>
    <w:basedOn w:val="Normal"/>
    <w:next w:val="Heading6"/>
    <w:link w:val="Heading5Char"/>
    <w:uiPriority w:val="9"/>
    <w:qFormat/>
    <w:rsid w:val="009C437C"/>
    <w:pPr>
      <w:keepNext/>
      <w:spacing w:before="120" w:after="0" w:line="254" w:lineRule="auto"/>
      <w:outlineLvl w:val="4"/>
    </w:pPr>
    <w:rPr>
      <w:rFonts w:ascii="Montserrat Semi Bold" w:eastAsiaTheme="majorEastAsia" w:hAnsi="Montserrat Semi Bold" w:cstheme="majorBidi"/>
      <w:color w:val="636466"/>
      <w:sz w:val="20"/>
    </w:rPr>
  </w:style>
  <w:style w:type="paragraph" w:styleId="Heading6">
    <w:name w:val="heading 6"/>
    <w:basedOn w:val="Normal"/>
    <w:next w:val="Normal"/>
    <w:link w:val="Heading6Char"/>
    <w:uiPriority w:val="9"/>
    <w:unhideWhenUsed/>
    <w:qFormat/>
    <w:rsid w:val="00EC498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rsid w:val="00381A0E"/>
    <w:pPr>
      <w:keepNext/>
      <w:keepLines/>
      <w:tabs>
        <w:tab w:val="left" w:pos="567"/>
      </w:tabs>
      <w:spacing w:before="200" w:after="0" w:line="254" w:lineRule="auto"/>
      <w:outlineLvl w:val="6"/>
    </w:pPr>
    <w:rPr>
      <w:rFonts w:asciiTheme="majorHAnsi" w:eastAsiaTheme="majorEastAsia" w:hAnsiTheme="majorHAnsi" w:cstheme="majorBidi"/>
      <w:i/>
      <w:iCs/>
      <w:color w:val="404040" w:themeColor="text1" w:themeTint="BF"/>
      <w:sz w:val="20"/>
    </w:rPr>
  </w:style>
  <w:style w:type="paragraph" w:styleId="Heading8">
    <w:name w:val="heading 8"/>
    <w:aliases w:val="(Do not use),(Sub-section Nos)"/>
    <w:basedOn w:val="Normal"/>
    <w:next w:val="Normal"/>
    <w:link w:val="Heading8Char"/>
    <w:semiHidden/>
    <w:rsid w:val="00381A0E"/>
    <w:pPr>
      <w:numPr>
        <w:ilvl w:val="7"/>
        <w:numId w:val="20"/>
      </w:numPr>
      <w:tabs>
        <w:tab w:val="left" w:pos="567"/>
      </w:tabs>
      <w:spacing w:before="240" w:after="60" w:line="254" w:lineRule="auto"/>
      <w:outlineLvl w:val="7"/>
    </w:pPr>
    <w:rPr>
      <w:rFonts w:ascii="Arial" w:hAnsi="Arial"/>
      <w:i/>
      <w:sz w:val="20"/>
      <w:szCs w:val="20"/>
    </w:rPr>
  </w:style>
  <w:style w:type="paragraph" w:styleId="Heading9">
    <w:name w:val="heading 9"/>
    <w:aliases w:val="Heading 9 (Do not use),(Subsubsection Nos)"/>
    <w:basedOn w:val="Normal"/>
    <w:next w:val="Normal"/>
    <w:link w:val="Heading9Char"/>
    <w:semiHidden/>
    <w:rsid w:val="00381A0E"/>
    <w:pPr>
      <w:numPr>
        <w:ilvl w:val="8"/>
        <w:numId w:val="20"/>
      </w:numPr>
      <w:tabs>
        <w:tab w:val="left" w:pos="567"/>
      </w:tabs>
      <w:spacing w:before="240" w:after="60" w:line="254" w:lineRule="auto"/>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8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841"/>
  </w:style>
  <w:style w:type="paragraph" w:styleId="Footer">
    <w:name w:val="footer"/>
    <w:basedOn w:val="Normal"/>
    <w:link w:val="FooterChar"/>
    <w:uiPriority w:val="99"/>
    <w:unhideWhenUsed/>
    <w:rsid w:val="00CF28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841"/>
  </w:style>
  <w:style w:type="character" w:customStyle="1" w:styleId="Heading1Char">
    <w:name w:val="Heading 1 Char"/>
    <w:basedOn w:val="DefaultParagraphFont"/>
    <w:link w:val="Heading1"/>
    <w:uiPriority w:val="9"/>
    <w:rsid w:val="00F13451"/>
    <w:rPr>
      <w:rFonts w:ascii="Work Sans" w:eastAsia="Times New Roman" w:hAnsi="Work Sans" w:cs="Open Sans"/>
      <w:b/>
      <w:bCs/>
      <w:color w:val="006991"/>
      <w:sz w:val="40"/>
      <w:szCs w:val="40"/>
    </w:rPr>
  </w:style>
  <w:style w:type="character" w:customStyle="1" w:styleId="Heading2Char">
    <w:name w:val="Heading 2 Char"/>
    <w:aliases w:val="CGC 2025 Heading 2 Char"/>
    <w:basedOn w:val="DefaultParagraphFont"/>
    <w:link w:val="Heading2"/>
    <w:uiPriority w:val="9"/>
    <w:rsid w:val="009C437C"/>
    <w:rPr>
      <w:rFonts w:ascii="Work Sans" w:eastAsia="Times New Roman" w:hAnsi="Work Sans" w:cs="Open Sans"/>
      <w:b/>
      <w:bCs/>
      <w:color w:val="006991"/>
      <w:sz w:val="36"/>
      <w:szCs w:val="36"/>
    </w:rPr>
  </w:style>
  <w:style w:type="character" w:customStyle="1" w:styleId="Heading3Char">
    <w:name w:val="Heading 3 Char"/>
    <w:aliases w:val="CGC 2025 Heading 3 Char"/>
    <w:basedOn w:val="DefaultParagraphFont"/>
    <w:link w:val="Heading3"/>
    <w:uiPriority w:val="9"/>
    <w:rsid w:val="009C437C"/>
    <w:rPr>
      <w:rFonts w:ascii="Work Sans" w:eastAsia="Times New Roman" w:hAnsi="Work Sans" w:cs="Open Sans"/>
      <w:b/>
      <w:bCs/>
      <w:color w:val="006991"/>
      <w:sz w:val="28"/>
      <w:szCs w:val="28"/>
    </w:rPr>
  </w:style>
  <w:style w:type="table" w:styleId="TableGrid">
    <w:name w:val="Table Grid"/>
    <w:basedOn w:val="TableNormal"/>
    <w:uiPriority w:val="39"/>
    <w:rsid w:val="00D60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qFormat/>
    <w:rsid w:val="00D12F46"/>
    <w:pPr>
      <w:keepNext/>
      <w:keepLines/>
      <w:tabs>
        <w:tab w:val="left" w:pos="1134"/>
        <w:tab w:val="left" w:pos="1418"/>
      </w:tabs>
      <w:spacing w:before="240" w:after="120" w:line="240" w:lineRule="auto"/>
      <w:ind w:left="1134" w:hanging="1134"/>
    </w:pPr>
    <w:rPr>
      <w:rFonts w:ascii="Work Sans" w:eastAsia="Calibri" w:hAnsi="Work Sans" w:cs="Times New Roman"/>
      <w:sz w:val="20"/>
      <w:szCs w:val="20"/>
    </w:rPr>
  </w:style>
  <w:style w:type="character" w:customStyle="1" w:styleId="CaptionChar">
    <w:name w:val="Caption Char"/>
    <w:basedOn w:val="DefaultParagraphFont"/>
    <w:link w:val="Caption"/>
    <w:rsid w:val="00D12F46"/>
    <w:rPr>
      <w:rFonts w:ascii="Work Sans" w:eastAsia="Calibri" w:hAnsi="Work Sans" w:cs="Times New Roman"/>
      <w:sz w:val="20"/>
      <w:szCs w:val="20"/>
    </w:rPr>
  </w:style>
  <w:style w:type="paragraph" w:styleId="FootnoteText">
    <w:name w:val="footnote text"/>
    <w:basedOn w:val="Normal"/>
    <w:link w:val="FootnoteTextChar"/>
    <w:unhideWhenUsed/>
    <w:qFormat/>
    <w:rsid w:val="007941E8"/>
    <w:pPr>
      <w:spacing w:after="0" w:line="240" w:lineRule="auto"/>
    </w:pPr>
    <w:rPr>
      <w:rFonts w:ascii="Work Sans" w:hAnsi="Work Sans"/>
      <w:sz w:val="14"/>
      <w:szCs w:val="14"/>
    </w:rPr>
  </w:style>
  <w:style w:type="character" w:customStyle="1" w:styleId="FootnoteTextChar">
    <w:name w:val="Footnote Text Char"/>
    <w:basedOn w:val="DefaultParagraphFont"/>
    <w:link w:val="FootnoteText"/>
    <w:rsid w:val="007941E8"/>
    <w:rPr>
      <w:rFonts w:ascii="Work Sans" w:hAnsi="Work Sans"/>
      <w:sz w:val="14"/>
      <w:szCs w:val="14"/>
    </w:rPr>
  </w:style>
  <w:style w:type="character" w:styleId="FootnoteReference">
    <w:name w:val="footnote reference"/>
    <w:unhideWhenUsed/>
    <w:qFormat/>
    <w:rsid w:val="00566C73"/>
    <w:rPr>
      <w:rFonts w:ascii="Work Sans" w:hAnsi="Work Sans"/>
      <w:sz w:val="16"/>
      <w:szCs w:val="16"/>
    </w:rPr>
  </w:style>
  <w:style w:type="paragraph" w:styleId="ListParagraph">
    <w:name w:val="List Paragraph"/>
    <w:aliases w:val="List Bullet Paragraph"/>
    <w:basedOn w:val="Normal"/>
    <w:link w:val="ListParagraphChar"/>
    <w:uiPriority w:val="34"/>
    <w:qFormat/>
    <w:rsid w:val="00F13451"/>
    <w:pPr>
      <w:numPr>
        <w:numId w:val="10"/>
      </w:numPr>
      <w:tabs>
        <w:tab w:val="left" w:pos="567"/>
      </w:tabs>
      <w:spacing w:before="240" w:after="0" w:line="300" w:lineRule="atLeast"/>
      <w:jc w:val="both"/>
    </w:pPr>
    <w:rPr>
      <w:rFonts w:ascii="Work Sans" w:eastAsia="Times New Roman" w:hAnsi="Work Sans" w:cs="Times New Roman"/>
      <w:sz w:val="24"/>
      <w:szCs w:val="24"/>
      <w:lang w:eastAsia="en-AU"/>
    </w:rPr>
  </w:style>
  <w:style w:type="character" w:styleId="CommentReference">
    <w:name w:val="annotation reference"/>
    <w:basedOn w:val="DefaultParagraphFont"/>
    <w:semiHidden/>
    <w:unhideWhenUsed/>
    <w:rsid w:val="00700D8A"/>
    <w:rPr>
      <w:sz w:val="16"/>
      <w:szCs w:val="16"/>
    </w:rPr>
  </w:style>
  <w:style w:type="paragraph" w:styleId="CommentText">
    <w:name w:val="annotation text"/>
    <w:basedOn w:val="Normal"/>
    <w:link w:val="CommentTextChar"/>
    <w:unhideWhenUsed/>
    <w:rsid w:val="00700D8A"/>
    <w:pPr>
      <w:spacing w:line="240" w:lineRule="auto"/>
    </w:pPr>
    <w:rPr>
      <w:sz w:val="20"/>
      <w:szCs w:val="20"/>
    </w:rPr>
  </w:style>
  <w:style w:type="character" w:customStyle="1" w:styleId="CommentTextChar">
    <w:name w:val="Comment Text Char"/>
    <w:basedOn w:val="DefaultParagraphFont"/>
    <w:link w:val="CommentText"/>
    <w:rsid w:val="00700D8A"/>
    <w:rPr>
      <w:sz w:val="20"/>
      <w:szCs w:val="20"/>
    </w:rPr>
  </w:style>
  <w:style w:type="paragraph" w:styleId="CommentSubject">
    <w:name w:val="annotation subject"/>
    <w:basedOn w:val="CommentText"/>
    <w:next w:val="CommentText"/>
    <w:link w:val="CommentSubjectChar"/>
    <w:semiHidden/>
    <w:unhideWhenUsed/>
    <w:rsid w:val="00700D8A"/>
    <w:rPr>
      <w:b/>
      <w:bCs/>
    </w:rPr>
  </w:style>
  <w:style w:type="character" w:customStyle="1" w:styleId="CommentSubjectChar">
    <w:name w:val="Comment Subject Char"/>
    <w:basedOn w:val="CommentTextChar"/>
    <w:link w:val="CommentSubject"/>
    <w:semiHidden/>
    <w:rsid w:val="00700D8A"/>
    <w:rPr>
      <w:b/>
      <w:bCs/>
      <w:sz w:val="20"/>
      <w:szCs w:val="20"/>
    </w:rPr>
  </w:style>
  <w:style w:type="character" w:styleId="Hyperlink">
    <w:name w:val="Hyperlink"/>
    <w:basedOn w:val="DefaultParagraphFont"/>
    <w:uiPriority w:val="99"/>
    <w:unhideWhenUsed/>
    <w:qFormat/>
    <w:rsid w:val="009C7631"/>
    <w:rPr>
      <w:color w:val="0563C1" w:themeColor="hyperlink"/>
      <w:u w:val="single"/>
    </w:rPr>
  </w:style>
  <w:style w:type="character" w:styleId="UnresolvedMention">
    <w:name w:val="Unresolved Mention"/>
    <w:basedOn w:val="DefaultParagraphFont"/>
    <w:uiPriority w:val="99"/>
    <w:unhideWhenUsed/>
    <w:rsid w:val="009C7631"/>
    <w:rPr>
      <w:color w:val="605E5C"/>
      <w:shd w:val="clear" w:color="auto" w:fill="E1DFDD"/>
    </w:rPr>
  </w:style>
  <w:style w:type="character" w:styleId="FollowedHyperlink">
    <w:name w:val="FollowedHyperlink"/>
    <w:basedOn w:val="DefaultParagraphFont"/>
    <w:semiHidden/>
    <w:unhideWhenUsed/>
    <w:rsid w:val="00891BAA"/>
    <w:rPr>
      <w:color w:val="954F72" w:themeColor="followedHyperlink"/>
      <w:u w:val="single"/>
    </w:rPr>
  </w:style>
  <w:style w:type="table" w:customStyle="1" w:styleId="TableGrid1">
    <w:name w:val="Table Grid1"/>
    <w:basedOn w:val="TableNormal"/>
    <w:next w:val="TableGrid"/>
    <w:uiPriority w:val="39"/>
    <w:rsid w:val="00873C95"/>
    <w:pPr>
      <w:tabs>
        <w:tab w:val="left" w:pos="1418"/>
        <w:tab w:val="left" w:pos="2268"/>
        <w:tab w:val="left" w:pos="2835"/>
      </w:tab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 note"/>
    <w:basedOn w:val="Normal"/>
    <w:link w:val="TablenoteChar"/>
    <w:qFormat/>
    <w:rsid w:val="002A718F"/>
    <w:pPr>
      <w:tabs>
        <w:tab w:val="left" w:pos="567"/>
        <w:tab w:val="left" w:pos="680"/>
      </w:tabs>
      <w:spacing w:before="40" w:after="0" w:line="240" w:lineRule="auto"/>
      <w:ind w:left="340" w:hanging="227"/>
    </w:pPr>
    <w:rPr>
      <w:rFonts w:ascii="Open Sans Light" w:eastAsia="Calibri" w:hAnsi="Open Sans Light" w:cs="Times New Roman"/>
      <w:sz w:val="14"/>
    </w:rPr>
  </w:style>
  <w:style w:type="paragraph" w:customStyle="1" w:styleId="CGCTablenote">
    <w:name w:val="CGC Table note"/>
    <w:basedOn w:val="Normal"/>
    <w:next w:val="Normal"/>
    <w:link w:val="CGCTablenoteChar"/>
    <w:qFormat/>
    <w:rsid w:val="002A718F"/>
    <w:pPr>
      <w:tabs>
        <w:tab w:val="left" w:pos="567"/>
        <w:tab w:val="left" w:pos="680"/>
      </w:tabs>
      <w:spacing w:before="40" w:after="0" w:line="240" w:lineRule="auto"/>
      <w:ind w:left="340" w:hanging="227"/>
    </w:pPr>
    <w:rPr>
      <w:rFonts w:ascii="Open Sans Light" w:hAnsi="Open Sans Light"/>
      <w:sz w:val="14"/>
    </w:rPr>
  </w:style>
  <w:style w:type="character" w:customStyle="1" w:styleId="TablenoteChar">
    <w:name w:val="Table note Char"/>
    <w:basedOn w:val="DefaultParagraphFont"/>
    <w:link w:val="Tablenote"/>
    <w:rsid w:val="002A718F"/>
    <w:rPr>
      <w:rFonts w:ascii="Open Sans Light" w:eastAsia="Calibri" w:hAnsi="Open Sans Light" w:cs="Times New Roman"/>
      <w:sz w:val="14"/>
    </w:rPr>
  </w:style>
  <w:style w:type="paragraph" w:customStyle="1" w:styleId="Bulletpoint">
    <w:name w:val="Bullet point"/>
    <w:basedOn w:val="ListParagraph"/>
    <w:link w:val="BulletpointChar"/>
    <w:qFormat/>
    <w:rsid w:val="00DA2B18"/>
    <w:rPr>
      <w:sz w:val="20"/>
      <w:szCs w:val="20"/>
    </w:rPr>
  </w:style>
  <w:style w:type="character" w:customStyle="1" w:styleId="ListParagraphChar">
    <w:name w:val="List Paragraph Char"/>
    <w:aliases w:val="List Bullet Paragraph Char"/>
    <w:basedOn w:val="DefaultParagraphFont"/>
    <w:link w:val="ListParagraph"/>
    <w:uiPriority w:val="34"/>
    <w:rsid w:val="002A718F"/>
    <w:rPr>
      <w:rFonts w:ascii="Work Sans" w:eastAsia="Times New Roman" w:hAnsi="Work Sans" w:cs="Times New Roman"/>
      <w:sz w:val="24"/>
      <w:szCs w:val="24"/>
      <w:lang w:eastAsia="en-AU"/>
    </w:rPr>
  </w:style>
  <w:style w:type="character" w:customStyle="1" w:styleId="BulletpointChar">
    <w:name w:val="Bullet point Char"/>
    <w:basedOn w:val="ListParagraphChar"/>
    <w:link w:val="Bulletpoint"/>
    <w:rsid w:val="00DA2B18"/>
    <w:rPr>
      <w:rFonts w:ascii="Work Sans" w:eastAsia="Times New Roman" w:hAnsi="Work Sans" w:cs="Times New Roman"/>
      <w:sz w:val="20"/>
      <w:szCs w:val="20"/>
      <w:lang w:eastAsia="en-AU"/>
    </w:rPr>
  </w:style>
  <w:style w:type="paragraph" w:customStyle="1" w:styleId="CGCParaNumber">
    <w:name w:val="CGC Para Number"/>
    <w:basedOn w:val="CGC2025ParaNumbers"/>
    <w:qFormat/>
    <w:rsid w:val="00C5795F"/>
    <w:pPr>
      <w:numPr>
        <w:numId w:val="41"/>
      </w:numPr>
      <w:tabs>
        <w:tab w:val="num" w:pos="993"/>
      </w:tabs>
    </w:pPr>
  </w:style>
  <w:style w:type="paragraph" w:customStyle="1" w:styleId="Bullet">
    <w:name w:val="Bullet"/>
    <w:basedOn w:val="Normal"/>
    <w:link w:val="BulletChar"/>
    <w:rsid w:val="002A0AA2"/>
    <w:pPr>
      <w:numPr>
        <w:numId w:val="12"/>
      </w:numPr>
    </w:pPr>
    <w:rPr>
      <w:rFonts w:ascii="Work Sans" w:hAnsi="Work Sans"/>
      <w:sz w:val="20"/>
      <w:szCs w:val="20"/>
    </w:rPr>
  </w:style>
  <w:style w:type="character" w:customStyle="1" w:styleId="BulletChar">
    <w:name w:val="Bullet Char"/>
    <w:basedOn w:val="DefaultParagraphFont"/>
    <w:link w:val="Bullet"/>
    <w:rsid w:val="002A0AA2"/>
    <w:rPr>
      <w:rFonts w:ascii="Work Sans" w:hAnsi="Work Sans"/>
      <w:sz w:val="20"/>
      <w:szCs w:val="20"/>
    </w:rPr>
  </w:style>
  <w:style w:type="paragraph" w:customStyle="1" w:styleId="Dash">
    <w:name w:val="Dash"/>
    <w:basedOn w:val="Normal"/>
    <w:link w:val="DashChar"/>
    <w:rsid w:val="002A0AA2"/>
    <w:pPr>
      <w:numPr>
        <w:ilvl w:val="1"/>
        <w:numId w:val="12"/>
      </w:numPr>
    </w:pPr>
    <w:rPr>
      <w:rFonts w:ascii="Work Sans" w:hAnsi="Work Sans"/>
      <w:sz w:val="20"/>
      <w:szCs w:val="20"/>
    </w:rPr>
  </w:style>
  <w:style w:type="character" w:customStyle="1" w:styleId="DashChar">
    <w:name w:val="Dash Char"/>
    <w:basedOn w:val="DefaultParagraphFont"/>
    <w:link w:val="Dash"/>
    <w:rsid w:val="002A0AA2"/>
    <w:rPr>
      <w:rFonts w:ascii="Work Sans" w:hAnsi="Work Sans"/>
      <w:sz w:val="20"/>
      <w:szCs w:val="20"/>
    </w:rPr>
  </w:style>
  <w:style w:type="paragraph" w:customStyle="1" w:styleId="DoubleDot">
    <w:name w:val="Double Dot"/>
    <w:basedOn w:val="Normal"/>
    <w:link w:val="DoubleDotChar"/>
    <w:rsid w:val="002A0AA2"/>
    <w:pPr>
      <w:numPr>
        <w:ilvl w:val="2"/>
        <w:numId w:val="12"/>
      </w:numPr>
    </w:pPr>
    <w:rPr>
      <w:rFonts w:ascii="Work Sans" w:hAnsi="Work Sans"/>
      <w:sz w:val="20"/>
      <w:szCs w:val="20"/>
    </w:rPr>
  </w:style>
  <w:style w:type="character" w:customStyle="1" w:styleId="DoubleDotChar">
    <w:name w:val="Double Dot Char"/>
    <w:basedOn w:val="DefaultParagraphFont"/>
    <w:link w:val="DoubleDot"/>
    <w:rsid w:val="002A0AA2"/>
    <w:rPr>
      <w:rFonts w:ascii="Work Sans" w:hAnsi="Work Sans"/>
      <w:sz w:val="20"/>
      <w:szCs w:val="20"/>
    </w:rPr>
  </w:style>
  <w:style w:type="character" w:customStyle="1" w:styleId="Heading4Char">
    <w:name w:val="Heading 4 Char"/>
    <w:aliases w:val="CGC 2025 Heading 4 Char"/>
    <w:basedOn w:val="DefaultParagraphFont"/>
    <w:link w:val="Heading4"/>
    <w:uiPriority w:val="9"/>
    <w:rsid w:val="009C437C"/>
    <w:rPr>
      <w:rFonts w:ascii="Work Sans" w:eastAsiaTheme="majorEastAsia" w:hAnsi="Work Sans" w:cstheme="majorBidi"/>
      <w:b/>
      <w:bCs/>
      <w:iCs/>
      <w:color w:val="006991"/>
      <w:sz w:val="24"/>
    </w:rPr>
  </w:style>
  <w:style w:type="character" w:customStyle="1" w:styleId="Heading5Char">
    <w:name w:val="Heading 5 Char"/>
    <w:aliases w:val="CGC 2025 Heading 5 Char"/>
    <w:basedOn w:val="DefaultParagraphFont"/>
    <w:link w:val="Heading5"/>
    <w:uiPriority w:val="9"/>
    <w:rsid w:val="009C437C"/>
    <w:rPr>
      <w:rFonts w:ascii="Montserrat Semi Bold" w:eastAsiaTheme="majorEastAsia" w:hAnsi="Montserrat Semi Bold" w:cstheme="majorBidi"/>
      <w:color w:val="636466"/>
      <w:sz w:val="20"/>
    </w:rPr>
  </w:style>
  <w:style w:type="character" w:customStyle="1" w:styleId="Heading6Char">
    <w:name w:val="Heading 6 Char"/>
    <w:basedOn w:val="DefaultParagraphFont"/>
    <w:link w:val="Heading6"/>
    <w:uiPriority w:val="9"/>
    <w:rsid w:val="00EC498D"/>
    <w:rPr>
      <w:rFonts w:asciiTheme="majorHAnsi" w:eastAsiaTheme="majorEastAsia" w:hAnsiTheme="majorHAnsi" w:cstheme="majorBidi"/>
      <w:color w:val="1F3763" w:themeColor="accent1" w:themeShade="7F"/>
    </w:rPr>
  </w:style>
  <w:style w:type="paragraph" w:customStyle="1" w:styleId="CGC2025Boxtext">
    <w:name w:val="CGC 2025 Box text"/>
    <w:basedOn w:val="Normal"/>
    <w:qFormat/>
    <w:rsid w:val="009C437C"/>
    <w:pPr>
      <w:spacing w:after="120" w:line="280" w:lineRule="atLeast"/>
      <w:ind w:left="113" w:right="113"/>
    </w:pPr>
    <w:rPr>
      <w:rFonts w:ascii="Work Sans" w:hAnsi="Work Sans"/>
      <w:sz w:val="20"/>
      <w:szCs w:val="24"/>
    </w:rPr>
  </w:style>
  <w:style w:type="paragraph" w:customStyle="1" w:styleId="CGC2025Bullet1">
    <w:name w:val="CGC 2025 Bullet 1"/>
    <w:basedOn w:val="Normal"/>
    <w:qFormat/>
    <w:rsid w:val="009C437C"/>
    <w:pPr>
      <w:numPr>
        <w:numId w:val="14"/>
      </w:numPr>
      <w:tabs>
        <w:tab w:val="left" w:pos="567"/>
      </w:tabs>
      <w:spacing w:before="120" w:after="0" w:line="254" w:lineRule="auto"/>
    </w:pPr>
    <w:rPr>
      <w:rFonts w:ascii="Work Sans" w:hAnsi="Work Sans"/>
      <w:sz w:val="20"/>
      <w:szCs w:val="20"/>
    </w:rPr>
  </w:style>
  <w:style w:type="paragraph" w:customStyle="1" w:styleId="CGC2025Bullet2">
    <w:name w:val="CGC 2025 Bullet 2"/>
    <w:basedOn w:val="Normal"/>
    <w:rsid w:val="009C437C"/>
    <w:pPr>
      <w:numPr>
        <w:numId w:val="4"/>
      </w:numPr>
      <w:tabs>
        <w:tab w:val="left" w:pos="567"/>
      </w:tabs>
      <w:spacing w:before="120" w:after="0" w:line="254" w:lineRule="auto"/>
      <w:ind w:left="1211"/>
    </w:pPr>
    <w:rPr>
      <w:rFonts w:ascii="Work Sans" w:hAnsi="Work Sans"/>
      <w:sz w:val="20"/>
    </w:rPr>
  </w:style>
  <w:style w:type="paragraph" w:customStyle="1" w:styleId="CGC2025Caption">
    <w:name w:val="CGC 2025 Caption"/>
    <w:basedOn w:val="Normal"/>
    <w:qFormat/>
    <w:rsid w:val="009C437C"/>
    <w:pPr>
      <w:tabs>
        <w:tab w:val="left" w:pos="567"/>
      </w:tabs>
      <w:spacing w:before="240" w:after="120" w:line="240" w:lineRule="auto"/>
    </w:pPr>
    <w:rPr>
      <w:rFonts w:ascii="Work Sans" w:hAnsi="Work Sans"/>
      <w:b/>
      <w:sz w:val="20"/>
    </w:rPr>
  </w:style>
  <w:style w:type="paragraph" w:customStyle="1" w:styleId="CGC2025Heading2AttachmentFollower">
    <w:name w:val="CGC 2025 Heading 2 Attachment Follower"/>
    <w:basedOn w:val="Heading2"/>
    <w:rsid w:val="009C437C"/>
    <w:rPr>
      <w:b w:val="0"/>
      <w:bCs w:val="0"/>
    </w:rPr>
  </w:style>
  <w:style w:type="paragraph" w:customStyle="1" w:styleId="CGC2025ParaNumbers">
    <w:name w:val="CGC 2025 Para Numbers"/>
    <w:basedOn w:val="Normal"/>
    <w:link w:val="CGC2025ParaNumbersChar"/>
    <w:rsid w:val="009C437C"/>
    <w:pPr>
      <w:numPr>
        <w:ilvl w:val="1"/>
        <w:numId w:val="9"/>
      </w:numPr>
      <w:tabs>
        <w:tab w:val="num" w:pos="567"/>
      </w:tabs>
      <w:spacing w:before="120" w:after="80" w:line="320" w:lineRule="atLeast"/>
      <w:ind w:left="567" w:hanging="567"/>
    </w:pPr>
    <w:rPr>
      <w:rFonts w:ascii="Work Sans" w:hAnsi="Work Sans"/>
      <w:sz w:val="20"/>
      <w:szCs w:val="24"/>
    </w:rPr>
  </w:style>
  <w:style w:type="character" w:customStyle="1" w:styleId="CGC2025ParaNumbersChar">
    <w:name w:val="CGC 2025 Para Numbers Char"/>
    <w:basedOn w:val="DefaultParagraphFont"/>
    <w:link w:val="CGC2025ParaNumbers"/>
    <w:rsid w:val="009C437C"/>
    <w:rPr>
      <w:rFonts w:ascii="Work Sans" w:hAnsi="Work Sans"/>
      <w:sz w:val="20"/>
      <w:szCs w:val="24"/>
    </w:rPr>
  </w:style>
  <w:style w:type="paragraph" w:customStyle="1" w:styleId="CGC2025QuestionNumbers">
    <w:name w:val="CGC 2025 Question Numbers"/>
    <w:basedOn w:val="Normal"/>
    <w:qFormat/>
    <w:rsid w:val="009C437C"/>
    <w:pPr>
      <w:numPr>
        <w:numId w:val="17"/>
      </w:numPr>
      <w:tabs>
        <w:tab w:val="left" w:pos="567"/>
      </w:tabs>
      <w:spacing w:before="120" w:after="120" w:line="254" w:lineRule="auto"/>
    </w:pPr>
    <w:rPr>
      <w:rFonts w:ascii="Work Sans" w:hAnsi="Work Sans" w:cs="Open Sans Light"/>
      <w:sz w:val="20"/>
      <w:szCs w:val="20"/>
    </w:rPr>
  </w:style>
  <w:style w:type="paragraph" w:customStyle="1" w:styleId="CGC2025Questionsnumbers2">
    <w:name w:val="CGC 2025 Questions numbers 2"/>
    <w:basedOn w:val="Normal"/>
    <w:next w:val="CGC2025ParaNumbers"/>
    <w:qFormat/>
    <w:rsid w:val="009C437C"/>
    <w:pPr>
      <w:numPr>
        <w:numId w:val="18"/>
      </w:numPr>
      <w:tabs>
        <w:tab w:val="left" w:pos="567"/>
      </w:tabs>
      <w:spacing w:before="120" w:after="0" w:line="254" w:lineRule="auto"/>
    </w:pPr>
    <w:rPr>
      <w:rFonts w:ascii="Work Sans" w:hAnsi="Work Sans" w:cs="Open Sans"/>
      <w:bCs/>
      <w:sz w:val="20"/>
      <w:szCs w:val="56"/>
    </w:rPr>
  </w:style>
  <w:style w:type="paragraph" w:customStyle="1" w:styleId="CGC2025TableNote">
    <w:name w:val="CGC 2025 Table Note"/>
    <w:basedOn w:val="CGCTablenote"/>
    <w:link w:val="CGC2025TableNoteChar"/>
    <w:qFormat/>
    <w:rsid w:val="009C437C"/>
    <w:rPr>
      <w:rFonts w:ascii="Work Sans" w:hAnsi="Work Sans"/>
    </w:rPr>
  </w:style>
  <w:style w:type="character" w:customStyle="1" w:styleId="CGC2025TableNoteChar">
    <w:name w:val="CGC 2025 Table Note Char"/>
    <w:basedOn w:val="DefaultParagraphFont"/>
    <w:link w:val="CGC2025TableNote"/>
    <w:rsid w:val="009C437C"/>
    <w:rPr>
      <w:rFonts w:ascii="Work Sans" w:hAnsi="Work Sans"/>
      <w:sz w:val="14"/>
    </w:rPr>
  </w:style>
  <w:style w:type="paragraph" w:styleId="TOCHeading">
    <w:name w:val="TOC Heading"/>
    <w:aliases w:val="CGC 2025 TOC Heading"/>
    <w:basedOn w:val="Heading1"/>
    <w:next w:val="Normal"/>
    <w:uiPriority w:val="39"/>
    <w:unhideWhenUsed/>
    <w:qFormat/>
    <w:rsid w:val="009C437C"/>
    <w:pPr>
      <w:keepLines/>
      <w:spacing w:before="480" w:line="320" w:lineRule="atLeast"/>
      <w:outlineLvl w:val="9"/>
    </w:pPr>
    <w:rPr>
      <w:caps/>
      <w:color w:val="2F5496" w:themeColor="accent1" w:themeShade="BF"/>
      <w:sz w:val="28"/>
    </w:rPr>
  </w:style>
  <w:style w:type="character" w:customStyle="1" w:styleId="Heading7Char">
    <w:name w:val="Heading 7 Char"/>
    <w:basedOn w:val="DefaultParagraphFont"/>
    <w:link w:val="Heading7"/>
    <w:uiPriority w:val="9"/>
    <w:semiHidden/>
    <w:rsid w:val="00381A0E"/>
    <w:rPr>
      <w:rFonts w:asciiTheme="majorHAnsi" w:eastAsiaTheme="majorEastAsia" w:hAnsiTheme="majorHAnsi" w:cstheme="majorBidi"/>
      <w:i/>
      <w:iCs/>
      <w:color w:val="404040" w:themeColor="text1" w:themeTint="BF"/>
      <w:sz w:val="20"/>
    </w:rPr>
  </w:style>
  <w:style w:type="character" w:customStyle="1" w:styleId="Heading8Char">
    <w:name w:val="Heading 8 Char"/>
    <w:aliases w:val="(Do not use) Char,(Sub-section Nos) Char"/>
    <w:basedOn w:val="DefaultParagraphFont"/>
    <w:link w:val="Heading8"/>
    <w:semiHidden/>
    <w:rsid w:val="00381A0E"/>
    <w:rPr>
      <w:rFonts w:ascii="Arial" w:hAnsi="Arial"/>
      <w:i/>
      <w:sz w:val="20"/>
      <w:szCs w:val="20"/>
    </w:rPr>
  </w:style>
  <w:style w:type="character" w:customStyle="1" w:styleId="Heading9Char">
    <w:name w:val="Heading 9 Char"/>
    <w:aliases w:val="Heading 9 (Do not use) Char,(Subsubsection Nos) Char"/>
    <w:basedOn w:val="DefaultParagraphFont"/>
    <w:link w:val="Heading9"/>
    <w:semiHidden/>
    <w:rsid w:val="00381A0E"/>
    <w:rPr>
      <w:rFonts w:ascii="Arial" w:hAnsi="Arial"/>
      <w:b/>
      <w:i/>
      <w:sz w:val="18"/>
      <w:szCs w:val="20"/>
    </w:rPr>
  </w:style>
  <w:style w:type="paragraph" w:customStyle="1" w:styleId="CGCTableheader">
    <w:name w:val="CGC Table header"/>
    <w:basedOn w:val="Normal"/>
    <w:next w:val="Normal"/>
    <w:rsid w:val="00381A0E"/>
    <w:pPr>
      <w:tabs>
        <w:tab w:val="left" w:pos="567"/>
        <w:tab w:val="left" w:pos="680"/>
      </w:tabs>
      <w:spacing w:after="0" w:line="240" w:lineRule="auto"/>
      <w:jc w:val="right"/>
    </w:pPr>
    <w:rPr>
      <w:rFonts w:ascii="Open Sans" w:hAnsi="Open Sans"/>
      <w:b/>
      <w:color w:val="FFFFFF" w:themeColor="background1"/>
      <w:sz w:val="16"/>
      <w:lang w:val="en-US"/>
    </w:rPr>
  </w:style>
  <w:style w:type="paragraph" w:customStyle="1" w:styleId="CGCSubbulletlist">
    <w:name w:val="CGC Sub bullet list"/>
    <w:aliases w:val="CGC List 2"/>
    <w:basedOn w:val="Normal"/>
    <w:rsid w:val="00381A0E"/>
    <w:pPr>
      <w:numPr>
        <w:numId w:val="21"/>
      </w:numPr>
      <w:tabs>
        <w:tab w:val="clear" w:pos="927"/>
        <w:tab w:val="left" w:pos="1701"/>
      </w:tabs>
      <w:spacing w:before="120" w:after="0" w:line="300" w:lineRule="atLeast"/>
      <w:ind w:left="1701" w:hanging="567"/>
    </w:pPr>
    <w:rPr>
      <w:rFonts w:ascii="Open Sans Light" w:hAnsi="Open Sans Light"/>
      <w:sz w:val="20"/>
      <w:szCs w:val="20"/>
    </w:rPr>
  </w:style>
  <w:style w:type="paragraph" w:customStyle="1" w:styleId="CGCTableFootnote">
    <w:name w:val="CGC Table Footnote"/>
    <w:basedOn w:val="Normal"/>
    <w:next w:val="NoSpacing"/>
    <w:rsid w:val="00381A0E"/>
    <w:pPr>
      <w:tabs>
        <w:tab w:val="left" w:pos="851"/>
      </w:tabs>
      <w:spacing w:after="0" w:line="240" w:lineRule="auto"/>
      <w:ind w:left="851" w:hanging="851"/>
    </w:pPr>
    <w:rPr>
      <w:rFonts w:ascii="Open Sans Light" w:hAnsi="Open Sans Light"/>
      <w:sz w:val="20"/>
      <w:szCs w:val="24"/>
    </w:rPr>
  </w:style>
  <w:style w:type="paragraph" w:customStyle="1" w:styleId="CGCTableHeading">
    <w:name w:val="CGC Table Heading"/>
    <w:basedOn w:val="Normal"/>
    <w:next w:val="Normal"/>
    <w:link w:val="CGCTableHeadingChar"/>
    <w:rsid w:val="00381A0E"/>
    <w:pPr>
      <w:keepNext/>
      <w:keepLines/>
      <w:tabs>
        <w:tab w:val="left" w:pos="1134"/>
        <w:tab w:val="left" w:pos="1420"/>
      </w:tabs>
      <w:spacing w:before="240" w:after="120" w:line="240" w:lineRule="auto"/>
    </w:pPr>
    <w:rPr>
      <w:rFonts w:ascii="Montserrat Ultra Light" w:hAnsi="Montserrat Ultra Light"/>
      <w:b/>
      <w:sz w:val="20"/>
      <w:szCs w:val="20"/>
    </w:rPr>
  </w:style>
  <w:style w:type="paragraph" w:styleId="DocumentMap">
    <w:name w:val="Document Map"/>
    <w:basedOn w:val="Normal"/>
    <w:link w:val="DocumentMapChar"/>
    <w:rsid w:val="00381A0E"/>
    <w:pPr>
      <w:shd w:val="clear" w:color="auto" w:fill="000080"/>
      <w:tabs>
        <w:tab w:val="left" w:pos="567"/>
      </w:tabs>
      <w:spacing w:before="120" w:after="0" w:line="254" w:lineRule="auto"/>
    </w:pPr>
    <w:rPr>
      <w:rFonts w:ascii="Tahoma" w:hAnsi="Tahoma" w:cs="Tahoma"/>
      <w:sz w:val="20"/>
      <w:szCs w:val="20"/>
    </w:rPr>
  </w:style>
  <w:style w:type="character" w:customStyle="1" w:styleId="DocumentMapChar">
    <w:name w:val="Document Map Char"/>
    <w:basedOn w:val="DefaultParagraphFont"/>
    <w:link w:val="DocumentMap"/>
    <w:rsid w:val="00381A0E"/>
    <w:rPr>
      <w:rFonts w:ascii="Tahoma" w:hAnsi="Tahoma" w:cs="Tahoma"/>
      <w:sz w:val="20"/>
      <w:szCs w:val="20"/>
      <w:shd w:val="clear" w:color="auto" w:fill="000080"/>
    </w:rPr>
  </w:style>
  <w:style w:type="character" w:styleId="PageNumber">
    <w:name w:val="page number"/>
    <w:basedOn w:val="DefaultParagraphFont"/>
    <w:rsid w:val="00381A0E"/>
  </w:style>
  <w:style w:type="paragraph" w:customStyle="1" w:styleId="Single">
    <w:name w:val="Single"/>
    <w:basedOn w:val="Normal"/>
    <w:next w:val="Normal"/>
    <w:rsid w:val="00381A0E"/>
    <w:pPr>
      <w:tabs>
        <w:tab w:val="left" w:pos="567"/>
      </w:tabs>
      <w:spacing w:before="120" w:after="0" w:line="240" w:lineRule="auto"/>
    </w:pPr>
    <w:rPr>
      <w:rFonts w:ascii="Open Sans Light" w:hAnsi="Open Sans Light"/>
      <w:sz w:val="20"/>
    </w:rPr>
  </w:style>
  <w:style w:type="paragraph" w:styleId="TOC1">
    <w:name w:val="toc 1"/>
    <w:basedOn w:val="Normal"/>
    <w:next w:val="Normal"/>
    <w:uiPriority w:val="39"/>
    <w:rsid w:val="00381A0E"/>
    <w:pPr>
      <w:tabs>
        <w:tab w:val="right" w:pos="8942"/>
      </w:tabs>
      <w:spacing w:before="200" w:after="0" w:line="254" w:lineRule="auto"/>
      <w:ind w:left="113"/>
    </w:pPr>
    <w:rPr>
      <w:rFonts w:ascii="Open Sans" w:hAnsi="Open Sans"/>
      <w:b/>
      <w:bCs/>
      <w:color w:val="636466"/>
      <w:sz w:val="20"/>
      <w:szCs w:val="20"/>
    </w:rPr>
  </w:style>
  <w:style w:type="paragraph" w:styleId="TOC2">
    <w:name w:val="toc 2"/>
    <w:basedOn w:val="TOC1"/>
    <w:next w:val="Normal"/>
    <w:uiPriority w:val="39"/>
    <w:rsid w:val="00381A0E"/>
    <w:pPr>
      <w:spacing w:before="120"/>
    </w:pPr>
    <w:rPr>
      <w:rFonts w:ascii="Work Sans" w:hAnsi="Work Sans"/>
      <w:b w:val="0"/>
    </w:rPr>
  </w:style>
  <w:style w:type="paragraph" w:styleId="TOC3">
    <w:name w:val="toc 3"/>
    <w:basedOn w:val="TOC2"/>
    <w:next w:val="Normal"/>
    <w:uiPriority w:val="39"/>
    <w:rsid w:val="00381A0E"/>
    <w:pPr>
      <w:ind w:left="397"/>
    </w:pPr>
    <w:rPr>
      <w:rFonts w:ascii="Open Sans Light" w:hAnsi="Open Sans Light"/>
      <w:iCs/>
    </w:rPr>
  </w:style>
  <w:style w:type="paragraph" w:styleId="TOC4">
    <w:name w:val="toc 4"/>
    <w:basedOn w:val="TOC3"/>
    <w:next w:val="Normal"/>
    <w:uiPriority w:val="39"/>
    <w:rsid w:val="00381A0E"/>
    <w:pPr>
      <w:ind w:left="680"/>
    </w:pPr>
    <w:rPr>
      <w:i/>
    </w:rPr>
  </w:style>
  <w:style w:type="paragraph" w:styleId="TOC5">
    <w:name w:val="toc 5"/>
    <w:basedOn w:val="TOC3"/>
    <w:next w:val="Normal"/>
    <w:uiPriority w:val="39"/>
    <w:rsid w:val="00381A0E"/>
    <w:pPr>
      <w:spacing w:before="0"/>
      <w:ind w:left="964"/>
    </w:pPr>
    <w:rPr>
      <w:szCs w:val="18"/>
    </w:rPr>
  </w:style>
  <w:style w:type="paragraph" w:styleId="TOC6">
    <w:name w:val="toc 6"/>
    <w:basedOn w:val="TOC5"/>
    <w:next w:val="Normal"/>
    <w:uiPriority w:val="39"/>
    <w:rsid w:val="00381A0E"/>
    <w:rPr>
      <w:i/>
    </w:rPr>
  </w:style>
  <w:style w:type="paragraph" w:styleId="TOC7">
    <w:name w:val="toc 7"/>
    <w:basedOn w:val="Normal"/>
    <w:next w:val="Normal"/>
    <w:rsid w:val="00381A0E"/>
    <w:pPr>
      <w:spacing w:before="120" w:after="0" w:line="254" w:lineRule="auto"/>
      <w:ind w:left="1320"/>
    </w:pPr>
    <w:rPr>
      <w:rFonts w:ascii="Open Sans Light" w:hAnsi="Open Sans Light"/>
      <w:sz w:val="18"/>
      <w:szCs w:val="18"/>
    </w:rPr>
  </w:style>
  <w:style w:type="paragraph" w:styleId="TOC8">
    <w:name w:val="toc 8"/>
    <w:basedOn w:val="Normal"/>
    <w:next w:val="Normal"/>
    <w:rsid w:val="00381A0E"/>
    <w:pPr>
      <w:spacing w:before="120" w:after="0" w:line="254" w:lineRule="auto"/>
      <w:ind w:left="1540"/>
    </w:pPr>
    <w:rPr>
      <w:rFonts w:ascii="Open Sans Light" w:hAnsi="Open Sans Light"/>
      <w:sz w:val="18"/>
      <w:szCs w:val="18"/>
    </w:rPr>
  </w:style>
  <w:style w:type="paragraph" w:styleId="TOC9">
    <w:name w:val="toc 9"/>
    <w:basedOn w:val="Normal"/>
    <w:next w:val="Normal"/>
    <w:rsid w:val="00381A0E"/>
    <w:pPr>
      <w:spacing w:before="120" w:after="0" w:line="254" w:lineRule="auto"/>
      <w:ind w:left="1760"/>
    </w:pPr>
    <w:rPr>
      <w:rFonts w:ascii="Open Sans Light" w:hAnsi="Open Sans Light"/>
      <w:sz w:val="18"/>
      <w:szCs w:val="18"/>
    </w:rPr>
  </w:style>
  <w:style w:type="paragraph" w:styleId="NoSpacing">
    <w:name w:val="No Spacing"/>
    <w:link w:val="NoSpacingChar"/>
    <w:uiPriority w:val="1"/>
    <w:qFormat/>
    <w:rsid w:val="00381A0E"/>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381A0E"/>
    <w:rPr>
      <w:sz w:val="24"/>
    </w:rPr>
  </w:style>
  <w:style w:type="paragraph" w:customStyle="1" w:styleId="CGCDataCaption">
    <w:name w:val="CGC Data Caption"/>
    <w:basedOn w:val="CGCTableFootnote"/>
    <w:next w:val="NoSpacing"/>
    <w:link w:val="DataCaptionChar"/>
    <w:rsid w:val="00381A0E"/>
  </w:style>
  <w:style w:type="character" w:customStyle="1" w:styleId="DataCaptionChar">
    <w:name w:val="Data Caption Char"/>
    <w:basedOn w:val="DefaultParagraphFont"/>
    <w:link w:val="CGCDataCaption"/>
    <w:rsid w:val="00381A0E"/>
    <w:rPr>
      <w:rFonts w:ascii="Open Sans Light" w:hAnsi="Open Sans Light"/>
      <w:sz w:val="20"/>
      <w:szCs w:val="24"/>
    </w:rPr>
  </w:style>
  <w:style w:type="paragraph" w:customStyle="1" w:styleId="CGCBullet2">
    <w:name w:val="CGC Bullet 2"/>
    <w:basedOn w:val="Normal"/>
    <w:qFormat/>
    <w:rsid w:val="00381A0E"/>
    <w:pPr>
      <w:tabs>
        <w:tab w:val="left" w:pos="567"/>
      </w:tabs>
      <w:spacing w:before="120" w:after="0" w:line="254" w:lineRule="auto"/>
      <w:ind w:left="1211" w:hanging="360"/>
    </w:pPr>
    <w:rPr>
      <w:rFonts w:ascii="Open Sans Light" w:hAnsi="Open Sans Light"/>
      <w:sz w:val="20"/>
    </w:rPr>
  </w:style>
  <w:style w:type="paragraph" w:customStyle="1" w:styleId="CGCBullet3">
    <w:name w:val="CGC Bullet 3"/>
    <w:basedOn w:val="Normal"/>
    <w:qFormat/>
    <w:rsid w:val="00381A0E"/>
    <w:pPr>
      <w:numPr>
        <w:numId w:val="22"/>
      </w:numPr>
      <w:tabs>
        <w:tab w:val="left" w:pos="567"/>
      </w:tabs>
      <w:spacing w:before="120" w:after="0" w:line="254" w:lineRule="auto"/>
      <w:ind w:left="1491" w:hanging="357"/>
    </w:pPr>
    <w:rPr>
      <w:rFonts w:ascii="Open Sans Light" w:hAnsi="Open Sans Light"/>
      <w:sz w:val="20"/>
    </w:rPr>
  </w:style>
  <w:style w:type="paragraph" w:customStyle="1" w:styleId="CGCQuoteText">
    <w:name w:val="CGC Quote Text"/>
    <w:basedOn w:val="Normal"/>
    <w:next w:val="Normal"/>
    <w:rsid w:val="00381A0E"/>
    <w:pPr>
      <w:tabs>
        <w:tab w:val="left" w:pos="567"/>
      </w:tabs>
      <w:spacing w:before="120" w:after="120" w:line="254" w:lineRule="auto"/>
      <w:ind w:left="1418" w:right="1134"/>
    </w:pPr>
    <w:rPr>
      <w:rFonts w:ascii="Open Sans Light" w:hAnsi="Open Sans Light"/>
      <w:sz w:val="20"/>
    </w:rPr>
  </w:style>
  <w:style w:type="paragraph" w:customStyle="1" w:styleId="CGCQuoteBullet">
    <w:name w:val="CGC Quote Bullet"/>
    <w:basedOn w:val="CGCQuoteText"/>
    <w:next w:val="Normal"/>
    <w:rsid w:val="00381A0E"/>
    <w:pPr>
      <w:numPr>
        <w:numId w:val="23"/>
      </w:numPr>
      <w:ind w:right="1418"/>
    </w:pPr>
  </w:style>
  <w:style w:type="paragraph" w:customStyle="1" w:styleId="CGCTablerow">
    <w:name w:val="CGC Table row"/>
    <w:basedOn w:val="Normal"/>
    <w:qFormat/>
    <w:rsid w:val="00381A0E"/>
    <w:pPr>
      <w:tabs>
        <w:tab w:val="left" w:pos="567"/>
      </w:tabs>
      <w:spacing w:after="0" w:line="240" w:lineRule="auto"/>
    </w:pPr>
    <w:rPr>
      <w:rFonts w:ascii="Open Sans Light" w:hAnsi="Open Sans Light"/>
      <w:sz w:val="16"/>
    </w:rPr>
  </w:style>
  <w:style w:type="character" w:customStyle="1" w:styleId="CGCTableHeadingChar">
    <w:name w:val="CGC Table Heading Char"/>
    <w:basedOn w:val="DefaultParagraphFont"/>
    <w:link w:val="CGCTableHeading"/>
    <w:rsid w:val="00381A0E"/>
    <w:rPr>
      <w:rFonts w:ascii="Montserrat Ultra Light" w:hAnsi="Montserrat Ultra Light"/>
      <w:b/>
      <w:sz w:val="20"/>
      <w:szCs w:val="20"/>
    </w:rPr>
  </w:style>
  <w:style w:type="paragraph" w:customStyle="1" w:styleId="TOCtitle">
    <w:name w:val="TOC title"/>
    <w:basedOn w:val="Normal"/>
    <w:next w:val="Normal"/>
    <w:rsid w:val="00381A0E"/>
    <w:pPr>
      <w:tabs>
        <w:tab w:val="left" w:pos="567"/>
      </w:tabs>
      <w:spacing w:before="120" w:after="0" w:line="254" w:lineRule="auto"/>
    </w:pPr>
    <w:rPr>
      <w:rFonts w:ascii="Montserrat Semi Bold" w:hAnsi="Montserrat Semi Bold"/>
      <w:color w:val="004563"/>
      <w:sz w:val="36"/>
      <w:lang w:val="en-US"/>
    </w:rPr>
  </w:style>
  <w:style w:type="paragraph" w:customStyle="1" w:styleId="CGCTablesubhead1">
    <w:name w:val="CGC Table subhead1"/>
    <w:basedOn w:val="Normal"/>
    <w:rsid w:val="00381A0E"/>
    <w:pPr>
      <w:tabs>
        <w:tab w:val="left" w:pos="567"/>
      </w:tabs>
      <w:spacing w:after="0" w:line="240" w:lineRule="auto"/>
    </w:pPr>
    <w:rPr>
      <w:rFonts w:ascii="Open Sans Semibold" w:hAnsi="Open Sans Semibold"/>
      <w:sz w:val="16"/>
    </w:rPr>
  </w:style>
  <w:style w:type="character" w:styleId="Mention">
    <w:name w:val="Mention"/>
    <w:basedOn w:val="DefaultParagraphFont"/>
    <w:uiPriority w:val="99"/>
    <w:unhideWhenUsed/>
    <w:rsid w:val="00381A0E"/>
    <w:rPr>
      <w:color w:val="2B579A"/>
      <w:shd w:val="clear" w:color="auto" w:fill="E1DFDD"/>
    </w:rPr>
  </w:style>
  <w:style w:type="paragraph" w:styleId="Revision">
    <w:name w:val="Revision"/>
    <w:hidden/>
    <w:uiPriority w:val="99"/>
    <w:semiHidden/>
    <w:rsid w:val="00381A0E"/>
    <w:pPr>
      <w:spacing w:after="0" w:line="240" w:lineRule="auto"/>
    </w:pPr>
    <w:rPr>
      <w:rFonts w:ascii="Open Sans Light" w:hAnsi="Open Sans Light"/>
      <w:sz w:val="20"/>
    </w:rPr>
  </w:style>
  <w:style w:type="paragraph" w:customStyle="1" w:styleId="CGCBulletlist">
    <w:name w:val="CGC Bullet list"/>
    <w:aliases w:val="CGC List 1"/>
    <w:basedOn w:val="Normal"/>
    <w:link w:val="CGCBulletlistChar"/>
    <w:qFormat/>
    <w:rsid w:val="00381A0E"/>
    <w:pPr>
      <w:numPr>
        <w:numId w:val="24"/>
      </w:numPr>
      <w:tabs>
        <w:tab w:val="left" w:pos="1134"/>
      </w:tabs>
      <w:spacing w:before="80" w:after="80" w:line="300" w:lineRule="atLeast"/>
    </w:pPr>
    <w:rPr>
      <w:sz w:val="24"/>
      <w:szCs w:val="20"/>
    </w:rPr>
  </w:style>
  <w:style w:type="paragraph" w:customStyle="1" w:styleId="CGCNumberedPara">
    <w:name w:val="CGC Numbered Para"/>
    <w:aliases w:val="CGC Para No"/>
    <w:basedOn w:val="Normal"/>
    <w:qFormat/>
    <w:rsid w:val="00381A0E"/>
    <w:pPr>
      <w:tabs>
        <w:tab w:val="num" w:pos="993"/>
      </w:tabs>
      <w:spacing w:before="120" w:after="80" w:line="320" w:lineRule="atLeast"/>
      <w:ind w:left="993" w:hanging="567"/>
    </w:pPr>
    <w:rPr>
      <w:sz w:val="24"/>
      <w:szCs w:val="24"/>
    </w:rPr>
  </w:style>
  <w:style w:type="character" w:customStyle="1" w:styleId="CGCBulletlistChar">
    <w:name w:val="CGC Bullet list Char"/>
    <w:aliases w:val="CGC List 1 Char"/>
    <w:basedOn w:val="DefaultParagraphFont"/>
    <w:link w:val="CGCBulletlist"/>
    <w:locked/>
    <w:rsid w:val="00381A0E"/>
    <w:rPr>
      <w:sz w:val="24"/>
      <w:szCs w:val="20"/>
    </w:rPr>
  </w:style>
  <w:style w:type="character" w:customStyle="1" w:styleId="cf01">
    <w:name w:val="cf01"/>
    <w:basedOn w:val="DefaultParagraphFont"/>
    <w:rsid w:val="00381A0E"/>
    <w:rPr>
      <w:rFonts w:ascii="Segoe UI" w:hAnsi="Segoe UI" w:cs="Segoe UI" w:hint="default"/>
      <w:sz w:val="18"/>
      <w:szCs w:val="18"/>
    </w:rPr>
  </w:style>
  <w:style w:type="numbering" w:customStyle="1" w:styleId="CGCConsultQuestion">
    <w:name w:val="CGC Consult Question"/>
    <w:basedOn w:val="NoList"/>
    <w:uiPriority w:val="99"/>
    <w:rsid w:val="00381A0E"/>
    <w:pPr>
      <w:numPr>
        <w:numId w:val="25"/>
      </w:numPr>
    </w:pPr>
  </w:style>
  <w:style w:type="character" w:customStyle="1" w:styleId="CGCTablenoteChar">
    <w:name w:val="CGC Table note Char"/>
    <w:basedOn w:val="DefaultParagraphFont"/>
    <w:link w:val="CGCTablenote"/>
    <w:rsid w:val="00381A0E"/>
    <w:rPr>
      <w:rFonts w:ascii="Open Sans Light" w:hAnsi="Open Sans Light"/>
      <w:sz w:val="14"/>
    </w:rPr>
  </w:style>
  <w:style w:type="numbering" w:customStyle="1" w:styleId="CGCConsultQuestion1">
    <w:name w:val="CGC Consult Question1"/>
    <w:basedOn w:val="NoList"/>
    <w:uiPriority w:val="99"/>
    <w:rsid w:val="00381A0E"/>
    <w:pPr>
      <w:numPr>
        <w:numId w:val="24"/>
      </w:numPr>
    </w:pPr>
  </w:style>
  <w:style w:type="paragraph" w:customStyle="1" w:styleId="CGCBullet1">
    <w:name w:val="CGC Bullet 1"/>
    <w:basedOn w:val="Normal"/>
    <w:qFormat/>
    <w:rsid w:val="00381A0E"/>
    <w:pPr>
      <w:numPr>
        <w:numId w:val="27"/>
      </w:numPr>
      <w:tabs>
        <w:tab w:val="left" w:pos="567"/>
      </w:tabs>
      <w:spacing w:before="120" w:after="0" w:line="254" w:lineRule="auto"/>
    </w:pPr>
    <w:rPr>
      <w:rFonts w:ascii="Work Sans" w:hAnsi="Work Sans"/>
      <w:sz w:val="20"/>
      <w:szCs w:val="20"/>
    </w:rPr>
  </w:style>
  <w:style w:type="paragraph" w:customStyle="1" w:styleId="BodyCopyWorkSans10">
    <w:name w:val="Body Copy Work Sans 10"/>
    <w:basedOn w:val="Normal"/>
    <w:link w:val="BodyCopyWorkSans10Char"/>
    <w:qFormat/>
    <w:rsid w:val="00381A0E"/>
    <w:pPr>
      <w:numPr>
        <w:numId w:val="26"/>
      </w:numPr>
      <w:tabs>
        <w:tab w:val="left" w:pos="567"/>
      </w:tabs>
      <w:spacing w:before="120" w:after="0" w:line="254" w:lineRule="auto"/>
    </w:pPr>
    <w:rPr>
      <w:rFonts w:ascii="Work Sans" w:hAnsi="Work Sans"/>
      <w:sz w:val="20"/>
    </w:rPr>
  </w:style>
  <w:style w:type="character" w:customStyle="1" w:styleId="BodyCopyWorkSans10Char">
    <w:name w:val="Body Copy Work Sans 10 Char"/>
    <w:basedOn w:val="DefaultParagraphFont"/>
    <w:link w:val="BodyCopyWorkSans10"/>
    <w:rsid w:val="00381A0E"/>
    <w:rPr>
      <w:rFonts w:ascii="Work Sans" w:hAnsi="Work Sans"/>
      <w:sz w:val="20"/>
    </w:rPr>
  </w:style>
  <w:style w:type="paragraph" w:styleId="NormalWeb">
    <w:name w:val="Normal (Web)"/>
    <w:basedOn w:val="Normal"/>
    <w:uiPriority w:val="99"/>
    <w:unhideWhenUsed/>
    <w:rsid w:val="00381A0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381A0E"/>
  </w:style>
  <w:style w:type="paragraph" w:customStyle="1" w:styleId="paragraph">
    <w:name w:val="paragraph"/>
    <w:basedOn w:val="Normal"/>
    <w:rsid w:val="00381A0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381A0E"/>
  </w:style>
  <w:style w:type="character" w:customStyle="1" w:styleId="tabchar">
    <w:name w:val="tabchar"/>
    <w:basedOn w:val="DefaultParagraphFont"/>
    <w:rsid w:val="00381A0E"/>
  </w:style>
  <w:style w:type="paragraph" w:customStyle="1" w:styleId="CGC2025ParaNumbers1">
    <w:name w:val="CGC 2025 Para Numbers 1"/>
    <w:basedOn w:val="CGC2025ParaNumbers"/>
    <w:qFormat/>
    <w:rsid w:val="00381A0E"/>
    <w:pPr>
      <w:numPr>
        <w:ilvl w:val="0"/>
        <w:numId w:val="0"/>
      </w:numPr>
      <w:ind w:left="567" w:hanging="567"/>
    </w:pPr>
  </w:style>
  <w:style w:type="character" w:customStyle="1" w:styleId="ui-provider">
    <w:name w:val="ui-provider"/>
    <w:basedOn w:val="DefaultParagraphFont"/>
    <w:rsid w:val="00381A0E"/>
  </w:style>
  <w:style w:type="paragraph" w:styleId="NormalIndent">
    <w:name w:val="Normal Indent"/>
    <w:basedOn w:val="Normal"/>
    <w:uiPriority w:val="9"/>
    <w:qFormat/>
    <w:rsid w:val="00381A0E"/>
    <w:pPr>
      <w:spacing w:before="120" w:after="120" w:line="264" w:lineRule="auto"/>
      <w:ind w:left="792"/>
    </w:pPr>
    <w:rPr>
      <w:rFonts w:eastAsiaTheme="minorEastAsia"/>
      <w:color w:val="000000" w:themeColor="text1"/>
      <w:sz w:val="20"/>
      <w:szCs w:val="20"/>
      <w:lang w:eastAsia="en-AU"/>
    </w:rPr>
  </w:style>
  <w:style w:type="paragraph" w:customStyle="1" w:styleId="CGCQuotationBullet">
    <w:name w:val="CGC Quotation Bullet"/>
    <w:basedOn w:val="Normal"/>
    <w:rsid w:val="00381A0E"/>
    <w:pPr>
      <w:numPr>
        <w:numId w:val="28"/>
      </w:numPr>
      <w:spacing w:before="120" w:after="0" w:line="300" w:lineRule="atLeast"/>
      <w:ind w:right="1134"/>
    </w:pPr>
    <w:rPr>
      <w:rFonts w:ascii="Open Sans Light" w:hAnsi="Open Sans Light"/>
      <w:szCs w:val="20"/>
    </w:rPr>
  </w:style>
  <w:style w:type="paragraph" w:styleId="ListBullet">
    <w:name w:val="List Bullet"/>
    <w:uiPriority w:val="10"/>
    <w:qFormat/>
    <w:rsid w:val="00381A0E"/>
    <w:pPr>
      <w:numPr>
        <w:numId w:val="29"/>
      </w:numPr>
      <w:suppressAutoHyphens/>
      <w:spacing w:before="120" w:after="120" w:line="240" w:lineRule="auto"/>
    </w:pPr>
    <w:rPr>
      <w:rFonts w:eastAsia="Arial" w:cs="Arial"/>
      <w:color w:val="000000" w:themeColor="text1"/>
      <w:szCs w:val="20"/>
    </w:rPr>
  </w:style>
  <w:style w:type="character" w:customStyle="1" w:styleId="superscript">
    <w:name w:val="superscript"/>
    <w:basedOn w:val="DefaultParagraphFont"/>
    <w:rsid w:val="00381A0E"/>
  </w:style>
  <w:style w:type="paragraph" w:styleId="BalloonText">
    <w:name w:val="Balloon Text"/>
    <w:basedOn w:val="Normal"/>
    <w:link w:val="BalloonTextChar"/>
    <w:uiPriority w:val="99"/>
    <w:semiHidden/>
    <w:unhideWhenUsed/>
    <w:rsid w:val="00381A0E"/>
    <w:pPr>
      <w:tabs>
        <w:tab w:val="left" w:pos="567"/>
      </w:tabs>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A0E"/>
    <w:rPr>
      <w:rFonts w:ascii="Segoe UI" w:hAnsi="Segoe UI" w:cs="Segoe UI"/>
      <w:sz w:val="18"/>
      <w:szCs w:val="18"/>
    </w:rPr>
  </w:style>
  <w:style w:type="paragraph" w:styleId="Bibliography">
    <w:name w:val="Bibliography"/>
    <w:basedOn w:val="Normal"/>
    <w:next w:val="Normal"/>
    <w:uiPriority w:val="37"/>
    <w:semiHidden/>
    <w:unhideWhenUsed/>
    <w:rsid w:val="00381A0E"/>
    <w:pPr>
      <w:tabs>
        <w:tab w:val="left" w:pos="567"/>
      </w:tabs>
      <w:spacing w:before="120" w:after="0" w:line="254" w:lineRule="auto"/>
    </w:pPr>
    <w:rPr>
      <w:rFonts w:ascii="Open Sans Light" w:hAnsi="Open Sans Light"/>
      <w:sz w:val="20"/>
    </w:rPr>
  </w:style>
  <w:style w:type="paragraph" w:styleId="BlockText">
    <w:name w:val="Block Text"/>
    <w:basedOn w:val="Normal"/>
    <w:semiHidden/>
    <w:unhideWhenUsed/>
    <w:rsid w:val="00381A0E"/>
    <w:pPr>
      <w:pBdr>
        <w:top w:val="single" w:sz="2" w:space="10" w:color="4472C4" w:themeColor="accent1"/>
        <w:left w:val="single" w:sz="2" w:space="10" w:color="4472C4" w:themeColor="accent1"/>
        <w:bottom w:val="single" w:sz="2" w:space="10" w:color="4472C4" w:themeColor="accent1"/>
        <w:right w:val="single" w:sz="2" w:space="10" w:color="4472C4" w:themeColor="accent1"/>
      </w:pBdr>
      <w:tabs>
        <w:tab w:val="left" w:pos="567"/>
      </w:tabs>
      <w:spacing w:before="120" w:after="0" w:line="254" w:lineRule="auto"/>
      <w:ind w:left="1152" w:right="1152"/>
    </w:pPr>
    <w:rPr>
      <w:rFonts w:eastAsiaTheme="minorEastAsia"/>
      <w:i/>
      <w:iCs/>
      <w:color w:val="4472C4" w:themeColor="accent1"/>
      <w:sz w:val="20"/>
    </w:rPr>
  </w:style>
  <w:style w:type="paragraph" w:styleId="BodyText">
    <w:name w:val="Body Text"/>
    <w:basedOn w:val="Normal"/>
    <w:link w:val="BodyTextChar"/>
    <w:semiHidden/>
    <w:unhideWhenUsed/>
    <w:rsid w:val="00381A0E"/>
    <w:pPr>
      <w:tabs>
        <w:tab w:val="left" w:pos="567"/>
      </w:tabs>
      <w:spacing w:before="120" w:after="120" w:line="254" w:lineRule="auto"/>
    </w:pPr>
    <w:rPr>
      <w:rFonts w:ascii="Open Sans Light" w:hAnsi="Open Sans Light"/>
      <w:sz w:val="20"/>
    </w:rPr>
  </w:style>
  <w:style w:type="character" w:customStyle="1" w:styleId="BodyTextChar">
    <w:name w:val="Body Text Char"/>
    <w:basedOn w:val="DefaultParagraphFont"/>
    <w:link w:val="BodyText"/>
    <w:semiHidden/>
    <w:rsid w:val="00381A0E"/>
    <w:rPr>
      <w:rFonts w:ascii="Open Sans Light" w:hAnsi="Open Sans Light"/>
      <w:sz w:val="20"/>
    </w:rPr>
  </w:style>
  <w:style w:type="paragraph" w:styleId="BodyText2">
    <w:name w:val="Body Text 2"/>
    <w:basedOn w:val="Normal"/>
    <w:link w:val="BodyText2Char"/>
    <w:semiHidden/>
    <w:unhideWhenUsed/>
    <w:rsid w:val="00381A0E"/>
    <w:pPr>
      <w:tabs>
        <w:tab w:val="left" w:pos="567"/>
      </w:tabs>
      <w:spacing w:before="120" w:after="120" w:line="480" w:lineRule="auto"/>
    </w:pPr>
    <w:rPr>
      <w:rFonts w:ascii="Open Sans Light" w:hAnsi="Open Sans Light"/>
      <w:sz w:val="20"/>
    </w:rPr>
  </w:style>
  <w:style w:type="character" w:customStyle="1" w:styleId="BodyText2Char">
    <w:name w:val="Body Text 2 Char"/>
    <w:basedOn w:val="DefaultParagraphFont"/>
    <w:link w:val="BodyText2"/>
    <w:semiHidden/>
    <w:rsid w:val="00381A0E"/>
    <w:rPr>
      <w:rFonts w:ascii="Open Sans Light" w:hAnsi="Open Sans Light"/>
      <w:sz w:val="20"/>
    </w:rPr>
  </w:style>
  <w:style w:type="paragraph" w:styleId="BodyText3">
    <w:name w:val="Body Text 3"/>
    <w:basedOn w:val="Normal"/>
    <w:link w:val="BodyText3Char"/>
    <w:semiHidden/>
    <w:unhideWhenUsed/>
    <w:rsid w:val="00381A0E"/>
    <w:pPr>
      <w:tabs>
        <w:tab w:val="left" w:pos="567"/>
      </w:tabs>
      <w:spacing w:before="120" w:after="120" w:line="254" w:lineRule="auto"/>
    </w:pPr>
    <w:rPr>
      <w:rFonts w:ascii="Open Sans Light" w:hAnsi="Open Sans Light"/>
      <w:sz w:val="16"/>
      <w:szCs w:val="16"/>
    </w:rPr>
  </w:style>
  <w:style w:type="character" w:customStyle="1" w:styleId="BodyText3Char">
    <w:name w:val="Body Text 3 Char"/>
    <w:basedOn w:val="DefaultParagraphFont"/>
    <w:link w:val="BodyText3"/>
    <w:semiHidden/>
    <w:rsid w:val="00381A0E"/>
    <w:rPr>
      <w:rFonts w:ascii="Open Sans Light" w:hAnsi="Open Sans Light"/>
      <w:sz w:val="16"/>
      <w:szCs w:val="16"/>
    </w:rPr>
  </w:style>
  <w:style w:type="paragraph" w:styleId="BodyTextFirstIndent">
    <w:name w:val="Body Text First Indent"/>
    <w:basedOn w:val="BodyText"/>
    <w:link w:val="BodyTextFirstIndentChar"/>
    <w:rsid w:val="00381A0E"/>
    <w:pPr>
      <w:spacing w:after="0"/>
      <w:ind w:firstLine="360"/>
    </w:pPr>
  </w:style>
  <w:style w:type="character" w:customStyle="1" w:styleId="BodyTextFirstIndentChar">
    <w:name w:val="Body Text First Indent Char"/>
    <w:basedOn w:val="BodyTextChar"/>
    <w:link w:val="BodyTextFirstIndent"/>
    <w:rsid w:val="00381A0E"/>
    <w:rPr>
      <w:rFonts w:ascii="Open Sans Light" w:hAnsi="Open Sans Light"/>
      <w:sz w:val="20"/>
    </w:rPr>
  </w:style>
  <w:style w:type="paragraph" w:styleId="BodyTextIndent">
    <w:name w:val="Body Text Indent"/>
    <w:basedOn w:val="Normal"/>
    <w:link w:val="BodyTextIndentChar"/>
    <w:semiHidden/>
    <w:unhideWhenUsed/>
    <w:rsid w:val="00381A0E"/>
    <w:pPr>
      <w:tabs>
        <w:tab w:val="left" w:pos="567"/>
      </w:tabs>
      <w:spacing w:before="120" w:after="120" w:line="254" w:lineRule="auto"/>
      <w:ind w:left="283"/>
    </w:pPr>
    <w:rPr>
      <w:rFonts w:ascii="Open Sans Light" w:hAnsi="Open Sans Light"/>
      <w:sz w:val="20"/>
    </w:rPr>
  </w:style>
  <w:style w:type="character" w:customStyle="1" w:styleId="BodyTextIndentChar">
    <w:name w:val="Body Text Indent Char"/>
    <w:basedOn w:val="DefaultParagraphFont"/>
    <w:link w:val="BodyTextIndent"/>
    <w:semiHidden/>
    <w:rsid w:val="00381A0E"/>
    <w:rPr>
      <w:rFonts w:ascii="Open Sans Light" w:hAnsi="Open Sans Light"/>
      <w:sz w:val="20"/>
    </w:rPr>
  </w:style>
  <w:style w:type="paragraph" w:styleId="BodyTextFirstIndent2">
    <w:name w:val="Body Text First Indent 2"/>
    <w:basedOn w:val="BodyTextIndent"/>
    <w:link w:val="BodyTextFirstIndent2Char"/>
    <w:semiHidden/>
    <w:unhideWhenUsed/>
    <w:rsid w:val="00381A0E"/>
    <w:pPr>
      <w:spacing w:after="0"/>
      <w:ind w:left="360" w:firstLine="360"/>
    </w:pPr>
  </w:style>
  <w:style w:type="character" w:customStyle="1" w:styleId="BodyTextFirstIndent2Char">
    <w:name w:val="Body Text First Indent 2 Char"/>
    <w:basedOn w:val="BodyTextIndentChar"/>
    <w:link w:val="BodyTextFirstIndent2"/>
    <w:semiHidden/>
    <w:rsid w:val="00381A0E"/>
    <w:rPr>
      <w:rFonts w:ascii="Open Sans Light" w:hAnsi="Open Sans Light"/>
      <w:sz w:val="20"/>
    </w:rPr>
  </w:style>
  <w:style w:type="paragraph" w:styleId="BodyTextIndent2">
    <w:name w:val="Body Text Indent 2"/>
    <w:basedOn w:val="Normal"/>
    <w:link w:val="BodyTextIndent2Char"/>
    <w:semiHidden/>
    <w:unhideWhenUsed/>
    <w:rsid w:val="00381A0E"/>
    <w:pPr>
      <w:tabs>
        <w:tab w:val="left" w:pos="567"/>
      </w:tabs>
      <w:spacing w:before="120" w:after="120" w:line="480" w:lineRule="auto"/>
      <w:ind w:left="283"/>
    </w:pPr>
    <w:rPr>
      <w:rFonts w:ascii="Open Sans Light" w:hAnsi="Open Sans Light"/>
      <w:sz w:val="20"/>
    </w:rPr>
  </w:style>
  <w:style w:type="character" w:customStyle="1" w:styleId="BodyTextIndent2Char">
    <w:name w:val="Body Text Indent 2 Char"/>
    <w:basedOn w:val="DefaultParagraphFont"/>
    <w:link w:val="BodyTextIndent2"/>
    <w:semiHidden/>
    <w:rsid w:val="00381A0E"/>
    <w:rPr>
      <w:rFonts w:ascii="Open Sans Light" w:hAnsi="Open Sans Light"/>
      <w:sz w:val="20"/>
    </w:rPr>
  </w:style>
  <w:style w:type="paragraph" w:styleId="BodyTextIndent3">
    <w:name w:val="Body Text Indent 3"/>
    <w:basedOn w:val="Normal"/>
    <w:link w:val="BodyTextIndent3Char"/>
    <w:semiHidden/>
    <w:unhideWhenUsed/>
    <w:rsid w:val="00381A0E"/>
    <w:pPr>
      <w:tabs>
        <w:tab w:val="left" w:pos="567"/>
      </w:tabs>
      <w:spacing w:before="120" w:after="120" w:line="254" w:lineRule="auto"/>
      <w:ind w:left="283"/>
    </w:pPr>
    <w:rPr>
      <w:rFonts w:ascii="Open Sans Light" w:hAnsi="Open Sans Light"/>
      <w:sz w:val="16"/>
      <w:szCs w:val="16"/>
    </w:rPr>
  </w:style>
  <w:style w:type="character" w:customStyle="1" w:styleId="BodyTextIndent3Char">
    <w:name w:val="Body Text Indent 3 Char"/>
    <w:basedOn w:val="DefaultParagraphFont"/>
    <w:link w:val="BodyTextIndent3"/>
    <w:semiHidden/>
    <w:rsid w:val="00381A0E"/>
    <w:rPr>
      <w:rFonts w:ascii="Open Sans Light" w:hAnsi="Open Sans Light"/>
      <w:sz w:val="16"/>
      <w:szCs w:val="16"/>
    </w:rPr>
  </w:style>
  <w:style w:type="paragraph" w:styleId="Closing">
    <w:name w:val="Closing"/>
    <w:basedOn w:val="Normal"/>
    <w:link w:val="ClosingChar"/>
    <w:semiHidden/>
    <w:unhideWhenUsed/>
    <w:rsid w:val="00381A0E"/>
    <w:pPr>
      <w:tabs>
        <w:tab w:val="left" w:pos="567"/>
      </w:tabs>
      <w:spacing w:after="0" w:line="240" w:lineRule="auto"/>
      <w:ind w:left="4252"/>
    </w:pPr>
    <w:rPr>
      <w:rFonts w:ascii="Open Sans Light" w:hAnsi="Open Sans Light"/>
      <w:sz w:val="20"/>
    </w:rPr>
  </w:style>
  <w:style w:type="character" w:customStyle="1" w:styleId="ClosingChar">
    <w:name w:val="Closing Char"/>
    <w:basedOn w:val="DefaultParagraphFont"/>
    <w:link w:val="Closing"/>
    <w:semiHidden/>
    <w:rsid w:val="00381A0E"/>
    <w:rPr>
      <w:rFonts w:ascii="Open Sans Light" w:hAnsi="Open Sans Light"/>
      <w:sz w:val="20"/>
    </w:rPr>
  </w:style>
  <w:style w:type="paragraph" w:styleId="Date">
    <w:name w:val="Date"/>
    <w:basedOn w:val="Normal"/>
    <w:next w:val="Normal"/>
    <w:link w:val="DateChar"/>
    <w:rsid w:val="00381A0E"/>
    <w:pPr>
      <w:tabs>
        <w:tab w:val="left" w:pos="567"/>
      </w:tabs>
      <w:spacing w:before="120" w:after="0" w:line="254" w:lineRule="auto"/>
    </w:pPr>
    <w:rPr>
      <w:rFonts w:ascii="Open Sans Light" w:hAnsi="Open Sans Light"/>
      <w:sz w:val="20"/>
    </w:rPr>
  </w:style>
  <w:style w:type="character" w:customStyle="1" w:styleId="DateChar">
    <w:name w:val="Date Char"/>
    <w:basedOn w:val="DefaultParagraphFont"/>
    <w:link w:val="Date"/>
    <w:rsid w:val="00381A0E"/>
    <w:rPr>
      <w:rFonts w:ascii="Open Sans Light" w:hAnsi="Open Sans Light"/>
      <w:sz w:val="20"/>
    </w:rPr>
  </w:style>
  <w:style w:type="paragraph" w:styleId="E-mailSignature">
    <w:name w:val="E-mail Signature"/>
    <w:basedOn w:val="Normal"/>
    <w:link w:val="E-mailSignatureChar"/>
    <w:semiHidden/>
    <w:unhideWhenUsed/>
    <w:rsid w:val="00381A0E"/>
    <w:pPr>
      <w:tabs>
        <w:tab w:val="left" w:pos="567"/>
      </w:tabs>
      <w:spacing w:after="0" w:line="240" w:lineRule="auto"/>
    </w:pPr>
    <w:rPr>
      <w:rFonts w:ascii="Open Sans Light" w:hAnsi="Open Sans Light"/>
      <w:sz w:val="20"/>
    </w:rPr>
  </w:style>
  <w:style w:type="character" w:customStyle="1" w:styleId="E-mailSignatureChar">
    <w:name w:val="E-mail Signature Char"/>
    <w:basedOn w:val="DefaultParagraphFont"/>
    <w:link w:val="E-mailSignature"/>
    <w:semiHidden/>
    <w:rsid w:val="00381A0E"/>
    <w:rPr>
      <w:rFonts w:ascii="Open Sans Light" w:hAnsi="Open Sans Light"/>
      <w:sz w:val="20"/>
    </w:rPr>
  </w:style>
  <w:style w:type="paragraph" w:styleId="EndnoteText">
    <w:name w:val="endnote text"/>
    <w:basedOn w:val="Normal"/>
    <w:link w:val="EndnoteTextChar"/>
    <w:semiHidden/>
    <w:unhideWhenUsed/>
    <w:rsid w:val="00381A0E"/>
    <w:pPr>
      <w:tabs>
        <w:tab w:val="left" w:pos="567"/>
      </w:tabs>
      <w:spacing w:after="0" w:line="240" w:lineRule="auto"/>
    </w:pPr>
    <w:rPr>
      <w:rFonts w:ascii="Open Sans Light" w:hAnsi="Open Sans Light"/>
      <w:sz w:val="20"/>
      <w:szCs w:val="20"/>
    </w:rPr>
  </w:style>
  <w:style w:type="character" w:customStyle="1" w:styleId="EndnoteTextChar">
    <w:name w:val="Endnote Text Char"/>
    <w:basedOn w:val="DefaultParagraphFont"/>
    <w:link w:val="EndnoteText"/>
    <w:semiHidden/>
    <w:rsid w:val="00381A0E"/>
    <w:rPr>
      <w:rFonts w:ascii="Open Sans Light" w:hAnsi="Open Sans Light"/>
      <w:sz w:val="20"/>
      <w:szCs w:val="20"/>
    </w:rPr>
  </w:style>
  <w:style w:type="paragraph" w:styleId="EnvelopeAddress">
    <w:name w:val="envelope address"/>
    <w:basedOn w:val="Normal"/>
    <w:semiHidden/>
    <w:unhideWhenUsed/>
    <w:rsid w:val="00381A0E"/>
    <w:pPr>
      <w:framePr w:w="7920" w:h="1980" w:hRule="exact" w:hSpace="180" w:wrap="auto" w:hAnchor="page" w:xAlign="center" w:yAlign="bottom"/>
      <w:tabs>
        <w:tab w:val="left" w:pos="567"/>
      </w:tabs>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81A0E"/>
    <w:pPr>
      <w:tabs>
        <w:tab w:val="left" w:pos="567"/>
      </w:tabs>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381A0E"/>
    <w:pPr>
      <w:tabs>
        <w:tab w:val="left" w:pos="567"/>
      </w:tabs>
      <w:spacing w:after="0" w:line="240" w:lineRule="auto"/>
    </w:pPr>
    <w:rPr>
      <w:rFonts w:ascii="Open Sans Light" w:hAnsi="Open Sans Light"/>
      <w:i/>
      <w:iCs/>
      <w:sz w:val="20"/>
    </w:rPr>
  </w:style>
  <w:style w:type="character" w:customStyle="1" w:styleId="HTMLAddressChar">
    <w:name w:val="HTML Address Char"/>
    <w:basedOn w:val="DefaultParagraphFont"/>
    <w:link w:val="HTMLAddress"/>
    <w:semiHidden/>
    <w:rsid w:val="00381A0E"/>
    <w:rPr>
      <w:rFonts w:ascii="Open Sans Light" w:hAnsi="Open Sans Light"/>
      <w:i/>
      <w:iCs/>
      <w:sz w:val="20"/>
    </w:rPr>
  </w:style>
  <w:style w:type="paragraph" w:styleId="HTMLPreformatted">
    <w:name w:val="HTML Preformatted"/>
    <w:basedOn w:val="Normal"/>
    <w:link w:val="HTMLPreformattedChar"/>
    <w:semiHidden/>
    <w:unhideWhenUsed/>
    <w:rsid w:val="00381A0E"/>
    <w:pPr>
      <w:tabs>
        <w:tab w:val="left" w:pos="567"/>
      </w:tabs>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381A0E"/>
    <w:rPr>
      <w:rFonts w:ascii="Consolas" w:hAnsi="Consolas"/>
      <w:sz w:val="20"/>
      <w:szCs w:val="20"/>
    </w:rPr>
  </w:style>
  <w:style w:type="paragraph" w:styleId="Index1">
    <w:name w:val="index 1"/>
    <w:basedOn w:val="Normal"/>
    <w:next w:val="Normal"/>
    <w:autoRedefine/>
    <w:semiHidden/>
    <w:unhideWhenUsed/>
    <w:rsid w:val="00381A0E"/>
    <w:pPr>
      <w:spacing w:after="0" w:line="240" w:lineRule="auto"/>
      <w:ind w:left="200" w:hanging="200"/>
    </w:pPr>
    <w:rPr>
      <w:rFonts w:ascii="Open Sans Light" w:hAnsi="Open Sans Light"/>
      <w:sz w:val="20"/>
    </w:rPr>
  </w:style>
  <w:style w:type="paragraph" w:styleId="Index2">
    <w:name w:val="index 2"/>
    <w:basedOn w:val="Normal"/>
    <w:next w:val="Normal"/>
    <w:autoRedefine/>
    <w:semiHidden/>
    <w:unhideWhenUsed/>
    <w:rsid w:val="00381A0E"/>
    <w:pPr>
      <w:spacing w:after="0" w:line="240" w:lineRule="auto"/>
      <w:ind w:left="400" w:hanging="200"/>
    </w:pPr>
    <w:rPr>
      <w:rFonts w:ascii="Open Sans Light" w:hAnsi="Open Sans Light"/>
      <w:sz w:val="20"/>
    </w:rPr>
  </w:style>
  <w:style w:type="paragraph" w:styleId="Index3">
    <w:name w:val="index 3"/>
    <w:basedOn w:val="Normal"/>
    <w:next w:val="Normal"/>
    <w:autoRedefine/>
    <w:semiHidden/>
    <w:unhideWhenUsed/>
    <w:rsid w:val="00381A0E"/>
    <w:pPr>
      <w:spacing w:after="0" w:line="240" w:lineRule="auto"/>
      <w:ind w:left="600" w:hanging="200"/>
    </w:pPr>
    <w:rPr>
      <w:rFonts w:ascii="Open Sans Light" w:hAnsi="Open Sans Light"/>
      <w:sz w:val="20"/>
    </w:rPr>
  </w:style>
  <w:style w:type="paragraph" w:styleId="Index4">
    <w:name w:val="index 4"/>
    <w:basedOn w:val="Normal"/>
    <w:next w:val="Normal"/>
    <w:autoRedefine/>
    <w:semiHidden/>
    <w:unhideWhenUsed/>
    <w:rsid w:val="00381A0E"/>
    <w:pPr>
      <w:spacing w:after="0" w:line="240" w:lineRule="auto"/>
      <w:ind w:left="800" w:hanging="200"/>
    </w:pPr>
    <w:rPr>
      <w:rFonts w:ascii="Open Sans Light" w:hAnsi="Open Sans Light"/>
      <w:sz w:val="20"/>
    </w:rPr>
  </w:style>
  <w:style w:type="paragraph" w:styleId="Index5">
    <w:name w:val="index 5"/>
    <w:basedOn w:val="Normal"/>
    <w:next w:val="Normal"/>
    <w:autoRedefine/>
    <w:semiHidden/>
    <w:unhideWhenUsed/>
    <w:rsid w:val="00381A0E"/>
    <w:pPr>
      <w:spacing w:after="0" w:line="240" w:lineRule="auto"/>
      <w:ind w:left="1000" w:hanging="200"/>
    </w:pPr>
    <w:rPr>
      <w:rFonts w:ascii="Open Sans Light" w:hAnsi="Open Sans Light"/>
      <w:sz w:val="20"/>
    </w:rPr>
  </w:style>
  <w:style w:type="paragraph" w:styleId="Index6">
    <w:name w:val="index 6"/>
    <w:basedOn w:val="Normal"/>
    <w:next w:val="Normal"/>
    <w:autoRedefine/>
    <w:semiHidden/>
    <w:unhideWhenUsed/>
    <w:rsid w:val="00381A0E"/>
    <w:pPr>
      <w:spacing w:after="0" w:line="240" w:lineRule="auto"/>
      <w:ind w:left="1200" w:hanging="200"/>
    </w:pPr>
    <w:rPr>
      <w:rFonts w:ascii="Open Sans Light" w:hAnsi="Open Sans Light"/>
      <w:sz w:val="20"/>
    </w:rPr>
  </w:style>
  <w:style w:type="paragraph" w:styleId="Index7">
    <w:name w:val="index 7"/>
    <w:basedOn w:val="Normal"/>
    <w:next w:val="Normal"/>
    <w:autoRedefine/>
    <w:semiHidden/>
    <w:unhideWhenUsed/>
    <w:rsid w:val="00381A0E"/>
    <w:pPr>
      <w:spacing w:after="0" w:line="240" w:lineRule="auto"/>
      <w:ind w:left="1400" w:hanging="200"/>
    </w:pPr>
    <w:rPr>
      <w:rFonts w:ascii="Open Sans Light" w:hAnsi="Open Sans Light"/>
      <w:sz w:val="20"/>
    </w:rPr>
  </w:style>
  <w:style w:type="paragraph" w:styleId="Index8">
    <w:name w:val="index 8"/>
    <w:basedOn w:val="Normal"/>
    <w:next w:val="Normal"/>
    <w:autoRedefine/>
    <w:semiHidden/>
    <w:unhideWhenUsed/>
    <w:rsid w:val="00381A0E"/>
    <w:pPr>
      <w:spacing w:after="0" w:line="240" w:lineRule="auto"/>
      <w:ind w:left="1600" w:hanging="200"/>
    </w:pPr>
    <w:rPr>
      <w:rFonts w:ascii="Open Sans Light" w:hAnsi="Open Sans Light"/>
      <w:sz w:val="20"/>
    </w:rPr>
  </w:style>
  <w:style w:type="paragraph" w:styleId="Index9">
    <w:name w:val="index 9"/>
    <w:basedOn w:val="Normal"/>
    <w:next w:val="Normal"/>
    <w:autoRedefine/>
    <w:semiHidden/>
    <w:unhideWhenUsed/>
    <w:rsid w:val="00381A0E"/>
    <w:pPr>
      <w:spacing w:after="0" w:line="240" w:lineRule="auto"/>
      <w:ind w:left="1800" w:hanging="200"/>
    </w:pPr>
    <w:rPr>
      <w:rFonts w:ascii="Open Sans Light" w:hAnsi="Open Sans Light"/>
      <w:sz w:val="20"/>
    </w:rPr>
  </w:style>
  <w:style w:type="paragraph" w:styleId="IndexHeading">
    <w:name w:val="index heading"/>
    <w:basedOn w:val="Normal"/>
    <w:next w:val="Index1"/>
    <w:semiHidden/>
    <w:unhideWhenUsed/>
    <w:rsid w:val="00381A0E"/>
    <w:pPr>
      <w:tabs>
        <w:tab w:val="left" w:pos="567"/>
      </w:tabs>
      <w:spacing w:before="120" w:after="0" w:line="254" w:lineRule="auto"/>
    </w:pPr>
    <w:rPr>
      <w:rFonts w:asciiTheme="majorHAnsi" w:eastAsiaTheme="majorEastAsia" w:hAnsiTheme="majorHAnsi" w:cstheme="majorBidi"/>
      <w:b/>
      <w:bCs/>
      <w:sz w:val="20"/>
    </w:rPr>
  </w:style>
  <w:style w:type="paragraph" w:styleId="IntenseQuote">
    <w:name w:val="Intense Quote"/>
    <w:basedOn w:val="Normal"/>
    <w:next w:val="Normal"/>
    <w:link w:val="IntenseQuoteChar"/>
    <w:uiPriority w:val="30"/>
    <w:qFormat/>
    <w:rsid w:val="00381A0E"/>
    <w:pPr>
      <w:pBdr>
        <w:top w:val="single" w:sz="4" w:space="10" w:color="4472C4" w:themeColor="accent1"/>
        <w:bottom w:val="single" w:sz="4" w:space="10" w:color="4472C4" w:themeColor="accent1"/>
      </w:pBdr>
      <w:tabs>
        <w:tab w:val="left" w:pos="567"/>
      </w:tabs>
      <w:spacing w:before="360" w:after="360" w:line="254" w:lineRule="auto"/>
      <w:ind w:left="864" w:right="864"/>
      <w:jc w:val="center"/>
    </w:pPr>
    <w:rPr>
      <w:rFonts w:ascii="Open Sans Light" w:hAnsi="Open Sans Light"/>
      <w:i/>
      <w:iCs/>
      <w:color w:val="4472C4" w:themeColor="accent1"/>
      <w:sz w:val="20"/>
    </w:rPr>
  </w:style>
  <w:style w:type="character" w:customStyle="1" w:styleId="IntenseQuoteChar">
    <w:name w:val="Intense Quote Char"/>
    <w:basedOn w:val="DefaultParagraphFont"/>
    <w:link w:val="IntenseQuote"/>
    <w:uiPriority w:val="30"/>
    <w:rsid w:val="00381A0E"/>
    <w:rPr>
      <w:rFonts w:ascii="Open Sans Light" w:hAnsi="Open Sans Light"/>
      <w:i/>
      <w:iCs/>
      <w:color w:val="4472C4" w:themeColor="accent1"/>
      <w:sz w:val="20"/>
    </w:rPr>
  </w:style>
  <w:style w:type="paragraph" w:styleId="List">
    <w:name w:val="List"/>
    <w:basedOn w:val="Normal"/>
    <w:unhideWhenUsed/>
    <w:rsid w:val="00381A0E"/>
    <w:pPr>
      <w:tabs>
        <w:tab w:val="left" w:pos="567"/>
      </w:tabs>
      <w:spacing w:before="120" w:after="0" w:line="254" w:lineRule="auto"/>
      <w:ind w:left="283" w:hanging="283"/>
      <w:contextualSpacing/>
    </w:pPr>
    <w:rPr>
      <w:rFonts w:ascii="Open Sans Light" w:hAnsi="Open Sans Light"/>
      <w:sz w:val="20"/>
    </w:rPr>
  </w:style>
  <w:style w:type="paragraph" w:styleId="List2">
    <w:name w:val="List 2"/>
    <w:basedOn w:val="Normal"/>
    <w:semiHidden/>
    <w:unhideWhenUsed/>
    <w:rsid w:val="00381A0E"/>
    <w:pPr>
      <w:tabs>
        <w:tab w:val="left" w:pos="567"/>
      </w:tabs>
      <w:spacing w:before="120" w:after="0" w:line="254" w:lineRule="auto"/>
      <w:ind w:left="566" w:hanging="283"/>
      <w:contextualSpacing/>
    </w:pPr>
    <w:rPr>
      <w:rFonts w:ascii="Open Sans Light" w:hAnsi="Open Sans Light"/>
      <w:sz w:val="20"/>
    </w:rPr>
  </w:style>
  <w:style w:type="paragraph" w:styleId="List3">
    <w:name w:val="List 3"/>
    <w:basedOn w:val="Normal"/>
    <w:semiHidden/>
    <w:unhideWhenUsed/>
    <w:rsid w:val="00381A0E"/>
    <w:pPr>
      <w:tabs>
        <w:tab w:val="left" w:pos="567"/>
      </w:tabs>
      <w:spacing w:before="120" w:after="0" w:line="254" w:lineRule="auto"/>
      <w:ind w:left="849" w:hanging="283"/>
      <w:contextualSpacing/>
    </w:pPr>
    <w:rPr>
      <w:rFonts w:ascii="Open Sans Light" w:hAnsi="Open Sans Light"/>
      <w:sz w:val="20"/>
    </w:rPr>
  </w:style>
  <w:style w:type="paragraph" w:styleId="List4">
    <w:name w:val="List 4"/>
    <w:basedOn w:val="Normal"/>
    <w:rsid w:val="00381A0E"/>
    <w:pPr>
      <w:tabs>
        <w:tab w:val="left" w:pos="567"/>
      </w:tabs>
      <w:spacing w:before="120" w:after="0" w:line="254" w:lineRule="auto"/>
      <w:ind w:left="1132" w:hanging="283"/>
      <w:contextualSpacing/>
    </w:pPr>
    <w:rPr>
      <w:rFonts w:ascii="Open Sans Light" w:hAnsi="Open Sans Light"/>
      <w:sz w:val="20"/>
    </w:rPr>
  </w:style>
  <w:style w:type="paragraph" w:styleId="List5">
    <w:name w:val="List 5"/>
    <w:basedOn w:val="Normal"/>
    <w:rsid w:val="00381A0E"/>
    <w:pPr>
      <w:tabs>
        <w:tab w:val="left" w:pos="567"/>
      </w:tabs>
      <w:spacing w:before="120" w:after="0" w:line="254" w:lineRule="auto"/>
      <w:ind w:left="1415" w:hanging="283"/>
      <w:contextualSpacing/>
    </w:pPr>
    <w:rPr>
      <w:rFonts w:ascii="Open Sans Light" w:hAnsi="Open Sans Light"/>
      <w:sz w:val="20"/>
    </w:rPr>
  </w:style>
  <w:style w:type="paragraph" w:styleId="ListBullet2">
    <w:name w:val="List Bullet 2"/>
    <w:basedOn w:val="Normal"/>
    <w:semiHidden/>
    <w:unhideWhenUsed/>
    <w:rsid w:val="00381A0E"/>
    <w:pPr>
      <w:numPr>
        <w:numId w:val="30"/>
      </w:numPr>
      <w:tabs>
        <w:tab w:val="left" w:pos="567"/>
      </w:tabs>
      <w:spacing w:before="120" w:after="0" w:line="254" w:lineRule="auto"/>
      <w:contextualSpacing/>
    </w:pPr>
    <w:rPr>
      <w:rFonts w:ascii="Open Sans Light" w:hAnsi="Open Sans Light"/>
      <w:sz w:val="20"/>
    </w:rPr>
  </w:style>
  <w:style w:type="paragraph" w:styleId="ListBullet3">
    <w:name w:val="List Bullet 3"/>
    <w:basedOn w:val="Normal"/>
    <w:semiHidden/>
    <w:unhideWhenUsed/>
    <w:rsid w:val="00381A0E"/>
    <w:pPr>
      <w:numPr>
        <w:numId w:val="31"/>
      </w:numPr>
      <w:tabs>
        <w:tab w:val="left" w:pos="567"/>
      </w:tabs>
      <w:spacing w:before="120" w:after="0" w:line="254" w:lineRule="auto"/>
      <w:contextualSpacing/>
    </w:pPr>
    <w:rPr>
      <w:rFonts w:ascii="Open Sans Light" w:hAnsi="Open Sans Light"/>
      <w:sz w:val="20"/>
    </w:rPr>
  </w:style>
  <w:style w:type="paragraph" w:styleId="ListBullet4">
    <w:name w:val="List Bullet 4"/>
    <w:basedOn w:val="Normal"/>
    <w:semiHidden/>
    <w:unhideWhenUsed/>
    <w:rsid w:val="00381A0E"/>
    <w:pPr>
      <w:numPr>
        <w:numId w:val="32"/>
      </w:numPr>
      <w:tabs>
        <w:tab w:val="left" w:pos="567"/>
      </w:tabs>
      <w:spacing w:before="120" w:after="0" w:line="254" w:lineRule="auto"/>
      <w:contextualSpacing/>
    </w:pPr>
    <w:rPr>
      <w:rFonts w:ascii="Open Sans Light" w:hAnsi="Open Sans Light"/>
      <w:sz w:val="20"/>
    </w:rPr>
  </w:style>
  <w:style w:type="paragraph" w:styleId="ListBullet5">
    <w:name w:val="List Bullet 5"/>
    <w:basedOn w:val="Normal"/>
    <w:semiHidden/>
    <w:unhideWhenUsed/>
    <w:rsid w:val="00381A0E"/>
    <w:pPr>
      <w:numPr>
        <w:numId w:val="33"/>
      </w:numPr>
      <w:tabs>
        <w:tab w:val="left" w:pos="567"/>
      </w:tabs>
      <w:spacing w:before="120" w:after="0" w:line="254" w:lineRule="auto"/>
      <w:contextualSpacing/>
    </w:pPr>
    <w:rPr>
      <w:rFonts w:ascii="Open Sans Light" w:hAnsi="Open Sans Light"/>
      <w:sz w:val="20"/>
    </w:rPr>
  </w:style>
  <w:style w:type="paragraph" w:styleId="ListContinue">
    <w:name w:val="List Continue"/>
    <w:basedOn w:val="Normal"/>
    <w:semiHidden/>
    <w:unhideWhenUsed/>
    <w:rsid w:val="00381A0E"/>
    <w:pPr>
      <w:tabs>
        <w:tab w:val="left" w:pos="567"/>
      </w:tabs>
      <w:spacing w:before="120" w:after="120" w:line="254" w:lineRule="auto"/>
      <w:ind w:left="283"/>
      <w:contextualSpacing/>
    </w:pPr>
    <w:rPr>
      <w:rFonts w:ascii="Open Sans Light" w:hAnsi="Open Sans Light"/>
      <w:sz w:val="20"/>
    </w:rPr>
  </w:style>
  <w:style w:type="paragraph" w:styleId="ListContinue2">
    <w:name w:val="List Continue 2"/>
    <w:basedOn w:val="Normal"/>
    <w:semiHidden/>
    <w:unhideWhenUsed/>
    <w:rsid w:val="00381A0E"/>
    <w:pPr>
      <w:tabs>
        <w:tab w:val="left" w:pos="567"/>
      </w:tabs>
      <w:spacing w:before="120" w:after="120" w:line="254" w:lineRule="auto"/>
      <w:ind w:left="566"/>
      <w:contextualSpacing/>
    </w:pPr>
    <w:rPr>
      <w:rFonts w:ascii="Open Sans Light" w:hAnsi="Open Sans Light"/>
      <w:sz w:val="20"/>
    </w:rPr>
  </w:style>
  <w:style w:type="paragraph" w:styleId="ListContinue3">
    <w:name w:val="List Continue 3"/>
    <w:basedOn w:val="Normal"/>
    <w:semiHidden/>
    <w:unhideWhenUsed/>
    <w:rsid w:val="00381A0E"/>
    <w:pPr>
      <w:tabs>
        <w:tab w:val="left" w:pos="567"/>
      </w:tabs>
      <w:spacing w:before="120" w:after="120" w:line="254" w:lineRule="auto"/>
      <w:ind w:left="849"/>
      <w:contextualSpacing/>
    </w:pPr>
    <w:rPr>
      <w:rFonts w:ascii="Open Sans Light" w:hAnsi="Open Sans Light"/>
      <w:sz w:val="20"/>
    </w:rPr>
  </w:style>
  <w:style w:type="paragraph" w:styleId="ListContinue4">
    <w:name w:val="List Continue 4"/>
    <w:basedOn w:val="Normal"/>
    <w:semiHidden/>
    <w:unhideWhenUsed/>
    <w:rsid w:val="00381A0E"/>
    <w:pPr>
      <w:tabs>
        <w:tab w:val="left" w:pos="567"/>
      </w:tabs>
      <w:spacing w:before="120" w:after="120" w:line="254" w:lineRule="auto"/>
      <w:ind w:left="1132"/>
      <w:contextualSpacing/>
    </w:pPr>
    <w:rPr>
      <w:rFonts w:ascii="Open Sans Light" w:hAnsi="Open Sans Light"/>
      <w:sz w:val="20"/>
    </w:rPr>
  </w:style>
  <w:style w:type="paragraph" w:styleId="ListContinue5">
    <w:name w:val="List Continue 5"/>
    <w:basedOn w:val="Normal"/>
    <w:semiHidden/>
    <w:unhideWhenUsed/>
    <w:rsid w:val="00381A0E"/>
    <w:pPr>
      <w:tabs>
        <w:tab w:val="left" w:pos="567"/>
      </w:tabs>
      <w:spacing w:before="120" w:after="120" w:line="254" w:lineRule="auto"/>
      <w:ind w:left="1415"/>
      <w:contextualSpacing/>
    </w:pPr>
    <w:rPr>
      <w:rFonts w:ascii="Open Sans Light" w:hAnsi="Open Sans Light"/>
      <w:sz w:val="20"/>
    </w:rPr>
  </w:style>
  <w:style w:type="paragraph" w:styleId="ListNumber">
    <w:name w:val="List Number"/>
    <w:basedOn w:val="Normal"/>
    <w:rsid w:val="00381A0E"/>
    <w:pPr>
      <w:numPr>
        <w:numId w:val="34"/>
      </w:numPr>
      <w:tabs>
        <w:tab w:val="left" w:pos="567"/>
      </w:tabs>
      <w:spacing w:before="120" w:after="0" w:line="254" w:lineRule="auto"/>
      <w:contextualSpacing/>
    </w:pPr>
    <w:rPr>
      <w:rFonts w:ascii="Open Sans Light" w:hAnsi="Open Sans Light"/>
      <w:sz w:val="20"/>
    </w:rPr>
  </w:style>
  <w:style w:type="paragraph" w:styleId="ListNumber2">
    <w:name w:val="List Number 2"/>
    <w:basedOn w:val="Normal"/>
    <w:semiHidden/>
    <w:unhideWhenUsed/>
    <w:rsid w:val="00381A0E"/>
    <w:pPr>
      <w:numPr>
        <w:numId w:val="35"/>
      </w:numPr>
      <w:tabs>
        <w:tab w:val="left" w:pos="567"/>
      </w:tabs>
      <w:spacing w:before="120" w:after="0" w:line="254" w:lineRule="auto"/>
      <w:contextualSpacing/>
    </w:pPr>
    <w:rPr>
      <w:rFonts w:ascii="Open Sans Light" w:hAnsi="Open Sans Light"/>
      <w:sz w:val="20"/>
    </w:rPr>
  </w:style>
  <w:style w:type="paragraph" w:styleId="ListNumber3">
    <w:name w:val="List Number 3"/>
    <w:basedOn w:val="Normal"/>
    <w:semiHidden/>
    <w:unhideWhenUsed/>
    <w:rsid w:val="00381A0E"/>
    <w:pPr>
      <w:numPr>
        <w:numId w:val="36"/>
      </w:numPr>
      <w:tabs>
        <w:tab w:val="left" w:pos="567"/>
      </w:tabs>
      <w:spacing w:before="120" w:after="0" w:line="254" w:lineRule="auto"/>
      <w:contextualSpacing/>
    </w:pPr>
    <w:rPr>
      <w:rFonts w:ascii="Open Sans Light" w:hAnsi="Open Sans Light"/>
      <w:sz w:val="20"/>
    </w:rPr>
  </w:style>
  <w:style w:type="paragraph" w:styleId="ListNumber4">
    <w:name w:val="List Number 4"/>
    <w:basedOn w:val="Normal"/>
    <w:semiHidden/>
    <w:unhideWhenUsed/>
    <w:rsid w:val="00381A0E"/>
    <w:pPr>
      <w:numPr>
        <w:numId w:val="37"/>
      </w:numPr>
      <w:tabs>
        <w:tab w:val="left" w:pos="567"/>
      </w:tabs>
      <w:spacing w:before="120" w:after="0" w:line="254" w:lineRule="auto"/>
      <w:contextualSpacing/>
    </w:pPr>
    <w:rPr>
      <w:rFonts w:ascii="Open Sans Light" w:hAnsi="Open Sans Light"/>
      <w:sz w:val="20"/>
    </w:rPr>
  </w:style>
  <w:style w:type="paragraph" w:styleId="ListNumber5">
    <w:name w:val="List Number 5"/>
    <w:basedOn w:val="Normal"/>
    <w:semiHidden/>
    <w:unhideWhenUsed/>
    <w:rsid w:val="00381A0E"/>
    <w:pPr>
      <w:numPr>
        <w:numId w:val="38"/>
      </w:numPr>
      <w:tabs>
        <w:tab w:val="left" w:pos="567"/>
      </w:tabs>
      <w:spacing w:before="120" w:after="0" w:line="254" w:lineRule="auto"/>
      <w:contextualSpacing/>
    </w:pPr>
    <w:rPr>
      <w:rFonts w:ascii="Open Sans Light" w:hAnsi="Open Sans Light"/>
      <w:sz w:val="20"/>
    </w:rPr>
  </w:style>
  <w:style w:type="paragraph" w:styleId="MacroText">
    <w:name w:val="macro"/>
    <w:link w:val="MacroTextChar"/>
    <w:unhideWhenUsed/>
    <w:rsid w:val="00381A0E"/>
    <w:pPr>
      <w:tabs>
        <w:tab w:val="left" w:pos="480"/>
        <w:tab w:val="left" w:pos="960"/>
        <w:tab w:val="left" w:pos="1440"/>
        <w:tab w:val="left" w:pos="1920"/>
        <w:tab w:val="left" w:pos="2400"/>
        <w:tab w:val="left" w:pos="2880"/>
        <w:tab w:val="left" w:pos="3360"/>
        <w:tab w:val="left" w:pos="3840"/>
        <w:tab w:val="left" w:pos="4320"/>
      </w:tabs>
      <w:spacing w:before="120" w:after="0" w:line="254" w:lineRule="auto"/>
    </w:pPr>
    <w:rPr>
      <w:rFonts w:ascii="Consolas" w:hAnsi="Consolas"/>
      <w:sz w:val="20"/>
      <w:szCs w:val="20"/>
    </w:rPr>
  </w:style>
  <w:style w:type="character" w:customStyle="1" w:styleId="MacroTextChar">
    <w:name w:val="Macro Text Char"/>
    <w:basedOn w:val="DefaultParagraphFont"/>
    <w:link w:val="MacroText"/>
    <w:rsid w:val="00381A0E"/>
    <w:rPr>
      <w:rFonts w:ascii="Consolas" w:hAnsi="Consolas"/>
      <w:sz w:val="20"/>
      <w:szCs w:val="20"/>
    </w:rPr>
  </w:style>
  <w:style w:type="paragraph" w:styleId="MessageHeader">
    <w:name w:val="Message Header"/>
    <w:basedOn w:val="Normal"/>
    <w:link w:val="MessageHeaderChar"/>
    <w:semiHidden/>
    <w:unhideWhenUsed/>
    <w:rsid w:val="00381A0E"/>
    <w:pPr>
      <w:pBdr>
        <w:top w:val="single" w:sz="6" w:space="1" w:color="auto"/>
        <w:left w:val="single" w:sz="6" w:space="1" w:color="auto"/>
        <w:bottom w:val="single" w:sz="6" w:space="1" w:color="auto"/>
        <w:right w:val="single" w:sz="6" w:space="1" w:color="auto"/>
      </w:pBdr>
      <w:shd w:val="pct20" w:color="auto" w:fill="auto"/>
      <w:tabs>
        <w:tab w:val="left" w:pos="567"/>
      </w:tabs>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81A0E"/>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semiHidden/>
    <w:unhideWhenUsed/>
    <w:rsid w:val="00381A0E"/>
    <w:pPr>
      <w:tabs>
        <w:tab w:val="left" w:pos="567"/>
      </w:tabs>
      <w:spacing w:after="0" w:line="240" w:lineRule="auto"/>
    </w:pPr>
    <w:rPr>
      <w:rFonts w:ascii="Open Sans Light" w:hAnsi="Open Sans Light"/>
      <w:sz w:val="20"/>
    </w:rPr>
  </w:style>
  <w:style w:type="character" w:customStyle="1" w:styleId="NoteHeadingChar">
    <w:name w:val="Note Heading Char"/>
    <w:basedOn w:val="DefaultParagraphFont"/>
    <w:link w:val="NoteHeading"/>
    <w:semiHidden/>
    <w:rsid w:val="00381A0E"/>
    <w:rPr>
      <w:rFonts w:ascii="Open Sans Light" w:hAnsi="Open Sans Light"/>
      <w:sz w:val="20"/>
    </w:rPr>
  </w:style>
  <w:style w:type="paragraph" w:styleId="PlainText">
    <w:name w:val="Plain Text"/>
    <w:basedOn w:val="Normal"/>
    <w:link w:val="PlainTextChar"/>
    <w:semiHidden/>
    <w:unhideWhenUsed/>
    <w:rsid w:val="00381A0E"/>
    <w:pPr>
      <w:tabs>
        <w:tab w:val="left" w:pos="567"/>
      </w:tabs>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381A0E"/>
    <w:rPr>
      <w:rFonts w:ascii="Consolas" w:hAnsi="Consolas"/>
      <w:sz w:val="21"/>
      <w:szCs w:val="21"/>
    </w:rPr>
  </w:style>
  <w:style w:type="paragraph" w:styleId="Quote">
    <w:name w:val="Quote"/>
    <w:basedOn w:val="Normal"/>
    <w:next w:val="Normal"/>
    <w:link w:val="QuoteChar"/>
    <w:uiPriority w:val="29"/>
    <w:qFormat/>
    <w:rsid w:val="00381A0E"/>
    <w:pPr>
      <w:tabs>
        <w:tab w:val="left" w:pos="567"/>
      </w:tabs>
      <w:spacing w:before="200" w:line="254" w:lineRule="auto"/>
      <w:ind w:left="864" w:right="864"/>
      <w:jc w:val="center"/>
    </w:pPr>
    <w:rPr>
      <w:rFonts w:ascii="Open Sans Light" w:hAnsi="Open Sans Light"/>
      <w:i/>
      <w:iCs/>
      <w:color w:val="404040" w:themeColor="text1" w:themeTint="BF"/>
      <w:sz w:val="20"/>
    </w:rPr>
  </w:style>
  <w:style w:type="character" w:customStyle="1" w:styleId="QuoteChar">
    <w:name w:val="Quote Char"/>
    <w:basedOn w:val="DefaultParagraphFont"/>
    <w:link w:val="Quote"/>
    <w:uiPriority w:val="29"/>
    <w:rsid w:val="00381A0E"/>
    <w:rPr>
      <w:rFonts w:ascii="Open Sans Light" w:hAnsi="Open Sans Light"/>
      <w:i/>
      <w:iCs/>
      <w:color w:val="404040" w:themeColor="text1" w:themeTint="BF"/>
      <w:sz w:val="20"/>
    </w:rPr>
  </w:style>
  <w:style w:type="paragraph" w:styleId="Salutation">
    <w:name w:val="Salutation"/>
    <w:basedOn w:val="Normal"/>
    <w:next w:val="Normal"/>
    <w:link w:val="SalutationChar"/>
    <w:rsid w:val="00381A0E"/>
    <w:pPr>
      <w:tabs>
        <w:tab w:val="left" w:pos="567"/>
      </w:tabs>
      <w:spacing w:before="120" w:after="0" w:line="254" w:lineRule="auto"/>
    </w:pPr>
    <w:rPr>
      <w:rFonts w:ascii="Open Sans Light" w:hAnsi="Open Sans Light"/>
      <w:sz w:val="20"/>
    </w:rPr>
  </w:style>
  <w:style w:type="character" w:customStyle="1" w:styleId="SalutationChar">
    <w:name w:val="Salutation Char"/>
    <w:basedOn w:val="DefaultParagraphFont"/>
    <w:link w:val="Salutation"/>
    <w:rsid w:val="00381A0E"/>
    <w:rPr>
      <w:rFonts w:ascii="Open Sans Light" w:hAnsi="Open Sans Light"/>
      <w:sz w:val="20"/>
    </w:rPr>
  </w:style>
  <w:style w:type="paragraph" w:styleId="Signature">
    <w:name w:val="Signature"/>
    <w:basedOn w:val="Normal"/>
    <w:link w:val="SignatureChar"/>
    <w:semiHidden/>
    <w:unhideWhenUsed/>
    <w:rsid w:val="00381A0E"/>
    <w:pPr>
      <w:tabs>
        <w:tab w:val="left" w:pos="567"/>
      </w:tabs>
      <w:spacing w:after="0" w:line="240" w:lineRule="auto"/>
      <w:ind w:left="4252"/>
    </w:pPr>
    <w:rPr>
      <w:rFonts w:ascii="Open Sans Light" w:hAnsi="Open Sans Light"/>
      <w:sz w:val="20"/>
    </w:rPr>
  </w:style>
  <w:style w:type="character" w:customStyle="1" w:styleId="SignatureChar">
    <w:name w:val="Signature Char"/>
    <w:basedOn w:val="DefaultParagraphFont"/>
    <w:link w:val="Signature"/>
    <w:semiHidden/>
    <w:rsid w:val="00381A0E"/>
    <w:rPr>
      <w:rFonts w:ascii="Open Sans Light" w:hAnsi="Open Sans Light"/>
      <w:sz w:val="20"/>
    </w:rPr>
  </w:style>
  <w:style w:type="paragraph" w:styleId="Subtitle">
    <w:name w:val="Subtitle"/>
    <w:basedOn w:val="Normal"/>
    <w:next w:val="Normal"/>
    <w:link w:val="SubtitleChar"/>
    <w:uiPriority w:val="11"/>
    <w:qFormat/>
    <w:rsid w:val="00381A0E"/>
    <w:pPr>
      <w:numPr>
        <w:ilvl w:val="1"/>
      </w:numPr>
      <w:tabs>
        <w:tab w:val="left" w:pos="567"/>
      </w:tabs>
      <w:spacing w:before="120" w:line="254"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81A0E"/>
    <w:rPr>
      <w:rFonts w:eastAsiaTheme="minorEastAsia"/>
      <w:color w:val="5A5A5A" w:themeColor="text1" w:themeTint="A5"/>
      <w:spacing w:val="15"/>
    </w:rPr>
  </w:style>
  <w:style w:type="paragraph" w:styleId="TableofAuthorities">
    <w:name w:val="table of authorities"/>
    <w:basedOn w:val="Normal"/>
    <w:next w:val="Normal"/>
    <w:semiHidden/>
    <w:unhideWhenUsed/>
    <w:rsid w:val="00381A0E"/>
    <w:pPr>
      <w:spacing w:before="120" w:after="0" w:line="254" w:lineRule="auto"/>
      <w:ind w:left="200" w:hanging="200"/>
    </w:pPr>
    <w:rPr>
      <w:rFonts w:ascii="Open Sans Light" w:hAnsi="Open Sans Light"/>
      <w:sz w:val="20"/>
    </w:rPr>
  </w:style>
  <w:style w:type="paragraph" w:styleId="TableofFigures">
    <w:name w:val="table of figures"/>
    <w:basedOn w:val="Normal"/>
    <w:next w:val="Normal"/>
    <w:semiHidden/>
    <w:unhideWhenUsed/>
    <w:rsid w:val="00381A0E"/>
    <w:pPr>
      <w:spacing w:before="120" w:after="0" w:line="254" w:lineRule="auto"/>
    </w:pPr>
    <w:rPr>
      <w:rFonts w:ascii="Open Sans Light" w:hAnsi="Open Sans Light"/>
      <w:sz w:val="20"/>
    </w:rPr>
  </w:style>
  <w:style w:type="paragraph" w:styleId="Title">
    <w:name w:val="Title"/>
    <w:basedOn w:val="Normal"/>
    <w:next w:val="Normal"/>
    <w:link w:val="TitleChar"/>
    <w:uiPriority w:val="10"/>
    <w:qFormat/>
    <w:rsid w:val="00381A0E"/>
    <w:pPr>
      <w:tabs>
        <w:tab w:val="left" w:pos="567"/>
      </w:tabs>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1A0E"/>
    <w:rPr>
      <w:rFonts w:asciiTheme="majorHAnsi" w:eastAsiaTheme="majorEastAsia" w:hAnsiTheme="majorHAnsi" w:cstheme="majorBidi"/>
      <w:spacing w:val="-10"/>
      <w:kern w:val="28"/>
      <w:sz w:val="56"/>
      <w:szCs w:val="56"/>
    </w:rPr>
  </w:style>
  <w:style w:type="paragraph" w:styleId="TOAHeading">
    <w:name w:val="toa heading"/>
    <w:basedOn w:val="Normal"/>
    <w:next w:val="Normal"/>
    <w:unhideWhenUsed/>
    <w:rsid w:val="00381A0E"/>
    <w:pPr>
      <w:tabs>
        <w:tab w:val="left" w:pos="567"/>
      </w:tabs>
      <w:spacing w:before="120" w:after="0" w:line="254" w:lineRule="auto"/>
    </w:pPr>
    <w:rPr>
      <w:rFonts w:asciiTheme="majorHAnsi" w:eastAsiaTheme="majorEastAsia" w:hAnsiTheme="majorHAnsi" w:cstheme="majorBidi"/>
      <w:b/>
      <w:bCs/>
      <w:sz w:val="24"/>
      <w:szCs w:val="24"/>
    </w:rPr>
  </w:style>
  <w:style w:type="paragraph" w:customStyle="1" w:styleId="pf0">
    <w:name w:val="pf0"/>
    <w:basedOn w:val="Normal"/>
    <w:rsid w:val="00381A0E"/>
    <w:pPr>
      <w:spacing w:before="100" w:beforeAutospacing="1" w:after="100" w:afterAutospacing="1" w:line="240" w:lineRule="auto"/>
      <w:ind w:left="300"/>
    </w:pPr>
    <w:rPr>
      <w:rFonts w:ascii="Times New Roman" w:eastAsia="Times New Roman" w:hAnsi="Times New Roman" w:cs="Times New Roman"/>
      <w:sz w:val="24"/>
      <w:szCs w:val="24"/>
      <w:lang w:eastAsia="en-AU"/>
    </w:rPr>
  </w:style>
  <w:style w:type="paragraph" w:customStyle="1" w:styleId="Headning35CGCHeading35">
    <w:name w:val="Headning 3.5. CGC Heading 3.5"/>
    <w:basedOn w:val="Heading3"/>
    <w:qFormat/>
    <w:rsid w:val="00381A0E"/>
    <w:pPr>
      <w:spacing w:after="0" w:line="240" w:lineRule="auto"/>
    </w:pPr>
    <w:rPr>
      <w:rFonts w:eastAsiaTheme="majorEastAsia"/>
      <w:i/>
      <w:sz w:val="26"/>
    </w:rPr>
  </w:style>
  <w:style w:type="paragraph" w:customStyle="1" w:styleId="OutlineNumbered1">
    <w:name w:val="Outline Numbered 1"/>
    <w:basedOn w:val="Normal"/>
    <w:link w:val="OutlineNumbered1Char"/>
    <w:rsid w:val="00381A0E"/>
    <w:pPr>
      <w:numPr>
        <w:numId w:val="40"/>
      </w:numPr>
      <w:tabs>
        <w:tab w:val="left" w:pos="567"/>
      </w:tabs>
      <w:spacing w:before="120" w:after="0" w:line="254" w:lineRule="auto"/>
    </w:pPr>
    <w:rPr>
      <w:rFonts w:ascii="Work Sans" w:hAnsi="Work Sans"/>
      <w:sz w:val="20"/>
      <w:szCs w:val="20"/>
    </w:rPr>
  </w:style>
  <w:style w:type="character" w:customStyle="1" w:styleId="OutlineNumbered1Char">
    <w:name w:val="Outline Numbered 1 Char"/>
    <w:basedOn w:val="DefaultParagraphFont"/>
    <w:link w:val="OutlineNumbered1"/>
    <w:rsid w:val="00381A0E"/>
    <w:rPr>
      <w:rFonts w:ascii="Work Sans" w:hAnsi="Work Sans"/>
      <w:sz w:val="20"/>
      <w:szCs w:val="20"/>
    </w:rPr>
  </w:style>
  <w:style w:type="paragraph" w:customStyle="1" w:styleId="OutlineNumbered2">
    <w:name w:val="Outline Numbered 2"/>
    <w:basedOn w:val="Normal"/>
    <w:link w:val="OutlineNumbered2Char"/>
    <w:rsid w:val="00381A0E"/>
    <w:pPr>
      <w:numPr>
        <w:ilvl w:val="1"/>
        <w:numId w:val="40"/>
      </w:numPr>
      <w:tabs>
        <w:tab w:val="left" w:pos="567"/>
      </w:tabs>
      <w:spacing w:before="120" w:after="0" w:line="254" w:lineRule="auto"/>
    </w:pPr>
    <w:rPr>
      <w:rFonts w:ascii="Work Sans" w:hAnsi="Work Sans"/>
      <w:sz w:val="20"/>
      <w:szCs w:val="20"/>
    </w:rPr>
  </w:style>
  <w:style w:type="character" w:customStyle="1" w:styleId="OutlineNumbered2Char">
    <w:name w:val="Outline Numbered 2 Char"/>
    <w:basedOn w:val="DefaultParagraphFont"/>
    <w:link w:val="OutlineNumbered2"/>
    <w:rsid w:val="00381A0E"/>
    <w:rPr>
      <w:rFonts w:ascii="Work Sans" w:hAnsi="Work Sans"/>
      <w:sz w:val="20"/>
      <w:szCs w:val="20"/>
    </w:rPr>
  </w:style>
  <w:style w:type="paragraph" w:customStyle="1" w:styleId="OutlineNumbered3">
    <w:name w:val="Outline Numbered 3"/>
    <w:basedOn w:val="Normal"/>
    <w:link w:val="OutlineNumbered3Char"/>
    <w:rsid w:val="00381A0E"/>
    <w:pPr>
      <w:numPr>
        <w:ilvl w:val="2"/>
        <w:numId w:val="40"/>
      </w:numPr>
      <w:tabs>
        <w:tab w:val="left" w:pos="567"/>
      </w:tabs>
      <w:spacing w:before="120" w:after="0" w:line="254" w:lineRule="auto"/>
    </w:pPr>
    <w:rPr>
      <w:rFonts w:ascii="Work Sans" w:hAnsi="Work Sans"/>
      <w:sz w:val="20"/>
      <w:szCs w:val="20"/>
    </w:rPr>
  </w:style>
  <w:style w:type="character" w:customStyle="1" w:styleId="OutlineNumbered3Char">
    <w:name w:val="Outline Numbered 3 Char"/>
    <w:basedOn w:val="DefaultParagraphFont"/>
    <w:link w:val="OutlineNumbered3"/>
    <w:rsid w:val="00381A0E"/>
    <w:rPr>
      <w:rFonts w:ascii="Work Sans" w:hAnsi="Work Sans"/>
      <w:sz w:val="20"/>
      <w:szCs w:val="20"/>
    </w:rPr>
  </w:style>
  <w:style w:type="character" w:styleId="PlaceholderText">
    <w:name w:val="Placeholder Text"/>
    <w:basedOn w:val="DefaultParagraphFont"/>
    <w:uiPriority w:val="99"/>
    <w:semiHidden/>
    <w:rsid w:val="00381A0E"/>
    <w:rPr>
      <w:color w:val="808080"/>
    </w:rPr>
  </w:style>
  <w:style w:type="character" w:styleId="IntenseEmphasis">
    <w:name w:val="Intense Emphasis"/>
    <w:basedOn w:val="DefaultParagraphFont"/>
    <w:uiPriority w:val="21"/>
    <w:qFormat/>
    <w:rsid w:val="00381A0E"/>
    <w:rPr>
      <w:i/>
      <w:iCs/>
      <w:color w:val="2F5496" w:themeColor="accent1" w:themeShade="BF"/>
    </w:rPr>
  </w:style>
  <w:style w:type="character" w:styleId="IntenseReference">
    <w:name w:val="Intense Reference"/>
    <w:basedOn w:val="DefaultParagraphFont"/>
    <w:uiPriority w:val="32"/>
    <w:qFormat/>
    <w:rsid w:val="00381A0E"/>
    <w:rPr>
      <w:b/>
      <w:bCs/>
      <w:smallCaps/>
      <w:color w:val="2F5496" w:themeColor="accent1" w:themeShade="BF"/>
      <w:spacing w:val="5"/>
    </w:rPr>
  </w:style>
  <w:style w:type="paragraph" w:customStyle="1" w:styleId="Publicationtitle1">
    <w:name w:val="Publication title 1"/>
    <w:basedOn w:val="Normal"/>
    <w:next w:val="Normal"/>
    <w:rsid w:val="00381A0E"/>
    <w:pPr>
      <w:tabs>
        <w:tab w:val="left" w:pos="567"/>
      </w:tabs>
      <w:spacing w:before="120" w:after="0" w:line="240" w:lineRule="auto"/>
      <w:jc w:val="center"/>
    </w:pPr>
    <w:rPr>
      <w:rFonts w:ascii="Montserrat Extra Bold" w:hAnsi="Montserrat Extra Bold"/>
      <w:color w:val="004563"/>
      <w:sz w:val="60"/>
    </w:rPr>
  </w:style>
  <w:style w:type="paragraph" w:customStyle="1" w:styleId="Publicationtitle2">
    <w:name w:val="Publication title 2"/>
    <w:basedOn w:val="Publicationtitle1"/>
    <w:next w:val="Normal"/>
    <w:rsid w:val="00381A0E"/>
    <w:pPr>
      <w:spacing w:before="0"/>
    </w:pPr>
    <w:rPr>
      <w:rFonts w:ascii="Montserrat Ultra Light" w:hAnsi="Montserrat Ultra Light"/>
      <w:b/>
      <w:color w:val="60B5D7"/>
      <w:sz w:val="52"/>
    </w:rPr>
  </w:style>
  <w:style w:type="paragraph" w:customStyle="1" w:styleId="Publicationtitle3">
    <w:name w:val="Publication title 3"/>
    <w:basedOn w:val="Publicationtitle2"/>
    <w:next w:val="Normal"/>
    <w:rsid w:val="00381A0E"/>
    <w:rPr>
      <w:b w:val="0"/>
      <w:color w:val="004563"/>
    </w:rPr>
  </w:style>
  <w:style w:type="paragraph" w:customStyle="1" w:styleId="TableRowNormal">
    <w:name w:val="TableRowNormal"/>
    <w:basedOn w:val="Normal"/>
    <w:rsid w:val="00381A0E"/>
    <w:pPr>
      <w:keepNext/>
      <w:keepLines/>
      <w:tabs>
        <w:tab w:val="left" w:pos="475"/>
        <w:tab w:val="left" w:pos="567"/>
        <w:tab w:val="left" w:pos="1440"/>
        <w:tab w:val="left" w:pos="2160"/>
        <w:tab w:val="left" w:pos="2880"/>
      </w:tabs>
      <w:spacing w:before="60" w:after="60" w:line="200" w:lineRule="atLeast"/>
      <w:ind w:left="144" w:hanging="144"/>
      <w:jc w:val="right"/>
    </w:pPr>
    <w:rPr>
      <w:rFonts w:ascii="Open Sans Light" w:hAnsi="Open Sans Light"/>
      <w:sz w:val="20"/>
      <w:szCs w:val="20"/>
    </w:rPr>
  </w:style>
  <w:style w:type="paragraph" w:customStyle="1" w:styleId="CGCTableStub">
    <w:name w:val="CGC Table Stub"/>
    <w:basedOn w:val="Normal"/>
    <w:link w:val="CGCTableStubChar"/>
    <w:rsid w:val="00381A0E"/>
    <w:pPr>
      <w:keepNext/>
      <w:keepLines/>
      <w:tabs>
        <w:tab w:val="left" w:pos="284"/>
        <w:tab w:val="left" w:pos="567"/>
      </w:tabs>
      <w:spacing w:before="60" w:after="60" w:line="200" w:lineRule="atLeast"/>
    </w:pPr>
    <w:rPr>
      <w:sz w:val="20"/>
      <w:szCs w:val="20"/>
    </w:rPr>
  </w:style>
  <w:style w:type="paragraph" w:customStyle="1" w:styleId="CGCTablesubhead2">
    <w:name w:val="CGC Table subhead2"/>
    <w:basedOn w:val="Normal"/>
    <w:rsid w:val="00381A0E"/>
    <w:pPr>
      <w:tabs>
        <w:tab w:val="left" w:pos="567"/>
      </w:tabs>
      <w:spacing w:after="0" w:line="240" w:lineRule="auto"/>
    </w:pPr>
    <w:rPr>
      <w:rFonts w:ascii="Open Sans Semibold" w:hAnsi="Open Sans Semibold"/>
      <w:sz w:val="16"/>
    </w:rPr>
  </w:style>
  <w:style w:type="paragraph" w:customStyle="1" w:styleId="TableRowUnits">
    <w:name w:val="TableRowUnits"/>
    <w:basedOn w:val="Normal"/>
    <w:rsid w:val="00381A0E"/>
    <w:pPr>
      <w:keepNext/>
      <w:keepLines/>
      <w:tabs>
        <w:tab w:val="left" w:pos="475"/>
        <w:tab w:val="left" w:pos="567"/>
        <w:tab w:val="left" w:pos="1440"/>
        <w:tab w:val="left" w:pos="2160"/>
        <w:tab w:val="left" w:pos="2880"/>
      </w:tabs>
      <w:spacing w:before="120" w:after="0" w:line="240" w:lineRule="auto"/>
      <w:jc w:val="right"/>
    </w:pPr>
    <w:rPr>
      <w:rFonts w:ascii="Open Sans Light" w:hAnsi="Open Sans Light"/>
      <w:sz w:val="20"/>
      <w:szCs w:val="20"/>
    </w:rPr>
  </w:style>
  <w:style w:type="character" w:customStyle="1" w:styleId="CGCTableStubChar">
    <w:name w:val="CGC Table Stub Char"/>
    <w:basedOn w:val="DefaultParagraphFont"/>
    <w:link w:val="CGCTableStub"/>
    <w:rsid w:val="00381A0E"/>
    <w:rPr>
      <w:sz w:val="20"/>
      <w:szCs w:val="20"/>
    </w:rPr>
  </w:style>
  <w:style w:type="table" w:customStyle="1" w:styleId="TableGrid0">
    <w:name w:val="TableGrid"/>
    <w:rsid w:val="00EC3723"/>
    <w:pPr>
      <w:spacing w:after="0" w:line="240" w:lineRule="auto"/>
    </w:pPr>
    <w:rPr>
      <w:rFonts w:eastAsiaTheme="minorEastAsia"/>
      <w:kern w:val="2"/>
      <w:sz w:val="24"/>
      <w:szCs w:val="24"/>
      <w:lang w:eastAsia="en-AU"/>
      <w14:ligatures w14:val="standardContextual"/>
    </w:rPr>
    <w:tblPr>
      <w:tblCellMar>
        <w:top w:w="0" w:type="dxa"/>
        <w:left w:w="0" w:type="dxa"/>
        <w:bottom w:w="0" w:type="dxa"/>
        <w:right w:w="0" w:type="dxa"/>
      </w:tblCellMar>
    </w:tblPr>
  </w:style>
  <w:style w:type="paragraph" w:customStyle="1" w:styleId="Heading35">
    <w:name w:val="Heading 3.5"/>
    <w:aliases w:val="CGC 2025 Heading"/>
    <w:basedOn w:val="Heading3"/>
    <w:qFormat/>
    <w:rsid w:val="009A2B29"/>
    <w:rPr>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54851">
      <w:bodyDiv w:val="1"/>
      <w:marLeft w:val="0"/>
      <w:marRight w:val="0"/>
      <w:marTop w:val="0"/>
      <w:marBottom w:val="0"/>
      <w:divBdr>
        <w:top w:val="none" w:sz="0" w:space="0" w:color="auto"/>
        <w:left w:val="none" w:sz="0" w:space="0" w:color="auto"/>
        <w:bottom w:val="none" w:sz="0" w:space="0" w:color="auto"/>
        <w:right w:val="none" w:sz="0" w:space="0" w:color="auto"/>
      </w:divBdr>
    </w:div>
    <w:div w:id="333805665">
      <w:bodyDiv w:val="1"/>
      <w:marLeft w:val="0"/>
      <w:marRight w:val="0"/>
      <w:marTop w:val="0"/>
      <w:marBottom w:val="0"/>
      <w:divBdr>
        <w:top w:val="none" w:sz="0" w:space="0" w:color="auto"/>
        <w:left w:val="none" w:sz="0" w:space="0" w:color="auto"/>
        <w:bottom w:val="none" w:sz="0" w:space="0" w:color="auto"/>
        <w:right w:val="none" w:sz="0" w:space="0" w:color="auto"/>
      </w:divBdr>
    </w:div>
    <w:div w:id="359015069">
      <w:bodyDiv w:val="1"/>
      <w:marLeft w:val="0"/>
      <w:marRight w:val="0"/>
      <w:marTop w:val="0"/>
      <w:marBottom w:val="0"/>
      <w:divBdr>
        <w:top w:val="none" w:sz="0" w:space="0" w:color="auto"/>
        <w:left w:val="none" w:sz="0" w:space="0" w:color="auto"/>
        <w:bottom w:val="none" w:sz="0" w:space="0" w:color="auto"/>
        <w:right w:val="none" w:sz="0" w:space="0" w:color="auto"/>
      </w:divBdr>
    </w:div>
    <w:div w:id="382799270">
      <w:bodyDiv w:val="1"/>
      <w:marLeft w:val="0"/>
      <w:marRight w:val="0"/>
      <w:marTop w:val="0"/>
      <w:marBottom w:val="0"/>
      <w:divBdr>
        <w:top w:val="none" w:sz="0" w:space="0" w:color="auto"/>
        <w:left w:val="none" w:sz="0" w:space="0" w:color="auto"/>
        <w:bottom w:val="none" w:sz="0" w:space="0" w:color="auto"/>
        <w:right w:val="none" w:sz="0" w:space="0" w:color="auto"/>
      </w:divBdr>
    </w:div>
    <w:div w:id="454829199">
      <w:bodyDiv w:val="1"/>
      <w:marLeft w:val="0"/>
      <w:marRight w:val="0"/>
      <w:marTop w:val="0"/>
      <w:marBottom w:val="0"/>
      <w:divBdr>
        <w:top w:val="none" w:sz="0" w:space="0" w:color="auto"/>
        <w:left w:val="none" w:sz="0" w:space="0" w:color="auto"/>
        <w:bottom w:val="none" w:sz="0" w:space="0" w:color="auto"/>
        <w:right w:val="none" w:sz="0" w:space="0" w:color="auto"/>
      </w:divBdr>
    </w:div>
    <w:div w:id="492723512">
      <w:bodyDiv w:val="1"/>
      <w:marLeft w:val="0"/>
      <w:marRight w:val="0"/>
      <w:marTop w:val="0"/>
      <w:marBottom w:val="0"/>
      <w:divBdr>
        <w:top w:val="none" w:sz="0" w:space="0" w:color="auto"/>
        <w:left w:val="none" w:sz="0" w:space="0" w:color="auto"/>
        <w:bottom w:val="none" w:sz="0" w:space="0" w:color="auto"/>
        <w:right w:val="none" w:sz="0" w:space="0" w:color="auto"/>
      </w:divBdr>
      <w:divsChild>
        <w:div w:id="801771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5222873">
      <w:bodyDiv w:val="1"/>
      <w:marLeft w:val="0"/>
      <w:marRight w:val="0"/>
      <w:marTop w:val="0"/>
      <w:marBottom w:val="0"/>
      <w:divBdr>
        <w:top w:val="none" w:sz="0" w:space="0" w:color="auto"/>
        <w:left w:val="none" w:sz="0" w:space="0" w:color="auto"/>
        <w:bottom w:val="none" w:sz="0" w:space="0" w:color="auto"/>
        <w:right w:val="none" w:sz="0" w:space="0" w:color="auto"/>
      </w:divBdr>
    </w:div>
    <w:div w:id="635061987">
      <w:bodyDiv w:val="1"/>
      <w:marLeft w:val="0"/>
      <w:marRight w:val="0"/>
      <w:marTop w:val="0"/>
      <w:marBottom w:val="0"/>
      <w:divBdr>
        <w:top w:val="none" w:sz="0" w:space="0" w:color="auto"/>
        <w:left w:val="none" w:sz="0" w:space="0" w:color="auto"/>
        <w:bottom w:val="none" w:sz="0" w:space="0" w:color="auto"/>
        <w:right w:val="none" w:sz="0" w:space="0" w:color="auto"/>
      </w:divBdr>
    </w:div>
    <w:div w:id="684015186">
      <w:bodyDiv w:val="1"/>
      <w:marLeft w:val="0"/>
      <w:marRight w:val="0"/>
      <w:marTop w:val="0"/>
      <w:marBottom w:val="0"/>
      <w:divBdr>
        <w:top w:val="none" w:sz="0" w:space="0" w:color="auto"/>
        <w:left w:val="none" w:sz="0" w:space="0" w:color="auto"/>
        <w:bottom w:val="none" w:sz="0" w:space="0" w:color="auto"/>
        <w:right w:val="none" w:sz="0" w:space="0" w:color="auto"/>
      </w:divBdr>
    </w:div>
    <w:div w:id="708528067">
      <w:bodyDiv w:val="1"/>
      <w:marLeft w:val="0"/>
      <w:marRight w:val="0"/>
      <w:marTop w:val="0"/>
      <w:marBottom w:val="0"/>
      <w:divBdr>
        <w:top w:val="none" w:sz="0" w:space="0" w:color="auto"/>
        <w:left w:val="none" w:sz="0" w:space="0" w:color="auto"/>
        <w:bottom w:val="none" w:sz="0" w:space="0" w:color="auto"/>
        <w:right w:val="none" w:sz="0" w:space="0" w:color="auto"/>
      </w:divBdr>
    </w:div>
    <w:div w:id="729573955">
      <w:bodyDiv w:val="1"/>
      <w:marLeft w:val="0"/>
      <w:marRight w:val="0"/>
      <w:marTop w:val="0"/>
      <w:marBottom w:val="0"/>
      <w:divBdr>
        <w:top w:val="none" w:sz="0" w:space="0" w:color="auto"/>
        <w:left w:val="none" w:sz="0" w:space="0" w:color="auto"/>
        <w:bottom w:val="none" w:sz="0" w:space="0" w:color="auto"/>
        <w:right w:val="none" w:sz="0" w:space="0" w:color="auto"/>
      </w:divBdr>
    </w:div>
    <w:div w:id="760418458">
      <w:bodyDiv w:val="1"/>
      <w:marLeft w:val="0"/>
      <w:marRight w:val="0"/>
      <w:marTop w:val="0"/>
      <w:marBottom w:val="0"/>
      <w:divBdr>
        <w:top w:val="none" w:sz="0" w:space="0" w:color="auto"/>
        <w:left w:val="none" w:sz="0" w:space="0" w:color="auto"/>
        <w:bottom w:val="none" w:sz="0" w:space="0" w:color="auto"/>
        <w:right w:val="none" w:sz="0" w:space="0" w:color="auto"/>
      </w:divBdr>
      <w:divsChild>
        <w:div w:id="789667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844675">
      <w:bodyDiv w:val="1"/>
      <w:marLeft w:val="0"/>
      <w:marRight w:val="0"/>
      <w:marTop w:val="0"/>
      <w:marBottom w:val="0"/>
      <w:divBdr>
        <w:top w:val="none" w:sz="0" w:space="0" w:color="auto"/>
        <w:left w:val="none" w:sz="0" w:space="0" w:color="auto"/>
        <w:bottom w:val="none" w:sz="0" w:space="0" w:color="auto"/>
        <w:right w:val="none" w:sz="0" w:space="0" w:color="auto"/>
      </w:divBdr>
    </w:div>
    <w:div w:id="905337608">
      <w:bodyDiv w:val="1"/>
      <w:marLeft w:val="0"/>
      <w:marRight w:val="0"/>
      <w:marTop w:val="0"/>
      <w:marBottom w:val="0"/>
      <w:divBdr>
        <w:top w:val="none" w:sz="0" w:space="0" w:color="auto"/>
        <w:left w:val="none" w:sz="0" w:space="0" w:color="auto"/>
        <w:bottom w:val="none" w:sz="0" w:space="0" w:color="auto"/>
        <w:right w:val="none" w:sz="0" w:space="0" w:color="auto"/>
      </w:divBdr>
    </w:div>
    <w:div w:id="1044717748">
      <w:bodyDiv w:val="1"/>
      <w:marLeft w:val="0"/>
      <w:marRight w:val="0"/>
      <w:marTop w:val="0"/>
      <w:marBottom w:val="0"/>
      <w:divBdr>
        <w:top w:val="none" w:sz="0" w:space="0" w:color="auto"/>
        <w:left w:val="none" w:sz="0" w:space="0" w:color="auto"/>
        <w:bottom w:val="none" w:sz="0" w:space="0" w:color="auto"/>
        <w:right w:val="none" w:sz="0" w:space="0" w:color="auto"/>
      </w:divBdr>
    </w:div>
    <w:div w:id="1075975791">
      <w:bodyDiv w:val="1"/>
      <w:marLeft w:val="0"/>
      <w:marRight w:val="0"/>
      <w:marTop w:val="0"/>
      <w:marBottom w:val="0"/>
      <w:divBdr>
        <w:top w:val="none" w:sz="0" w:space="0" w:color="auto"/>
        <w:left w:val="none" w:sz="0" w:space="0" w:color="auto"/>
        <w:bottom w:val="none" w:sz="0" w:space="0" w:color="auto"/>
        <w:right w:val="none" w:sz="0" w:space="0" w:color="auto"/>
      </w:divBdr>
    </w:div>
    <w:div w:id="1147165643">
      <w:bodyDiv w:val="1"/>
      <w:marLeft w:val="0"/>
      <w:marRight w:val="0"/>
      <w:marTop w:val="0"/>
      <w:marBottom w:val="0"/>
      <w:divBdr>
        <w:top w:val="none" w:sz="0" w:space="0" w:color="auto"/>
        <w:left w:val="none" w:sz="0" w:space="0" w:color="auto"/>
        <w:bottom w:val="none" w:sz="0" w:space="0" w:color="auto"/>
        <w:right w:val="none" w:sz="0" w:space="0" w:color="auto"/>
      </w:divBdr>
    </w:div>
    <w:div w:id="1150705378">
      <w:bodyDiv w:val="1"/>
      <w:marLeft w:val="0"/>
      <w:marRight w:val="0"/>
      <w:marTop w:val="0"/>
      <w:marBottom w:val="0"/>
      <w:divBdr>
        <w:top w:val="none" w:sz="0" w:space="0" w:color="auto"/>
        <w:left w:val="none" w:sz="0" w:space="0" w:color="auto"/>
        <w:bottom w:val="none" w:sz="0" w:space="0" w:color="auto"/>
        <w:right w:val="none" w:sz="0" w:space="0" w:color="auto"/>
      </w:divBdr>
    </w:div>
    <w:div w:id="1267351435">
      <w:bodyDiv w:val="1"/>
      <w:marLeft w:val="0"/>
      <w:marRight w:val="0"/>
      <w:marTop w:val="0"/>
      <w:marBottom w:val="0"/>
      <w:divBdr>
        <w:top w:val="none" w:sz="0" w:space="0" w:color="auto"/>
        <w:left w:val="none" w:sz="0" w:space="0" w:color="auto"/>
        <w:bottom w:val="none" w:sz="0" w:space="0" w:color="auto"/>
        <w:right w:val="none" w:sz="0" w:space="0" w:color="auto"/>
      </w:divBdr>
    </w:div>
    <w:div w:id="1284993227">
      <w:bodyDiv w:val="1"/>
      <w:marLeft w:val="0"/>
      <w:marRight w:val="0"/>
      <w:marTop w:val="0"/>
      <w:marBottom w:val="0"/>
      <w:divBdr>
        <w:top w:val="none" w:sz="0" w:space="0" w:color="auto"/>
        <w:left w:val="none" w:sz="0" w:space="0" w:color="auto"/>
        <w:bottom w:val="none" w:sz="0" w:space="0" w:color="auto"/>
        <w:right w:val="none" w:sz="0" w:space="0" w:color="auto"/>
      </w:divBdr>
    </w:div>
    <w:div w:id="1445341314">
      <w:bodyDiv w:val="1"/>
      <w:marLeft w:val="0"/>
      <w:marRight w:val="0"/>
      <w:marTop w:val="0"/>
      <w:marBottom w:val="0"/>
      <w:divBdr>
        <w:top w:val="none" w:sz="0" w:space="0" w:color="auto"/>
        <w:left w:val="none" w:sz="0" w:space="0" w:color="auto"/>
        <w:bottom w:val="none" w:sz="0" w:space="0" w:color="auto"/>
        <w:right w:val="none" w:sz="0" w:space="0" w:color="auto"/>
      </w:divBdr>
    </w:div>
    <w:div w:id="1479491834">
      <w:bodyDiv w:val="1"/>
      <w:marLeft w:val="0"/>
      <w:marRight w:val="0"/>
      <w:marTop w:val="0"/>
      <w:marBottom w:val="0"/>
      <w:divBdr>
        <w:top w:val="none" w:sz="0" w:space="0" w:color="auto"/>
        <w:left w:val="none" w:sz="0" w:space="0" w:color="auto"/>
        <w:bottom w:val="none" w:sz="0" w:space="0" w:color="auto"/>
        <w:right w:val="none" w:sz="0" w:space="0" w:color="auto"/>
      </w:divBdr>
    </w:div>
    <w:div w:id="1671442260">
      <w:bodyDiv w:val="1"/>
      <w:marLeft w:val="0"/>
      <w:marRight w:val="0"/>
      <w:marTop w:val="0"/>
      <w:marBottom w:val="0"/>
      <w:divBdr>
        <w:top w:val="none" w:sz="0" w:space="0" w:color="auto"/>
        <w:left w:val="none" w:sz="0" w:space="0" w:color="auto"/>
        <w:bottom w:val="none" w:sz="0" w:space="0" w:color="auto"/>
        <w:right w:val="none" w:sz="0" w:space="0" w:color="auto"/>
      </w:divBdr>
    </w:div>
    <w:div w:id="1816484240">
      <w:bodyDiv w:val="1"/>
      <w:marLeft w:val="0"/>
      <w:marRight w:val="0"/>
      <w:marTop w:val="0"/>
      <w:marBottom w:val="0"/>
      <w:divBdr>
        <w:top w:val="none" w:sz="0" w:space="0" w:color="auto"/>
        <w:left w:val="none" w:sz="0" w:space="0" w:color="auto"/>
        <w:bottom w:val="none" w:sz="0" w:space="0" w:color="auto"/>
        <w:right w:val="none" w:sz="0" w:space="0" w:color="auto"/>
      </w:divBdr>
    </w:div>
    <w:div w:id="1851069066">
      <w:bodyDiv w:val="1"/>
      <w:marLeft w:val="0"/>
      <w:marRight w:val="0"/>
      <w:marTop w:val="0"/>
      <w:marBottom w:val="0"/>
      <w:divBdr>
        <w:top w:val="none" w:sz="0" w:space="0" w:color="auto"/>
        <w:left w:val="none" w:sz="0" w:space="0" w:color="auto"/>
        <w:bottom w:val="none" w:sz="0" w:space="0" w:color="auto"/>
        <w:right w:val="none" w:sz="0" w:space="0" w:color="auto"/>
      </w:divBdr>
    </w:div>
    <w:div w:id="1943024884">
      <w:bodyDiv w:val="1"/>
      <w:marLeft w:val="0"/>
      <w:marRight w:val="0"/>
      <w:marTop w:val="0"/>
      <w:marBottom w:val="0"/>
      <w:divBdr>
        <w:top w:val="none" w:sz="0" w:space="0" w:color="auto"/>
        <w:left w:val="none" w:sz="0" w:space="0" w:color="auto"/>
        <w:bottom w:val="none" w:sz="0" w:space="0" w:color="auto"/>
        <w:right w:val="none" w:sz="0" w:space="0" w:color="auto"/>
      </w:divBdr>
    </w:div>
    <w:div w:id="196060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hart" Target="charts/chart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austreasury.sharepoint.com/sites/CGC-2025Review/Shared%20Documents/Assessments/Category%20assessments/610%20Justice/U26%20Justice%20review%20work/SDC%20relationship%20testing%20for%20U26/Average%20of%202022-23%20and%202023-24%20offender%20SES%20-%20U2"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IQ\Downloads\Prisons%20graphs%20and%20tables%20-%20Copy\graphing_1.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IQ\Downloads\Prisons%20graphs%20and%20tables%20-%20Copy\graphing_2.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austreasury.sharepoint.com/sites/CGC-2025Review/Shared%20Documents/Assessments/Category%20assessments/610%20Justice/U26%20Justice%20review%20work/U26%20prisons%20gradient%20comparison.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'[Average of 2022-23 and 2023-24 offender SES - U26 justice assessment.xlsx]SES'!$D$737</c:f>
              <c:strCache>
                <c:ptCount val="1"/>
                <c:pt idx="0">
                  <c:v>Most disadvantaged</c:v>
                </c:pt>
              </c:strCache>
            </c:strRef>
          </c:tx>
          <c:spPr>
            <a:solidFill>
              <a:schemeClr val="accent1"/>
            </a:solidFill>
            <a:ln>
              <a:noFill/>
            </a:ln>
            <a:effectLst/>
          </c:spPr>
          <c:invertIfNegative val="0"/>
          <c:dPt>
            <c:idx val="0"/>
            <c:invertIfNegative val="0"/>
            <c:bubble3D val="0"/>
            <c:spPr>
              <a:solidFill>
                <a:srgbClr val="006991"/>
              </a:solidFill>
              <a:ln>
                <a:solidFill>
                  <a:srgbClr val="006991"/>
                </a:solidFill>
              </a:ln>
              <a:effectLst/>
            </c:spPr>
            <c:extLst>
              <c:ext xmlns:c16="http://schemas.microsoft.com/office/drawing/2014/chart" uri="{C3380CC4-5D6E-409C-BE32-E72D297353CC}">
                <c16:uniqueId val="{00000001-4F1E-4DE9-899F-F83386DAACEC}"/>
              </c:ext>
            </c:extLst>
          </c:dPt>
          <c:dPt>
            <c:idx val="1"/>
            <c:invertIfNegative val="0"/>
            <c:bubble3D val="0"/>
            <c:spPr>
              <a:solidFill>
                <a:srgbClr val="006991"/>
              </a:solidFill>
              <a:ln>
                <a:solidFill>
                  <a:srgbClr val="006991"/>
                </a:solidFill>
              </a:ln>
              <a:effectLst/>
            </c:spPr>
            <c:extLst>
              <c:ext xmlns:c16="http://schemas.microsoft.com/office/drawing/2014/chart" uri="{C3380CC4-5D6E-409C-BE32-E72D297353CC}">
                <c16:uniqueId val="{00000003-4F1E-4DE9-899F-F83386DAACEC}"/>
              </c:ext>
            </c:extLst>
          </c:dPt>
          <c:cat>
            <c:strRef>
              <c:f>'[Average of 2022-23 and 2023-24 offender SES - U26 justice assessment.xlsx]SES'!$C$738:$C$739</c:f>
              <c:strCache>
                <c:ptCount val="2"/>
                <c:pt idx="0">
                  <c:v>First Nations</c:v>
                </c:pt>
                <c:pt idx="1">
                  <c:v>Non-Indigenous</c:v>
                </c:pt>
              </c:strCache>
            </c:strRef>
          </c:cat>
          <c:val>
            <c:numRef>
              <c:f>'[Average of 2022-23 and 2023-24 offender SES - U26 justice assessment.xlsx]SES'!$D$738:$D$739</c:f>
              <c:numCache>
                <c:formatCode>0</c:formatCode>
                <c:ptCount val="2"/>
                <c:pt idx="0">
                  <c:v>222.72956901927205</c:v>
                </c:pt>
                <c:pt idx="1">
                  <c:v>30.365724008661836</c:v>
                </c:pt>
              </c:numCache>
            </c:numRef>
          </c:val>
          <c:extLst>
            <c:ext xmlns:c16="http://schemas.microsoft.com/office/drawing/2014/chart" uri="{C3380CC4-5D6E-409C-BE32-E72D297353CC}">
              <c16:uniqueId val="{00000004-4F1E-4DE9-899F-F83386DAACEC}"/>
            </c:ext>
          </c:extLst>
        </c:ser>
        <c:ser>
          <c:idx val="1"/>
          <c:order val="1"/>
          <c:tx>
            <c:strRef>
              <c:f>'[Average of 2022-23 and 2023-24 offender SES - U26 justice assessment.xlsx]SES'!$E$737</c:f>
              <c:strCache>
                <c:ptCount val="1"/>
                <c:pt idx="0">
                  <c:v>2nd most disadvantaged</c:v>
                </c:pt>
              </c:strCache>
            </c:strRef>
          </c:tx>
          <c:spPr>
            <a:solidFill>
              <a:srgbClr val="0092C8"/>
            </a:solidFill>
            <a:ln>
              <a:solidFill>
                <a:srgbClr val="0092C8"/>
              </a:solidFill>
            </a:ln>
            <a:effectLst/>
          </c:spPr>
          <c:invertIfNegative val="0"/>
          <c:cat>
            <c:strRef>
              <c:f>'[Average of 2022-23 and 2023-24 offender SES - U26 justice assessment.xlsx]SES'!$C$738:$C$739</c:f>
              <c:strCache>
                <c:ptCount val="2"/>
                <c:pt idx="0">
                  <c:v>First Nations</c:v>
                </c:pt>
                <c:pt idx="1">
                  <c:v>Non-Indigenous</c:v>
                </c:pt>
              </c:strCache>
            </c:strRef>
          </c:cat>
          <c:val>
            <c:numRef>
              <c:f>'[Average of 2022-23 and 2023-24 offender SES - U26 justice assessment.xlsx]SES'!$E$738:$E$739</c:f>
              <c:numCache>
                <c:formatCode>0</c:formatCode>
                <c:ptCount val="2"/>
                <c:pt idx="0">
                  <c:v>188.32967615742726</c:v>
                </c:pt>
                <c:pt idx="1">
                  <c:v>19.497582904969448</c:v>
                </c:pt>
              </c:numCache>
            </c:numRef>
          </c:val>
          <c:extLst>
            <c:ext xmlns:c16="http://schemas.microsoft.com/office/drawing/2014/chart" uri="{C3380CC4-5D6E-409C-BE32-E72D297353CC}">
              <c16:uniqueId val="{00000005-4F1E-4DE9-899F-F83386DAACEC}"/>
            </c:ext>
          </c:extLst>
        </c:ser>
        <c:ser>
          <c:idx val="2"/>
          <c:order val="2"/>
          <c:tx>
            <c:strRef>
              <c:f>'[Average of 2022-23 and 2023-24 offender SES - U26 justice assessment.xlsx]SES'!$F$737</c:f>
              <c:strCache>
                <c:ptCount val="1"/>
                <c:pt idx="0">
                  <c:v>Middle quintile</c:v>
                </c:pt>
              </c:strCache>
            </c:strRef>
          </c:tx>
          <c:spPr>
            <a:solidFill>
              <a:srgbClr val="60B5D7"/>
            </a:solidFill>
            <a:ln>
              <a:solidFill>
                <a:srgbClr val="60B5D7"/>
              </a:solidFill>
            </a:ln>
            <a:effectLst/>
          </c:spPr>
          <c:invertIfNegative val="0"/>
          <c:cat>
            <c:strRef>
              <c:f>'[Average of 2022-23 and 2023-24 offender SES - U26 justice assessment.xlsx]SES'!$C$738:$C$739</c:f>
              <c:strCache>
                <c:ptCount val="2"/>
                <c:pt idx="0">
                  <c:v>First Nations</c:v>
                </c:pt>
                <c:pt idx="1">
                  <c:v>Non-Indigenous</c:v>
                </c:pt>
              </c:strCache>
            </c:strRef>
          </c:cat>
          <c:val>
            <c:numRef>
              <c:f>'[Average of 2022-23 and 2023-24 offender SES - U26 justice assessment.xlsx]SES'!$F$738:$F$739</c:f>
              <c:numCache>
                <c:formatCode>0</c:formatCode>
                <c:ptCount val="2"/>
                <c:pt idx="0">
                  <c:v>180.38141253278883</c:v>
                </c:pt>
                <c:pt idx="1">
                  <c:v>11.864243294229798</c:v>
                </c:pt>
              </c:numCache>
            </c:numRef>
          </c:val>
          <c:extLst>
            <c:ext xmlns:c16="http://schemas.microsoft.com/office/drawing/2014/chart" uri="{C3380CC4-5D6E-409C-BE32-E72D297353CC}">
              <c16:uniqueId val="{00000006-4F1E-4DE9-899F-F83386DAACEC}"/>
            </c:ext>
          </c:extLst>
        </c:ser>
        <c:ser>
          <c:idx val="3"/>
          <c:order val="3"/>
          <c:tx>
            <c:strRef>
              <c:f>'[Average of 2022-23 and 2023-24 offender SES - U26 justice assessment.xlsx]SES'!$G$737</c:f>
              <c:strCache>
                <c:ptCount val="1"/>
                <c:pt idx="0">
                  <c:v>2nd least disadvantaged</c:v>
                </c:pt>
              </c:strCache>
            </c:strRef>
          </c:tx>
          <c:spPr>
            <a:solidFill>
              <a:srgbClr val="ADD6EA"/>
            </a:solidFill>
            <a:ln>
              <a:solidFill>
                <a:srgbClr val="ADD6EA"/>
              </a:solidFill>
            </a:ln>
            <a:effectLst/>
          </c:spPr>
          <c:invertIfNegative val="0"/>
          <c:cat>
            <c:strRef>
              <c:f>'[Average of 2022-23 and 2023-24 offender SES - U26 justice assessment.xlsx]SES'!$C$738:$C$739</c:f>
              <c:strCache>
                <c:ptCount val="2"/>
                <c:pt idx="0">
                  <c:v>First Nations</c:v>
                </c:pt>
                <c:pt idx="1">
                  <c:v>Non-Indigenous</c:v>
                </c:pt>
              </c:strCache>
            </c:strRef>
          </c:cat>
          <c:val>
            <c:numRef>
              <c:f>'[Average of 2022-23 and 2023-24 offender SES - U26 justice assessment.xlsx]SES'!$G$738:$G$739</c:f>
              <c:numCache>
                <c:formatCode>0</c:formatCode>
                <c:ptCount val="2"/>
                <c:pt idx="0">
                  <c:v>178.22137204876884</c:v>
                </c:pt>
                <c:pt idx="1">
                  <c:v>10.29880428193119</c:v>
                </c:pt>
              </c:numCache>
            </c:numRef>
          </c:val>
          <c:extLst>
            <c:ext xmlns:c16="http://schemas.microsoft.com/office/drawing/2014/chart" uri="{C3380CC4-5D6E-409C-BE32-E72D297353CC}">
              <c16:uniqueId val="{00000007-4F1E-4DE9-899F-F83386DAACEC}"/>
            </c:ext>
          </c:extLst>
        </c:ser>
        <c:ser>
          <c:idx val="4"/>
          <c:order val="4"/>
          <c:tx>
            <c:strRef>
              <c:f>'[Average of 2022-23 and 2023-24 offender SES - U26 justice assessment.xlsx]SES'!$H$737</c:f>
              <c:strCache>
                <c:ptCount val="1"/>
                <c:pt idx="0">
                  <c:v>Least disadvantaged</c:v>
                </c:pt>
              </c:strCache>
            </c:strRef>
          </c:tx>
          <c:spPr>
            <a:solidFill>
              <a:srgbClr val="EBF3F5"/>
            </a:solidFill>
            <a:ln>
              <a:solidFill>
                <a:srgbClr val="EBF3F5"/>
              </a:solidFill>
            </a:ln>
            <a:effectLst/>
          </c:spPr>
          <c:invertIfNegative val="0"/>
          <c:cat>
            <c:strRef>
              <c:f>'[Average of 2022-23 and 2023-24 offender SES - U26 justice assessment.xlsx]SES'!$C$738:$C$739</c:f>
              <c:strCache>
                <c:ptCount val="2"/>
                <c:pt idx="0">
                  <c:v>First Nations</c:v>
                </c:pt>
                <c:pt idx="1">
                  <c:v>Non-Indigenous</c:v>
                </c:pt>
              </c:strCache>
            </c:strRef>
          </c:cat>
          <c:val>
            <c:numRef>
              <c:f>'[Average of 2022-23 and 2023-24 offender SES - U26 justice assessment.xlsx]SES'!$H$738:$H$739</c:f>
              <c:numCache>
                <c:formatCode>0</c:formatCode>
                <c:ptCount val="2"/>
                <c:pt idx="0">
                  <c:v>148.12506715135461</c:v>
                </c:pt>
                <c:pt idx="1">
                  <c:v>9.2669377179803636</c:v>
                </c:pt>
              </c:numCache>
            </c:numRef>
          </c:val>
          <c:extLst>
            <c:ext xmlns:c16="http://schemas.microsoft.com/office/drawing/2014/chart" uri="{C3380CC4-5D6E-409C-BE32-E72D297353CC}">
              <c16:uniqueId val="{00000008-4F1E-4DE9-899F-F83386DAACEC}"/>
            </c:ext>
          </c:extLst>
        </c:ser>
        <c:dLbls>
          <c:showLegendKey val="0"/>
          <c:showVal val="0"/>
          <c:showCatName val="0"/>
          <c:showSerName val="0"/>
          <c:showPercent val="0"/>
          <c:showBubbleSize val="0"/>
        </c:dLbls>
        <c:gapWidth val="150"/>
        <c:axId val="676342144"/>
        <c:axId val="1901570640"/>
      </c:barChart>
      <c:catAx>
        <c:axId val="67634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crossAx val="1901570640"/>
        <c:crosses val="autoZero"/>
        <c:auto val="1"/>
        <c:lblAlgn val="ctr"/>
        <c:lblOffset val="100"/>
        <c:noMultiLvlLbl val="0"/>
      </c:catAx>
      <c:valAx>
        <c:axId val="1901570640"/>
        <c:scaling>
          <c:orientation val="minMax"/>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Work Sans" pitchFamily="2" charset="0"/>
                    <a:ea typeface="+mn-ea"/>
                    <a:cs typeface="+mn-cs"/>
                  </a:defRPr>
                </a:pPr>
                <a:r>
                  <a:rPr lang="en-AU" sz="800" b="1">
                    <a:solidFill>
                      <a:sysClr val="windowText" lastClr="000000"/>
                    </a:solidFill>
                  </a:rPr>
                  <a:t>Offenders per 1,000 persons</a:t>
                </a:r>
              </a:p>
            </c:rich>
          </c:tx>
          <c:layout>
            <c:manualLayout>
              <c:xMode val="edge"/>
              <c:yMode val="edge"/>
              <c:x val="1.9116416804116434E-2"/>
              <c:y val="0.27520483540209456"/>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Work Sans" pitchFamily="2"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crossAx val="676342144"/>
        <c:crosses val="autoZero"/>
        <c:crossBetween val="between"/>
      </c:valAx>
      <c:spPr>
        <a:noFill/>
        <a:ln>
          <a:noFill/>
        </a:ln>
        <a:effectLst/>
      </c:spPr>
    </c:plotArea>
    <c:legend>
      <c:legendPos val="b"/>
      <c:layout>
        <c:manualLayout>
          <c:xMode val="edge"/>
          <c:yMode val="edge"/>
          <c:x val="0.16598217741172078"/>
          <c:y val="0.89585323624568991"/>
          <c:w val="0.71688854309489269"/>
          <c:h val="8.6334947694737263E-2"/>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ADD6EA"/>
      </a:solidFill>
      <a:round/>
    </a:ln>
    <a:effectLst/>
  </c:spPr>
  <c:txPr>
    <a:bodyPr/>
    <a:lstStyle/>
    <a:p>
      <a:pPr>
        <a:defRPr>
          <a:latin typeface="Work Sans" pitchFamily="2"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SES!$C$742</c:f>
              <c:strCache>
                <c:ptCount val="1"/>
                <c:pt idx="0">
                  <c:v>Most disadvantaged</c:v>
                </c:pt>
              </c:strCache>
            </c:strRef>
          </c:tx>
          <c:spPr>
            <a:solidFill>
              <a:srgbClr val="006991"/>
            </a:solidFill>
            <a:ln>
              <a:solidFill>
                <a:srgbClr val="006991"/>
              </a:solidFill>
            </a:ln>
            <a:effectLst/>
          </c:spPr>
          <c:invertIfNegative val="0"/>
          <c:cat>
            <c:strRef>
              <c:f>SES!$B$743:$B$744</c:f>
              <c:strCache>
                <c:ptCount val="2"/>
                <c:pt idx="0">
                  <c:v>First Nations</c:v>
                </c:pt>
                <c:pt idx="1">
                  <c:v>Non-Indigenous</c:v>
                </c:pt>
              </c:strCache>
            </c:strRef>
          </c:cat>
          <c:val>
            <c:numRef>
              <c:f>SES!$C$743:$C$744</c:f>
              <c:numCache>
                <c:formatCode>0</c:formatCode>
                <c:ptCount val="2"/>
                <c:pt idx="0">
                  <c:v>182.37084014888779</c:v>
                </c:pt>
                <c:pt idx="1">
                  <c:v>27.224511062762883</c:v>
                </c:pt>
              </c:numCache>
            </c:numRef>
          </c:val>
          <c:extLst>
            <c:ext xmlns:c16="http://schemas.microsoft.com/office/drawing/2014/chart" uri="{C3380CC4-5D6E-409C-BE32-E72D297353CC}">
              <c16:uniqueId val="{00000000-D926-4425-BBB4-21BB4AD2DDD3}"/>
            </c:ext>
          </c:extLst>
        </c:ser>
        <c:ser>
          <c:idx val="1"/>
          <c:order val="1"/>
          <c:tx>
            <c:strRef>
              <c:f>SES!$D$742</c:f>
              <c:strCache>
                <c:ptCount val="1"/>
                <c:pt idx="0">
                  <c:v>2nd most disadvantaged</c:v>
                </c:pt>
              </c:strCache>
            </c:strRef>
          </c:tx>
          <c:spPr>
            <a:solidFill>
              <a:srgbClr val="0092CB"/>
            </a:solidFill>
            <a:ln>
              <a:solidFill>
                <a:srgbClr val="0092CB"/>
              </a:solidFill>
            </a:ln>
            <a:effectLst/>
          </c:spPr>
          <c:invertIfNegative val="0"/>
          <c:cat>
            <c:strRef>
              <c:f>SES!$B$743:$B$744</c:f>
              <c:strCache>
                <c:ptCount val="2"/>
                <c:pt idx="0">
                  <c:v>First Nations</c:v>
                </c:pt>
                <c:pt idx="1">
                  <c:v>Non-Indigenous</c:v>
                </c:pt>
              </c:strCache>
            </c:strRef>
          </c:cat>
          <c:val>
            <c:numRef>
              <c:f>SES!$D$743:$D$744</c:f>
              <c:numCache>
                <c:formatCode>0</c:formatCode>
                <c:ptCount val="2"/>
                <c:pt idx="0">
                  <c:v>155.18601932478816</c:v>
                </c:pt>
                <c:pt idx="1">
                  <c:v>18.040203890423236</c:v>
                </c:pt>
              </c:numCache>
            </c:numRef>
          </c:val>
          <c:extLst>
            <c:ext xmlns:c16="http://schemas.microsoft.com/office/drawing/2014/chart" uri="{C3380CC4-5D6E-409C-BE32-E72D297353CC}">
              <c16:uniqueId val="{00000001-D926-4425-BBB4-21BB4AD2DDD3}"/>
            </c:ext>
          </c:extLst>
        </c:ser>
        <c:ser>
          <c:idx val="2"/>
          <c:order val="2"/>
          <c:tx>
            <c:strRef>
              <c:f>SES!$E$742</c:f>
              <c:strCache>
                <c:ptCount val="1"/>
                <c:pt idx="0">
                  <c:v>Middle quintile</c:v>
                </c:pt>
              </c:strCache>
            </c:strRef>
          </c:tx>
          <c:spPr>
            <a:solidFill>
              <a:srgbClr val="60B5D7"/>
            </a:solidFill>
            <a:ln>
              <a:solidFill>
                <a:srgbClr val="60B5D7"/>
              </a:solidFill>
            </a:ln>
            <a:effectLst/>
          </c:spPr>
          <c:invertIfNegative val="0"/>
          <c:cat>
            <c:strRef>
              <c:f>SES!$B$743:$B$744</c:f>
              <c:strCache>
                <c:ptCount val="2"/>
                <c:pt idx="0">
                  <c:v>First Nations</c:v>
                </c:pt>
                <c:pt idx="1">
                  <c:v>Non-Indigenous</c:v>
                </c:pt>
              </c:strCache>
            </c:strRef>
          </c:cat>
          <c:val>
            <c:numRef>
              <c:f>SES!$E$743:$E$744</c:f>
              <c:numCache>
                <c:formatCode>0</c:formatCode>
                <c:ptCount val="2"/>
                <c:pt idx="0">
                  <c:v>135.18765503531893</c:v>
                </c:pt>
                <c:pt idx="1">
                  <c:v>12.409462233659948</c:v>
                </c:pt>
              </c:numCache>
            </c:numRef>
          </c:val>
          <c:extLst>
            <c:ext xmlns:c16="http://schemas.microsoft.com/office/drawing/2014/chart" uri="{C3380CC4-5D6E-409C-BE32-E72D297353CC}">
              <c16:uniqueId val="{00000002-D926-4425-BBB4-21BB4AD2DDD3}"/>
            </c:ext>
          </c:extLst>
        </c:ser>
        <c:ser>
          <c:idx val="3"/>
          <c:order val="3"/>
          <c:tx>
            <c:strRef>
              <c:f>SES!$F$742</c:f>
              <c:strCache>
                <c:ptCount val="1"/>
                <c:pt idx="0">
                  <c:v>2nd least disadvantaged</c:v>
                </c:pt>
              </c:strCache>
            </c:strRef>
          </c:tx>
          <c:spPr>
            <a:solidFill>
              <a:srgbClr val="ADD6EA"/>
            </a:solidFill>
            <a:ln>
              <a:solidFill>
                <a:srgbClr val="ADD6EA"/>
              </a:solidFill>
            </a:ln>
            <a:effectLst/>
          </c:spPr>
          <c:invertIfNegative val="0"/>
          <c:cat>
            <c:strRef>
              <c:f>SES!$B$743:$B$744</c:f>
              <c:strCache>
                <c:ptCount val="2"/>
                <c:pt idx="0">
                  <c:v>First Nations</c:v>
                </c:pt>
                <c:pt idx="1">
                  <c:v>Non-Indigenous</c:v>
                </c:pt>
              </c:strCache>
            </c:strRef>
          </c:cat>
          <c:val>
            <c:numRef>
              <c:f>SES!$F$743:$F$744</c:f>
              <c:numCache>
                <c:formatCode>0</c:formatCode>
                <c:ptCount val="2"/>
                <c:pt idx="0">
                  <c:v>124.44468074735661</c:v>
                </c:pt>
                <c:pt idx="1">
                  <c:v>10.300897376600894</c:v>
                </c:pt>
              </c:numCache>
            </c:numRef>
          </c:val>
          <c:extLst>
            <c:ext xmlns:c16="http://schemas.microsoft.com/office/drawing/2014/chart" uri="{C3380CC4-5D6E-409C-BE32-E72D297353CC}">
              <c16:uniqueId val="{00000003-D926-4425-BBB4-21BB4AD2DDD3}"/>
            </c:ext>
          </c:extLst>
        </c:ser>
        <c:ser>
          <c:idx val="4"/>
          <c:order val="4"/>
          <c:tx>
            <c:strRef>
              <c:f>SES!$G$742</c:f>
              <c:strCache>
                <c:ptCount val="1"/>
                <c:pt idx="0">
                  <c:v>Least disadvantaged</c:v>
                </c:pt>
              </c:strCache>
            </c:strRef>
          </c:tx>
          <c:spPr>
            <a:solidFill>
              <a:srgbClr val="EBF3F5"/>
            </a:solidFill>
            <a:ln>
              <a:solidFill>
                <a:srgbClr val="EBF3F5"/>
              </a:solidFill>
            </a:ln>
            <a:effectLst/>
          </c:spPr>
          <c:invertIfNegative val="0"/>
          <c:cat>
            <c:strRef>
              <c:f>SES!$B$743:$B$744</c:f>
              <c:strCache>
                <c:ptCount val="2"/>
                <c:pt idx="0">
                  <c:v>First Nations</c:v>
                </c:pt>
                <c:pt idx="1">
                  <c:v>Non-Indigenous</c:v>
                </c:pt>
              </c:strCache>
            </c:strRef>
          </c:cat>
          <c:val>
            <c:numRef>
              <c:f>SES!$G$743:$G$744</c:f>
              <c:numCache>
                <c:formatCode>0</c:formatCode>
                <c:ptCount val="2"/>
                <c:pt idx="0">
                  <c:v>110.08591963377329</c:v>
                </c:pt>
                <c:pt idx="1">
                  <c:v>8.7714273375302838</c:v>
                </c:pt>
              </c:numCache>
            </c:numRef>
          </c:val>
          <c:extLst>
            <c:ext xmlns:c16="http://schemas.microsoft.com/office/drawing/2014/chart" uri="{C3380CC4-5D6E-409C-BE32-E72D297353CC}">
              <c16:uniqueId val="{00000004-D926-4425-BBB4-21BB4AD2DDD3}"/>
            </c:ext>
          </c:extLst>
        </c:ser>
        <c:dLbls>
          <c:showLegendKey val="0"/>
          <c:showVal val="0"/>
          <c:showCatName val="0"/>
          <c:showSerName val="0"/>
          <c:showPercent val="0"/>
          <c:showBubbleSize val="0"/>
        </c:dLbls>
        <c:gapWidth val="150"/>
        <c:axId val="1946827199"/>
        <c:axId val="1454770463"/>
      </c:barChart>
      <c:catAx>
        <c:axId val="1946827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crossAx val="1454770463"/>
        <c:crosses val="autoZero"/>
        <c:auto val="1"/>
        <c:lblAlgn val="ctr"/>
        <c:lblOffset val="100"/>
        <c:noMultiLvlLbl val="0"/>
      </c:catAx>
      <c:valAx>
        <c:axId val="1454770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Work Sans" pitchFamily="2" charset="0"/>
                    <a:ea typeface="+mn-ea"/>
                    <a:cs typeface="+mn-cs"/>
                  </a:defRPr>
                </a:pPr>
                <a:r>
                  <a:rPr lang="en-AU" sz="800" b="1">
                    <a:solidFill>
                      <a:sysClr val="windowText" lastClr="000000"/>
                    </a:solidFill>
                    <a:latin typeface="Work Sans" pitchFamily="2" charset="0"/>
                  </a:rPr>
                  <a:t>Defendants per 1,000 persons</a:t>
                </a:r>
              </a:p>
            </c:rich>
          </c:tx>
          <c:layout>
            <c:manualLayout>
              <c:xMode val="edge"/>
              <c:yMode val="edge"/>
              <c:x val="2.5084167527045832E-2"/>
              <c:y val="0.24318183507881244"/>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Work Sans" pitchFamily="2"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crossAx val="1946827199"/>
        <c:crosses val="autoZero"/>
        <c:crossBetween val="between"/>
      </c:valAx>
      <c:spPr>
        <a:noFill/>
        <a:ln>
          <a:noFill/>
        </a:ln>
        <a:effectLst/>
      </c:spPr>
    </c:plotArea>
    <c:legend>
      <c:legendPos val="b"/>
      <c:layout>
        <c:manualLayout>
          <c:xMode val="edge"/>
          <c:yMode val="edge"/>
          <c:x val="0.14139799110531084"/>
          <c:y val="0.87249948291404922"/>
          <c:w val="0.7536898146069938"/>
          <c:h val="0.1193899297616927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ADD6EA"/>
      </a:solidFill>
      <a:round/>
    </a:ln>
    <a:effectLst/>
  </c:spPr>
  <c:txPr>
    <a:bodyPr/>
    <a:lstStyle/>
    <a:p>
      <a:pPr algn="just">
        <a:defRPr>
          <a:latin typeface="Work Sans" pitchFamily="2"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69023237672125"/>
          <c:y val="4.8502402992128796E-2"/>
          <c:w val="0.86115644781257716"/>
          <c:h val="0.75186898576888017"/>
        </c:manualLayout>
      </c:layout>
      <c:barChart>
        <c:barDir val="col"/>
        <c:grouping val="clustered"/>
        <c:varyColors val="0"/>
        <c:ser>
          <c:idx val="0"/>
          <c:order val="0"/>
          <c:tx>
            <c:strRef>
              <c:f>'[610-20 Court_regional_costs_CONFIDENTIAL .xlsx]Method'!$A$92</c:f>
              <c:strCache>
                <c:ptCount val="1"/>
                <c:pt idx="0">
                  <c:v>Major cities</c:v>
                </c:pt>
              </c:strCache>
            </c:strRef>
          </c:tx>
          <c:spPr>
            <a:solidFill>
              <a:srgbClr val="006991"/>
            </a:solidFill>
            <a:ln>
              <a:noFill/>
            </a:ln>
          </c:spPr>
          <c:invertIfNegative val="0"/>
          <c:cat>
            <c:strRef>
              <c:f>'[610-20 Court_regional_costs_CONFIDENTIAL .xlsx]Method'!$G$91:$H$91</c:f>
              <c:strCache>
                <c:ptCount val="2"/>
                <c:pt idx="0">
                  <c:v>Disaggregated remoteness</c:v>
                </c:pt>
                <c:pt idx="1">
                  <c:v>Aggregated remoteness</c:v>
                </c:pt>
              </c:strCache>
            </c:strRef>
          </c:cat>
          <c:val>
            <c:numRef>
              <c:f>'[610-20 Court_regional_costs_CONFIDENTIAL .xlsx]Method'!$G$92:$H$92</c:f>
              <c:numCache>
                <c:formatCode>0</c:formatCode>
                <c:ptCount val="2"/>
                <c:pt idx="0" formatCode="#,##0">
                  <c:v>1017.6745982023724</c:v>
                </c:pt>
                <c:pt idx="1">
                  <c:v>927.34562731655967</c:v>
                </c:pt>
              </c:numCache>
            </c:numRef>
          </c:val>
          <c:extLst>
            <c:ext xmlns:c16="http://schemas.microsoft.com/office/drawing/2014/chart" uri="{C3380CC4-5D6E-409C-BE32-E72D297353CC}">
              <c16:uniqueId val="{00000000-3261-4ECE-AFC8-A300B36FD28D}"/>
            </c:ext>
          </c:extLst>
        </c:ser>
        <c:ser>
          <c:idx val="1"/>
          <c:order val="1"/>
          <c:tx>
            <c:strRef>
              <c:f>'[610-20 Court_regional_costs_CONFIDENTIAL .xlsx]Method'!$A$93</c:f>
              <c:strCache>
                <c:ptCount val="1"/>
                <c:pt idx="0">
                  <c:v>Inner regional</c:v>
                </c:pt>
              </c:strCache>
            </c:strRef>
          </c:tx>
          <c:spPr>
            <a:solidFill>
              <a:srgbClr val="0092C8"/>
            </a:solidFill>
            <a:ln>
              <a:noFill/>
            </a:ln>
          </c:spPr>
          <c:invertIfNegative val="0"/>
          <c:cat>
            <c:strRef>
              <c:f>'[610-20 Court_regional_costs_CONFIDENTIAL .xlsx]Method'!$G$91:$H$91</c:f>
              <c:strCache>
                <c:ptCount val="2"/>
                <c:pt idx="0">
                  <c:v>Disaggregated remoteness</c:v>
                </c:pt>
                <c:pt idx="1">
                  <c:v>Aggregated remoteness</c:v>
                </c:pt>
              </c:strCache>
            </c:strRef>
          </c:cat>
          <c:val>
            <c:numRef>
              <c:f>'[610-20 Court_regional_costs_CONFIDENTIAL .xlsx]Method'!$G$93:$H$93</c:f>
              <c:numCache>
                <c:formatCode>0</c:formatCode>
                <c:ptCount val="2"/>
                <c:pt idx="0" formatCode="#,##0">
                  <c:v>747.16858226528132</c:v>
                </c:pt>
                <c:pt idx="1">
                  <c:v>927.34562731655967</c:v>
                </c:pt>
              </c:numCache>
            </c:numRef>
          </c:val>
          <c:extLst>
            <c:ext xmlns:c16="http://schemas.microsoft.com/office/drawing/2014/chart" uri="{C3380CC4-5D6E-409C-BE32-E72D297353CC}">
              <c16:uniqueId val="{00000001-3261-4ECE-AFC8-A300B36FD28D}"/>
            </c:ext>
          </c:extLst>
        </c:ser>
        <c:ser>
          <c:idx val="2"/>
          <c:order val="2"/>
          <c:tx>
            <c:strRef>
              <c:f>'[610-20 Court_regional_costs_CONFIDENTIAL .xlsx]Method'!$A$94</c:f>
              <c:strCache>
                <c:ptCount val="1"/>
                <c:pt idx="0">
                  <c:v>Outer regional</c:v>
                </c:pt>
              </c:strCache>
            </c:strRef>
          </c:tx>
          <c:spPr>
            <a:solidFill>
              <a:srgbClr val="5FB5D7"/>
            </a:solidFill>
            <a:ln>
              <a:noFill/>
            </a:ln>
          </c:spPr>
          <c:invertIfNegative val="0"/>
          <c:cat>
            <c:strRef>
              <c:f>'[610-20 Court_regional_costs_CONFIDENTIAL .xlsx]Method'!$G$91:$H$91</c:f>
              <c:strCache>
                <c:ptCount val="2"/>
                <c:pt idx="0">
                  <c:v>Disaggregated remoteness</c:v>
                </c:pt>
                <c:pt idx="1">
                  <c:v>Aggregated remoteness</c:v>
                </c:pt>
              </c:strCache>
            </c:strRef>
          </c:cat>
          <c:val>
            <c:numRef>
              <c:f>'[610-20 Court_regional_costs_CONFIDENTIAL .xlsx]Method'!$G$94:$H$94</c:f>
              <c:numCache>
                <c:formatCode>0</c:formatCode>
                <c:ptCount val="2"/>
                <c:pt idx="0" formatCode="#,##0">
                  <c:v>719.30087364215512</c:v>
                </c:pt>
                <c:pt idx="1">
                  <c:v>927.34562731655967</c:v>
                </c:pt>
              </c:numCache>
            </c:numRef>
          </c:val>
          <c:extLst>
            <c:ext xmlns:c16="http://schemas.microsoft.com/office/drawing/2014/chart" uri="{C3380CC4-5D6E-409C-BE32-E72D297353CC}">
              <c16:uniqueId val="{00000002-3261-4ECE-AFC8-A300B36FD28D}"/>
            </c:ext>
          </c:extLst>
        </c:ser>
        <c:ser>
          <c:idx val="3"/>
          <c:order val="3"/>
          <c:tx>
            <c:strRef>
              <c:f>'[610-20 Court_regional_costs_CONFIDENTIAL .xlsx]Method'!$A$95</c:f>
              <c:strCache>
                <c:ptCount val="1"/>
                <c:pt idx="0">
                  <c:v>Remote</c:v>
                </c:pt>
              </c:strCache>
            </c:strRef>
          </c:tx>
          <c:spPr>
            <a:solidFill>
              <a:srgbClr val="ADD6EA"/>
            </a:solidFill>
            <a:ln>
              <a:noFill/>
            </a:ln>
          </c:spPr>
          <c:invertIfNegative val="0"/>
          <c:cat>
            <c:strRef>
              <c:f>'[610-20 Court_regional_costs_CONFIDENTIAL .xlsx]Method'!$G$91:$H$91</c:f>
              <c:strCache>
                <c:ptCount val="2"/>
                <c:pt idx="0">
                  <c:v>Disaggregated remoteness</c:v>
                </c:pt>
                <c:pt idx="1">
                  <c:v>Aggregated remoteness</c:v>
                </c:pt>
              </c:strCache>
            </c:strRef>
          </c:cat>
          <c:val>
            <c:numRef>
              <c:f>'[610-20 Court_regional_costs_CONFIDENTIAL .xlsx]Method'!$G$95:$H$95</c:f>
              <c:numCache>
                <c:formatCode>0</c:formatCode>
                <c:ptCount val="2"/>
                <c:pt idx="0" formatCode="#,##0">
                  <c:v>681.9868269339114</c:v>
                </c:pt>
                <c:pt idx="1">
                  <c:v>869.39819948263789</c:v>
                </c:pt>
              </c:numCache>
            </c:numRef>
          </c:val>
          <c:extLst>
            <c:ext xmlns:c16="http://schemas.microsoft.com/office/drawing/2014/chart" uri="{C3380CC4-5D6E-409C-BE32-E72D297353CC}">
              <c16:uniqueId val="{00000003-3261-4ECE-AFC8-A300B36FD28D}"/>
            </c:ext>
          </c:extLst>
        </c:ser>
        <c:ser>
          <c:idx val="4"/>
          <c:order val="4"/>
          <c:tx>
            <c:strRef>
              <c:f>'[610-20 Court_regional_costs_CONFIDENTIAL .xlsx]Method'!$A$96</c:f>
              <c:strCache>
                <c:ptCount val="1"/>
                <c:pt idx="0">
                  <c:v>Very remote</c:v>
                </c:pt>
              </c:strCache>
            </c:strRef>
          </c:tx>
          <c:spPr>
            <a:solidFill>
              <a:srgbClr val="D6E7F0"/>
            </a:solidFill>
            <a:ln>
              <a:noFill/>
            </a:ln>
          </c:spPr>
          <c:invertIfNegative val="0"/>
          <c:cat>
            <c:strRef>
              <c:f>'[610-20 Court_regional_costs_CONFIDENTIAL .xlsx]Method'!$G$91:$H$91</c:f>
              <c:strCache>
                <c:ptCount val="2"/>
                <c:pt idx="0">
                  <c:v>Disaggregated remoteness</c:v>
                </c:pt>
                <c:pt idx="1">
                  <c:v>Aggregated remoteness</c:v>
                </c:pt>
              </c:strCache>
            </c:strRef>
          </c:cat>
          <c:val>
            <c:numRef>
              <c:f>'[610-20 Court_regional_costs_CONFIDENTIAL .xlsx]Method'!$G$96:$H$96</c:f>
              <c:numCache>
                <c:formatCode>0</c:formatCode>
                <c:ptCount val="2"/>
                <c:pt idx="0" formatCode="#,##0">
                  <c:v>1179.4301906181893</c:v>
                </c:pt>
                <c:pt idx="1">
                  <c:v>869.39819948263789</c:v>
                </c:pt>
              </c:numCache>
            </c:numRef>
          </c:val>
          <c:extLst>
            <c:ext xmlns:c16="http://schemas.microsoft.com/office/drawing/2014/chart" uri="{C3380CC4-5D6E-409C-BE32-E72D297353CC}">
              <c16:uniqueId val="{00000004-3261-4ECE-AFC8-A300B36FD28D}"/>
            </c:ext>
          </c:extLst>
        </c:ser>
        <c:dLbls>
          <c:showLegendKey val="0"/>
          <c:showVal val="0"/>
          <c:showCatName val="0"/>
          <c:showSerName val="0"/>
          <c:showPercent val="0"/>
          <c:showBubbleSize val="0"/>
        </c:dLbls>
        <c:gapWidth val="150"/>
        <c:axId val="266293248"/>
        <c:axId val="266295168"/>
      </c:barChart>
      <c:catAx>
        <c:axId val="266293248"/>
        <c:scaling>
          <c:orientation val="minMax"/>
        </c:scaling>
        <c:delete val="0"/>
        <c:axPos val="b"/>
        <c:numFmt formatCode="#,##0" sourceLinked="0"/>
        <c:majorTickMark val="out"/>
        <c:minorTickMark val="none"/>
        <c:tickLblPos val="low"/>
        <c:spPr>
          <a:ln>
            <a:noFill/>
          </a:ln>
        </c:spPr>
        <c:txPr>
          <a:bodyPr/>
          <a:lstStyle/>
          <a:p>
            <a:pPr>
              <a:defRPr sz="800">
                <a:latin typeface="Work Sans" pitchFamily="2" charset="0"/>
              </a:defRPr>
            </a:pPr>
            <a:endParaRPr lang="en-US"/>
          </a:p>
        </c:txPr>
        <c:crossAx val="266295168"/>
        <c:crosses val="autoZero"/>
        <c:auto val="1"/>
        <c:lblAlgn val="ctr"/>
        <c:lblOffset val="100"/>
        <c:noMultiLvlLbl val="0"/>
      </c:catAx>
      <c:valAx>
        <c:axId val="266295168"/>
        <c:scaling>
          <c:orientation val="minMax"/>
        </c:scaling>
        <c:delete val="0"/>
        <c:axPos val="l"/>
        <c:majorGridlines>
          <c:spPr>
            <a:ln w="6350">
              <a:solidFill>
                <a:sysClr val="window" lastClr="FFFFFF">
                  <a:lumMod val="85000"/>
                </a:sysClr>
              </a:solidFill>
            </a:ln>
          </c:spPr>
        </c:majorGridlines>
        <c:title>
          <c:tx>
            <c:rich>
              <a:bodyPr rot="-5400000" vert="horz"/>
              <a:lstStyle/>
              <a:p>
                <a:pPr>
                  <a:defRPr sz="800">
                    <a:latin typeface="Work Sans" pitchFamily="2" charset="0"/>
                  </a:defRPr>
                </a:pPr>
                <a:r>
                  <a:rPr lang="en-AU"/>
                  <a:t>Cost per</a:t>
                </a:r>
                <a:r>
                  <a:rPr lang="en-AU" baseline="0"/>
                  <a:t> defendant ($)</a:t>
                </a:r>
                <a:endParaRPr lang="en-AU"/>
              </a:p>
            </c:rich>
          </c:tx>
          <c:layout>
            <c:manualLayout>
              <c:xMode val="edge"/>
              <c:yMode val="edge"/>
              <c:x val="2.4153319810701599E-2"/>
              <c:y val="0.29092187728523633"/>
            </c:manualLayout>
          </c:layout>
          <c:overlay val="0"/>
        </c:title>
        <c:numFmt formatCode="#,##0" sourceLinked="0"/>
        <c:majorTickMark val="out"/>
        <c:minorTickMark val="none"/>
        <c:tickLblPos val="nextTo"/>
        <c:spPr>
          <a:ln>
            <a:noFill/>
          </a:ln>
        </c:spPr>
        <c:txPr>
          <a:bodyPr/>
          <a:lstStyle/>
          <a:p>
            <a:pPr>
              <a:defRPr sz="800">
                <a:latin typeface="Work Sans" pitchFamily="2" charset="0"/>
              </a:defRPr>
            </a:pPr>
            <a:endParaRPr lang="en-US"/>
          </a:p>
        </c:txPr>
        <c:crossAx val="266293248"/>
        <c:crosses val="autoZero"/>
        <c:crossBetween val="between"/>
      </c:valAx>
    </c:plotArea>
    <c:legend>
      <c:legendPos val="t"/>
      <c:layout>
        <c:manualLayout>
          <c:xMode val="edge"/>
          <c:yMode val="edge"/>
          <c:x val="0.11439717670686342"/>
          <c:y val="0.8638393984447913"/>
          <c:w val="0.75803093561350821"/>
          <c:h val="0.10782184666215738"/>
        </c:manualLayout>
      </c:layout>
      <c:overlay val="0"/>
      <c:spPr>
        <a:solidFill>
          <a:sysClr val="window" lastClr="FFFFFF"/>
        </a:solidFill>
        <a:ln w="6350">
          <a:noFill/>
        </a:ln>
      </c:spPr>
      <c:txPr>
        <a:bodyPr/>
        <a:lstStyle/>
        <a:p>
          <a:pPr>
            <a:defRPr sz="800">
              <a:latin typeface="Work Sans" pitchFamily="2" charset="0"/>
            </a:defRPr>
          </a:pPr>
          <a:endParaRPr lang="en-US"/>
        </a:p>
      </c:txPr>
    </c:legend>
    <c:plotVisOnly val="1"/>
    <c:dispBlanksAs val="gap"/>
    <c:showDLblsOverMax val="0"/>
  </c:chart>
  <c:spPr>
    <a:ln w="9525">
      <a:solidFill>
        <a:srgbClr val="ADD6EA"/>
      </a:solidFill>
    </a:ln>
  </c:spPr>
  <c:txPr>
    <a:bodyPr/>
    <a:lstStyle/>
    <a:p>
      <a:pPr>
        <a:defRPr>
          <a:latin typeface="Calibri" pitchFamily="34"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pivot2!$C$3</c:f>
              <c:strCache>
                <c:ptCount val="1"/>
                <c:pt idx="0">
                  <c:v>Average of total2</c:v>
                </c:pt>
              </c:strCache>
            </c:strRef>
          </c:tx>
          <c:spPr>
            <a:solidFill>
              <a:srgbClr val="006991"/>
            </a:solidFill>
            <a:ln>
              <a:noFill/>
            </a:ln>
            <a:effectLst/>
          </c:spPr>
          <c:invertIfNegative val="0"/>
          <c:cat>
            <c:strRef>
              <c:f>pivot2!$A$4:$A$8</c:f>
              <c:strCache>
                <c:ptCount val="5"/>
                <c:pt idx="0">
                  <c:v>Major cities</c:v>
                </c:pt>
                <c:pt idx="1">
                  <c:v>Inner regional</c:v>
                </c:pt>
                <c:pt idx="2">
                  <c:v>Outer regional</c:v>
                </c:pt>
                <c:pt idx="3">
                  <c:v>Remote</c:v>
                </c:pt>
                <c:pt idx="4">
                  <c:v>Very remote</c:v>
                </c:pt>
              </c:strCache>
            </c:strRef>
          </c:cat>
          <c:val>
            <c:numRef>
              <c:f>pivot2!$C$4:$C$8</c:f>
              <c:numCache>
                <c:formatCode>General</c:formatCode>
                <c:ptCount val="5"/>
                <c:pt idx="0">
                  <c:v>442.77417808429999</c:v>
                </c:pt>
                <c:pt idx="1">
                  <c:v>411.92620019331252</c:v>
                </c:pt>
                <c:pt idx="2">
                  <c:v>472.02230919524999</c:v>
                </c:pt>
                <c:pt idx="3">
                  <c:v>281.375</c:v>
                </c:pt>
                <c:pt idx="4">
                  <c:v>110.83333333333333</c:v>
                </c:pt>
              </c:numCache>
            </c:numRef>
          </c:val>
          <c:extLst>
            <c:ext xmlns:c16="http://schemas.microsoft.com/office/drawing/2014/chart" uri="{C3380CC4-5D6E-409C-BE32-E72D297353CC}">
              <c16:uniqueId val="{00000000-9187-411E-AD58-5DAFA6EB6613}"/>
            </c:ext>
          </c:extLst>
        </c:ser>
        <c:dLbls>
          <c:showLegendKey val="0"/>
          <c:showVal val="0"/>
          <c:showCatName val="0"/>
          <c:showSerName val="0"/>
          <c:showPercent val="0"/>
          <c:showBubbleSize val="0"/>
        </c:dLbls>
        <c:gapWidth val="219"/>
        <c:overlap val="-27"/>
        <c:axId val="352488416"/>
        <c:axId val="352485056"/>
      </c:barChart>
      <c:scatterChart>
        <c:scatterStyle val="lineMarker"/>
        <c:varyColors val="0"/>
        <c:ser>
          <c:idx val="1"/>
          <c:order val="1"/>
          <c:tx>
            <c:strRef>
              <c:f>pivot2!$B$4:$B$8</c:f>
              <c:strCache>
                <c:ptCount val="5"/>
                <c:pt idx="0">
                  <c:v>40</c:v>
                </c:pt>
                <c:pt idx="1">
                  <c:v>40</c:v>
                </c:pt>
                <c:pt idx="2">
                  <c:v>14</c:v>
                </c:pt>
                <c:pt idx="3">
                  <c:v>4</c:v>
                </c:pt>
                <c:pt idx="4">
                  <c:v>3</c:v>
                </c:pt>
              </c:strCache>
            </c:strRef>
          </c:tx>
          <c:spPr>
            <a:ln w="25400" cap="rnd">
              <a:noFill/>
              <a:round/>
            </a:ln>
            <a:effectLst/>
          </c:spPr>
          <c:marker>
            <c:symbol val="none"/>
          </c:marker>
          <c:dLbls>
            <c:dLbl>
              <c:idx val="0"/>
              <c:layout>
                <c:manualLayout>
                  <c:x val="-6.2308724150106583E-2"/>
                  <c:y val="-0.8159338360296936"/>
                </c:manualLayout>
              </c:layout>
              <c:tx>
                <c:rich>
                  <a:bodyPr/>
                  <a:lstStyle/>
                  <a:p>
                    <a:r>
                      <a:rPr lang="en-US"/>
                      <a:t>Prisons: 40</a:t>
                    </a:r>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1-9187-411E-AD58-5DAFA6EB6613}"/>
                </c:ext>
              </c:extLst>
            </c:dLbl>
            <c:dLbl>
              <c:idx val="1"/>
              <c:layout>
                <c:manualLayout>
                  <c:x val="-6.4534160892067233E-2"/>
                  <c:y val="-0.75662824755601199"/>
                </c:manualLayout>
              </c:layout>
              <c:tx>
                <c:rich>
                  <a:bodyPr/>
                  <a:lstStyle/>
                  <a:p>
                    <a:r>
                      <a:rPr lang="en-US"/>
                      <a:t>Prisons: 40</a:t>
                    </a:r>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2-9187-411E-AD58-5DAFA6EB6613}"/>
                </c:ext>
              </c:extLst>
            </c:dLbl>
            <c:dLbl>
              <c:idx val="2"/>
              <c:layout>
                <c:manualLayout>
                  <c:x val="-6.2308899381346108E-2"/>
                  <c:y val="-0.85678888801107222"/>
                </c:manualLayout>
              </c:layout>
              <c:tx>
                <c:rich>
                  <a:bodyPr/>
                  <a:lstStyle/>
                  <a:p>
                    <a:r>
                      <a:rPr lang="en-US"/>
                      <a:t>Prisons: 14</a:t>
                    </a:r>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3-9187-411E-AD58-5DAFA6EB6613}"/>
                </c:ext>
              </c:extLst>
            </c:dLbl>
            <c:dLbl>
              <c:idx val="3"/>
              <c:layout>
                <c:manualLayout>
                  <c:x val="-6.0083637870625102E-2"/>
                  <c:y val="-0.52674414862021846"/>
                </c:manualLayout>
              </c:layout>
              <c:tx>
                <c:rich>
                  <a:bodyPr/>
                  <a:lstStyle/>
                  <a:p>
                    <a:r>
                      <a:rPr lang="en-US"/>
                      <a:t>Prisons: 4</a:t>
                    </a:r>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4-9187-411E-AD58-5DAFA6EB6613}"/>
                </c:ext>
              </c:extLst>
            </c:dLbl>
            <c:dLbl>
              <c:idx val="4"/>
              <c:layout>
                <c:manualLayout>
                  <c:x val="-6.0083454499004915E-2"/>
                  <c:y val="-0.21882247052409062"/>
                </c:manualLayout>
              </c:layout>
              <c:tx>
                <c:rich>
                  <a:bodyPr/>
                  <a:lstStyle/>
                  <a:p>
                    <a:r>
                      <a:rPr lang="en-US"/>
                      <a:t>Prisons: 3</a:t>
                    </a:r>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5-9187-411E-AD58-5DAFA6EB661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yVal>
            <c:numRef>
              <c:f>Sheet1!$C$2:$C$6</c:f>
              <c:numCache>
                <c:formatCode>General</c:formatCode>
                <c:ptCount val="5"/>
                <c:pt idx="0">
                  <c:v>0</c:v>
                </c:pt>
                <c:pt idx="1">
                  <c:v>0</c:v>
                </c:pt>
                <c:pt idx="2">
                  <c:v>0</c:v>
                </c:pt>
                <c:pt idx="3">
                  <c:v>0</c:v>
                </c:pt>
                <c:pt idx="4">
                  <c:v>0</c:v>
                </c:pt>
              </c:numCache>
            </c:numRef>
          </c:yVal>
          <c:smooth val="0"/>
          <c:extLst>
            <c:ext xmlns:c15="http://schemas.microsoft.com/office/drawing/2012/chart" uri="{02D57815-91ED-43cb-92C2-25804820EDAC}">
              <c15:datalabelsRange>
                <c15:f>Sheet1!$C$2:$C$6</c15:f>
                <c15:dlblRangeCache>
                  <c:ptCount val="5"/>
                  <c:pt idx="0">
                    <c:v>Prisons: 39</c:v>
                  </c:pt>
                  <c:pt idx="1">
                    <c:v>Prisons: 40</c:v>
                  </c:pt>
                  <c:pt idx="2">
                    <c:v>Prisons: 14</c:v>
                  </c:pt>
                  <c:pt idx="3">
                    <c:v>Prisons: 5</c:v>
                  </c:pt>
                  <c:pt idx="4">
                    <c:v>Prisons: 3</c:v>
                  </c:pt>
                </c15:dlblRangeCache>
              </c15:datalabelsRange>
            </c:ext>
            <c:ext xmlns:c16="http://schemas.microsoft.com/office/drawing/2014/chart" uri="{C3380CC4-5D6E-409C-BE32-E72D297353CC}">
              <c16:uniqueId val="{00000006-9187-411E-AD58-5DAFA6EB6613}"/>
            </c:ext>
          </c:extLst>
        </c:ser>
        <c:dLbls>
          <c:showLegendKey val="0"/>
          <c:showVal val="0"/>
          <c:showCatName val="0"/>
          <c:showSerName val="0"/>
          <c:showPercent val="0"/>
          <c:showBubbleSize val="0"/>
        </c:dLbls>
        <c:axId val="352488416"/>
        <c:axId val="352485056"/>
      </c:scatterChart>
      <c:catAx>
        <c:axId val="35248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crossAx val="352485056"/>
        <c:crosses val="autoZero"/>
        <c:auto val="1"/>
        <c:lblAlgn val="ctr"/>
        <c:lblOffset val="100"/>
        <c:noMultiLvlLbl val="0"/>
      </c:catAx>
      <c:valAx>
        <c:axId val="35248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Work Sans" pitchFamily="2" charset="0"/>
                    <a:ea typeface="+mn-ea"/>
                    <a:cs typeface="+mn-cs"/>
                  </a:defRPr>
                </a:pPr>
                <a:r>
                  <a:rPr lang="en-AU" sz="800" b="1" baseline="0">
                    <a:solidFill>
                      <a:sysClr val="windowText" lastClr="000000"/>
                    </a:solidFill>
                  </a:rPr>
                  <a:t>Number of actual prisoners</a:t>
                </a: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Work Sans"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Work Sans" pitchFamily="2" charset="0"/>
                <a:ea typeface="+mn-ea"/>
                <a:cs typeface="+mn-cs"/>
              </a:defRPr>
            </a:pPr>
            <a:endParaRPr lang="en-US"/>
          </a:p>
        </c:txPr>
        <c:crossAx val="352488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ADD6EA"/>
      </a:solidFill>
      <a:round/>
    </a:ln>
    <a:effectLst/>
  </c:spPr>
  <c:txPr>
    <a:bodyPr/>
    <a:lstStyle/>
    <a:p>
      <a:pPr>
        <a:defRPr>
          <a:latin typeface="Work Sans"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45100318835986"/>
          <c:y val="4.1322314049586778E-2"/>
          <c:w val="0.82194049569307193"/>
          <c:h val="0.67951750208534223"/>
        </c:manualLayout>
      </c:layout>
      <c:barChart>
        <c:barDir val="col"/>
        <c:grouping val="clustered"/>
        <c:varyColors val="0"/>
        <c:ser>
          <c:idx val="0"/>
          <c:order val="0"/>
          <c:tx>
            <c:strRef>
              <c:f>pivot!$B$23</c:f>
              <c:strCache>
                <c:ptCount val="1"/>
                <c:pt idx="0">
                  <c:v>Major cities</c:v>
                </c:pt>
              </c:strCache>
            </c:strRef>
          </c:tx>
          <c:spPr>
            <a:solidFill>
              <a:srgbClr val="006991"/>
            </a:solidFill>
            <a:ln>
              <a:solidFill>
                <a:srgbClr val="006991"/>
              </a:solidFill>
            </a:ln>
            <a:effectLst/>
          </c:spPr>
          <c:invertIfNegative val="0"/>
          <c:cat>
            <c:strRef>
              <c:f>pivot!$A$24:$A$28</c:f>
              <c:strCache>
                <c:ptCount val="5"/>
                <c:pt idx="0">
                  <c:v>Largest 20%</c:v>
                </c:pt>
                <c:pt idx="1">
                  <c:v>Second largest 20%</c:v>
                </c:pt>
                <c:pt idx="2">
                  <c:v>Middle 20%</c:v>
                </c:pt>
                <c:pt idx="3">
                  <c:v>Second smallest 20%</c:v>
                </c:pt>
                <c:pt idx="4">
                  <c:v>Smallest 20%</c:v>
                </c:pt>
              </c:strCache>
            </c:strRef>
          </c:cat>
          <c:val>
            <c:numRef>
              <c:f>pivot!$B$24:$B$28</c:f>
              <c:numCache>
                <c:formatCode>General</c:formatCode>
                <c:ptCount val="5"/>
                <c:pt idx="0">
                  <c:v>103666.5000294386</c:v>
                </c:pt>
                <c:pt idx="1">
                  <c:v>105306.68623750705</c:v>
                </c:pt>
                <c:pt idx="2">
                  <c:v>160914.2360229773</c:v>
                </c:pt>
                <c:pt idx="3">
                  <c:v>216003.60390627434</c:v>
                </c:pt>
                <c:pt idx="4">
                  <c:v>175827.94241976907</c:v>
                </c:pt>
              </c:numCache>
            </c:numRef>
          </c:val>
          <c:extLst>
            <c:ext xmlns:c16="http://schemas.microsoft.com/office/drawing/2014/chart" uri="{C3380CC4-5D6E-409C-BE32-E72D297353CC}">
              <c16:uniqueId val="{00000000-2DEE-4C66-B7B4-E1D7C9CC0662}"/>
            </c:ext>
          </c:extLst>
        </c:ser>
        <c:ser>
          <c:idx val="1"/>
          <c:order val="1"/>
          <c:tx>
            <c:strRef>
              <c:f>pivot!$C$23</c:f>
              <c:strCache>
                <c:ptCount val="1"/>
                <c:pt idx="0">
                  <c:v>Inner regional</c:v>
                </c:pt>
              </c:strCache>
            </c:strRef>
          </c:tx>
          <c:spPr>
            <a:solidFill>
              <a:srgbClr val="0092C8"/>
            </a:solidFill>
            <a:ln>
              <a:solidFill>
                <a:srgbClr val="0092C8"/>
              </a:solidFill>
            </a:ln>
            <a:effectLst/>
          </c:spPr>
          <c:invertIfNegative val="0"/>
          <c:cat>
            <c:strRef>
              <c:f>pivot!$A$24:$A$28</c:f>
              <c:strCache>
                <c:ptCount val="5"/>
                <c:pt idx="0">
                  <c:v>Largest 20%</c:v>
                </c:pt>
                <c:pt idx="1">
                  <c:v>Second largest 20%</c:v>
                </c:pt>
                <c:pt idx="2">
                  <c:v>Middle 20%</c:v>
                </c:pt>
                <c:pt idx="3">
                  <c:v>Second smallest 20%</c:v>
                </c:pt>
                <c:pt idx="4">
                  <c:v>Smallest 20%</c:v>
                </c:pt>
              </c:strCache>
            </c:strRef>
          </c:cat>
          <c:val>
            <c:numRef>
              <c:f>pivot!$C$24:$C$28</c:f>
              <c:numCache>
                <c:formatCode>General</c:formatCode>
                <c:ptCount val="5"/>
                <c:pt idx="0">
                  <c:v>80590.633676185011</c:v>
                </c:pt>
                <c:pt idx="1">
                  <c:v>104165.40703595319</c:v>
                </c:pt>
                <c:pt idx="2">
                  <c:v>151371.24221479095</c:v>
                </c:pt>
                <c:pt idx="3">
                  <c:v>94488.676129775777</c:v>
                </c:pt>
                <c:pt idx="4">
                  <c:v>208113.3299031558</c:v>
                </c:pt>
              </c:numCache>
            </c:numRef>
          </c:val>
          <c:extLst>
            <c:ext xmlns:c16="http://schemas.microsoft.com/office/drawing/2014/chart" uri="{C3380CC4-5D6E-409C-BE32-E72D297353CC}">
              <c16:uniqueId val="{00000001-2DEE-4C66-B7B4-E1D7C9CC0662}"/>
            </c:ext>
          </c:extLst>
        </c:ser>
        <c:ser>
          <c:idx val="2"/>
          <c:order val="2"/>
          <c:tx>
            <c:strRef>
              <c:f>pivot!$D$23</c:f>
              <c:strCache>
                <c:ptCount val="1"/>
                <c:pt idx="0">
                  <c:v>Outer regional</c:v>
                </c:pt>
              </c:strCache>
            </c:strRef>
          </c:tx>
          <c:spPr>
            <a:solidFill>
              <a:srgbClr val="60B5D7"/>
            </a:solidFill>
            <a:ln>
              <a:solidFill>
                <a:srgbClr val="60B5D7"/>
              </a:solidFill>
            </a:ln>
            <a:effectLst/>
          </c:spPr>
          <c:invertIfNegative val="0"/>
          <c:cat>
            <c:strRef>
              <c:f>pivot!$A$24:$A$28</c:f>
              <c:strCache>
                <c:ptCount val="5"/>
                <c:pt idx="0">
                  <c:v>Largest 20%</c:v>
                </c:pt>
                <c:pt idx="1">
                  <c:v>Second largest 20%</c:v>
                </c:pt>
                <c:pt idx="2">
                  <c:v>Middle 20%</c:v>
                </c:pt>
                <c:pt idx="3">
                  <c:v>Second smallest 20%</c:v>
                </c:pt>
                <c:pt idx="4">
                  <c:v>Smallest 20%</c:v>
                </c:pt>
              </c:strCache>
            </c:strRef>
          </c:cat>
          <c:val>
            <c:numRef>
              <c:f>pivot!$D$24:$D$28</c:f>
              <c:numCache>
                <c:formatCode>General</c:formatCode>
                <c:ptCount val="5"/>
                <c:pt idx="0">
                  <c:v>109975.5899643608</c:v>
                </c:pt>
                <c:pt idx="1">
                  <c:v>106105.92409013068</c:v>
                </c:pt>
                <c:pt idx="2">
                  <c:v>167702.88746116011</c:v>
                </c:pt>
                <c:pt idx="3">
                  <c:v>72153.466380761151</c:v>
                </c:pt>
                <c:pt idx="4">
                  <c:v>181535.55211196083</c:v>
                </c:pt>
              </c:numCache>
            </c:numRef>
          </c:val>
          <c:extLst>
            <c:ext xmlns:c16="http://schemas.microsoft.com/office/drawing/2014/chart" uri="{C3380CC4-5D6E-409C-BE32-E72D297353CC}">
              <c16:uniqueId val="{00000002-2DEE-4C66-B7B4-E1D7C9CC0662}"/>
            </c:ext>
          </c:extLst>
        </c:ser>
        <c:ser>
          <c:idx val="3"/>
          <c:order val="3"/>
          <c:tx>
            <c:strRef>
              <c:f>pivot!$E$23</c:f>
              <c:strCache>
                <c:ptCount val="1"/>
                <c:pt idx="0">
                  <c:v>Remote</c:v>
                </c:pt>
              </c:strCache>
            </c:strRef>
          </c:tx>
          <c:spPr>
            <a:solidFill>
              <a:srgbClr val="ADD6EA"/>
            </a:solidFill>
            <a:ln>
              <a:solidFill>
                <a:srgbClr val="ADD6EA"/>
              </a:solidFill>
            </a:ln>
            <a:effectLst/>
          </c:spPr>
          <c:invertIfNegative val="0"/>
          <c:cat>
            <c:strRef>
              <c:f>pivot!$A$24:$A$28</c:f>
              <c:strCache>
                <c:ptCount val="5"/>
                <c:pt idx="0">
                  <c:v>Largest 20%</c:v>
                </c:pt>
                <c:pt idx="1">
                  <c:v>Second largest 20%</c:v>
                </c:pt>
                <c:pt idx="2">
                  <c:v>Middle 20%</c:v>
                </c:pt>
                <c:pt idx="3">
                  <c:v>Second smallest 20%</c:v>
                </c:pt>
                <c:pt idx="4">
                  <c:v>Smallest 20%</c:v>
                </c:pt>
              </c:strCache>
            </c:strRef>
          </c:cat>
          <c:val>
            <c:numRef>
              <c:f>pivot!$E$24:$E$28</c:f>
              <c:numCache>
                <c:formatCode>General</c:formatCode>
                <c:ptCount val="5"/>
                <c:pt idx="0">
                  <c:v>0</c:v>
                </c:pt>
                <c:pt idx="1">
                  <c:v>73692.337801204805</c:v>
                </c:pt>
                <c:pt idx="2">
                  <c:v>0</c:v>
                </c:pt>
                <c:pt idx="3">
                  <c:v>123668.40512776458</c:v>
                </c:pt>
                <c:pt idx="4">
                  <c:v>263147.90238095197</c:v>
                </c:pt>
              </c:numCache>
            </c:numRef>
          </c:val>
          <c:extLst>
            <c:ext xmlns:c16="http://schemas.microsoft.com/office/drawing/2014/chart" uri="{C3380CC4-5D6E-409C-BE32-E72D297353CC}">
              <c16:uniqueId val="{00000003-2DEE-4C66-B7B4-E1D7C9CC0662}"/>
            </c:ext>
          </c:extLst>
        </c:ser>
        <c:ser>
          <c:idx val="4"/>
          <c:order val="4"/>
          <c:tx>
            <c:strRef>
              <c:f>pivot!$F$23</c:f>
              <c:strCache>
                <c:ptCount val="1"/>
                <c:pt idx="0">
                  <c:v>Very remote</c:v>
                </c:pt>
              </c:strCache>
            </c:strRef>
          </c:tx>
          <c:spPr>
            <a:solidFill>
              <a:srgbClr val="EBF3F5"/>
            </a:solidFill>
            <a:ln>
              <a:solidFill>
                <a:srgbClr val="EBF3F5"/>
              </a:solidFill>
            </a:ln>
            <a:effectLst/>
          </c:spPr>
          <c:invertIfNegative val="0"/>
          <c:cat>
            <c:strRef>
              <c:f>pivot!$A$24:$A$28</c:f>
              <c:strCache>
                <c:ptCount val="5"/>
                <c:pt idx="0">
                  <c:v>Largest 20%</c:v>
                </c:pt>
                <c:pt idx="1">
                  <c:v>Second largest 20%</c:v>
                </c:pt>
                <c:pt idx="2">
                  <c:v>Middle 20%</c:v>
                </c:pt>
                <c:pt idx="3">
                  <c:v>Second smallest 20%</c:v>
                </c:pt>
                <c:pt idx="4">
                  <c:v>Smallest 20%</c:v>
                </c:pt>
              </c:strCache>
            </c:strRef>
          </c:cat>
          <c:val>
            <c:numRef>
              <c:f>pivot!$F$24:$F$28</c:f>
              <c:numCache>
                <c:formatCode>General</c:formatCode>
                <c:ptCount val="5"/>
                <c:pt idx="0">
                  <c:v>0</c:v>
                </c:pt>
                <c:pt idx="1">
                  <c:v>0</c:v>
                </c:pt>
                <c:pt idx="2">
                  <c:v>0</c:v>
                </c:pt>
                <c:pt idx="3">
                  <c:v>201729.12905612201</c:v>
                </c:pt>
                <c:pt idx="4">
                  <c:v>64993.942065805903</c:v>
                </c:pt>
              </c:numCache>
            </c:numRef>
          </c:val>
          <c:extLst>
            <c:ext xmlns:c16="http://schemas.microsoft.com/office/drawing/2014/chart" uri="{C3380CC4-5D6E-409C-BE32-E72D297353CC}">
              <c16:uniqueId val="{00000004-2DEE-4C66-B7B4-E1D7C9CC0662}"/>
            </c:ext>
          </c:extLst>
        </c:ser>
        <c:dLbls>
          <c:showLegendKey val="0"/>
          <c:showVal val="0"/>
          <c:showCatName val="0"/>
          <c:showSerName val="0"/>
          <c:showPercent val="0"/>
          <c:showBubbleSize val="0"/>
        </c:dLbls>
        <c:gapWidth val="182"/>
        <c:axId val="402925631"/>
        <c:axId val="402931391"/>
      </c:barChart>
      <c:lineChart>
        <c:grouping val="standard"/>
        <c:varyColors val="0"/>
        <c:ser>
          <c:idx val="5"/>
          <c:order val="5"/>
          <c:tx>
            <c:v>Average cost</c:v>
          </c:tx>
          <c:spPr>
            <a:ln w="28575" cap="rnd">
              <a:solidFill>
                <a:srgbClr val="949494"/>
              </a:solidFill>
              <a:round/>
            </a:ln>
            <a:effectLst/>
          </c:spPr>
          <c:marker>
            <c:symbol val="circle"/>
            <c:size val="5"/>
            <c:spPr>
              <a:solidFill>
                <a:srgbClr val="949494"/>
              </a:solidFill>
              <a:ln w="9525">
                <a:solidFill>
                  <a:srgbClr val="949494"/>
                </a:solidFill>
              </a:ln>
              <a:effectLst/>
            </c:spPr>
          </c:marker>
          <c:dLbls>
            <c:dLbl>
              <c:idx val="0"/>
              <c:layout>
                <c:manualLayout>
                  <c:x val="-6.0264049090030393E-2"/>
                  <c:y val="-0.1326912762288650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EE-4C66-B7B4-E1D7C9CC0662}"/>
                </c:ext>
              </c:extLst>
            </c:dLbl>
            <c:dLbl>
              <c:idx val="1"/>
              <c:layout>
                <c:manualLayout>
                  <c:x val="-5.4429286523097711E-2"/>
                  <c:y val="-0.233748188119382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EE-4C66-B7B4-E1D7C9CC0662}"/>
                </c:ext>
              </c:extLst>
            </c:dLbl>
            <c:dLbl>
              <c:idx val="2"/>
              <c:layout>
                <c:manualLayout>
                  <c:x val="-5.9804135384916017E-2"/>
                  <c:y val="-0.2235907225802066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EE-4C66-B7B4-E1D7C9CC0662}"/>
                </c:ext>
              </c:extLst>
            </c:dLbl>
            <c:dLbl>
              <c:idx val="3"/>
              <c:layout>
                <c:manualLayout>
                  <c:x val="-6.5920673609572267E-2"/>
                  <c:y val="-0.2216624826569225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EE-4C66-B7B4-E1D7C9CC0662}"/>
                </c:ext>
              </c:extLst>
            </c:dLbl>
            <c:dLbl>
              <c:idx val="4"/>
              <c:layout>
                <c:manualLayout>
                  <c:x val="-8.1534360055203758E-2"/>
                  <c:y val="-0.2535119824227263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EE-4C66-B7B4-E1D7C9CC0662}"/>
                </c:ext>
              </c:extLst>
            </c:dLbl>
            <c:numFmt formatCode="&quot;$&quot;#,##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pivot!$G$24:$G$28</c:f>
              <c:numCache>
                <c:formatCode>General</c:formatCode>
                <c:ptCount val="5"/>
                <c:pt idx="0">
                  <c:v>95736.820027617083</c:v>
                </c:pt>
                <c:pt idx="1">
                  <c:v>103026.18068846664</c:v>
                </c:pt>
                <c:pt idx="2">
                  <c:v>158873.06151832291</c:v>
                </c:pt>
                <c:pt idx="3">
                  <c:v>135035.66267648875</c:v>
                </c:pt>
                <c:pt idx="4">
                  <c:v>178110.48816545392</c:v>
                </c:pt>
              </c:numCache>
            </c:numRef>
          </c:val>
          <c:smooth val="0"/>
          <c:extLst>
            <c:ext xmlns:c16="http://schemas.microsoft.com/office/drawing/2014/chart" uri="{C3380CC4-5D6E-409C-BE32-E72D297353CC}">
              <c16:uniqueId val="{0000000A-2DEE-4C66-B7B4-E1D7C9CC0662}"/>
            </c:ext>
          </c:extLst>
        </c:ser>
        <c:dLbls>
          <c:showLegendKey val="0"/>
          <c:showVal val="0"/>
          <c:showCatName val="0"/>
          <c:showSerName val="0"/>
          <c:showPercent val="0"/>
          <c:showBubbleSize val="0"/>
        </c:dLbls>
        <c:marker val="1"/>
        <c:smooth val="0"/>
        <c:axId val="402925631"/>
        <c:axId val="402931391"/>
      </c:lineChart>
      <c:catAx>
        <c:axId val="402925631"/>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Work Sans" pitchFamily="2" charset="0"/>
                    <a:ea typeface="+mn-ea"/>
                    <a:cs typeface="+mn-cs"/>
                  </a:defRPr>
                </a:pPr>
                <a:r>
                  <a:rPr lang="en-AU" sz="800" b="1" baseline="0">
                    <a:solidFill>
                      <a:sysClr val="windowText" lastClr="000000"/>
                    </a:solidFill>
                  </a:rPr>
                  <a:t>Prison size</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Work Sans"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crossAx val="402931391"/>
        <c:crosses val="autoZero"/>
        <c:auto val="1"/>
        <c:lblAlgn val="ctr"/>
        <c:lblOffset val="100"/>
        <c:noMultiLvlLbl val="0"/>
      </c:catAx>
      <c:valAx>
        <c:axId val="402931391"/>
        <c:scaling>
          <c:orientation val="minMax"/>
          <c:max val="3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Work Sans" pitchFamily="2" charset="0"/>
                    <a:ea typeface="+mn-ea"/>
                    <a:cs typeface="+mn-cs"/>
                  </a:defRPr>
                </a:pPr>
                <a:r>
                  <a:rPr lang="en-AU" sz="800" b="1" baseline="0">
                    <a:solidFill>
                      <a:sysClr val="windowText" lastClr="000000"/>
                    </a:solidFill>
                  </a:rPr>
                  <a:t>Cost per prisoner ($)</a:t>
                </a:r>
              </a:p>
            </c:rich>
          </c:tx>
          <c:layout>
            <c:manualLayout>
              <c:xMode val="edge"/>
              <c:yMode val="edge"/>
              <c:x val="2.4374030578329271E-2"/>
              <c:y val="0.29187937640277611"/>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Work Sans" pitchFamily="2"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crossAx val="402925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legend>
    <c:plotVisOnly val="1"/>
    <c:dispBlanksAs val="gap"/>
    <c:showDLblsOverMax val="0"/>
  </c:chart>
  <c:spPr>
    <a:solidFill>
      <a:schemeClr val="bg1"/>
    </a:solidFill>
    <a:ln w="9525" cap="flat" cmpd="sng" algn="ctr">
      <a:solidFill>
        <a:srgbClr val="ADD6EA"/>
      </a:solidFill>
      <a:round/>
    </a:ln>
    <a:effectLst/>
  </c:spPr>
  <c:txPr>
    <a:bodyPr/>
    <a:lstStyle/>
    <a:p>
      <a:pPr>
        <a:defRPr>
          <a:latin typeface="Work Sans" pitchFamily="2"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Sheet1!$H$28</c:f>
              <c:strCache>
                <c:ptCount val="1"/>
                <c:pt idx="0">
                  <c:v>2020 Review prisons gradient (regional costs and service delivery scale) - average of 2015–16 and 2016–17 data</c:v>
                </c:pt>
              </c:strCache>
            </c:strRef>
          </c:tx>
          <c:spPr>
            <a:ln w="28575" cap="rnd">
              <a:solidFill>
                <a:srgbClr val="ADD6EA"/>
              </a:solidFill>
              <a:round/>
            </a:ln>
            <a:effectLst/>
          </c:spPr>
          <c:marker>
            <c:symbol val="none"/>
          </c:marker>
          <c:cat>
            <c:strRef>
              <c:f>Sheet1!$G$29:$G$33</c:f>
              <c:strCache>
                <c:ptCount val="5"/>
                <c:pt idx="0">
                  <c:v>Major cities</c:v>
                </c:pt>
                <c:pt idx="1">
                  <c:v>Inner regional</c:v>
                </c:pt>
                <c:pt idx="2">
                  <c:v>Outer regional</c:v>
                </c:pt>
                <c:pt idx="3">
                  <c:v>Remote</c:v>
                </c:pt>
                <c:pt idx="4">
                  <c:v>Very remote</c:v>
                </c:pt>
              </c:strCache>
            </c:strRef>
          </c:cat>
          <c:val>
            <c:numRef>
              <c:f>Sheet1!$H$29:$H$33</c:f>
              <c:numCache>
                <c:formatCode>General</c:formatCode>
                <c:ptCount val="5"/>
                <c:pt idx="0">
                  <c:v>1</c:v>
                </c:pt>
                <c:pt idx="1">
                  <c:v>1</c:v>
                </c:pt>
                <c:pt idx="2">
                  <c:v>1</c:v>
                </c:pt>
                <c:pt idx="3">
                  <c:v>1.1720295602936766</c:v>
                </c:pt>
                <c:pt idx="4">
                  <c:v>1.1720295602936766</c:v>
                </c:pt>
              </c:numCache>
            </c:numRef>
          </c:val>
          <c:smooth val="0"/>
          <c:extLst>
            <c:ext xmlns:c16="http://schemas.microsoft.com/office/drawing/2014/chart" uri="{C3380CC4-5D6E-409C-BE32-E72D297353CC}">
              <c16:uniqueId val="{00000000-C314-4D42-AE22-1413C8545470}"/>
            </c:ext>
          </c:extLst>
        </c:ser>
        <c:ser>
          <c:idx val="1"/>
          <c:order val="1"/>
          <c:tx>
            <c:strRef>
              <c:f>Sheet1!$I$28</c:f>
              <c:strCache>
                <c:ptCount val="1"/>
                <c:pt idx="0">
                  <c:v>Service delivery scale general gradient - 2023–24</c:v>
                </c:pt>
              </c:strCache>
            </c:strRef>
          </c:tx>
          <c:spPr>
            <a:ln w="28575" cap="rnd">
              <a:solidFill>
                <a:srgbClr val="0092C8"/>
              </a:solidFill>
              <a:round/>
            </a:ln>
            <a:effectLst/>
          </c:spPr>
          <c:marker>
            <c:symbol val="none"/>
          </c:marker>
          <c:cat>
            <c:strRef>
              <c:f>Sheet1!$G$29:$G$33</c:f>
              <c:strCache>
                <c:ptCount val="5"/>
                <c:pt idx="0">
                  <c:v>Major cities</c:v>
                </c:pt>
                <c:pt idx="1">
                  <c:v>Inner regional</c:v>
                </c:pt>
                <c:pt idx="2">
                  <c:v>Outer regional</c:v>
                </c:pt>
                <c:pt idx="3">
                  <c:v>Remote</c:v>
                </c:pt>
                <c:pt idx="4">
                  <c:v>Very remote</c:v>
                </c:pt>
              </c:strCache>
            </c:strRef>
          </c:cat>
          <c:val>
            <c:numRef>
              <c:f>Sheet1!$I$29:$I$33</c:f>
              <c:numCache>
                <c:formatCode>General</c:formatCode>
                <c:ptCount val="5"/>
                <c:pt idx="0">
                  <c:v>1</c:v>
                </c:pt>
                <c:pt idx="1">
                  <c:v>1.02812456224768</c:v>
                </c:pt>
                <c:pt idx="2">
                  <c:v>1.0599136617399401</c:v>
                </c:pt>
                <c:pt idx="3">
                  <c:v>1.08714651051003</c:v>
                </c:pt>
                <c:pt idx="4">
                  <c:v>1.2347663278246399</c:v>
                </c:pt>
              </c:numCache>
            </c:numRef>
          </c:val>
          <c:smooth val="0"/>
          <c:extLst>
            <c:ext xmlns:c16="http://schemas.microsoft.com/office/drawing/2014/chart" uri="{C3380CC4-5D6E-409C-BE32-E72D297353CC}">
              <c16:uniqueId val="{00000001-C314-4D42-AE22-1413C8545470}"/>
            </c:ext>
          </c:extLst>
        </c:ser>
        <c:ser>
          <c:idx val="2"/>
          <c:order val="2"/>
          <c:tx>
            <c:strRef>
              <c:f>Sheet1!$J$28</c:f>
              <c:strCache>
                <c:ptCount val="1"/>
                <c:pt idx="0">
                  <c:v>Regional and service delivery scale general gradient - 2023–24</c:v>
                </c:pt>
              </c:strCache>
            </c:strRef>
          </c:tx>
          <c:spPr>
            <a:ln w="28575" cap="rnd">
              <a:solidFill>
                <a:srgbClr val="006991"/>
              </a:solidFill>
              <a:round/>
            </a:ln>
            <a:effectLst/>
          </c:spPr>
          <c:marker>
            <c:symbol val="none"/>
          </c:marker>
          <c:cat>
            <c:strRef>
              <c:f>Sheet1!$G$29:$G$33</c:f>
              <c:strCache>
                <c:ptCount val="5"/>
                <c:pt idx="0">
                  <c:v>Major cities</c:v>
                </c:pt>
                <c:pt idx="1">
                  <c:v>Inner regional</c:v>
                </c:pt>
                <c:pt idx="2">
                  <c:v>Outer regional</c:v>
                </c:pt>
                <c:pt idx="3">
                  <c:v>Remote</c:v>
                </c:pt>
                <c:pt idx="4">
                  <c:v>Very remote</c:v>
                </c:pt>
              </c:strCache>
            </c:strRef>
          </c:cat>
          <c:val>
            <c:numRef>
              <c:f>Sheet1!$J$29:$J$33</c:f>
              <c:numCache>
                <c:formatCode>General</c:formatCode>
                <c:ptCount val="5"/>
                <c:pt idx="0">
                  <c:v>1</c:v>
                </c:pt>
                <c:pt idx="1">
                  <c:v>1.0256700000000001</c:v>
                </c:pt>
                <c:pt idx="2">
                  <c:v>1.06036</c:v>
                </c:pt>
                <c:pt idx="3">
                  <c:v>1.19764</c:v>
                </c:pt>
                <c:pt idx="4">
                  <c:v>1.52677</c:v>
                </c:pt>
              </c:numCache>
            </c:numRef>
          </c:val>
          <c:smooth val="0"/>
          <c:extLst>
            <c:ext xmlns:c16="http://schemas.microsoft.com/office/drawing/2014/chart" uri="{C3380CC4-5D6E-409C-BE32-E72D297353CC}">
              <c16:uniqueId val="{00000002-C314-4D42-AE22-1413C8545470}"/>
            </c:ext>
          </c:extLst>
        </c:ser>
        <c:dLbls>
          <c:showLegendKey val="0"/>
          <c:showVal val="0"/>
          <c:showCatName val="0"/>
          <c:showSerName val="0"/>
          <c:showPercent val="0"/>
          <c:showBubbleSize val="0"/>
        </c:dLbls>
        <c:smooth val="0"/>
        <c:axId val="1484788816"/>
        <c:axId val="596747904"/>
      </c:lineChart>
      <c:catAx>
        <c:axId val="148478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crossAx val="596747904"/>
        <c:crosses val="autoZero"/>
        <c:auto val="0"/>
        <c:lblAlgn val="ctr"/>
        <c:lblOffset val="100"/>
        <c:noMultiLvlLbl val="0"/>
      </c:catAx>
      <c:valAx>
        <c:axId val="596747904"/>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crossAx val="1484788816"/>
        <c:crosses val="autoZero"/>
        <c:crossBetween val="between"/>
      </c:valAx>
      <c:spPr>
        <a:noFill/>
        <a:ln>
          <a:noFill/>
        </a:ln>
        <a:effectLst/>
      </c:spPr>
    </c:plotArea>
    <c:legend>
      <c:legendPos val="b"/>
      <c:layout>
        <c:manualLayout>
          <c:xMode val="edge"/>
          <c:yMode val="edge"/>
          <c:x val="4.2680550151705222E-2"/>
          <c:y val="0.78834793910972933"/>
          <c:w val="0.88804904815659402"/>
          <c:h val="0.2015663321963725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ADD6EA"/>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96904965266884"/>
          <c:y val="5.0925925925925923E-2"/>
          <c:w val="0.83873256139858221"/>
          <c:h val="0.85390696279949518"/>
        </c:manualLayout>
      </c:layout>
      <c:barChart>
        <c:barDir val="col"/>
        <c:grouping val="clustered"/>
        <c:varyColors val="0"/>
        <c:ser>
          <c:idx val="0"/>
          <c:order val="0"/>
          <c:spPr>
            <a:solidFill>
              <a:srgbClr val="0092C8"/>
            </a:solidFill>
            <a:ln>
              <a:noFill/>
            </a:ln>
          </c:spPr>
          <c:invertIfNegative val="0"/>
          <c:dPt>
            <c:idx val="0"/>
            <c:invertIfNegative val="0"/>
            <c:bubble3D val="0"/>
            <c:spPr>
              <a:solidFill>
                <a:srgbClr val="006991"/>
              </a:solidFill>
              <a:ln>
                <a:noFill/>
              </a:ln>
            </c:spPr>
            <c:extLst>
              <c:ext xmlns:c16="http://schemas.microsoft.com/office/drawing/2014/chart" uri="{C3380CC4-5D6E-409C-BE32-E72D297353CC}">
                <c16:uniqueId val="{00000001-EBF3-4D38-918E-C364A614FDC6}"/>
              </c:ext>
            </c:extLst>
          </c:dPt>
          <c:cat>
            <c:strRef>
              <c:f>'[Average of 2022-23 and 2023-24 offender SES - U26 justice assessment.xlsx]Indigenous status'!$C$686:$C$687</c:f>
              <c:strCache>
                <c:ptCount val="2"/>
                <c:pt idx="0">
                  <c:v>First Nations</c:v>
                </c:pt>
                <c:pt idx="1">
                  <c:v>Non-Indigenous</c:v>
                </c:pt>
              </c:strCache>
            </c:strRef>
          </c:cat>
          <c:val>
            <c:numRef>
              <c:f>'[Average of 2022-23 and 2023-24 offender SES - U26 justice assessment.xlsx]Indigenous status'!$D$686:$D$687</c:f>
              <c:numCache>
                <c:formatCode>0</c:formatCode>
                <c:ptCount val="2"/>
                <c:pt idx="0">
                  <c:v>183.17528666893989</c:v>
                </c:pt>
                <c:pt idx="1">
                  <c:v>16.192015794879119</c:v>
                </c:pt>
              </c:numCache>
            </c:numRef>
          </c:val>
          <c:extLst>
            <c:ext xmlns:c16="http://schemas.microsoft.com/office/drawing/2014/chart" uri="{C3380CC4-5D6E-409C-BE32-E72D297353CC}">
              <c16:uniqueId val="{00000002-EBF3-4D38-918E-C364A614FDC6}"/>
            </c:ext>
          </c:extLst>
        </c:ser>
        <c:dLbls>
          <c:showLegendKey val="0"/>
          <c:showVal val="0"/>
          <c:showCatName val="0"/>
          <c:showSerName val="0"/>
          <c:showPercent val="0"/>
          <c:showBubbleSize val="0"/>
        </c:dLbls>
        <c:gapWidth val="150"/>
        <c:axId val="244015488"/>
        <c:axId val="244017408"/>
      </c:barChart>
      <c:catAx>
        <c:axId val="244015488"/>
        <c:scaling>
          <c:orientation val="minMax"/>
        </c:scaling>
        <c:delete val="0"/>
        <c:axPos val="b"/>
        <c:numFmt formatCode="#,##0" sourceLinked="0"/>
        <c:majorTickMark val="out"/>
        <c:minorTickMark val="none"/>
        <c:tickLblPos val="low"/>
        <c:spPr>
          <a:ln>
            <a:noFill/>
          </a:ln>
        </c:spPr>
        <c:txPr>
          <a:bodyPr/>
          <a:lstStyle/>
          <a:p>
            <a:pPr>
              <a:defRPr sz="800">
                <a:latin typeface="Work Sans" pitchFamily="2" charset="0"/>
              </a:defRPr>
            </a:pPr>
            <a:endParaRPr lang="en-US"/>
          </a:p>
        </c:txPr>
        <c:crossAx val="244017408"/>
        <c:crosses val="autoZero"/>
        <c:auto val="1"/>
        <c:lblAlgn val="ctr"/>
        <c:lblOffset val="100"/>
        <c:noMultiLvlLbl val="0"/>
      </c:catAx>
      <c:valAx>
        <c:axId val="244017408"/>
        <c:scaling>
          <c:orientation val="minMax"/>
        </c:scaling>
        <c:delete val="0"/>
        <c:axPos val="l"/>
        <c:majorGridlines>
          <c:spPr>
            <a:ln w="6350">
              <a:solidFill>
                <a:sysClr val="window" lastClr="FFFFFF">
                  <a:lumMod val="85000"/>
                </a:sysClr>
              </a:solidFill>
            </a:ln>
          </c:spPr>
        </c:majorGridlines>
        <c:title>
          <c:tx>
            <c:rich>
              <a:bodyPr rot="-5400000" vert="horz" anchor="ctr" anchorCtr="0"/>
              <a:lstStyle/>
              <a:p>
                <a:pPr>
                  <a:defRPr sz="800">
                    <a:latin typeface="Work Sans" pitchFamily="2" charset="0"/>
                  </a:defRPr>
                </a:pPr>
                <a:r>
                  <a:rPr lang="en-AU" sz="800">
                    <a:latin typeface="Work Sans" pitchFamily="2" charset="0"/>
                  </a:rPr>
                  <a:t>Offenders</a:t>
                </a:r>
                <a:r>
                  <a:rPr lang="en-AU" sz="800" baseline="0">
                    <a:latin typeface="Work Sans" pitchFamily="2" charset="0"/>
                  </a:rPr>
                  <a:t> per 1,000 persons</a:t>
                </a:r>
                <a:endParaRPr lang="en-AU" sz="800">
                  <a:latin typeface="Work Sans" pitchFamily="2" charset="0"/>
                </a:endParaRPr>
              </a:p>
            </c:rich>
          </c:tx>
          <c:layout>
            <c:manualLayout>
              <c:xMode val="edge"/>
              <c:yMode val="edge"/>
              <c:x val="3.2632015727172552E-2"/>
              <c:y val="0.223905609441646"/>
            </c:manualLayout>
          </c:layout>
          <c:overlay val="0"/>
        </c:title>
        <c:numFmt formatCode="#,##0" sourceLinked="0"/>
        <c:majorTickMark val="out"/>
        <c:minorTickMark val="none"/>
        <c:tickLblPos val="nextTo"/>
        <c:spPr>
          <a:ln>
            <a:noFill/>
          </a:ln>
        </c:spPr>
        <c:txPr>
          <a:bodyPr/>
          <a:lstStyle/>
          <a:p>
            <a:pPr>
              <a:defRPr sz="800">
                <a:latin typeface="Work Sans" pitchFamily="2" charset="0"/>
              </a:defRPr>
            </a:pPr>
            <a:endParaRPr lang="en-US"/>
          </a:p>
        </c:txPr>
        <c:crossAx val="244015488"/>
        <c:crosses val="autoZero"/>
        <c:crossBetween val="between"/>
      </c:valAx>
    </c:plotArea>
    <c:plotVisOnly val="1"/>
    <c:dispBlanksAs val="gap"/>
    <c:showDLblsOverMax val="0"/>
  </c:chart>
  <c:spPr>
    <a:ln w="9525">
      <a:solidFill>
        <a:srgbClr val="ADD6EA"/>
      </a:solidFill>
    </a:ln>
  </c:spPr>
  <c:txPr>
    <a:bodyPr/>
    <a:lstStyle/>
    <a:p>
      <a:pPr>
        <a:defRPr>
          <a:latin typeface="Calibri" pitchFamily="34"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'[Average of 2022-23 and 2023-24 offender SES - U26 justice assessment.xlsx]Age'!$Q$737</c:f>
              <c:strCache>
                <c:ptCount val="1"/>
                <c:pt idx="0">
                  <c:v>0-17</c:v>
                </c:pt>
              </c:strCache>
            </c:strRef>
          </c:tx>
          <c:spPr>
            <a:solidFill>
              <a:srgbClr val="006991"/>
            </a:solidFill>
            <a:ln>
              <a:solidFill>
                <a:srgbClr val="006991"/>
              </a:solidFill>
            </a:ln>
            <a:effectLst/>
          </c:spPr>
          <c:invertIfNegative val="0"/>
          <c:cat>
            <c:strRef>
              <c:f>'[Average of 2022-23 and 2023-24 offender SES - U26 justice assessment.xlsx]Age'!$P$738:$P$739</c:f>
              <c:strCache>
                <c:ptCount val="2"/>
                <c:pt idx="0">
                  <c:v>First Nations</c:v>
                </c:pt>
                <c:pt idx="1">
                  <c:v>Non-Indigenous</c:v>
                </c:pt>
              </c:strCache>
            </c:strRef>
          </c:cat>
          <c:val>
            <c:numRef>
              <c:f>'[Average of 2022-23 and 2023-24 offender SES - U26 justice assessment.xlsx]Age'!$Q$738:$Q$739</c:f>
              <c:numCache>
                <c:formatCode>0</c:formatCode>
                <c:ptCount val="2"/>
                <c:pt idx="0">
                  <c:v>119.5324248609309</c:v>
                </c:pt>
                <c:pt idx="1">
                  <c:v>11.223398170297887</c:v>
                </c:pt>
              </c:numCache>
            </c:numRef>
          </c:val>
          <c:extLst>
            <c:ext xmlns:c16="http://schemas.microsoft.com/office/drawing/2014/chart" uri="{C3380CC4-5D6E-409C-BE32-E72D297353CC}">
              <c16:uniqueId val="{00000000-1FD8-4804-B004-C4A0FCF78DDC}"/>
            </c:ext>
          </c:extLst>
        </c:ser>
        <c:ser>
          <c:idx val="1"/>
          <c:order val="1"/>
          <c:tx>
            <c:strRef>
              <c:f>'[Average of 2022-23 and 2023-24 offender SES - U26 justice assessment.xlsx]Age'!$R$737</c:f>
              <c:strCache>
                <c:ptCount val="1"/>
                <c:pt idx="0">
                  <c:v>18-24</c:v>
                </c:pt>
              </c:strCache>
            </c:strRef>
          </c:tx>
          <c:spPr>
            <a:solidFill>
              <a:srgbClr val="0092C8"/>
            </a:solidFill>
            <a:ln>
              <a:solidFill>
                <a:srgbClr val="0092C8"/>
              </a:solidFill>
            </a:ln>
            <a:effectLst/>
          </c:spPr>
          <c:invertIfNegative val="0"/>
          <c:cat>
            <c:strRef>
              <c:f>'[Average of 2022-23 and 2023-24 offender SES - U26 justice assessment.xlsx]Age'!$P$738:$P$739</c:f>
              <c:strCache>
                <c:ptCount val="2"/>
                <c:pt idx="0">
                  <c:v>First Nations</c:v>
                </c:pt>
                <c:pt idx="1">
                  <c:v>Non-Indigenous</c:v>
                </c:pt>
              </c:strCache>
            </c:strRef>
          </c:cat>
          <c:val>
            <c:numRef>
              <c:f>'[Average of 2022-23 and 2023-24 offender SES - U26 justice assessment.xlsx]Age'!$R$738:$R$739</c:f>
              <c:numCache>
                <c:formatCode>0</c:formatCode>
                <c:ptCount val="2"/>
                <c:pt idx="0">
                  <c:v>272.14206879310234</c:v>
                </c:pt>
                <c:pt idx="1">
                  <c:v>30.503828898399725</c:v>
                </c:pt>
              </c:numCache>
            </c:numRef>
          </c:val>
          <c:extLst>
            <c:ext xmlns:c16="http://schemas.microsoft.com/office/drawing/2014/chart" uri="{C3380CC4-5D6E-409C-BE32-E72D297353CC}">
              <c16:uniqueId val="{00000001-1FD8-4804-B004-C4A0FCF78DDC}"/>
            </c:ext>
          </c:extLst>
        </c:ser>
        <c:ser>
          <c:idx val="2"/>
          <c:order val="2"/>
          <c:tx>
            <c:strRef>
              <c:f>'[Average of 2022-23 and 2023-24 offender SES - U26 justice assessment.xlsx]Age'!$S$737</c:f>
              <c:strCache>
                <c:ptCount val="1"/>
                <c:pt idx="0">
                  <c:v>25-44</c:v>
                </c:pt>
              </c:strCache>
            </c:strRef>
          </c:tx>
          <c:spPr>
            <a:solidFill>
              <a:srgbClr val="60B5D7"/>
            </a:solidFill>
            <a:ln>
              <a:solidFill>
                <a:srgbClr val="60B5D7"/>
              </a:solidFill>
            </a:ln>
            <a:effectLst/>
          </c:spPr>
          <c:invertIfNegative val="0"/>
          <c:cat>
            <c:strRef>
              <c:f>'[Average of 2022-23 and 2023-24 offender SES - U26 justice assessment.xlsx]Age'!$P$738:$P$739</c:f>
              <c:strCache>
                <c:ptCount val="2"/>
                <c:pt idx="0">
                  <c:v>First Nations</c:v>
                </c:pt>
                <c:pt idx="1">
                  <c:v>Non-Indigenous</c:v>
                </c:pt>
              </c:strCache>
            </c:strRef>
          </c:cat>
          <c:val>
            <c:numRef>
              <c:f>'[Average of 2022-23 and 2023-24 offender SES - U26 justice assessment.xlsx]Age'!$S$738:$S$739</c:f>
              <c:numCache>
                <c:formatCode>0</c:formatCode>
                <c:ptCount val="2"/>
                <c:pt idx="0">
                  <c:v>316.88829001079341</c:v>
                </c:pt>
                <c:pt idx="1">
                  <c:v>28.005929628474746</c:v>
                </c:pt>
              </c:numCache>
            </c:numRef>
          </c:val>
          <c:extLst>
            <c:ext xmlns:c16="http://schemas.microsoft.com/office/drawing/2014/chart" uri="{C3380CC4-5D6E-409C-BE32-E72D297353CC}">
              <c16:uniqueId val="{00000002-1FD8-4804-B004-C4A0FCF78DDC}"/>
            </c:ext>
          </c:extLst>
        </c:ser>
        <c:ser>
          <c:idx val="3"/>
          <c:order val="3"/>
          <c:tx>
            <c:strRef>
              <c:f>'[Average of 2022-23 and 2023-24 offender SES - U26 justice assessment.xlsx]Age'!$T$737</c:f>
              <c:strCache>
                <c:ptCount val="1"/>
                <c:pt idx="0">
                  <c:v>45-64</c:v>
                </c:pt>
              </c:strCache>
            </c:strRef>
          </c:tx>
          <c:spPr>
            <a:solidFill>
              <a:srgbClr val="ADD6EA"/>
            </a:solidFill>
            <a:ln>
              <a:solidFill>
                <a:srgbClr val="ADD6EA"/>
              </a:solidFill>
            </a:ln>
            <a:effectLst/>
          </c:spPr>
          <c:invertIfNegative val="0"/>
          <c:cat>
            <c:strRef>
              <c:f>'[Average of 2022-23 and 2023-24 offender SES - U26 justice assessment.xlsx]Age'!$P$738:$P$739</c:f>
              <c:strCache>
                <c:ptCount val="2"/>
                <c:pt idx="0">
                  <c:v>First Nations</c:v>
                </c:pt>
                <c:pt idx="1">
                  <c:v>Non-Indigenous</c:v>
                </c:pt>
              </c:strCache>
            </c:strRef>
          </c:cat>
          <c:val>
            <c:numRef>
              <c:f>'[Average of 2022-23 and 2023-24 offender SES - U26 justice assessment.xlsx]Age'!$T$738:$T$739</c:f>
              <c:numCache>
                <c:formatCode>0</c:formatCode>
                <c:ptCount val="2"/>
                <c:pt idx="0">
                  <c:v>118.69629072598514</c:v>
                </c:pt>
                <c:pt idx="1">
                  <c:v>12.034958278809913</c:v>
                </c:pt>
              </c:numCache>
            </c:numRef>
          </c:val>
          <c:extLst>
            <c:ext xmlns:c16="http://schemas.microsoft.com/office/drawing/2014/chart" uri="{C3380CC4-5D6E-409C-BE32-E72D297353CC}">
              <c16:uniqueId val="{00000003-1FD8-4804-B004-C4A0FCF78DDC}"/>
            </c:ext>
          </c:extLst>
        </c:ser>
        <c:ser>
          <c:idx val="4"/>
          <c:order val="4"/>
          <c:tx>
            <c:strRef>
              <c:f>'[Average of 2022-23 and 2023-24 offender SES - U26 justice assessment.xlsx]Age'!$U$737</c:f>
              <c:strCache>
                <c:ptCount val="1"/>
                <c:pt idx="0">
                  <c:v>65+</c:v>
                </c:pt>
              </c:strCache>
            </c:strRef>
          </c:tx>
          <c:spPr>
            <a:solidFill>
              <a:srgbClr val="EBF3F5"/>
            </a:solidFill>
            <a:ln>
              <a:solidFill>
                <a:srgbClr val="EBF3F5"/>
              </a:solidFill>
            </a:ln>
            <a:effectLst/>
          </c:spPr>
          <c:invertIfNegative val="0"/>
          <c:cat>
            <c:strRef>
              <c:f>'[Average of 2022-23 and 2023-24 offender SES - U26 justice assessment.xlsx]Age'!$P$738:$P$739</c:f>
              <c:strCache>
                <c:ptCount val="2"/>
                <c:pt idx="0">
                  <c:v>First Nations</c:v>
                </c:pt>
                <c:pt idx="1">
                  <c:v>Non-Indigenous</c:v>
                </c:pt>
              </c:strCache>
            </c:strRef>
          </c:cat>
          <c:val>
            <c:numRef>
              <c:f>'[Average of 2022-23 and 2023-24 offender SES - U26 justice assessment.xlsx]Age'!$U$738:$U$739</c:f>
              <c:numCache>
                <c:formatCode>0</c:formatCode>
                <c:ptCount val="2"/>
                <c:pt idx="0">
                  <c:v>9.0755181839897592</c:v>
                </c:pt>
                <c:pt idx="1">
                  <c:v>1.668664470226374</c:v>
                </c:pt>
              </c:numCache>
            </c:numRef>
          </c:val>
          <c:extLst>
            <c:ext xmlns:c16="http://schemas.microsoft.com/office/drawing/2014/chart" uri="{C3380CC4-5D6E-409C-BE32-E72D297353CC}">
              <c16:uniqueId val="{00000004-1FD8-4804-B004-C4A0FCF78DDC}"/>
            </c:ext>
          </c:extLst>
        </c:ser>
        <c:dLbls>
          <c:showLegendKey val="0"/>
          <c:showVal val="0"/>
          <c:showCatName val="0"/>
          <c:showSerName val="0"/>
          <c:showPercent val="0"/>
          <c:showBubbleSize val="0"/>
        </c:dLbls>
        <c:gapWidth val="150"/>
        <c:axId val="16323215"/>
        <c:axId val="1345309008"/>
      </c:barChart>
      <c:catAx>
        <c:axId val="16323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crossAx val="1345309008"/>
        <c:crosses val="autoZero"/>
        <c:auto val="1"/>
        <c:lblAlgn val="ctr"/>
        <c:lblOffset val="100"/>
        <c:noMultiLvlLbl val="0"/>
      </c:catAx>
      <c:valAx>
        <c:axId val="1345309008"/>
        <c:scaling>
          <c:orientation val="minMax"/>
        </c:scaling>
        <c:delete val="0"/>
        <c:axPos val="l"/>
        <c:majorGridlines>
          <c:spPr>
            <a:ln w="9525" cap="flat" cmpd="sng" algn="ctr">
              <a:solidFill>
                <a:srgbClr val="E7E6E6"/>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r>
                  <a:rPr lang="en-AU" sz="800" b="1">
                    <a:solidFill>
                      <a:sysClr val="windowText" lastClr="000000"/>
                    </a:solidFill>
                    <a:latin typeface="Work Sans" pitchFamily="2" charset="0"/>
                  </a:rPr>
                  <a:t>Offenders</a:t>
                </a:r>
                <a:r>
                  <a:rPr lang="en-AU" sz="800" b="1" baseline="0">
                    <a:solidFill>
                      <a:sysClr val="windowText" lastClr="000000"/>
                    </a:solidFill>
                    <a:latin typeface="Work Sans" pitchFamily="2" charset="0"/>
                  </a:rPr>
                  <a:t> per 1,000 persons</a:t>
                </a:r>
                <a:endParaRPr lang="en-AU" sz="800" b="1">
                  <a:solidFill>
                    <a:sysClr val="windowText" lastClr="000000"/>
                  </a:solidFill>
                  <a:latin typeface="Work Sans" pitchFamily="2" charset="0"/>
                </a:endParaRPr>
              </a:p>
            </c:rich>
          </c:tx>
          <c:layout>
            <c:manualLayout>
              <c:xMode val="edge"/>
              <c:yMode val="edge"/>
              <c:x val="1.8192344031345675E-2"/>
              <c:y val="0.2519534334465519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A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Work Sans" pitchFamily="2" charset="0"/>
                <a:ea typeface="+mn-ea"/>
                <a:cs typeface="+mn-cs"/>
              </a:defRPr>
            </a:pPr>
            <a:endParaRPr lang="en-US"/>
          </a:p>
        </c:txPr>
        <c:crossAx val="16323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Work San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ADD6EA"/>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44923393555444"/>
          <c:y val="5.0925925925925923E-2"/>
          <c:w val="0.85925228691897071"/>
          <c:h val="0.85571116459309582"/>
        </c:manualLayout>
      </c:layout>
      <c:barChart>
        <c:barDir val="col"/>
        <c:grouping val="clustered"/>
        <c:varyColors val="0"/>
        <c:ser>
          <c:idx val="0"/>
          <c:order val="0"/>
          <c:tx>
            <c:strRef>
              <c:f>'Indigenous status'!$L$684</c:f>
              <c:strCache>
                <c:ptCount val="1"/>
                <c:pt idx="0">
                  <c:v>Total</c:v>
                </c:pt>
              </c:strCache>
            </c:strRef>
          </c:tx>
          <c:spPr>
            <a:solidFill>
              <a:srgbClr val="0092C8"/>
            </a:solidFill>
            <a:ln>
              <a:noFill/>
            </a:ln>
          </c:spPr>
          <c:invertIfNegative val="0"/>
          <c:dPt>
            <c:idx val="0"/>
            <c:invertIfNegative val="0"/>
            <c:bubble3D val="0"/>
            <c:spPr>
              <a:solidFill>
                <a:srgbClr val="006991"/>
              </a:solidFill>
              <a:ln>
                <a:noFill/>
              </a:ln>
            </c:spPr>
            <c:extLst>
              <c:ext xmlns:c16="http://schemas.microsoft.com/office/drawing/2014/chart" uri="{C3380CC4-5D6E-409C-BE32-E72D297353CC}">
                <c16:uniqueId val="{00000001-B987-4ACA-A81E-36D9274E59ED}"/>
              </c:ext>
            </c:extLst>
          </c:dPt>
          <c:cat>
            <c:strRef>
              <c:f>'Indigenous status'!$C$685:$C$686</c:f>
              <c:strCache>
                <c:ptCount val="2"/>
                <c:pt idx="0">
                  <c:v>First Nations</c:v>
                </c:pt>
                <c:pt idx="1">
                  <c:v>Non-Indigenous</c:v>
                </c:pt>
              </c:strCache>
            </c:strRef>
          </c:cat>
          <c:val>
            <c:numRef>
              <c:f>'Indigenous status'!$L$685:$L$686</c:f>
              <c:numCache>
                <c:formatCode>0</c:formatCode>
                <c:ptCount val="2"/>
                <c:pt idx="0">
                  <c:v>141.06797782517168</c:v>
                </c:pt>
                <c:pt idx="1">
                  <c:v>15.29392118411103</c:v>
                </c:pt>
              </c:numCache>
            </c:numRef>
          </c:val>
          <c:extLst>
            <c:ext xmlns:c16="http://schemas.microsoft.com/office/drawing/2014/chart" uri="{C3380CC4-5D6E-409C-BE32-E72D297353CC}">
              <c16:uniqueId val="{00000002-B987-4ACA-A81E-36D9274E59ED}"/>
            </c:ext>
          </c:extLst>
        </c:ser>
        <c:dLbls>
          <c:showLegendKey val="0"/>
          <c:showVal val="0"/>
          <c:showCatName val="0"/>
          <c:showSerName val="0"/>
          <c:showPercent val="0"/>
          <c:showBubbleSize val="0"/>
        </c:dLbls>
        <c:gapWidth val="150"/>
        <c:axId val="244015488"/>
        <c:axId val="244017408"/>
      </c:barChart>
      <c:catAx>
        <c:axId val="244015488"/>
        <c:scaling>
          <c:orientation val="minMax"/>
        </c:scaling>
        <c:delete val="0"/>
        <c:axPos val="b"/>
        <c:numFmt formatCode="#,##0" sourceLinked="0"/>
        <c:majorTickMark val="out"/>
        <c:minorTickMark val="none"/>
        <c:tickLblPos val="low"/>
        <c:spPr>
          <a:ln>
            <a:noFill/>
          </a:ln>
        </c:spPr>
        <c:txPr>
          <a:bodyPr/>
          <a:lstStyle/>
          <a:p>
            <a:pPr>
              <a:defRPr sz="800">
                <a:latin typeface="Work Sans" pitchFamily="2" charset="0"/>
              </a:defRPr>
            </a:pPr>
            <a:endParaRPr lang="en-US"/>
          </a:p>
        </c:txPr>
        <c:crossAx val="244017408"/>
        <c:crosses val="autoZero"/>
        <c:auto val="1"/>
        <c:lblAlgn val="ctr"/>
        <c:lblOffset val="100"/>
        <c:noMultiLvlLbl val="0"/>
      </c:catAx>
      <c:valAx>
        <c:axId val="244017408"/>
        <c:scaling>
          <c:orientation val="minMax"/>
        </c:scaling>
        <c:delete val="0"/>
        <c:axPos val="l"/>
        <c:majorGridlines>
          <c:spPr>
            <a:ln w="6350">
              <a:solidFill>
                <a:sysClr val="window" lastClr="FFFFFF">
                  <a:lumMod val="85000"/>
                </a:sysClr>
              </a:solidFill>
            </a:ln>
          </c:spPr>
        </c:majorGridlines>
        <c:title>
          <c:tx>
            <c:rich>
              <a:bodyPr rot="-5400000" vert="horz"/>
              <a:lstStyle/>
              <a:p>
                <a:pPr>
                  <a:defRPr sz="800" b="1">
                    <a:latin typeface="Work Sans" pitchFamily="2" charset="0"/>
                  </a:defRPr>
                </a:pPr>
                <a:r>
                  <a:rPr lang="en-AU" sz="800" b="1">
                    <a:latin typeface="Work Sans" pitchFamily="2" charset="0"/>
                  </a:rPr>
                  <a:t>Defendants</a:t>
                </a:r>
                <a:r>
                  <a:rPr lang="en-AU" sz="800" b="1" baseline="0">
                    <a:latin typeface="Work Sans" pitchFamily="2" charset="0"/>
                  </a:rPr>
                  <a:t> per 1,000 persons</a:t>
                </a:r>
                <a:endParaRPr lang="en-AU" sz="800" b="1">
                  <a:latin typeface="Work Sans" pitchFamily="2" charset="0"/>
                </a:endParaRPr>
              </a:p>
            </c:rich>
          </c:tx>
          <c:layout>
            <c:manualLayout>
              <c:xMode val="edge"/>
              <c:yMode val="edge"/>
              <c:x val="2.3506694065051657E-2"/>
              <c:y val="0.23506662949399804"/>
            </c:manualLayout>
          </c:layout>
          <c:overlay val="0"/>
        </c:title>
        <c:numFmt formatCode="#,##0" sourceLinked="0"/>
        <c:majorTickMark val="out"/>
        <c:minorTickMark val="none"/>
        <c:tickLblPos val="nextTo"/>
        <c:spPr>
          <a:ln>
            <a:noFill/>
          </a:ln>
        </c:spPr>
        <c:txPr>
          <a:bodyPr/>
          <a:lstStyle/>
          <a:p>
            <a:pPr>
              <a:defRPr sz="800">
                <a:latin typeface="Work Sans" pitchFamily="2" charset="0"/>
              </a:defRPr>
            </a:pPr>
            <a:endParaRPr lang="en-US"/>
          </a:p>
        </c:txPr>
        <c:crossAx val="244015488"/>
        <c:crosses val="autoZero"/>
        <c:crossBetween val="between"/>
      </c:valAx>
    </c:plotArea>
    <c:plotVisOnly val="1"/>
    <c:dispBlanksAs val="gap"/>
    <c:showDLblsOverMax val="0"/>
  </c:chart>
  <c:spPr>
    <a:ln w="9525">
      <a:solidFill>
        <a:srgbClr val="ADD6EA"/>
      </a:solidFill>
    </a:ln>
  </c:spPr>
  <c:txPr>
    <a:bodyPr/>
    <a:lstStyle/>
    <a:p>
      <a:pPr>
        <a:defRPr>
          <a:latin typeface="Calibri" pitchFamily="34" charset="0"/>
          <a:cs typeface="Times New Roman"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Age!$S$744</c:f>
              <c:strCache>
                <c:ptCount val="1"/>
                <c:pt idx="0">
                  <c:v>0-17</c:v>
                </c:pt>
              </c:strCache>
            </c:strRef>
          </c:tx>
          <c:spPr>
            <a:solidFill>
              <a:srgbClr val="006991"/>
            </a:solidFill>
            <a:ln>
              <a:solidFill>
                <a:srgbClr val="006991"/>
              </a:solidFill>
            </a:ln>
            <a:effectLst/>
          </c:spPr>
          <c:invertIfNegative val="0"/>
          <c:cat>
            <c:strRef>
              <c:f>Age!$R$745:$R$746</c:f>
              <c:strCache>
                <c:ptCount val="2"/>
                <c:pt idx="0">
                  <c:v>First Nations</c:v>
                </c:pt>
                <c:pt idx="1">
                  <c:v>Non-Indigenous</c:v>
                </c:pt>
              </c:strCache>
            </c:strRef>
          </c:cat>
          <c:val>
            <c:numRef>
              <c:f>Age!$S$745:$S$746</c:f>
              <c:numCache>
                <c:formatCode>0</c:formatCode>
                <c:ptCount val="2"/>
                <c:pt idx="0">
                  <c:v>39.06556197514896</c:v>
                </c:pt>
                <c:pt idx="1">
                  <c:v>2.4122737607879432</c:v>
                </c:pt>
              </c:numCache>
            </c:numRef>
          </c:val>
          <c:extLst>
            <c:ext xmlns:c16="http://schemas.microsoft.com/office/drawing/2014/chart" uri="{C3380CC4-5D6E-409C-BE32-E72D297353CC}">
              <c16:uniqueId val="{00000000-5D0F-4BA5-8A34-431F1ADEFBE3}"/>
            </c:ext>
          </c:extLst>
        </c:ser>
        <c:ser>
          <c:idx val="1"/>
          <c:order val="1"/>
          <c:tx>
            <c:strRef>
              <c:f>Age!$T$744</c:f>
              <c:strCache>
                <c:ptCount val="1"/>
                <c:pt idx="0">
                  <c:v>18-24</c:v>
                </c:pt>
              </c:strCache>
            </c:strRef>
          </c:tx>
          <c:spPr>
            <a:solidFill>
              <a:srgbClr val="0092CB"/>
            </a:solidFill>
            <a:ln>
              <a:solidFill>
                <a:srgbClr val="0092CB"/>
              </a:solidFill>
            </a:ln>
            <a:effectLst/>
          </c:spPr>
          <c:invertIfNegative val="0"/>
          <c:cat>
            <c:strRef>
              <c:f>Age!$R$745:$R$746</c:f>
              <c:strCache>
                <c:ptCount val="2"/>
                <c:pt idx="0">
                  <c:v>First Nations</c:v>
                </c:pt>
                <c:pt idx="1">
                  <c:v>Non-Indigenous</c:v>
                </c:pt>
              </c:strCache>
            </c:strRef>
          </c:cat>
          <c:val>
            <c:numRef>
              <c:f>Age!$T$745:$T$746</c:f>
              <c:numCache>
                <c:formatCode>0</c:formatCode>
                <c:ptCount val="2"/>
                <c:pt idx="0">
                  <c:v>221.65797286981729</c:v>
                </c:pt>
                <c:pt idx="1">
                  <c:v>28.506166048305186</c:v>
                </c:pt>
              </c:numCache>
            </c:numRef>
          </c:val>
          <c:extLst>
            <c:ext xmlns:c16="http://schemas.microsoft.com/office/drawing/2014/chart" uri="{C3380CC4-5D6E-409C-BE32-E72D297353CC}">
              <c16:uniqueId val="{00000001-5D0F-4BA5-8A34-431F1ADEFBE3}"/>
            </c:ext>
          </c:extLst>
        </c:ser>
        <c:ser>
          <c:idx val="2"/>
          <c:order val="2"/>
          <c:tx>
            <c:strRef>
              <c:f>Age!$U$744</c:f>
              <c:strCache>
                <c:ptCount val="1"/>
                <c:pt idx="0">
                  <c:v>25-44</c:v>
                </c:pt>
              </c:strCache>
            </c:strRef>
          </c:tx>
          <c:spPr>
            <a:solidFill>
              <a:srgbClr val="60B5D7"/>
            </a:solidFill>
            <a:ln>
              <a:solidFill>
                <a:srgbClr val="60B5D7"/>
              </a:solidFill>
            </a:ln>
            <a:effectLst/>
          </c:spPr>
          <c:invertIfNegative val="0"/>
          <c:cat>
            <c:strRef>
              <c:f>Age!$R$745:$R$746</c:f>
              <c:strCache>
                <c:ptCount val="2"/>
                <c:pt idx="0">
                  <c:v>First Nations</c:v>
                </c:pt>
                <c:pt idx="1">
                  <c:v>Non-Indigenous</c:v>
                </c:pt>
              </c:strCache>
            </c:strRef>
          </c:cat>
          <c:val>
            <c:numRef>
              <c:f>Age!$U$745:$U$746</c:f>
              <c:numCache>
                <c:formatCode>0</c:formatCode>
                <c:ptCount val="2"/>
                <c:pt idx="0">
                  <c:v>294.80752816653415</c:v>
                </c:pt>
                <c:pt idx="1">
                  <c:v>29.123651410767685</c:v>
                </c:pt>
              </c:numCache>
            </c:numRef>
          </c:val>
          <c:extLst>
            <c:ext xmlns:c16="http://schemas.microsoft.com/office/drawing/2014/chart" uri="{C3380CC4-5D6E-409C-BE32-E72D297353CC}">
              <c16:uniqueId val="{00000002-5D0F-4BA5-8A34-431F1ADEFBE3}"/>
            </c:ext>
          </c:extLst>
        </c:ser>
        <c:ser>
          <c:idx val="3"/>
          <c:order val="3"/>
          <c:tx>
            <c:strRef>
              <c:f>Age!$V$744</c:f>
              <c:strCache>
                <c:ptCount val="1"/>
                <c:pt idx="0">
                  <c:v>45-64</c:v>
                </c:pt>
              </c:strCache>
            </c:strRef>
          </c:tx>
          <c:spPr>
            <a:solidFill>
              <a:srgbClr val="ADD6EA"/>
            </a:solidFill>
            <a:ln>
              <a:solidFill>
                <a:srgbClr val="ADD6EA"/>
              </a:solidFill>
            </a:ln>
            <a:effectLst/>
          </c:spPr>
          <c:invertIfNegative val="0"/>
          <c:cat>
            <c:strRef>
              <c:f>Age!$R$745:$R$746</c:f>
              <c:strCache>
                <c:ptCount val="2"/>
                <c:pt idx="0">
                  <c:v>First Nations</c:v>
                </c:pt>
                <c:pt idx="1">
                  <c:v>Non-Indigenous</c:v>
                </c:pt>
              </c:strCache>
            </c:strRef>
          </c:cat>
          <c:val>
            <c:numRef>
              <c:f>Age!$V$745:$V$746</c:f>
              <c:numCache>
                <c:formatCode>0</c:formatCode>
                <c:ptCount val="2"/>
                <c:pt idx="0">
                  <c:v>122.05974344062867</c:v>
                </c:pt>
                <c:pt idx="1">
                  <c:v>13.890167377628339</c:v>
                </c:pt>
              </c:numCache>
            </c:numRef>
          </c:val>
          <c:extLst>
            <c:ext xmlns:c16="http://schemas.microsoft.com/office/drawing/2014/chart" uri="{C3380CC4-5D6E-409C-BE32-E72D297353CC}">
              <c16:uniqueId val="{00000003-5D0F-4BA5-8A34-431F1ADEFBE3}"/>
            </c:ext>
          </c:extLst>
        </c:ser>
        <c:ser>
          <c:idx val="4"/>
          <c:order val="4"/>
          <c:tx>
            <c:strRef>
              <c:f>Age!$W$744</c:f>
              <c:strCache>
                <c:ptCount val="1"/>
                <c:pt idx="0">
                  <c:v>65+</c:v>
                </c:pt>
              </c:strCache>
            </c:strRef>
          </c:tx>
          <c:spPr>
            <a:solidFill>
              <a:srgbClr val="EBF3F5"/>
            </a:solidFill>
            <a:ln>
              <a:solidFill>
                <a:srgbClr val="EBF3F5"/>
              </a:solidFill>
            </a:ln>
            <a:effectLst/>
          </c:spPr>
          <c:invertIfNegative val="0"/>
          <c:cat>
            <c:strRef>
              <c:f>Age!$R$745:$R$746</c:f>
              <c:strCache>
                <c:ptCount val="2"/>
                <c:pt idx="0">
                  <c:v>First Nations</c:v>
                </c:pt>
                <c:pt idx="1">
                  <c:v>Non-Indigenous</c:v>
                </c:pt>
              </c:strCache>
            </c:strRef>
          </c:cat>
          <c:val>
            <c:numRef>
              <c:f>Age!$W$745:$W$746</c:f>
              <c:numCache>
                <c:formatCode>0</c:formatCode>
                <c:ptCount val="2"/>
                <c:pt idx="0">
                  <c:v>17.237601219223311</c:v>
                </c:pt>
                <c:pt idx="1">
                  <c:v>3.7390088683735518</c:v>
                </c:pt>
              </c:numCache>
            </c:numRef>
          </c:val>
          <c:extLst>
            <c:ext xmlns:c16="http://schemas.microsoft.com/office/drawing/2014/chart" uri="{C3380CC4-5D6E-409C-BE32-E72D297353CC}">
              <c16:uniqueId val="{00000004-5D0F-4BA5-8A34-431F1ADEFBE3}"/>
            </c:ext>
          </c:extLst>
        </c:ser>
        <c:dLbls>
          <c:showLegendKey val="0"/>
          <c:showVal val="0"/>
          <c:showCatName val="0"/>
          <c:showSerName val="0"/>
          <c:showPercent val="0"/>
          <c:showBubbleSize val="0"/>
        </c:dLbls>
        <c:gapWidth val="150"/>
        <c:axId val="123025568"/>
        <c:axId val="365378927"/>
      </c:barChart>
      <c:catAx>
        <c:axId val="12302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crossAx val="365378927"/>
        <c:crosses val="autoZero"/>
        <c:auto val="1"/>
        <c:lblAlgn val="ctr"/>
        <c:lblOffset val="100"/>
        <c:noMultiLvlLbl val="0"/>
      </c:catAx>
      <c:valAx>
        <c:axId val="365378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Work Sans" pitchFamily="2" charset="0"/>
                    <a:ea typeface="+mn-ea"/>
                    <a:cs typeface="+mn-cs"/>
                  </a:defRPr>
                </a:pPr>
                <a:r>
                  <a:rPr lang="en-AU" sz="800" b="1">
                    <a:solidFill>
                      <a:sysClr val="windowText" lastClr="000000"/>
                    </a:solidFill>
                    <a:latin typeface="Work Sans" pitchFamily="2" charset="0"/>
                  </a:rPr>
                  <a:t>Defendants</a:t>
                </a:r>
                <a:r>
                  <a:rPr lang="en-AU" sz="800" b="1" baseline="0">
                    <a:solidFill>
                      <a:sysClr val="windowText" lastClr="000000"/>
                    </a:solidFill>
                    <a:latin typeface="Work Sans" pitchFamily="2" charset="0"/>
                  </a:rPr>
                  <a:t> per 1,000 persons</a:t>
                </a:r>
                <a:endParaRPr lang="en-AU" sz="800" b="1">
                  <a:solidFill>
                    <a:sysClr val="windowText" lastClr="000000"/>
                  </a:solidFill>
                  <a:latin typeface="Work Sans" pitchFamily="2" charset="0"/>
                </a:endParaRPr>
              </a:p>
            </c:rich>
          </c:tx>
          <c:layout>
            <c:manualLayout>
              <c:xMode val="edge"/>
              <c:yMode val="edge"/>
              <c:x val="1.7726567693330378E-2"/>
              <c:y val="0.2433896902817760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Work Sans" pitchFamily="2" charset="0"/>
                  <a:ea typeface="+mn-ea"/>
                  <a:cs typeface="+mn-cs"/>
                </a:defRPr>
              </a:pPr>
              <a:endParaRPr lang="en-A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crossAx val="12302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Work San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ADD6EA"/>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91115572CD2074A8DF493F1808623F4" ma:contentTypeVersion="14" ma:contentTypeDescription="Create a new document." ma:contentTypeScope="" ma:versionID="a1b18ce6dc08ee1df12685951bc497b5">
  <xsd:schema xmlns:xsd="http://www.w3.org/2001/XMLSchema" xmlns:xs="http://www.w3.org/2001/XMLSchema" xmlns:p="http://schemas.microsoft.com/office/2006/metadata/properties" xmlns:ns2="90fa3e25-a176-4d82-ad40-74afe5ce8131" xmlns:ns3="fd0ec3be-4569-4cba-9f1a-cbd548d830fc" targetNamespace="http://schemas.microsoft.com/office/2006/metadata/properties" ma:root="true" ma:fieldsID="c04e5b83d183be4938917a396c4bdf64" ns2:_="" ns3:_="">
    <xsd:import namespace="90fa3e25-a176-4d82-ad40-74afe5ce8131"/>
    <xsd:import namespace="fd0ec3be-4569-4cba-9f1a-cbd548d830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fa3e25-a176-4d82-ad40-74afe5ce8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0ec3be-4569-4cba-9f1a-cbd548d830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8244f2a-d712-4f18-956e-71d587ee79e0}" ma:internalName="TaxCatchAll" ma:readOnly="false" ma:showField="CatchAllData" ma:web="fd0ec3be-4569-4cba-9f1a-cbd548d830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d0ec3be-4569-4cba-9f1a-cbd548d830fc" xsi:nil="true"/>
    <lcf76f155ced4ddcb4097134ff3c332f xmlns="90fa3e25-a176-4d82-ad40-74afe5ce81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7E0862-B77E-4BE7-B7B8-7DA3CE9E53E3}">
  <ds:schemaRefs>
    <ds:schemaRef ds:uri="http://schemas.microsoft.com/sharepoint/v3/contenttype/forms"/>
  </ds:schemaRefs>
</ds:datastoreItem>
</file>

<file path=customXml/itemProps2.xml><?xml version="1.0" encoding="utf-8"?>
<ds:datastoreItem xmlns:ds="http://schemas.openxmlformats.org/officeDocument/2006/customXml" ds:itemID="{58C9B718-98B6-46E7-B126-F2032D9114C4}">
  <ds:schemaRefs>
    <ds:schemaRef ds:uri="http://schemas.openxmlformats.org/officeDocument/2006/bibliography"/>
  </ds:schemaRefs>
</ds:datastoreItem>
</file>

<file path=customXml/itemProps3.xml><?xml version="1.0" encoding="utf-8"?>
<ds:datastoreItem xmlns:ds="http://schemas.openxmlformats.org/officeDocument/2006/customXml" ds:itemID="{CD2BBC64-555D-4C98-9564-8D8E8685A592}"/>
</file>

<file path=customXml/itemProps4.xml><?xml version="1.0" encoding="utf-8"?>
<ds:datastoreItem xmlns:ds="http://schemas.openxmlformats.org/officeDocument/2006/customXml" ds:itemID="{531099F4-D7FC-4E4E-9EF5-0B03D4C6EF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5892</TotalTime>
  <Pages>48</Pages>
  <Words>13812</Words>
  <Characters>78730</Characters>
  <Application>Microsoft Office Word</Application>
  <DocSecurity>0</DocSecurity>
  <Lines>656</Lines>
  <Paragraphs>184</Paragraphs>
  <ScaleCrop>false</ScaleCrop>
  <Company/>
  <LinksUpToDate>false</LinksUpToDate>
  <CharactersWithSpaces>92358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Crabb</dc:creator>
  <cp:keywords/>
  <dc:description/>
  <cp:lastModifiedBy>Baldock, Katrina</cp:lastModifiedBy>
  <cp:revision>7594</cp:revision>
  <cp:lastPrinted>2025-10-15T02:54:00Z</cp:lastPrinted>
  <dcterms:created xsi:type="dcterms:W3CDTF">2025-08-17T01:05:00Z</dcterms:created>
  <dcterms:modified xsi:type="dcterms:W3CDTF">2025-10-15T02:56:00Z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0x010100B91115572CD2074A8DF493F1808623F4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UID">
    <vt:lpwstr>00ac4a85-8e9f-4b49-bcab-259975cc1ad1</vt:lpwstr>
  </property>
  <property fmtid="{D5CDD505-2E9C-101B-9397-08002B2CF9AE}" pid="10" name="xd_Signature">
    <vt:bool>false</vt:bool>
  </property>
  <property fmtid="{D5CDD505-2E9C-101B-9397-08002B2CF9AE}" pid="11" name="ClassificationContentMarkingHeaderShapeIds">
    <vt:lpwstr>5,6,8,a,b,c</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d,e,f,10,11,12</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y fmtid="{D5CDD505-2E9C-101B-9397-08002B2CF9AE}" pid="17" name="MSIP_Label_6e3dc468-5731-4ec9-b671-cf2147a52e3a_Enabled">
    <vt:lpwstr>true</vt:lpwstr>
  </property>
  <property fmtid="{D5CDD505-2E9C-101B-9397-08002B2CF9AE}" pid="18" name="MSIP_Label_6e3dc468-5731-4ec9-b671-cf2147a52e3a_SetDate">
    <vt:lpwstr>2025-08-07T03:05:41Z</vt:lpwstr>
  </property>
  <property fmtid="{D5CDD505-2E9C-101B-9397-08002B2CF9AE}" pid="19" name="MSIP_Label_6e3dc468-5731-4ec9-b671-cf2147a52e3a_Method">
    <vt:lpwstr>Privileged</vt:lpwstr>
  </property>
  <property fmtid="{D5CDD505-2E9C-101B-9397-08002B2CF9AE}" pid="20" name="MSIP_Label_6e3dc468-5731-4ec9-b671-cf2147a52e3a_Name">
    <vt:lpwstr>Official</vt:lpwstr>
  </property>
  <property fmtid="{D5CDD505-2E9C-101B-9397-08002B2CF9AE}" pid="21" name="MSIP_Label_6e3dc468-5731-4ec9-b671-cf2147a52e3a_SiteId">
    <vt:lpwstr>214f1646-2021-47cc-8397-e3d3a7ba7d9d</vt:lpwstr>
  </property>
  <property fmtid="{D5CDD505-2E9C-101B-9397-08002B2CF9AE}" pid="22" name="MSIP_Label_6e3dc468-5731-4ec9-b671-cf2147a52e3a_ActionId">
    <vt:lpwstr>5e828e1f-50aa-4c3b-891e-922a327df6a0</vt:lpwstr>
  </property>
  <property fmtid="{D5CDD505-2E9C-101B-9397-08002B2CF9AE}" pid="23" name="MSIP_Label_6e3dc468-5731-4ec9-b671-cf2147a52e3a_ContentBits">
    <vt:lpwstr>3</vt:lpwstr>
  </property>
  <property fmtid="{D5CDD505-2E9C-101B-9397-08002B2CF9AE}" pid="24" name="Order">
    <vt:r8>87471300</vt:r8>
  </property>
</Properties>
</file>