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4F5D4" w14:textId="090D7854" w:rsidR="005F27E0" w:rsidRDefault="005F27E0">
      <w:pPr>
        <w:rPr>
          <w:sz w:val="24"/>
          <w:szCs w:val="24"/>
        </w:rPr>
      </w:pPr>
    </w:p>
    <w:p w14:paraId="2999F350" w14:textId="77777777" w:rsidR="00781CF1" w:rsidRDefault="00781CF1">
      <w:pPr>
        <w:rPr>
          <w:sz w:val="24"/>
          <w:szCs w:val="24"/>
        </w:rPr>
      </w:pPr>
    </w:p>
    <w:p w14:paraId="13BDE2C4" w14:textId="4B0DD36E" w:rsidR="00B86A43" w:rsidRDefault="002D497D" w:rsidP="002E614A">
      <w:pPr>
        <w:tabs>
          <w:tab w:val="right" w:pos="9026"/>
        </w:tabs>
        <w:rPr>
          <w:sz w:val="24"/>
          <w:szCs w:val="24"/>
        </w:rPr>
      </w:pPr>
      <w:r>
        <w:rPr>
          <w:noProof/>
        </w:rPr>
        <w:drawing>
          <wp:anchor distT="0" distB="0" distL="114300" distR="114300" simplePos="0" relativeHeight="251658241" behindDoc="1" locked="0" layoutInCell="1" allowOverlap="1" wp14:anchorId="0A038709" wp14:editId="7E1CCAE3">
            <wp:simplePos x="0" y="0"/>
            <wp:positionH relativeFrom="page">
              <wp:posOffset>-2969</wp:posOffset>
            </wp:positionH>
            <wp:positionV relativeFrom="page">
              <wp:posOffset>-803910</wp:posOffset>
            </wp:positionV>
            <wp:extent cx="7557770" cy="11511280"/>
            <wp:effectExtent l="0" t="0" r="5080" b="0"/>
            <wp:wrapNone/>
            <wp:docPr id="23" name="Picture 23"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70" cy="11511280"/>
                    </a:xfrm>
                    <a:prstGeom prst="rect">
                      <a:avLst/>
                    </a:prstGeom>
                  </pic:spPr>
                </pic:pic>
              </a:graphicData>
            </a:graphic>
            <wp14:sizeRelH relativeFrom="margin">
              <wp14:pctWidth>0</wp14:pctWidth>
            </wp14:sizeRelH>
            <wp14:sizeRelV relativeFrom="margin">
              <wp14:pctHeight>0</wp14:pctHeight>
            </wp14:sizeRelV>
          </wp:anchor>
        </w:drawing>
      </w:r>
      <w:r w:rsidR="00182276">
        <w:rPr>
          <w:sz w:val="24"/>
          <w:szCs w:val="24"/>
        </w:rPr>
        <w:tab/>
      </w:r>
    </w:p>
    <w:p w14:paraId="0102E3B7" w14:textId="63E77BE2" w:rsidR="00F0686F" w:rsidRPr="0040294B" w:rsidRDefault="00F0686F" w:rsidP="0040294B">
      <w:pPr>
        <w:rPr>
          <w:rFonts w:ascii="Work Sans" w:hAnsi="Work Sans"/>
          <w:sz w:val="24"/>
          <w:szCs w:val="24"/>
        </w:rPr>
      </w:pPr>
      <w:r>
        <w:rPr>
          <w:noProof/>
        </w:rPr>
        <w:drawing>
          <wp:anchor distT="0" distB="0" distL="114300" distR="114300" simplePos="0" relativeHeight="251658240" behindDoc="0" locked="0" layoutInCell="1" allowOverlap="1" wp14:anchorId="51358AD1" wp14:editId="0D46ADEC">
            <wp:simplePos x="914400" y="1210391"/>
            <wp:positionH relativeFrom="column">
              <wp:align>left</wp:align>
            </wp:positionH>
            <wp:positionV relativeFrom="paragraph">
              <wp:align>top</wp:align>
            </wp:positionV>
            <wp:extent cx="2441749" cy="460926"/>
            <wp:effectExtent l="0" t="0" r="0" b="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anchor>
        </w:drawing>
      </w:r>
    </w:p>
    <w:p w14:paraId="66E690E3" w14:textId="77777777" w:rsidR="00F0686F" w:rsidRPr="00F0686F" w:rsidRDefault="00F0686F" w:rsidP="00F0686F">
      <w:pPr>
        <w:rPr>
          <w:rFonts w:ascii="Work Sans" w:hAnsi="Work Sans"/>
          <w:sz w:val="24"/>
          <w:szCs w:val="24"/>
        </w:rPr>
      </w:pPr>
    </w:p>
    <w:p w14:paraId="36513127" w14:textId="77777777" w:rsidR="00F0686F" w:rsidRPr="00F0686F" w:rsidRDefault="00F0686F" w:rsidP="00F0686F">
      <w:pPr>
        <w:rPr>
          <w:rFonts w:ascii="Work Sans" w:hAnsi="Work Sans"/>
          <w:sz w:val="24"/>
          <w:szCs w:val="24"/>
        </w:rPr>
      </w:pPr>
    </w:p>
    <w:p w14:paraId="63D77E8E" w14:textId="77777777" w:rsidR="00F0686F" w:rsidRDefault="00F0686F" w:rsidP="00F0686F">
      <w:pPr>
        <w:rPr>
          <w:rFonts w:ascii="Work Sans" w:hAnsi="Work Sans"/>
          <w:sz w:val="24"/>
          <w:szCs w:val="24"/>
        </w:rPr>
      </w:pPr>
    </w:p>
    <w:p w14:paraId="5D1F022C" w14:textId="27EDE383" w:rsidR="00F0686F" w:rsidRDefault="00F0686F" w:rsidP="00F0686F">
      <w:pPr>
        <w:rPr>
          <w:rFonts w:ascii="Work Sans" w:hAnsi="Work Sans"/>
          <w:sz w:val="24"/>
          <w:szCs w:val="24"/>
        </w:rPr>
      </w:pPr>
    </w:p>
    <w:p w14:paraId="6C3DEB3C" w14:textId="77777777" w:rsidR="00B5532F" w:rsidRDefault="00B5532F" w:rsidP="00F0686F">
      <w:pPr>
        <w:rPr>
          <w:rFonts w:ascii="Work Sans" w:hAnsi="Work Sans"/>
          <w:sz w:val="24"/>
          <w:szCs w:val="24"/>
        </w:rPr>
      </w:pPr>
    </w:p>
    <w:p w14:paraId="09A3441B" w14:textId="2F3986D0" w:rsidR="00F0686F" w:rsidRPr="007A0405" w:rsidRDefault="00F0686F" w:rsidP="00F0686F">
      <w:pPr>
        <w:jc w:val="center"/>
        <w:rPr>
          <w:rFonts w:ascii="Work Sans" w:hAnsi="Work Sans" w:cs="Open Sans"/>
          <w:b/>
          <w:color w:val="FFFFFF" w:themeColor="background1"/>
          <w:sz w:val="84"/>
          <w:szCs w:val="84"/>
        </w:rPr>
      </w:pPr>
      <w:r w:rsidRPr="007A0405">
        <w:rPr>
          <w:rFonts w:ascii="Work Sans" w:hAnsi="Work Sans" w:cs="Open Sans"/>
          <w:b/>
          <w:color w:val="FFFFFF" w:themeColor="background1"/>
          <w:sz w:val="84"/>
          <w:szCs w:val="84"/>
        </w:rPr>
        <w:t>Discussion Paper</w:t>
      </w:r>
    </w:p>
    <w:p w14:paraId="5778656C" w14:textId="77777777" w:rsidR="00F0686F" w:rsidRPr="007A0405" w:rsidRDefault="00F0686F" w:rsidP="00F0686F">
      <w:pPr>
        <w:rPr>
          <w:rFonts w:ascii="Work Sans" w:hAnsi="Work Sans"/>
          <w:color w:val="FFFFFF" w:themeColor="background1"/>
          <w:sz w:val="24"/>
          <w:szCs w:val="24"/>
        </w:rPr>
      </w:pPr>
    </w:p>
    <w:p w14:paraId="40D7C11E" w14:textId="77777777" w:rsidR="00F0686F" w:rsidRPr="007A0405" w:rsidRDefault="00F0686F" w:rsidP="00F0686F">
      <w:pPr>
        <w:rPr>
          <w:rFonts w:ascii="Work Sans" w:hAnsi="Work Sans"/>
          <w:color w:val="FFFFFF" w:themeColor="background1"/>
          <w:sz w:val="24"/>
          <w:szCs w:val="24"/>
        </w:rPr>
      </w:pPr>
    </w:p>
    <w:p w14:paraId="3018706B" w14:textId="77777777" w:rsidR="00F0686F" w:rsidRPr="007A0405" w:rsidRDefault="00F0686F" w:rsidP="00F0686F">
      <w:pPr>
        <w:rPr>
          <w:rFonts w:ascii="Work Sans" w:hAnsi="Work Sans"/>
          <w:color w:val="FFFFFF" w:themeColor="background1"/>
          <w:sz w:val="24"/>
          <w:szCs w:val="24"/>
        </w:rPr>
      </w:pPr>
    </w:p>
    <w:p w14:paraId="349D8E84" w14:textId="77777777" w:rsidR="00F0686F" w:rsidRPr="007A0405" w:rsidRDefault="00F0686F" w:rsidP="00F0686F">
      <w:pPr>
        <w:rPr>
          <w:rFonts w:ascii="Work Sans" w:hAnsi="Work Sans"/>
          <w:color w:val="FFFFFF" w:themeColor="background1"/>
          <w:sz w:val="24"/>
          <w:szCs w:val="24"/>
        </w:rPr>
      </w:pPr>
    </w:p>
    <w:p w14:paraId="1B712909" w14:textId="6D56A1CE" w:rsidR="00F0686F" w:rsidRPr="007A0405" w:rsidRDefault="000347A2" w:rsidP="00F0686F">
      <w:pPr>
        <w:jc w:val="center"/>
        <w:rPr>
          <w:rFonts w:ascii="Work Sans" w:hAnsi="Work Sans" w:cs="Open Sans"/>
          <w:color w:val="FFFFFF" w:themeColor="background1"/>
          <w:sz w:val="48"/>
          <w:szCs w:val="48"/>
        </w:rPr>
      </w:pPr>
      <w:r w:rsidRPr="007A0405">
        <w:rPr>
          <w:rFonts w:ascii="Work Sans" w:hAnsi="Work Sans" w:cs="Open Sans"/>
          <w:color w:val="FFFFFF" w:themeColor="background1"/>
          <w:sz w:val="48"/>
          <w:szCs w:val="48"/>
        </w:rPr>
        <w:t xml:space="preserve">New </w:t>
      </w:r>
      <w:r w:rsidR="00CA0D38">
        <w:rPr>
          <w:rFonts w:ascii="Work Sans" w:hAnsi="Work Sans" w:cs="Open Sans"/>
          <w:color w:val="FFFFFF" w:themeColor="background1"/>
          <w:sz w:val="48"/>
          <w:szCs w:val="48"/>
        </w:rPr>
        <w:t>i</w:t>
      </w:r>
      <w:r w:rsidRPr="007A0405">
        <w:rPr>
          <w:rFonts w:ascii="Work Sans" w:hAnsi="Work Sans" w:cs="Open Sans"/>
          <w:color w:val="FFFFFF" w:themeColor="background1"/>
          <w:sz w:val="48"/>
          <w:szCs w:val="48"/>
        </w:rPr>
        <w:t>ssues</w:t>
      </w:r>
      <w:r w:rsidR="00C272B9">
        <w:rPr>
          <w:rFonts w:ascii="Work Sans" w:hAnsi="Work Sans" w:cs="Open Sans"/>
          <w:color w:val="FFFFFF" w:themeColor="background1"/>
          <w:sz w:val="48"/>
          <w:szCs w:val="48"/>
        </w:rPr>
        <w:t xml:space="preserve"> in the </w:t>
      </w:r>
      <w:r w:rsidR="0040294B" w:rsidRPr="007A0405">
        <w:rPr>
          <w:rFonts w:ascii="Work Sans" w:hAnsi="Work Sans" w:cs="Open Sans"/>
          <w:color w:val="FFFFFF" w:themeColor="background1"/>
          <w:sz w:val="48"/>
          <w:szCs w:val="48"/>
        </w:rPr>
        <w:t>20</w:t>
      </w:r>
      <w:r w:rsidRPr="007A0405">
        <w:rPr>
          <w:rFonts w:ascii="Work Sans" w:hAnsi="Work Sans" w:cs="Open Sans"/>
          <w:color w:val="FFFFFF" w:themeColor="background1"/>
          <w:sz w:val="48"/>
          <w:szCs w:val="48"/>
        </w:rPr>
        <w:t>2</w:t>
      </w:r>
      <w:r w:rsidR="00273672">
        <w:rPr>
          <w:rFonts w:ascii="Work Sans" w:hAnsi="Work Sans" w:cs="Open Sans"/>
          <w:color w:val="FFFFFF" w:themeColor="background1"/>
          <w:sz w:val="48"/>
          <w:szCs w:val="48"/>
        </w:rPr>
        <w:t>6</w:t>
      </w:r>
      <w:r w:rsidR="0040294B" w:rsidRPr="007A0405">
        <w:rPr>
          <w:rFonts w:ascii="Work Sans" w:hAnsi="Work Sans" w:cs="Open Sans"/>
          <w:color w:val="FFFFFF" w:themeColor="background1"/>
          <w:sz w:val="48"/>
          <w:szCs w:val="48"/>
        </w:rPr>
        <w:t xml:space="preserve"> </w:t>
      </w:r>
      <w:r w:rsidR="00F0686F" w:rsidRPr="007A0405">
        <w:rPr>
          <w:rFonts w:ascii="Work Sans" w:hAnsi="Work Sans" w:cs="Open Sans"/>
          <w:color w:val="FFFFFF" w:themeColor="background1"/>
          <w:sz w:val="48"/>
          <w:szCs w:val="48"/>
        </w:rPr>
        <w:t>Update</w:t>
      </w:r>
    </w:p>
    <w:p w14:paraId="5F3FF1E5" w14:textId="77777777" w:rsidR="00F0686F" w:rsidRPr="007A0405" w:rsidRDefault="00F0686F" w:rsidP="00F0686F">
      <w:pPr>
        <w:rPr>
          <w:rFonts w:ascii="Work Sans" w:hAnsi="Work Sans"/>
          <w:color w:val="FFFFFF" w:themeColor="background1"/>
          <w:sz w:val="24"/>
          <w:szCs w:val="24"/>
        </w:rPr>
      </w:pPr>
    </w:p>
    <w:p w14:paraId="332FBDCD" w14:textId="77777777" w:rsidR="00F0686F" w:rsidRPr="007A0405" w:rsidRDefault="00F0686F" w:rsidP="00F0686F">
      <w:pPr>
        <w:rPr>
          <w:rFonts w:ascii="Work Sans" w:hAnsi="Work Sans"/>
          <w:color w:val="FFFFFF" w:themeColor="background1"/>
          <w:sz w:val="24"/>
          <w:szCs w:val="24"/>
        </w:rPr>
      </w:pPr>
    </w:p>
    <w:p w14:paraId="4991329F" w14:textId="77777777" w:rsidR="00F0686F" w:rsidRPr="007A0405" w:rsidRDefault="00F0686F" w:rsidP="00F0686F">
      <w:pPr>
        <w:rPr>
          <w:rFonts w:ascii="Work Sans" w:hAnsi="Work Sans"/>
          <w:color w:val="FFFFFF" w:themeColor="background1"/>
          <w:sz w:val="24"/>
          <w:szCs w:val="24"/>
        </w:rPr>
      </w:pPr>
    </w:p>
    <w:p w14:paraId="624FCCBC" w14:textId="5D680394" w:rsidR="0040294B" w:rsidRPr="007A0405" w:rsidRDefault="00F7151C" w:rsidP="0040294B">
      <w:pPr>
        <w:jc w:val="center"/>
        <w:rPr>
          <w:rFonts w:ascii="Work Sans" w:hAnsi="Work Sans" w:cs="Open Sans"/>
          <w:color w:val="FFFFFF" w:themeColor="background1"/>
          <w:sz w:val="28"/>
          <w:szCs w:val="28"/>
        </w:rPr>
      </w:pPr>
      <w:r>
        <w:rPr>
          <w:rFonts w:ascii="Work Sans" w:hAnsi="Work Sans" w:cs="Open Sans"/>
          <w:color w:val="FFFFFF" w:themeColor="background1"/>
          <w:sz w:val="28"/>
          <w:szCs w:val="28"/>
        </w:rPr>
        <w:t>October</w:t>
      </w:r>
      <w:r w:rsidR="000347A2" w:rsidRPr="00EE2EA7">
        <w:rPr>
          <w:rFonts w:ascii="Work Sans" w:hAnsi="Work Sans" w:cs="Open Sans"/>
          <w:color w:val="FFFFFF" w:themeColor="background1"/>
          <w:sz w:val="28"/>
          <w:szCs w:val="28"/>
        </w:rPr>
        <w:t xml:space="preserve"> 202</w:t>
      </w:r>
      <w:r w:rsidR="00273672" w:rsidRPr="00EE2EA7">
        <w:rPr>
          <w:rFonts w:ascii="Work Sans" w:hAnsi="Work Sans" w:cs="Open Sans"/>
          <w:color w:val="FFFFFF" w:themeColor="background1"/>
          <w:sz w:val="28"/>
          <w:szCs w:val="28"/>
        </w:rPr>
        <w:t>5</w:t>
      </w:r>
    </w:p>
    <w:p w14:paraId="2A6E335F" w14:textId="77777777" w:rsidR="00F0686F" w:rsidRDefault="00F0686F" w:rsidP="00F0686F">
      <w:pPr>
        <w:rPr>
          <w:rFonts w:ascii="Work Sans" w:hAnsi="Work Sans"/>
          <w:sz w:val="24"/>
          <w:szCs w:val="24"/>
        </w:rPr>
      </w:pPr>
    </w:p>
    <w:p w14:paraId="60B58CA4" w14:textId="77777777" w:rsidR="0040294B" w:rsidRDefault="0040294B" w:rsidP="00F0686F">
      <w:pPr>
        <w:rPr>
          <w:rFonts w:ascii="Work Sans" w:hAnsi="Work Sans"/>
          <w:sz w:val="24"/>
          <w:szCs w:val="24"/>
        </w:rPr>
      </w:pPr>
    </w:p>
    <w:p w14:paraId="2FE15435" w14:textId="77777777" w:rsidR="0040294B" w:rsidRDefault="0040294B" w:rsidP="00F0686F">
      <w:pPr>
        <w:rPr>
          <w:rFonts w:ascii="Work Sans" w:hAnsi="Work Sans"/>
          <w:sz w:val="24"/>
          <w:szCs w:val="24"/>
        </w:rPr>
      </w:pPr>
    </w:p>
    <w:p w14:paraId="72684CEB" w14:textId="77777777" w:rsidR="0040294B" w:rsidRDefault="0040294B" w:rsidP="00F0686F">
      <w:pPr>
        <w:rPr>
          <w:rFonts w:ascii="Work Sans" w:hAnsi="Work Sans"/>
          <w:sz w:val="24"/>
          <w:szCs w:val="24"/>
        </w:rPr>
      </w:pPr>
    </w:p>
    <w:p w14:paraId="265BC125" w14:textId="77777777" w:rsidR="00F0686F" w:rsidRPr="00F0686F" w:rsidRDefault="00F0686F" w:rsidP="00F0686F">
      <w:pPr>
        <w:rPr>
          <w:rFonts w:ascii="Work Sans" w:hAnsi="Work Sans"/>
          <w:sz w:val="24"/>
          <w:szCs w:val="24"/>
        </w:rPr>
      </w:pPr>
    </w:p>
    <w:p w14:paraId="290D5FF7" w14:textId="77777777" w:rsidR="00F0686F" w:rsidRPr="00F0686F" w:rsidRDefault="00F0686F" w:rsidP="00F0686F">
      <w:pPr>
        <w:rPr>
          <w:rFonts w:ascii="Work Sans" w:hAnsi="Work Sans"/>
          <w:sz w:val="24"/>
          <w:szCs w:val="24"/>
        </w:rPr>
      </w:pPr>
    </w:p>
    <w:p w14:paraId="01275110" w14:textId="77777777" w:rsidR="00F0686F" w:rsidRDefault="00F0686F" w:rsidP="00F13451">
      <w:pPr>
        <w:pStyle w:val="Heading1"/>
        <w:sectPr w:rsidR="00F0686F" w:rsidSect="00F0686F">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0C098A25" w14:textId="77777777" w:rsidR="0040294B" w:rsidRPr="0040294B" w:rsidRDefault="0040294B" w:rsidP="0040294B">
      <w:pPr>
        <w:rPr>
          <w:rFonts w:ascii="Work Sans" w:hAnsi="Work Sans"/>
          <w:sz w:val="24"/>
          <w:szCs w:val="24"/>
        </w:rPr>
      </w:pPr>
    </w:p>
    <w:p w14:paraId="65055FF1" w14:textId="77777777" w:rsidR="0040294B" w:rsidRPr="0040294B" w:rsidRDefault="0040294B" w:rsidP="0040294B">
      <w:pPr>
        <w:rPr>
          <w:rFonts w:ascii="Work Sans" w:hAnsi="Work Sans"/>
          <w:sz w:val="24"/>
          <w:szCs w:val="24"/>
        </w:rPr>
      </w:pPr>
    </w:p>
    <w:p w14:paraId="1A3E8ABA" w14:textId="77777777" w:rsidR="0040294B" w:rsidRPr="0040294B" w:rsidRDefault="0040294B" w:rsidP="0040294B">
      <w:pPr>
        <w:rPr>
          <w:rFonts w:ascii="Work Sans" w:hAnsi="Work Sans"/>
          <w:sz w:val="24"/>
          <w:szCs w:val="24"/>
        </w:rPr>
      </w:pPr>
    </w:p>
    <w:p w14:paraId="6C5CC3CE" w14:textId="77777777" w:rsidR="0040294B" w:rsidRPr="0040294B" w:rsidRDefault="0040294B" w:rsidP="0040294B">
      <w:pPr>
        <w:rPr>
          <w:rFonts w:ascii="Work Sans" w:hAnsi="Work Sans"/>
          <w:sz w:val="24"/>
          <w:szCs w:val="24"/>
        </w:rPr>
      </w:pPr>
    </w:p>
    <w:p w14:paraId="3DD0A58E" w14:textId="77777777" w:rsidR="0040294B" w:rsidRDefault="0040294B" w:rsidP="0040294B">
      <w:pPr>
        <w:rPr>
          <w:rFonts w:ascii="Work Sans" w:hAnsi="Work Sans"/>
          <w:sz w:val="24"/>
          <w:szCs w:val="24"/>
        </w:rPr>
      </w:pPr>
    </w:p>
    <w:p w14:paraId="602E2B41" w14:textId="77777777" w:rsidR="00F96BF4" w:rsidRDefault="00F96BF4" w:rsidP="0040294B">
      <w:pPr>
        <w:rPr>
          <w:rFonts w:ascii="Work Sans" w:hAnsi="Work Sans"/>
          <w:sz w:val="24"/>
          <w:szCs w:val="24"/>
        </w:rPr>
      </w:pPr>
    </w:p>
    <w:p w14:paraId="7D795DC3" w14:textId="77777777" w:rsidR="00F96BF4" w:rsidRDefault="00F96BF4" w:rsidP="0040294B">
      <w:pPr>
        <w:rPr>
          <w:rFonts w:ascii="Work Sans" w:hAnsi="Work Sans"/>
          <w:sz w:val="24"/>
          <w:szCs w:val="24"/>
        </w:rPr>
      </w:pPr>
    </w:p>
    <w:p w14:paraId="40BF7B4B" w14:textId="77777777" w:rsidR="00F96BF4" w:rsidRDefault="00F96BF4" w:rsidP="0040294B">
      <w:pPr>
        <w:rPr>
          <w:rFonts w:ascii="Work Sans" w:hAnsi="Work Sans"/>
          <w:sz w:val="24"/>
          <w:szCs w:val="24"/>
        </w:rPr>
      </w:pPr>
    </w:p>
    <w:p w14:paraId="01B410E6" w14:textId="77777777" w:rsidR="00F96BF4" w:rsidRPr="0040294B" w:rsidRDefault="00F96BF4" w:rsidP="0040294B">
      <w:pPr>
        <w:rPr>
          <w:rFonts w:ascii="Work Sans" w:hAnsi="Work Sans"/>
          <w:sz w:val="24"/>
          <w:szCs w:val="24"/>
        </w:rPr>
      </w:pPr>
    </w:p>
    <w:p w14:paraId="086C0BD6" w14:textId="77777777" w:rsidR="0040294B" w:rsidRDefault="0040294B" w:rsidP="0040294B">
      <w:pPr>
        <w:rPr>
          <w:rFonts w:ascii="Work Sans" w:hAnsi="Work Sans"/>
          <w:sz w:val="24"/>
          <w:szCs w:val="24"/>
        </w:rPr>
      </w:pPr>
    </w:p>
    <w:p w14:paraId="340EBCA7" w14:textId="77777777" w:rsidR="00FE2B0F" w:rsidRDefault="00FE2B0F" w:rsidP="0040294B">
      <w:pPr>
        <w:rPr>
          <w:rFonts w:ascii="Work Sans" w:hAnsi="Work Sans"/>
          <w:sz w:val="24"/>
          <w:szCs w:val="24"/>
        </w:rPr>
      </w:pPr>
    </w:p>
    <w:p w14:paraId="34681714" w14:textId="77777777" w:rsidR="00FE2B0F" w:rsidRDefault="00FE2B0F" w:rsidP="0040294B">
      <w:pPr>
        <w:rPr>
          <w:rFonts w:ascii="Work Sans" w:hAnsi="Work Sans"/>
          <w:sz w:val="24"/>
          <w:szCs w:val="24"/>
        </w:rPr>
      </w:pPr>
    </w:p>
    <w:p w14:paraId="184A2DE3" w14:textId="77777777" w:rsidR="00FE2B0F" w:rsidRDefault="00FE2B0F" w:rsidP="0040294B">
      <w:pPr>
        <w:rPr>
          <w:rFonts w:ascii="Work Sans" w:hAnsi="Work Sans"/>
          <w:sz w:val="24"/>
          <w:szCs w:val="24"/>
        </w:rPr>
      </w:pPr>
    </w:p>
    <w:p w14:paraId="70CF2C36" w14:textId="77777777" w:rsidR="00FE2B0F" w:rsidRDefault="00FE2B0F" w:rsidP="0040294B">
      <w:pPr>
        <w:rPr>
          <w:rFonts w:ascii="Work Sans" w:hAnsi="Work Sans"/>
          <w:sz w:val="24"/>
          <w:szCs w:val="24"/>
        </w:rPr>
      </w:pPr>
    </w:p>
    <w:tbl>
      <w:tblPr>
        <w:tblStyle w:val="TableGrid"/>
        <w:tblW w:w="0" w:type="auto"/>
        <w:tblLook w:val="04A0" w:firstRow="1" w:lastRow="0" w:firstColumn="1" w:lastColumn="0" w:noHBand="0" w:noVBand="1"/>
      </w:tblPr>
      <w:tblGrid>
        <w:gridCol w:w="2972"/>
        <w:gridCol w:w="6044"/>
      </w:tblGrid>
      <w:tr w:rsidR="00873C95" w:rsidRPr="00F65608" w14:paraId="429FA1DB" w14:textId="77777777" w:rsidTr="770336AA">
        <w:tc>
          <w:tcPr>
            <w:tcW w:w="2972" w:type="dxa"/>
          </w:tcPr>
          <w:p w14:paraId="56E01026" w14:textId="77777777" w:rsidR="00873C95" w:rsidRPr="009C4724" w:rsidRDefault="00873C95" w:rsidP="0040294B">
            <w:pPr>
              <w:rPr>
                <w:rFonts w:ascii="Work Sans" w:hAnsi="Work Sans"/>
                <w:sz w:val="20"/>
                <w:szCs w:val="20"/>
              </w:rPr>
            </w:pPr>
            <w:r w:rsidRPr="009C4724">
              <w:rPr>
                <w:rFonts w:ascii="Work Sans" w:hAnsi="Work Sans"/>
                <w:sz w:val="20"/>
                <w:szCs w:val="20"/>
              </w:rPr>
              <w:t>Paper issued</w:t>
            </w:r>
          </w:p>
        </w:tc>
        <w:tc>
          <w:tcPr>
            <w:tcW w:w="6044" w:type="dxa"/>
          </w:tcPr>
          <w:p w14:paraId="6CD85772" w14:textId="0F05F62D" w:rsidR="00873C95" w:rsidRPr="00EE2EA7" w:rsidRDefault="002B0919" w:rsidP="0040294B">
            <w:pPr>
              <w:rPr>
                <w:rFonts w:ascii="Work Sans" w:hAnsi="Work Sans"/>
                <w:sz w:val="20"/>
                <w:szCs w:val="20"/>
              </w:rPr>
            </w:pPr>
            <w:r>
              <w:rPr>
                <w:rFonts w:ascii="Work Sans" w:hAnsi="Work Sans"/>
                <w:sz w:val="20"/>
                <w:szCs w:val="20"/>
              </w:rPr>
              <w:t xml:space="preserve">1 October </w:t>
            </w:r>
            <w:r w:rsidR="00355922" w:rsidRPr="00EE2EA7">
              <w:rPr>
                <w:rFonts w:ascii="Work Sans" w:hAnsi="Work Sans"/>
                <w:sz w:val="20"/>
                <w:szCs w:val="20"/>
              </w:rPr>
              <w:t>202</w:t>
            </w:r>
            <w:r w:rsidR="00273672" w:rsidRPr="00EE2EA7">
              <w:rPr>
                <w:rFonts w:ascii="Work Sans" w:hAnsi="Work Sans"/>
                <w:sz w:val="20"/>
                <w:szCs w:val="20"/>
              </w:rPr>
              <w:t>5</w:t>
            </w:r>
          </w:p>
        </w:tc>
      </w:tr>
      <w:tr w:rsidR="00873C95" w:rsidRPr="00F65608" w14:paraId="32543A86" w14:textId="77777777" w:rsidTr="770336AA">
        <w:tc>
          <w:tcPr>
            <w:tcW w:w="2972" w:type="dxa"/>
          </w:tcPr>
          <w:p w14:paraId="011128B4" w14:textId="77777777" w:rsidR="00873C95" w:rsidRPr="00861714" w:rsidRDefault="00873C95" w:rsidP="0040294B">
            <w:pPr>
              <w:rPr>
                <w:rFonts w:ascii="Work Sans" w:hAnsi="Work Sans"/>
                <w:sz w:val="20"/>
                <w:szCs w:val="20"/>
              </w:rPr>
            </w:pPr>
            <w:r w:rsidRPr="00861714">
              <w:rPr>
                <w:rFonts w:ascii="Work Sans" w:hAnsi="Work Sans"/>
                <w:sz w:val="20"/>
                <w:szCs w:val="20"/>
              </w:rPr>
              <w:t>Commission contact officer</w:t>
            </w:r>
          </w:p>
        </w:tc>
        <w:tc>
          <w:tcPr>
            <w:tcW w:w="6044" w:type="dxa"/>
          </w:tcPr>
          <w:p w14:paraId="0A532236" w14:textId="1F23765B" w:rsidR="00873C95" w:rsidRPr="00EE2EA7" w:rsidRDefault="00273672" w:rsidP="7DB9FC05">
            <w:pPr>
              <w:rPr>
                <w:rFonts w:ascii="Work Sans" w:hAnsi="Work Sans"/>
                <w:sz w:val="20"/>
                <w:szCs w:val="20"/>
              </w:rPr>
            </w:pPr>
            <w:r w:rsidRPr="00EE2EA7">
              <w:rPr>
                <w:rFonts w:ascii="Work Sans" w:hAnsi="Work Sans"/>
                <w:sz w:val="20"/>
                <w:szCs w:val="20"/>
              </w:rPr>
              <w:t>Jacob Savage, Jacob.savage</w:t>
            </w:r>
            <w:r w:rsidR="00262658" w:rsidRPr="00EE2EA7">
              <w:rPr>
                <w:rFonts w:ascii="Work Sans" w:hAnsi="Work Sans"/>
                <w:sz w:val="20"/>
                <w:szCs w:val="20"/>
              </w:rPr>
              <w:t>@cgc.gov.au</w:t>
            </w:r>
          </w:p>
        </w:tc>
      </w:tr>
      <w:tr w:rsidR="00873C95" w:rsidRPr="00F65608" w14:paraId="21A3038E" w14:textId="77777777" w:rsidTr="770336AA">
        <w:tc>
          <w:tcPr>
            <w:tcW w:w="2972" w:type="dxa"/>
          </w:tcPr>
          <w:p w14:paraId="645601E7" w14:textId="77777777" w:rsidR="00873C95" w:rsidRPr="00861714" w:rsidRDefault="00873C95" w:rsidP="00873C95">
            <w:pPr>
              <w:rPr>
                <w:rFonts w:ascii="Work Sans" w:hAnsi="Work Sans"/>
                <w:sz w:val="20"/>
                <w:szCs w:val="20"/>
              </w:rPr>
            </w:pPr>
            <w:r w:rsidRPr="00861714">
              <w:rPr>
                <w:rFonts w:ascii="Work Sans" w:hAnsi="Work Sans"/>
                <w:sz w:val="20"/>
                <w:szCs w:val="20"/>
              </w:rPr>
              <w:t>Submissions sought by</w:t>
            </w:r>
          </w:p>
        </w:tc>
        <w:tc>
          <w:tcPr>
            <w:tcW w:w="6044" w:type="dxa"/>
          </w:tcPr>
          <w:p w14:paraId="43D3EEBD" w14:textId="77777777" w:rsidR="00273672" w:rsidRPr="00EE2EA7" w:rsidRDefault="00273672" w:rsidP="00873C95">
            <w:pPr>
              <w:rPr>
                <w:rFonts w:ascii="Work Sans" w:hAnsi="Work Sans"/>
                <w:sz w:val="20"/>
                <w:szCs w:val="20"/>
              </w:rPr>
            </w:pPr>
            <w:r w:rsidRPr="00EE2EA7">
              <w:rPr>
                <w:rFonts w:ascii="Work Sans" w:hAnsi="Work Sans"/>
                <w:sz w:val="20"/>
                <w:szCs w:val="20"/>
              </w:rPr>
              <w:t>7 November 2025</w:t>
            </w:r>
          </w:p>
          <w:p w14:paraId="5E7F8844" w14:textId="77777777" w:rsidR="00273672" w:rsidRPr="00EE2EA7" w:rsidRDefault="00273672" w:rsidP="00873C95">
            <w:pPr>
              <w:rPr>
                <w:rFonts w:ascii="Work Sans" w:hAnsi="Work Sans"/>
                <w:sz w:val="20"/>
                <w:szCs w:val="20"/>
              </w:rPr>
            </w:pPr>
          </w:p>
          <w:p w14:paraId="5293ED98" w14:textId="436BC46B" w:rsidR="00873C95" w:rsidRPr="00EE2EA7" w:rsidRDefault="00873C95" w:rsidP="00873C95">
            <w:pPr>
              <w:rPr>
                <w:rFonts w:ascii="Work Sans" w:hAnsi="Work Sans"/>
                <w:sz w:val="20"/>
                <w:szCs w:val="20"/>
              </w:rPr>
            </w:pPr>
            <w:r w:rsidRPr="00EE2EA7">
              <w:rPr>
                <w:rFonts w:ascii="Work Sans" w:hAnsi="Work Sans"/>
                <w:sz w:val="20"/>
                <w:szCs w:val="20"/>
              </w:rPr>
              <w:t xml:space="preserve">Submissions should be </w:t>
            </w:r>
            <w:r w:rsidR="005567A9" w:rsidRPr="00EE2EA7">
              <w:rPr>
                <w:rFonts w:ascii="Work Sans" w:hAnsi="Work Sans"/>
                <w:sz w:val="20"/>
                <w:szCs w:val="20"/>
              </w:rPr>
              <w:t>placed in your private state channel in CGC Engagement Teams</w:t>
            </w:r>
            <w:r w:rsidR="00273672" w:rsidRPr="00EE2EA7">
              <w:rPr>
                <w:rFonts w:ascii="Work Sans" w:hAnsi="Work Sans"/>
                <w:sz w:val="20"/>
                <w:szCs w:val="20"/>
              </w:rPr>
              <w:t xml:space="preserve"> in GovTEAMS</w:t>
            </w:r>
            <w:r w:rsidR="005567A9" w:rsidRPr="00EE2EA7">
              <w:rPr>
                <w:rFonts w:ascii="Work Sans" w:hAnsi="Work Sans"/>
                <w:sz w:val="20"/>
                <w:szCs w:val="20"/>
              </w:rPr>
              <w:t xml:space="preserve"> with a post notifying </w:t>
            </w:r>
            <w:r w:rsidR="00355922" w:rsidRPr="00EE2EA7">
              <w:rPr>
                <w:rFonts w:ascii="Work Sans" w:hAnsi="Work Sans"/>
                <w:sz w:val="20"/>
                <w:szCs w:val="20"/>
              </w:rPr>
              <w:t>Katrina Baldock</w:t>
            </w:r>
            <w:r w:rsidR="00687289" w:rsidRPr="00EE2EA7">
              <w:rPr>
                <w:rFonts w:ascii="Work Sans" w:hAnsi="Work Sans"/>
                <w:sz w:val="20"/>
                <w:szCs w:val="20"/>
              </w:rPr>
              <w:t>.</w:t>
            </w:r>
          </w:p>
          <w:p w14:paraId="100ECD51" w14:textId="77777777" w:rsidR="00873C95" w:rsidRPr="00EE2EA7" w:rsidRDefault="00873C95" w:rsidP="00873C95">
            <w:pPr>
              <w:rPr>
                <w:rFonts w:ascii="Work Sans" w:hAnsi="Work Sans"/>
                <w:sz w:val="20"/>
                <w:szCs w:val="20"/>
              </w:rPr>
            </w:pPr>
          </w:p>
          <w:p w14:paraId="22E761E3" w14:textId="77777777" w:rsidR="00873C95" w:rsidRPr="00EE2EA7" w:rsidRDefault="00873C95" w:rsidP="00873C95">
            <w:pPr>
              <w:rPr>
                <w:rFonts w:ascii="Work Sans" w:hAnsi="Work Sans"/>
                <w:sz w:val="20"/>
                <w:szCs w:val="20"/>
              </w:rPr>
            </w:pPr>
            <w:r w:rsidRPr="00EE2EA7">
              <w:rPr>
                <w:rFonts w:ascii="Work Sans" w:hAnsi="Work Sans"/>
                <w:sz w:val="20"/>
                <w:szCs w:val="20"/>
              </w:rPr>
              <w:t>Submissions of more than 10 pages in length should include a summary section.</w:t>
            </w:r>
          </w:p>
        </w:tc>
      </w:tr>
      <w:tr w:rsidR="00873C95" w:rsidRPr="00F65608" w14:paraId="6D397A11" w14:textId="77777777" w:rsidTr="770336AA">
        <w:tc>
          <w:tcPr>
            <w:tcW w:w="2972" w:type="dxa"/>
          </w:tcPr>
          <w:p w14:paraId="05CC1A02" w14:textId="77777777" w:rsidR="00873C95" w:rsidRPr="00861714" w:rsidRDefault="00873C95" w:rsidP="00873C95">
            <w:pPr>
              <w:rPr>
                <w:rFonts w:ascii="Work Sans" w:hAnsi="Work Sans"/>
                <w:sz w:val="20"/>
                <w:szCs w:val="20"/>
              </w:rPr>
            </w:pPr>
            <w:r w:rsidRPr="00861714">
              <w:rPr>
                <w:rFonts w:ascii="Work Sans" w:hAnsi="Work Sans"/>
                <w:sz w:val="20"/>
                <w:szCs w:val="20"/>
              </w:rPr>
              <w:t>Confidential material</w:t>
            </w:r>
          </w:p>
        </w:tc>
        <w:tc>
          <w:tcPr>
            <w:tcW w:w="6044" w:type="dxa"/>
          </w:tcPr>
          <w:p w14:paraId="020E73C8" w14:textId="07B470CE" w:rsidR="00873C95" w:rsidRPr="00861714" w:rsidRDefault="00873C95" w:rsidP="00273672">
            <w:pPr>
              <w:spacing w:after="120"/>
              <w:rPr>
                <w:rFonts w:ascii="Work Sans" w:hAnsi="Work Sans"/>
                <w:sz w:val="20"/>
                <w:szCs w:val="20"/>
              </w:rPr>
            </w:pPr>
            <w:r w:rsidRPr="00861714">
              <w:rPr>
                <w:rFonts w:ascii="Work Sans" w:hAnsi="Work Sans"/>
                <w:sz w:val="20"/>
                <w:szCs w:val="20"/>
              </w:rPr>
              <w:t xml:space="preserve">It is the </w:t>
            </w:r>
            <w:r w:rsidR="00B409DE" w:rsidRPr="00861714">
              <w:rPr>
                <w:rFonts w:ascii="Work Sans" w:hAnsi="Work Sans"/>
                <w:sz w:val="20"/>
                <w:szCs w:val="20"/>
              </w:rPr>
              <w:t>C</w:t>
            </w:r>
            <w:r w:rsidRPr="00861714">
              <w:rPr>
                <w:rFonts w:ascii="Work Sans" w:hAnsi="Work Sans"/>
                <w:sz w:val="20"/>
                <w:szCs w:val="20"/>
              </w:rPr>
              <w:t xml:space="preserve">ommission’s normal practice to make </w:t>
            </w:r>
            <w:r w:rsidR="001A40C1" w:rsidRPr="00861714">
              <w:rPr>
                <w:rFonts w:ascii="Work Sans" w:hAnsi="Work Sans"/>
                <w:sz w:val="20"/>
                <w:szCs w:val="20"/>
              </w:rPr>
              <w:t>s</w:t>
            </w:r>
            <w:r w:rsidRPr="00861714">
              <w:rPr>
                <w:rFonts w:ascii="Work Sans" w:hAnsi="Work Sans"/>
                <w:sz w:val="20"/>
                <w:szCs w:val="20"/>
              </w:rPr>
              <w:t xml:space="preserve">tate submissions available on its website under the CC BY licence, allowing free use of content by third parties. </w:t>
            </w:r>
          </w:p>
          <w:p w14:paraId="7F7C63D8" w14:textId="77777777" w:rsidR="00873C95" w:rsidRPr="0057431F" w:rsidRDefault="00873C95" w:rsidP="00873C95">
            <w:pPr>
              <w:rPr>
                <w:rFonts w:ascii="Work Sans" w:hAnsi="Work Sans"/>
                <w:sz w:val="20"/>
                <w:szCs w:val="20"/>
              </w:rPr>
            </w:pPr>
            <w:r w:rsidRPr="0057431F">
              <w:rPr>
                <w:noProof/>
                <w:sz w:val="20"/>
                <w:szCs w:val="20"/>
                <w:lang w:eastAsia="en-AU"/>
              </w:rPr>
              <w:drawing>
                <wp:inline distT="0" distB="0" distL="0" distR="0" wp14:anchorId="48C26708" wp14:editId="64F7695B">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6"/>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620F4B68" w14:textId="77777777" w:rsidR="00873C95" w:rsidRPr="0057431F" w:rsidRDefault="00873C95" w:rsidP="00273672">
            <w:pPr>
              <w:spacing w:before="120"/>
              <w:rPr>
                <w:rFonts w:ascii="Work Sans" w:hAnsi="Work Sans"/>
                <w:sz w:val="20"/>
                <w:szCs w:val="20"/>
              </w:rPr>
            </w:pPr>
            <w:r w:rsidRPr="0057431F">
              <w:rPr>
                <w:rFonts w:ascii="Work Sans" w:hAnsi="Work Sans"/>
                <w:sz w:val="20"/>
                <w:szCs w:val="20"/>
              </w:rPr>
              <w:t xml:space="preserve">Further information on the CC BY licence can be found on the Creative Commons website (http://creativecommons.org). </w:t>
            </w:r>
          </w:p>
          <w:p w14:paraId="7FCCC1F3" w14:textId="77777777" w:rsidR="00873C95" w:rsidRPr="0057431F" w:rsidRDefault="00873C95" w:rsidP="00273672">
            <w:pPr>
              <w:spacing w:before="120"/>
              <w:rPr>
                <w:rFonts w:ascii="Work Sans" w:hAnsi="Work Sans"/>
                <w:sz w:val="20"/>
                <w:szCs w:val="20"/>
              </w:rPr>
            </w:pPr>
            <w:r w:rsidRPr="0057431F">
              <w:rPr>
                <w:rFonts w:ascii="Work Sans" w:hAnsi="Work Sans"/>
                <w:sz w:val="20"/>
                <w:szCs w:val="20"/>
              </w:rPr>
              <w:t>Confidential material contained in submissions must be clearly identified or included in separate attachment/s, and details provided in the covering email. Identified confidential material will not be published on the commission’s website.</w:t>
            </w:r>
          </w:p>
        </w:tc>
      </w:tr>
    </w:tbl>
    <w:p w14:paraId="510CC281" w14:textId="77777777" w:rsidR="0040294B" w:rsidRPr="0040294B" w:rsidRDefault="0040294B" w:rsidP="0040294B">
      <w:pPr>
        <w:rPr>
          <w:rFonts w:ascii="Work Sans" w:hAnsi="Work Sans"/>
          <w:sz w:val="24"/>
          <w:szCs w:val="24"/>
        </w:rPr>
      </w:pPr>
    </w:p>
    <w:p w14:paraId="718EB117" w14:textId="1975389C" w:rsidR="0040294B" w:rsidRDefault="0040294B" w:rsidP="0040294B"/>
    <w:p w14:paraId="0A2CC495" w14:textId="77777777" w:rsidR="0040294B" w:rsidRPr="0040294B" w:rsidRDefault="0040294B" w:rsidP="0040294B">
      <w:pPr>
        <w:sectPr w:rsidR="0040294B" w:rsidRPr="0040294B" w:rsidSect="00635CB3">
          <w:pgSz w:w="11906" w:h="16838"/>
          <w:pgMar w:top="1440" w:right="1440" w:bottom="1440" w:left="1440" w:header="708" w:footer="708" w:gutter="0"/>
          <w:pgNumType w:fmt="lowerRoman" w:start="1"/>
          <w:cols w:space="708"/>
          <w:titlePg/>
          <w:docGrid w:linePitch="360"/>
        </w:sectPr>
      </w:pPr>
    </w:p>
    <w:p w14:paraId="12732BDC" w14:textId="3531A10C" w:rsidR="0093509B" w:rsidRDefault="0093509B" w:rsidP="00F13451">
      <w:pPr>
        <w:pStyle w:val="Heading1"/>
      </w:pPr>
      <w:r>
        <w:lastRenderedPageBreak/>
        <w:t>Background</w:t>
      </w:r>
    </w:p>
    <w:p w14:paraId="6D702065" w14:textId="1FA7F58A" w:rsidR="00F60F58" w:rsidRPr="001E09CA" w:rsidRDefault="00F60F58" w:rsidP="00F60F58">
      <w:pPr>
        <w:pStyle w:val="CGCParaNumber"/>
      </w:pPr>
      <w:r w:rsidRPr="001E09CA">
        <w:t>In expectation that the Commission will receive terms of reference for a 2026</w:t>
      </w:r>
      <w:r w:rsidR="0037026B">
        <w:t> </w:t>
      </w:r>
      <w:r w:rsidRPr="001E09CA">
        <w:t>Update of GST relativities, this paper sets out the new issues and Commonwealth payments identified by the Commission as relevant to the update. The Commission is seeking the views of Commonwealth and state and territory (state) treasuries on its proposals.</w:t>
      </w:r>
    </w:p>
    <w:p w14:paraId="0197A873" w14:textId="77777777" w:rsidR="00F60F58" w:rsidRPr="001E09CA" w:rsidRDefault="00F60F58" w:rsidP="00F60F58">
      <w:pPr>
        <w:pStyle w:val="CGCParaNumber"/>
      </w:pPr>
      <w:r w:rsidRPr="001E09CA">
        <w:t xml:space="preserve">New issues fall into the following categories: </w:t>
      </w:r>
    </w:p>
    <w:p w14:paraId="3225EAAB" w14:textId="77777777" w:rsidR="00F60F58" w:rsidRPr="001E09CA" w:rsidRDefault="00F60F58" w:rsidP="00F60F58">
      <w:pPr>
        <w:pStyle w:val="CGCBullet1"/>
      </w:pPr>
      <w:r w:rsidRPr="001E09CA">
        <w:t xml:space="preserve">data issues </w:t>
      </w:r>
    </w:p>
    <w:p w14:paraId="73A86003" w14:textId="356E3CB3" w:rsidR="00F60F58" w:rsidRPr="001E09CA" w:rsidRDefault="00F60F58" w:rsidP="00F9564E">
      <w:pPr>
        <w:pStyle w:val="CGCBullet1"/>
        <w:numPr>
          <w:ilvl w:val="0"/>
          <w:numId w:val="4"/>
        </w:numPr>
        <w:ind w:left="1134"/>
      </w:pPr>
      <w:r w:rsidRPr="001E09CA">
        <w:t>schools</w:t>
      </w:r>
      <w:r w:rsidR="00F10A14">
        <w:t>:</w:t>
      </w:r>
      <w:r w:rsidRPr="001E09CA">
        <w:t xml:space="preserve"> changes in state funding</w:t>
      </w:r>
    </w:p>
    <w:p w14:paraId="1D7839C8" w14:textId="44163194" w:rsidR="00F60F58" w:rsidRPr="001E09CA" w:rsidRDefault="00F60F58" w:rsidP="00F9564E">
      <w:pPr>
        <w:pStyle w:val="CGCBullet1"/>
        <w:numPr>
          <w:ilvl w:val="0"/>
          <w:numId w:val="4"/>
        </w:numPr>
        <w:ind w:left="1134"/>
      </w:pPr>
      <w:r w:rsidRPr="001E09CA">
        <w:t>health</w:t>
      </w:r>
      <w:r w:rsidR="00F10A14">
        <w:t>:</w:t>
      </w:r>
      <w:r w:rsidRPr="001E09CA">
        <w:t xml:space="preserve"> community health activity proxy</w:t>
      </w:r>
    </w:p>
    <w:p w14:paraId="284D7211" w14:textId="23324299" w:rsidR="00F60F58" w:rsidRPr="001E09CA" w:rsidRDefault="00F60F58" w:rsidP="00F9564E">
      <w:pPr>
        <w:pStyle w:val="CGCBullet1"/>
        <w:numPr>
          <w:ilvl w:val="0"/>
          <w:numId w:val="4"/>
        </w:numPr>
        <w:ind w:left="1134"/>
      </w:pPr>
      <w:r w:rsidRPr="001E09CA">
        <w:t>transport</w:t>
      </w:r>
      <w:r w:rsidR="00F10A14">
        <w:t>:</w:t>
      </w:r>
      <w:r w:rsidRPr="001E09CA">
        <w:t xml:space="preserve"> regression re-estimation</w:t>
      </w:r>
    </w:p>
    <w:p w14:paraId="17D365DD" w14:textId="77777777" w:rsidR="00F60F58" w:rsidRPr="001E09CA" w:rsidRDefault="00F60F58" w:rsidP="00F60F58">
      <w:pPr>
        <w:pStyle w:val="CGCBullet1"/>
      </w:pPr>
      <w:r w:rsidRPr="001E09CA">
        <w:t>assessment issue</w:t>
      </w:r>
    </w:p>
    <w:p w14:paraId="23F77F17" w14:textId="3B467CCE" w:rsidR="00F60F58" w:rsidRPr="001E09CA" w:rsidRDefault="00F60F58" w:rsidP="00F9564E">
      <w:pPr>
        <w:pStyle w:val="CGCBullet1"/>
        <w:numPr>
          <w:ilvl w:val="0"/>
          <w:numId w:val="4"/>
        </w:numPr>
        <w:ind w:left="1134"/>
      </w:pPr>
      <w:r w:rsidRPr="001E09CA">
        <w:t>schools</w:t>
      </w:r>
      <w:r w:rsidR="00F10A14">
        <w:t>:</w:t>
      </w:r>
      <w:r w:rsidRPr="001E09CA">
        <w:t xml:space="preserve"> Better and Fairer Schools Agreement</w:t>
      </w:r>
    </w:p>
    <w:p w14:paraId="68D36AD9" w14:textId="6C497FA4" w:rsidR="00F60F58" w:rsidRPr="001E09CA" w:rsidRDefault="00F60F58" w:rsidP="00F60F58">
      <w:pPr>
        <w:pStyle w:val="CGCBullet1"/>
      </w:pPr>
      <w:r w:rsidRPr="001E09CA">
        <w:t xml:space="preserve">treatment of new Commonwealth payments. </w:t>
      </w:r>
    </w:p>
    <w:p w14:paraId="11B6EA57" w14:textId="77777777" w:rsidR="00F60F58" w:rsidRPr="001E09CA" w:rsidRDefault="00F60F58" w:rsidP="00F60F58">
      <w:pPr>
        <w:pStyle w:val="CGCParaNumber"/>
      </w:pPr>
      <w:r w:rsidRPr="001E09CA">
        <w:t xml:space="preserve">States are asked to provide </w:t>
      </w:r>
      <w:r w:rsidRPr="00EE2EA7">
        <w:t>comments by 7 November 2025. States should</w:t>
      </w:r>
      <w:r w:rsidRPr="001E09CA">
        <w:t xml:space="preserve"> upload their submissions to their private CGC Engagement channel in GovTEAMS. The contact officer for queries is Jacob Savage (Jacob.Savage@cgc.gov.au). </w:t>
      </w:r>
    </w:p>
    <w:p w14:paraId="7A8160CE" w14:textId="77777777" w:rsidR="00F60F58" w:rsidRPr="00B5532F" w:rsidRDefault="00F60F58" w:rsidP="00BC2E18">
      <w:pPr>
        <w:pStyle w:val="CGCParaNumber"/>
        <w:numPr>
          <w:ilvl w:val="0"/>
          <w:numId w:val="0"/>
        </w:numPr>
      </w:pPr>
    </w:p>
    <w:p w14:paraId="362A6052" w14:textId="7ABB195E" w:rsidR="00873102" w:rsidRDefault="00873102">
      <w:pPr>
        <w:rPr>
          <w:rFonts w:ascii="Work Sans" w:eastAsia="Times New Roman" w:hAnsi="Work Sans" w:cs="Times New Roman"/>
          <w:sz w:val="24"/>
          <w:szCs w:val="24"/>
          <w:lang w:eastAsia="en-AU"/>
        </w:rPr>
      </w:pPr>
      <w:r w:rsidRPr="21B70E7F">
        <w:rPr>
          <w:highlight w:val="yellow"/>
        </w:rPr>
        <w:br w:type="page"/>
      </w:r>
    </w:p>
    <w:p w14:paraId="094C672D" w14:textId="44407ED2" w:rsidR="0093509B" w:rsidRDefault="0093509B" w:rsidP="00492329">
      <w:pPr>
        <w:pStyle w:val="Heading1"/>
      </w:pPr>
      <w:r>
        <w:lastRenderedPageBreak/>
        <w:t xml:space="preserve">Summary of </w:t>
      </w:r>
      <w:r w:rsidR="006E468F">
        <w:t>Commission</w:t>
      </w:r>
      <w:r w:rsidR="00B6167D">
        <w:t>’</w:t>
      </w:r>
      <w:r w:rsidR="006E468F">
        <w:t xml:space="preserve">s </w:t>
      </w:r>
      <w:r w:rsidR="00621085">
        <w:t>preliminary views</w:t>
      </w:r>
    </w:p>
    <w:p w14:paraId="59B4B180" w14:textId="77777777" w:rsidR="002D5D12" w:rsidRDefault="007F1CC7">
      <w:r>
        <w:rPr>
          <w:noProof/>
        </w:rPr>
        <mc:AlternateContent>
          <mc:Choice Requires="wps">
            <w:drawing>
              <wp:inline distT="0" distB="0" distL="114300" distR="114300" wp14:anchorId="681A8594" wp14:editId="2A0AC34C">
                <wp:extent cx="5780405" cy="5041900"/>
                <wp:effectExtent l="0" t="0" r="0" b="6350"/>
                <wp:docPr id="1871461841" name="Rectangle 1871461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0405" cy="5041900"/>
                        </a:xfrm>
                        <a:prstGeom prst="rect">
                          <a:avLst/>
                        </a:prstGeom>
                        <a:solidFill>
                          <a:srgbClr val="E5F8FF"/>
                        </a:solidFill>
                        <a:ln w="25400" cap="flat" cmpd="sng" algn="ctr">
                          <a:noFill/>
                          <a:prstDash val="solid"/>
                        </a:ln>
                        <a:effectLst/>
                      </wps:spPr>
                      <wps:txbx>
                        <w:txbxContent>
                          <w:p w14:paraId="29488EB4" w14:textId="77777777" w:rsidR="00A03087" w:rsidRPr="00E65118" w:rsidRDefault="00A03087" w:rsidP="00A03087">
                            <w:pPr>
                              <w:pStyle w:val="CGCParaNumber"/>
                              <w:numPr>
                                <w:ilvl w:val="0"/>
                                <w:numId w:val="0"/>
                              </w:numPr>
                            </w:pPr>
                            <w:r w:rsidRPr="00E65118">
                              <w:t xml:space="preserve">The Commission has the following preliminary views regarding New Issues it has identified for the 2026 Update. No states raised any new issues with the Commission. </w:t>
                            </w:r>
                          </w:p>
                          <w:p w14:paraId="5F974543" w14:textId="4ADD73FA" w:rsidR="00A03087" w:rsidRPr="00E65118" w:rsidRDefault="00A03087" w:rsidP="00A03087">
                            <w:pPr>
                              <w:pStyle w:val="CGCBullet1"/>
                            </w:pPr>
                            <w:r w:rsidRPr="00E65118">
                              <w:t xml:space="preserve">Data </w:t>
                            </w:r>
                            <w:r w:rsidR="002A454D">
                              <w:t>i</w:t>
                            </w:r>
                            <w:r w:rsidRPr="00E65118">
                              <w:t>ssues:</w:t>
                            </w:r>
                          </w:p>
                          <w:p w14:paraId="49490C2E" w14:textId="1786152F" w:rsidR="00A03087" w:rsidRPr="00E65118" w:rsidRDefault="00A03087" w:rsidP="00F9564E">
                            <w:pPr>
                              <w:pStyle w:val="CGCBullet1"/>
                              <w:numPr>
                                <w:ilvl w:val="0"/>
                                <w:numId w:val="4"/>
                              </w:numPr>
                              <w:ind w:left="1134"/>
                            </w:pPr>
                            <w:r w:rsidRPr="00E65118">
                              <w:t xml:space="preserve">Schools, changes in state funding: preliminary view is to use the 2023 </w:t>
                            </w:r>
                            <w:r w:rsidR="00DB6780" w:rsidRPr="00E65118">
                              <w:t xml:space="preserve">Australian Curriculum, Assessment and Reporting Authority </w:t>
                            </w:r>
                            <w:r w:rsidR="005B5BAA">
                              <w:t>(</w:t>
                            </w:r>
                            <w:r w:rsidRPr="00E65118">
                              <w:t>ACARA</w:t>
                            </w:r>
                            <w:r w:rsidR="005B5BAA">
                              <w:t>)</w:t>
                            </w:r>
                            <w:r w:rsidRPr="00E65118">
                              <w:t xml:space="preserve"> data without adjustment.</w:t>
                            </w:r>
                          </w:p>
                          <w:p w14:paraId="12652FAF" w14:textId="139B5478" w:rsidR="00A03087" w:rsidRPr="00E65118" w:rsidRDefault="00A03087" w:rsidP="00F9564E">
                            <w:pPr>
                              <w:pStyle w:val="CGCBullet1"/>
                              <w:numPr>
                                <w:ilvl w:val="0"/>
                                <w:numId w:val="4"/>
                              </w:numPr>
                              <w:ind w:left="1134"/>
                            </w:pPr>
                            <w:r w:rsidRPr="00E65118">
                              <w:t xml:space="preserve">Health, community health activity proxy: preliminary view is to include </w:t>
                            </w:r>
                            <w:r w:rsidR="00416EF6">
                              <w:br/>
                            </w:r>
                            <w:r w:rsidRPr="00E65118">
                              <w:t xml:space="preserve">non-admitted patient </w:t>
                            </w:r>
                            <w:r w:rsidR="00AB51DA">
                              <w:t xml:space="preserve">(NAP) </w:t>
                            </w:r>
                            <w:r w:rsidRPr="00E65118">
                              <w:t>allied health services relating to violence, abuse and neglect services and genetic counselling in its proxy for community and public health activity, but not to include services relating to long COVID in the 2026 Update.</w:t>
                            </w:r>
                          </w:p>
                          <w:p w14:paraId="4EE3006D" w14:textId="6F9DC4AB" w:rsidR="00A03087" w:rsidRPr="00E65118" w:rsidRDefault="00A03087" w:rsidP="00F9564E">
                            <w:pPr>
                              <w:pStyle w:val="CGCBullet1"/>
                              <w:numPr>
                                <w:ilvl w:val="0"/>
                                <w:numId w:val="4"/>
                              </w:numPr>
                              <w:ind w:left="1134"/>
                            </w:pPr>
                            <w:r w:rsidRPr="00E65118">
                              <w:t xml:space="preserve">Health, </w:t>
                            </w:r>
                            <w:r w:rsidR="00791259">
                              <w:t>c</w:t>
                            </w:r>
                            <w:r w:rsidRPr="00E65118">
                              <w:t xml:space="preserve">overage of the </w:t>
                            </w:r>
                            <w:r w:rsidR="00CA5204">
                              <w:t>emergency department (</w:t>
                            </w:r>
                            <w:r w:rsidRPr="00E65118">
                              <w:t>ED</w:t>
                            </w:r>
                            <w:r w:rsidR="00CA5204">
                              <w:t>)</w:t>
                            </w:r>
                            <w:r w:rsidRPr="00E65118">
                              <w:t xml:space="preserve"> triage 4 and 5 data: preliminary view is to cease scaling the </w:t>
                            </w:r>
                            <w:r w:rsidR="00886656">
                              <w:t>ED</w:t>
                            </w:r>
                            <w:r w:rsidRPr="00E65118">
                              <w:t xml:space="preserve"> part of the community and public health activity proxy from 2023</w:t>
                            </w:r>
                            <w:r w:rsidR="003B6C46">
                              <w:t>‍‍–</w:t>
                            </w:r>
                            <w:r w:rsidRPr="00E65118">
                              <w:t>24.</w:t>
                            </w:r>
                          </w:p>
                          <w:p w14:paraId="759423BF" w14:textId="6B489C8B" w:rsidR="00A03087" w:rsidRPr="00EE2EA7" w:rsidRDefault="00A03087" w:rsidP="00F9564E">
                            <w:pPr>
                              <w:pStyle w:val="CGCBullet1"/>
                              <w:numPr>
                                <w:ilvl w:val="0"/>
                                <w:numId w:val="4"/>
                              </w:numPr>
                              <w:ind w:left="1134"/>
                            </w:pPr>
                            <w:r w:rsidRPr="00E65118">
                              <w:t xml:space="preserve">Transport, </w:t>
                            </w:r>
                            <w:r w:rsidR="00B73524" w:rsidRPr="00B73524">
                              <w:t>regression re-estimation</w:t>
                            </w:r>
                            <w:r w:rsidR="00B73524">
                              <w:t>:</w:t>
                            </w:r>
                            <w:r w:rsidRPr="00E65118">
                              <w:t xml:space="preserve"> </w:t>
                            </w:r>
                            <w:r w:rsidR="00C86125">
                              <w:t xml:space="preserve">preliminary view is to </w:t>
                            </w:r>
                            <w:r w:rsidR="00871D5F">
                              <w:t>retain the 2025</w:t>
                            </w:r>
                            <w:r w:rsidR="00EC2086">
                              <w:t> </w:t>
                            </w:r>
                            <w:r w:rsidR="00871D5F">
                              <w:t xml:space="preserve">Review regression model coefficients for use in the urban transport </w:t>
                            </w:r>
                            <w:r w:rsidR="00871D5F" w:rsidRPr="00EE2EA7">
                              <w:t>assessment</w:t>
                            </w:r>
                            <w:r w:rsidRPr="00EE2EA7">
                              <w:t>.</w:t>
                            </w:r>
                            <w:r w:rsidR="00A82E27" w:rsidRPr="00EE2EA7">
                              <w:t xml:space="preserve"> The Commission will continue to investigate the cause of the variation, including through the Data Working Group.</w:t>
                            </w:r>
                          </w:p>
                          <w:p w14:paraId="6FDAF504" w14:textId="0F36ACE3" w:rsidR="00A03087" w:rsidRPr="00E65118" w:rsidRDefault="00A03087" w:rsidP="00A03087">
                            <w:pPr>
                              <w:pStyle w:val="CGCBullet1"/>
                            </w:pPr>
                            <w:r w:rsidRPr="00E65118">
                              <w:t xml:space="preserve">Assessment </w:t>
                            </w:r>
                            <w:r w:rsidR="00A8031D">
                              <w:t>i</w:t>
                            </w:r>
                            <w:r w:rsidRPr="00E65118">
                              <w:t>ssues:</w:t>
                            </w:r>
                          </w:p>
                          <w:p w14:paraId="3DF688E6" w14:textId="6E3B9355" w:rsidR="00A03087" w:rsidRPr="00E65118" w:rsidRDefault="00A03087" w:rsidP="00F9564E">
                            <w:pPr>
                              <w:pStyle w:val="CGCBullet1"/>
                              <w:numPr>
                                <w:ilvl w:val="0"/>
                                <w:numId w:val="4"/>
                              </w:numPr>
                              <w:ind w:left="1134"/>
                            </w:pPr>
                            <w:r w:rsidRPr="00E65118">
                              <w:t>Schools, Better and Fairer Schools Agreement: preliminary view is to exclude Commonwealth spending on state schools from all calculations from 2024–</w:t>
                            </w:r>
                            <w:r w:rsidR="00A6477D">
                              <w:t>‍</w:t>
                            </w:r>
                            <w:r w:rsidRPr="00E65118">
                              <w:t>25 and continue the existing approach for the 2022–23 and 2023–24 assessment years.</w:t>
                            </w:r>
                          </w:p>
                          <w:p w14:paraId="35EEAF81" w14:textId="77777777" w:rsidR="00A03087" w:rsidRPr="00E65118" w:rsidRDefault="00A03087" w:rsidP="00A03087">
                            <w:pPr>
                              <w:pStyle w:val="CGCBullet1"/>
                            </w:pPr>
                            <w:r w:rsidRPr="00E65118">
                              <w:t>New Commonwealth payments:</w:t>
                            </w:r>
                          </w:p>
                          <w:p w14:paraId="63926AD0" w14:textId="18FA1019" w:rsidR="00990792" w:rsidRPr="0024598E" w:rsidRDefault="00A03087" w:rsidP="00F9564E">
                            <w:pPr>
                              <w:pStyle w:val="CGCBullet1"/>
                              <w:numPr>
                                <w:ilvl w:val="0"/>
                                <w:numId w:val="4"/>
                              </w:numPr>
                              <w:ind w:left="1134"/>
                            </w:pPr>
                            <w:r w:rsidRPr="00E65118">
                              <w:t>Proposed treatment of new Commonwealth payments is outlined in Attachment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1A8594" id="Rectangle 1871461841" o:spid="_x0000_s1026" alt="&quot;&quot;" style="width:455.15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" fillcolor="#e5f8ff" stroked="f" strokeweight="2pt">
                <v:textbox>
                  <w:txbxContent>
                    <w:p w14:paraId="29488EB4" w14:textId="77777777" w:rsidR="00A03087" w:rsidRPr="00E65118" w:rsidRDefault="00A03087" w:rsidP="00A03087">
                      <w:pPr>
                        <w:pStyle w:val="CGCParaNumber"/>
                        <w:numPr>
                          <w:ilvl w:val="0"/>
                          <w:numId w:val="0"/>
                        </w:numPr>
                      </w:pPr>
                      <w:r w:rsidRPr="00E65118">
                        <w:t xml:space="preserve">The Commission has the following preliminary views regarding New Issues it has identified for the 2026 Update. No states raised any new issues with the Commission. </w:t>
                      </w:r>
                    </w:p>
                    <w:p w14:paraId="5F974543" w14:textId="4ADD73FA" w:rsidR="00A03087" w:rsidRPr="00E65118" w:rsidRDefault="00A03087" w:rsidP="00A03087">
                      <w:pPr>
                        <w:pStyle w:val="CGCBullet1"/>
                      </w:pPr>
                      <w:r w:rsidRPr="00E65118">
                        <w:t xml:space="preserve">Data </w:t>
                      </w:r>
                      <w:r w:rsidR="002A454D">
                        <w:t>i</w:t>
                      </w:r>
                      <w:r w:rsidRPr="00E65118">
                        <w:t>ssues:</w:t>
                      </w:r>
                    </w:p>
                    <w:p w14:paraId="49490C2E" w14:textId="1786152F" w:rsidR="00A03087" w:rsidRPr="00E65118" w:rsidRDefault="00A03087" w:rsidP="00F9564E">
                      <w:pPr>
                        <w:pStyle w:val="CGCBullet1"/>
                        <w:numPr>
                          <w:ilvl w:val="0"/>
                          <w:numId w:val="4"/>
                        </w:numPr>
                        <w:ind w:left="1134"/>
                      </w:pPr>
                      <w:r w:rsidRPr="00E65118">
                        <w:t xml:space="preserve">Schools, changes in state funding: preliminary view is to use the 2023 </w:t>
                      </w:r>
                      <w:r w:rsidR="00DB6780" w:rsidRPr="00E65118">
                        <w:t xml:space="preserve">Australian Curriculum, Assessment and Reporting Authority </w:t>
                      </w:r>
                      <w:r w:rsidR="005B5BAA">
                        <w:t>(</w:t>
                      </w:r>
                      <w:r w:rsidRPr="00E65118">
                        <w:t>ACARA</w:t>
                      </w:r>
                      <w:r w:rsidR="005B5BAA">
                        <w:t>)</w:t>
                      </w:r>
                      <w:r w:rsidRPr="00E65118">
                        <w:t xml:space="preserve"> data without adjustment.</w:t>
                      </w:r>
                    </w:p>
                    <w:p w14:paraId="12652FAF" w14:textId="139B5478" w:rsidR="00A03087" w:rsidRPr="00E65118" w:rsidRDefault="00A03087" w:rsidP="00F9564E">
                      <w:pPr>
                        <w:pStyle w:val="CGCBullet1"/>
                        <w:numPr>
                          <w:ilvl w:val="0"/>
                          <w:numId w:val="4"/>
                        </w:numPr>
                        <w:ind w:left="1134"/>
                      </w:pPr>
                      <w:r w:rsidRPr="00E65118">
                        <w:t xml:space="preserve">Health, community health activity proxy: preliminary view is to include </w:t>
                      </w:r>
                      <w:r w:rsidR="00416EF6">
                        <w:br/>
                      </w:r>
                      <w:r w:rsidRPr="00E65118">
                        <w:t xml:space="preserve">non-admitted patient </w:t>
                      </w:r>
                      <w:r w:rsidR="00AB51DA">
                        <w:t xml:space="preserve">(NAP) </w:t>
                      </w:r>
                      <w:r w:rsidRPr="00E65118">
                        <w:t>allied health services relating to violence, abuse and neglect services and genetic counselling in its proxy for community and public health activity, but not to include services relating to long COVID in the 2026 Update.</w:t>
                      </w:r>
                    </w:p>
                    <w:p w14:paraId="4EE3006D" w14:textId="6F9DC4AB" w:rsidR="00A03087" w:rsidRPr="00E65118" w:rsidRDefault="00A03087" w:rsidP="00F9564E">
                      <w:pPr>
                        <w:pStyle w:val="CGCBullet1"/>
                        <w:numPr>
                          <w:ilvl w:val="0"/>
                          <w:numId w:val="4"/>
                        </w:numPr>
                        <w:ind w:left="1134"/>
                      </w:pPr>
                      <w:r w:rsidRPr="00E65118">
                        <w:t xml:space="preserve">Health, </w:t>
                      </w:r>
                      <w:r w:rsidR="00791259">
                        <w:t>c</w:t>
                      </w:r>
                      <w:r w:rsidRPr="00E65118">
                        <w:t xml:space="preserve">overage of the </w:t>
                      </w:r>
                      <w:r w:rsidR="00CA5204">
                        <w:t>emergency department (</w:t>
                      </w:r>
                      <w:r w:rsidRPr="00E65118">
                        <w:t>ED</w:t>
                      </w:r>
                      <w:r w:rsidR="00CA5204">
                        <w:t>)</w:t>
                      </w:r>
                      <w:r w:rsidRPr="00E65118">
                        <w:t xml:space="preserve"> triage 4 and 5 data: preliminary view is to cease scaling the </w:t>
                      </w:r>
                      <w:r w:rsidR="00886656">
                        <w:t>ED</w:t>
                      </w:r>
                      <w:r w:rsidRPr="00E65118">
                        <w:t xml:space="preserve"> part of the community and public health activity proxy from 2023</w:t>
                      </w:r>
                      <w:r w:rsidR="003B6C46">
                        <w:t>‍‍–</w:t>
                      </w:r>
                      <w:r w:rsidRPr="00E65118">
                        <w:t>24.</w:t>
                      </w:r>
                    </w:p>
                    <w:p w14:paraId="759423BF" w14:textId="6B489C8B" w:rsidR="00A03087" w:rsidRPr="00EE2EA7" w:rsidRDefault="00A03087" w:rsidP="00F9564E">
                      <w:pPr>
                        <w:pStyle w:val="CGCBullet1"/>
                        <w:numPr>
                          <w:ilvl w:val="0"/>
                          <w:numId w:val="4"/>
                        </w:numPr>
                        <w:ind w:left="1134"/>
                      </w:pPr>
                      <w:r w:rsidRPr="00E65118">
                        <w:t xml:space="preserve">Transport, </w:t>
                      </w:r>
                      <w:r w:rsidR="00B73524" w:rsidRPr="00B73524">
                        <w:t>regression re-estimation</w:t>
                      </w:r>
                      <w:r w:rsidR="00B73524">
                        <w:t>:</w:t>
                      </w:r>
                      <w:r w:rsidRPr="00E65118">
                        <w:t xml:space="preserve"> </w:t>
                      </w:r>
                      <w:r w:rsidR="00C86125">
                        <w:t xml:space="preserve">preliminary view is to </w:t>
                      </w:r>
                      <w:r w:rsidR="00871D5F">
                        <w:t>retain the 2025</w:t>
                      </w:r>
                      <w:r w:rsidR="00EC2086">
                        <w:t> </w:t>
                      </w:r>
                      <w:r w:rsidR="00871D5F">
                        <w:t xml:space="preserve">Review regression model coefficients for use in the urban transport </w:t>
                      </w:r>
                      <w:r w:rsidR="00871D5F" w:rsidRPr="00EE2EA7">
                        <w:t>assessment</w:t>
                      </w:r>
                      <w:r w:rsidRPr="00EE2EA7">
                        <w:t>.</w:t>
                      </w:r>
                      <w:r w:rsidR="00A82E27" w:rsidRPr="00EE2EA7">
                        <w:t xml:space="preserve"> The Commission will continue to investigate the cause of the variation, including through the Data Working Group.</w:t>
                      </w:r>
                    </w:p>
                    <w:p w14:paraId="6FDAF504" w14:textId="0F36ACE3" w:rsidR="00A03087" w:rsidRPr="00E65118" w:rsidRDefault="00A03087" w:rsidP="00A03087">
                      <w:pPr>
                        <w:pStyle w:val="CGCBullet1"/>
                      </w:pPr>
                      <w:r w:rsidRPr="00E65118">
                        <w:t xml:space="preserve">Assessment </w:t>
                      </w:r>
                      <w:r w:rsidR="00A8031D">
                        <w:t>i</w:t>
                      </w:r>
                      <w:r w:rsidRPr="00E65118">
                        <w:t>ssues:</w:t>
                      </w:r>
                    </w:p>
                    <w:p w14:paraId="3DF688E6" w14:textId="6E3B9355" w:rsidR="00A03087" w:rsidRPr="00E65118" w:rsidRDefault="00A03087" w:rsidP="00F9564E">
                      <w:pPr>
                        <w:pStyle w:val="CGCBullet1"/>
                        <w:numPr>
                          <w:ilvl w:val="0"/>
                          <w:numId w:val="4"/>
                        </w:numPr>
                        <w:ind w:left="1134"/>
                      </w:pPr>
                      <w:r w:rsidRPr="00E65118">
                        <w:t>Schools, Better and Fairer Schools Agreement: preliminary view is to exclude Commonwealth spending on state schools from all calculations from 2024–</w:t>
                      </w:r>
                      <w:r w:rsidR="00A6477D">
                        <w:t>‍</w:t>
                      </w:r>
                      <w:r w:rsidRPr="00E65118">
                        <w:t>25 and continue the existing approach for the 2022–23 and 2023–24 assessment years.</w:t>
                      </w:r>
                    </w:p>
                    <w:p w14:paraId="35EEAF81" w14:textId="77777777" w:rsidR="00A03087" w:rsidRPr="00E65118" w:rsidRDefault="00A03087" w:rsidP="00A03087">
                      <w:pPr>
                        <w:pStyle w:val="CGCBullet1"/>
                      </w:pPr>
                      <w:r w:rsidRPr="00E65118">
                        <w:t>New Commonwealth payments:</w:t>
                      </w:r>
                    </w:p>
                    <w:p w14:paraId="63926AD0" w14:textId="18FA1019" w:rsidR="00990792" w:rsidRPr="0024598E" w:rsidRDefault="00A03087" w:rsidP="00F9564E">
                      <w:pPr>
                        <w:pStyle w:val="CGCBullet1"/>
                        <w:numPr>
                          <w:ilvl w:val="0"/>
                          <w:numId w:val="4"/>
                        </w:numPr>
                        <w:ind w:left="1134"/>
                      </w:pPr>
                      <w:r w:rsidRPr="00E65118">
                        <w:t>Proposed treatment of new Commonwealth payments is outlined in Attachment A.</w:t>
                      </w:r>
                    </w:p>
                  </w:txbxContent>
                </v:textbox>
                <w10:anchorlock/>
              </v:rect>
            </w:pict>
          </mc:Fallback>
        </mc:AlternateContent>
      </w:r>
    </w:p>
    <w:p w14:paraId="6412CA36" w14:textId="66515848" w:rsidR="00C25147" w:rsidRPr="00255C60" w:rsidRDefault="007F1CC7">
      <w:r>
        <w:br w:type="page"/>
      </w:r>
    </w:p>
    <w:p w14:paraId="0ACBE683" w14:textId="03BB7CA5" w:rsidR="00916690" w:rsidRDefault="00A03087" w:rsidP="002E7B64">
      <w:pPr>
        <w:pStyle w:val="Heading1"/>
      </w:pPr>
      <w:r>
        <w:lastRenderedPageBreak/>
        <w:t>Data issues</w:t>
      </w:r>
    </w:p>
    <w:p w14:paraId="288A369F" w14:textId="77777777" w:rsidR="00A03087" w:rsidRDefault="00A03087" w:rsidP="00A03087">
      <w:pPr>
        <w:pStyle w:val="Heading2"/>
      </w:pPr>
      <w:r>
        <w:t>Schools – changes in state funding</w:t>
      </w:r>
    </w:p>
    <w:p w14:paraId="079C7299" w14:textId="5EC913E4" w:rsidR="00A03087" w:rsidRPr="00E65118" w:rsidRDefault="00A03087" w:rsidP="00A03087">
      <w:pPr>
        <w:pStyle w:val="CGCParaNumber"/>
      </w:pPr>
      <w:r w:rsidRPr="00E65118">
        <w:t xml:space="preserve">Each year, the Commission recalculates the </w:t>
      </w:r>
      <w:proofErr w:type="gramStart"/>
      <w:r w:rsidRPr="00E65118">
        <w:t>schools</w:t>
      </w:r>
      <w:proofErr w:type="gramEnd"/>
      <w:r w:rsidRPr="00E65118">
        <w:t xml:space="preserve"> regression </w:t>
      </w:r>
      <w:r w:rsidR="006E6EED">
        <w:t xml:space="preserve">with the latest available data to </w:t>
      </w:r>
      <w:r w:rsidRPr="00E65118">
        <w:t>determin</w:t>
      </w:r>
      <w:r w:rsidR="006E6EED">
        <w:t>e</w:t>
      </w:r>
      <w:r w:rsidRPr="00E65118">
        <w:t xml:space="preserve"> the relative cost of different groups of students. It also considers whether the regression can be improved by including the </w:t>
      </w:r>
      <w:r w:rsidR="005C64F3">
        <w:t xml:space="preserve">proportion </w:t>
      </w:r>
      <w:r w:rsidRPr="00E65118">
        <w:t>of First</w:t>
      </w:r>
      <w:r w:rsidR="00CF138C">
        <w:t> </w:t>
      </w:r>
      <w:r w:rsidRPr="00E65118">
        <w:t xml:space="preserve">Nations students in a school or the additional costs of remote First Nations students. </w:t>
      </w:r>
    </w:p>
    <w:p w14:paraId="17E51C5E" w14:textId="111EB403" w:rsidR="00A03087" w:rsidRPr="00E65118" w:rsidRDefault="00A03087" w:rsidP="00A03087">
      <w:pPr>
        <w:pStyle w:val="CGCParaNumber"/>
      </w:pPr>
      <w:r w:rsidRPr="00E65118">
        <w:t xml:space="preserve">For the 2026 Update, the </w:t>
      </w:r>
      <w:r w:rsidR="00D26EE0">
        <w:t>updated</w:t>
      </w:r>
      <w:r w:rsidRPr="00E65118">
        <w:t xml:space="preserve"> annual regression used 2023 data from the </w:t>
      </w:r>
      <w:r w:rsidR="00254B33">
        <w:t>ACARA</w:t>
      </w:r>
      <w:r w:rsidRPr="00E65118">
        <w:t xml:space="preserve">. These data produced some larger annual changes in coefficients than had been </w:t>
      </w:r>
      <w:r w:rsidR="00C705C2">
        <w:t>estimated</w:t>
      </w:r>
      <w:r w:rsidRPr="00E65118">
        <w:t xml:space="preserve"> previously, particularly for the First Nations coefficient. </w:t>
      </w:r>
    </w:p>
    <w:p w14:paraId="4B7E123F" w14:textId="77777777" w:rsidR="00A03087" w:rsidRPr="00E65118" w:rsidRDefault="00A03087" w:rsidP="00A03087">
      <w:pPr>
        <w:pStyle w:val="CGCParaNumber"/>
      </w:pPr>
      <w:r w:rsidRPr="00E65118">
        <w:t xml:space="preserve">After around 10 years of incremental change in regression coefficients, the cost weight for First Nations students increased from $4,116 per student in 2021 to $6,148 in 2022 and $9,100 in 2023. </w:t>
      </w:r>
    </w:p>
    <w:p w14:paraId="7ADF6D75" w14:textId="466FC66B" w:rsidR="00A03087" w:rsidRDefault="00A03087" w:rsidP="00A03087">
      <w:pPr>
        <w:pStyle w:val="CGCParaNumber"/>
      </w:pPr>
      <w:r w:rsidRPr="00E65118">
        <w:t>Annual testing of the inclusion of a First Nation</w:t>
      </w:r>
      <w:r w:rsidR="008A322C">
        <w:t>s</w:t>
      </w:r>
      <w:r w:rsidRPr="00E65118">
        <w:t xml:space="preserve"> </w:t>
      </w:r>
      <w:r w:rsidR="0021693D">
        <w:t>proportion</w:t>
      </w:r>
      <w:r w:rsidR="0021693D" w:rsidRPr="00E65118">
        <w:t xml:space="preserve"> </w:t>
      </w:r>
      <w:r w:rsidRPr="00E65118">
        <w:t>variable or a remote First Nations student variable has continued to show negative coefficients</w:t>
      </w:r>
      <w:r w:rsidR="004F4424">
        <w:t>, which are</w:t>
      </w:r>
      <w:r w:rsidRPr="00E65118">
        <w:t xml:space="preserve"> inconsistent with the conceptual case. </w:t>
      </w:r>
    </w:p>
    <w:p w14:paraId="6CEAC5B2" w14:textId="69AF9DBD" w:rsidR="00581232" w:rsidRPr="00A03087" w:rsidRDefault="00A03087" w:rsidP="00A03087">
      <w:pPr>
        <w:pStyle w:val="Heading3"/>
        <w:rPr>
          <w:rStyle w:val="normaltextrun"/>
        </w:rPr>
      </w:pPr>
      <w:r w:rsidRPr="00A03087">
        <w:t>Analysis</w:t>
      </w:r>
    </w:p>
    <w:p w14:paraId="36BCD512" w14:textId="31F783EC" w:rsidR="00C44EA4" w:rsidRDefault="00070D16" w:rsidP="00070D16">
      <w:pPr>
        <w:pStyle w:val="CGCParaNumber"/>
      </w:pPr>
      <w:r>
        <w:t xml:space="preserve">In the </w:t>
      </w:r>
      <w:r w:rsidR="00E30611">
        <w:t xml:space="preserve">updated </w:t>
      </w:r>
      <w:r>
        <w:t xml:space="preserve">state funded government </w:t>
      </w:r>
      <w:proofErr w:type="gramStart"/>
      <w:r>
        <w:t>schools</w:t>
      </w:r>
      <w:proofErr w:type="gramEnd"/>
      <w:r>
        <w:t xml:space="preserve"> regression, there are statistically significant changes to several coefficients. F</w:t>
      </w:r>
      <w:r w:rsidRPr="00DC7F6E">
        <w:t>ixed costs of a school increased</w:t>
      </w:r>
      <w:r>
        <w:t xml:space="preserve">, </w:t>
      </w:r>
      <w:r w:rsidRPr="00DC7F6E">
        <w:t>fixed costs of a secondary school increased</w:t>
      </w:r>
      <w:r>
        <w:t xml:space="preserve">, </w:t>
      </w:r>
      <w:r w:rsidRPr="00DC7F6E">
        <w:t xml:space="preserve">outer regional student costs decreased and </w:t>
      </w:r>
      <w:r w:rsidRPr="00252DCA">
        <w:t>became</w:t>
      </w:r>
      <w:r w:rsidRPr="00DC7F6E">
        <w:t xml:space="preserve"> insignificant</w:t>
      </w:r>
      <w:r>
        <w:t xml:space="preserve">, </w:t>
      </w:r>
      <w:r w:rsidRPr="00DC7F6E">
        <w:t>remote or very remote student costs decreased</w:t>
      </w:r>
      <w:r>
        <w:t xml:space="preserve"> and </w:t>
      </w:r>
      <w:r w:rsidRPr="007F604C">
        <w:t>First Nations student costs increased</w:t>
      </w:r>
      <w:r>
        <w:t xml:space="preserve"> (Table 1)</w:t>
      </w:r>
      <w:r w:rsidRPr="007F604C">
        <w:t>.</w:t>
      </w:r>
    </w:p>
    <w:p w14:paraId="315C085F" w14:textId="1DF6CFCC" w:rsidR="00070D16" w:rsidRPr="00017E57" w:rsidRDefault="00070D16" w:rsidP="006D23B6">
      <w:pPr>
        <w:pStyle w:val="Caption"/>
        <w:rPr>
          <w:b/>
        </w:rPr>
      </w:pPr>
      <w:bookmarkStart w:id="0" w:name="_Ref207713039"/>
      <w:r w:rsidRPr="00017E57">
        <w:rPr>
          <w:b/>
        </w:rPr>
        <w:t>Table</w:t>
      </w:r>
      <w:bookmarkEnd w:id="0"/>
      <w:r w:rsidRPr="00017E57">
        <w:rPr>
          <w:b/>
        </w:rPr>
        <w:t xml:space="preserve"> 1</w:t>
      </w:r>
      <w:r w:rsidRPr="00017E57">
        <w:rPr>
          <w:b/>
        </w:rPr>
        <w:tab/>
        <w:t>Significance of government schools regression coefficients</w:t>
      </w:r>
    </w:p>
    <w:tbl>
      <w:tblPr>
        <w:tblW w:w="8980" w:type="dxa"/>
        <w:tblLook w:val="04A0" w:firstRow="1" w:lastRow="0" w:firstColumn="1" w:lastColumn="0" w:noHBand="0" w:noVBand="1"/>
      </w:tblPr>
      <w:tblGrid>
        <w:gridCol w:w="3220"/>
        <w:gridCol w:w="1300"/>
        <w:gridCol w:w="1300"/>
        <w:gridCol w:w="1300"/>
        <w:gridCol w:w="1860"/>
      </w:tblGrid>
      <w:tr w:rsidR="00070D16" w:rsidRPr="00F06D38" w14:paraId="3E83BBB1" w14:textId="77777777" w:rsidTr="00874F19">
        <w:trPr>
          <w:trHeight w:val="525"/>
        </w:trPr>
        <w:tc>
          <w:tcPr>
            <w:tcW w:w="3220" w:type="dxa"/>
            <w:tcBorders>
              <w:top w:val="nil"/>
              <w:left w:val="single" w:sz="8" w:space="0" w:color="C0E6F5"/>
              <w:bottom w:val="single" w:sz="8" w:space="0" w:color="C0E6F5"/>
              <w:right w:val="nil"/>
            </w:tcBorders>
            <w:shd w:val="clear" w:color="000000" w:fill="006991"/>
            <w:vAlign w:val="center"/>
            <w:hideMark/>
          </w:tcPr>
          <w:p w14:paraId="32B9E207" w14:textId="77777777" w:rsidR="00070D16" w:rsidRPr="00F06D38" w:rsidRDefault="00070D16" w:rsidP="00874F19">
            <w:pPr>
              <w:spacing w:after="0" w:line="240" w:lineRule="auto"/>
              <w:rPr>
                <w:rFonts w:ascii="Open Sans Semibold" w:eastAsia="Times New Roman" w:hAnsi="Open Sans Semibold" w:cs="Open Sans Semibold"/>
                <w:color w:val="FFFFFF"/>
                <w:sz w:val="16"/>
                <w:szCs w:val="16"/>
                <w:lang w:eastAsia="en-AU"/>
              </w:rPr>
            </w:pPr>
            <w:r w:rsidRPr="00F06D38">
              <w:rPr>
                <w:rFonts w:ascii="Open Sans Semibold" w:eastAsia="Times New Roman" w:hAnsi="Open Sans Semibold" w:cs="Open Sans Semibold"/>
                <w:color w:val="FFFFFF"/>
                <w:sz w:val="16"/>
                <w:szCs w:val="16"/>
                <w:lang w:eastAsia="en-AU"/>
              </w:rPr>
              <w:t xml:space="preserve"> Variable </w:t>
            </w:r>
          </w:p>
        </w:tc>
        <w:tc>
          <w:tcPr>
            <w:tcW w:w="1300" w:type="dxa"/>
            <w:tcBorders>
              <w:top w:val="nil"/>
              <w:left w:val="nil"/>
              <w:bottom w:val="nil"/>
              <w:right w:val="nil"/>
            </w:tcBorders>
            <w:shd w:val="clear" w:color="000000" w:fill="006991"/>
            <w:vAlign w:val="center"/>
            <w:hideMark/>
          </w:tcPr>
          <w:p w14:paraId="20210541" w14:textId="77777777" w:rsidR="00070D16" w:rsidRPr="00F06D38" w:rsidRDefault="00070D16" w:rsidP="00874F19">
            <w:pPr>
              <w:spacing w:after="0" w:line="240" w:lineRule="auto"/>
              <w:jc w:val="right"/>
              <w:rPr>
                <w:rFonts w:ascii="Open Sans Semibold" w:eastAsia="Times New Roman" w:hAnsi="Open Sans Semibold" w:cs="Open Sans Semibold"/>
                <w:color w:val="FFFFFF"/>
                <w:sz w:val="16"/>
                <w:szCs w:val="16"/>
                <w:lang w:eastAsia="en-AU"/>
              </w:rPr>
            </w:pPr>
            <w:r w:rsidRPr="00F06D38">
              <w:rPr>
                <w:rFonts w:ascii="Open Sans Semibold" w:eastAsia="Times New Roman" w:hAnsi="Open Sans Semibold" w:cs="Open Sans Semibold"/>
                <w:color w:val="FFFFFF"/>
                <w:sz w:val="16"/>
                <w:szCs w:val="16"/>
                <w:lang w:eastAsia="en-AU"/>
              </w:rPr>
              <w:t>2021</w:t>
            </w:r>
          </w:p>
        </w:tc>
        <w:tc>
          <w:tcPr>
            <w:tcW w:w="1300" w:type="dxa"/>
            <w:tcBorders>
              <w:top w:val="nil"/>
              <w:left w:val="nil"/>
              <w:bottom w:val="nil"/>
              <w:right w:val="nil"/>
            </w:tcBorders>
            <w:shd w:val="clear" w:color="000000" w:fill="006991"/>
            <w:vAlign w:val="center"/>
            <w:hideMark/>
          </w:tcPr>
          <w:p w14:paraId="2DD358DE" w14:textId="77777777" w:rsidR="00070D16" w:rsidRPr="00F06D38" w:rsidRDefault="00070D16" w:rsidP="00874F19">
            <w:pPr>
              <w:spacing w:after="0" w:line="240" w:lineRule="auto"/>
              <w:jc w:val="right"/>
              <w:rPr>
                <w:rFonts w:ascii="Open Sans Semibold" w:eastAsia="Times New Roman" w:hAnsi="Open Sans Semibold" w:cs="Open Sans Semibold"/>
                <w:color w:val="FFFFFF"/>
                <w:sz w:val="16"/>
                <w:szCs w:val="16"/>
                <w:lang w:eastAsia="en-AU"/>
              </w:rPr>
            </w:pPr>
            <w:r w:rsidRPr="00F06D38">
              <w:rPr>
                <w:rFonts w:ascii="Open Sans Semibold" w:eastAsia="Times New Roman" w:hAnsi="Open Sans Semibold" w:cs="Open Sans Semibold"/>
                <w:color w:val="FFFFFF"/>
                <w:sz w:val="16"/>
                <w:szCs w:val="16"/>
                <w:lang w:eastAsia="en-AU"/>
              </w:rPr>
              <w:t>2022</w:t>
            </w:r>
          </w:p>
        </w:tc>
        <w:tc>
          <w:tcPr>
            <w:tcW w:w="1300" w:type="dxa"/>
            <w:tcBorders>
              <w:top w:val="nil"/>
              <w:left w:val="nil"/>
              <w:bottom w:val="nil"/>
              <w:right w:val="nil"/>
            </w:tcBorders>
            <w:shd w:val="clear" w:color="000000" w:fill="006991"/>
            <w:vAlign w:val="center"/>
            <w:hideMark/>
          </w:tcPr>
          <w:p w14:paraId="200516B7" w14:textId="77777777" w:rsidR="00070D16" w:rsidRPr="00F06D38" w:rsidRDefault="00070D16" w:rsidP="00874F19">
            <w:pPr>
              <w:spacing w:after="0" w:line="240" w:lineRule="auto"/>
              <w:jc w:val="right"/>
              <w:rPr>
                <w:rFonts w:ascii="Open Sans Semibold" w:eastAsia="Times New Roman" w:hAnsi="Open Sans Semibold" w:cs="Open Sans Semibold"/>
                <w:color w:val="FFFFFF"/>
                <w:sz w:val="16"/>
                <w:szCs w:val="16"/>
                <w:lang w:eastAsia="en-AU"/>
              </w:rPr>
            </w:pPr>
            <w:r w:rsidRPr="00F06D38">
              <w:rPr>
                <w:rFonts w:ascii="Open Sans Semibold" w:eastAsia="Times New Roman" w:hAnsi="Open Sans Semibold" w:cs="Open Sans Semibold"/>
                <w:color w:val="FFFFFF"/>
                <w:sz w:val="16"/>
                <w:szCs w:val="16"/>
                <w:lang w:eastAsia="en-AU"/>
              </w:rPr>
              <w:t>2023</w:t>
            </w:r>
          </w:p>
        </w:tc>
        <w:tc>
          <w:tcPr>
            <w:tcW w:w="1860" w:type="dxa"/>
            <w:tcBorders>
              <w:top w:val="nil"/>
              <w:left w:val="nil"/>
              <w:bottom w:val="nil"/>
              <w:right w:val="single" w:sz="8" w:space="0" w:color="C0E6F5"/>
            </w:tcBorders>
            <w:shd w:val="clear" w:color="000000" w:fill="006991"/>
            <w:vAlign w:val="center"/>
            <w:hideMark/>
          </w:tcPr>
          <w:p w14:paraId="73FA767F" w14:textId="77777777" w:rsidR="005F776D" w:rsidRDefault="00070D16" w:rsidP="00874F19">
            <w:pPr>
              <w:spacing w:after="0" w:line="240" w:lineRule="auto"/>
              <w:jc w:val="right"/>
              <w:rPr>
                <w:rFonts w:ascii="Open Sans Semibold" w:eastAsia="Times New Roman" w:hAnsi="Open Sans Semibold" w:cs="Open Sans Semibold"/>
                <w:color w:val="FFFFFF"/>
                <w:sz w:val="16"/>
                <w:szCs w:val="16"/>
                <w:lang w:eastAsia="en-AU"/>
              </w:rPr>
            </w:pPr>
            <w:r w:rsidRPr="00F06D38">
              <w:rPr>
                <w:rFonts w:ascii="Open Sans Semibold" w:eastAsia="Times New Roman" w:hAnsi="Open Sans Semibold" w:cs="Open Sans Semibold"/>
                <w:color w:val="FFFFFF"/>
                <w:sz w:val="16"/>
                <w:szCs w:val="16"/>
                <w:lang w:eastAsia="en-AU"/>
              </w:rPr>
              <w:t xml:space="preserve">Significance of change from </w:t>
            </w:r>
          </w:p>
          <w:p w14:paraId="7E452AB1" w14:textId="6F964C4F" w:rsidR="00070D16" w:rsidRPr="00F06D38" w:rsidRDefault="00070D16" w:rsidP="00874F19">
            <w:pPr>
              <w:spacing w:after="0" w:line="240" w:lineRule="auto"/>
              <w:jc w:val="right"/>
              <w:rPr>
                <w:rFonts w:ascii="Open Sans Semibold" w:eastAsia="Times New Roman" w:hAnsi="Open Sans Semibold" w:cs="Open Sans Semibold"/>
                <w:color w:val="FFFFFF"/>
                <w:sz w:val="16"/>
                <w:szCs w:val="16"/>
                <w:lang w:eastAsia="en-AU"/>
              </w:rPr>
            </w:pPr>
            <w:r w:rsidRPr="00F06D38">
              <w:rPr>
                <w:rFonts w:ascii="Open Sans Semibold" w:eastAsia="Times New Roman" w:hAnsi="Open Sans Semibold" w:cs="Open Sans Semibold"/>
                <w:color w:val="FFFFFF"/>
                <w:sz w:val="16"/>
                <w:szCs w:val="16"/>
                <w:lang w:eastAsia="en-AU"/>
              </w:rPr>
              <w:t xml:space="preserve">2022 to 2023 </w:t>
            </w:r>
          </w:p>
        </w:tc>
      </w:tr>
      <w:tr w:rsidR="00070D16" w:rsidRPr="00F06D38" w14:paraId="19C3126F" w14:textId="77777777" w:rsidTr="00874F19">
        <w:trPr>
          <w:trHeight w:val="319"/>
        </w:trPr>
        <w:tc>
          <w:tcPr>
            <w:tcW w:w="3220" w:type="dxa"/>
            <w:tcBorders>
              <w:top w:val="nil"/>
              <w:left w:val="single" w:sz="8" w:space="0" w:color="C0E6F5"/>
              <w:bottom w:val="nil"/>
              <w:right w:val="nil"/>
            </w:tcBorders>
            <w:shd w:val="clear" w:color="000000" w:fill="FFFFFF"/>
            <w:vAlign w:val="center"/>
            <w:hideMark/>
          </w:tcPr>
          <w:p w14:paraId="5EC444A6" w14:textId="77777777" w:rsidR="00070D16" w:rsidRPr="00F06D38" w:rsidRDefault="00070D16" w:rsidP="00874F19">
            <w:pPr>
              <w:spacing w:after="0" w:line="240" w:lineRule="auto"/>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Base student cost</w:t>
            </w:r>
          </w:p>
        </w:tc>
        <w:tc>
          <w:tcPr>
            <w:tcW w:w="1300" w:type="dxa"/>
            <w:tcBorders>
              <w:top w:val="single" w:sz="8" w:space="0" w:color="ADD6EA"/>
              <w:left w:val="nil"/>
              <w:bottom w:val="nil"/>
              <w:right w:val="nil"/>
            </w:tcBorders>
            <w:shd w:val="clear" w:color="000000" w:fill="FFFFFF"/>
            <w:vAlign w:val="center"/>
            <w:hideMark/>
          </w:tcPr>
          <w:p w14:paraId="2A8A7BDB"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8,494***</w:t>
            </w:r>
          </w:p>
        </w:tc>
        <w:tc>
          <w:tcPr>
            <w:tcW w:w="1300" w:type="dxa"/>
            <w:tcBorders>
              <w:top w:val="single" w:sz="8" w:space="0" w:color="ADD6EA"/>
              <w:left w:val="nil"/>
              <w:bottom w:val="nil"/>
              <w:right w:val="nil"/>
            </w:tcBorders>
            <w:shd w:val="clear" w:color="000000" w:fill="FFFFFF"/>
            <w:vAlign w:val="center"/>
            <w:hideMark/>
          </w:tcPr>
          <w:p w14:paraId="1DBE5B73"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9,232***</w:t>
            </w:r>
          </w:p>
        </w:tc>
        <w:tc>
          <w:tcPr>
            <w:tcW w:w="1300" w:type="dxa"/>
            <w:tcBorders>
              <w:top w:val="single" w:sz="8" w:space="0" w:color="ADD6EA"/>
              <w:left w:val="nil"/>
              <w:bottom w:val="nil"/>
              <w:right w:val="nil"/>
            </w:tcBorders>
            <w:shd w:val="clear" w:color="000000" w:fill="FFFFFF"/>
            <w:vAlign w:val="center"/>
            <w:hideMark/>
          </w:tcPr>
          <w:p w14:paraId="2AC70AEB"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9,550***</w:t>
            </w:r>
          </w:p>
        </w:tc>
        <w:tc>
          <w:tcPr>
            <w:tcW w:w="1860" w:type="dxa"/>
            <w:tcBorders>
              <w:top w:val="single" w:sz="8" w:space="0" w:color="ADD6EA"/>
              <w:left w:val="nil"/>
              <w:bottom w:val="nil"/>
              <w:right w:val="single" w:sz="8" w:space="0" w:color="C0E6F5"/>
            </w:tcBorders>
            <w:shd w:val="clear" w:color="000000" w:fill="FFFFFF"/>
            <w:vAlign w:val="center"/>
            <w:hideMark/>
          </w:tcPr>
          <w:p w14:paraId="30FA9F6E"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w:t>
            </w:r>
          </w:p>
        </w:tc>
      </w:tr>
      <w:tr w:rsidR="00070D16" w:rsidRPr="00F06D38" w14:paraId="02EAA108"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6BA6ED23" w14:textId="77777777" w:rsidR="00070D16" w:rsidRPr="00F06D38" w:rsidRDefault="00070D16" w:rsidP="00874F19">
            <w:pPr>
              <w:spacing w:after="0" w:line="240" w:lineRule="auto"/>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Secondary school student</w:t>
            </w:r>
          </w:p>
        </w:tc>
        <w:tc>
          <w:tcPr>
            <w:tcW w:w="1300" w:type="dxa"/>
            <w:tcBorders>
              <w:top w:val="single" w:sz="8" w:space="0" w:color="ADD6EA"/>
              <w:left w:val="nil"/>
              <w:bottom w:val="nil"/>
              <w:right w:val="nil"/>
            </w:tcBorders>
            <w:shd w:val="clear" w:color="000000" w:fill="FFFFFF"/>
            <w:vAlign w:val="center"/>
            <w:hideMark/>
          </w:tcPr>
          <w:p w14:paraId="7DE4361F"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809***</w:t>
            </w:r>
          </w:p>
        </w:tc>
        <w:tc>
          <w:tcPr>
            <w:tcW w:w="1300" w:type="dxa"/>
            <w:tcBorders>
              <w:top w:val="single" w:sz="8" w:space="0" w:color="ADD6EA"/>
              <w:left w:val="nil"/>
              <w:bottom w:val="nil"/>
              <w:right w:val="nil"/>
            </w:tcBorders>
            <w:shd w:val="clear" w:color="000000" w:fill="FFFFFF"/>
            <w:vAlign w:val="center"/>
            <w:hideMark/>
          </w:tcPr>
          <w:p w14:paraId="36FD3E5F"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834***</w:t>
            </w:r>
          </w:p>
        </w:tc>
        <w:tc>
          <w:tcPr>
            <w:tcW w:w="1300" w:type="dxa"/>
            <w:tcBorders>
              <w:top w:val="single" w:sz="8" w:space="0" w:color="ADD6EA"/>
              <w:left w:val="nil"/>
              <w:bottom w:val="nil"/>
              <w:right w:val="nil"/>
            </w:tcBorders>
            <w:shd w:val="clear" w:color="000000" w:fill="FFFFFF"/>
            <w:vAlign w:val="center"/>
            <w:hideMark/>
          </w:tcPr>
          <w:p w14:paraId="2C4E86C6"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892***</w:t>
            </w:r>
          </w:p>
        </w:tc>
        <w:tc>
          <w:tcPr>
            <w:tcW w:w="1860" w:type="dxa"/>
            <w:tcBorders>
              <w:top w:val="single" w:sz="8" w:space="0" w:color="ADD6EA"/>
              <w:left w:val="nil"/>
              <w:bottom w:val="nil"/>
              <w:right w:val="single" w:sz="8" w:space="0" w:color="C0E6F5"/>
            </w:tcBorders>
            <w:shd w:val="clear" w:color="000000" w:fill="FFFFFF"/>
            <w:vAlign w:val="center"/>
            <w:hideMark/>
          </w:tcPr>
          <w:p w14:paraId="5B951F9D"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 </w:t>
            </w:r>
          </w:p>
        </w:tc>
      </w:tr>
      <w:tr w:rsidR="00070D16" w:rsidRPr="00F06D38" w14:paraId="6CB2B180"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7E305EF5" w14:textId="77777777" w:rsidR="00070D16" w:rsidRPr="00F06D38" w:rsidRDefault="00070D16" w:rsidP="00874F19">
            <w:pPr>
              <w:spacing w:after="0" w:line="240" w:lineRule="auto"/>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Fixed cost of a school</w:t>
            </w:r>
          </w:p>
        </w:tc>
        <w:tc>
          <w:tcPr>
            <w:tcW w:w="1300" w:type="dxa"/>
            <w:tcBorders>
              <w:top w:val="single" w:sz="8" w:space="0" w:color="ADD6EA"/>
              <w:left w:val="nil"/>
              <w:bottom w:val="nil"/>
              <w:right w:val="nil"/>
            </w:tcBorders>
            <w:shd w:val="clear" w:color="000000" w:fill="FFFFFF"/>
            <w:vAlign w:val="center"/>
            <w:hideMark/>
          </w:tcPr>
          <w:p w14:paraId="20B7DFE9"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316,370***</w:t>
            </w:r>
          </w:p>
        </w:tc>
        <w:tc>
          <w:tcPr>
            <w:tcW w:w="1300" w:type="dxa"/>
            <w:tcBorders>
              <w:top w:val="single" w:sz="8" w:space="0" w:color="ADD6EA"/>
              <w:left w:val="nil"/>
              <w:bottom w:val="nil"/>
              <w:right w:val="nil"/>
            </w:tcBorders>
            <w:shd w:val="clear" w:color="000000" w:fill="FFFFFF"/>
            <w:vAlign w:val="center"/>
            <w:hideMark/>
          </w:tcPr>
          <w:p w14:paraId="49159E46"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357,758***</w:t>
            </w:r>
          </w:p>
        </w:tc>
        <w:tc>
          <w:tcPr>
            <w:tcW w:w="1300" w:type="dxa"/>
            <w:tcBorders>
              <w:top w:val="single" w:sz="8" w:space="0" w:color="ADD6EA"/>
              <w:left w:val="nil"/>
              <w:bottom w:val="nil"/>
              <w:right w:val="nil"/>
            </w:tcBorders>
            <w:shd w:val="clear" w:color="000000" w:fill="FFFFFF"/>
            <w:vAlign w:val="center"/>
            <w:hideMark/>
          </w:tcPr>
          <w:p w14:paraId="5D65B8D9"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437,646***</w:t>
            </w:r>
          </w:p>
        </w:tc>
        <w:tc>
          <w:tcPr>
            <w:tcW w:w="1860" w:type="dxa"/>
            <w:tcBorders>
              <w:top w:val="single" w:sz="8" w:space="0" w:color="ADD6EA"/>
              <w:left w:val="nil"/>
              <w:bottom w:val="nil"/>
              <w:right w:val="single" w:sz="8" w:space="0" w:color="C0E6F5"/>
            </w:tcBorders>
            <w:shd w:val="clear" w:color="000000" w:fill="FFFFFF"/>
            <w:vAlign w:val="center"/>
            <w:hideMark/>
          </w:tcPr>
          <w:p w14:paraId="2271395F"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w:t>
            </w:r>
          </w:p>
        </w:tc>
      </w:tr>
      <w:tr w:rsidR="00070D16" w:rsidRPr="00F06D38" w14:paraId="13EDE61E"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1E5059FD" w14:textId="77777777" w:rsidR="00070D16" w:rsidRPr="00F06D38" w:rsidRDefault="00070D16" w:rsidP="00874F19">
            <w:pPr>
              <w:spacing w:after="0" w:line="240" w:lineRule="auto"/>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 xml:space="preserve">Fixed cost of a secondary school </w:t>
            </w:r>
          </w:p>
        </w:tc>
        <w:tc>
          <w:tcPr>
            <w:tcW w:w="1300" w:type="dxa"/>
            <w:tcBorders>
              <w:top w:val="single" w:sz="8" w:space="0" w:color="ADD6EA"/>
              <w:left w:val="nil"/>
              <w:bottom w:val="nil"/>
              <w:right w:val="nil"/>
            </w:tcBorders>
            <w:shd w:val="clear" w:color="000000" w:fill="FFFFFF"/>
            <w:vAlign w:val="center"/>
            <w:hideMark/>
          </w:tcPr>
          <w:p w14:paraId="0B98F456"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1,364,007***</w:t>
            </w:r>
          </w:p>
        </w:tc>
        <w:tc>
          <w:tcPr>
            <w:tcW w:w="1300" w:type="dxa"/>
            <w:tcBorders>
              <w:top w:val="single" w:sz="8" w:space="0" w:color="ADD6EA"/>
              <w:left w:val="nil"/>
              <w:bottom w:val="nil"/>
              <w:right w:val="nil"/>
            </w:tcBorders>
            <w:shd w:val="clear" w:color="000000" w:fill="FFFFFF"/>
            <w:vAlign w:val="center"/>
            <w:hideMark/>
          </w:tcPr>
          <w:p w14:paraId="05E24E47"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1,438,830***</w:t>
            </w:r>
          </w:p>
        </w:tc>
        <w:tc>
          <w:tcPr>
            <w:tcW w:w="1300" w:type="dxa"/>
            <w:tcBorders>
              <w:top w:val="single" w:sz="8" w:space="0" w:color="ADD6EA"/>
              <w:left w:val="nil"/>
              <w:bottom w:val="nil"/>
              <w:right w:val="nil"/>
            </w:tcBorders>
            <w:shd w:val="clear" w:color="000000" w:fill="FFFFFF"/>
            <w:vAlign w:val="center"/>
            <w:hideMark/>
          </w:tcPr>
          <w:p w14:paraId="55E1B4C3"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1,679,394***</w:t>
            </w:r>
          </w:p>
        </w:tc>
        <w:tc>
          <w:tcPr>
            <w:tcW w:w="1860" w:type="dxa"/>
            <w:tcBorders>
              <w:top w:val="single" w:sz="8" w:space="0" w:color="ADD6EA"/>
              <w:left w:val="nil"/>
              <w:bottom w:val="nil"/>
              <w:right w:val="single" w:sz="8" w:space="0" w:color="C0E6F5"/>
            </w:tcBorders>
            <w:shd w:val="clear" w:color="000000" w:fill="FFFFFF"/>
            <w:vAlign w:val="center"/>
            <w:hideMark/>
          </w:tcPr>
          <w:p w14:paraId="4EE074CE"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w:t>
            </w:r>
          </w:p>
        </w:tc>
      </w:tr>
      <w:tr w:rsidR="00070D16" w:rsidRPr="00F06D38" w14:paraId="7771B89A"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28A1DA3A" w14:textId="77777777" w:rsidR="00070D16" w:rsidRPr="00F06D38" w:rsidRDefault="00070D16" w:rsidP="00874F19">
            <w:pPr>
              <w:spacing w:after="0" w:line="240" w:lineRule="auto"/>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Outer regional student</w:t>
            </w:r>
          </w:p>
        </w:tc>
        <w:tc>
          <w:tcPr>
            <w:tcW w:w="1300" w:type="dxa"/>
            <w:tcBorders>
              <w:top w:val="single" w:sz="8" w:space="0" w:color="ADD6EA"/>
              <w:left w:val="nil"/>
              <w:bottom w:val="nil"/>
              <w:right w:val="nil"/>
            </w:tcBorders>
            <w:shd w:val="clear" w:color="000000" w:fill="FFFFFF"/>
            <w:vAlign w:val="center"/>
            <w:hideMark/>
          </w:tcPr>
          <w:p w14:paraId="643DA7ED"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471***</w:t>
            </w:r>
          </w:p>
        </w:tc>
        <w:tc>
          <w:tcPr>
            <w:tcW w:w="1300" w:type="dxa"/>
            <w:tcBorders>
              <w:top w:val="single" w:sz="8" w:space="0" w:color="ADD6EA"/>
              <w:left w:val="nil"/>
              <w:bottom w:val="nil"/>
              <w:right w:val="nil"/>
            </w:tcBorders>
            <w:shd w:val="clear" w:color="000000" w:fill="FFFFFF"/>
            <w:vAlign w:val="center"/>
            <w:hideMark/>
          </w:tcPr>
          <w:p w14:paraId="2C602C87"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210*</w:t>
            </w:r>
          </w:p>
        </w:tc>
        <w:tc>
          <w:tcPr>
            <w:tcW w:w="1300" w:type="dxa"/>
            <w:tcBorders>
              <w:top w:val="single" w:sz="8" w:space="0" w:color="ADD6EA"/>
              <w:left w:val="nil"/>
              <w:bottom w:val="nil"/>
              <w:right w:val="nil"/>
            </w:tcBorders>
            <w:shd w:val="clear" w:color="000000" w:fill="FFFFFF"/>
            <w:vAlign w:val="center"/>
            <w:hideMark/>
          </w:tcPr>
          <w:p w14:paraId="0099136F"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95</w:t>
            </w:r>
          </w:p>
        </w:tc>
        <w:tc>
          <w:tcPr>
            <w:tcW w:w="1860" w:type="dxa"/>
            <w:tcBorders>
              <w:top w:val="single" w:sz="8" w:space="0" w:color="ADD6EA"/>
              <w:left w:val="nil"/>
              <w:bottom w:val="nil"/>
              <w:right w:val="single" w:sz="8" w:space="0" w:color="C0E6F5"/>
            </w:tcBorders>
            <w:shd w:val="clear" w:color="000000" w:fill="FFFFFF"/>
            <w:vAlign w:val="center"/>
            <w:hideMark/>
          </w:tcPr>
          <w:p w14:paraId="0B8B3B61"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 </w:t>
            </w:r>
          </w:p>
        </w:tc>
      </w:tr>
      <w:tr w:rsidR="00070D16" w:rsidRPr="00F06D38" w14:paraId="5A1A0160"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60C3D268" w14:textId="77777777" w:rsidR="00070D16" w:rsidRPr="00F06D38" w:rsidRDefault="00070D16" w:rsidP="00874F19">
            <w:pPr>
              <w:spacing w:after="0" w:line="240" w:lineRule="auto"/>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Remote or very remote student</w:t>
            </w:r>
          </w:p>
        </w:tc>
        <w:tc>
          <w:tcPr>
            <w:tcW w:w="1300" w:type="dxa"/>
            <w:tcBorders>
              <w:top w:val="single" w:sz="8" w:space="0" w:color="ADD6EA"/>
              <w:left w:val="nil"/>
              <w:bottom w:val="nil"/>
              <w:right w:val="nil"/>
            </w:tcBorders>
            <w:shd w:val="clear" w:color="000000" w:fill="FFFFFF"/>
            <w:vAlign w:val="center"/>
            <w:hideMark/>
          </w:tcPr>
          <w:p w14:paraId="536BDBF0"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3,550***</w:t>
            </w:r>
          </w:p>
        </w:tc>
        <w:tc>
          <w:tcPr>
            <w:tcW w:w="1300" w:type="dxa"/>
            <w:tcBorders>
              <w:top w:val="single" w:sz="8" w:space="0" w:color="ADD6EA"/>
              <w:left w:val="nil"/>
              <w:bottom w:val="nil"/>
              <w:right w:val="nil"/>
            </w:tcBorders>
            <w:shd w:val="clear" w:color="000000" w:fill="FFFFFF"/>
            <w:vAlign w:val="center"/>
            <w:hideMark/>
          </w:tcPr>
          <w:p w14:paraId="6BE15F33"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2,589***</w:t>
            </w:r>
          </w:p>
        </w:tc>
        <w:tc>
          <w:tcPr>
            <w:tcW w:w="1300" w:type="dxa"/>
            <w:tcBorders>
              <w:top w:val="single" w:sz="8" w:space="0" w:color="ADD6EA"/>
              <w:left w:val="nil"/>
              <w:bottom w:val="nil"/>
              <w:right w:val="nil"/>
            </w:tcBorders>
            <w:shd w:val="clear" w:color="000000" w:fill="FFFFFF"/>
            <w:vAlign w:val="center"/>
            <w:hideMark/>
          </w:tcPr>
          <w:p w14:paraId="400E1FA3"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2,084***</w:t>
            </w:r>
          </w:p>
        </w:tc>
        <w:tc>
          <w:tcPr>
            <w:tcW w:w="1860" w:type="dxa"/>
            <w:tcBorders>
              <w:top w:val="single" w:sz="8" w:space="0" w:color="ADD6EA"/>
              <w:left w:val="nil"/>
              <w:bottom w:val="nil"/>
              <w:right w:val="single" w:sz="8" w:space="0" w:color="C0E6F5"/>
            </w:tcBorders>
            <w:shd w:val="clear" w:color="000000" w:fill="FFFFFF"/>
            <w:vAlign w:val="center"/>
            <w:hideMark/>
          </w:tcPr>
          <w:p w14:paraId="78E090A5"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 </w:t>
            </w:r>
          </w:p>
        </w:tc>
      </w:tr>
      <w:tr w:rsidR="00070D16" w:rsidRPr="00F06D38" w14:paraId="3225C9AD"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32B3AE65" w14:textId="77777777" w:rsidR="00070D16" w:rsidRPr="00F06D38" w:rsidRDefault="00070D16" w:rsidP="00874F19">
            <w:pPr>
              <w:spacing w:after="0" w:line="240" w:lineRule="auto"/>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Socio-educationally disadvantaged student</w:t>
            </w:r>
          </w:p>
        </w:tc>
        <w:tc>
          <w:tcPr>
            <w:tcW w:w="1300" w:type="dxa"/>
            <w:tcBorders>
              <w:top w:val="single" w:sz="8" w:space="0" w:color="ADD6EA"/>
              <w:left w:val="nil"/>
              <w:bottom w:val="nil"/>
              <w:right w:val="nil"/>
            </w:tcBorders>
            <w:shd w:val="clear" w:color="000000" w:fill="FFFFFF"/>
            <w:vAlign w:val="center"/>
            <w:hideMark/>
          </w:tcPr>
          <w:p w14:paraId="32362F76"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5,090***</w:t>
            </w:r>
          </w:p>
        </w:tc>
        <w:tc>
          <w:tcPr>
            <w:tcW w:w="1300" w:type="dxa"/>
            <w:tcBorders>
              <w:top w:val="single" w:sz="8" w:space="0" w:color="ADD6EA"/>
              <w:left w:val="nil"/>
              <w:bottom w:val="nil"/>
              <w:right w:val="nil"/>
            </w:tcBorders>
            <w:shd w:val="clear" w:color="000000" w:fill="FFFFFF"/>
            <w:vAlign w:val="center"/>
            <w:hideMark/>
          </w:tcPr>
          <w:p w14:paraId="63C78261"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4,936***</w:t>
            </w:r>
          </w:p>
        </w:tc>
        <w:tc>
          <w:tcPr>
            <w:tcW w:w="1300" w:type="dxa"/>
            <w:tcBorders>
              <w:top w:val="single" w:sz="8" w:space="0" w:color="ADD6EA"/>
              <w:left w:val="nil"/>
              <w:bottom w:val="nil"/>
              <w:right w:val="nil"/>
            </w:tcBorders>
            <w:shd w:val="clear" w:color="000000" w:fill="FFFFFF"/>
            <w:vAlign w:val="center"/>
            <w:hideMark/>
          </w:tcPr>
          <w:p w14:paraId="77E1AC23"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4,846***</w:t>
            </w:r>
          </w:p>
        </w:tc>
        <w:tc>
          <w:tcPr>
            <w:tcW w:w="1860" w:type="dxa"/>
            <w:tcBorders>
              <w:top w:val="single" w:sz="8" w:space="0" w:color="ADD6EA"/>
              <w:left w:val="nil"/>
              <w:bottom w:val="nil"/>
              <w:right w:val="single" w:sz="8" w:space="0" w:color="C0E6F5"/>
            </w:tcBorders>
            <w:shd w:val="clear" w:color="000000" w:fill="FFFFFF"/>
            <w:vAlign w:val="center"/>
            <w:hideMark/>
          </w:tcPr>
          <w:p w14:paraId="27959FF2"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 </w:t>
            </w:r>
          </w:p>
        </w:tc>
      </w:tr>
      <w:tr w:rsidR="00070D16" w:rsidRPr="00F06D38" w14:paraId="4503559D" w14:textId="77777777" w:rsidTr="00874F19">
        <w:trPr>
          <w:trHeight w:val="319"/>
        </w:trPr>
        <w:tc>
          <w:tcPr>
            <w:tcW w:w="3220" w:type="dxa"/>
            <w:tcBorders>
              <w:top w:val="single" w:sz="8" w:space="0" w:color="ADD6EA"/>
              <w:left w:val="single" w:sz="8" w:space="0" w:color="C0E6F5"/>
              <w:bottom w:val="single" w:sz="8" w:space="0" w:color="ADD6EA"/>
              <w:right w:val="nil"/>
            </w:tcBorders>
            <w:shd w:val="clear" w:color="000000" w:fill="FFFFFF"/>
            <w:vAlign w:val="center"/>
            <w:hideMark/>
          </w:tcPr>
          <w:p w14:paraId="6EB6C59D" w14:textId="77777777" w:rsidR="00070D16" w:rsidRPr="00F06D38" w:rsidRDefault="00070D16" w:rsidP="00874F19">
            <w:pPr>
              <w:spacing w:after="0" w:line="240" w:lineRule="auto"/>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First Nations student</w:t>
            </w:r>
          </w:p>
        </w:tc>
        <w:tc>
          <w:tcPr>
            <w:tcW w:w="1300" w:type="dxa"/>
            <w:tcBorders>
              <w:top w:val="single" w:sz="8" w:space="0" w:color="ADD6EA"/>
              <w:left w:val="nil"/>
              <w:bottom w:val="single" w:sz="8" w:space="0" w:color="ADD6EA"/>
              <w:right w:val="nil"/>
            </w:tcBorders>
            <w:shd w:val="clear" w:color="000000" w:fill="FFFFFF"/>
            <w:vAlign w:val="center"/>
            <w:hideMark/>
          </w:tcPr>
          <w:p w14:paraId="74C81B15"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4,116***</w:t>
            </w:r>
          </w:p>
        </w:tc>
        <w:tc>
          <w:tcPr>
            <w:tcW w:w="1300" w:type="dxa"/>
            <w:tcBorders>
              <w:top w:val="single" w:sz="8" w:space="0" w:color="ADD6EA"/>
              <w:left w:val="nil"/>
              <w:bottom w:val="single" w:sz="8" w:space="0" w:color="ADD6EA"/>
              <w:right w:val="nil"/>
            </w:tcBorders>
            <w:shd w:val="clear" w:color="000000" w:fill="FFFFFF"/>
            <w:vAlign w:val="center"/>
            <w:hideMark/>
          </w:tcPr>
          <w:p w14:paraId="3BC3E8FE"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6,148***</w:t>
            </w:r>
          </w:p>
        </w:tc>
        <w:tc>
          <w:tcPr>
            <w:tcW w:w="1300" w:type="dxa"/>
            <w:tcBorders>
              <w:top w:val="single" w:sz="8" w:space="0" w:color="ADD6EA"/>
              <w:left w:val="nil"/>
              <w:bottom w:val="single" w:sz="8" w:space="0" w:color="ADD6EA"/>
              <w:right w:val="nil"/>
            </w:tcBorders>
            <w:shd w:val="clear" w:color="000000" w:fill="FFFFFF"/>
            <w:vAlign w:val="center"/>
            <w:hideMark/>
          </w:tcPr>
          <w:p w14:paraId="65CE358F"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9,100***</w:t>
            </w:r>
          </w:p>
        </w:tc>
        <w:tc>
          <w:tcPr>
            <w:tcW w:w="1860" w:type="dxa"/>
            <w:tcBorders>
              <w:top w:val="single" w:sz="8" w:space="0" w:color="ADD6EA"/>
              <w:left w:val="nil"/>
              <w:bottom w:val="single" w:sz="8" w:space="0" w:color="ADD6EA"/>
              <w:right w:val="single" w:sz="8" w:space="0" w:color="C0E6F5"/>
            </w:tcBorders>
            <w:shd w:val="clear" w:color="000000" w:fill="FFFFFF"/>
            <w:vAlign w:val="center"/>
            <w:hideMark/>
          </w:tcPr>
          <w:p w14:paraId="32E98E42" w14:textId="77777777" w:rsidR="00070D16" w:rsidRPr="00F06D38" w:rsidRDefault="00070D16" w:rsidP="00874F19">
            <w:pPr>
              <w:spacing w:after="0" w:line="240" w:lineRule="auto"/>
              <w:jc w:val="right"/>
              <w:rPr>
                <w:rFonts w:ascii="Open Sans Light" w:eastAsia="Times New Roman" w:hAnsi="Open Sans Light" w:cs="Open Sans Light"/>
                <w:color w:val="000000"/>
                <w:sz w:val="16"/>
                <w:szCs w:val="16"/>
                <w:lang w:eastAsia="en-AU"/>
              </w:rPr>
            </w:pPr>
            <w:r w:rsidRPr="00F06D38">
              <w:rPr>
                <w:rFonts w:ascii="Open Sans Light" w:eastAsia="Times New Roman" w:hAnsi="Open Sans Light" w:cs="Open Sans Light"/>
                <w:color w:val="000000"/>
                <w:sz w:val="16"/>
                <w:szCs w:val="16"/>
                <w:lang w:eastAsia="en-AU"/>
              </w:rPr>
              <w:t>***</w:t>
            </w:r>
          </w:p>
        </w:tc>
      </w:tr>
    </w:tbl>
    <w:p w14:paraId="3F68C50B" w14:textId="23F58279" w:rsidR="00070D16" w:rsidRDefault="00070D16" w:rsidP="00070D16">
      <w:pPr>
        <w:pStyle w:val="CGCTablenote"/>
      </w:pPr>
      <w:r w:rsidRPr="00991155">
        <w:t>Note: *** p &lt; 0.001, ** p &lt; 0.01, * p &lt; 0.05, + p &lt; 0.1</w:t>
      </w:r>
    </w:p>
    <w:p w14:paraId="04E9F8A9" w14:textId="77777777" w:rsidR="00C04FEB" w:rsidRDefault="00C04FEB" w:rsidP="00C04FEB"/>
    <w:p w14:paraId="078D71A7" w14:textId="7992C854" w:rsidR="00C04FEB" w:rsidRPr="006C44CD" w:rsidRDefault="00C04FEB" w:rsidP="006D23B6">
      <w:pPr>
        <w:pStyle w:val="CGC2025Caption"/>
        <w:keepNext/>
        <w:tabs>
          <w:tab w:val="left" w:pos="1134"/>
        </w:tabs>
      </w:pPr>
      <w:bookmarkStart w:id="1" w:name="_Ref207812346"/>
      <w:r w:rsidRPr="00F23F1E">
        <w:lastRenderedPageBreak/>
        <w:t>Table</w:t>
      </w:r>
      <w:bookmarkEnd w:id="1"/>
      <w:r>
        <w:t xml:space="preserve"> 2</w:t>
      </w:r>
      <w:r w:rsidRPr="00F23F1E">
        <w:tab/>
        <w:t xml:space="preserve">Significance of non-government </w:t>
      </w:r>
      <w:proofErr w:type="gramStart"/>
      <w:r w:rsidRPr="00F23F1E">
        <w:t>schools</w:t>
      </w:r>
      <w:proofErr w:type="gramEnd"/>
      <w:r w:rsidRPr="00F23F1E">
        <w:t xml:space="preserve"> regression coefficients</w:t>
      </w:r>
    </w:p>
    <w:tbl>
      <w:tblPr>
        <w:tblW w:w="8980" w:type="dxa"/>
        <w:tblLook w:val="04A0" w:firstRow="1" w:lastRow="0" w:firstColumn="1" w:lastColumn="0" w:noHBand="0" w:noVBand="1"/>
      </w:tblPr>
      <w:tblGrid>
        <w:gridCol w:w="3220"/>
        <w:gridCol w:w="1300"/>
        <w:gridCol w:w="1300"/>
        <w:gridCol w:w="1300"/>
        <w:gridCol w:w="1860"/>
      </w:tblGrid>
      <w:tr w:rsidR="00C04FEB" w:rsidRPr="00CA3246" w14:paraId="6AAE361F" w14:textId="77777777" w:rsidTr="00874F19">
        <w:trPr>
          <w:trHeight w:val="525"/>
        </w:trPr>
        <w:tc>
          <w:tcPr>
            <w:tcW w:w="3220" w:type="dxa"/>
            <w:tcBorders>
              <w:top w:val="nil"/>
              <w:left w:val="single" w:sz="8" w:space="0" w:color="C0E6F5"/>
              <w:bottom w:val="single" w:sz="8" w:space="0" w:color="C0E6F5"/>
              <w:right w:val="nil"/>
            </w:tcBorders>
            <w:shd w:val="clear" w:color="000000" w:fill="006991"/>
            <w:vAlign w:val="center"/>
            <w:hideMark/>
          </w:tcPr>
          <w:p w14:paraId="584DB66F" w14:textId="77777777" w:rsidR="00C04FEB" w:rsidRPr="00CA3246" w:rsidRDefault="00C04FEB" w:rsidP="00874F19">
            <w:pPr>
              <w:keepNext/>
              <w:keepLines/>
              <w:spacing w:after="0" w:line="240" w:lineRule="auto"/>
              <w:rPr>
                <w:rFonts w:ascii="Open Sans Semibold" w:eastAsia="Times New Roman" w:hAnsi="Open Sans Semibold" w:cs="Open Sans Semibold"/>
                <w:color w:val="FFFFFF"/>
                <w:sz w:val="16"/>
                <w:szCs w:val="16"/>
                <w:lang w:eastAsia="en-AU"/>
              </w:rPr>
            </w:pPr>
            <w:r w:rsidRPr="00CA3246">
              <w:rPr>
                <w:rFonts w:ascii="Open Sans Semibold" w:eastAsia="Times New Roman" w:hAnsi="Open Sans Semibold" w:cs="Open Sans Semibold"/>
                <w:color w:val="FFFFFF"/>
                <w:sz w:val="16"/>
                <w:szCs w:val="16"/>
                <w:lang w:eastAsia="en-AU"/>
              </w:rPr>
              <w:t> </w:t>
            </w:r>
          </w:p>
        </w:tc>
        <w:tc>
          <w:tcPr>
            <w:tcW w:w="1300" w:type="dxa"/>
            <w:tcBorders>
              <w:top w:val="nil"/>
              <w:left w:val="nil"/>
              <w:bottom w:val="nil"/>
              <w:right w:val="nil"/>
            </w:tcBorders>
            <w:shd w:val="clear" w:color="000000" w:fill="006991"/>
            <w:vAlign w:val="center"/>
            <w:hideMark/>
          </w:tcPr>
          <w:p w14:paraId="385CA4F4" w14:textId="77777777" w:rsidR="00C04FEB" w:rsidRPr="00CA3246" w:rsidRDefault="00C04FEB"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CA3246">
              <w:rPr>
                <w:rFonts w:ascii="Open Sans Semibold" w:eastAsia="Times New Roman" w:hAnsi="Open Sans Semibold" w:cs="Open Sans Semibold"/>
                <w:color w:val="FFFFFF"/>
                <w:sz w:val="16"/>
                <w:szCs w:val="16"/>
                <w:lang w:eastAsia="en-AU"/>
              </w:rPr>
              <w:t>2021</w:t>
            </w:r>
          </w:p>
        </w:tc>
        <w:tc>
          <w:tcPr>
            <w:tcW w:w="1300" w:type="dxa"/>
            <w:tcBorders>
              <w:top w:val="nil"/>
              <w:left w:val="nil"/>
              <w:bottom w:val="nil"/>
              <w:right w:val="nil"/>
            </w:tcBorders>
            <w:shd w:val="clear" w:color="000000" w:fill="006991"/>
            <w:vAlign w:val="center"/>
            <w:hideMark/>
          </w:tcPr>
          <w:p w14:paraId="5530FC4E" w14:textId="77777777" w:rsidR="00C04FEB" w:rsidRPr="00CA3246" w:rsidRDefault="00C04FEB"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CA3246">
              <w:rPr>
                <w:rFonts w:ascii="Open Sans Semibold" w:eastAsia="Times New Roman" w:hAnsi="Open Sans Semibold" w:cs="Open Sans Semibold"/>
                <w:color w:val="FFFFFF"/>
                <w:sz w:val="16"/>
                <w:szCs w:val="16"/>
                <w:lang w:eastAsia="en-AU"/>
              </w:rPr>
              <w:t>2022</w:t>
            </w:r>
          </w:p>
        </w:tc>
        <w:tc>
          <w:tcPr>
            <w:tcW w:w="1300" w:type="dxa"/>
            <w:tcBorders>
              <w:top w:val="nil"/>
              <w:left w:val="nil"/>
              <w:bottom w:val="nil"/>
              <w:right w:val="nil"/>
            </w:tcBorders>
            <w:shd w:val="clear" w:color="000000" w:fill="006991"/>
            <w:vAlign w:val="center"/>
            <w:hideMark/>
          </w:tcPr>
          <w:p w14:paraId="534C2A1B" w14:textId="77777777" w:rsidR="00C04FEB" w:rsidRPr="00CA3246" w:rsidRDefault="00C04FEB"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CA3246">
              <w:rPr>
                <w:rFonts w:ascii="Open Sans Semibold" w:eastAsia="Times New Roman" w:hAnsi="Open Sans Semibold" w:cs="Open Sans Semibold"/>
                <w:color w:val="FFFFFF"/>
                <w:sz w:val="16"/>
                <w:szCs w:val="16"/>
                <w:lang w:eastAsia="en-AU"/>
              </w:rPr>
              <w:t>2023</w:t>
            </w:r>
          </w:p>
        </w:tc>
        <w:tc>
          <w:tcPr>
            <w:tcW w:w="1860" w:type="dxa"/>
            <w:tcBorders>
              <w:top w:val="nil"/>
              <w:left w:val="nil"/>
              <w:bottom w:val="nil"/>
              <w:right w:val="single" w:sz="8" w:space="0" w:color="C0E6F5"/>
            </w:tcBorders>
            <w:shd w:val="clear" w:color="000000" w:fill="006991"/>
            <w:vAlign w:val="center"/>
            <w:hideMark/>
          </w:tcPr>
          <w:p w14:paraId="7FCFCAFD" w14:textId="77777777" w:rsidR="00C00BF2" w:rsidRDefault="00C04FEB"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CA3246">
              <w:rPr>
                <w:rFonts w:ascii="Open Sans Semibold" w:eastAsia="Times New Roman" w:hAnsi="Open Sans Semibold" w:cs="Open Sans Semibold"/>
                <w:color w:val="FFFFFF"/>
                <w:sz w:val="16"/>
                <w:szCs w:val="16"/>
                <w:lang w:eastAsia="en-AU"/>
              </w:rPr>
              <w:t xml:space="preserve">Significance of change from </w:t>
            </w:r>
          </w:p>
          <w:p w14:paraId="2BF82B9F" w14:textId="7C69BEF6" w:rsidR="00C04FEB" w:rsidRPr="00CA3246" w:rsidRDefault="00C04FEB"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CA3246">
              <w:rPr>
                <w:rFonts w:ascii="Open Sans Semibold" w:eastAsia="Times New Roman" w:hAnsi="Open Sans Semibold" w:cs="Open Sans Semibold"/>
                <w:color w:val="FFFFFF"/>
                <w:sz w:val="16"/>
                <w:szCs w:val="16"/>
                <w:lang w:eastAsia="en-AU"/>
              </w:rPr>
              <w:t xml:space="preserve">2022 to 2023 </w:t>
            </w:r>
          </w:p>
        </w:tc>
      </w:tr>
      <w:tr w:rsidR="00C04FEB" w:rsidRPr="00CA3246" w14:paraId="7CC674F2" w14:textId="77777777" w:rsidTr="00874F19">
        <w:trPr>
          <w:trHeight w:val="319"/>
        </w:trPr>
        <w:tc>
          <w:tcPr>
            <w:tcW w:w="3220" w:type="dxa"/>
            <w:tcBorders>
              <w:top w:val="nil"/>
              <w:left w:val="single" w:sz="8" w:space="0" w:color="C0E6F5"/>
              <w:bottom w:val="nil"/>
              <w:right w:val="nil"/>
            </w:tcBorders>
            <w:shd w:val="clear" w:color="000000" w:fill="FFFFFF"/>
            <w:vAlign w:val="center"/>
            <w:hideMark/>
          </w:tcPr>
          <w:p w14:paraId="385F286A" w14:textId="77777777" w:rsidR="00C04FEB" w:rsidRPr="00CA3246" w:rsidRDefault="00C04FEB" w:rsidP="00874F19">
            <w:pPr>
              <w:keepNext/>
              <w:keepLines/>
              <w:spacing w:after="0" w:line="240" w:lineRule="auto"/>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Base student cost</w:t>
            </w:r>
          </w:p>
        </w:tc>
        <w:tc>
          <w:tcPr>
            <w:tcW w:w="1300" w:type="dxa"/>
            <w:tcBorders>
              <w:top w:val="single" w:sz="8" w:space="0" w:color="ADD6EA"/>
              <w:left w:val="nil"/>
              <w:bottom w:val="nil"/>
              <w:right w:val="nil"/>
            </w:tcBorders>
            <w:shd w:val="clear" w:color="000000" w:fill="FFFFFF"/>
            <w:vAlign w:val="center"/>
            <w:hideMark/>
          </w:tcPr>
          <w:p w14:paraId="359E4C97" w14:textId="77777777" w:rsidR="00C04FEB" w:rsidRPr="00CA3246" w:rsidRDefault="00C04FEB" w:rsidP="00874F19">
            <w:pPr>
              <w:keepNext/>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1,447*** </w:t>
            </w:r>
          </w:p>
        </w:tc>
        <w:tc>
          <w:tcPr>
            <w:tcW w:w="1300" w:type="dxa"/>
            <w:tcBorders>
              <w:top w:val="single" w:sz="8" w:space="0" w:color="ADD6EA"/>
              <w:left w:val="nil"/>
              <w:bottom w:val="nil"/>
              <w:right w:val="nil"/>
            </w:tcBorders>
            <w:shd w:val="clear" w:color="000000" w:fill="FFFFFF"/>
            <w:vAlign w:val="center"/>
            <w:hideMark/>
          </w:tcPr>
          <w:p w14:paraId="14ED0DC8" w14:textId="77777777" w:rsidR="00C04FEB" w:rsidRPr="00CA3246" w:rsidRDefault="00C04FEB" w:rsidP="00874F19">
            <w:pPr>
              <w:keepNext/>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1,353*** </w:t>
            </w:r>
          </w:p>
        </w:tc>
        <w:tc>
          <w:tcPr>
            <w:tcW w:w="1300" w:type="dxa"/>
            <w:tcBorders>
              <w:top w:val="single" w:sz="8" w:space="0" w:color="ADD6EA"/>
              <w:left w:val="nil"/>
              <w:bottom w:val="nil"/>
              <w:right w:val="nil"/>
            </w:tcBorders>
            <w:shd w:val="clear" w:color="000000" w:fill="FFFFFF"/>
            <w:vAlign w:val="center"/>
            <w:hideMark/>
          </w:tcPr>
          <w:p w14:paraId="65366BB9" w14:textId="77777777" w:rsidR="00C04FEB" w:rsidRPr="00CA3246" w:rsidRDefault="00C04FEB" w:rsidP="00874F19">
            <w:pPr>
              <w:keepNext/>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1,324*** </w:t>
            </w:r>
          </w:p>
        </w:tc>
        <w:tc>
          <w:tcPr>
            <w:tcW w:w="1860" w:type="dxa"/>
            <w:tcBorders>
              <w:top w:val="single" w:sz="8" w:space="0" w:color="ADD6EA"/>
              <w:left w:val="nil"/>
              <w:bottom w:val="nil"/>
              <w:right w:val="single" w:sz="8" w:space="0" w:color="C0E6F5"/>
            </w:tcBorders>
            <w:shd w:val="clear" w:color="000000" w:fill="FFFFFF"/>
            <w:vAlign w:val="center"/>
            <w:hideMark/>
          </w:tcPr>
          <w:p w14:paraId="73CF8FA4" w14:textId="77777777" w:rsidR="00C04FEB" w:rsidRPr="00CA3246" w:rsidRDefault="00C04FEB" w:rsidP="00874F19">
            <w:pPr>
              <w:keepNext/>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w:t>
            </w:r>
          </w:p>
        </w:tc>
      </w:tr>
      <w:tr w:rsidR="00C04FEB" w:rsidRPr="00CA3246" w14:paraId="705D274A"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6481572E" w14:textId="6E72F536" w:rsidR="00C04FEB" w:rsidRPr="00CA3246" w:rsidRDefault="00C04FEB" w:rsidP="00874F19">
            <w:pPr>
              <w:keepNext/>
              <w:keepLines/>
              <w:spacing w:after="0" w:line="240" w:lineRule="auto"/>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Secondary</w:t>
            </w:r>
            <w:r w:rsidR="00E21C48">
              <w:rPr>
                <w:rFonts w:ascii="Open Sans Light" w:eastAsia="Times New Roman" w:hAnsi="Open Sans Light" w:cs="Open Sans Light"/>
                <w:color w:val="000000"/>
                <w:sz w:val="16"/>
                <w:szCs w:val="16"/>
                <w:lang w:eastAsia="en-AU"/>
              </w:rPr>
              <w:t xml:space="preserve"> school</w:t>
            </w:r>
            <w:r w:rsidRPr="00CA3246">
              <w:rPr>
                <w:rFonts w:ascii="Open Sans Light" w:eastAsia="Times New Roman" w:hAnsi="Open Sans Light" w:cs="Open Sans Light"/>
                <w:color w:val="000000"/>
                <w:sz w:val="16"/>
                <w:szCs w:val="16"/>
                <w:lang w:eastAsia="en-AU"/>
              </w:rPr>
              <w:t xml:space="preserve"> student</w:t>
            </w:r>
          </w:p>
        </w:tc>
        <w:tc>
          <w:tcPr>
            <w:tcW w:w="1300" w:type="dxa"/>
            <w:tcBorders>
              <w:top w:val="single" w:sz="8" w:space="0" w:color="ADD6EA"/>
              <w:left w:val="nil"/>
              <w:bottom w:val="nil"/>
              <w:right w:val="nil"/>
            </w:tcBorders>
            <w:shd w:val="clear" w:color="000000" w:fill="FFFFFF"/>
            <w:vAlign w:val="center"/>
            <w:hideMark/>
          </w:tcPr>
          <w:p w14:paraId="50FA75DF" w14:textId="77777777" w:rsidR="00C04FEB" w:rsidRPr="00CA3246" w:rsidRDefault="00C04FEB" w:rsidP="00874F19">
            <w:pPr>
              <w:keepNext/>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382*** </w:t>
            </w:r>
          </w:p>
        </w:tc>
        <w:tc>
          <w:tcPr>
            <w:tcW w:w="1300" w:type="dxa"/>
            <w:tcBorders>
              <w:top w:val="single" w:sz="8" w:space="0" w:color="ADD6EA"/>
              <w:left w:val="nil"/>
              <w:bottom w:val="nil"/>
              <w:right w:val="nil"/>
            </w:tcBorders>
            <w:shd w:val="clear" w:color="000000" w:fill="FFFFFF"/>
            <w:vAlign w:val="center"/>
            <w:hideMark/>
          </w:tcPr>
          <w:p w14:paraId="3388D703" w14:textId="77777777" w:rsidR="00C04FEB" w:rsidRPr="00CA3246" w:rsidRDefault="00C04FEB" w:rsidP="00874F19">
            <w:pPr>
              <w:keepNext/>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399*** </w:t>
            </w:r>
          </w:p>
        </w:tc>
        <w:tc>
          <w:tcPr>
            <w:tcW w:w="1300" w:type="dxa"/>
            <w:tcBorders>
              <w:top w:val="single" w:sz="8" w:space="0" w:color="ADD6EA"/>
              <w:left w:val="nil"/>
              <w:bottom w:val="nil"/>
              <w:right w:val="nil"/>
            </w:tcBorders>
            <w:shd w:val="clear" w:color="000000" w:fill="FFFFFF"/>
            <w:vAlign w:val="center"/>
            <w:hideMark/>
          </w:tcPr>
          <w:p w14:paraId="23AD5041" w14:textId="77777777" w:rsidR="00C04FEB" w:rsidRPr="00CA3246" w:rsidRDefault="00C04FEB" w:rsidP="00874F19">
            <w:pPr>
              <w:keepNext/>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434*** </w:t>
            </w:r>
          </w:p>
        </w:tc>
        <w:tc>
          <w:tcPr>
            <w:tcW w:w="1860" w:type="dxa"/>
            <w:tcBorders>
              <w:top w:val="single" w:sz="8" w:space="0" w:color="ADD6EA"/>
              <w:left w:val="nil"/>
              <w:bottom w:val="nil"/>
              <w:right w:val="single" w:sz="8" w:space="0" w:color="C0E6F5"/>
            </w:tcBorders>
            <w:shd w:val="clear" w:color="000000" w:fill="FFFFFF"/>
            <w:vAlign w:val="center"/>
            <w:hideMark/>
          </w:tcPr>
          <w:p w14:paraId="4AEC9000" w14:textId="77777777" w:rsidR="00C04FEB" w:rsidRPr="00CA3246" w:rsidRDefault="00C04FEB" w:rsidP="00874F19">
            <w:pPr>
              <w:keepNext/>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w:t>
            </w:r>
          </w:p>
        </w:tc>
      </w:tr>
      <w:tr w:rsidR="00C04FEB" w:rsidRPr="00CA3246" w14:paraId="0EDF28DD"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40B9332D" w14:textId="77777777" w:rsidR="00C04FEB" w:rsidRPr="00CA3246" w:rsidRDefault="00C04FEB" w:rsidP="00874F19">
            <w:pPr>
              <w:keepLines/>
              <w:spacing w:after="0" w:line="240" w:lineRule="auto"/>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Fixed cost of a school</w:t>
            </w:r>
          </w:p>
        </w:tc>
        <w:tc>
          <w:tcPr>
            <w:tcW w:w="1300" w:type="dxa"/>
            <w:tcBorders>
              <w:top w:val="single" w:sz="8" w:space="0" w:color="ADD6EA"/>
              <w:left w:val="nil"/>
              <w:bottom w:val="nil"/>
              <w:right w:val="nil"/>
            </w:tcBorders>
            <w:shd w:val="clear" w:color="000000" w:fill="FFFFFF"/>
            <w:vAlign w:val="center"/>
            <w:hideMark/>
          </w:tcPr>
          <w:p w14:paraId="1BED1167"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63,912*** </w:t>
            </w:r>
          </w:p>
        </w:tc>
        <w:tc>
          <w:tcPr>
            <w:tcW w:w="1300" w:type="dxa"/>
            <w:tcBorders>
              <w:top w:val="single" w:sz="8" w:space="0" w:color="ADD6EA"/>
              <w:left w:val="nil"/>
              <w:bottom w:val="nil"/>
              <w:right w:val="nil"/>
            </w:tcBorders>
            <w:shd w:val="clear" w:color="000000" w:fill="FFFFFF"/>
            <w:vAlign w:val="center"/>
            <w:hideMark/>
          </w:tcPr>
          <w:p w14:paraId="70C15DE7"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74,605*** </w:t>
            </w:r>
          </w:p>
        </w:tc>
        <w:tc>
          <w:tcPr>
            <w:tcW w:w="1300" w:type="dxa"/>
            <w:tcBorders>
              <w:top w:val="single" w:sz="8" w:space="0" w:color="ADD6EA"/>
              <w:left w:val="nil"/>
              <w:bottom w:val="nil"/>
              <w:right w:val="nil"/>
            </w:tcBorders>
            <w:shd w:val="clear" w:color="000000" w:fill="FFFFFF"/>
            <w:vAlign w:val="center"/>
            <w:hideMark/>
          </w:tcPr>
          <w:p w14:paraId="453C5DAE"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95,578*** </w:t>
            </w:r>
          </w:p>
        </w:tc>
        <w:tc>
          <w:tcPr>
            <w:tcW w:w="1860" w:type="dxa"/>
            <w:tcBorders>
              <w:top w:val="single" w:sz="8" w:space="0" w:color="ADD6EA"/>
              <w:left w:val="nil"/>
              <w:bottom w:val="nil"/>
              <w:right w:val="single" w:sz="8" w:space="0" w:color="C0E6F5"/>
            </w:tcBorders>
            <w:shd w:val="clear" w:color="000000" w:fill="FFFFFF"/>
            <w:vAlign w:val="center"/>
            <w:hideMark/>
          </w:tcPr>
          <w:p w14:paraId="37E2B24E"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 </w:t>
            </w:r>
          </w:p>
        </w:tc>
      </w:tr>
      <w:tr w:rsidR="00C04FEB" w:rsidRPr="00CA3246" w14:paraId="58275964"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222F678D" w14:textId="77777777" w:rsidR="00C04FEB" w:rsidRPr="00CA3246" w:rsidRDefault="00C04FEB" w:rsidP="00874F19">
            <w:pPr>
              <w:keepLines/>
              <w:spacing w:after="0" w:line="240" w:lineRule="auto"/>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Fixed cost of a secondary school </w:t>
            </w:r>
          </w:p>
        </w:tc>
        <w:tc>
          <w:tcPr>
            <w:tcW w:w="1300" w:type="dxa"/>
            <w:tcBorders>
              <w:top w:val="single" w:sz="8" w:space="0" w:color="ADD6EA"/>
              <w:left w:val="nil"/>
              <w:bottom w:val="nil"/>
              <w:right w:val="nil"/>
            </w:tcBorders>
            <w:shd w:val="clear" w:color="000000" w:fill="FFFFFF"/>
            <w:vAlign w:val="center"/>
            <w:hideMark/>
          </w:tcPr>
          <w:p w14:paraId="0FA447B8"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47,766** </w:t>
            </w:r>
          </w:p>
        </w:tc>
        <w:tc>
          <w:tcPr>
            <w:tcW w:w="1300" w:type="dxa"/>
            <w:tcBorders>
              <w:top w:val="single" w:sz="8" w:space="0" w:color="ADD6EA"/>
              <w:left w:val="nil"/>
              <w:bottom w:val="nil"/>
              <w:right w:val="nil"/>
            </w:tcBorders>
            <w:shd w:val="clear" w:color="000000" w:fill="FFFFFF"/>
            <w:vAlign w:val="center"/>
            <w:hideMark/>
          </w:tcPr>
          <w:p w14:paraId="2C6019DD"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43,482** </w:t>
            </w:r>
          </w:p>
        </w:tc>
        <w:tc>
          <w:tcPr>
            <w:tcW w:w="1300" w:type="dxa"/>
            <w:tcBorders>
              <w:top w:val="single" w:sz="8" w:space="0" w:color="ADD6EA"/>
              <w:left w:val="nil"/>
              <w:bottom w:val="nil"/>
              <w:right w:val="nil"/>
            </w:tcBorders>
            <w:shd w:val="clear" w:color="000000" w:fill="FFFFFF"/>
            <w:vAlign w:val="center"/>
            <w:hideMark/>
          </w:tcPr>
          <w:p w14:paraId="7DCCF9B7"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25,062</w:t>
            </w:r>
          </w:p>
        </w:tc>
        <w:tc>
          <w:tcPr>
            <w:tcW w:w="1860" w:type="dxa"/>
            <w:tcBorders>
              <w:top w:val="single" w:sz="8" w:space="0" w:color="ADD6EA"/>
              <w:left w:val="nil"/>
              <w:bottom w:val="nil"/>
              <w:right w:val="single" w:sz="8" w:space="0" w:color="C0E6F5"/>
            </w:tcBorders>
            <w:shd w:val="clear" w:color="000000" w:fill="FFFFFF"/>
            <w:vAlign w:val="center"/>
            <w:hideMark/>
          </w:tcPr>
          <w:p w14:paraId="3B94D7CB"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w:t>
            </w:r>
          </w:p>
        </w:tc>
      </w:tr>
      <w:tr w:rsidR="00C04FEB" w:rsidRPr="00CA3246" w14:paraId="57979845" w14:textId="77777777" w:rsidTr="00874F19">
        <w:trPr>
          <w:trHeight w:val="319"/>
        </w:trPr>
        <w:tc>
          <w:tcPr>
            <w:tcW w:w="3220" w:type="dxa"/>
            <w:tcBorders>
              <w:top w:val="single" w:sz="8" w:space="0" w:color="ADD6EA"/>
              <w:left w:val="single" w:sz="8" w:space="0" w:color="C0E6F5"/>
              <w:bottom w:val="nil"/>
              <w:right w:val="nil"/>
            </w:tcBorders>
            <w:shd w:val="clear" w:color="000000" w:fill="FFFFFF"/>
            <w:vAlign w:val="center"/>
            <w:hideMark/>
          </w:tcPr>
          <w:p w14:paraId="789D3894" w14:textId="77777777" w:rsidR="00C04FEB" w:rsidRPr="00CA3246" w:rsidRDefault="00C04FEB" w:rsidP="00874F19">
            <w:pPr>
              <w:keepLines/>
              <w:spacing w:after="0" w:line="240" w:lineRule="auto"/>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Socio-educationally disadvantaged student</w:t>
            </w:r>
          </w:p>
        </w:tc>
        <w:tc>
          <w:tcPr>
            <w:tcW w:w="1300" w:type="dxa"/>
            <w:tcBorders>
              <w:top w:val="single" w:sz="8" w:space="0" w:color="ADD6EA"/>
              <w:left w:val="nil"/>
              <w:bottom w:val="single" w:sz="8" w:space="0" w:color="ADD6EA"/>
              <w:right w:val="nil"/>
            </w:tcBorders>
            <w:shd w:val="clear" w:color="000000" w:fill="FFFFFF"/>
            <w:vAlign w:val="center"/>
            <w:hideMark/>
          </w:tcPr>
          <w:p w14:paraId="42906B25"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2,715*** </w:t>
            </w:r>
          </w:p>
        </w:tc>
        <w:tc>
          <w:tcPr>
            <w:tcW w:w="1300" w:type="dxa"/>
            <w:tcBorders>
              <w:top w:val="single" w:sz="8" w:space="0" w:color="ADD6EA"/>
              <w:left w:val="nil"/>
              <w:bottom w:val="single" w:sz="8" w:space="0" w:color="ADD6EA"/>
              <w:right w:val="nil"/>
            </w:tcBorders>
            <w:shd w:val="clear" w:color="000000" w:fill="FFFFFF"/>
            <w:vAlign w:val="center"/>
            <w:hideMark/>
          </w:tcPr>
          <w:p w14:paraId="396B3B24"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3,021*** </w:t>
            </w:r>
          </w:p>
        </w:tc>
        <w:tc>
          <w:tcPr>
            <w:tcW w:w="1300" w:type="dxa"/>
            <w:tcBorders>
              <w:top w:val="single" w:sz="8" w:space="0" w:color="ADD6EA"/>
              <w:left w:val="nil"/>
              <w:bottom w:val="single" w:sz="8" w:space="0" w:color="ADD6EA"/>
              <w:right w:val="nil"/>
            </w:tcBorders>
            <w:shd w:val="clear" w:color="000000" w:fill="FFFFFF"/>
            <w:vAlign w:val="center"/>
            <w:hideMark/>
          </w:tcPr>
          <w:p w14:paraId="61C89F9B"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3,165*** </w:t>
            </w:r>
          </w:p>
        </w:tc>
        <w:tc>
          <w:tcPr>
            <w:tcW w:w="1860" w:type="dxa"/>
            <w:tcBorders>
              <w:top w:val="single" w:sz="8" w:space="0" w:color="ADD6EA"/>
              <w:left w:val="nil"/>
              <w:bottom w:val="single" w:sz="8" w:space="0" w:color="ADD6EA"/>
              <w:right w:val="single" w:sz="8" w:space="0" w:color="C0E6F5"/>
            </w:tcBorders>
            <w:shd w:val="clear" w:color="000000" w:fill="FFFFFF"/>
            <w:vAlign w:val="center"/>
            <w:hideMark/>
          </w:tcPr>
          <w:p w14:paraId="689FDABE"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w:t>
            </w:r>
          </w:p>
        </w:tc>
      </w:tr>
      <w:tr w:rsidR="00C04FEB" w:rsidRPr="00CA3246" w14:paraId="6CA863B8" w14:textId="77777777" w:rsidTr="00874F19">
        <w:trPr>
          <w:trHeight w:val="319"/>
        </w:trPr>
        <w:tc>
          <w:tcPr>
            <w:tcW w:w="3220" w:type="dxa"/>
            <w:tcBorders>
              <w:top w:val="single" w:sz="8" w:space="0" w:color="ADD6EA"/>
              <w:left w:val="single" w:sz="8" w:space="0" w:color="C0E6F5"/>
              <w:bottom w:val="single" w:sz="8" w:space="0" w:color="ADD6EA"/>
              <w:right w:val="nil"/>
            </w:tcBorders>
            <w:shd w:val="clear" w:color="000000" w:fill="FFFFFF"/>
            <w:vAlign w:val="center"/>
            <w:hideMark/>
          </w:tcPr>
          <w:p w14:paraId="6DB96276" w14:textId="77777777" w:rsidR="00C04FEB" w:rsidRPr="00CA3246" w:rsidRDefault="00C04FEB" w:rsidP="00874F19">
            <w:pPr>
              <w:keepLines/>
              <w:spacing w:after="0" w:line="240" w:lineRule="auto"/>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First Nations student</w:t>
            </w:r>
          </w:p>
        </w:tc>
        <w:tc>
          <w:tcPr>
            <w:tcW w:w="1300" w:type="dxa"/>
            <w:tcBorders>
              <w:top w:val="nil"/>
              <w:left w:val="nil"/>
              <w:bottom w:val="single" w:sz="8" w:space="0" w:color="C1E4F5"/>
              <w:right w:val="nil"/>
            </w:tcBorders>
            <w:shd w:val="clear" w:color="000000" w:fill="FFFFFF"/>
            <w:vAlign w:val="center"/>
            <w:hideMark/>
          </w:tcPr>
          <w:p w14:paraId="7C032912"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xml:space="preserve"> 847*** </w:t>
            </w:r>
          </w:p>
        </w:tc>
        <w:tc>
          <w:tcPr>
            <w:tcW w:w="1300" w:type="dxa"/>
            <w:tcBorders>
              <w:top w:val="nil"/>
              <w:left w:val="nil"/>
              <w:bottom w:val="single" w:sz="8" w:space="0" w:color="C1E4F5"/>
              <w:right w:val="nil"/>
            </w:tcBorders>
            <w:shd w:val="clear" w:color="000000" w:fill="FFFFFF"/>
            <w:vAlign w:val="center"/>
            <w:hideMark/>
          </w:tcPr>
          <w:p w14:paraId="204BA06F"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265</w:t>
            </w:r>
          </w:p>
        </w:tc>
        <w:tc>
          <w:tcPr>
            <w:tcW w:w="1300" w:type="dxa"/>
            <w:tcBorders>
              <w:top w:val="nil"/>
              <w:left w:val="nil"/>
              <w:bottom w:val="single" w:sz="8" w:space="0" w:color="C1E4F5"/>
              <w:right w:val="nil"/>
            </w:tcBorders>
            <w:shd w:val="clear" w:color="000000" w:fill="FFFFFF"/>
            <w:vAlign w:val="center"/>
            <w:hideMark/>
          </w:tcPr>
          <w:p w14:paraId="105696C6"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296</w:t>
            </w:r>
          </w:p>
        </w:tc>
        <w:tc>
          <w:tcPr>
            <w:tcW w:w="1860" w:type="dxa"/>
            <w:tcBorders>
              <w:top w:val="nil"/>
              <w:left w:val="nil"/>
              <w:bottom w:val="single" w:sz="8" w:space="0" w:color="C1E4F5"/>
              <w:right w:val="single" w:sz="8" w:space="0" w:color="C0E6F5"/>
            </w:tcBorders>
            <w:shd w:val="clear" w:color="000000" w:fill="FFFFFF"/>
            <w:vAlign w:val="center"/>
            <w:hideMark/>
          </w:tcPr>
          <w:p w14:paraId="64E2D23D" w14:textId="77777777" w:rsidR="00C04FEB" w:rsidRPr="00CA3246" w:rsidRDefault="00C04FEB" w:rsidP="00874F19">
            <w:pPr>
              <w:keepLines/>
              <w:spacing w:after="0" w:line="240" w:lineRule="auto"/>
              <w:jc w:val="right"/>
              <w:rPr>
                <w:rFonts w:ascii="Open Sans Light" w:eastAsia="Times New Roman" w:hAnsi="Open Sans Light" w:cs="Open Sans Light"/>
                <w:color w:val="000000"/>
                <w:sz w:val="16"/>
                <w:szCs w:val="16"/>
                <w:lang w:eastAsia="en-AU"/>
              </w:rPr>
            </w:pPr>
            <w:r w:rsidRPr="00CA3246">
              <w:rPr>
                <w:rFonts w:ascii="Open Sans Light" w:eastAsia="Times New Roman" w:hAnsi="Open Sans Light" w:cs="Open Sans Light"/>
                <w:color w:val="000000"/>
                <w:sz w:val="16"/>
                <w:szCs w:val="16"/>
                <w:lang w:eastAsia="en-AU"/>
              </w:rPr>
              <w:t> </w:t>
            </w:r>
          </w:p>
        </w:tc>
      </w:tr>
    </w:tbl>
    <w:p w14:paraId="49F25527" w14:textId="70B98957" w:rsidR="00C04FEB" w:rsidRPr="00C04FEB" w:rsidRDefault="00C04FEB" w:rsidP="00C04FEB">
      <w:pPr>
        <w:pStyle w:val="CGCTablenote"/>
      </w:pPr>
      <w:r w:rsidRPr="00991155">
        <w:t>Note: *** p &lt; 0.001, ** p &lt; 0.01, * p &lt; 0.05, + p &lt; 0.1</w:t>
      </w:r>
    </w:p>
    <w:p w14:paraId="763F2CC3" w14:textId="754F8689" w:rsidR="00C04FEB" w:rsidRDefault="00C04FEB" w:rsidP="00C04FEB">
      <w:pPr>
        <w:pStyle w:val="CGCParaNumber"/>
      </w:pPr>
      <w:r>
        <w:t>Profile changes of schools</w:t>
      </w:r>
      <w:r w:rsidR="008B4EED">
        <w:t>,</w:t>
      </w:r>
      <w:r>
        <w:t xml:space="preserve"> </w:t>
      </w:r>
      <w:r w:rsidR="00D85660">
        <w:t xml:space="preserve">such as </w:t>
      </w:r>
      <w:r w:rsidR="00DC796B">
        <w:t xml:space="preserve">changes in the proportion of First Nations students in </w:t>
      </w:r>
      <w:r w:rsidR="005841A5">
        <w:t xml:space="preserve">each </w:t>
      </w:r>
      <w:r w:rsidR="00DC796B">
        <w:t>school</w:t>
      </w:r>
      <w:r w:rsidR="00193AF2">
        <w:t>,</w:t>
      </w:r>
      <w:r w:rsidR="00DC796B">
        <w:t xml:space="preserve"> </w:t>
      </w:r>
      <w:r>
        <w:t>made little difference to coefficients. The changes were driven by the funding distribution within states, especially in New So</w:t>
      </w:r>
      <w:r w:rsidR="00A17909">
        <w:t>uth</w:t>
      </w:r>
      <w:r>
        <w:t xml:space="preserve"> Wales. New South </w:t>
      </w:r>
      <w:proofErr w:type="spellStart"/>
      <w:r>
        <w:t>Wales</w:t>
      </w:r>
      <w:r w:rsidR="3C2B70D2">
        <w:t>’</w:t>
      </w:r>
      <w:proofErr w:type="spellEnd"/>
      <w:r>
        <w:t xml:space="preserve"> funding to government schools increased by 4%</w:t>
      </w:r>
      <w:r w:rsidR="004554D9">
        <w:t xml:space="preserve"> (nominal)</w:t>
      </w:r>
      <w:r w:rsidR="008A28A2">
        <w:t xml:space="preserve"> </w:t>
      </w:r>
      <w:r>
        <w:t>in 2021 and 13%</w:t>
      </w:r>
      <w:r w:rsidR="008A28A2">
        <w:t xml:space="preserve"> </w:t>
      </w:r>
      <w:r>
        <w:t xml:space="preserve">in 2022, with little difference in the </w:t>
      </w:r>
      <w:r w:rsidR="00AA0020">
        <w:t xml:space="preserve">percentage </w:t>
      </w:r>
      <w:r>
        <w:t xml:space="preserve">funding increase between schools with high or low proportions of First Nations students. However, in 2023, the 8% increase in funding across the state was disproportionately provided to schools with high </w:t>
      </w:r>
      <w:r w:rsidR="00B47936">
        <w:t xml:space="preserve">proportions </w:t>
      </w:r>
      <w:r>
        <w:t>of First Nations students.</w:t>
      </w:r>
    </w:p>
    <w:p w14:paraId="0C164293" w14:textId="10E4C852" w:rsidR="00C04FEB" w:rsidRDefault="00C04FEB" w:rsidP="00C04FEB">
      <w:pPr>
        <w:pStyle w:val="CGCParaNumber"/>
      </w:pPr>
      <w:r>
        <w:t>Some variables have become insignificant in both the government and non</w:t>
      </w:r>
      <w:r>
        <w:noBreakHyphen/>
        <w:t xml:space="preserve">government </w:t>
      </w:r>
      <w:proofErr w:type="gramStart"/>
      <w:r>
        <w:t>schools</w:t>
      </w:r>
      <w:proofErr w:type="gramEnd"/>
      <w:r>
        <w:t xml:space="preserve"> regressions (Table</w:t>
      </w:r>
      <w:r w:rsidR="00941664">
        <w:t>s 1 and</w:t>
      </w:r>
      <w:r>
        <w:t xml:space="preserve"> 2). The Commission intends to retain these variables as long </w:t>
      </w:r>
      <w:proofErr w:type="gramStart"/>
      <w:r>
        <w:t>as</w:t>
      </w:r>
      <w:proofErr w:type="gramEnd"/>
      <w:r>
        <w:t xml:space="preserve"> they are positive. If in a future year these variables have negative coefficients, the Commission will consult states on the</w:t>
      </w:r>
      <w:r w:rsidR="00186660">
        <w:t>ir</w:t>
      </w:r>
      <w:r>
        <w:t xml:space="preserve"> appropriate treatment. </w:t>
      </w:r>
    </w:p>
    <w:p w14:paraId="162E8A4C" w14:textId="5A54A62E" w:rsidR="00C04FEB" w:rsidRPr="0054757E" w:rsidRDefault="00C04FEB" w:rsidP="0054757E">
      <w:pPr>
        <w:pStyle w:val="Caption"/>
      </w:pPr>
      <w:r w:rsidRPr="006D23B6">
        <w:rPr>
          <w:rFonts w:eastAsiaTheme="minorHAnsi" w:cstheme="minorBidi"/>
          <w:b/>
          <w:szCs w:val="22"/>
        </w:rPr>
        <w:t>Figure</w:t>
      </w:r>
      <w:r w:rsidR="00F429CF" w:rsidRPr="006D23B6">
        <w:rPr>
          <w:rFonts w:eastAsiaTheme="minorHAnsi" w:cstheme="minorBidi"/>
          <w:b/>
          <w:szCs w:val="22"/>
        </w:rPr>
        <w:t xml:space="preserve"> 1</w:t>
      </w:r>
      <w:r w:rsidRPr="006D23B6">
        <w:rPr>
          <w:rFonts w:eastAsiaTheme="minorHAnsi" w:cstheme="minorBidi"/>
          <w:b/>
          <w:szCs w:val="22"/>
        </w:rPr>
        <w:tab/>
        <w:t>Increase in spending on New South Wales government schools by First Nation</w:t>
      </w:r>
      <w:r w:rsidR="004A040F" w:rsidRPr="006D23B6">
        <w:rPr>
          <w:rFonts w:eastAsiaTheme="minorHAnsi" w:cstheme="minorBidi"/>
          <w:b/>
          <w:szCs w:val="22"/>
        </w:rPr>
        <w:t>s</w:t>
      </w:r>
      <w:r w:rsidRPr="006D23B6">
        <w:rPr>
          <w:rFonts w:eastAsiaTheme="minorHAnsi" w:cstheme="minorBidi"/>
          <w:b/>
          <w:szCs w:val="22"/>
        </w:rPr>
        <w:t xml:space="preserve"> student proportions</w:t>
      </w:r>
    </w:p>
    <w:p w14:paraId="127C3425" w14:textId="082A7B7F" w:rsidR="00C04FEB" w:rsidRDefault="003D70E6" w:rsidP="00C04FEB">
      <w:pPr>
        <w:pStyle w:val="CGCParaNumber"/>
        <w:numPr>
          <w:ilvl w:val="0"/>
          <w:numId w:val="0"/>
        </w:numPr>
      </w:pPr>
      <w:r>
        <w:rPr>
          <w:noProof/>
        </w:rPr>
        <w:drawing>
          <wp:inline distT="0" distB="0" distL="0" distR="0" wp14:anchorId="60D0649E" wp14:editId="35B0E50E">
            <wp:extent cx="5652000" cy="3600000"/>
            <wp:effectExtent l="0" t="0" r="6350" b="635"/>
            <wp:docPr id="719192583" name="Chart 1">
              <a:extLst xmlns:a="http://schemas.openxmlformats.org/drawingml/2006/main">
                <a:ext uri="{FF2B5EF4-FFF2-40B4-BE49-F238E27FC236}">
                  <a16:creationId xmlns:a16="http://schemas.microsoft.com/office/drawing/2014/main" id="{C8F6A53E-1BE6-CB9E-16E4-9F8558488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9D46D0" w14:textId="77777777" w:rsidR="00076B62" w:rsidRDefault="00076B62" w:rsidP="00C04FEB">
      <w:pPr>
        <w:pStyle w:val="CGCParaNumber"/>
        <w:numPr>
          <w:ilvl w:val="0"/>
          <w:numId w:val="0"/>
        </w:numPr>
      </w:pPr>
    </w:p>
    <w:p w14:paraId="50488D40" w14:textId="5C6B03FF" w:rsidR="00C04FEB" w:rsidRDefault="00C04FEB" w:rsidP="00C04FEB">
      <w:pPr>
        <w:pStyle w:val="CGCParaNumber"/>
      </w:pPr>
      <w:r>
        <w:lastRenderedPageBreak/>
        <w:t xml:space="preserve">The changes in regression coefficients will make a </w:t>
      </w:r>
      <w:r w:rsidR="00C00A04">
        <w:t xml:space="preserve">positive </w:t>
      </w:r>
      <w:r>
        <w:t>change to the Northern</w:t>
      </w:r>
      <w:r w:rsidR="003B464C">
        <w:t> </w:t>
      </w:r>
      <w:r>
        <w:t>Territory’s assessed spending on government schools, although this is expected to be more than offset by the 4% decrease in government school student numbers in the Northern Territory between 2021</w:t>
      </w:r>
      <w:r w:rsidR="005A2412">
        <w:t>–</w:t>
      </w:r>
      <w:r>
        <w:t>22 and 2024</w:t>
      </w:r>
      <w:r w:rsidR="005A2412">
        <w:t>–</w:t>
      </w:r>
      <w:r>
        <w:t xml:space="preserve">25. </w:t>
      </w:r>
    </w:p>
    <w:p w14:paraId="0A5FBFD2" w14:textId="30B74535" w:rsidR="00C04FEB" w:rsidRDefault="00C04FEB" w:rsidP="00C04FEB">
      <w:pPr>
        <w:pStyle w:val="CGCParaNumber"/>
      </w:pPr>
      <w:r>
        <w:t xml:space="preserve">Given the significantly smaller state spend on non-government schools, changes in the coefficients in the non-government </w:t>
      </w:r>
      <w:proofErr w:type="gramStart"/>
      <w:r>
        <w:t>schools</w:t>
      </w:r>
      <w:proofErr w:type="gramEnd"/>
      <w:r>
        <w:t xml:space="preserve"> model are </w:t>
      </w:r>
      <w:r w:rsidR="00531337">
        <w:t xml:space="preserve">small. </w:t>
      </w:r>
    </w:p>
    <w:p w14:paraId="164EA087" w14:textId="77777777" w:rsidR="00C04FEB" w:rsidRDefault="00C04FEB" w:rsidP="00C04FEB">
      <w:pPr>
        <w:pStyle w:val="CGCParaNumber"/>
      </w:pPr>
      <w:r>
        <w:t xml:space="preserve">The Commission considers the changes in the model reflect real world changes in ‘what states do’. Therefore, the Commission intends to use the data without adjustment. </w:t>
      </w:r>
    </w:p>
    <w:p w14:paraId="4401030A" w14:textId="67C64A54" w:rsidR="00C04FEB" w:rsidRPr="00C04FEB" w:rsidRDefault="00C04FEB" w:rsidP="00C04FEB">
      <w:pPr>
        <w:pStyle w:val="CGCParaNumber"/>
      </w:pPr>
      <w:r>
        <w:t xml:space="preserve">The negative coefficients for the First Nations proportion and the remote First Nations student variables </w:t>
      </w:r>
      <w:r w:rsidR="00064F24">
        <w:t>were inconsistent with</w:t>
      </w:r>
      <w:r>
        <w:t xml:space="preserve"> the conceptual case. Therefore, they will not be included in the model. The Commission will retest these variables in the 2027 Update.</w:t>
      </w:r>
    </w:p>
    <w:p w14:paraId="14E0023A" w14:textId="045DD10F" w:rsidR="00C04FEB" w:rsidRPr="00C04FEB" w:rsidRDefault="00C04FEB" w:rsidP="00C04FEB">
      <w:pPr>
        <w:pStyle w:val="Heading3"/>
      </w:pPr>
      <w:r w:rsidRPr="00C04FEB">
        <w:t>Preliminary view</w:t>
      </w:r>
    </w:p>
    <w:p w14:paraId="3B160EE2" w14:textId="534D42D8" w:rsidR="00C04FEB" w:rsidRDefault="00C04FEB" w:rsidP="00C04FEB">
      <w:pPr>
        <w:rPr>
          <w:rStyle w:val="normaltextrun"/>
        </w:rPr>
      </w:pPr>
      <w:r>
        <w:rPr>
          <w:noProof/>
        </w:rPr>
        <mc:AlternateContent>
          <mc:Choice Requires="wps">
            <w:drawing>
              <wp:inline distT="0" distB="0" distL="114300" distR="114300" wp14:anchorId="560A4A82" wp14:editId="5DCD6BE6">
                <wp:extent cx="5731510" cy="666750"/>
                <wp:effectExtent l="0" t="0" r="2540" b="0"/>
                <wp:docPr id="1370086470" name="Rectangle 1370086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666750"/>
                        </a:xfrm>
                        <a:prstGeom prst="rect">
                          <a:avLst/>
                        </a:prstGeom>
                        <a:solidFill>
                          <a:srgbClr val="E5F8FF"/>
                        </a:solidFill>
                        <a:ln w="25400" cap="flat" cmpd="sng" algn="ctr">
                          <a:noFill/>
                          <a:prstDash val="solid"/>
                        </a:ln>
                        <a:effectLst/>
                      </wps:spPr>
                      <wps:txbx>
                        <w:txbxContent>
                          <w:p w14:paraId="16AEFE42" w14:textId="2FA16660" w:rsidR="00C04FEB" w:rsidRPr="00EF13FC" w:rsidRDefault="00C04FEB" w:rsidP="00C04FEB">
                            <w:pPr>
                              <w:pStyle w:val="CGCBullet1"/>
                              <w:numPr>
                                <w:ilvl w:val="0"/>
                                <w:numId w:val="0"/>
                              </w:numPr>
                              <w:ind w:left="142"/>
                            </w:pPr>
                            <w:r w:rsidRPr="005063AB">
                              <w:t>The Commission’s preliminary view is to use the 2023 ACARA data without adjustment</w:t>
                            </w:r>
                            <w:r w:rsidRPr="00AE133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0A4A82" id="Rectangle 1370086470" o:spid="_x0000_s1027" alt="&quot;&quot;" style="width:451.3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" fillcolor="#e5f8ff" stroked="f" strokeweight="2pt">
                <v:textbox>
                  <w:txbxContent>
                    <w:p w14:paraId="16AEFE42" w14:textId="2FA16660" w:rsidR="00C04FEB" w:rsidRPr="00EF13FC" w:rsidRDefault="00C04FEB" w:rsidP="00C04FEB">
                      <w:pPr>
                        <w:pStyle w:val="CGCBullet1"/>
                        <w:numPr>
                          <w:ilvl w:val="0"/>
                          <w:numId w:val="0"/>
                        </w:numPr>
                        <w:ind w:left="142"/>
                      </w:pPr>
                      <w:r w:rsidRPr="005063AB">
                        <w:t>The Commission’s preliminary view is to use the 2023 ACARA data without adjustment</w:t>
                      </w:r>
                      <w:r w:rsidRPr="00AE1330">
                        <w:t>.</w:t>
                      </w:r>
                    </w:p>
                  </w:txbxContent>
                </v:textbox>
                <w10:anchorlock/>
              </v:rect>
            </w:pict>
          </mc:Fallback>
        </mc:AlternateContent>
      </w:r>
    </w:p>
    <w:p w14:paraId="0CF702F8" w14:textId="77777777" w:rsidR="00A11B03" w:rsidRDefault="00A11B03">
      <w:pPr>
        <w:rPr>
          <w:rFonts w:ascii="Work Sans" w:eastAsia="Times New Roman" w:hAnsi="Work Sans" w:cs="Open Sans"/>
          <w:b/>
          <w:bCs/>
          <w:color w:val="006991"/>
          <w:sz w:val="36"/>
          <w:szCs w:val="36"/>
        </w:rPr>
      </w:pPr>
      <w:r>
        <w:br w:type="page"/>
      </w:r>
    </w:p>
    <w:p w14:paraId="41394809" w14:textId="4A1E718D" w:rsidR="00C04FEB" w:rsidRDefault="00C04FEB" w:rsidP="00474EA5">
      <w:pPr>
        <w:pStyle w:val="Heading2"/>
        <w:keepNext/>
      </w:pPr>
      <w:r>
        <w:lastRenderedPageBreak/>
        <w:t xml:space="preserve">Health – community health activity proxy </w:t>
      </w:r>
    </w:p>
    <w:p w14:paraId="03FCF89A" w14:textId="38999D3A" w:rsidR="00C04FEB" w:rsidRPr="005F7DE4" w:rsidRDefault="00C04FEB" w:rsidP="00474EA5">
      <w:pPr>
        <w:pStyle w:val="CGCParaNumber"/>
        <w:keepNext/>
      </w:pPr>
      <w:r>
        <w:t>The community and public health assessment uses a proxy measure of activity based on a combination of ED triage 4 and 5 activity and selected NAP activity.</w:t>
      </w:r>
    </w:p>
    <w:p w14:paraId="1AD9CC2B" w14:textId="77777777" w:rsidR="00C04FEB" w:rsidRPr="005F7DE4" w:rsidRDefault="00C04FEB" w:rsidP="00C04FEB">
      <w:pPr>
        <w:pStyle w:val="CGCParaNumber"/>
      </w:pPr>
      <w:r w:rsidRPr="005F7DE4">
        <w:t>Two issues have arisen with the data used to calculate the proxy</w:t>
      </w:r>
      <w:r>
        <w:t>:</w:t>
      </w:r>
    </w:p>
    <w:p w14:paraId="307A4525" w14:textId="5C867507" w:rsidR="00C04FEB" w:rsidRPr="005F7DE4" w:rsidRDefault="00C04FEB" w:rsidP="00CB3F8C">
      <w:pPr>
        <w:pStyle w:val="CGCBullet1"/>
      </w:pPr>
      <w:r w:rsidRPr="005F7DE4">
        <w:t xml:space="preserve">3 new categories of </w:t>
      </w:r>
      <w:r w:rsidR="003B2C90">
        <w:t>NAP</w:t>
      </w:r>
      <w:r w:rsidRPr="005F7DE4">
        <w:t xml:space="preserve"> services</w:t>
      </w:r>
    </w:p>
    <w:p w14:paraId="085CBB63" w14:textId="6572EB04" w:rsidR="00C04FEB" w:rsidRDefault="00C04FEB" w:rsidP="00CB3F8C">
      <w:pPr>
        <w:pStyle w:val="CGCBullet1"/>
      </w:pPr>
      <w:r w:rsidRPr="005F7DE4">
        <w:t>coverage of ED triage 4 and 5 activity data.</w:t>
      </w:r>
    </w:p>
    <w:p w14:paraId="10AE923E" w14:textId="77777777" w:rsidR="00C04FEB" w:rsidRDefault="00C04FEB" w:rsidP="00C04FEB">
      <w:pPr>
        <w:pStyle w:val="Heading3"/>
      </w:pPr>
      <w:r>
        <w:t>Non-admitted patient clinic categories</w:t>
      </w:r>
    </w:p>
    <w:p w14:paraId="0848F49C" w14:textId="2471BA8A" w:rsidR="00C04FEB" w:rsidRDefault="00C04FEB" w:rsidP="00C04FEB">
      <w:pPr>
        <w:pStyle w:val="CGCParaNumber"/>
      </w:pPr>
      <w:r>
        <w:t xml:space="preserve">NAP services </w:t>
      </w:r>
      <w:r w:rsidR="0031356F">
        <w:t>a</w:t>
      </w:r>
      <w:r>
        <w:t xml:space="preserve">re included in the proxy if they </w:t>
      </w:r>
      <w:r w:rsidR="0031356F">
        <w:t>a</w:t>
      </w:r>
      <w:r>
        <w:t xml:space="preserve">re </w:t>
      </w:r>
      <w:proofErr w:type="gramStart"/>
      <w:r w:rsidRPr="006D3968">
        <w:t xml:space="preserve">similar </w:t>
      </w:r>
      <w:r>
        <w:t>to</w:t>
      </w:r>
      <w:proofErr w:type="gramEnd"/>
      <w:r>
        <w:t xml:space="preserve"> </w:t>
      </w:r>
      <w:r w:rsidRPr="006D3968">
        <w:t>community and public health services.</w:t>
      </w:r>
      <w:r w:rsidRPr="006B368E">
        <w:rPr>
          <w:rStyle w:val="FootnoteReference"/>
          <w:vertAlign w:val="superscript"/>
        </w:rPr>
        <w:footnoteReference w:id="2"/>
      </w:r>
    </w:p>
    <w:p w14:paraId="188F4352" w14:textId="6637F724" w:rsidR="00C04FEB" w:rsidRDefault="00C04FEB" w:rsidP="00C04FEB">
      <w:pPr>
        <w:pStyle w:val="CGCParaNumber"/>
      </w:pPr>
      <w:r>
        <w:t xml:space="preserve">The 2023–24 data on NAP activity from the Independent Health and Aged Care Pricing Authority (IHACPA) include 3 new </w:t>
      </w:r>
      <w:r w:rsidRPr="00B95E14">
        <w:t xml:space="preserve">Tier 2 </w:t>
      </w:r>
      <w:r>
        <w:t xml:space="preserve">clinic categories for services provided by allied health personnel and/or clinical nurse specialists (Table 3). The Commission needs to decide whether to include these categories in its proxy for </w:t>
      </w:r>
      <w:r w:rsidRPr="00354B26">
        <w:t>community and public health</w:t>
      </w:r>
      <w:r>
        <w:t xml:space="preserve"> activity.</w:t>
      </w:r>
    </w:p>
    <w:p w14:paraId="2C7A6DE6" w14:textId="1D98F830" w:rsidR="00F429CF" w:rsidRPr="005D1FEA" w:rsidRDefault="00F429CF" w:rsidP="0054757E">
      <w:pPr>
        <w:pStyle w:val="Caption"/>
        <w:rPr>
          <w:rFonts w:eastAsiaTheme="minorHAnsi" w:cstheme="minorBidi"/>
          <w:b/>
          <w:szCs w:val="22"/>
        </w:rPr>
      </w:pPr>
      <w:bookmarkStart w:id="2" w:name="_Ref205299177"/>
      <w:r w:rsidRPr="005D1FEA">
        <w:rPr>
          <w:rFonts w:eastAsiaTheme="minorHAnsi" w:cstheme="minorBidi"/>
          <w:b/>
          <w:szCs w:val="22"/>
        </w:rPr>
        <w:t>Table</w:t>
      </w:r>
      <w:bookmarkEnd w:id="2"/>
      <w:r w:rsidRPr="005D1FEA">
        <w:rPr>
          <w:rFonts w:eastAsiaTheme="minorHAnsi" w:cstheme="minorBidi"/>
          <w:b/>
          <w:szCs w:val="22"/>
        </w:rPr>
        <w:t xml:space="preserve"> </w:t>
      </w:r>
      <w:r w:rsidR="00D160EB" w:rsidRPr="005D1FEA">
        <w:rPr>
          <w:rFonts w:eastAsiaTheme="minorHAnsi" w:cstheme="minorBidi"/>
          <w:b/>
          <w:szCs w:val="22"/>
        </w:rPr>
        <w:t>3</w:t>
      </w:r>
      <w:r w:rsidRPr="005D1FEA">
        <w:rPr>
          <w:rFonts w:eastAsiaTheme="minorHAnsi" w:cstheme="minorBidi"/>
          <w:b/>
          <w:szCs w:val="22"/>
        </w:rPr>
        <w:tab/>
        <w:t>New allied health non-admitted patient service classifications</w:t>
      </w:r>
    </w:p>
    <w:tbl>
      <w:tblPr>
        <w:tblW w:w="5000" w:type="pct"/>
        <w:tblLook w:val="04A0" w:firstRow="1" w:lastRow="0" w:firstColumn="1" w:lastColumn="0" w:noHBand="0" w:noVBand="1"/>
      </w:tblPr>
      <w:tblGrid>
        <w:gridCol w:w="1359"/>
        <w:gridCol w:w="7667"/>
      </w:tblGrid>
      <w:tr w:rsidR="00F429CF" w:rsidRPr="004A0A2A" w14:paraId="13AB0222" w14:textId="77777777" w:rsidTr="00874F19">
        <w:trPr>
          <w:trHeight w:val="375"/>
          <w:tblHeader/>
        </w:trPr>
        <w:tc>
          <w:tcPr>
            <w:tcW w:w="753" w:type="pct"/>
            <w:tcBorders>
              <w:top w:val="nil"/>
              <w:left w:val="nil"/>
              <w:bottom w:val="nil"/>
              <w:right w:val="nil"/>
            </w:tcBorders>
            <w:shd w:val="clear" w:color="000000" w:fill="006991"/>
            <w:noWrap/>
            <w:vAlign w:val="center"/>
            <w:hideMark/>
          </w:tcPr>
          <w:p w14:paraId="6FD6DD81" w14:textId="77777777" w:rsidR="00F429CF" w:rsidRPr="004A0A2A" w:rsidRDefault="00F429CF" w:rsidP="00874F19">
            <w:pPr>
              <w:keepNext/>
              <w:keepLines/>
              <w:spacing w:after="0" w:line="240" w:lineRule="auto"/>
              <w:rPr>
                <w:rFonts w:ascii="Open Sans Semibold" w:eastAsia="Times New Roman" w:hAnsi="Open Sans Semibold" w:cs="Open Sans Semibold"/>
                <w:color w:val="FFFFFF"/>
                <w:sz w:val="16"/>
                <w:szCs w:val="16"/>
                <w:lang w:eastAsia="en-AU"/>
              </w:rPr>
            </w:pPr>
            <w:r w:rsidRPr="004A0A2A">
              <w:rPr>
                <w:rFonts w:ascii="Open Sans Semibold" w:eastAsia="Times New Roman" w:hAnsi="Open Sans Semibold" w:cs="Open Sans Semibold"/>
                <w:color w:val="FFFFFF"/>
                <w:sz w:val="16"/>
                <w:szCs w:val="16"/>
                <w:lang w:eastAsia="en-AU"/>
              </w:rPr>
              <w:t>Tier 2</w:t>
            </w:r>
          </w:p>
        </w:tc>
        <w:tc>
          <w:tcPr>
            <w:tcW w:w="4247" w:type="pct"/>
            <w:tcBorders>
              <w:top w:val="nil"/>
              <w:left w:val="nil"/>
              <w:bottom w:val="nil"/>
              <w:right w:val="nil"/>
            </w:tcBorders>
            <w:shd w:val="clear" w:color="000000" w:fill="006991"/>
            <w:noWrap/>
            <w:vAlign w:val="center"/>
            <w:hideMark/>
          </w:tcPr>
          <w:p w14:paraId="20FC8C9C" w14:textId="77777777" w:rsidR="00F429CF" w:rsidRPr="004A0A2A" w:rsidRDefault="00F429CF" w:rsidP="00874F19">
            <w:pPr>
              <w:keepNext/>
              <w:keepLines/>
              <w:spacing w:after="0" w:line="240" w:lineRule="auto"/>
              <w:rPr>
                <w:rFonts w:ascii="Open Sans Semibold" w:eastAsia="Times New Roman" w:hAnsi="Open Sans Semibold" w:cs="Open Sans Semibold"/>
                <w:color w:val="FFFFFF"/>
                <w:sz w:val="16"/>
                <w:szCs w:val="16"/>
                <w:lang w:eastAsia="en-AU"/>
              </w:rPr>
            </w:pPr>
            <w:r w:rsidRPr="004A0A2A">
              <w:rPr>
                <w:rFonts w:ascii="Open Sans Semibold" w:eastAsia="Times New Roman" w:hAnsi="Open Sans Semibold" w:cs="Open Sans Semibold"/>
                <w:color w:val="FFFFFF"/>
                <w:sz w:val="16"/>
                <w:szCs w:val="16"/>
                <w:lang w:eastAsia="en-AU"/>
              </w:rPr>
              <w:t>Non-admitted patient service</w:t>
            </w:r>
          </w:p>
        </w:tc>
      </w:tr>
      <w:tr w:rsidR="00F429CF" w:rsidRPr="004A0A2A" w14:paraId="12FECD02" w14:textId="77777777" w:rsidTr="00874F19">
        <w:trPr>
          <w:trHeight w:val="300"/>
        </w:trPr>
        <w:tc>
          <w:tcPr>
            <w:tcW w:w="753" w:type="pct"/>
            <w:tcBorders>
              <w:top w:val="nil"/>
              <w:left w:val="nil"/>
              <w:bottom w:val="single" w:sz="4" w:space="0" w:color="ADD6EA"/>
              <w:right w:val="nil"/>
            </w:tcBorders>
            <w:shd w:val="clear" w:color="000000" w:fill="FFFFFF"/>
            <w:vAlign w:val="bottom"/>
            <w:hideMark/>
          </w:tcPr>
          <w:p w14:paraId="227D9471" w14:textId="77777777" w:rsidR="00F429CF" w:rsidRPr="00D160EB" w:rsidRDefault="00F429CF" w:rsidP="00874F19">
            <w:pPr>
              <w:keepNext/>
              <w:keepLines/>
              <w:spacing w:after="0"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40.65</w:t>
            </w:r>
          </w:p>
        </w:tc>
        <w:tc>
          <w:tcPr>
            <w:tcW w:w="4247" w:type="pct"/>
            <w:tcBorders>
              <w:top w:val="nil"/>
              <w:left w:val="nil"/>
              <w:bottom w:val="single" w:sz="4" w:space="0" w:color="ADD6EA"/>
              <w:right w:val="nil"/>
            </w:tcBorders>
            <w:shd w:val="clear" w:color="000000" w:fill="FFFFFF"/>
            <w:vAlign w:val="bottom"/>
            <w:hideMark/>
          </w:tcPr>
          <w:p w14:paraId="46B46E78" w14:textId="77777777" w:rsidR="00F429CF" w:rsidRPr="00D160EB" w:rsidRDefault="00F429CF" w:rsidP="00874F19">
            <w:pPr>
              <w:keepNext/>
              <w:keepLines/>
              <w:spacing w:after="0"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Violence, abuse and neglect services</w:t>
            </w:r>
          </w:p>
        </w:tc>
      </w:tr>
      <w:tr w:rsidR="00F429CF" w:rsidRPr="004A0A2A" w14:paraId="69D58106" w14:textId="77777777" w:rsidTr="00874F19">
        <w:trPr>
          <w:trHeight w:val="300"/>
        </w:trPr>
        <w:tc>
          <w:tcPr>
            <w:tcW w:w="753" w:type="pct"/>
            <w:tcBorders>
              <w:top w:val="nil"/>
              <w:left w:val="nil"/>
              <w:bottom w:val="single" w:sz="4" w:space="0" w:color="ADD6EA"/>
              <w:right w:val="nil"/>
            </w:tcBorders>
            <w:shd w:val="clear" w:color="000000" w:fill="FFFFFF"/>
            <w:vAlign w:val="bottom"/>
            <w:hideMark/>
          </w:tcPr>
          <w:p w14:paraId="540B9048" w14:textId="77777777" w:rsidR="00F429CF" w:rsidRPr="00D160EB" w:rsidRDefault="00F429CF" w:rsidP="00874F19">
            <w:pPr>
              <w:keepNext/>
              <w:keepLines/>
              <w:spacing w:after="0"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40.66</w:t>
            </w:r>
          </w:p>
        </w:tc>
        <w:tc>
          <w:tcPr>
            <w:tcW w:w="4247" w:type="pct"/>
            <w:tcBorders>
              <w:top w:val="nil"/>
              <w:left w:val="nil"/>
              <w:bottom w:val="single" w:sz="4" w:space="0" w:color="ADD6EA"/>
              <w:right w:val="nil"/>
            </w:tcBorders>
            <w:shd w:val="clear" w:color="000000" w:fill="FFFFFF"/>
            <w:vAlign w:val="bottom"/>
            <w:hideMark/>
          </w:tcPr>
          <w:p w14:paraId="5AAAE9BB" w14:textId="77777777" w:rsidR="00F429CF" w:rsidRPr="00D160EB" w:rsidRDefault="00F429CF" w:rsidP="00874F19">
            <w:pPr>
              <w:keepNext/>
              <w:keepLines/>
              <w:spacing w:after="0"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Genetic counselling</w:t>
            </w:r>
          </w:p>
        </w:tc>
      </w:tr>
      <w:tr w:rsidR="00F429CF" w:rsidRPr="004A0A2A" w14:paraId="495DD954" w14:textId="77777777" w:rsidTr="00874F19">
        <w:trPr>
          <w:trHeight w:val="300"/>
        </w:trPr>
        <w:tc>
          <w:tcPr>
            <w:tcW w:w="753" w:type="pct"/>
            <w:tcBorders>
              <w:top w:val="nil"/>
              <w:left w:val="nil"/>
              <w:bottom w:val="single" w:sz="4" w:space="0" w:color="ADD6EA"/>
              <w:right w:val="nil"/>
            </w:tcBorders>
            <w:shd w:val="clear" w:color="000000" w:fill="FFFFFF"/>
            <w:vAlign w:val="bottom"/>
            <w:hideMark/>
          </w:tcPr>
          <w:p w14:paraId="3EC3B811" w14:textId="77777777" w:rsidR="00F429CF" w:rsidRPr="00D160EB" w:rsidRDefault="00F429CF" w:rsidP="00874F19">
            <w:pPr>
              <w:keepNext/>
              <w:keepLines/>
              <w:spacing w:after="0"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40.67</w:t>
            </w:r>
          </w:p>
        </w:tc>
        <w:tc>
          <w:tcPr>
            <w:tcW w:w="4247" w:type="pct"/>
            <w:tcBorders>
              <w:top w:val="nil"/>
              <w:left w:val="nil"/>
              <w:bottom w:val="single" w:sz="4" w:space="0" w:color="ADD6EA"/>
              <w:right w:val="nil"/>
            </w:tcBorders>
            <w:shd w:val="clear" w:color="000000" w:fill="FFFFFF"/>
            <w:vAlign w:val="bottom"/>
            <w:hideMark/>
          </w:tcPr>
          <w:p w14:paraId="75794BCC" w14:textId="77777777" w:rsidR="00F429CF" w:rsidRPr="00D160EB" w:rsidRDefault="00F429CF" w:rsidP="00874F19">
            <w:pPr>
              <w:keepNext/>
              <w:keepLines/>
              <w:spacing w:after="0" w:line="240" w:lineRule="auto"/>
              <w:rPr>
                <w:rFonts w:ascii="Open Sans Light" w:eastAsia="Times New Roman" w:hAnsi="Open Sans Light" w:cs="Open Sans Light"/>
                <w:color w:val="000000"/>
                <w:sz w:val="16"/>
                <w:szCs w:val="16"/>
                <w:lang w:eastAsia="en-AU"/>
              </w:rPr>
            </w:pPr>
            <w:r w:rsidRPr="00D160EB">
              <w:rPr>
                <w:rFonts w:ascii="Open Sans Light" w:eastAsia="Times New Roman" w:hAnsi="Open Sans Light" w:cs="Open Sans Light"/>
                <w:color w:val="000000"/>
                <w:sz w:val="16"/>
                <w:szCs w:val="16"/>
                <w:lang w:eastAsia="en-AU"/>
              </w:rPr>
              <w:t>Long COVID</w:t>
            </w:r>
          </w:p>
        </w:tc>
      </w:tr>
    </w:tbl>
    <w:p w14:paraId="30674E0C" w14:textId="0B495F5A" w:rsidR="00F429CF" w:rsidRDefault="00F429CF" w:rsidP="00F429CF">
      <w:pPr>
        <w:pStyle w:val="CGCTablenote"/>
        <w:tabs>
          <w:tab w:val="clear" w:pos="567"/>
          <w:tab w:val="left" w:pos="851"/>
        </w:tabs>
        <w:ind w:left="700" w:hanging="587"/>
      </w:pPr>
      <w:r>
        <w:t>Source:</w:t>
      </w:r>
      <w:r>
        <w:tab/>
        <w:t xml:space="preserve">Independent Health and Aged Care Pricing Authority, </w:t>
      </w:r>
      <w:hyperlink r:id="rId18" w:history="1">
        <w:r w:rsidRPr="00783FCD">
          <w:rPr>
            <w:rStyle w:val="Hyperlink"/>
            <w:i/>
            <w:iCs/>
          </w:rPr>
          <w:t>Tier 2 non-admitted services 2023–24</w:t>
        </w:r>
      </w:hyperlink>
      <w:r>
        <w:t>, IHACPA, 2023, accessed 5</w:t>
      </w:r>
      <w:r w:rsidR="00CA5204">
        <w:t> </w:t>
      </w:r>
      <w:r>
        <w:t>August 2025.</w:t>
      </w:r>
    </w:p>
    <w:p w14:paraId="7C4D51B9" w14:textId="67143E79" w:rsidR="00F429CF" w:rsidRDefault="00F429CF" w:rsidP="00F429CF">
      <w:pPr>
        <w:pStyle w:val="CGCParaNumber"/>
      </w:pPr>
      <w:r>
        <w:t xml:space="preserve">The 2025 Review methodology specified that </w:t>
      </w:r>
      <w:r w:rsidRPr="00DC01EF">
        <w:t>COVID</w:t>
      </w:r>
      <w:r>
        <w:t>-</w:t>
      </w:r>
      <w:r w:rsidRPr="00DC01EF">
        <w:t>19</w:t>
      </w:r>
      <w:r>
        <w:t xml:space="preserve"> NAP services would be </w:t>
      </w:r>
      <w:r w:rsidRPr="00DC01EF">
        <w:t>excluded from the proxy indicator</w:t>
      </w:r>
      <w:r>
        <w:t xml:space="preserve"> for the 2025 Review and 2026 Update, </w:t>
      </w:r>
      <w:r w:rsidR="00490F90">
        <w:t>given</w:t>
      </w:r>
      <w:r>
        <w:t xml:space="preserve"> </w:t>
      </w:r>
      <w:r w:rsidRPr="00DC01EF">
        <w:t>COVID</w:t>
      </w:r>
      <w:r w:rsidR="000A76C7">
        <w:noBreakHyphen/>
      </w:r>
      <w:r w:rsidRPr="00DC01EF">
        <w:t>19 expenses</w:t>
      </w:r>
      <w:r>
        <w:t xml:space="preserve"> </w:t>
      </w:r>
      <w:r w:rsidR="00797878">
        <w:t>are</w:t>
      </w:r>
      <w:r>
        <w:t xml:space="preserve"> separately assessed in a temporary </w:t>
      </w:r>
      <w:r w:rsidR="009A0274">
        <w:t xml:space="preserve">health expense </w:t>
      </w:r>
      <w:r>
        <w:t>component</w:t>
      </w:r>
      <w:r w:rsidRPr="00DC01EF">
        <w:t>.</w:t>
      </w:r>
      <w:r>
        <w:t xml:space="preserve"> Consistent with this, the Commission intends to exclude l</w:t>
      </w:r>
      <w:r w:rsidRPr="002A6498">
        <w:t>ong COVID</w:t>
      </w:r>
      <w:r>
        <w:t xml:space="preserve"> services provided by an allied health personnel and/or clinical nurse </w:t>
      </w:r>
      <w:proofErr w:type="gramStart"/>
      <w:r>
        <w:t>specialists (Tier</w:t>
      </w:r>
      <w:r w:rsidR="00475994">
        <w:t> </w:t>
      </w:r>
      <w:r>
        <w:t>2</w:t>
      </w:r>
      <w:r w:rsidR="00475994">
        <w:t> </w:t>
      </w:r>
      <w:r>
        <w:t>category 40.67)</w:t>
      </w:r>
      <w:proofErr w:type="gramEnd"/>
      <w:r>
        <w:t xml:space="preserve"> from the proxy in the 2026 Update.</w:t>
      </w:r>
    </w:p>
    <w:p w14:paraId="3D452716" w14:textId="77777777" w:rsidR="00F429CF" w:rsidRDefault="00F429CF" w:rsidP="00F429CF">
      <w:pPr>
        <w:pStyle w:val="CGCParaNumber"/>
      </w:pPr>
      <w:r>
        <w:t>The other new Tier 2 categories (violence, abuse and neglect services, and genetic counselling) are commonly provided in community health settings. Therefore, the Commission intends to include these categories in the proxy.</w:t>
      </w:r>
    </w:p>
    <w:p w14:paraId="021AE769" w14:textId="77777777" w:rsidR="00F429CF" w:rsidRDefault="00F429CF" w:rsidP="00F429CF">
      <w:pPr>
        <w:pStyle w:val="Heading3"/>
      </w:pPr>
      <w:r>
        <w:t>Preliminary view</w:t>
      </w:r>
    </w:p>
    <w:p w14:paraId="6BA3AB52" w14:textId="26CB53A4" w:rsidR="00C04FEB" w:rsidRPr="005C356A" w:rsidRDefault="00D160EB" w:rsidP="00C04FEB">
      <w:pPr>
        <w:pStyle w:val="CGCParaNumber"/>
        <w:keepNext/>
        <w:keepLines/>
        <w:numPr>
          <w:ilvl w:val="0"/>
          <w:numId w:val="0"/>
        </w:numPr>
        <w:ind w:left="360" w:hanging="360"/>
      </w:pPr>
      <w:r>
        <w:rPr>
          <w:noProof/>
        </w:rPr>
        <mc:AlternateContent>
          <mc:Choice Requires="wps">
            <w:drawing>
              <wp:inline distT="0" distB="0" distL="114300" distR="114300" wp14:anchorId="615480DC" wp14:editId="11CE3382">
                <wp:extent cx="5731510" cy="946150"/>
                <wp:effectExtent l="0" t="0" r="2540" b="6350"/>
                <wp:docPr id="93404598" name="Rectangle 93404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946150"/>
                        </a:xfrm>
                        <a:prstGeom prst="rect">
                          <a:avLst/>
                        </a:prstGeom>
                        <a:solidFill>
                          <a:srgbClr val="E5F8FF"/>
                        </a:solidFill>
                        <a:ln w="25400" cap="flat" cmpd="sng" algn="ctr">
                          <a:noFill/>
                          <a:prstDash val="solid"/>
                        </a:ln>
                        <a:effectLst/>
                      </wps:spPr>
                      <wps:txbx>
                        <w:txbxContent>
                          <w:p w14:paraId="36900FAF" w14:textId="5B916F4C" w:rsidR="00D160EB" w:rsidRPr="00EF13FC" w:rsidRDefault="00D160EB" w:rsidP="00D160EB">
                            <w:pPr>
                              <w:pStyle w:val="CGCBullet1"/>
                              <w:numPr>
                                <w:ilvl w:val="0"/>
                                <w:numId w:val="0"/>
                              </w:numPr>
                              <w:ind w:left="142"/>
                            </w:pPr>
                            <w:r w:rsidRPr="005063AB">
                              <w:t xml:space="preserve">The </w:t>
                            </w:r>
                            <w:r>
                              <w:t xml:space="preserve">Commission’s preliminary view is to include </w:t>
                            </w:r>
                            <w:r w:rsidR="00896425">
                              <w:t>NAP</w:t>
                            </w:r>
                            <w:r>
                              <w:t xml:space="preserve"> allied health services relating to violence, abuse and neglect services and genetic counselling in its proxy for community and public health activity, but not to include services relating to long COVID in the 2026 Update</w:t>
                            </w:r>
                            <w:r w:rsidRPr="00AE133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5480DC" id="Rectangle 93404598" o:spid="_x0000_s1028" alt="&quot;&quot;" style="width:451.3pt;height: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" fillcolor="#e5f8ff" stroked="f" strokeweight="2pt">
                <v:textbox>
                  <w:txbxContent>
                    <w:p w14:paraId="36900FAF" w14:textId="5B916F4C" w:rsidR="00D160EB" w:rsidRPr="00EF13FC" w:rsidRDefault="00D160EB" w:rsidP="00D160EB">
                      <w:pPr>
                        <w:pStyle w:val="CGCBullet1"/>
                        <w:numPr>
                          <w:ilvl w:val="0"/>
                          <w:numId w:val="0"/>
                        </w:numPr>
                        <w:ind w:left="142"/>
                      </w:pPr>
                      <w:r w:rsidRPr="005063AB">
                        <w:t xml:space="preserve">The </w:t>
                      </w:r>
                      <w:r>
                        <w:t xml:space="preserve">Commission’s preliminary view is to include </w:t>
                      </w:r>
                      <w:r w:rsidR="00896425">
                        <w:t>NAP</w:t>
                      </w:r>
                      <w:r>
                        <w:t xml:space="preserve"> allied health services relating to violence, abuse and neglect services and genetic counselling in its proxy for community and public health activity, but not to include services relating to long COVID in the 2026 Update</w:t>
                      </w:r>
                      <w:r w:rsidRPr="00AE1330">
                        <w:t>.</w:t>
                      </w:r>
                    </w:p>
                  </w:txbxContent>
                </v:textbox>
                <w10:anchorlock/>
              </v:rect>
            </w:pict>
          </mc:Fallback>
        </mc:AlternateContent>
      </w:r>
    </w:p>
    <w:p w14:paraId="06C7E731" w14:textId="77777777" w:rsidR="00F61EA3" w:rsidRDefault="00F61EA3">
      <w:pPr>
        <w:rPr>
          <w:rFonts w:ascii="Work Sans" w:eastAsia="Times New Roman" w:hAnsi="Work Sans" w:cs="Open Sans"/>
          <w:b/>
          <w:bCs/>
          <w:color w:val="006991"/>
          <w:sz w:val="28"/>
          <w:szCs w:val="28"/>
        </w:rPr>
      </w:pPr>
      <w:r>
        <w:br w:type="page"/>
      </w:r>
    </w:p>
    <w:p w14:paraId="31D9247C" w14:textId="780C3130" w:rsidR="00D160EB" w:rsidRDefault="00D160EB" w:rsidP="00D160EB">
      <w:pPr>
        <w:pStyle w:val="Heading3"/>
      </w:pPr>
      <w:r>
        <w:lastRenderedPageBreak/>
        <w:t>Coverage of the ED triage 4 and 5 data</w:t>
      </w:r>
    </w:p>
    <w:p w14:paraId="6D6666F9" w14:textId="3F4E8759" w:rsidR="00D160EB" w:rsidRPr="00083A74" w:rsidRDefault="00D160EB" w:rsidP="00D160EB">
      <w:pPr>
        <w:pStyle w:val="CGCParaNumber"/>
        <w:rPr>
          <w:color w:val="000000" w:themeColor="text1"/>
        </w:rPr>
      </w:pPr>
      <w:r w:rsidRPr="001A2D02">
        <w:t xml:space="preserve">The community and public health assessment proxy </w:t>
      </w:r>
      <w:r>
        <w:t>includes ED</w:t>
      </w:r>
      <w:r w:rsidRPr="001A2D02">
        <w:t xml:space="preserve"> triage 4 and 5 </w:t>
      </w:r>
      <w:r>
        <w:t>activity data. The assessment requires patient-level information such as age, Indigenous status and socio-economic status. However, some hospitals</w:t>
      </w:r>
      <w:r w:rsidR="00A84A5A">
        <w:t xml:space="preserve">, </w:t>
      </w:r>
      <w:r>
        <w:t>particularly small and medium hospitals in more remote areas</w:t>
      </w:r>
      <w:r w:rsidR="00A84A5A">
        <w:t xml:space="preserve">, </w:t>
      </w:r>
      <w:r>
        <w:t>only report aggregate data without patient demographics.</w:t>
      </w:r>
    </w:p>
    <w:p w14:paraId="0C8945A3" w14:textId="1A23724E" w:rsidR="00D160EB" w:rsidRPr="00BB59F5" w:rsidRDefault="00D160EB" w:rsidP="00D160EB">
      <w:pPr>
        <w:pStyle w:val="CGCParaNumber"/>
      </w:pPr>
      <w:r>
        <w:t>To minimise potential urban or non</w:t>
      </w:r>
      <w:r>
        <w:noBreakHyphen/>
        <w:t xml:space="preserve">Indigenous bias, </w:t>
      </w:r>
      <w:r w:rsidRPr="00B52F5D">
        <w:rPr>
          <w:color w:val="000000" w:themeColor="text1"/>
        </w:rPr>
        <w:t xml:space="preserve">ED activity </w:t>
      </w:r>
      <w:r w:rsidR="005D070D">
        <w:rPr>
          <w:color w:val="000000" w:themeColor="text1"/>
        </w:rPr>
        <w:t xml:space="preserve">data </w:t>
      </w:r>
      <w:r w:rsidRPr="00090BC7">
        <w:rPr>
          <w:color w:val="000000" w:themeColor="text1"/>
        </w:rPr>
        <w:t>ha</w:t>
      </w:r>
      <w:r w:rsidR="005D070D">
        <w:rPr>
          <w:color w:val="000000" w:themeColor="text1"/>
        </w:rPr>
        <w:t>ve</w:t>
      </w:r>
      <w:r w:rsidRPr="00B52F5D">
        <w:rPr>
          <w:color w:val="000000" w:themeColor="text1"/>
        </w:rPr>
        <w:t xml:space="preserve"> been scaled</w:t>
      </w:r>
      <w:r>
        <w:rPr>
          <w:color w:val="000000" w:themeColor="text1"/>
        </w:rPr>
        <w:t xml:space="preserve"> </w:t>
      </w:r>
      <w:r w:rsidRPr="00B52F5D">
        <w:rPr>
          <w:color w:val="000000" w:themeColor="text1"/>
        </w:rPr>
        <w:t>each year</w:t>
      </w:r>
      <w:r>
        <w:t xml:space="preserve"> so that presentations from hospitals without demographic information (predominantly block-funded hospitals) are assigned the demographic profile of hospitals in the same remoteness category</w:t>
      </w:r>
      <w:r w:rsidRPr="00B52F5D">
        <w:rPr>
          <w:color w:val="000000" w:themeColor="text1"/>
        </w:rPr>
        <w:t>.</w:t>
      </w:r>
      <w:r w:rsidR="005729EF">
        <w:rPr>
          <w:color w:val="000000" w:themeColor="text1"/>
        </w:rPr>
        <w:t xml:space="preserve"> </w:t>
      </w:r>
      <w:r w:rsidR="0064218D" w:rsidRPr="00090BC7">
        <w:rPr>
          <w:color w:val="000000" w:themeColor="text1"/>
        </w:rPr>
        <w:t xml:space="preserve">NAP activity </w:t>
      </w:r>
      <w:r w:rsidR="0015537B" w:rsidRPr="000F0096">
        <w:rPr>
          <w:color w:val="000000" w:themeColor="text1"/>
        </w:rPr>
        <w:t xml:space="preserve">data </w:t>
      </w:r>
      <w:r w:rsidR="00090BC7" w:rsidRPr="00090BC7">
        <w:rPr>
          <w:color w:val="000000" w:themeColor="text1"/>
        </w:rPr>
        <w:t xml:space="preserve">used in the proxy were similarly </w:t>
      </w:r>
      <w:r w:rsidR="00AD0FAF">
        <w:rPr>
          <w:color w:val="000000" w:themeColor="text1"/>
        </w:rPr>
        <w:t xml:space="preserve">scaled </w:t>
      </w:r>
      <w:r w:rsidR="0064218D" w:rsidRPr="0064218D">
        <w:rPr>
          <w:color w:val="000000" w:themeColor="text1"/>
        </w:rPr>
        <w:t>until 2020</w:t>
      </w:r>
      <w:r w:rsidR="002C744E">
        <w:rPr>
          <w:color w:val="000000" w:themeColor="text1"/>
        </w:rPr>
        <w:t>–</w:t>
      </w:r>
      <w:r w:rsidR="0064218D" w:rsidRPr="0064218D">
        <w:rPr>
          <w:color w:val="000000" w:themeColor="text1"/>
        </w:rPr>
        <w:t>21</w:t>
      </w:r>
      <w:r w:rsidR="00E85E0C">
        <w:rPr>
          <w:color w:val="000000" w:themeColor="text1"/>
        </w:rPr>
        <w:t>.</w:t>
      </w:r>
      <w:r w:rsidR="00EF31E6" w:rsidRPr="00090BC7">
        <w:rPr>
          <w:color w:val="000000" w:themeColor="text1"/>
        </w:rPr>
        <w:t xml:space="preserve"> </w:t>
      </w:r>
      <w:r w:rsidR="007E253A">
        <w:rPr>
          <w:color w:val="000000" w:themeColor="text1"/>
        </w:rPr>
        <w:t>F</w:t>
      </w:r>
      <w:r w:rsidR="005E7D43">
        <w:rPr>
          <w:color w:val="000000" w:themeColor="text1"/>
        </w:rPr>
        <w:t>rom 2021–22</w:t>
      </w:r>
      <w:r w:rsidR="007E253A">
        <w:rPr>
          <w:color w:val="000000" w:themeColor="text1"/>
        </w:rPr>
        <w:t>,</w:t>
      </w:r>
      <w:r w:rsidR="00343A5D">
        <w:rPr>
          <w:color w:val="000000" w:themeColor="text1"/>
        </w:rPr>
        <w:t xml:space="preserve"> </w:t>
      </w:r>
      <w:r w:rsidR="00544C6F">
        <w:rPr>
          <w:color w:val="000000" w:themeColor="text1"/>
        </w:rPr>
        <w:t xml:space="preserve">state </w:t>
      </w:r>
      <w:r w:rsidR="00A35B1D">
        <w:rPr>
          <w:color w:val="000000" w:themeColor="text1"/>
        </w:rPr>
        <w:t>submission</w:t>
      </w:r>
      <w:r w:rsidR="00544C6F">
        <w:rPr>
          <w:color w:val="000000" w:themeColor="text1"/>
        </w:rPr>
        <w:t xml:space="preserve"> of aggregate </w:t>
      </w:r>
      <w:r w:rsidR="00A35B1D">
        <w:rPr>
          <w:color w:val="000000" w:themeColor="text1"/>
        </w:rPr>
        <w:t xml:space="preserve">NAP </w:t>
      </w:r>
      <w:r w:rsidR="00A22C7D">
        <w:rPr>
          <w:color w:val="000000" w:themeColor="text1"/>
        </w:rPr>
        <w:t>data to IHACPA</w:t>
      </w:r>
      <w:r w:rsidR="00544C6F">
        <w:rPr>
          <w:color w:val="000000" w:themeColor="text1"/>
        </w:rPr>
        <w:t xml:space="preserve"> </w:t>
      </w:r>
      <w:r w:rsidR="00155811">
        <w:rPr>
          <w:color w:val="000000" w:themeColor="text1"/>
        </w:rPr>
        <w:t xml:space="preserve">became </w:t>
      </w:r>
      <w:r w:rsidR="00065AB6">
        <w:rPr>
          <w:color w:val="000000" w:themeColor="text1"/>
        </w:rPr>
        <w:t>optional</w:t>
      </w:r>
      <w:r w:rsidR="00467186">
        <w:rPr>
          <w:color w:val="000000" w:themeColor="text1"/>
        </w:rPr>
        <w:t>,</w:t>
      </w:r>
      <w:r w:rsidR="002B1AE7">
        <w:rPr>
          <w:color w:val="000000" w:themeColor="text1"/>
        </w:rPr>
        <w:t xml:space="preserve"> </w:t>
      </w:r>
      <w:r w:rsidR="00BA1B16">
        <w:rPr>
          <w:color w:val="000000" w:themeColor="text1"/>
        </w:rPr>
        <w:t>meaning</w:t>
      </w:r>
      <w:r w:rsidR="00A22C7D">
        <w:rPr>
          <w:color w:val="000000" w:themeColor="text1"/>
        </w:rPr>
        <w:t xml:space="preserve"> </w:t>
      </w:r>
      <w:r w:rsidR="007C1CFF">
        <w:rPr>
          <w:color w:val="000000" w:themeColor="text1"/>
        </w:rPr>
        <w:t xml:space="preserve">scaling </w:t>
      </w:r>
      <w:r w:rsidR="00BA1B16">
        <w:rPr>
          <w:color w:val="000000" w:themeColor="text1"/>
        </w:rPr>
        <w:t xml:space="preserve">was no longer </w:t>
      </w:r>
      <w:r w:rsidR="00A22C7D">
        <w:rPr>
          <w:color w:val="000000" w:themeColor="text1"/>
        </w:rPr>
        <w:t>feasible</w:t>
      </w:r>
      <w:r w:rsidR="006D242B">
        <w:rPr>
          <w:color w:val="000000" w:themeColor="text1"/>
        </w:rPr>
        <w:t>.</w:t>
      </w:r>
    </w:p>
    <w:p w14:paraId="37F5DE0C" w14:textId="0FCEB80E" w:rsidR="00E612EE" w:rsidRPr="00E612EE" w:rsidRDefault="00D160EB" w:rsidP="00761C0E">
      <w:pPr>
        <w:pStyle w:val="CGCParaNumber"/>
        <w:rPr>
          <w:color w:val="000000" w:themeColor="text1"/>
        </w:rPr>
      </w:pPr>
      <w:r w:rsidRPr="00B52F5D">
        <w:rPr>
          <w:color w:val="000000" w:themeColor="text1"/>
        </w:rPr>
        <w:t xml:space="preserve">Coverage of </w:t>
      </w:r>
      <w:r>
        <w:rPr>
          <w:color w:val="000000" w:themeColor="text1"/>
        </w:rPr>
        <w:t xml:space="preserve">ED </w:t>
      </w:r>
      <w:r w:rsidRPr="00B52F5D">
        <w:rPr>
          <w:color w:val="000000" w:themeColor="text1"/>
        </w:rPr>
        <w:t xml:space="preserve">triage 4 and 5 </w:t>
      </w:r>
      <w:r>
        <w:t>improved markedly</w:t>
      </w:r>
      <w:r>
        <w:rPr>
          <w:color w:val="000000" w:themeColor="text1"/>
        </w:rPr>
        <w:t xml:space="preserve"> in the </w:t>
      </w:r>
      <w:r>
        <w:t xml:space="preserve">2023–24 </w:t>
      </w:r>
      <w:r>
        <w:rPr>
          <w:color w:val="000000" w:themeColor="text1"/>
        </w:rPr>
        <w:t>IHACPA</w:t>
      </w:r>
      <w:r w:rsidRPr="00B52F5D">
        <w:rPr>
          <w:color w:val="000000" w:themeColor="text1"/>
        </w:rPr>
        <w:t xml:space="preserve"> activity data</w:t>
      </w:r>
      <w:r>
        <w:rPr>
          <w:color w:val="000000" w:themeColor="text1"/>
        </w:rPr>
        <w:t>.</w:t>
      </w:r>
      <w:r w:rsidR="00642D43" w:rsidRPr="00642D43">
        <w:rPr>
          <w:rStyle w:val="FootnoteReference"/>
          <w:color w:val="000000" w:themeColor="text1"/>
          <w:vertAlign w:val="superscript"/>
        </w:rPr>
        <w:footnoteReference w:id="3"/>
      </w:r>
      <w:r>
        <w:rPr>
          <w:color w:val="000000" w:themeColor="text1"/>
        </w:rPr>
        <w:t xml:space="preserve"> The share of p</w:t>
      </w:r>
      <w:r>
        <w:t xml:space="preserve">atient level data in block-funded hospitals </w:t>
      </w:r>
      <w:r>
        <w:rPr>
          <w:color w:val="000000" w:themeColor="text1"/>
        </w:rPr>
        <w:t xml:space="preserve">increased </w:t>
      </w:r>
      <w:r>
        <w:t>from 79% in 2022–</w:t>
      </w:r>
      <w:r w:rsidR="00914C6A">
        <w:t>‍</w:t>
      </w:r>
      <w:r w:rsidR="008A4AB5">
        <w:t>23</w:t>
      </w:r>
      <w:r>
        <w:t xml:space="preserve"> to 92% in 2023–24, reducing the case for scaling.</w:t>
      </w:r>
      <w:r w:rsidRPr="006F1017">
        <w:t xml:space="preserve"> </w:t>
      </w:r>
    </w:p>
    <w:p w14:paraId="25CE5CF5" w14:textId="7A95C2C1" w:rsidR="00D160EB" w:rsidRPr="004D31D3" w:rsidRDefault="00AE466E" w:rsidP="00D160EB">
      <w:pPr>
        <w:pStyle w:val="CGCParaNumber"/>
        <w:rPr>
          <w:color w:val="000000" w:themeColor="text1"/>
        </w:rPr>
      </w:pPr>
      <w:r>
        <w:rPr>
          <w:color w:val="000000" w:themeColor="text1"/>
        </w:rPr>
        <w:t xml:space="preserve">Continuing to scale </w:t>
      </w:r>
      <w:r w:rsidR="00250C89" w:rsidRPr="00EB6336">
        <w:rPr>
          <w:color w:val="000000" w:themeColor="text1"/>
        </w:rPr>
        <w:t xml:space="preserve">the </w:t>
      </w:r>
      <w:r w:rsidR="00EE6F09" w:rsidRPr="00EB6336">
        <w:rPr>
          <w:color w:val="000000" w:themeColor="text1"/>
        </w:rPr>
        <w:t xml:space="preserve">ED </w:t>
      </w:r>
      <w:r w:rsidR="00250C89" w:rsidRPr="00EB6336">
        <w:rPr>
          <w:color w:val="000000" w:themeColor="text1"/>
        </w:rPr>
        <w:t xml:space="preserve">data used in the proxy but not the </w:t>
      </w:r>
      <w:r w:rsidR="00EE6F09" w:rsidRPr="00EB6336">
        <w:rPr>
          <w:color w:val="000000" w:themeColor="text1"/>
        </w:rPr>
        <w:t xml:space="preserve">NAP </w:t>
      </w:r>
      <w:r w:rsidR="00605327" w:rsidRPr="00EB6336">
        <w:rPr>
          <w:color w:val="000000" w:themeColor="text1"/>
        </w:rPr>
        <w:t>d</w:t>
      </w:r>
      <w:r w:rsidR="00761C0E" w:rsidRPr="00EB6336">
        <w:rPr>
          <w:color w:val="000000" w:themeColor="text1"/>
        </w:rPr>
        <w:t xml:space="preserve">ata </w:t>
      </w:r>
      <w:r w:rsidR="006468B4">
        <w:rPr>
          <w:color w:val="000000" w:themeColor="text1"/>
        </w:rPr>
        <w:t>w</w:t>
      </w:r>
      <w:r w:rsidR="00250C89" w:rsidRPr="00EB6336">
        <w:rPr>
          <w:color w:val="000000" w:themeColor="text1"/>
        </w:rPr>
        <w:t xml:space="preserve">ould give </w:t>
      </w:r>
      <w:r w:rsidR="00761C0E" w:rsidRPr="00EB6336">
        <w:rPr>
          <w:color w:val="000000" w:themeColor="text1"/>
        </w:rPr>
        <w:t xml:space="preserve">disproportionate weight </w:t>
      </w:r>
      <w:r w:rsidR="00250C89" w:rsidRPr="00EB6336">
        <w:rPr>
          <w:color w:val="000000" w:themeColor="text1"/>
        </w:rPr>
        <w:t xml:space="preserve">to </w:t>
      </w:r>
      <w:r w:rsidR="00761C0E" w:rsidRPr="00EB6336">
        <w:rPr>
          <w:color w:val="000000" w:themeColor="text1"/>
        </w:rPr>
        <w:t>the ED component.</w:t>
      </w:r>
      <w:r w:rsidR="00EB6336">
        <w:rPr>
          <w:color w:val="000000" w:themeColor="text1"/>
        </w:rPr>
        <w:t xml:space="preserve"> </w:t>
      </w:r>
      <w:r w:rsidR="00D160EB">
        <w:t xml:space="preserve">Removing the scaling </w:t>
      </w:r>
      <w:r w:rsidR="00E52D93">
        <w:t xml:space="preserve">in 2023–24 </w:t>
      </w:r>
      <w:r w:rsidR="00D160EB">
        <w:t xml:space="preserve">would reduce the ED share of total community and public health activity </w:t>
      </w:r>
      <w:r w:rsidR="001A31F8">
        <w:t>marginally</w:t>
      </w:r>
      <w:r w:rsidR="00D160EB">
        <w:t xml:space="preserve">, from 55.6% to 55.0%. </w:t>
      </w:r>
    </w:p>
    <w:p w14:paraId="5C5D5E42" w14:textId="77777777" w:rsidR="00D160EB" w:rsidRDefault="00D160EB" w:rsidP="00D160EB">
      <w:pPr>
        <w:pStyle w:val="Heading3"/>
      </w:pPr>
      <w:r>
        <w:t>Preliminary view</w:t>
      </w:r>
    </w:p>
    <w:p w14:paraId="43C8D08C" w14:textId="6473B1BE" w:rsidR="00447273" w:rsidRPr="00CD0736" w:rsidRDefault="00D160EB" w:rsidP="00D160EB">
      <w:pPr>
        <w:pStyle w:val="CGCParaNumber"/>
        <w:numPr>
          <w:ilvl w:val="0"/>
          <w:numId w:val="0"/>
        </w:numPr>
        <w:ind w:left="360" w:hanging="360"/>
      </w:pPr>
      <w:r>
        <w:rPr>
          <w:noProof/>
        </w:rPr>
        <mc:AlternateContent>
          <mc:Choice Requires="wps">
            <w:drawing>
              <wp:inline distT="0" distB="0" distL="114300" distR="114300" wp14:anchorId="45769F43" wp14:editId="624ED30F">
                <wp:extent cx="5731510" cy="666750"/>
                <wp:effectExtent l="0" t="0" r="2540" b="0"/>
                <wp:docPr id="1977895532" name="Rectangle 1977895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666750"/>
                        </a:xfrm>
                        <a:prstGeom prst="rect">
                          <a:avLst/>
                        </a:prstGeom>
                        <a:solidFill>
                          <a:srgbClr val="E5F8FF"/>
                        </a:solidFill>
                        <a:ln w="25400" cap="flat" cmpd="sng" algn="ctr">
                          <a:noFill/>
                          <a:prstDash val="solid"/>
                        </a:ln>
                        <a:effectLst/>
                      </wps:spPr>
                      <wps:txbx>
                        <w:txbxContent>
                          <w:p w14:paraId="5887C25C" w14:textId="76666494" w:rsidR="00D160EB" w:rsidRPr="00EF13FC" w:rsidRDefault="00D160EB" w:rsidP="00D160EB">
                            <w:pPr>
                              <w:pStyle w:val="CGCBullet1"/>
                              <w:numPr>
                                <w:ilvl w:val="0"/>
                                <w:numId w:val="0"/>
                              </w:numPr>
                              <w:ind w:left="142"/>
                            </w:pPr>
                            <w:r w:rsidRPr="005063AB">
                              <w:t xml:space="preserve">The </w:t>
                            </w:r>
                            <w:r w:rsidR="00F5127E">
                              <w:t xml:space="preserve">Commission’s preliminary view is to cease scaling </w:t>
                            </w:r>
                            <w:r w:rsidR="00F5127E" w:rsidRPr="00F17667">
                              <w:t xml:space="preserve">the </w:t>
                            </w:r>
                            <w:r w:rsidR="00154129">
                              <w:t>ED</w:t>
                            </w:r>
                            <w:r w:rsidR="00F5127E">
                              <w:t xml:space="preserve"> part</w:t>
                            </w:r>
                            <w:r w:rsidR="00F5127E" w:rsidRPr="00F17667">
                              <w:t xml:space="preserve"> of the community and public health </w:t>
                            </w:r>
                            <w:r w:rsidR="00F5127E">
                              <w:t xml:space="preserve">activity </w:t>
                            </w:r>
                            <w:r w:rsidR="00F5127E" w:rsidRPr="00F17667">
                              <w:t xml:space="preserve">proxy </w:t>
                            </w:r>
                            <w:r w:rsidR="00F5127E">
                              <w:t>from</w:t>
                            </w:r>
                            <w:r w:rsidR="00F5127E" w:rsidRPr="00F17667">
                              <w:t xml:space="preserve"> 2023</w:t>
                            </w:r>
                            <w:r w:rsidR="008B7F8C">
                              <w:t>–</w:t>
                            </w:r>
                            <w:r w:rsidR="00F5127E" w:rsidRPr="00F17667">
                              <w:t>24</w:t>
                            </w:r>
                            <w:r w:rsidRPr="00AE133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769F43" id="Rectangle 1977895532" o:spid="_x0000_s1029" alt="&quot;&quot;" style="width:451.3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" fillcolor="#e5f8ff" stroked="f" strokeweight="2pt">
                <v:textbox>
                  <w:txbxContent>
                    <w:p w14:paraId="5887C25C" w14:textId="76666494" w:rsidR="00D160EB" w:rsidRPr="00EF13FC" w:rsidRDefault="00D160EB" w:rsidP="00D160EB">
                      <w:pPr>
                        <w:pStyle w:val="CGCBullet1"/>
                        <w:numPr>
                          <w:ilvl w:val="0"/>
                          <w:numId w:val="0"/>
                        </w:numPr>
                        <w:ind w:left="142"/>
                      </w:pPr>
                      <w:r w:rsidRPr="005063AB">
                        <w:t xml:space="preserve">The </w:t>
                      </w:r>
                      <w:r w:rsidR="00F5127E">
                        <w:t xml:space="preserve">Commission’s preliminary view is to cease scaling </w:t>
                      </w:r>
                      <w:r w:rsidR="00F5127E" w:rsidRPr="00F17667">
                        <w:t xml:space="preserve">the </w:t>
                      </w:r>
                      <w:r w:rsidR="00154129">
                        <w:t>ED</w:t>
                      </w:r>
                      <w:r w:rsidR="00F5127E">
                        <w:t xml:space="preserve"> part</w:t>
                      </w:r>
                      <w:r w:rsidR="00F5127E" w:rsidRPr="00F17667">
                        <w:t xml:space="preserve"> of the community and public health </w:t>
                      </w:r>
                      <w:r w:rsidR="00F5127E">
                        <w:t xml:space="preserve">activity </w:t>
                      </w:r>
                      <w:r w:rsidR="00F5127E" w:rsidRPr="00F17667">
                        <w:t xml:space="preserve">proxy </w:t>
                      </w:r>
                      <w:r w:rsidR="00F5127E">
                        <w:t>from</w:t>
                      </w:r>
                      <w:r w:rsidR="00F5127E" w:rsidRPr="00F17667">
                        <w:t xml:space="preserve"> 2023</w:t>
                      </w:r>
                      <w:r w:rsidR="008B7F8C">
                        <w:t>–</w:t>
                      </w:r>
                      <w:r w:rsidR="00F5127E" w:rsidRPr="00F17667">
                        <w:t>24</w:t>
                      </w:r>
                      <w:r w:rsidRPr="00AE1330">
                        <w:t>.</w:t>
                      </w:r>
                    </w:p>
                  </w:txbxContent>
                </v:textbox>
                <w10:anchorlock/>
              </v:rect>
            </w:pict>
          </mc:Fallback>
        </mc:AlternateContent>
      </w:r>
    </w:p>
    <w:p w14:paraId="0A6C41A6" w14:textId="77777777" w:rsidR="00CB5377" w:rsidRDefault="00CB5377">
      <w:pPr>
        <w:rPr>
          <w:rFonts w:ascii="Work Sans" w:eastAsia="Times New Roman" w:hAnsi="Work Sans" w:cs="Open Sans"/>
          <w:b/>
          <w:bCs/>
          <w:color w:val="006991"/>
          <w:sz w:val="36"/>
          <w:szCs w:val="36"/>
        </w:rPr>
      </w:pPr>
      <w:r>
        <w:br w:type="page"/>
      </w:r>
    </w:p>
    <w:p w14:paraId="69A4D455" w14:textId="55E69844" w:rsidR="00F5127E" w:rsidRDefault="00F5127E" w:rsidP="00F5127E">
      <w:pPr>
        <w:pStyle w:val="Heading2"/>
      </w:pPr>
      <w:r>
        <w:lastRenderedPageBreak/>
        <w:t xml:space="preserve">Transport – regression re-estimation </w:t>
      </w:r>
    </w:p>
    <w:p w14:paraId="09E11F17" w14:textId="064D9DDF" w:rsidR="00F5127E" w:rsidRDefault="00F5127E" w:rsidP="00F5127E">
      <w:pPr>
        <w:pStyle w:val="CGCParaNumber"/>
      </w:pPr>
      <w:r>
        <w:t>As part of the 2025 Review, the Commission decided to re-estimate the urban transport regression with updated data to reflect post-COVID-19 urban transport spending patterns. As 2020–21 and 2021–22 data were affected by state responses to the COVID</w:t>
      </w:r>
      <w:r>
        <w:noBreakHyphen/>
        <w:t xml:space="preserve">19 pandemic, the Commission decided to use </w:t>
      </w:r>
      <w:r w:rsidR="00953F59">
        <w:t xml:space="preserve">only </w:t>
      </w:r>
      <w:r>
        <w:t xml:space="preserve">2022–‍23 and 2023–24 data to update the regression. </w:t>
      </w:r>
    </w:p>
    <w:p w14:paraId="1C725C2C" w14:textId="5B82AC44" w:rsidR="00F5127E" w:rsidRDefault="00F5127E" w:rsidP="00F5127E">
      <w:pPr>
        <w:pStyle w:val="CGCParaNumber"/>
      </w:pPr>
      <w:r>
        <w:t>Since only 2022–23 data were available at the time of the 2025 Review, the Commission decided to use a single year of data in the model</w:t>
      </w:r>
      <w:r w:rsidR="00C35567">
        <w:t>, which was supported by most states</w:t>
      </w:r>
      <w:r>
        <w:t xml:space="preserve">. It considered this provided a more accurate representation of state expense needs than the 2020 Review coefficients. The Commission agreed that the regression would be re-estimated in the 2026 Update once both years of data were available. </w:t>
      </w:r>
    </w:p>
    <w:p w14:paraId="5B4A83BB" w14:textId="77777777" w:rsidR="00F5127E" w:rsidRDefault="00F5127E" w:rsidP="00F5127E">
      <w:pPr>
        <w:pStyle w:val="Heading3"/>
        <w:keepNext/>
      </w:pPr>
      <w:r>
        <w:t>Analysis</w:t>
      </w:r>
    </w:p>
    <w:p w14:paraId="586C0417" w14:textId="2C1AE806" w:rsidR="00A679A2" w:rsidRPr="00917367" w:rsidRDefault="0B543968" w:rsidP="0094648F">
      <w:pPr>
        <w:pStyle w:val="CGCParaNumber"/>
      </w:pPr>
      <w:r>
        <w:t xml:space="preserve">Analysis </w:t>
      </w:r>
      <w:r w:rsidR="5D5B8CF1">
        <w:t>of state 2023</w:t>
      </w:r>
      <w:r w:rsidR="00BE2EC8">
        <w:t>–</w:t>
      </w:r>
      <w:r w:rsidR="5D5B8CF1">
        <w:t xml:space="preserve">24 net expense data </w:t>
      </w:r>
      <w:r w:rsidR="5886791F">
        <w:t xml:space="preserve">showed large </w:t>
      </w:r>
      <w:r w:rsidR="08A46B8C">
        <w:t xml:space="preserve">and significant </w:t>
      </w:r>
      <w:r w:rsidR="5886791F">
        <w:t xml:space="preserve">variation between </w:t>
      </w:r>
      <w:r w:rsidR="5D2168DE">
        <w:t xml:space="preserve">state </w:t>
      </w:r>
      <w:r w:rsidR="255AA5A9">
        <w:t>net expense</w:t>
      </w:r>
      <w:r w:rsidR="5D2168DE">
        <w:t xml:space="preserve"> data </w:t>
      </w:r>
      <w:r w:rsidR="08A46B8C">
        <w:t>for urban areas</w:t>
      </w:r>
      <w:r w:rsidR="00400745">
        <w:t>, p</w:t>
      </w:r>
      <w:r w:rsidR="0094568B">
        <w:t>articularl</w:t>
      </w:r>
      <w:r w:rsidR="008B015E">
        <w:t>y</w:t>
      </w:r>
      <w:r w:rsidR="00C62BF6">
        <w:t xml:space="preserve"> for</w:t>
      </w:r>
      <w:r w:rsidR="008B015E">
        <w:t xml:space="preserve"> </w:t>
      </w:r>
      <w:r w:rsidR="00F8195E">
        <w:t>smaller areas</w:t>
      </w:r>
      <w:r w:rsidR="00484FA9">
        <w:t xml:space="preserve"> </w:t>
      </w:r>
      <w:r w:rsidR="001133A8">
        <w:t xml:space="preserve">with </w:t>
      </w:r>
      <w:r w:rsidR="00A726DB">
        <w:t>populations</w:t>
      </w:r>
      <w:r w:rsidR="00400745">
        <w:t xml:space="preserve"> less</w:t>
      </w:r>
      <w:r w:rsidR="008B015E">
        <w:t xml:space="preserve"> than 50,000</w:t>
      </w:r>
      <w:r w:rsidR="003A0301">
        <w:t>.</w:t>
      </w:r>
      <w:r w:rsidR="08A46B8C">
        <w:t xml:space="preserve"> </w:t>
      </w:r>
      <w:r w:rsidR="7A2E9313">
        <w:t xml:space="preserve">These variations were </w:t>
      </w:r>
      <w:r w:rsidR="409A247C">
        <w:t>not present</w:t>
      </w:r>
      <w:r w:rsidR="40E6886A">
        <w:t xml:space="preserve"> in the 2022</w:t>
      </w:r>
      <w:r w:rsidR="00BE2EC8">
        <w:t>–</w:t>
      </w:r>
      <w:r w:rsidR="40E6886A">
        <w:t>23 data</w:t>
      </w:r>
      <w:r w:rsidR="29DF7418">
        <w:t xml:space="preserve">. </w:t>
      </w:r>
      <w:r w:rsidR="5627E824">
        <w:t>The variation in data raises concerns</w:t>
      </w:r>
      <w:r w:rsidR="36E3EE60">
        <w:t xml:space="preserve"> about the comparability of </w:t>
      </w:r>
      <w:r w:rsidR="184DE54D">
        <w:t xml:space="preserve">state data. </w:t>
      </w:r>
    </w:p>
    <w:p w14:paraId="2CC988FF" w14:textId="5A67475A" w:rsidR="00372094" w:rsidRDefault="00376761">
      <w:pPr>
        <w:pStyle w:val="CGCParaNumber"/>
      </w:pPr>
      <w:r w:rsidRPr="008939AD">
        <w:t xml:space="preserve">Table </w:t>
      </w:r>
      <w:r w:rsidR="005315EC">
        <w:t>4</w:t>
      </w:r>
      <w:r w:rsidR="00014A1C" w:rsidRPr="008939AD">
        <w:t xml:space="preserve"> </w:t>
      </w:r>
      <w:r w:rsidRPr="008939AD">
        <w:t>shows</w:t>
      </w:r>
      <w:r w:rsidRPr="00917367">
        <w:t xml:space="preserve"> </w:t>
      </w:r>
      <w:r w:rsidR="004D5EE2" w:rsidRPr="00917367">
        <w:t xml:space="preserve">average </w:t>
      </w:r>
      <w:r w:rsidR="00665F33">
        <w:t>net expenses per</w:t>
      </w:r>
      <w:r w:rsidR="00665F33" w:rsidRPr="00A679A2">
        <w:t xml:space="preserve"> </w:t>
      </w:r>
      <w:r w:rsidR="00665F33">
        <w:t xml:space="preserve">capita </w:t>
      </w:r>
      <w:r w:rsidR="001A6067">
        <w:t>for</w:t>
      </w:r>
      <w:r w:rsidR="00D21390">
        <w:t xml:space="preserve"> urban areas </w:t>
      </w:r>
      <w:r w:rsidR="000A2BFC">
        <w:t xml:space="preserve">grouped by population </w:t>
      </w:r>
      <w:r w:rsidR="00014A1C">
        <w:t>size</w:t>
      </w:r>
      <w:r w:rsidR="000A2BFC">
        <w:t xml:space="preserve">. </w:t>
      </w:r>
      <w:r w:rsidR="003D7004">
        <w:t>It</w:t>
      </w:r>
      <w:r w:rsidR="005D762A">
        <w:t xml:space="preserve"> shows that</w:t>
      </w:r>
      <w:r w:rsidR="001A6067">
        <w:t xml:space="preserve"> </w:t>
      </w:r>
      <w:r w:rsidR="00080392">
        <w:t xml:space="preserve">net expenses </w:t>
      </w:r>
      <w:r w:rsidR="006A6A57">
        <w:t xml:space="preserve">per capita </w:t>
      </w:r>
      <w:r w:rsidR="00830CC0">
        <w:t>are</w:t>
      </w:r>
      <w:r w:rsidR="000F0045">
        <w:t xml:space="preserve"> larger </w:t>
      </w:r>
      <w:r w:rsidR="006A6A57">
        <w:t xml:space="preserve">in Queensland </w:t>
      </w:r>
      <w:r w:rsidR="007D6CB2">
        <w:t xml:space="preserve">than in </w:t>
      </w:r>
      <w:r w:rsidR="000F0045">
        <w:t>other states</w:t>
      </w:r>
      <w:r w:rsidR="00130045">
        <w:t>.</w:t>
      </w:r>
    </w:p>
    <w:p w14:paraId="1C1B4946" w14:textId="29709EB8" w:rsidR="00831F84" w:rsidRDefault="00831F84" w:rsidP="00831F84">
      <w:pPr>
        <w:pStyle w:val="CGCParaNumber"/>
      </w:pPr>
      <w:r>
        <w:t xml:space="preserve">The Commission was unable to find </w:t>
      </w:r>
      <w:r w:rsidR="00CA75F2">
        <w:t xml:space="preserve">significant </w:t>
      </w:r>
      <w:r>
        <w:t>differences in urban transport provision in these areas that would explain this variation</w:t>
      </w:r>
      <w:r w:rsidR="00105177">
        <w:t xml:space="preserve"> between similar sized areas</w:t>
      </w:r>
      <w:r>
        <w:t>. The Commission considers that this variation reflect</w:t>
      </w:r>
      <w:r w:rsidR="00E91DF8">
        <w:t>s</w:t>
      </w:r>
      <w:r w:rsidR="00E65B37">
        <w:t xml:space="preserve"> changes</w:t>
      </w:r>
      <w:r>
        <w:t xml:space="preserve"> in </w:t>
      </w:r>
      <w:r w:rsidR="00C46FD7">
        <w:t>states</w:t>
      </w:r>
      <w:r>
        <w:t xml:space="preserve"> underlying data collection process</w:t>
      </w:r>
      <w:r w:rsidR="00CD5601">
        <w:t>es</w:t>
      </w:r>
      <w:r>
        <w:t xml:space="preserve"> or expense allocation</w:t>
      </w:r>
      <w:r w:rsidR="00C46FD7">
        <w:t>s</w:t>
      </w:r>
      <w:r>
        <w:t xml:space="preserve">, rather than </w:t>
      </w:r>
      <w:r w:rsidR="002361C8">
        <w:t xml:space="preserve">changes in </w:t>
      </w:r>
      <w:r>
        <w:t>spending needs or policy choices.</w:t>
      </w:r>
    </w:p>
    <w:p w14:paraId="4AB1CAF1" w14:textId="03B2A816" w:rsidR="00914750" w:rsidRPr="005D1FEA" w:rsidRDefault="00914750" w:rsidP="0054757E">
      <w:pPr>
        <w:pStyle w:val="Caption"/>
        <w:rPr>
          <w:rFonts w:eastAsiaTheme="minorHAnsi" w:cstheme="minorBidi"/>
          <w:b/>
          <w:szCs w:val="22"/>
        </w:rPr>
      </w:pPr>
      <w:r w:rsidRPr="005D1FEA">
        <w:rPr>
          <w:rFonts w:eastAsiaTheme="minorHAnsi" w:cstheme="minorBidi"/>
          <w:b/>
          <w:szCs w:val="22"/>
        </w:rPr>
        <w:t xml:space="preserve">Table </w:t>
      </w:r>
      <w:r w:rsidR="00C81C0E" w:rsidRPr="005D1FEA">
        <w:rPr>
          <w:rFonts w:eastAsiaTheme="minorHAnsi" w:cstheme="minorBidi"/>
          <w:b/>
          <w:szCs w:val="22"/>
        </w:rPr>
        <w:t>4</w:t>
      </w:r>
      <w:r w:rsidRPr="005D1FEA">
        <w:rPr>
          <w:rFonts w:eastAsiaTheme="minorHAnsi" w:cstheme="minorBidi"/>
          <w:b/>
          <w:szCs w:val="22"/>
        </w:rPr>
        <w:tab/>
        <w:t xml:space="preserve">Differences in </w:t>
      </w:r>
      <w:r w:rsidR="00D57A50" w:rsidRPr="005D1FEA">
        <w:rPr>
          <w:rFonts w:eastAsiaTheme="minorHAnsi" w:cstheme="minorBidi"/>
          <w:b/>
          <w:szCs w:val="22"/>
        </w:rPr>
        <w:t>average</w:t>
      </w:r>
      <w:r w:rsidRPr="005D1FEA">
        <w:rPr>
          <w:rFonts w:eastAsiaTheme="minorHAnsi" w:cstheme="minorBidi"/>
          <w:b/>
          <w:szCs w:val="22"/>
        </w:rPr>
        <w:t xml:space="preserve"> net urban transport expenses</w:t>
      </w:r>
      <w:r w:rsidR="00D57A50" w:rsidRPr="005D1FEA">
        <w:rPr>
          <w:rFonts w:eastAsiaTheme="minorHAnsi" w:cstheme="minorBidi"/>
          <w:b/>
          <w:szCs w:val="22"/>
        </w:rPr>
        <w:t xml:space="preserve"> by state</w:t>
      </w:r>
      <w:r w:rsidR="00997907" w:rsidRPr="005D1FEA">
        <w:rPr>
          <w:rFonts w:eastAsiaTheme="minorHAnsi" w:cstheme="minorBidi"/>
          <w:b/>
          <w:szCs w:val="22"/>
        </w:rPr>
        <w:t xml:space="preserve"> </w:t>
      </w:r>
    </w:p>
    <w:tbl>
      <w:tblPr>
        <w:tblW w:w="8860" w:type="dxa"/>
        <w:tblLook w:val="04A0" w:firstRow="1" w:lastRow="0" w:firstColumn="1" w:lastColumn="0" w:noHBand="0" w:noVBand="1"/>
      </w:tblPr>
      <w:tblGrid>
        <w:gridCol w:w="1660"/>
        <w:gridCol w:w="900"/>
        <w:gridCol w:w="900"/>
        <w:gridCol w:w="900"/>
        <w:gridCol w:w="900"/>
        <w:gridCol w:w="900"/>
        <w:gridCol w:w="900"/>
        <w:gridCol w:w="900"/>
        <w:gridCol w:w="900"/>
      </w:tblGrid>
      <w:tr w:rsidR="00914750" w:rsidRPr="00012693" w14:paraId="1F07E1F1" w14:textId="77777777" w:rsidTr="00874F19">
        <w:trPr>
          <w:trHeight w:val="375"/>
        </w:trPr>
        <w:tc>
          <w:tcPr>
            <w:tcW w:w="1660" w:type="dxa"/>
            <w:tcBorders>
              <w:top w:val="nil"/>
              <w:left w:val="nil"/>
              <w:bottom w:val="nil"/>
              <w:right w:val="nil"/>
            </w:tcBorders>
            <w:shd w:val="clear" w:color="000000" w:fill="006991"/>
            <w:vAlign w:val="center"/>
            <w:hideMark/>
          </w:tcPr>
          <w:p w14:paraId="21C34B28" w14:textId="77777777" w:rsidR="00914750" w:rsidRPr="00012693" w:rsidRDefault="00914750" w:rsidP="00874F19">
            <w:pPr>
              <w:pStyle w:val="NoSpacing"/>
              <w:keepNext/>
              <w:rPr>
                <w:lang w:eastAsia="en-AU"/>
              </w:rPr>
            </w:pPr>
            <w:r w:rsidRPr="00012693">
              <w:rPr>
                <w:lang w:eastAsia="en-AU"/>
              </w:rPr>
              <w:t> </w:t>
            </w:r>
          </w:p>
        </w:tc>
        <w:tc>
          <w:tcPr>
            <w:tcW w:w="900" w:type="dxa"/>
            <w:tcBorders>
              <w:top w:val="nil"/>
              <w:left w:val="nil"/>
              <w:bottom w:val="nil"/>
              <w:right w:val="nil"/>
            </w:tcBorders>
            <w:shd w:val="clear" w:color="000000" w:fill="006991"/>
            <w:vAlign w:val="center"/>
            <w:hideMark/>
          </w:tcPr>
          <w:p w14:paraId="5C26FB92"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012693">
              <w:rPr>
                <w:rFonts w:ascii="Open Sans Semibold" w:eastAsia="Times New Roman" w:hAnsi="Open Sans Semibold" w:cs="Open Sans Semibold"/>
                <w:color w:val="FFFFFF"/>
                <w:sz w:val="16"/>
                <w:szCs w:val="16"/>
                <w:lang w:eastAsia="en-AU"/>
              </w:rPr>
              <w:t>NSW</w:t>
            </w:r>
          </w:p>
        </w:tc>
        <w:tc>
          <w:tcPr>
            <w:tcW w:w="900" w:type="dxa"/>
            <w:tcBorders>
              <w:top w:val="nil"/>
              <w:left w:val="nil"/>
              <w:bottom w:val="nil"/>
              <w:right w:val="nil"/>
            </w:tcBorders>
            <w:shd w:val="clear" w:color="000000" w:fill="006991"/>
            <w:vAlign w:val="center"/>
            <w:hideMark/>
          </w:tcPr>
          <w:p w14:paraId="5E8DF929"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012693">
              <w:rPr>
                <w:rFonts w:ascii="Open Sans Semibold" w:eastAsia="Times New Roman" w:hAnsi="Open Sans Semibold" w:cs="Open Sans Semibold"/>
                <w:color w:val="FFFFFF"/>
                <w:sz w:val="16"/>
                <w:szCs w:val="16"/>
                <w:lang w:eastAsia="en-AU"/>
              </w:rPr>
              <w:t>Vic</w:t>
            </w:r>
          </w:p>
        </w:tc>
        <w:tc>
          <w:tcPr>
            <w:tcW w:w="900" w:type="dxa"/>
            <w:tcBorders>
              <w:top w:val="nil"/>
              <w:left w:val="nil"/>
              <w:bottom w:val="nil"/>
              <w:right w:val="nil"/>
            </w:tcBorders>
            <w:shd w:val="clear" w:color="000000" w:fill="006991"/>
            <w:vAlign w:val="center"/>
            <w:hideMark/>
          </w:tcPr>
          <w:p w14:paraId="079C9408"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012693">
              <w:rPr>
                <w:rFonts w:ascii="Open Sans Semibold" w:eastAsia="Times New Roman" w:hAnsi="Open Sans Semibold" w:cs="Open Sans Semibold"/>
                <w:color w:val="FFFFFF"/>
                <w:sz w:val="16"/>
                <w:szCs w:val="16"/>
                <w:lang w:eastAsia="en-AU"/>
              </w:rPr>
              <w:t>Qld</w:t>
            </w:r>
          </w:p>
        </w:tc>
        <w:tc>
          <w:tcPr>
            <w:tcW w:w="900" w:type="dxa"/>
            <w:tcBorders>
              <w:top w:val="nil"/>
              <w:left w:val="nil"/>
              <w:bottom w:val="nil"/>
              <w:right w:val="nil"/>
            </w:tcBorders>
            <w:shd w:val="clear" w:color="000000" w:fill="006991"/>
            <w:vAlign w:val="center"/>
            <w:hideMark/>
          </w:tcPr>
          <w:p w14:paraId="1CE7AD3B"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012693">
              <w:rPr>
                <w:rFonts w:ascii="Open Sans Semibold" w:eastAsia="Times New Roman" w:hAnsi="Open Sans Semibold" w:cs="Open Sans Semibold"/>
                <w:color w:val="FFFFFF"/>
                <w:sz w:val="16"/>
                <w:szCs w:val="16"/>
                <w:lang w:eastAsia="en-AU"/>
              </w:rPr>
              <w:t>WA</w:t>
            </w:r>
          </w:p>
        </w:tc>
        <w:tc>
          <w:tcPr>
            <w:tcW w:w="900" w:type="dxa"/>
            <w:tcBorders>
              <w:top w:val="nil"/>
              <w:left w:val="nil"/>
              <w:bottom w:val="nil"/>
              <w:right w:val="nil"/>
            </w:tcBorders>
            <w:shd w:val="clear" w:color="000000" w:fill="006991"/>
            <w:vAlign w:val="center"/>
            <w:hideMark/>
          </w:tcPr>
          <w:p w14:paraId="7EED7E5B"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012693">
              <w:rPr>
                <w:rFonts w:ascii="Open Sans Semibold" w:eastAsia="Times New Roman" w:hAnsi="Open Sans Semibold" w:cs="Open Sans Semibold"/>
                <w:color w:val="FFFFFF"/>
                <w:sz w:val="16"/>
                <w:szCs w:val="16"/>
                <w:lang w:eastAsia="en-AU"/>
              </w:rPr>
              <w:t>SA</w:t>
            </w:r>
          </w:p>
        </w:tc>
        <w:tc>
          <w:tcPr>
            <w:tcW w:w="900" w:type="dxa"/>
            <w:tcBorders>
              <w:top w:val="nil"/>
              <w:left w:val="nil"/>
              <w:bottom w:val="nil"/>
              <w:right w:val="nil"/>
            </w:tcBorders>
            <w:shd w:val="clear" w:color="000000" w:fill="006991"/>
            <w:vAlign w:val="center"/>
            <w:hideMark/>
          </w:tcPr>
          <w:p w14:paraId="781565A9"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012693">
              <w:rPr>
                <w:rFonts w:ascii="Open Sans Semibold" w:eastAsia="Times New Roman" w:hAnsi="Open Sans Semibold" w:cs="Open Sans Semibold"/>
                <w:color w:val="FFFFFF"/>
                <w:sz w:val="16"/>
                <w:szCs w:val="16"/>
                <w:lang w:eastAsia="en-AU"/>
              </w:rPr>
              <w:t>Tas</w:t>
            </w:r>
          </w:p>
        </w:tc>
        <w:tc>
          <w:tcPr>
            <w:tcW w:w="900" w:type="dxa"/>
            <w:tcBorders>
              <w:top w:val="nil"/>
              <w:left w:val="nil"/>
              <w:bottom w:val="nil"/>
              <w:right w:val="nil"/>
            </w:tcBorders>
            <w:shd w:val="clear" w:color="000000" w:fill="006991"/>
            <w:vAlign w:val="center"/>
            <w:hideMark/>
          </w:tcPr>
          <w:p w14:paraId="67EA074B"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FFFFFF"/>
                <w:sz w:val="16"/>
                <w:szCs w:val="16"/>
                <w:lang w:eastAsia="en-AU"/>
              </w:rPr>
            </w:pPr>
            <w:r w:rsidRPr="00012693">
              <w:rPr>
                <w:rFonts w:ascii="Open Sans Semibold" w:eastAsia="Times New Roman" w:hAnsi="Open Sans Semibold" w:cs="Open Sans Semibold"/>
                <w:color w:val="FFFFFF"/>
                <w:sz w:val="16"/>
                <w:szCs w:val="16"/>
                <w:lang w:eastAsia="en-AU"/>
              </w:rPr>
              <w:t>ACT</w:t>
            </w:r>
          </w:p>
        </w:tc>
        <w:tc>
          <w:tcPr>
            <w:tcW w:w="900" w:type="dxa"/>
            <w:tcBorders>
              <w:top w:val="nil"/>
              <w:left w:val="nil"/>
              <w:bottom w:val="nil"/>
              <w:right w:val="nil"/>
            </w:tcBorders>
            <w:shd w:val="clear" w:color="000000" w:fill="006991"/>
            <w:vAlign w:val="center"/>
            <w:hideMark/>
          </w:tcPr>
          <w:p w14:paraId="1826AEAD" w14:textId="77777777" w:rsidR="00914750" w:rsidRPr="00012693" w:rsidRDefault="00914750" w:rsidP="00874F19">
            <w:pPr>
              <w:keepNext/>
              <w:spacing w:after="0" w:line="240" w:lineRule="auto"/>
              <w:jc w:val="right"/>
              <w:rPr>
                <w:rFonts w:ascii="Open Sans Semibold" w:eastAsia="Times New Roman" w:hAnsi="Open Sans Semibold" w:cs="Open Sans Semibold"/>
                <w:color w:val="FFFFFF"/>
                <w:sz w:val="16"/>
                <w:szCs w:val="16"/>
                <w:lang w:eastAsia="en-AU"/>
              </w:rPr>
            </w:pPr>
            <w:r w:rsidRPr="00012693">
              <w:rPr>
                <w:rFonts w:ascii="Open Sans Semibold" w:eastAsia="Times New Roman" w:hAnsi="Open Sans Semibold" w:cs="Open Sans Semibold"/>
                <w:color w:val="FFFFFF"/>
                <w:sz w:val="16"/>
                <w:szCs w:val="16"/>
                <w:lang w:eastAsia="en-AU"/>
              </w:rPr>
              <w:t>NT</w:t>
            </w:r>
          </w:p>
        </w:tc>
      </w:tr>
      <w:tr w:rsidR="00914750" w:rsidRPr="00012693" w14:paraId="59A9DFD5" w14:textId="77777777" w:rsidTr="00874F19">
        <w:trPr>
          <w:trHeight w:val="255"/>
        </w:trPr>
        <w:tc>
          <w:tcPr>
            <w:tcW w:w="1660" w:type="dxa"/>
            <w:tcBorders>
              <w:top w:val="single" w:sz="4" w:space="0" w:color="ADD6EA"/>
              <w:left w:val="nil"/>
              <w:bottom w:val="single" w:sz="4" w:space="0" w:color="ADD6EA"/>
              <w:right w:val="nil"/>
            </w:tcBorders>
            <w:shd w:val="clear" w:color="000000" w:fill="B6D5E4"/>
            <w:noWrap/>
            <w:vAlign w:val="center"/>
            <w:hideMark/>
          </w:tcPr>
          <w:p w14:paraId="0C738BC8" w14:textId="7A710DBA" w:rsidR="00914750" w:rsidRPr="00012693" w:rsidRDefault="00914750" w:rsidP="00874F19">
            <w:pPr>
              <w:keepNext/>
              <w:spacing w:after="0" w:line="240" w:lineRule="auto"/>
              <w:rPr>
                <w:rFonts w:ascii="Open Sans Semibold" w:eastAsia="Times New Roman" w:hAnsi="Open Sans Semibold" w:cs="Open Sans Semibold"/>
                <w:color w:val="000000"/>
                <w:sz w:val="16"/>
                <w:szCs w:val="16"/>
                <w:lang w:eastAsia="en-AU"/>
              </w:rPr>
            </w:pPr>
            <w:r w:rsidRPr="00012693">
              <w:rPr>
                <w:rFonts w:ascii="Open Sans Semibold" w:eastAsia="Times New Roman" w:hAnsi="Open Sans Semibold" w:cs="Open Sans Semibold"/>
                <w:color w:val="000000"/>
                <w:sz w:val="16"/>
                <w:szCs w:val="16"/>
                <w:lang w:eastAsia="en-AU"/>
              </w:rPr>
              <w:t> </w:t>
            </w:r>
            <w:r w:rsidR="00D57A50">
              <w:rPr>
                <w:rFonts w:ascii="Open Sans Semibold" w:eastAsia="Times New Roman" w:hAnsi="Open Sans Semibold" w:cs="Open Sans Semibold"/>
                <w:color w:val="000000"/>
                <w:sz w:val="16"/>
                <w:szCs w:val="16"/>
                <w:lang w:eastAsia="en-AU"/>
              </w:rPr>
              <w:t>Population size</w:t>
            </w:r>
          </w:p>
        </w:tc>
        <w:tc>
          <w:tcPr>
            <w:tcW w:w="900" w:type="dxa"/>
            <w:tcBorders>
              <w:top w:val="single" w:sz="4" w:space="0" w:color="ADD6EA"/>
              <w:left w:val="nil"/>
              <w:bottom w:val="single" w:sz="4" w:space="0" w:color="ADD6EA"/>
              <w:right w:val="nil"/>
            </w:tcBorders>
            <w:shd w:val="clear" w:color="000000" w:fill="B6D5E4"/>
            <w:noWrap/>
            <w:vAlign w:val="center"/>
            <w:hideMark/>
          </w:tcPr>
          <w:p w14:paraId="47C63818"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000000"/>
                <w:sz w:val="16"/>
                <w:szCs w:val="16"/>
                <w:lang w:eastAsia="en-AU"/>
              </w:rPr>
            </w:pPr>
            <w:r w:rsidRPr="00012693">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pc</w:t>
            </w:r>
          </w:p>
        </w:tc>
        <w:tc>
          <w:tcPr>
            <w:tcW w:w="900" w:type="dxa"/>
            <w:tcBorders>
              <w:top w:val="single" w:sz="4" w:space="0" w:color="ADD6EA"/>
              <w:left w:val="nil"/>
              <w:bottom w:val="single" w:sz="4" w:space="0" w:color="ADD6EA"/>
              <w:right w:val="nil"/>
            </w:tcBorders>
            <w:shd w:val="clear" w:color="000000" w:fill="B6D5E4"/>
            <w:noWrap/>
            <w:vAlign w:val="center"/>
            <w:hideMark/>
          </w:tcPr>
          <w:p w14:paraId="1A62D2A7"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000000"/>
                <w:sz w:val="16"/>
                <w:szCs w:val="16"/>
                <w:lang w:eastAsia="en-AU"/>
              </w:rPr>
            </w:pPr>
            <w:r w:rsidRPr="00012693">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pc</w:t>
            </w:r>
          </w:p>
        </w:tc>
        <w:tc>
          <w:tcPr>
            <w:tcW w:w="900" w:type="dxa"/>
            <w:tcBorders>
              <w:top w:val="single" w:sz="4" w:space="0" w:color="ADD6EA"/>
              <w:left w:val="nil"/>
              <w:bottom w:val="single" w:sz="4" w:space="0" w:color="ADD6EA"/>
              <w:right w:val="nil"/>
            </w:tcBorders>
            <w:shd w:val="clear" w:color="000000" w:fill="B6D5E4"/>
            <w:noWrap/>
            <w:vAlign w:val="center"/>
            <w:hideMark/>
          </w:tcPr>
          <w:p w14:paraId="5C3813A7"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000000"/>
                <w:sz w:val="16"/>
                <w:szCs w:val="16"/>
                <w:lang w:eastAsia="en-AU"/>
              </w:rPr>
            </w:pPr>
            <w:r w:rsidRPr="00012693">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pc</w:t>
            </w:r>
          </w:p>
        </w:tc>
        <w:tc>
          <w:tcPr>
            <w:tcW w:w="900" w:type="dxa"/>
            <w:tcBorders>
              <w:top w:val="single" w:sz="4" w:space="0" w:color="ADD6EA"/>
              <w:left w:val="nil"/>
              <w:bottom w:val="single" w:sz="4" w:space="0" w:color="ADD6EA"/>
              <w:right w:val="nil"/>
            </w:tcBorders>
            <w:shd w:val="clear" w:color="000000" w:fill="B6D5E4"/>
            <w:noWrap/>
            <w:vAlign w:val="center"/>
            <w:hideMark/>
          </w:tcPr>
          <w:p w14:paraId="6E56D657"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000000"/>
                <w:sz w:val="16"/>
                <w:szCs w:val="16"/>
                <w:lang w:eastAsia="en-AU"/>
              </w:rPr>
            </w:pPr>
            <w:r w:rsidRPr="00012693">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pc</w:t>
            </w:r>
          </w:p>
        </w:tc>
        <w:tc>
          <w:tcPr>
            <w:tcW w:w="900" w:type="dxa"/>
            <w:tcBorders>
              <w:top w:val="single" w:sz="4" w:space="0" w:color="ADD6EA"/>
              <w:left w:val="nil"/>
              <w:bottom w:val="single" w:sz="4" w:space="0" w:color="ADD6EA"/>
              <w:right w:val="nil"/>
            </w:tcBorders>
            <w:shd w:val="clear" w:color="000000" w:fill="B6D5E4"/>
            <w:noWrap/>
            <w:vAlign w:val="center"/>
            <w:hideMark/>
          </w:tcPr>
          <w:p w14:paraId="1469BE4B"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000000"/>
                <w:sz w:val="16"/>
                <w:szCs w:val="16"/>
                <w:lang w:eastAsia="en-AU"/>
              </w:rPr>
            </w:pPr>
            <w:r w:rsidRPr="00012693">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pc</w:t>
            </w:r>
          </w:p>
        </w:tc>
        <w:tc>
          <w:tcPr>
            <w:tcW w:w="900" w:type="dxa"/>
            <w:tcBorders>
              <w:top w:val="single" w:sz="4" w:space="0" w:color="ADD6EA"/>
              <w:left w:val="nil"/>
              <w:bottom w:val="single" w:sz="4" w:space="0" w:color="ADD6EA"/>
              <w:right w:val="nil"/>
            </w:tcBorders>
            <w:shd w:val="clear" w:color="000000" w:fill="B6D5E4"/>
            <w:noWrap/>
            <w:vAlign w:val="center"/>
            <w:hideMark/>
          </w:tcPr>
          <w:p w14:paraId="37B6124C"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000000"/>
                <w:sz w:val="16"/>
                <w:szCs w:val="16"/>
                <w:lang w:eastAsia="en-AU"/>
              </w:rPr>
            </w:pPr>
            <w:r w:rsidRPr="00012693">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pc</w:t>
            </w:r>
          </w:p>
        </w:tc>
        <w:tc>
          <w:tcPr>
            <w:tcW w:w="900" w:type="dxa"/>
            <w:tcBorders>
              <w:top w:val="single" w:sz="4" w:space="0" w:color="ADD6EA"/>
              <w:left w:val="nil"/>
              <w:bottom w:val="single" w:sz="4" w:space="0" w:color="ADD6EA"/>
              <w:right w:val="nil"/>
            </w:tcBorders>
            <w:shd w:val="clear" w:color="000000" w:fill="B6D5E4"/>
            <w:noWrap/>
            <w:vAlign w:val="center"/>
            <w:hideMark/>
          </w:tcPr>
          <w:p w14:paraId="5EE8B949" w14:textId="77777777" w:rsidR="00914750" w:rsidRPr="00012693" w:rsidRDefault="00914750" w:rsidP="00874F19">
            <w:pPr>
              <w:keepNext/>
              <w:keepLines/>
              <w:spacing w:after="0" w:line="240" w:lineRule="auto"/>
              <w:jc w:val="right"/>
              <w:rPr>
                <w:rFonts w:ascii="Open Sans Semibold" w:eastAsia="Times New Roman" w:hAnsi="Open Sans Semibold" w:cs="Open Sans Semibold"/>
                <w:color w:val="000000"/>
                <w:sz w:val="16"/>
                <w:szCs w:val="16"/>
                <w:lang w:eastAsia="en-AU"/>
              </w:rPr>
            </w:pPr>
            <w:r w:rsidRPr="00012693">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pc</w:t>
            </w:r>
          </w:p>
        </w:tc>
        <w:tc>
          <w:tcPr>
            <w:tcW w:w="900" w:type="dxa"/>
            <w:tcBorders>
              <w:top w:val="single" w:sz="4" w:space="0" w:color="ADD6EA"/>
              <w:left w:val="nil"/>
              <w:bottom w:val="single" w:sz="4" w:space="0" w:color="ADD6EA"/>
              <w:right w:val="nil"/>
            </w:tcBorders>
            <w:shd w:val="clear" w:color="000000" w:fill="B6D5E4"/>
            <w:noWrap/>
            <w:vAlign w:val="center"/>
            <w:hideMark/>
          </w:tcPr>
          <w:p w14:paraId="211910E5" w14:textId="77777777" w:rsidR="00914750" w:rsidRPr="00012693" w:rsidRDefault="00914750" w:rsidP="00874F19">
            <w:pPr>
              <w:keepNext/>
              <w:spacing w:after="0" w:line="240" w:lineRule="auto"/>
              <w:jc w:val="right"/>
              <w:rPr>
                <w:rFonts w:ascii="Open Sans Semibold" w:eastAsia="Times New Roman" w:hAnsi="Open Sans Semibold" w:cs="Open Sans Semibold"/>
                <w:color w:val="000000"/>
                <w:sz w:val="16"/>
                <w:szCs w:val="16"/>
                <w:lang w:eastAsia="en-AU"/>
              </w:rPr>
            </w:pPr>
            <w:r w:rsidRPr="00012693">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pc</w:t>
            </w:r>
          </w:p>
        </w:tc>
      </w:tr>
      <w:tr w:rsidR="006704E3" w:rsidRPr="00012693" w14:paraId="32357B42" w14:textId="77777777" w:rsidTr="00F9564E">
        <w:trPr>
          <w:trHeight w:val="315"/>
        </w:trPr>
        <w:tc>
          <w:tcPr>
            <w:tcW w:w="1660" w:type="dxa"/>
            <w:tcBorders>
              <w:top w:val="nil"/>
              <w:left w:val="nil"/>
              <w:bottom w:val="single" w:sz="4" w:space="0" w:color="ADD6EA"/>
              <w:right w:val="nil"/>
            </w:tcBorders>
            <w:shd w:val="clear" w:color="000000" w:fill="FFFFFF"/>
            <w:vAlign w:val="bottom"/>
            <w:hideMark/>
          </w:tcPr>
          <w:p w14:paraId="64FCC285" w14:textId="1F24BF41" w:rsidR="006704E3" w:rsidRPr="00B85D37" w:rsidRDefault="006704E3" w:rsidP="006704E3">
            <w:pPr>
              <w:spacing w:after="0" w:line="240" w:lineRule="auto"/>
              <w:rPr>
                <w:rFonts w:ascii="Open Sans Light" w:eastAsia="Times New Roman" w:hAnsi="Open Sans Light" w:cs="Open Sans Light"/>
                <w:color w:val="000000"/>
                <w:sz w:val="16"/>
                <w:szCs w:val="16"/>
                <w:lang w:eastAsia="en-AU"/>
              </w:rPr>
            </w:pPr>
            <w:r w:rsidRPr="00B85D37">
              <w:rPr>
                <w:rFonts w:ascii="Open Sans Light" w:eastAsia="Times New Roman" w:hAnsi="Open Sans Light" w:cs="Open Sans Light"/>
                <w:color w:val="000000"/>
                <w:sz w:val="16"/>
                <w:szCs w:val="16"/>
                <w:lang w:eastAsia="en-AU"/>
              </w:rPr>
              <w:t>Under 15,000</w:t>
            </w:r>
          </w:p>
        </w:tc>
        <w:tc>
          <w:tcPr>
            <w:tcW w:w="900" w:type="dxa"/>
            <w:tcBorders>
              <w:top w:val="nil"/>
              <w:left w:val="nil"/>
              <w:bottom w:val="nil"/>
              <w:right w:val="nil"/>
            </w:tcBorders>
            <w:vAlign w:val="bottom"/>
            <w:hideMark/>
          </w:tcPr>
          <w:p w14:paraId="4FBF67D8" w14:textId="2B9E77C7"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57</w:t>
            </w:r>
          </w:p>
        </w:tc>
        <w:tc>
          <w:tcPr>
            <w:tcW w:w="900" w:type="dxa"/>
            <w:tcBorders>
              <w:top w:val="nil"/>
              <w:left w:val="nil"/>
              <w:bottom w:val="nil"/>
              <w:right w:val="nil"/>
            </w:tcBorders>
            <w:vAlign w:val="bottom"/>
            <w:hideMark/>
          </w:tcPr>
          <w:p w14:paraId="7CFFA926" w14:textId="5297F518"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nil"/>
              <w:right w:val="nil"/>
            </w:tcBorders>
            <w:vAlign w:val="bottom"/>
            <w:hideMark/>
          </w:tcPr>
          <w:p w14:paraId="77091548" w14:textId="38DB5CB8"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635</w:t>
            </w:r>
          </w:p>
        </w:tc>
        <w:tc>
          <w:tcPr>
            <w:tcW w:w="900" w:type="dxa"/>
            <w:tcBorders>
              <w:top w:val="nil"/>
              <w:left w:val="nil"/>
              <w:bottom w:val="nil"/>
              <w:right w:val="nil"/>
            </w:tcBorders>
            <w:vAlign w:val="bottom"/>
            <w:hideMark/>
          </w:tcPr>
          <w:p w14:paraId="32825C60" w14:textId="3513B717"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91</w:t>
            </w:r>
          </w:p>
        </w:tc>
        <w:tc>
          <w:tcPr>
            <w:tcW w:w="900" w:type="dxa"/>
            <w:tcBorders>
              <w:top w:val="nil"/>
              <w:left w:val="nil"/>
              <w:bottom w:val="nil"/>
              <w:right w:val="nil"/>
            </w:tcBorders>
            <w:vAlign w:val="bottom"/>
            <w:hideMark/>
          </w:tcPr>
          <w:p w14:paraId="4E1E9409" w14:textId="1E3CA215"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52</w:t>
            </w:r>
          </w:p>
        </w:tc>
        <w:tc>
          <w:tcPr>
            <w:tcW w:w="900" w:type="dxa"/>
            <w:tcBorders>
              <w:top w:val="nil"/>
              <w:left w:val="nil"/>
              <w:bottom w:val="nil"/>
              <w:right w:val="nil"/>
            </w:tcBorders>
            <w:vAlign w:val="bottom"/>
            <w:hideMark/>
          </w:tcPr>
          <w:p w14:paraId="0621E9DA" w14:textId="2943A439"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100</w:t>
            </w:r>
          </w:p>
        </w:tc>
        <w:tc>
          <w:tcPr>
            <w:tcW w:w="900" w:type="dxa"/>
            <w:tcBorders>
              <w:top w:val="nil"/>
              <w:left w:val="nil"/>
              <w:bottom w:val="nil"/>
              <w:right w:val="nil"/>
            </w:tcBorders>
            <w:vAlign w:val="bottom"/>
            <w:hideMark/>
          </w:tcPr>
          <w:p w14:paraId="5E14F5BC" w14:textId="4FA17388"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nil"/>
              <w:right w:val="nil"/>
            </w:tcBorders>
            <w:vAlign w:val="bottom"/>
            <w:hideMark/>
          </w:tcPr>
          <w:p w14:paraId="65240735" w14:textId="6C2A1ED0" w:rsidR="006704E3" w:rsidRPr="00B85D37" w:rsidRDefault="006704E3" w:rsidP="006704E3">
            <w:pPr>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r>
      <w:tr w:rsidR="006704E3" w:rsidRPr="00012693" w14:paraId="1DFFF001" w14:textId="77777777" w:rsidTr="00F9564E">
        <w:trPr>
          <w:trHeight w:val="315"/>
        </w:trPr>
        <w:tc>
          <w:tcPr>
            <w:tcW w:w="1660" w:type="dxa"/>
            <w:tcBorders>
              <w:top w:val="nil"/>
              <w:left w:val="nil"/>
              <w:bottom w:val="single" w:sz="4" w:space="0" w:color="ADD6EA"/>
              <w:right w:val="nil"/>
            </w:tcBorders>
            <w:shd w:val="clear" w:color="000000" w:fill="FFFFFF"/>
            <w:vAlign w:val="bottom"/>
            <w:hideMark/>
          </w:tcPr>
          <w:p w14:paraId="48C6683F" w14:textId="038B24E0" w:rsidR="006704E3" w:rsidRPr="00B85D37" w:rsidRDefault="006704E3" w:rsidP="006704E3">
            <w:pPr>
              <w:spacing w:after="0" w:line="240" w:lineRule="auto"/>
              <w:rPr>
                <w:rFonts w:ascii="Open Sans Light" w:eastAsia="Times New Roman" w:hAnsi="Open Sans Light" w:cs="Open Sans Light"/>
                <w:color w:val="000000"/>
                <w:sz w:val="16"/>
                <w:szCs w:val="16"/>
                <w:lang w:eastAsia="en-AU"/>
              </w:rPr>
            </w:pPr>
            <w:r w:rsidRPr="00B85D37">
              <w:rPr>
                <w:rFonts w:ascii="Open Sans Light" w:eastAsia="Times New Roman" w:hAnsi="Open Sans Light" w:cs="Open Sans Light"/>
                <w:color w:val="000000"/>
                <w:sz w:val="16"/>
                <w:szCs w:val="16"/>
                <w:lang w:eastAsia="en-AU"/>
              </w:rPr>
              <w:t>15,000 – 20,000</w:t>
            </w:r>
          </w:p>
        </w:tc>
        <w:tc>
          <w:tcPr>
            <w:tcW w:w="900" w:type="dxa"/>
            <w:tcBorders>
              <w:top w:val="single" w:sz="4" w:space="0" w:color="A6C9EC"/>
              <w:left w:val="nil"/>
              <w:bottom w:val="single" w:sz="4" w:space="0" w:color="A6C9EC"/>
              <w:right w:val="nil"/>
            </w:tcBorders>
            <w:vAlign w:val="bottom"/>
            <w:hideMark/>
          </w:tcPr>
          <w:p w14:paraId="7E9A077C" w14:textId="6BAD8D8A"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47</w:t>
            </w:r>
          </w:p>
        </w:tc>
        <w:tc>
          <w:tcPr>
            <w:tcW w:w="900" w:type="dxa"/>
            <w:tcBorders>
              <w:top w:val="single" w:sz="4" w:space="0" w:color="A6C9EC"/>
              <w:left w:val="nil"/>
              <w:bottom w:val="single" w:sz="4" w:space="0" w:color="A6C9EC"/>
              <w:right w:val="nil"/>
            </w:tcBorders>
            <w:vAlign w:val="bottom"/>
            <w:hideMark/>
          </w:tcPr>
          <w:p w14:paraId="761E0EA3" w14:textId="53CED3DA"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single" w:sz="4" w:space="0" w:color="A6C9EC"/>
              <w:left w:val="nil"/>
              <w:bottom w:val="single" w:sz="4" w:space="0" w:color="A6C9EC"/>
              <w:right w:val="nil"/>
            </w:tcBorders>
            <w:vAlign w:val="bottom"/>
            <w:hideMark/>
          </w:tcPr>
          <w:p w14:paraId="7A24874F" w14:textId="2749B4E9"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389</w:t>
            </w:r>
          </w:p>
        </w:tc>
        <w:tc>
          <w:tcPr>
            <w:tcW w:w="900" w:type="dxa"/>
            <w:tcBorders>
              <w:top w:val="single" w:sz="4" w:space="0" w:color="A6C9EC"/>
              <w:left w:val="nil"/>
              <w:bottom w:val="single" w:sz="4" w:space="0" w:color="A6C9EC"/>
              <w:right w:val="nil"/>
            </w:tcBorders>
            <w:vAlign w:val="bottom"/>
            <w:hideMark/>
          </w:tcPr>
          <w:p w14:paraId="6667EAE4" w14:textId="1EF849E1"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43</w:t>
            </w:r>
          </w:p>
        </w:tc>
        <w:tc>
          <w:tcPr>
            <w:tcW w:w="900" w:type="dxa"/>
            <w:tcBorders>
              <w:top w:val="single" w:sz="4" w:space="0" w:color="A6C9EC"/>
              <w:left w:val="nil"/>
              <w:bottom w:val="single" w:sz="4" w:space="0" w:color="A6C9EC"/>
              <w:right w:val="nil"/>
            </w:tcBorders>
            <w:vAlign w:val="bottom"/>
            <w:hideMark/>
          </w:tcPr>
          <w:p w14:paraId="3BAB1D25" w14:textId="77CF1B70"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27</w:t>
            </w:r>
          </w:p>
        </w:tc>
        <w:tc>
          <w:tcPr>
            <w:tcW w:w="900" w:type="dxa"/>
            <w:tcBorders>
              <w:top w:val="single" w:sz="4" w:space="0" w:color="A6C9EC"/>
              <w:left w:val="nil"/>
              <w:bottom w:val="single" w:sz="4" w:space="0" w:color="A6C9EC"/>
              <w:right w:val="nil"/>
            </w:tcBorders>
            <w:vAlign w:val="bottom"/>
            <w:hideMark/>
          </w:tcPr>
          <w:p w14:paraId="2E89F8FF" w14:textId="7DB79D85"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single" w:sz="4" w:space="0" w:color="A6C9EC"/>
              <w:left w:val="nil"/>
              <w:bottom w:val="single" w:sz="4" w:space="0" w:color="A6C9EC"/>
              <w:right w:val="nil"/>
            </w:tcBorders>
            <w:vAlign w:val="bottom"/>
            <w:hideMark/>
          </w:tcPr>
          <w:p w14:paraId="7E221F55" w14:textId="4122539E"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single" w:sz="4" w:space="0" w:color="A6C9EC"/>
              <w:left w:val="nil"/>
              <w:bottom w:val="single" w:sz="4" w:space="0" w:color="A6C9EC"/>
              <w:right w:val="nil"/>
            </w:tcBorders>
            <w:vAlign w:val="bottom"/>
            <w:hideMark/>
          </w:tcPr>
          <w:p w14:paraId="7E18F1C4" w14:textId="4AD8D4C1" w:rsidR="006704E3" w:rsidRPr="00B85D37" w:rsidRDefault="006704E3" w:rsidP="006704E3">
            <w:pPr>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r>
      <w:tr w:rsidR="006704E3" w:rsidRPr="00012693" w14:paraId="7379E2A0" w14:textId="77777777" w:rsidTr="00A872B0">
        <w:trPr>
          <w:trHeight w:val="315"/>
        </w:trPr>
        <w:tc>
          <w:tcPr>
            <w:tcW w:w="1660" w:type="dxa"/>
            <w:tcBorders>
              <w:top w:val="nil"/>
              <w:left w:val="nil"/>
              <w:bottom w:val="single" w:sz="4" w:space="0" w:color="ADD6EA"/>
              <w:right w:val="nil"/>
            </w:tcBorders>
            <w:shd w:val="clear" w:color="000000" w:fill="FFFFFF"/>
            <w:vAlign w:val="bottom"/>
          </w:tcPr>
          <w:p w14:paraId="38BD2E20" w14:textId="69861DBF" w:rsidR="006704E3" w:rsidRPr="00B85D37" w:rsidRDefault="006704E3" w:rsidP="006704E3">
            <w:pPr>
              <w:spacing w:after="0" w:line="240" w:lineRule="auto"/>
              <w:rPr>
                <w:rFonts w:ascii="Open Sans Light" w:eastAsia="Times New Roman" w:hAnsi="Open Sans Light" w:cs="Open Sans Light"/>
                <w:color w:val="000000"/>
                <w:sz w:val="16"/>
                <w:szCs w:val="16"/>
                <w:lang w:eastAsia="en-AU"/>
              </w:rPr>
            </w:pPr>
            <w:r w:rsidRPr="00B85D37">
              <w:rPr>
                <w:rFonts w:ascii="Open Sans Light" w:eastAsia="Times New Roman" w:hAnsi="Open Sans Light" w:cs="Open Sans Light"/>
                <w:color w:val="000000"/>
                <w:sz w:val="16"/>
                <w:szCs w:val="16"/>
                <w:lang w:eastAsia="en-AU"/>
              </w:rPr>
              <w:t>20,000 – 25,000</w:t>
            </w:r>
          </w:p>
        </w:tc>
        <w:tc>
          <w:tcPr>
            <w:tcW w:w="900" w:type="dxa"/>
            <w:tcBorders>
              <w:top w:val="nil"/>
              <w:left w:val="nil"/>
              <w:bottom w:val="single" w:sz="4" w:space="0" w:color="A6C9EC"/>
              <w:right w:val="nil"/>
            </w:tcBorders>
            <w:vAlign w:val="bottom"/>
          </w:tcPr>
          <w:p w14:paraId="4C9F5E63" w14:textId="7B66D94F"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21</w:t>
            </w:r>
          </w:p>
        </w:tc>
        <w:tc>
          <w:tcPr>
            <w:tcW w:w="900" w:type="dxa"/>
            <w:tcBorders>
              <w:top w:val="nil"/>
              <w:left w:val="nil"/>
              <w:bottom w:val="single" w:sz="4" w:space="0" w:color="A6C9EC"/>
              <w:right w:val="nil"/>
            </w:tcBorders>
            <w:vAlign w:val="bottom"/>
          </w:tcPr>
          <w:p w14:paraId="18F4D0DC" w14:textId="33ABACCD"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02FD5A0C" w14:textId="5C110D1D"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347</w:t>
            </w:r>
          </w:p>
        </w:tc>
        <w:tc>
          <w:tcPr>
            <w:tcW w:w="900" w:type="dxa"/>
            <w:tcBorders>
              <w:top w:val="nil"/>
              <w:left w:val="nil"/>
              <w:bottom w:val="single" w:sz="4" w:space="0" w:color="A6C9EC"/>
              <w:right w:val="nil"/>
            </w:tcBorders>
            <w:vAlign w:val="bottom"/>
          </w:tcPr>
          <w:p w14:paraId="4C7434D5" w14:textId="1530E6CE"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211BAB3F" w14:textId="10133B70"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40</w:t>
            </w:r>
          </w:p>
        </w:tc>
        <w:tc>
          <w:tcPr>
            <w:tcW w:w="900" w:type="dxa"/>
            <w:tcBorders>
              <w:top w:val="nil"/>
              <w:left w:val="nil"/>
              <w:bottom w:val="single" w:sz="4" w:space="0" w:color="A6C9EC"/>
              <w:right w:val="nil"/>
            </w:tcBorders>
            <w:vAlign w:val="bottom"/>
          </w:tcPr>
          <w:p w14:paraId="3D854E87" w14:textId="4CDBFFEB"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3E226530" w14:textId="2EF5B81C"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4890BB9A" w14:textId="23A4C691" w:rsidR="006704E3" w:rsidRPr="00B85D37" w:rsidRDefault="006704E3" w:rsidP="006704E3">
            <w:pPr>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r>
      <w:tr w:rsidR="006704E3" w:rsidRPr="00012693" w14:paraId="60758455" w14:textId="77777777" w:rsidTr="00A872B0">
        <w:trPr>
          <w:trHeight w:val="315"/>
        </w:trPr>
        <w:tc>
          <w:tcPr>
            <w:tcW w:w="1660" w:type="dxa"/>
            <w:tcBorders>
              <w:top w:val="nil"/>
              <w:left w:val="nil"/>
              <w:bottom w:val="single" w:sz="4" w:space="0" w:color="ADD6EA"/>
              <w:right w:val="nil"/>
            </w:tcBorders>
            <w:shd w:val="clear" w:color="000000" w:fill="FFFFFF"/>
            <w:vAlign w:val="bottom"/>
          </w:tcPr>
          <w:p w14:paraId="1B897F7B" w14:textId="3B78CAEF" w:rsidR="006704E3" w:rsidRPr="00B85D37" w:rsidRDefault="006704E3" w:rsidP="006704E3">
            <w:pPr>
              <w:spacing w:after="0" w:line="240" w:lineRule="auto"/>
              <w:rPr>
                <w:rFonts w:ascii="Open Sans Light" w:eastAsia="Times New Roman" w:hAnsi="Open Sans Light" w:cs="Open Sans Light"/>
                <w:color w:val="000000"/>
                <w:sz w:val="16"/>
                <w:szCs w:val="16"/>
                <w:lang w:eastAsia="en-AU"/>
              </w:rPr>
            </w:pPr>
            <w:r w:rsidRPr="00B85D37">
              <w:rPr>
                <w:rFonts w:ascii="Open Sans Light" w:eastAsia="Times New Roman" w:hAnsi="Open Sans Light" w:cs="Open Sans Light"/>
                <w:color w:val="000000"/>
                <w:sz w:val="16"/>
                <w:szCs w:val="16"/>
                <w:lang w:eastAsia="en-AU"/>
              </w:rPr>
              <w:t>25,000 – 50,000</w:t>
            </w:r>
          </w:p>
        </w:tc>
        <w:tc>
          <w:tcPr>
            <w:tcW w:w="900" w:type="dxa"/>
            <w:tcBorders>
              <w:top w:val="nil"/>
              <w:left w:val="nil"/>
              <w:bottom w:val="single" w:sz="4" w:space="0" w:color="A6C9EC"/>
              <w:right w:val="nil"/>
            </w:tcBorders>
            <w:vAlign w:val="bottom"/>
          </w:tcPr>
          <w:p w14:paraId="04EC63CF" w14:textId="03626B97"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48</w:t>
            </w:r>
          </w:p>
        </w:tc>
        <w:tc>
          <w:tcPr>
            <w:tcW w:w="900" w:type="dxa"/>
            <w:tcBorders>
              <w:top w:val="nil"/>
              <w:left w:val="nil"/>
              <w:bottom w:val="single" w:sz="4" w:space="0" w:color="A6C9EC"/>
              <w:right w:val="nil"/>
            </w:tcBorders>
            <w:vAlign w:val="bottom"/>
          </w:tcPr>
          <w:p w14:paraId="7BBDB2AB" w14:textId="71C63B32"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84</w:t>
            </w:r>
          </w:p>
        </w:tc>
        <w:tc>
          <w:tcPr>
            <w:tcW w:w="900" w:type="dxa"/>
            <w:tcBorders>
              <w:top w:val="nil"/>
              <w:left w:val="nil"/>
              <w:bottom w:val="single" w:sz="4" w:space="0" w:color="A6C9EC"/>
              <w:right w:val="nil"/>
            </w:tcBorders>
            <w:vAlign w:val="bottom"/>
          </w:tcPr>
          <w:p w14:paraId="377C4C59" w14:textId="5CD9E7F8"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347</w:t>
            </w:r>
          </w:p>
        </w:tc>
        <w:tc>
          <w:tcPr>
            <w:tcW w:w="900" w:type="dxa"/>
            <w:tcBorders>
              <w:top w:val="nil"/>
              <w:left w:val="nil"/>
              <w:bottom w:val="single" w:sz="4" w:space="0" w:color="A6C9EC"/>
              <w:right w:val="nil"/>
            </w:tcBorders>
            <w:vAlign w:val="bottom"/>
          </w:tcPr>
          <w:p w14:paraId="3689C07C" w14:textId="2EA50A35"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68</w:t>
            </w:r>
          </w:p>
        </w:tc>
        <w:tc>
          <w:tcPr>
            <w:tcW w:w="900" w:type="dxa"/>
            <w:tcBorders>
              <w:top w:val="nil"/>
              <w:left w:val="nil"/>
              <w:bottom w:val="single" w:sz="4" w:space="0" w:color="A6C9EC"/>
              <w:right w:val="nil"/>
            </w:tcBorders>
            <w:vAlign w:val="bottom"/>
          </w:tcPr>
          <w:p w14:paraId="5DAA19D4" w14:textId="0C85696D"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19</w:t>
            </w:r>
          </w:p>
        </w:tc>
        <w:tc>
          <w:tcPr>
            <w:tcW w:w="900" w:type="dxa"/>
            <w:tcBorders>
              <w:top w:val="nil"/>
              <w:left w:val="nil"/>
              <w:bottom w:val="single" w:sz="4" w:space="0" w:color="A6C9EC"/>
              <w:right w:val="nil"/>
            </w:tcBorders>
            <w:vAlign w:val="bottom"/>
          </w:tcPr>
          <w:p w14:paraId="61ADD07A" w14:textId="752A29BA"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124</w:t>
            </w:r>
          </w:p>
        </w:tc>
        <w:tc>
          <w:tcPr>
            <w:tcW w:w="900" w:type="dxa"/>
            <w:tcBorders>
              <w:top w:val="nil"/>
              <w:left w:val="nil"/>
              <w:bottom w:val="single" w:sz="4" w:space="0" w:color="A6C9EC"/>
              <w:right w:val="nil"/>
            </w:tcBorders>
            <w:vAlign w:val="bottom"/>
          </w:tcPr>
          <w:p w14:paraId="6423B8D3" w14:textId="6D8FA813"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4976750E" w14:textId="3B2FC322" w:rsidR="006704E3" w:rsidRPr="00B85D37" w:rsidRDefault="006704E3" w:rsidP="006704E3">
            <w:pPr>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100</w:t>
            </w:r>
          </w:p>
        </w:tc>
      </w:tr>
      <w:tr w:rsidR="006704E3" w:rsidRPr="00012693" w14:paraId="098EAC1A" w14:textId="77777777" w:rsidTr="00A872B0">
        <w:trPr>
          <w:trHeight w:val="315"/>
        </w:trPr>
        <w:tc>
          <w:tcPr>
            <w:tcW w:w="1660" w:type="dxa"/>
            <w:tcBorders>
              <w:top w:val="nil"/>
              <w:left w:val="nil"/>
              <w:bottom w:val="single" w:sz="4" w:space="0" w:color="ADD6EA"/>
              <w:right w:val="nil"/>
            </w:tcBorders>
            <w:shd w:val="clear" w:color="000000" w:fill="FFFFFF"/>
            <w:vAlign w:val="bottom"/>
          </w:tcPr>
          <w:p w14:paraId="49EC5B1C" w14:textId="074EC6C1" w:rsidR="006704E3" w:rsidRPr="00B85D37" w:rsidRDefault="006704E3" w:rsidP="006704E3">
            <w:pPr>
              <w:spacing w:after="0" w:line="240" w:lineRule="auto"/>
              <w:rPr>
                <w:rFonts w:ascii="Open Sans Light" w:eastAsia="Times New Roman" w:hAnsi="Open Sans Light" w:cs="Open Sans Light"/>
                <w:color w:val="000000"/>
                <w:sz w:val="16"/>
                <w:szCs w:val="16"/>
                <w:lang w:eastAsia="en-AU"/>
              </w:rPr>
            </w:pPr>
            <w:r w:rsidRPr="00B85D37">
              <w:rPr>
                <w:rFonts w:ascii="Open Sans Light" w:eastAsia="Times New Roman" w:hAnsi="Open Sans Light" w:cs="Open Sans Light"/>
                <w:color w:val="000000"/>
                <w:sz w:val="16"/>
                <w:szCs w:val="16"/>
                <w:lang w:eastAsia="en-AU"/>
              </w:rPr>
              <w:t>50,000 – 100,000</w:t>
            </w:r>
          </w:p>
        </w:tc>
        <w:tc>
          <w:tcPr>
            <w:tcW w:w="900" w:type="dxa"/>
            <w:tcBorders>
              <w:top w:val="nil"/>
              <w:left w:val="nil"/>
              <w:bottom w:val="single" w:sz="4" w:space="0" w:color="A6C9EC"/>
              <w:right w:val="nil"/>
            </w:tcBorders>
            <w:vAlign w:val="bottom"/>
          </w:tcPr>
          <w:p w14:paraId="0B701B77" w14:textId="325DCE49"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62</w:t>
            </w:r>
          </w:p>
        </w:tc>
        <w:tc>
          <w:tcPr>
            <w:tcW w:w="900" w:type="dxa"/>
            <w:tcBorders>
              <w:top w:val="nil"/>
              <w:left w:val="nil"/>
              <w:bottom w:val="single" w:sz="4" w:space="0" w:color="A6C9EC"/>
              <w:right w:val="nil"/>
            </w:tcBorders>
            <w:vAlign w:val="bottom"/>
          </w:tcPr>
          <w:p w14:paraId="66DA52FC" w14:textId="53BFA5AD"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89</w:t>
            </w:r>
          </w:p>
        </w:tc>
        <w:tc>
          <w:tcPr>
            <w:tcW w:w="900" w:type="dxa"/>
            <w:tcBorders>
              <w:top w:val="nil"/>
              <w:left w:val="nil"/>
              <w:bottom w:val="single" w:sz="4" w:space="0" w:color="A6C9EC"/>
              <w:right w:val="nil"/>
            </w:tcBorders>
            <w:vAlign w:val="bottom"/>
          </w:tcPr>
          <w:p w14:paraId="60AE7492" w14:textId="7A43D1E9"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259</w:t>
            </w:r>
          </w:p>
        </w:tc>
        <w:tc>
          <w:tcPr>
            <w:tcW w:w="900" w:type="dxa"/>
            <w:tcBorders>
              <w:top w:val="nil"/>
              <w:left w:val="nil"/>
              <w:bottom w:val="single" w:sz="4" w:space="0" w:color="A6C9EC"/>
              <w:right w:val="nil"/>
            </w:tcBorders>
            <w:vAlign w:val="bottom"/>
          </w:tcPr>
          <w:p w14:paraId="1FBAFBE1" w14:textId="16D8BF59"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70</w:t>
            </w:r>
          </w:p>
        </w:tc>
        <w:tc>
          <w:tcPr>
            <w:tcW w:w="900" w:type="dxa"/>
            <w:tcBorders>
              <w:top w:val="nil"/>
              <w:left w:val="nil"/>
              <w:bottom w:val="single" w:sz="4" w:space="0" w:color="A6C9EC"/>
              <w:right w:val="nil"/>
            </w:tcBorders>
            <w:vAlign w:val="bottom"/>
          </w:tcPr>
          <w:p w14:paraId="635D9D5C" w14:textId="14317BCC"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196ABC39" w14:textId="4966F901"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122</w:t>
            </w:r>
          </w:p>
        </w:tc>
        <w:tc>
          <w:tcPr>
            <w:tcW w:w="900" w:type="dxa"/>
            <w:tcBorders>
              <w:top w:val="nil"/>
              <w:left w:val="nil"/>
              <w:bottom w:val="single" w:sz="4" w:space="0" w:color="A6C9EC"/>
              <w:right w:val="nil"/>
            </w:tcBorders>
            <w:vAlign w:val="bottom"/>
          </w:tcPr>
          <w:p w14:paraId="2EC39C77" w14:textId="0E6B888A"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21565F31" w14:textId="4E61BC32" w:rsidR="006704E3" w:rsidRPr="00B85D37" w:rsidRDefault="006704E3" w:rsidP="006704E3">
            <w:pPr>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r>
      <w:tr w:rsidR="006704E3" w:rsidRPr="00012693" w14:paraId="461A5EC5" w14:textId="77777777" w:rsidTr="00A872B0">
        <w:trPr>
          <w:trHeight w:val="315"/>
        </w:trPr>
        <w:tc>
          <w:tcPr>
            <w:tcW w:w="1660" w:type="dxa"/>
            <w:tcBorders>
              <w:top w:val="nil"/>
              <w:left w:val="nil"/>
              <w:bottom w:val="single" w:sz="4" w:space="0" w:color="ADD6EA"/>
              <w:right w:val="nil"/>
            </w:tcBorders>
            <w:shd w:val="clear" w:color="000000" w:fill="FFFFFF"/>
            <w:vAlign w:val="bottom"/>
          </w:tcPr>
          <w:p w14:paraId="73EA5DB9" w14:textId="173B48DE" w:rsidR="006704E3" w:rsidRPr="00B85D37" w:rsidRDefault="006704E3" w:rsidP="006704E3">
            <w:pPr>
              <w:spacing w:after="0" w:line="240" w:lineRule="auto"/>
              <w:rPr>
                <w:rFonts w:ascii="Open Sans Light" w:eastAsia="Times New Roman" w:hAnsi="Open Sans Light" w:cs="Open Sans Light"/>
                <w:color w:val="000000"/>
                <w:sz w:val="16"/>
                <w:szCs w:val="16"/>
                <w:lang w:eastAsia="en-AU"/>
              </w:rPr>
            </w:pPr>
            <w:r w:rsidRPr="00B85D37">
              <w:rPr>
                <w:rFonts w:ascii="Open Sans Light" w:eastAsia="Times New Roman" w:hAnsi="Open Sans Light" w:cs="Open Sans Light"/>
                <w:color w:val="000000"/>
                <w:sz w:val="16"/>
                <w:szCs w:val="16"/>
                <w:lang w:eastAsia="en-AU"/>
              </w:rPr>
              <w:t>100,000 – 500,000</w:t>
            </w:r>
          </w:p>
        </w:tc>
        <w:tc>
          <w:tcPr>
            <w:tcW w:w="900" w:type="dxa"/>
            <w:tcBorders>
              <w:top w:val="nil"/>
              <w:left w:val="nil"/>
              <w:bottom w:val="single" w:sz="4" w:space="0" w:color="A6C9EC"/>
              <w:right w:val="nil"/>
            </w:tcBorders>
            <w:vAlign w:val="bottom"/>
          </w:tcPr>
          <w:p w14:paraId="011A8184" w14:textId="167DAE7F"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428</w:t>
            </w:r>
          </w:p>
        </w:tc>
        <w:tc>
          <w:tcPr>
            <w:tcW w:w="900" w:type="dxa"/>
            <w:tcBorders>
              <w:top w:val="nil"/>
              <w:left w:val="nil"/>
              <w:bottom w:val="single" w:sz="4" w:space="0" w:color="A6C9EC"/>
              <w:right w:val="nil"/>
            </w:tcBorders>
            <w:vAlign w:val="bottom"/>
          </w:tcPr>
          <w:p w14:paraId="70E74971" w14:textId="6E9BF9ED"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208</w:t>
            </w:r>
          </w:p>
        </w:tc>
        <w:tc>
          <w:tcPr>
            <w:tcW w:w="900" w:type="dxa"/>
            <w:tcBorders>
              <w:top w:val="nil"/>
              <w:left w:val="nil"/>
              <w:bottom w:val="single" w:sz="4" w:space="0" w:color="A6C9EC"/>
              <w:right w:val="nil"/>
            </w:tcBorders>
            <w:vAlign w:val="bottom"/>
          </w:tcPr>
          <w:p w14:paraId="73F95F7F" w14:textId="70CFF759"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333</w:t>
            </w:r>
          </w:p>
        </w:tc>
        <w:tc>
          <w:tcPr>
            <w:tcW w:w="900" w:type="dxa"/>
            <w:tcBorders>
              <w:top w:val="nil"/>
              <w:left w:val="nil"/>
              <w:bottom w:val="single" w:sz="4" w:space="0" w:color="A6C9EC"/>
              <w:right w:val="nil"/>
            </w:tcBorders>
            <w:vAlign w:val="bottom"/>
          </w:tcPr>
          <w:p w14:paraId="40D182A6" w14:textId="75511414"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408DE95B" w14:textId="427C421F"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1F3E13BD" w14:textId="340166AB"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205</w:t>
            </w:r>
          </w:p>
        </w:tc>
        <w:tc>
          <w:tcPr>
            <w:tcW w:w="900" w:type="dxa"/>
            <w:tcBorders>
              <w:top w:val="nil"/>
              <w:left w:val="nil"/>
              <w:bottom w:val="single" w:sz="4" w:space="0" w:color="A6C9EC"/>
              <w:right w:val="nil"/>
            </w:tcBorders>
            <w:vAlign w:val="bottom"/>
          </w:tcPr>
          <w:p w14:paraId="2B87FEAC" w14:textId="34CC8BEF"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529</w:t>
            </w:r>
          </w:p>
        </w:tc>
        <w:tc>
          <w:tcPr>
            <w:tcW w:w="900" w:type="dxa"/>
            <w:tcBorders>
              <w:top w:val="nil"/>
              <w:left w:val="nil"/>
              <w:bottom w:val="single" w:sz="4" w:space="0" w:color="A6C9EC"/>
              <w:right w:val="nil"/>
            </w:tcBorders>
            <w:vAlign w:val="bottom"/>
          </w:tcPr>
          <w:p w14:paraId="1B41CB21" w14:textId="26211330" w:rsidR="006704E3" w:rsidRPr="00B85D37" w:rsidRDefault="006704E3" w:rsidP="006704E3">
            <w:pPr>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326</w:t>
            </w:r>
          </w:p>
        </w:tc>
      </w:tr>
      <w:tr w:rsidR="006704E3" w:rsidRPr="00012693" w14:paraId="6A8F0AC0" w14:textId="77777777" w:rsidTr="00A872B0">
        <w:trPr>
          <w:trHeight w:val="315"/>
        </w:trPr>
        <w:tc>
          <w:tcPr>
            <w:tcW w:w="1660" w:type="dxa"/>
            <w:tcBorders>
              <w:top w:val="nil"/>
              <w:left w:val="nil"/>
              <w:bottom w:val="single" w:sz="4" w:space="0" w:color="ADD6EA"/>
              <w:right w:val="nil"/>
            </w:tcBorders>
            <w:shd w:val="clear" w:color="000000" w:fill="FFFFFF"/>
            <w:vAlign w:val="bottom"/>
          </w:tcPr>
          <w:p w14:paraId="297D355C" w14:textId="53D7E73E" w:rsidR="006704E3" w:rsidRPr="00B85D37" w:rsidRDefault="006704E3" w:rsidP="006704E3">
            <w:pPr>
              <w:spacing w:after="0" w:line="240" w:lineRule="auto"/>
              <w:rPr>
                <w:rFonts w:ascii="Open Sans Light" w:eastAsia="Times New Roman" w:hAnsi="Open Sans Light" w:cs="Open Sans Light"/>
                <w:color w:val="000000"/>
                <w:sz w:val="16"/>
                <w:szCs w:val="16"/>
                <w:lang w:eastAsia="en-AU"/>
              </w:rPr>
            </w:pPr>
            <w:r w:rsidRPr="00B85D37">
              <w:rPr>
                <w:rFonts w:ascii="Open Sans Light" w:eastAsia="Times New Roman" w:hAnsi="Open Sans Light" w:cs="Open Sans Light"/>
                <w:color w:val="000000"/>
                <w:sz w:val="16"/>
                <w:szCs w:val="16"/>
                <w:lang w:eastAsia="en-AU"/>
              </w:rPr>
              <w:t xml:space="preserve">Over 500,000 </w:t>
            </w:r>
          </w:p>
        </w:tc>
        <w:tc>
          <w:tcPr>
            <w:tcW w:w="900" w:type="dxa"/>
            <w:tcBorders>
              <w:top w:val="nil"/>
              <w:left w:val="nil"/>
              <w:bottom w:val="single" w:sz="4" w:space="0" w:color="A6C9EC"/>
              <w:right w:val="nil"/>
            </w:tcBorders>
            <w:vAlign w:val="bottom"/>
          </w:tcPr>
          <w:p w14:paraId="4374D37A" w14:textId="5DE9D73A"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608</w:t>
            </w:r>
          </w:p>
        </w:tc>
        <w:tc>
          <w:tcPr>
            <w:tcW w:w="900" w:type="dxa"/>
            <w:tcBorders>
              <w:top w:val="nil"/>
              <w:left w:val="nil"/>
              <w:bottom w:val="single" w:sz="4" w:space="0" w:color="A6C9EC"/>
              <w:right w:val="nil"/>
            </w:tcBorders>
            <w:vAlign w:val="bottom"/>
          </w:tcPr>
          <w:p w14:paraId="73E1CCFA" w14:textId="6EF2AE26"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598</w:t>
            </w:r>
          </w:p>
        </w:tc>
        <w:tc>
          <w:tcPr>
            <w:tcW w:w="900" w:type="dxa"/>
            <w:tcBorders>
              <w:top w:val="nil"/>
              <w:left w:val="nil"/>
              <w:bottom w:val="single" w:sz="4" w:space="0" w:color="A6C9EC"/>
              <w:right w:val="nil"/>
            </w:tcBorders>
            <w:vAlign w:val="bottom"/>
          </w:tcPr>
          <w:p w14:paraId="388194F9" w14:textId="6F0FDF17"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635</w:t>
            </w:r>
          </w:p>
        </w:tc>
        <w:tc>
          <w:tcPr>
            <w:tcW w:w="900" w:type="dxa"/>
            <w:tcBorders>
              <w:top w:val="nil"/>
              <w:left w:val="nil"/>
              <w:bottom w:val="single" w:sz="4" w:space="0" w:color="A6C9EC"/>
              <w:right w:val="nil"/>
            </w:tcBorders>
            <w:vAlign w:val="bottom"/>
          </w:tcPr>
          <w:p w14:paraId="5E3CDB90" w14:textId="4EEE55CA"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370</w:t>
            </w:r>
          </w:p>
        </w:tc>
        <w:tc>
          <w:tcPr>
            <w:tcW w:w="900" w:type="dxa"/>
            <w:tcBorders>
              <w:top w:val="nil"/>
              <w:left w:val="nil"/>
              <w:bottom w:val="single" w:sz="4" w:space="0" w:color="A6C9EC"/>
              <w:right w:val="nil"/>
            </w:tcBorders>
            <w:vAlign w:val="bottom"/>
          </w:tcPr>
          <w:p w14:paraId="5FC00B9C" w14:textId="285DF788"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221</w:t>
            </w:r>
          </w:p>
        </w:tc>
        <w:tc>
          <w:tcPr>
            <w:tcW w:w="900" w:type="dxa"/>
            <w:tcBorders>
              <w:top w:val="nil"/>
              <w:left w:val="nil"/>
              <w:bottom w:val="single" w:sz="4" w:space="0" w:color="A6C9EC"/>
              <w:right w:val="nil"/>
            </w:tcBorders>
            <w:vAlign w:val="bottom"/>
          </w:tcPr>
          <w:p w14:paraId="658A59E1" w14:textId="37EDEB62"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07A6F066" w14:textId="3D6BD350" w:rsidR="006704E3" w:rsidRPr="00B85D37" w:rsidRDefault="006704E3" w:rsidP="006704E3">
            <w:pPr>
              <w:keepLines/>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c>
          <w:tcPr>
            <w:tcW w:w="900" w:type="dxa"/>
            <w:tcBorders>
              <w:top w:val="nil"/>
              <w:left w:val="nil"/>
              <w:bottom w:val="single" w:sz="4" w:space="0" w:color="A6C9EC"/>
              <w:right w:val="nil"/>
            </w:tcBorders>
            <w:vAlign w:val="bottom"/>
          </w:tcPr>
          <w:p w14:paraId="2A611C7F" w14:textId="6C966D31" w:rsidR="006704E3" w:rsidRPr="00B85D37" w:rsidRDefault="006704E3" w:rsidP="006704E3">
            <w:pPr>
              <w:spacing w:after="0" w:line="240" w:lineRule="auto"/>
              <w:jc w:val="right"/>
              <w:rPr>
                <w:rFonts w:ascii="Open Sans Light" w:eastAsia="Times New Roman" w:hAnsi="Open Sans Light" w:cs="Open Sans Light"/>
                <w:color w:val="000000"/>
                <w:sz w:val="16"/>
                <w:szCs w:val="16"/>
                <w:lang w:eastAsia="en-AU"/>
              </w:rPr>
            </w:pPr>
            <w:r w:rsidRPr="00B85D37">
              <w:rPr>
                <w:rFonts w:ascii="Open Sans Light" w:hAnsi="Open Sans Light" w:cs="Open Sans Light"/>
                <w:sz w:val="16"/>
                <w:szCs w:val="16"/>
              </w:rPr>
              <w:t>-</w:t>
            </w:r>
          </w:p>
        </w:tc>
      </w:tr>
    </w:tbl>
    <w:p w14:paraId="5CD64177" w14:textId="312603C5" w:rsidR="00BA679B" w:rsidRDefault="00BA679B" w:rsidP="00050AE9">
      <w:pPr>
        <w:pStyle w:val="CGCTablenote"/>
        <w:tabs>
          <w:tab w:val="clear" w:pos="680"/>
          <w:tab w:val="left" w:pos="284"/>
        </w:tabs>
        <w:ind w:left="532" w:hanging="419"/>
      </w:pPr>
      <w:r>
        <w:t xml:space="preserve">Note: </w:t>
      </w:r>
      <w:r w:rsidR="00257E7B">
        <w:t>P</w:t>
      </w:r>
      <w:r w:rsidR="00E24D20">
        <w:t>opulation sizes</w:t>
      </w:r>
      <w:r>
        <w:t xml:space="preserve"> were selected to ensure</w:t>
      </w:r>
      <w:r w:rsidR="000E5DB6">
        <w:t xml:space="preserve"> that</w:t>
      </w:r>
      <w:r w:rsidR="00375AE8">
        <w:t xml:space="preserve"> </w:t>
      </w:r>
      <w:proofErr w:type="gramStart"/>
      <w:r w:rsidR="00375AE8">
        <w:t>a</w:t>
      </w:r>
      <w:r w:rsidR="000E5DB6">
        <w:t xml:space="preserve"> sufficient number of</w:t>
      </w:r>
      <w:proofErr w:type="gramEnd"/>
      <w:r w:rsidR="000E5DB6">
        <w:t xml:space="preserve"> </w:t>
      </w:r>
      <w:r w:rsidR="00413A82">
        <w:t>urban</w:t>
      </w:r>
      <w:r w:rsidR="00E24D20">
        <w:t xml:space="preserve"> areas with similar urban transport networks were included in each group.</w:t>
      </w:r>
    </w:p>
    <w:p w14:paraId="7A9C3FFD" w14:textId="11151F35" w:rsidR="00914750" w:rsidRPr="0007767D" w:rsidRDefault="007E0CAC" w:rsidP="00914750">
      <w:pPr>
        <w:pStyle w:val="CGCTablenote"/>
        <w:ind w:left="709" w:hanging="596"/>
      </w:pPr>
      <w:r>
        <w:t>Source</w:t>
      </w:r>
      <w:r w:rsidRPr="0007767D">
        <w:t xml:space="preserve">: Commission analysis based on </w:t>
      </w:r>
      <w:r w:rsidR="004F21C6">
        <w:t>s</w:t>
      </w:r>
      <w:r w:rsidRPr="0007767D">
        <w:t>tate data</w:t>
      </w:r>
      <w:r w:rsidR="00914750" w:rsidRPr="0007767D">
        <w:t>.</w:t>
      </w:r>
    </w:p>
    <w:p w14:paraId="7FB90B7E" w14:textId="226D6D45" w:rsidR="009C0D21" w:rsidRDefault="00080E8D" w:rsidP="00080E8D">
      <w:pPr>
        <w:pStyle w:val="CGCParaNumber"/>
      </w:pPr>
      <w:r>
        <w:t>The Commission</w:t>
      </w:r>
      <w:r w:rsidR="003A35E6">
        <w:t>’s assessment</w:t>
      </w:r>
      <w:r>
        <w:t xml:space="preserve"> defines urban transport</w:t>
      </w:r>
      <w:r w:rsidR="00091A88">
        <w:t xml:space="preserve"> </w:t>
      </w:r>
      <w:r w:rsidR="006C74B3">
        <w:t xml:space="preserve">as transport that operates </w:t>
      </w:r>
      <w:r w:rsidR="006C74B3" w:rsidRPr="00FA2D0A">
        <w:t xml:space="preserve">within an urban </w:t>
      </w:r>
      <w:r w:rsidR="00F413B9" w:rsidRPr="00FA2D0A">
        <w:t>area.</w:t>
      </w:r>
      <w:r w:rsidR="00DB10EE">
        <w:t xml:space="preserve"> </w:t>
      </w:r>
      <w:r w:rsidR="002B19D7">
        <w:t>Applying this definition, analysis</w:t>
      </w:r>
      <w:r w:rsidR="006D11B5">
        <w:t xml:space="preserve"> indicates that</w:t>
      </w:r>
      <w:r w:rsidRPr="00FA2D0A">
        <w:t xml:space="preserve"> there are </w:t>
      </w:r>
      <w:r w:rsidR="00F413B9" w:rsidRPr="00FA2D0A">
        <w:t xml:space="preserve">generally </w:t>
      </w:r>
      <w:r w:rsidRPr="00FA2D0A">
        <w:t>very low rates of urban transport provision in small urban areas.</w:t>
      </w:r>
      <w:r w:rsidR="00F413B9" w:rsidRPr="00FA2D0A">
        <w:t xml:space="preserve"> </w:t>
      </w:r>
      <w:r w:rsidR="00C25B35">
        <w:t>Instead, s</w:t>
      </w:r>
      <w:r w:rsidRPr="00FA2D0A">
        <w:t xml:space="preserve">chool transport services </w:t>
      </w:r>
      <w:r w:rsidR="00CC0DB0" w:rsidRPr="00FA2D0A">
        <w:t xml:space="preserve">comprise </w:t>
      </w:r>
      <w:r w:rsidR="00761455" w:rsidRPr="00FA2D0A">
        <w:t>most</w:t>
      </w:r>
      <w:r w:rsidR="00CC0DB0" w:rsidRPr="00FA2D0A">
        <w:t xml:space="preserve"> public transport</w:t>
      </w:r>
      <w:r w:rsidRPr="00FA2D0A">
        <w:t xml:space="preserve"> services in these areas</w:t>
      </w:r>
      <w:r w:rsidR="00CC0DB0" w:rsidRPr="00FA2D0A">
        <w:t>. The</w:t>
      </w:r>
      <w:r w:rsidRPr="00FA2D0A">
        <w:t xml:space="preserve"> majority, if not </w:t>
      </w:r>
      <w:r w:rsidR="00783618" w:rsidRPr="00FA2D0A">
        <w:t>all</w:t>
      </w:r>
      <w:r w:rsidR="000E435C">
        <w:t>,</w:t>
      </w:r>
      <w:r w:rsidR="00CC0DB0" w:rsidRPr="00FA2D0A">
        <w:t xml:space="preserve"> </w:t>
      </w:r>
      <w:r w:rsidR="00C34969">
        <w:t xml:space="preserve">of </w:t>
      </w:r>
      <w:r w:rsidR="00CC0DB0" w:rsidRPr="00FA2D0A">
        <w:t>these school transport services</w:t>
      </w:r>
      <w:r w:rsidR="009954FB">
        <w:t>,</w:t>
      </w:r>
      <w:r w:rsidR="00CC0DB0" w:rsidRPr="00FA2D0A">
        <w:t xml:space="preserve"> are</w:t>
      </w:r>
      <w:r w:rsidR="00FA2D0A" w:rsidRPr="00FA2D0A">
        <w:t xml:space="preserve"> provided</w:t>
      </w:r>
      <w:r w:rsidR="00155637" w:rsidRPr="00FA2D0A">
        <w:t xml:space="preserve"> </w:t>
      </w:r>
      <w:r w:rsidR="00CC0DB0" w:rsidRPr="00FA2D0A">
        <w:t>t</w:t>
      </w:r>
      <w:r w:rsidR="00384260" w:rsidRPr="00FA2D0A">
        <w:t xml:space="preserve">o </w:t>
      </w:r>
      <w:r w:rsidRPr="00FA2D0A">
        <w:t>transport students from neighbouring regional areas into the urban area. Travel between, into or out of urban centres is considered non-urban transport</w:t>
      </w:r>
      <w:r w:rsidR="00DD0E0C" w:rsidRPr="00FA2D0A">
        <w:t>.</w:t>
      </w:r>
      <w:r w:rsidR="00152281">
        <w:t xml:space="preserve"> </w:t>
      </w:r>
    </w:p>
    <w:p w14:paraId="661C897E" w14:textId="74D0BAA4" w:rsidR="00DD0E0C" w:rsidRDefault="00152281" w:rsidP="00080E8D">
      <w:pPr>
        <w:pStyle w:val="CGCParaNumber"/>
      </w:pPr>
      <w:r>
        <w:lastRenderedPageBreak/>
        <w:t xml:space="preserve">The urban centre characteristics model </w:t>
      </w:r>
      <w:r w:rsidR="001854C8">
        <w:t xml:space="preserve">estimates net per capita costs of providing </w:t>
      </w:r>
      <w:r w:rsidR="00AA5B3B">
        <w:t>public</w:t>
      </w:r>
      <w:r w:rsidR="001854C8">
        <w:t xml:space="preserve"> transport services within an urban area. It does so by </w:t>
      </w:r>
      <w:r w:rsidR="00456771">
        <w:t>attributing net expenses to the</w:t>
      </w:r>
      <w:r w:rsidR="00771FA8">
        <w:t xml:space="preserve"> characteristics of urban areas</w:t>
      </w:r>
      <w:r w:rsidR="00AA5B3B">
        <w:t xml:space="preserve"> including</w:t>
      </w:r>
      <w:r w:rsidR="00D91863">
        <w:t xml:space="preserve"> </w:t>
      </w:r>
      <w:r w:rsidR="00456771">
        <w:t xml:space="preserve">population weighted </w:t>
      </w:r>
      <w:r w:rsidR="009E6BF0">
        <w:t>density, passenger numbers, average slo</w:t>
      </w:r>
      <w:r w:rsidR="00456771">
        <w:t xml:space="preserve">pe, distance to work and the presence or absence of a ferry service. The model is unable to estimate costs associated with non-urban transport and therefore </w:t>
      </w:r>
      <w:r w:rsidR="001F7365">
        <w:t>states are asked to not include expenses related to non-urban transport</w:t>
      </w:r>
      <w:r w:rsidR="00DB10EE">
        <w:t>.</w:t>
      </w:r>
      <w:r w:rsidR="00D13BC9" w:rsidRPr="00C25B35">
        <w:rPr>
          <w:rStyle w:val="FootnoteReference"/>
          <w:vertAlign w:val="superscript"/>
        </w:rPr>
        <w:footnoteReference w:id="4"/>
      </w:r>
      <w:r w:rsidR="00C87F6F">
        <w:t xml:space="preserve"> </w:t>
      </w:r>
    </w:p>
    <w:p w14:paraId="69EE77CA" w14:textId="096441BB" w:rsidR="00590065" w:rsidRDefault="6EC41EED" w:rsidP="005D5791">
      <w:pPr>
        <w:pStyle w:val="CGCParaNumber"/>
      </w:pPr>
      <w:r w:rsidRPr="00EE2EA7">
        <w:t>T</w:t>
      </w:r>
      <w:r w:rsidR="5D3B2B31" w:rsidRPr="00EE2EA7">
        <w:t xml:space="preserve">he </w:t>
      </w:r>
      <w:r w:rsidR="5426F128" w:rsidRPr="00EE2EA7">
        <w:t>inclusion</w:t>
      </w:r>
      <w:r w:rsidR="5D3B2B31" w:rsidRPr="00EE2EA7">
        <w:t xml:space="preserve"> </w:t>
      </w:r>
      <w:r w:rsidR="6639520F" w:rsidRPr="00EE2EA7">
        <w:t xml:space="preserve">of </w:t>
      </w:r>
      <w:r w:rsidR="77E4DC60" w:rsidRPr="00EE2EA7">
        <w:t>2023</w:t>
      </w:r>
      <w:r w:rsidR="00EC664F" w:rsidRPr="00EE2EA7">
        <w:t>–</w:t>
      </w:r>
      <w:r w:rsidR="77E4DC60" w:rsidRPr="00EE2EA7">
        <w:t xml:space="preserve">24 </w:t>
      </w:r>
      <w:r w:rsidR="6639520F" w:rsidRPr="00EE2EA7">
        <w:t xml:space="preserve">data </w:t>
      </w:r>
      <w:r w:rsidR="5426F128" w:rsidRPr="00EE2EA7">
        <w:t xml:space="preserve">in the urban transport regression </w:t>
      </w:r>
      <w:r w:rsidR="237A6A89" w:rsidRPr="00EE2EA7">
        <w:t xml:space="preserve">would result in </w:t>
      </w:r>
      <w:r w:rsidR="6A8F5305" w:rsidRPr="00EE2EA7">
        <w:t xml:space="preserve">a large </w:t>
      </w:r>
      <w:r w:rsidR="5D0DEBB4" w:rsidRPr="00EE2EA7">
        <w:t>change</w:t>
      </w:r>
      <w:r w:rsidR="6A8F5305" w:rsidRPr="00EE2EA7">
        <w:t xml:space="preserve"> in the coefficients</w:t>
      </w:r>
      <w:r w:rsidR="000C2171" w:rsidRPr="00EE2EA7">
        <w:t xml:space="preserve"> which does not appear to be consistent with changes in state transport provision</w:t>
      </w:r>
      <w:r w:rsidR="0FD40F63" w:rsidRPr="00EE2EA7">
        <w:t>.</w:t>
      </w:r>
      <w:r w:rsidR="505BA225" w:rsidRPr="00EE2EA7">
        <w:t xml:space="preserve"> </w:t>
      </w:r>
      <w:r w:rsidR="5610AEC4" w:rsidRPr="00EE2EA7">
        <w:t xml:space="preserve">The explanatory power of the model </w:t>
      </w:r>
      <w:r w:rsidR="698A6EAF" w:rsidRPr="00EE2EA7">
        <w:t xml:space="preserve">would </w:t>
      </w:r>
      <w:r w:rsidR="5610AEC4" w:rsidRPr="00EE2EA7">
        <w:t xml:space="preserve">also decline. </w:t>
      </w:r>
      <w:r w:rsidR="6119F5F6" w:rsidRPr="00EE2EA7">
        <w:t xml:space="preserve">This </w:t>
      </w:r>
      <w:r w:rsidR="5120EE6C" w:rsidRPr="00EE2EA7">
        <w:t xml:space="preserve">is </w:t>
      </w:r>
      <w:r w:rsidR="6119F5F6" w:rsidRPr="00EE2EA7">
        <w:t xml:space="preserve">because </w:t>
      </w:r>
      <w:r w:rsidR="5B7CD4AD" w:rsidRPr="00EE2EA7">
        <w:t>the</w:t>
      </w:r>
      <w:r w:rsidR="00581833" w:rsidRPr="00EE2EA7">
        <w:t xml:space="preserve"> </w:t>
      </w:r>
      <w:r w:rsidR="0092474C" w:rsidRPr="00EE2EA7">
        <w:t>high-cost</w:t>
      </w:r>
      <w:r w:rsidR="00581833" w:rsidRPr="00EE2EA7">
        <w:t xml:space="preserve"> small</w:t>
      </w:r>
      <w:r w:rsidR="5B7CD4AD" w:rsidRPr="00EE2EA7">
        <w:t xml:space="preserve"> </w:t>
      </w:r>
      <w:r w:rsidR="6119F5F6" w:rsidRPr="00EE2EA7">
        <w:t>areas have a</w:t>
      </w:r>
      <w:r w:rsidR="3B8A11D7" w:rsidRPr="00EE2EA7">
        <w:t xml:space="preserve"> </w:t>
      </w:r>
      <w:r w:rsidR="2E7D2A98" w:rsidRPr="00EE2EA7">
        <w:t>low population density</w:t>
      </w:r>
      <w:r w:rsidR="3B8A11D7" w:rsidRPr="00EE2EA7">
        <w:t xml:space="preserve"> and a small distance to work relative to larger areas</w:t>
      </w:r>
      <w:r w:rsidR="2EB619B8" w:rsidRPr="00EE2EA7">
        <w:t xml:space="preserve">. </w:t>
      </w:r>
      <w:r w:rsidR="3C730C6B" w:rsidRPr="00EE2EA7">
        <w:t>They also do not have ferry service</w:t>
      </w:r>
      <w:r w:rsidR="24A5F8B6" w:rsidRPr="00EE2EA7">
        <w:t xml:space="preserve">s. </w:t>
      </w:r>
      <w:r w:rsidR="05034FA9" w:rsidRPr="00EE2EA7">
        <w:t xml:space="preserve">This causes the coefficients </w:t>
      </w:r>
      <w:r w:rsidR="6E454570" w:rsidRPr="00EE2EA7">
        <w:t xml:space="preserve">for </w:t>
      </w:r>
      <w:r w:rsidR="60F0FCF4" w:rsidRPr="00EE2EA7">
        <w:t>population</w:t>
      </w:r>
      <w:r w:rsidR="002C3F11" w:rsidRPr="00EE2EA7">
        <w:noBreakHyphen/>
      </w:r>
      <w:r w:rsidR="60F0FCF4" w:rsidRPr="00EE2EA7">
        <w:t xml:space="preserve">weighted </w:t>
      </w:r>
      <w:r w:rsidR="6E454570" w:rsidRPr="00EE2EA7">
        <w:t>density</w:t>
      </w:r>
      <w:r w:rsidR="629EAC0B" w:rsidRPr="00EE2EA7">
        <w:t xml:space="preserve"> </w:t>
      </w:r>
      <w:r w:rsidR="416C1FAF" w:rsidRPr="00EE2EA7">
        <w:t xml:space="preserve">and </w:t>
      </w:r>
      <w:r w:rsidR="629EAC0B" w:rsidRPr="00EE2EA7">
        <w:t>the ferry dummy</w:t>
      </w:r>
      <w:r w:rsidR="416C1FAF" w:rsidRPr="00EE2EA7">
        <w:t xml:space="preserve"> to </w:t>
      </w:r>
      <w:r w:rsidR="359B4401" w:rsidRPr="00EE2EA7">
        <w:t>fall and</w:t>
      </w:r>
      <w:r w:rsidR="629EAC0B" w:rsidRPr="00EE2EA7">
        <w:t xml:space="preserve"> causes the</w:t>
      </w:r>
      <w:r w:rsidR="416C1FAF" w:rsidRPr="00EE2EA7">
        <w:t xml:space="preserve"> </w:t>
      </w:r>
      <w:r w:rsidR="4EF12AF1" w:rsidRPr="00EE2EA7">
        <w:t>distance to work coefficient</w:t>
      </w:r>
      <w:r w:rsidR="4EF12AF1">
        <w:t xml:space="preserve"> </w:t>
      </w:r>
      <w:r w:rsidR="60F0FCF4">
        <w:t xml:space="preserve">to </w:t>
      </w:r>
      <w:r w:rsidR="4EF12AF1">
        <w:t>becom</w:t>
      </w:r>
      <w:r w:rsidR="60F0FCF4">
        <w:t>e</w:t>
      </w:r>
      <w:r w:rsidR="4EF12AF1">
        <w:t xml:space="preserve"> negative</w:t>
      </w:r>
      <w:r w:rsidR="00590065">
        <w:t xml:space="preserve">. This would </w:t>
      </w:r>
      <w:r w:rsidR="4EF12AF1">
        <w:t xml:space="preserve">suggest </w:t>
      </w:r>
      <w:r w:rsidR="1CC0EFB7">
        <w:t xml:space="preserve">that per capita spending declines as transport </w:t>
      </w:r>
      <w:r w:rsidR="00590065">
        <w:t>complexity (proxied by commuting distances)</w:t>
      </w:r>
      <w:r w:rsidR="1CC0EFB7">
        <w:t xml:space="preserve"> increase</w:t>
      </w:r>
      <w:r w:rsidR="4FC9B75F">
        <w:t>s</w:t>
      </w:r>
      <w:r w:rsidR="1CC0EFB7">
        <w:t>.</w:t>
      </w:r>
      <w:r w:rsidR="5D0DEBB4">
        <w:t xml:space="preserve"> </w:t>
      </w:r>
    </w:p>
    <w:p w14:paraId="48D33FE0" w14:textId="5DD1C9CC" w:rsidR="00590065" w:rsidRPr="005D1FEA" w:rsidRDefault="00590065" w:rsidP="0054757E">
      <w:pPr>
        <w:pStyle w:val="Caption"/>
        <w:rPr>
          <w:b/>
          <w:szCs w:val="22"/>
        </w:rPr>
      </w:pPr>
      <w:r w:rsidRPr="005D1FEA">
        <w:rPr>
          <w:rFonts w:eastAsiaTheme="minorHAnsi" w:cstheme="minorBidi"/>
          <w:b/>
          <w:szCs w:val="22"/>
        </w:rPr>
        <w:t xml:space="preserve">Table </w:t>
      </w:r>
      <w:r w:rsidR="00C81C0E" w:rsidRPr="005D1FEA">
        <w:rPr>
          <w:rFonts w:eastAsiaTheme="minorHAnsi" w:cstheme="minorBidi"/>
          <w:b/>
          <w:szCs w:val="22"/>
        </w:rPr>
        <w:t>5</w:t>
      </w:r>
      <w:r w:rsidRPr="005D1FEA">
        <w:rPr>
          <w:rFonts w:eastAsiaTheme="minorHAnsi" w:cstheme="minorBidi"/>
          <w:b/>
          <w:szCs w:val="22"/>
        </w:rPr>
        <w:tab/>
        <w:t>Change in urban transport regression coefficients</w:t>
      </w:r>
    </w:p>
    <w:tbl>
      <w:tblPr>
        <w:tblW w:w="8980" w:type="dxa"/>
        <w:tblLook w:val="04A0" w:firstRow="1" w:lastRow="0" w:firstColumn="1" w:lastColumn="0" w:noHBand="0" w:noVBand="1"/>
      </w:tblPr>
      <w:tblGrid>
        <w:gridCol w:w="4968"/>
        <w:gridCol w:w="2006"/>
        <w:gridCol w:w="2006"/>
      </w:tblGrid>
      <w:tr w:rsidR="00590065" w:rsidRPr="00F06D38" w14:paraId="3A0C5A5D" w14:textId="77777777" w:rsidTr="004A1E19">
        <w:trPr>
          <w:trHeight w:val="525"/>
        </w:trPr>
        <w:tc>
          <w:tcPr>
            <w:tcW w:w="4968" w:type="dxa"/>
            <w:tcBorders>
              <w:top w:val="nil"/>
              <w:right w:val="nil"/>
            </w:tcBorders>
            <w:shd w:val="clear" w:color="000000" w:fill="006991"/>
            <w:vAlign w:val="center"/>
            <w:hideMark/>
          </w:tcPr>
          <w:p w14:paraId="5DF11186" w14:textId="77777777" w:rsidR="00590065" w:rsidRPr="00F06D38" w:rsidRDefault="00590065" w:rsidP="00C25B35">
            <w:pPr>
              <w:keepNext/>
              <w:keepLines/>
              <w:spacing w:after="0" w:line="240" w:lineRule="auto"/>
              <w:rPr>
                <w:rFonts w:ascii="Open Sans Semibold" w:eastAsia="Times New Roman" w:hAnsi="Open Sans Semibold" w:cs="Open Sans Semibold"/>
                <w:color w:val="FFFFFF"/>
                <w:sz w:val="16"/>
                <w:szCs w:val="16"/>
                <w:lang w:eastAsia="en-AU"/>
              </w:rPr>
            </w:pPr>
            <w:r w:rsidRPr="00F06D38">
              <w:rPr>
                <w:rFonts w:ascii="Open Sans Semibold" w:eastAsia="Times New Roman" w:hAnsi="Open Sans Semibold" w:cs="Open Sans Semibold"/>
                <w:color w:val="FFFFFF"/>
                <w:sz w:val="16"/>
                <w:szCs w:val="16"/>
                <w:lang w:eastAsia="en-AU"/>
              </w:rPr>
              <w:t xml:space="preserve"> Variable </w:t>
            </w:r>
          </w:p>
        </w:tc>
        <w:tc>
          <w:tcPr>
            <w:tcW w:w="2006" w:type="dxa"/>
            <w:tcBorders>
              <w:top w:val="nil"/>
              <w:left w:val="nil"/>
              <w:right w:val="nil"/>
            </w:tcBorders>
            <w:shd w:val="clear" w:color="000000" w:fill="006991"/>
            <w:vAlign w:val="center"/>
            <w:hideMark/>
          </w:tcPr>
          <w:p w14:paraId="34A23B77" w14:textId="5DC88D0A" w:rsidR="00590065" w:rsidRDefault="00590065" w:rsidP="00C25B35">
            <w:pPr>
              <w:keepNext/>
              <w:keepLines/>
              <w:spacing w:after="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Using 2022</w:t>
            </w:r>
            <w:r w:rsidR="001C7DAF">
              <w:rPr>
                <w:rFonts w:ascii="Open Sans Semibold" w:eastAsia="Times New Roman" w:hAnsi="Open Sans Semibold" w:cs="Open Sans Semibold"/>
                <w:color w:val="FFFFFF"/>
                <w:sz w:val="16"/>
                <w:szCs w:val="16"/>
                <w:lang w:eastAsia="en-AU"/>
              </w:rPr>
              <w:t>–</w:t>
            </w:r>
            <w:r>
              <w:rPr>
                <w:rFonts w:ascii="Open Sans Semibold" w:eastAsia="Times New Roman" w:hAnsi="Open Sans Semibold" w:cs="Open Sans Semibold"/>
                <w:color w:val="FFFFFF"/>
                <w:sz w:val="16"/>
                <w:szCs w:val="16"/>
                <w:lang w:eastAsia="en-AU"/>
              </w:rPr>
              <w:t>23 data only</w:t>
            </w:r>
          </w:p>
          <w:p w14:paraId="043A3A51" w14:textId="1C33276C" w:rsidR="00590065" w:rsidRPr="00F06D38" w:rsidRDefault="00590065" w:rsidP="00C25B35">
            <w:pPr>
              <w:keepNext/>
              <w:keepLines/>
              <w:spacing w:after="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[2025 Review]</w:t>
            </w:r>
          </w:p>
        </w:tc>
        <w:tc>
          <w:tcPr>
            <w:tcW w:w="2006" w:type="dxa"/>
            <w:tcBorders>
              <w:top w:val="nil"/>
              <w:left w:val="nil"/>
              <w:right w:val="nil"/>
            </w:tcBorders>
            <w:shd w:val="clear" w:color="000000" w:fill="006991"/>
            <w:vAlign w:val="center"/>
            <w:hideMark/>
          </w:tcPr>
          <w:p w14:paraId="074BF5AA" w14:textId="1A4CEBA7" w:rsidR="00590065" w:rsidRDefault="00590065" w:rsidP="00C25B35">
            <w:pPr>
              <w:keepNext/>
              <w:keepLines/>
              <w:spacing w:after="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Using both 2022</w:t>
            </w:r>
            <w:r w:rsidR="001C7DAF">
              <w:rPr>
                <w:rFonts w:ascii="Open Sans Semibold" w:eastAsia="Times New Roman" w:hAnsi="Open Sans Semibold" w:cs="Open Sans Semibold"/>
                <w:color w:val="FFFFFF"/>
                <w:sz w:val="16"/>
                <w:szCs w:val="16"/>
                <w:lang w:eastAsia="en-AU"/>
              </w:rPr>
              <w:t>–</w:t>
            </w:r>
            <w:r>
              <w:rPr>
                <w:rFonts w:ascii="Open Sans Semibold" w:eastAsia="Times New Roman" w:hAnsi="Open Sans Semibold" w:cs="Open Sans Semibold"/>
                <w:color w:val="FFFFFF"/>
                <w:sz w:val="16"/>
                <w:szCs w:val="16"/>
                <w:lang w:eastAsia="en-AU"/>
              </w:rPr>
              <w:t>23 and 2023</w:t>
            </w:r>
            <w:r w:rsidR="001C7DAF">
              <w:rPr>
                <w:rFonts w:ascii="Open Sans Semibold" w:eastAsia="Times New Roman" w:hAnsi="Open Sans Semibold" w:cs="Open Sans Semibold"/>
                <w:color w:val="FFFFFF"/>
                <w:sz w:val="16"/>
                <w:szCs w:val="16"/>
                <w:lang w:eastAsia="en-AU"/>
              </w:rPr>
              <w:t>–</w:t>
            </w:r>
            <w:r>
              <w:rPr>
                <w:rFonts w:ascii="Open Sans Semibold" w:eastAsia="Times New Roman" w:hAnsi="Open Sans Semibold" w:cs="Open Sans Semibold"/>
                <w:color w:val="FFFFFF"/>
                <w:sz w:val="16"/>
                <w:szCs w:val="16"/>
                <w:lang w:eastAsia="en-AU"/>
              </w:rPr>
              <w:t>24 data</w:t>
            </w:r>
          </w:p>
          <w:p w14:paraId="48DBF9D6" w14:textId="60DD71F1" w:rsidR="00590065" w:rsidRPr="00F06D38" w:rsidRDefault="00590065" w:rsidP="00C25B35">
            <w:pPr>
              <w:keepNext/>
              <w:keepLines/>
              <w:spacing w:after="0" w:line="240" w:lineRule="auto"/>
              <w:jc w:val="right"/>
              <w:rPr>
                <w:rFonts w:ascii="Open Sans Semibold" w:eastAsia="Times New Roman" w:hAnsi="Open Sans Semibold" w:cs="Open Sans Semibold"/>
                <w:color w:val="FFFFFF"/>
                <w:sz w:val="16"/>
                <w:szCs w:val="16"/>
                <w:lang w:eastAsia="en-AU"/>
              </w:rPr>
            </w:pPr>
          </w:p>
        </w:tc>
      </w:tr>
      <w:tr w:rsidR="00590065" w:rsidRPr="00F06D38" w14:paraId="2E4547B8" w14:textId="77777777" w:rsidTr="004A1E19">
        <w:trPr>
          <w:trHeight w:val="319"/>
        </w:trPr>
        <w:tc>
          <w:tcPr>
            <w:tcW w:w="4968" w:type="dxa"/>
            <w:tcBorders>
              <w:top w:val="nil"/>
              <w:bottom w:val="single" w:sz="4" w:space="0" w:color="BDD6EE" w:themeColor="accent5" w:themeTint="66"/>
              <w:right w:val="nil"/>
            </w:tcBorders>
            <w:shd w:val="clear" w:color="000000" w:fill="FFFFFF"/>
            <w:vAlign w:val="center"/>
          </w:tcPr>
          <w:p w14:paraId="06F3708A" w14:textId="173171B9" w:rsidR="00590065" w:rsidRPr="00F06D38" w:rsidRDefault="00590065" w:rsidP="00C25B35">
            <w:pPr>
              <w:keepNext/>
              <w:keepLines/>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Intercept</w:t>
            </w:r>
          </w:p>
        </w:tc>
        <w:tc>
          <w:tcPr>
            <w:tcW w:w="2006" w:type="dxa"/>
            <w:tcBorders>
              <w:left w:val="nil"/>
              <w:bottom w:val="single" w:sz="4" w:space="0" w:color="ADD6EA"/>
              <w:right w:val="nil"/>
            </w:tcBorders>
            <w:shd w:val="clear" w:color="000000" w:fill="FFFFFF"/>
            <w:vAlign w:val="center"/>
          </w:tcPr>
          <w:p w14:paraId="44310DF0" w14:textId="749D21C1" w:rsidR="00590065" w:rsidRPr="00F06D38" w:rsidRDefault="005E66BE" w:rsidP="00C25B35">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-197.22</w:t>
            </w:r>
          </w:p>
        </w:tc>
        <w:tc>
          <w:tcPr>
            <w:tcW w:w="2006" w:type="dxa"/>
            <w:tcBorders>
              <w:left w:val="nil"/>
              <w:bottom w:val="single" w:sz="4" w:space="0" w:color="ADD6EA"/>
              <w:right w:val="nil"/>
            </w:tcBorders>
            <w:shd w:val="clear" w:color="000000" w:fill="FFFFFF"/>
            <w:vAlign w:val="center"/>
          </w:tcPr>
          <w:p w14:paraId="28F085AF" w14:textId="4141E601" w:rsidR="00590065" w:rsidRPr="00F06D38" w:rsidRDefault="00605E54" w:rsidP="00C25B35">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w:t>
            </w:r>
            <w:r w:rsidR="00C4385E">
              <w:rPr>
                <w:rFonts w:ascii="Open Sans Light" w:eastAsia="Times New Roman" w:hAnsi="Open Sans Light" w:cs="Open Sans Light"/>
                <w:color w:val="000000"/>
                <w:sz w:val="16"/>
                <w:szCs w:val="16"/>
                <w:lang w:eastAsia="en-AU"/>
              </w:rPr>
              <w:t>15.14</w:t>
            </w:r>
          </w:p>
        </w:tc>
      </w:tr>
      <w:tr w:rsidR="00590065" w:rsidRPr="00F06D38" w14:paraId="19FFB8EA" w14:textId="77777777" w:rsidTr="004A1E19">
        <w:trPr>
          <w:trHeight w:val="319"/>
        </w:trPr>
        <w:tc>
          <w:tcPr>
            <w:tcW w:w="4968" w:type="dxa"/>
            <w:tcBorders>
              <w:top w:val="single" w:sz="4" w:space="0" w:color="BDD6EE" w:themeColor="accent5" w:themeTint="66"/>
              <w:bottom w:val="single" w:sz="4" w:space="0" w:color="BDD6EE" w:themeColor="accent5" w:themeTint="66"/>
              <w:right w:val="nil"/>
            </w:tcBorders>
            <w:shd w:val="clear" w:color="000000" w:fill="FFFFFF"/>
            <w:vAlign w:val="center"/>
          </w:tcPr>
          <w:p w14:paraId="32DD19B6" w14:textId="6447CC5B" w:rsidR="00590065" w:rsidRPr="00F06D38" w:rsidRDefault="00590065" w:rsidP="00C25B35">
            <w:pPr>
              <w:keepNext/>
              <w:keepLines/>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Ferry dummy</w:t>
            </w:r>
          </w:p>
        </w:tc>
        <w:tc>
          <w:tcPr>
            <w:tcW w:w="2006" w:type="dxa"/>
            <w:tcBorders>
              <w:top w:val="single" w:sz="4" w:space="0" w:color="ADD6EA"/>
              <w:left w:val="nil"/>
              <w:bottom w:val="single" w:sz="4" w:space="0" w:color="ADD6EA"/>
              <w:right w:val="nil"/>
            </w:tcBorders>
            <w:shd w:val="clear" w:color="000000" w:fill="FFFFFF"/>
            <w:vAlign w:val="center"/>
          </w:tcPr>
          <w:p w14:paraId="673039F9" w14:textId="6D38ED83" w:rsidR="00590065" w:rsidRPr="00F06D38" w:rsidRDefault="005E66BE" w:rsidP="00C25B35">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40.45</w:t>
            </w:r>
          </w:p>
        </w:tc>
        <w:tc>
          <w:tcPr>
            <w:tcW w:w="2006" w:type="dxa"/>
            <w:tcBorders>
              <w:top w:val="single" w:sz="4" w:space="0" w:color="ADD6EA"/>
              <w:left w:val="nil"/>
              <w:bottom w:val="single" w:sz="4" w:space="0" w:color="ADD6EA"/>
              <w:right w:val="nil"/>
            </w:tcBorders>
            <w:shd w:val="clear" w:color="000000" w:fill="FFFFFF"/>
            <w:vAlign w:val="center"/>
          </w:tcPr>
          <w:p w14:paraId="402D0403" w14:textId="7DEA796E" w:rsidR="00590065" w:rsidRPr="00F06D38" w:rsidRDefault="00C4385E" w:rsidP="00C25B35">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1.54</w:t>
            </w:r>
          </w:p>
        </w:tc>
      </w:tr>
      <w:tr w:rsidR="00590065" w:rsidRPr="00F06D38" w14:paraId="6046A585" w14:textId="77777777" w:rsidTr="004A1E19">
        <w:trPr>
          <w:trHeight w:val="319"/>
        </w:trPr>
        <w:tc>
          <w:tcPr>
            <w:tcW w:w="4968" w:type="dxa"/>
            <w:tcBorders>
              <w:top w:val="single" w:sz="4" w:space="0" w:color="BDD6EE" w:themeColor="accent5" w:themeTint="66"/>
              <w:bottom w:val="single" w:sz="4" w:space="0" w:color="BDD6EE" w:themeColor="accent5" w:themeTint="66"/>
              <w:right w:val="nil"/>
            </w:tcBorders>
            <w:shd w:val="clear" w:color="000000" w:fill="FFFFFF"/>
            <w:vAlign w:val="center"/>
          </w:tcPr>
          <w:p w14:paraId="0265A9FA" w14:textId="4F99A46F" w:rsidR="00590065" w:rsidRPr="00F06D38" w:rsidRDefault="00590065" w:rsidP="00C25B35">
            <w:pPr>
              <w:keepNext/>
              <w:keepLines/>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Heavy rail passengers</w:t>
            </w:r>
          </w:p>
        </w:tc>
        <w:tc>
          <w:tcPr>
            <w:tcW w:w="2006" w:type="dxa"/>
            <w:tcBorders>
              <w:top w:val="single" w:sz="4" w:space="0" w:color="ADD6EA"/>
              <w:left w:val="nil"/>
              <w:bottom w:val="single" w:sz="4" w:space="0" w:color="ADD6EA"/>
              <w:right w:val="nil"/>
            </w:tcBorders>
            <w:shd w:val="clear" w:color="000000" w:fill="FFFFFF"/>
            <w:vAlign w:val="center"/>
          </w:tcPr>
          <w:p w14:paraId="11367B71" w14:textId="6187E655" w:rsidR="00590065" w:rsidRPr="00F06D38" w:rsidRDefault="005E66BE" w:rsidP="00C25B35">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9.08</w:t>
            </w:r>
          </w:p>
        </w:tc>
        <w:tc>
          <w:tcPr>
            <w:tcW w:w="2006" w:type="dxa"/>
            <w:tcBorders>
              <w:top w:val="single" w:sz="4" w:space="0" w:color="ADD6EA"/>
              <w:left w:val="nil"/>
              <w:bottom w:val="single" w:sz="4" w:space="0" w:color="ADD6EA"/>
              <w:right w:val="nil"/>
            </w:tcBorders>
            <w:shd w:val="clear" w:color="000000" w:fill="FFFFFF"/>
            <w:vAlign w:val="center"/>
          </w:tcPr>
          <w:p w14:paraId="722A6A8D" w14:textId="3B73464B" w:rsidR="00590065" w:rsidRPr="00F06D38" w:rsidRDefault="00605E54" w:rsidP="00C25B35">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w:t>
            </w:r>
            <w:r w:rsidR="00F20B1D">
              <w:rPr>
                <w:rFonts w:ascii="Open Sans Light" w:eastAsia="Times New Roman" w:hAnsi="Open Sans Light" w:cs="Open Sans Light"/>
                <w:color w:val="000000"/>
                <w:sz w:val="16"/>
                <w:szCs w:val="16"/>
                <w:lang w:eastAsia="en-AU"/>
              </w:rPr>
              <w:t>4.57</w:t>
            </w:r>
          </w:p>
        </w:tc>
      </w:tr>
      <w:tr w:rsidR="00590065" w:rsidRPr="00F06D38" w14:paraId="3EC47439" w14:textId="77777777" w:rsidTr="004A1E19">
        <w:trPr>
          <w:trHeight w:val="319"/>
        </w:trPr>
        <w:tc>
          <w:tcPr>
            <w:tcW w:w="4968" w:type="dxa"/>
            <w:tcBorders>
              <w:top w:val="single" w:sz="4" w:space="0" w:color="BDD6EE" w:themeColor="accent5" w:themeTint="66"/>
              <w:bottom w:val="single" w:sz="4" w:space="0" w:color="BDD6EE" w:themeColor="accent5" w:themeTint="66"/>
              <w:right w:val="nil"/>
            </w:tcBorders>
            <w:shd w:val="clear" w:color="000000" w:fill="FFFFFF"/>
            <w:vAlign w:val="center"/>
          </w:tcPr>
          <w:p w14:paraId="1148DABA" w14:textId="7115FE80" w:rsidR="00590065" w:rsidRPr="00F06D38" w:rsidRDefault="00590065" w:rsidP="00A6247C">
            <w:pPr>
              <w:keepNext/>
              <w:keepLines/>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Bus and light rail passengers</w:t>
            </w:r>
          </w:p>
        </w:tc>
        <w:tc>
          <w:tcPr>
            <w:tcW w:w="2006" w:type="dxa"/>
            <w:tcBorders>
              <w:top w:val="single" w:sz="4" w:space="0" w:color="ADD6EA"/>
              <w:left w:val="nil"/>
              <w:bottom w:val="single" w:sz="4" w:space="0" w:color="ADD6EA"/>
              <w:right w:val="nil"/>
            </w:tcBorders>
            <w:shd w:val="clear" w:color="000000" w:fill="FFFFFF"/>
            <w:vAlign w:val="center"/>
          </w:tcPr>
          <w:p w14:paraId="32FBCB44" w14:textId="1533A40D" w:rsidR="00590065" w:rsidRPr="00F06D38" w:rsidRDefault="005E66BE" w:rsidP="00A6247C">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10.74</w:t>
            </w:r>
          </w:p>
        </w:tc>
        <w:tc>
          <w:tcPr>
            <w:tcW w:w="2006" w:type="dxa"/>
            <w:tcBorders>
              <w:top w:val="single" w:sz="4" w:space="0" w:color="ADD6EA"/>
              <w:left w:val="nil"/>
              <w:bottom w:val="single" w:sz="4" w:space="0" w:color="ADD6EA"/>
              <w:right w:val="nil"/>
            </w:tcBorders>
            <w:shd w:val="clear" w:color="000000" w:fill="FFFFFF"/>
            <w:vAlign w:val="center"/>
          </w:tcPr>
          <w:p w14:paraId="00B1C44D" w14:textId="53E3C2FC" w:rsidR="00590065" w:rsidRPr="00F06D38" w:rsidRDefault="00F20B1D" w:rsidP="00A6247C">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33.89</w:t>
            </w:r>
          </w:p>
        </w:tc>
      </w:tr>
      <w:tr w:rsidR="00590065" w:rsidRPr="00F06D38" w14:paraId="758E9CA8" w14:textId="77777777" w:rsidTr="004A1E19">
        <w:trPr>
          <w:trHeight w:val="319"/>
        </w:trPr>
        <w:tc>
          <w:tcPr>
            <w:tcW w:w="4968" w:type="dxa"/>
            <w:tcBorders>
              <w:top w:val="single" w:sz="4" w:space="0" w:color="BDD6EE" w:themeColor="accent5" w:themeTint="66"/>
              <w:bottom w:val="single" w:sz="4" w:space="0" w:color="BDD6EE" w:themeColor="accent5" w:themeTint="66"/>
              <w:right w:val="nil"/>
            </w:tcBorders>
            <w:shd w:val="clear" w:color="000000" w:fill="FFFFFF"/>
            <w:vAlign w:val="center"/>
          </w:tcPr>
          <w:p w14:paraId="11AB75AB" w14:textId="12CA961D" w:rsidR="00590065" w:rsidRPr="00F06D38" w:rsidRDefault="00590065" w:rsidP="00A6247C">
            <w:pPr>
              <w:keepNext/>
              <w:keepLines/>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Population-weighted density</w:t>
            </w:r>
          </w:p>
        </w:tc>
        <w:tc>
          <w:tcPr>
            <w:tcW w:w="2006" w:type="dxa"/>
            <w:tcBorders>
              <w:top w:val="single" w:sz="4" w:space="0" w:color="ADD6EA"/>
              <w:left w:val="nil"/>
              <w:bottom w:val="single" w:sz="4" w:space="0" w:color="ADD6EA"/>
              <w:right w:val="nil"/>
            </w:tcBorders>
            <w:shd w:val="clear" w:color="000000" w:fill="FFFFFF"/>
            <w:vAlign w:val="center"/>
          </w:tcPr>
          <w:p w14:paraId="79CDE095" w14:textId="606EFB64" w:rsidR="00590065" w:rsidRPr="00F06D38" w:rsidRDefault="005E66BE" w:rsidP="00A6247C">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0.16</w:t>
            </w:r>
          </w:p>
        </w:tc>
        <w:tc>
          <w:tcPr>
            <w:tcW w:w="2006" w:type="dxa"/>
            <w:tcBorders>
              <w:top w:val="single" w:sz="4" w:space="0" w:color="ADD6EA"/>
              <w:left w:val="nil"/>
              <w:bottom w:val="single" w:sz="4" w:space="0" w:color="ADD6EA"/>
              <w:right w:val="nil"/>
            </w:tcBorders>
            <w:shd w:val="clear" w:color="000000" w:fill="FFFFFF"/>
            <w:vAlign w:val="center"/>
          </w:tcPr>
          <w:p w14:paraId="6A2DAE8F" w14:textId="00F6AD69" w:rsidR="00590065" w:rsidRPr="00F06D38" w:rsidRDefault="009551EB" w:rsidP="00A6247C">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0.06</w:t>
            </w:r>
          </w:p>
        </w:tc>
      </w:tr>
      <w:tr w:rsidR="00590065" w:rsidRPr="00F06D38" w14:paraId="03EF964B" w14:textId="77777777" w:rsidTr="004A1E19">
        <w:trPr>
          <w:trHeight w:val="319"/>
        </w:trPr>
        <w:tc>
          <w:tcPr>
            <w:tcW w:w="4968" w:type="dxa"/>
            <w:tcBorders>
              <w:top w:val="single" w:sz="4" w:space="0" w:color="BDD6EE" w:themeColor="accent5" w:themeTint="66"/>
              <w:bottom w:val="single" w:sz="4" w:space="0" w:color="BDD6EE" w:themeColor="accent5" w:themeTint="66"/>
              <w:right w:val="nil"/>
            </w:tcBorders>
            <w:shd w:val="clear" w:color="000000" w:fill="FFFFFF"/>
            <w:vAlign w:val="center"/>
          </w:tcPr>
          <w:p w14:paraId="7B1CCAC5" w14:textId="10F19CDC" w:rsidR="00590065" w:rsidRPr="00F06D38" w:rsidRDefault="00590065" w:rsidP="00A6247C">
            <w:pPr>
              <w:keepNext/>
              <w:keepLines/>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Slope</w:t>
            </w:r>
          </w:p>
        </w:tc>
        <w:tc>
          <w:tcPr>
            <w:tcW w:w="2006" w:type="dxa"/>
            <w:tcBorders>
              <w:top w:val="single" w:sz="4" w:space="0" w:color="ADD6EA"/>
              <w:left w:val="nil"/>
              <w:bottom w:val="single" w:sz="4" w:space="0" w:color="ADD6EA"/>
              <w:right w:val="nil"/>
            </w:tcBorders>
            <w:shd w:val="clear" w:color="000000" w:fill="FFFFFF"/>
            <w:vAlign w:val="center"/>
          </w:tcPr>
          <w:p w14:paraId="1A9BDD95" w14:textId="536F9378" w:rsidR="00590065" w:rsidRPr="00F06D38" w:rsidRDefault="005E66BE" w:rsidP="00A6247C">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12.51</w:t>
            </w:r>
          </w:p>
        </w:tc>
        <w:tc>
          <w:tcPr>
            <w:tcW w:w="2006" w:type="dxa"/>
            <w:tcBorders>
              <w:top w:val="single" w:sz="4" w:space="0" w:color="ADD6EA"/>
              <w:left w:val="nil"/>
              <w:bottom w:val="single" w:sz="4" w:space="0" w:color="ADD6EA"/>
              <w:right w:val="nil"/>
            </w:tcBorders>
            <w:shd w:val="clear" w:color="000000" w:fill="FFFFFF"/>
            <w:vAlign w:val="center"/>
          </w:tcPr>
          <w:p w14:paraId="689053E6" w14:textId="69E71A3B" w:rsidR="00590065" w:rsidRPr="00F06D38" w:rsidRDefault="009551EB" w:rsidP="00A6247C">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20.</w:t>
            </w:r>
            <w:r w:rsidR="00F20B1D">
              <w:rPr>
                <w:rFonts w:ascii="Open Sans Light" w:eastAsia="Times New Roman" w:hAnsi="Open Sans Light" w:cs="Open Sans Light"/>
                <w:color w:val="000000"/>
                <w:sz w:val="16"/>
                <w:szCs w:val="16"/>
                <w:lang w:eastAsia="en-AU"/>
              </w:rPr>
              <w:t>81</w:t>
            </w:r>
          </w:p>
        </w:tc>
      </w:tr>
      <w:tr w:rsidR="00590065" w:rsidRPr="00F06D38" w14:paraId="3C15E862" w14:textId="77777777" w:rsidTr="004A1E19">
        <w:trPr>
          <w:trHeight w:val="319"/>
        </w:trPr>
        <w:tc>
          <w:tcPr>
            <w:tcW w:w="4968" w:type="dxa"/>
            <w:tcBorders>
              <w:top w:val="single" w:sz="4" w:space="0" w:color="BDD6EE" w:themeColor="accent5" w:themeTint="66"/>
              <w:bottom w:val="single" w:sz="4" w:space="0" w:color="BDD6EE" w:themeColor="accent5" w:themeTint="66"/>
              <w:right w:val="nil"/>
            </w:tcBorders>
            <w:shd w:val="clear" w:color="000000" w:fill="FFFFFF"/>
            <w:vAlign w:val="center"/>
          </w:tcPr>
          <w:p w14:paraId="196578C4" w14:textId="7594D1DA" w:rsidR="00590065" w:rsidRPr="00F06D38" w:rsidRDefault="00590065" w:rsidP="00A6247C">
            <w:pPr>
              <w:keepNext/>
              <w:keepLines/>
              <w:spacing w:after="0"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Distance to work</w:t>
            </w:r>
          </w:p>
        </w:tc>
        <w:tc>
          <w:tcPr>
            <w:tcW w:w="2006" w:type="dxa"/>
            <w:tcBorders>
              <w:top w:val="single" w:sz="4" w:space="0" w:color="ADD6EA"/>
              <w:left w:val="nil"/>
              <w:bottom w:val="single" w:sz="4" w:space="0" w:color="ADD6EA"/>
              <w:right w:val="nil"/>
            </w:tcBorders>
            <w:shd w:val="clear" w:color="000000" w:fill="FFFFFF"/>
            <w:vAlign w:val="center"/>
          </w:tcPr>
          <w:p w14:paraId="64D6AF8C" w14:textId="2584F17D" w:rsidR="00590065" w:rsidRPr="00F06D38" w:rsidRDefault="005E66BE" w:rsidP="00A6247C">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2.08</w:t>
            </w:r>
          </w:p>
        </w:tc>
        <w:tc>
          <w:tcPr>
            <w:tcW w:w="2006" w:type="dxa"/>
            <w:tcBorders>
              <w:top w:val="single" w:sz="4" w:space="0" w:color="ADD6EA"/>
              <w:left w:val="nil"/>
              <w:bottom w:val="single" w:sz="4" w:space="0" w:color="ADD6EA"/>
              <w:right w:val="nil"/>
            </w:tcBorders>
            <w:shd w:val="clear" w:color="000000" w:fill="FFFFFF"/>
            <w:vAlign w:val="center"/>
          </w:tcPr>
          <w:p w14:paraId="1B197E7B" w14:textId="396CE91C" w:rsidR="00590065" w:rsidRPr="00F06D38" w:rsidRDefault="00F20B1D" w:rsidP="00A6247C">
            <w:pPr>
              <w:keepNext/>
              <w:keepLines/>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-7.98</w:t>
            </w:r>
          </w:p>
        </w:tc>
      </w:tr>
      <w:tr w:rsidR="00590065" w:rsidRPr="00F06D38" w14:paraId="0421DD5B" w14:textId="77777777" w:rsidTr="004A1E19">
        <w:trPr>
          <w:trHeight w:val="319"/>
        </w:trPr>
        <w:tc>
          <w:tcPr>
            <w:tcW w:w="4968" w:type="dxa"/>
            <w:tcBorders>
              <w:top w:val="single" w:sz="4" w:space="0" w:color="BDD6EE" w:themeColor="accent5" w:themeTint="66"/>
              <w:bottom w:val="single" w:sz="4" w:space="0" w:color="BDD6EE" w:themeColor="accent5" w:themeTint="66"/>
              <w:right w:val="nil"/>
            </w:tcBorders>
            <w:shd w:val="clear" w:color="000000" w:fill="FFFFFF"/>
            <w:vAlign w:val="center"/>
          </w:tcPr>
          <w:p w14:paraId="2F80DE2E" w14:textId="44A043DA" w:rsidR="00590065" w:rsidRPr="005D5791" w:rsidRDefault="0076596D" w:rsidP="00A6247C">
            <w:pPr>
              <w:keepNext/>
              <w:keepLines/>
              <w:spacing w:after="0" w:line="240" w:lineRule="auto"/>
              <w:rPr>
                <w:rFonts w:ascii="Open Sans Light" w:eastAsia="Times New Roman" w:hAnsi="Open Sans Light" w:cs="Open Sans Light"/>
                <w:i/>
                <w:color w:val="000000"/>
                <w:sz w:val="16"/>
                <w:szCs w:val="16"/>
                <w:lang w:eastAsia="en-AU"/>
              </w:rPr>
            </w:pPr>
            <w:r w:rsidRPr="005D5791">
              <w:rPr>
                <w:rFonts w:ascii="Open Sans Light" w:eastAsia="Times New Roman" w:hAnsi="Open Sans Light" w:cs="Open Sans Light"/>
                <w:i/>
                <w:color w:val="000000"/>
                <w:sz w:val="16"/>
                <w:szCs w:val="16"/>
                <w:lang w:eastAsia="en-AU"/>
              </w:rPr>
              <w:t xml:space="preserve">Adjusted </w:t>
            </w:r>
            <w:r w:rsidR="00590065" w:rsidRPr="005D5791">
              <w:rPr>
                <w:rFonts w:ascii="Open Sans Light" w:eastAsia="Times New Roman" w:hAnsi="Open Sans Light" w:cs="Open Sans Light"/>
                <w:i/>
                <w:color w:val="000000"/>
                <w:sz w:val="16"/>
                <w:szCs w:val="16"/>
                <w:lang w:eastAsia="en-AU"/>
              </w:rPr>
              <w:t>R-squared</w:t>
            </w:r>
          </w:p>
        </w:tc>
        <w:tc>
          <w:tcPr>
            <w:tcW w:w="2006" w:type="dxa"/>
            <w:tcBorders>
              <w:top w:val="single" w:sz="4" w:space="0" w:color="ADD6EA"/>
              <w:left w:val="nil"/>
              <w:bottom w:val="single" w:sz="4" w:space="0" w:color="ADD6EA"/>
              <w:right w:val="nil"/>
            </w:tcBorders>
            <w:shd w:val="clear" w:color="000000" w:fill="FFFFFF"/>
            <w:vAlign w:val="center"/>
          </w:tcPr>
          <w:p w14:paraId="7DD857BC" w14:textId="433EB5A1" w:rsidR="00590065" w:rsidRPr="005D5791" w:rsidRDefault="00C873E5" w:rsidP="00A6247C">
            <w:pPr>
              <w:keepNext/>
              <w:keepLines/>
              <w:spacing w:after="0" w:line="240" w:lineRule="auto"/>
              <w:jc w:val="right"/>
              <w:rPr>
                <w:rFonts w:ascii="Open Sans Light" w:eastAsia="Times New Roman" w:hAnsi="Open Sans Light" w:cs="Open Sans Light"/>
                <w:i/>
                <w:color w:val="000000"/>
                <w:sz w:val="16"/>
                <w:szCs w:val="16"/>
                <w:lang w:eastAsia="en-AU"/>
              </w:rPr>
            </w:pPr>
            <w:r w:rsidRPr="005D5791">
              <w:rPr>
                <w:rFonts w:ascii="Open Sans Light" w:eastAsia="Times New Roman" w:hAnsi="Open Sans Light" w:cs="Open Sans Light"/>
                <w:i/>
                <w:color w:val="000000"/>
                <w:sz w:val="16"/>
                <w:szCs w:val="16"/>
                <w:lang w:eastAsia="en-AU"/>
              </w:rPr>
              <w:t>0.7774</w:t>
            </w:r>
          </w:p>
        </w:tc>
        <w:tc>
          <w:tcPr>
            <w:tcW w:w="2006" w:type="dxa"/>
            <w:tcBorders>
              <w:top w:val="single" w:sz="4" w:space="0" w:color="ADD6EA"/>
              <w:left w:val="nil"/>
              <w:bottom w:val="single" w:sz="4" w:space="0" w:color="ADD6EA"/>
              <w:right w:val="nil"/>
            </w:tcBorders>
            <w:shd w:val="clear" w:color="000000" w:fill="FFFFFF"/>
            <w:vAlign w:val="center"/>
          </w:tcPr>
          <w:p w14:paraId="6FAABD02" w14:textId="3B912699" w:rsidR="00590065" w:rsidRPr="005D5791" w:rsidRDefault="00F20B1D" w:rsidP="00A6247C">
            <w:pPr>
              <w:keepNext/>
              <w:keepLines/>
              <w:spacing w:after="0" w:line="240" w:lineRule="auto"/>
              <w:jc w:val="right"/>
              <w:rPr>
                <w:rFonts w:ascii="Open Sans Light" w:eastAsia="Times New Roman" w:hAnsi="Open Sans Light" w:cs="Open Sans Light"/>
                <w:i/>
                <w:color w:val="000000"/>
                <w:sz w:val="16"/>
                <w:szCs w:val="16"/>
                <w:lang w:eastAsia="en-AU"/>
              </w:rPr>
            </w:pPr>
            <w:r w:rsidRPr="005D5791">
              <w:rPr>
                <w:rFonts w:ascii="Open Sans Light" w:eastAsia="Times New Roman" w:hAnsi="Open Sans Light" w:cs="Open Sans Light"/>
                <w:i/>
                <w:color w:val="000000"/>
                <w:sz w:val="16"/>
                <w:szCs w:val="16"/>
                <w:lang w:eastAsia="en-AU"/>
              </w:rPr>
              <w:t>0.463</w:t>
            </w:r>
            <w:r w:rsidR="00506886" w:rsidRPr="005D5791">
              <w:rPr>
                <w:rFonts w:ascii="Open Sans Light" w:eastAsia="Times New Roman" w:hAnsi="Open Sans Light" w:cs="Open Sans Light"/>
                <w:i/>
                <w:color w:val="000000"/>
                <w:sz w:val="16"/>
                <w:szCs w:val="16"/>
                <w:lang w:eastAsia="en-AU"/>
              </w:rPr>
              <w:t>0</w:t>
            </w:r>
          </w:p>
        </w:tc>
      </w:tr>
      <w:tr w:rsidR="0076596D" w:rsidRPr="00F06D38" w14:paraId="041FF8CA" w14:textId="77777777" w:rsidTr="004A1E19">
        <w:trPr>
          <w:trHeight w:val="319"/>
        </w:trPr>
        <w:tc>
          <w:tcPr>
            <w:tcW w:w="4968" w:type="dxa"/>
            <w:tcBorders>
              <w:top w:val="single" w:sz="4" w:space="0" w:color="BDD6EE" w:themeColor="accent5" w:themeTint="66"/>
              <w:bottom w:val="single" w:sz="4" w:space="0" w:color="BDD6EE" w:themeColor="accent5" w:themeTint="66"/>
              <w:right w:val="nil"/>
            </w:tcBorders>
            <w:shd w:val="clear" w:color="000000" w:fill="FFFFFF"/>
            <w:vAlign w:val="center"/>
          </w:tcPr>
          <w:p w14:paraId="51181E28" w14:textId="65D6D6E5" w:rsidR="0076596D" w:rsidRPr="005D5791" w:rsidRDefault="0076596D" w:rsidP="00A6247C">
            <w:pPr>
              <w:keepNext/>
              <w:keepLines/>
              <w:spacing w:after="0" w:line="240" w:lineRule="auto"/>
              <w:rPr>
                <w:rFonts w:ascii="Open Sans Light" w:eastAsia="Times New Roman" w:hAnsi="Open Sans Light" w:cs="Open Sans Light"/>
                <w:i/>
                <w:color w:val="000000"/>
                <w:sz w:val="16"/>
                <w:szCs w:val="16"/>
                <w:lang w:eastAsia="en-AU"/>
              </w:rPr>
            </w:pPr>
            <w:r w:rsidRPr="005D5791">
              <w:rPr>
                <w:rFonts w:ascii="Open Sans Light" w:eastAsia="Times New Roman" w:hAnsi="Open Sans Light" w:cs="Open Sans Light"/>
                <w:i/>
                <w:color w:val="000000"/>
                <w:sz w:val="16"/>
                <w:szCs w:val="16"/>
                <w:lang w:eastAsia="en-AU"/>
              </w:rPr>
              <w:t>Residual standard error</w:t>
            </w:r>
          </w:p>
        </w:tc>
        <w:tc>
          <w:tcPr>
            <w:tcW w:w="2006" w:type="dxa"/>
            <w:tcBorders>
              <w:top w:val="single" w:sz="4" w:space="0" w:color="ADD6EA"/>
              <w:left w:val="nil"/>
              <w:bottom w:val="single" w:sz="4" w:space="0" w:color="ADD6EA"/>
              <w:right w:val="nil"/>
            </w:tcBorders>
            <w:shd w:val="clear" w:color="000000" w:fill="FFFFFF"/>
            <w:vAlign w:val="center"/>
          </w:tcPr>
          <w:p w14:paraId="2549B48E" w14:textId="4FB9CDBA" w:rsidR="0076596D" w:rsidRPr="005D5791" w:rsidRDefault="00C873E5" w:rsidP="00A6247C">
            <w:pPr>
              <w:keepNext/>
              <w:keepLines/>
              <w:spacing w:after="0" w:line="240" w:lineRule="auto"/>
              <w:jc w:val="right"/>
              <w:rPr>
                <w:rFonts w:ascii="Open Sans Light" w:eastAsia="Times New Roman" w:hAnsi="Open Sans Light" w:cs="Open Sans Light"/>
                <w:i/>
                <w:color w:val="000000"/>
                <w:sz w:val="16"/>
                <w:szCs w:val="16"/>
                <w:lang w:eastAsia="en-AU"/>
              </w:rPr>
            </w:pPr>
            <w:r w:rsidRPr="005D5791">
              <w:rPr>
                <w:rFonts w:ascii="Open Sans Light" w:eastAsia="Times New Roman" w:hAnsi="Open Sans Light" w:cs="Open Sans Light"/>
                <w:i/>
                <w:color w:val="000000"/>
                <w:sz w:val="16"/>
                <w:szCs w:val="16"/>
                <w:lang w:eastAsia="en-AU"/>
              </w:rPr>
              <w:t>78.07</w:t>
            </w:r>
          </w:p>
        </w:tc>
        <w:tc>
          <w:tcPr>
            <w:tcW w:w="2006" w:type="dxa"/>
            <w:tcBorders>
              <w:top w:val="single" w:sz="4" w:space="0" w:color="ADD6EA"/>
              <w:left w:val="nil"/>
              <w:bottom w:val="single" w:sz="4" w:space="0" w:color="ADD6EA"/>
              <w:right w:val="nil"/>
            </w:tcBorders>
            <w:shd w:val="clear" w:color="000000" w:fill="FFFFFF"/>
            <w:vAlign w:val="center"/>
          </w:tcPr>
          <w:p w14:paraId="17A08521" w14:textId="5C1FA3EE" w:rsidR="0076596D" w:rsidRPr="005D5791" w:rsidRDefault="00506886" w:rsidP="00A6247C">
            <w:pPr>
              <w:keepNext/>
              <w:keepLines/>
              <w:spacing w:after="0" w:line="240" w:lineRule="auto"/>
              <w:jc w:val="right"/>
              <w:rPr>
                <w:rFonts w:ascii="Open Sans Light" w:eastAsia="Times New Roman" w:hAnsi="Open Sans Light" w:cs="Open Sans Light"/>
                <w:i/>
                <w:color w:val="000000"/>
                <w:sz w:val="16"/>
                <w:szCs w:val="16"/>
                <w:lang w:eastAsia="en-AU"/>
              </w:rPr>
            </w:pPr>
            <w:r w:rsidRPr="005D5791">
              <w:rPr>
                <w:rFonts w:ascii="Open Sans Light" w:eastAsia="Times New Roman" w:hAnsi="Open Sans Light" w:cs="Open Sans Light"/>
                <w:i/>
                <w:color w:val="000000"/>
                <w:sz w:val="16"/>
                <w:szCs w:val="16"/>
                <w:lang w:eastAsia="en-AU"/>
              </w:rPr>
              <w:t>140.9</w:t>
            </w:r>
          </w:p>
        </w:tc>
      </w:tr>
    </w:tbl>
    <w:p w14:paraId="1C061A61" w14:textId="254C694D" w:rsidR="00CE360F" w:rsidRPr="00EE2EA7" w:rsidRDefault="003972FA" w:rsidP="00332B5D">
      <w:pPr>
        <w:pStyle w:val="CGCParaNumber"/>
        <w:keepNext/>
        <w:keepLines/>
      </w:pPr>
      <w:r w:rsidRPr="00EE2EA7">
        <w:t xml:space="preserve">Given the </w:t>
      </w:r>
      <w:r w:rsidR="00885B02" w:rsidRPr="00EE2EA7">
        <w:t xml:space="preserve">Commission’s concerns about </w:t>
      </w:r>
      <w:r w:rsidRPr="00EE2EA7">
        <w:t>the comparability of</w:t>
      </w:r>
      <w:r w:rsidR="00CD697F" w:rsidRPr="00EE2EA7">
        <w:t xml:space="preserve"> state</w:t>
      </w:r>
      <w:r w:rsidRPr="00EE2EA7">
        <w:t xml:space="preserve"> data</w:t>
      </w:r>
      <w:r w:rsidR="00885B02" w:rsidRPr="00EE2EA7">
        <w:t xml:space="preserve"> for 2023</w:t>
      </w:r>
      <w:r w:rsidR="00D873B5">
        <w:t>–</w:t>
      </w:r>
      <w:r w:rsidR="00885B02" w:rsidRPr="00EE2EA7">
        <w:t>24</w:t>
      </w:r>
      <w:r w:rsidRPr="00EE2EA7">
        <w:t xml:space="preserve">, </w:t>
      </w:r>
      <w:r w:rsidR="00C2476A" w:rsidRPr="00EE2EA7">
        <w:t xml:space="preserve">the </w:t>
      </w:r>
      <w:r w:rsidR="00514C02" w:rsidRPr="00EE2EA7">
        <w:t>C</w:t>
      </w:r>
      <w:r w:rsidR="00C2476A" w:rsidRPr="00EE2EA7">
        <w:t>ommission does not consider the data</w:t>
      </w:r>
      <w:r w:rsidR="00FD30BA" w:rsidRPr="00EE2EA7">
        <w:t xml:space="preserve"> suitable for use in</w:t>
      </w:r>
      <w:r w:rsidR="00CD697F" w:rsidRPr="00EE2EA7">
        <w:t xml:space="preserve"> re-estimating</w:t>
      </w:r>
      <w:r w:rsidR="00FD30BA" w:rsidRPr="00EE2EA7">
        <w:t xml:space="preserve"> the regression model.</w:t>
      </w:r>
      <w:r w:rsidR="00543B4E" w:rsidRPr="00EE2EA7">
        <w:t xml:space="preserve"> </w:t>
      </w:r>
    </w:p>
    <w:p w14:paraId="56988217" w14:textId="60ACBEBC" w:rsidR="00212CED" w:rsidRPr="00EE2EA7" w:rsidRDefault="00BA674E" w:rsidP="00005AA3">
      <w:pPr>
        <w:pStyle w:val="CGCParaNumber"/>
        <w:keepNext/>
        <w:keepLines/>
      </w:pPr>
      <w:r w:rsidRPr="00EE2EA7">
        <w:t>The Commission will continue to investigate the cause of the variation in 2023</w:t>
      </w:r>
      <w:r w:rsidR="00D873B5">
        <w:t>–</w:t>
      </w:r>
      <w:r w:rsidRPr="00EE2EA7">
        <w:t xml:space="preserve">24 state data and propose this issue be referred to the Data Working Group for further consideration. </w:t>
      </w:r>
    </w:p>
    <w:p w14:paraId="0D231E6C" w14:textId="6781AC45" w:rsidR="003972FA" w:rsidRPr="00EE2EA7" w:rsidRDefault="00203DA8" w:rsidP="00D401FF">
      <w:pPr>
        <w:pStyle w:val="CGCParaNumber"/>
      </w:pPr>
      <w:r w:rsidRPr="00EE2EA7">
        <w:t xml:space="preserve">The Commission notes that </w:t>
      </w:r>
      <w:r w:rsidR="00852984" w:rsidRPr="00EE2EA7">
        <w:t>i</w:t>
      </w:r>
      <w:r w:rsidR="00CE360F" w:rsidRPr="00EE2EA7">
        <w:t>n the 2025 Review</w:t>
      </w:r>
      <w:r w:rsidR="00783618" w:rsidRPr="00EE2EA7">
        <w:t xml:space="preserve"> it committed</w:t>
      </w:r>
      <w:r w:rsidR="00CE360F" w:rsidRPr="00EE2EA7">
        <w:t xml:space="preserve"> to</w:t>
      </w:r>
      <w:r w:rsidR="00A5199A" w:rsidRPr="00EE2EA7">
        <w:t xml:space="preserve"> </w:t>
      </w:r>
      <w:r w:rsidR="0083131E" w:rsidRPr="00EE2EA7">
        <w:t>monitor</w:t>
      </w:r>
      <w:r w:rsidR="002D01C9" w:rsidRPr="00EE2EA7">
        <w:t xml:space="preserve"> non-urban transport </w:t>
      </w:r>
      <w:r w:rsidR="00A5199A" w:rsidRPr="00EE2EA7">
        <w:t xml:space="preserve">assessment including </w:t>
      </w:r>
      <w:r w:rsidR="00721385" w:rsidRPr="00EE2EA7">
        <w:t xml:space="preserve">remote school transport. </w:t>
      </w:r>
      <w:r w:rsidR="00B80F53" w:rsidRPr="00EE2EA7">
        <w:t>In addition</w:t>
      </w:r>
      <w:r w:rsidR="007768E0" w:rsidRPr="00EE2EA7">
        <w:t>,</w:t>
      </w:r>
      <w:r w:rsidR="00B80F53" w:rsidRPr="00EE2EA7">
        <w:t xml:space="preserve"> a</w:t>
      </w:r>
      <w:r w:rsidR="00D70C5C" w:rsidRPr="00EE2EA7">
        <w:t xml:space="preserve">n external review of </w:t>
      </w:r>
      <w:r w:rsidR="00D03FF2" w:rsidRPr="00EE2EA7">
        <w:t xml:space="preserve">the urban transport assessment </w:t>
      </w:r>
      <w:r w:rsidR="00B80F53" w:rsidRPr="00EE2EA7">
        <w:t>is included in the Commission’s</w:t>
      </w:r>
      <w:r w:rsidR="00332B5D" w:rsidRPr="00EE2EA7">
        <w:t xml:space="preserve"> Forward</w:t>
      </w:r>
      <w:r w:rsidR="0053422D" w:rsidRPr="00EE2EA7">
        <w:t xml:space="preserve"> Work Program.</w:t>
      </w:r>
    </w:p>
    <w:p w14:paraId="775B1B57" w14:textId="77C73BA5" w:rsidR="00F5127E" w:rsidRDefault="00F5127E" w:rsidP="00F5127E">
      <w:pPr>
        <w:pStyle w:val="Heading3"/>
        <w:keepNext/>
      </w:pPr>
      <w:r w:rsidRPr="0007767D">
        <w:lastRenderedPageBreak/>
        <w:t>Preliminary</w:t>
      </w:r>
      <w:r>
        <w:t xml:space="preserve"> view</w:t>
      </w:r>
    </w:p>
    <w:p w14:paraId="7C134194" w14:textId="0EB4E1DC" w:rsidR="00F5127E" w:rsidRPr="00F5127E" w:rsidRDefault="00F5127E" w:rsidP="00F5127E">
      <w:r>
        <w:rPr>
          <w:noProof/>
        </w:rPr>
        <mc:AlternateContent>
          <mc:Choice Requires="wps">
            <w:drawing>
              <wp:inline distT="0" distB="0" distL="114300" distR="114300" wp14:anchorId="4C496BD8" wp14:editId="6339D585">
                <wp:extent cx="5731510" cy="876300"/>
                <wp:effectExtent l="0" t="0" r="2540" b="0"/>
                <wp:docPr id="816508414" name="Rectangle 8165084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876300"/>
                        </a:xfrm>
                        <a:prstGeom prst="rect">
                          <a:avLst/>
                        </a:prstGeom>
                        <a:solidFill>
                          <a:srgbClr val="E5F8FF"/>
                        </a:solidFill>
                        <a:ln w="25400" cap="flat" cmpd="sng" algn="ctr">
                          <a:noFill/>
                          <a:prstDash val="solid"/>
                        </a:ln>
                        <a:effectLst/>
                      </wps:spPr>
                      <wps:txbx>
                        <w:txbxContent>
                          <w:p w14:paraId="6D2494F3" w14:textId="2DF66DE7" w:rsidR="00FD30BA" w:rsidRDefault="00FD30BA" w:rsidP="00FD30BA">
                            <w:pPr>
                              <w:pStyle w:val="CGCBullet1"/>
                              <w:numPr>
                                <w:ilvl w:val="0"/>
                                <w:numId w:val="0"/>
                              </w:numPr>
                              <w:ind w:left="142"/>
                            </w:pPr>
                            <w:r w:rsidRPr="005063AB">
                              <w:t xml:space="preserve">The </w:t>
                            </w:r>
                            <w:r>
                              <w:t xml:space="preserve">Commission’s preliminary view is to retain the 2025 </w:t>
                            </w:r>
                            <w:r w:rsidR="000257EA">
                              <w:t xml:space="preserve">Review </w:t>
                            </w:r>
                            <w:r w:rsidR="00CD697F">
                              <w:t>regression model</w:t>
                            </w:r>
                            <w:r w:rsidR="000257EA">
                              <w:t xml:space="preserve"> </w:t>
                            </w:r>
                            <w:r w:rsidR="008267A0">
                              <w:t xml:space="preserve">coefficients </w:t>
                            </w:r>
                            <w:r w:rsidR="000257EA">
                              <w:t>for use in the urban transport assessment</w:t>
                            </w:r>
                            <w:r w:rsidR="007F56E0">
                              <w:t xml:space="preserve"> because the 2023</w:t>
                            </w:r>
                            <w:r w:rsidR="00F959EE">
                              <w:t>–</w:t>
                            </w:r>
                            <w:r w:rsidR="007F56E0">
                              <w:t xml:space="preserve">24 data </w:t>
                            </w:r>
                            <w:r w:rsidR="00161C5C">
                              <w:t>do</w:t>
                            </w:r>
                            <w:r w:rsidR="007F56E0">
                              <w:t xml:space="preserve"> not </w:t>
                            </w:r>
                            <w:r w:rsidR="00161C5C">
                              <w:t>appear to be</w:t>
                            </w:r>
                            <w:r w:rsidR="007F56E0">
                              <w:t xml:space="preserve"> </w:t>
                            </w:r>
                            <w:r w:rsidR="009C1784">
                              <w:t>comparable</w:t>
                            </w:r>
                            <w:r w:rsidR="00161C5C">
                              <w:t xml:space="preserve"> </w:t>
                            </w:r>
                            <w:r w:rsidR="00161C5C" w:rsidRPr="00EE2EA7">
                              <w:t>between states</w:t>
                            </w:r>
                            <w:r w:rsidRPr="00EE2EA7">
                              <w:t>.</w:t>
                            </w:r>
                            <w:r w:rsidR="00A26AD7" w:rsidRPr="00EE2EA7">
                              <w:t xml:space="preserve"> The Commission will continue to investigate the cause of the variation, including through the Data Working Group.</w:t>
                            </w:r>
                          </w:p>
                          <w:p w14:paraId="3E138F4C" w14:textId="77777777" w:rsidR="00495F5E" w:rsidRPr="00EF13FC" w:rsidRDefault="00495F5E" w:rsidP="00FD30BA">
                            <w:pPr>
                              <w:pStyle w:val="CGCBullet1"/>
                              <w:numPr>
                                <w:ilvl w:val="0"/>
                                <w:numId w:val="0"/>
                              </w:numPr>
                              <w:ind w:left="142"/>
                            </w:pPr>
                          </w:p>
                          <w:p w14:paraId="018814CF" w14:textId="73F0C26C" w:rsidR="00F5127E" w:rsidRPr="00EF13FC" w:rsidRDefault="00F5127E" w:rsidP="00F5127E">
                            <w:pPr>
                              <w:pStyle w:val="CGCBullet1"/>
                              <w:numPr>
                                <w:ilvl w:val="0"/>
                                <w:numId w:val="0"/>
                              </w:numPr>
                              <w:ind w:left="14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496BD8" id="Rectangle 816508414" o:spid="_x0000_s1030" alt="&quot;&quot;" style="width:451.3pt;height: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" fillcolor="#e5f8ff" stroked="f" strokeweight="2pt">
                <v:textbox>
                  <w:txbxContent>
                    <w:p w14:paraId="6D2494F3" w14:textId="2DF66DE7" w:rsidR="00FD30BA" w:rsidRDefault="00FD30BA" w:rsidP="00FD30BA">
                      <w:pPr>
                        <w:pStyle w:val="CGCBullet1"/>
                        <w:numPr>
                          <w:ilvl w:val="0"/>
                          <w:numId w:val="0"/>
                        </w:numPr>
                        <w:ind w:left="142"/>
                      </w:pPr>
                      <w:r w:rsidRPr="005063AB">
                        <w:t xml:space="preserve">The </w:t>
                      </w:r>
                      <w:r>
                        <w:t xml:space="preserve">Commission’s preliminary view is to retain the 2025 </w:t>
                      </w:r>
                      <w:r w:rsidR="000257EA">
                        <w:t xml:space="preserve">Review </w:t>
                      </w:r>
                      <w:r w:rsidR="00CD697F">
                        <w:t>regression model</w:t>
                      </w:r>
                      <w:r w:rsidR="000257EA">
                        <w:t xml:space="preserve"> </w:t>
                      </w:r>
                      <w:r w:rsidR="008267A0">
                        <w:t xml:space="preserve">coefficients </w:t>
                      </w:r>
                      <w:r w:rsidR="000257EA">
                        <w:t>for use in the urban transport assessment</w:t>
                      </w:r>
                      <w:r w:rsidR="007F56E0">
                        <w:t xml:space="preserve"> because the 2023</w:t>
                      </w:r>
                      <w:r w:rsidR="00F959EE">
                        <w:t>–</w:t>
                      </w:r>
                      <w:r w:rsidR="007F56E0">
                        <w:t xml:space="preserve">24 data </w:t>
                      </w:r>
                      <w:r w:rsidR="00161C5C">
                        <w:t>do</w:t>
                      </w:r>
                      <w:r w:rsidR="007F56E0">
                        <w:t xml:space="preserve"> not </w:t>
                      </w:r>
                      <w:r w:rsidR="00161C5C">
                        <w:t>appear to be</w:t>
                      </w:r>
                      <w:r w:rsidR="007F56E0">
                        <w:t xml:space="preserve"> </w:t>
                      </w:r>
                      <w:r w:rsidR="009C1784">
                        <w:t>comparable</w:t>
                      </w:r>
                      <w:r w:rsidR="00161C5C">
                        <w:t xml:space="preserve"> </w:t>
                      </w:r>
                      <w:r w:rsidR="00161C5C" w:rsidRPr="00EE2EA7">
                        <w:t>between states</w:t>
                      </w:r>
                      <w:r w:rsidRPr="00EE2EA7">
                        <w:t>.</w:t>
                      </w:r>
                      <w:r w:rsidR="00A26AD7" w:rsidRPr="00EE2EA7">
                        <w:t xml:space="preserve"> The Commission will continue to investigate the cause of the variation, including through the Data Working Group.</w:t>
                      </w:r>
                    </w:p>
                    <w:p w14:paraId="3E138F4C" w14:textId="77777777" w:rsidR="00495F5E" w:rsidRPr="00EF13FC" w:rsidRDefault="00495F5E" w:rsidP="00FD30BA">
                      <w:pPr>
                        <w:pStyle w:val="CGCBullet1"/>
                        <w:numPr>
                          <w:ilvl w:val="0"/>
                          <w:numId w:val="0"/>
                        </w:numPr>
                        <w:ind w:left="142"/>
                      </w:pPr>
                    </w:p>
                    <w:p w14:paraId="018814CF" w14:textId="73F0C26C" w:rsidR="00F5127E" w:rsidRPr="00EF13FC" w:rsidRDefault="00F5127E" w:rsidP="00F5127E">
                      <w:pPr>
                        <w:pStyle w:val="CGCBullet1"/>
                        <w:numPr>
                          <w:ilvl w:val="0"/>
                          <w:numId w:val="0"/>
                        </w:numPr>
                        <w:ind w:left="142"/>
                      </w:pPr>
                    </w:p>
                  </w:txbxContent>
                </v:textbox>
                <w10:anchorlock/>
              </v:rect>
            </w:pict>
          </mc:Fallback>
        </mc:AlternateContent>
      </w:r>
    </w:p>
    <w:p w14:paraId="35DE5376" w14:textId="12811BC1" w:rsidR="00DB01BB" w:rsidRDefault="00DB01BB" w:rsidP="00DB01BB">
      <w:pPr>
        <w:pStyle w:val="Heading1"/>
        <w:keepNext/>
      </w:pPr>
      <w:r>
        <w:t>Assessment issue</w:t>
      </w:r>
    </w:p>
    <w:p w14:paraId="2D34951C" w14:textId="77777777" w:rsidR="00DB01BB" w:rsidRPr="00F529B0" w:rsidRDefault="00DB01BB" w:rsidP="00934675">
      <w:pPr>
        <w:pStyle w:val="Heading2"/>
      </w:pPr>
      <w:r w:rsidRPr="00F529B0">
        <w:t xml:space="preserve">Schools </w:t>
      </w:r>
      <w:r w:rsidRPr="009775BF">
        <w:t xml:space="preserve">– </w:t>
      </w:r>
      <w:r w:rsidRPr="00F529B0">
        <w:t xml:space="preserve">Better and Fairer Schools Agreement </w:t>
      </w:r>
    </w:p>
    <w:p w14:paraId="55491256" w14:textId="6CD39C7F" w:rsidR="00DB01BB" w:rsidRDefault="00DB01BB" w:rsidP="00DB01BB">
      <w:pPr>
        <w:pStyle w:val="CGCParaNumber"/>
      </w:pPr>
      <w:bookmarkStart w:id="3" w:name="_Ref207794371"/>
      <w:r>
        <w:t xml:space="preserve">The </w:t>
      </w:r>
      <w:r w:rsidRPr="6819DC36">
        <w:rPr>
          <w:i/>
          <w:iCs/>
        </w:rPr>
        <w:t xml:space="preserve">Better and Fairer Schools Agreement 2025 </w:t>
      </w:r>
      <w:r>
        <w:t xml:space="preserve">(BFSA) commenced on 1 January 2025, replacing the </w:t>
      </w:r>
      <w:r w:rsidRPr="6819DC36">
        <w:rPr>
          <w:i/>
          <w:iCs/>
        </w:rPr>
        <w:t>National Schools Reform Agreement</w:t>
      </w:r>
      <w:r>
        <w:t>. The supplementary terms of reference for the 2025 Review directed the Commission on the treatment of this paymen</w:t>
      </w:r>
      <w:r w:rsidR="46A3CCE1">
        <w:t xml:space="preserve">t </w:t>
      </w:r>
      <w:r w:rsidR="008922B1">
        <w:t>(outlined below)</w:t>
      </w:r>
      <w:r>
        <w:t>. The Commission needs to decide how to implement those directions.</w:t>
      </w:r>
      <w:bookmarkEnd w:id="3"/>
    </w:p>
    <w:p w14:paraId="6F514BCD" w14:textId="77777777" w:rsidR="00DB01BB" w:rsidRDefault="00DB01BB" w:rsidP="00DB01BB">
      <w:pPr>
        <w:pStyle w:val="Heading3"/>
      </w:pPr>
      <w:r w:rsidRPr="000446C2">
        <w:t>Background</w:t>
      </w:r>
      <w:r>
        <w:t xml:space="preserve"> </w:t>
      </w:r>
    </w:p>
    <w:p w14:paraId="1CD5DA28" w14:textId="77777777" w:rsidR="00DB01BB" w:rsidRPr="0057685E" w:rsidRDefault="00DB01BB" w:rsidP="00DB01BB">
      <w:pPr>
        <w:pStyle w:val="CGCParaNumber"/>
      </w:pPr>
      <w:r w:rsidRPr="0057685E">
        <w:t xml:space="preserve">Since the 2015 Review, the Commission has </w:t>
      </w:r>
      <w:r>
        <w:t xml:space="preserve">used </w:t>
      </w:r>
      <w:r w:rsidRPr="0057685E">
        <w:t xml:space="preserve">the </w:t>
      </w:r>
      <w:r>
        <w:t xml:space="preserve">Commonwealth </w:t>
      </w:r>
      <w:r w:rsidRPr="0057685E">
        <w:t xml:space="preserve">Department of Education’s </w:t>
      </w:r>
      <w:r w:rsidRPr="0057685E">
        <w:rPr>
          <w:i/>
          <w:iCs/>
        </w:rPr>
        <w:t xml:space="preserve">Schooling Resource Standard </w:t>
      </w:r>
      <w:r w:rsidRPr="007E6BE6">
        <w:t>(SRS)</w:t>
      </w:r>
      <w:r>
        <w:t xml:space="preserve"> to assess the Commonwealth funded component of government school expenses.</w:t>
      </w:r>
      <w:r w:rsidRPr="0057685E">
        <w:t xml:space="preserve"> </w:t>
      </w:r>
      <w:r>
        <w:t>The SRS</w:t>
      </w:r>
      <w:r w:rsidRPr="0057685E">
        <w:t xml:space="preserve"> measures the total funding needs of each state and accounts for student </w:t>
      </w:r>
      <w:r>
        <w:t xml:space="preserve">educational </w:t>
      </w:r>
      <w:r w:rsidRPr="0057685E">
        <w:t xml:space="preserve">disadvantage. </w:t>
      </w:r>
    </w:p>
    <w:p w14:paraId="531EEC8C" w14:textId="77777777" w:rsidR="00DB01BB" w:rsidRDefault="00DB01BB" w:rsidP="00DB01BB">
      <w:pPr>
        <w:pStyle w:val="CGCParaNumber"/>
      </w:pPr>
      <w:r w:rsidRPr="0057685E">
        <w:t xml:space="preserve">In line with </w:t>
      </w:r>
      <w:r>
        <w:t>the</w:t>
      </w:r>
      <w:r w:rsidRPr="0057685E" w:rsidDel="00F46279">
        <w:t xml:space="preserve"> </w:t>
      </w:r>
      <w:r>
        <w:t xml:space="preserve">2015 Review (and subsequent) </w:t>
      </w:r>
      <w:r w:rsidRPr="0057685E">
        <w:t>terms of reference, the Commission:</w:t>
      </w:r>
    </w:p>
    <w:p w14:paraId="7CA1DAB4" w14:textId="77777777" w:rsidR="00DB01BB" w:rsidRPr="00DB01BB" w:rsidRDefault="00DB01BB" w:rsidP="00DB01BB">
      <w:pPr>
        <w:pStyle w:val="CGCBullet1"/>
      </w:pPr>
      <w:r w:rsidRPr="00DB01BB">
        <w:rPr>
          <w:b/>
          <w:bCs/>
        </w:rPr>
        <w:t>does not</w:t>
      </w:r>
      <w:r w:rsidRPr="00DB01BB">
        <w:t xml:space="preserve"> unwind differences in educational disadvantage captured in the SRS</w:t>
      </w:r>
    </w:p>
    <w:p w14:paraId="68502539" w14:textId="77777777" w:rsidR="00DB01BB" w:rsidRDefault="00DB01BB" w:rsidP="00DB01BB">
      <w:pPr>
        <w:pStyle w:val="CGCBullet1"/>
      </w:pPr>
      <w:r w:rsidRPr="00DB01BB">
        <w:rPr>
          <w:b/>
          <w:bCs/>
        </w:rPr>
        <w:t>does</w:t>
      </w:r>
      <w:r w:rsidRPr="00DB01BB">
        <w:t xml:space="preserve"> unwind differences in the proportion of the SRS each state receives from the Commonwealth.</w:t>
      </w:r>
    </w:p>
    <w:p w14:paraId="7230DB86" w14:textId="77777777" w:rsidR="00DB01BB" w:rsidRPr="00DB01BB" w:rsidRDefault="00DB01BB" w:rsidP="00DB01BB">
      <w:pPr>
        <w:pStyle w:val="CGCParaNumber"/>
      </w:pPr>
      <w:r w:rsidRPr="00DB01BB">
        <w:t>The</w:t>
      </w:r>
      <w:r w:rsidRPr="00DB01BB" w:rsidDel="00BC5ACA">
        <w:t xml:space="preserve"> </w:t>
      </w:r>
      <w:r w:rsidRPr="00DB01BB">
        <w:t>supplementary terms of reference for the 2025 Review stated:</w:t>
      </w:r>
    </w:p>
    <w:p w14:paraId="576299D7" w14:textId="2385A74D" w:rsidR="00DB01BB" w:rsidRDefault="00DB01BB" w:rsidP="007E6BE6">
      <w:pPr>
        <w:pStyle w:val="CGCParaNumber"/>
        <w:numPr>
          <w:ilvl w:val="0"/>
          <w:numId w:val="0"/>
        </w:numPr>
        <w:ind w:left="851" w:right="804"/>
        <w:rPr>
          <w:i/>
          <w:iCs/>
        </w:rPr>
      </w:pPr>
      <w:r w:rsidRPr="00383DAD">
        <w:rPr>
          <w:i/>
          <w:iCs/>
        </w:rPr>
        <w:t>The Commission will ensure that the GST distribution process will not have the effect of unwinding the recognition of educational disadvantage, or the differential funding proportions, embedded in the Better and Fairer Schools Agreement (BFSA) funding arrangements. The Commission will also ensure that no state receives a windfall gain through the GST distribution from non</w:t>
      </w:r>
      <w:r w:rsidR="00EF0ACD">
        <w:rPr>
          <w:i/>
          <w:iCs/>
        </w:rPr>
        <w:noBreakHyphen/>
      </w:r>
      <w:r w:rsidRPr="00383DAD">
        <w:rPr>
          <w:i/>
          <w:iCs/>
        </w:rPr>
        <w:t>participation in BFSA funding arrangements.</w:t>
      </w:r>
    </w:p>
    <w:p w14:paraId="07A164E8" w14:textId="77777777" w:rsidR="00DB01BB" w:rsidRDefault="00DB01BB" w:rsidP="005A2412">
      <w:pPr>
        <w:pStyle w:val="Heading3"/>
        <w:keepNext/>
      </w:pPr>
      <w:r>
        <w:t>Implementing the terms of reference</w:t>
      </w:r>
    </w:p>
    <w:p w14:paraId="55A8D5F2" w14:textId="62C8AD17" w:rsidR="00DB01BB" w:rsidRDefault="00DB01BB" w:rsidP="00DB01BB">
      <w:pPr>
        <w:pStyle w:val="CGCParaNumber"/>
      </w:pPr>
      <w:r>
        <w:t xml:space="preserve">Figure </w:t>
      </w:r>
      <w:r w:rsidR="001E6B34">
        <w:t>2</w:t>
      </w:r>
      <w:r w:rsidRPr="00997D17">
        <w:t xml:space="preserve"> shows</w:t>
      </w:r>
      <w:r w:rsidRPr="0057685E">
        <w:t xml:space="preserve"> the Commonwealth’s agreed share of funding for states that have signed agreements. </w:t>
      </w:r>
    </w:p>
    <w:p w14:paraId="485395E1" w14:textId="6B0FFA02" w:rsidR="00DB01BB" w:rsidRPr="007E6BE6" w:rsidRDefault="00DB01BB" w:rsidP="0054757E">
      <w:pPr>
        <w:pStyle w:val="Caption"/>
        <w:rPr>
          <w:rFonts w:eastAsiaTheme="minorHAnsi" w:cstheme="minorBidi"/>
          <w:b/>
          <w:szCs w:val="22"/>
        </w:rPr>
      </w:pPr>
      <w:bookmarkStart w:id="4" w:name="_Ref207836503"/>
      <w:bookmarkStart w:id="5" w:name="_Ref207978569"/>
      <w:r w:rsidRPr="007E6BE6">
        <w:rPr>
          <w:rFonts w:eastAsiaTheme="minorHAnsi" w:cstheme="minorBidi"/>
          <w:b/>
          <w:szCs w:val="22"/>
        </w:rPr>
        <w:lastRenderedPageBreak/>
        <w:t xml:space="preserve">Figure </w:t>
      </w:r>
      <w:bookmarkEnd w:id="4"/>
      <w:r w:rsidR="001E6B34" w:rsidRPr="007E6BE6">
        <w:rPr>
          <w:rFonts w:eastAsiaTheme="minorHAnsi" w:cstheme="minorBidi"/>
          <w:b/>
          <w:szCs w:val="22"/>
        </w:rPr>
        <w:t>2</w:t>
      </w:r>
      <w:r w:rsidRPr="007E6BE6">
        <w:rPr>
          <w:rFonts w:eastAsiaTheme="minorHAnsi" w:cstheme="minorBidi"/>
          <w:b/>
          <w:szCs w:val="22"/>
        </w:rPr>
        <w:tab/>
        <w:t>Agreed Commonwealth share of government school funding</w:t>
      </w:r>
      <w:bookmarkEnd w:id="5"/>
    </w:p>
    <w:p w14:paraId="49A9A3F7" w14:textId="76AAE916" w:rsidR="00DB01BB" w:rsidRDefault="00B258B6" w:rsidP="00DB01BB">
      <w:pPr>
        <w:pStyle w:val="CGCParaNumber"/>
        <w:numPr>
          <w:ilvl w:val="0"/>
          <w:numId w:val="0"/>
        </w:numPr>
        <w:ind w:left="360" w:hanging="360"/>
      </w:pPr>
      <w:r>
        <w:rPr>
          <w:noProof/>
        </w:rPr>
        <w:drawing>
          <wp:inline distT="0" distB="0" distL="0" distR="0" wp14:anchorId="15BCF41F" wp14:editId="6E3217E3">
            <wp:extent cx="5734373" cy="3599815"/>
            <wp:effectExtent l="0" t="0" r="0" b="635"/>
            <wp:docPr id="288015890" name="Chart 1">
              <a:extLst xmlns:a="http://schemas.openxmlformats.org/drawingml/2006/main">
                <a:ext uri="{FF2B5EF4-FFF2-40B4-BE49-F238E27FC236}">
                  <a16:creationId xmlns:a16="http://schemas.microsoft.com/office/drawing/2014/main" id="{33A29153-04AA-1E61-E120-42E8D1418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389ED0" w14:textId="6FE67C31" w:rsidR="0053357B" w:rsidRDefault="001751C3" w:rsidP="00135B9B">
      <w:pPr>
        <w:pStyle w:val="CGCTablenote"/>
      </w:pPr>
      <w:r w:rsidRPr="00135B9B">
        <w:t xml:space="preserve">Note: </w:t>
      </w:r>
      <w:r w:rsidR="007B03FA" w:rsidRPr="00135B9B">
        <w:t xml:space="preserve">Victoria has not </w:t>
      </w:r>
      <w:r w:rsidR="00066FAB" w:rsidRPr="00135B9B">
        <w:t>signed</w:t>
      </w:r>
      <w:r w:rsidR="009201B4" w:rsidRPr="00135B9B">
        <w:t xml:space="preserve"> a bilateral agreement.</w:t>
      </w:r>
    </w:p>
    <w:p w14:paraId="71FBCC27" w14:textId="00C20956" w:rsidR="00DB01BB" w:rsidRDefault="00DB01BB" w:rsidP="00DB01BB">
      <w:pPr>
        <w:pStyle w:val="CGCParaNumber"/>
      </w:pPr>
      <w:r>
        <w:t>The supplementary terms of reference for the 2025 Review mean the differences in SRS funding proportions should no longer be unwound.</w:t>
      </w:r>
      <w:r w:rsidRPr="000D6245">
        <w:rPr>
          <w:rStyle w:val="FootnoteReference"/>
          <w:vertAlign w:val="superscript"/>
        </w:rPr>
        <w:footnoteReference w:id="5"/>
      </w:r>
      <w:r>
        <w:t xml:space="preserve"> The Commission has 2 options to give effect to the terms of reference requirement</w:t>
      </w:r>
      <w:r w:rsidR="00D83313">
        <w:t>.</w:t>
      </w:r>
    </w:p>
    <w:p w14:paraId="63D3DBF1" w14:textId="77777777" w:rsidR="00DB01BB" w:rsidRDefault="00DB01BB" w:rsidP="00FF7992">
      <w:pPr>
        <w:pStyle w:val="CGCBullet1"/>
      </w:pPr>
      <w:r>
        <w:t>It could exclude the Commonwealth funding for government schools and the associated expenses (the standard ‘no impact’ approach to Commonwealth payments).</w:t>
      </w:r>
    </w:p>
    <w:p w14:paraId="51A99C6B" w14:textId="653C54E2" w:rsidR="00DB01BB" w:rsidRDefault="00DB01BB" w:rsidP="00FF7992">
      <w:pPr>
        <w:pStyle w:val="CGCBullet1"/>
      </w:pPr>
      <w:r>
        <w:t>It could include the Commonwealth funding and assess the associated spending on an actual per capita basis. The Commonwealth funding and the assessed expenses</w:t>
      </w:r>
      <w:r w:rsidRPr="0057685E">
        <w:t xml:space="preserve"> would </w:t>
      </w:r>
      <w:r>
        <w:t>offset each other</w:t>
      </w:r>
      <w:r w:rsidR="00095BCB">
        <w:t>,</w:t>
      </w:r>
      <w:r>
        <w:t xml:space="preserve"> and the payment would have no effect on the distribution of the GST</w:t>
      </w:r>
      <w:r w:rsidRPr="0057685E">
        <w:t>.</w:t>
      </w:r>
      <w:r>
        <w:t xml:space="preserve"> This would have the same effect as the ‘no impact’ approach.</w:t>
      </w:r>
    </w:p>
    <w:p w14:paraId="72E295FA" w14:textId="77777777" w:rsidR="00DB01BB" w:rsidRDefault="00DB01BB" w:rsidP="00DB01BB">
      <w:pPr>
        <w:pStyle w:val="CGCParaNumber"/>
      </w:pPr>
      <w:r>
        <w:t xml:space="preserve">Under the second option the spending could be disaggregated, allowing </w:t>
      </w:r>
      <w:r w:rsidRPr="0057685E">
        <w:t xml:space="preserve">the Commission to clearly identify how it is meeting the </w:t>
      </w:r>
      <w:r>
        <w:t>3</w:t>
      </w:r>
      <w:r w:rsidRPr="0057685E">
        <w:t xml:space="preserve"> requirements</w:t>
      </w:r>
      <w:r>
        <w:t xml:space="preserve"> of the terms of reference:</w:t>
      </w:r>
    </w:p>
    <w:p w14:paraId="79A0813E" w14:textId="77777777" w:rsidR="00DB01BB" w:rsidRPr="0057685E" w:rsidRDefault="00DB01BB" w:rsidP="00FF7992">
      <w:pPr>
        <w:pStyle w:val="CGCBullet1"/>
      </w:pPr>
      <w:r>
        <w:t>r</w:t>
      </w:r>
      <w:r w:rsidRPr="0057685E">
        <w:t>ecognising educational disadvantage (via the SRS)</w:t>
      </w:r>
    </w:p>
    <w:p w14:paraId="1D8B173E" w14:textId="77777777" w:rsidR="00DB01BB" w:rsidRPr="0057685E" w:rsidRDefault="00DB01BB" w:rsidP="00FF7992">
      <w:pPr>
        <w:pStyle w:val="CGCBullet1"/>
      </w:pPr>
      <w:r>
        <w:t>p</w:t>
      </w:r>
      <w:r w:rsidRPr="0057685E">
        <w:t>reserving differential funding proportions</w:t>
      </w:r>
    </w:p>
    <w:p w14:paraId="7C0778C4" w14:textId="77777777" w:rsidR="00DB01BB" w:rsidRPr="0057685E" w:rsidRDefault="00DB01BB" w:rsidP="00FF7992">
      <w:pPr>
        <w:pStyle w:val="CGCBullet1"/>
      </w:pPr>
      <w:r>
        <w:t>p</w:t>
      </w:r>
      <w:r w:rsidRPr="0057685E">
        <w:t>reventing windfall gains.</w:t>
      </w:r>
    </w:p>
    <w:p w14:paraId="45B0EFD6" w14:textId="48C5689F" w:rsidR="00DB01BB" w:rsidRDefault="00DB01BB" w:rsidP="00DB01BB">
      <w:pPr>
        <w:pStyle w:val="CGCParaNumber"/>
      </w:pPr>
      <w:r>
        <w:t xml:space="preserve">However, </w:t>
      </w:r>
      <w:r w:rsidR="00FF2EE8">
        <w:t>these requirements are also met</w:t>
      </w:r>
      <w:r w:rsidR="00821ACB">
        <w:t xml:space="preserve"> under the ‘no impact’ approach</w:t>
      </w:r>
      <w:r w:rsidR="00EF5428">
        <w:t xml:space="preserve"> and </w:t>
      </w:r>
      <w:r w:rsidDel="002E49D8">
        <w:t>t</w:t>
      </w:r>
      <w:r>
        <w:t xml:space="preserve">he second option increases complexity. On practicality grounds, the Commission’s preliminary view is to treat the payment as no impact </w:t>
      </w:r>
      <w:r w:rsidRPr="0057685E">
        <w:t>and</w:t>
      </w:r>
      <w:r w:rsidRPr="0057685E" w:rsidDel="0017089A">
        <w:t xml:space="preserve"> </w:t>
      </w:r>
      <w:r w:rsidRPr="0057685E">
        <w:t>exclud</w:t>
      </w:r>
      <w:r>
        <w:t>e</w:t>
      </w:r>
      <w:r w:rsidRPr="0057685E">
        <w:t xml:space="preserve"> </w:t>
      </w:r>
      <w:r>
        <w:t xml:space="preserve">the BFSA funding and the associated </w:t>
      </w:r>
      <w:r w:rsidRPr="0057685E">
        <w:t xml:space="preserve">spending from </w:t>
      </w:r>
      <w:r>
        <w:t>its assessments</w:t>
      </w:r>
      <w:r w:rsidRPr="0057685E">
        <w:t>.</w:t>
      </w:r>
      <w:r>
        <w:t xml:space="preserve"> The Commission notes this will be a significant amount of funding that will be excluded.</w:t>
      </w:r>
      <w:r w:rsidRPr="00083AFB">
        <w:rPr>
          <w:rStyle w:val="FootnoteReference"/>
          <w:vertAlign w:val="superscript"/>
        </w:rPr>
        <w:footnoteReference w:id="6"/>
      </w:r>
      <w:r>
        <w:t xml:space="preserve"> </w:t>
      </w:r>
    </w:p>
    <w:p w14:paraId="385D78A3" w14:textId="77777777" w:rsidR="00DB01BB" w:rsidRDefault="00DB01BB" w:rsidP="00DB01BB">
      <w:pPr>
        <w:pStyle w:val="Heading3"/>
        <w:keepNext/>
      </w:pPr>
      <w:r>
        <w:lastRenderedPageBreak/>
        <w:t>Transitioning</w:t>
      </w:r>
    </w:p>
    <w:p w14:paraId="74E9E040" w14:textId="7F025DC0" w:rsidR="00DB01BB" w:rsidRDefault="00DB01BB" w:rsidP="00DB01BB">
      <w:pPr>
        <w:pStyle w:val="CGCParaNumber"/>
      </w:pPr>
      <w:r w:rsidRPr="00515F75">
        <w:t xml:space="preserve">The </w:t>
      </w:r>
      <w:r w:rsidRPr="00C174DD">
        <w:t>BFSA</w:t>
      </w:r>
      <w:r w:rsidRPr="00515F75">
        <w:t xml:space="preserve"> began in January 2025. </w:t>
      </w:r>
      <w:r>
        <w:t>Therefore, states received Quality Schools funding in the first half of 2024</w:t>
      </w:r>
      <w:r w:rsidRPr="00515F75">
        <w:t>–</w:t>
      </w:r>
      <w:r>
        <w:t>25, which was replaced by the BFSA funding in the second half of the year.</w:t>
      </w:r>
      <w:r w:rsidRPr="00515F75">
        <w:t xml:space="preserve"> The </w:t>
      </w:r>
      <w:r w:rsidRPr="00515F75" w:rsidDel="00C174DD">
        <w:t>2026</w:t>
      </w:r>
      <w:r>
        <w:t> </w:t>
      </w:r>
      <w:r w:rsidRPr="00515F75">
        <w:t xml:space="preserve">Update </w:t>
      </w:r>
      <w:r>
        <w:t>will be based on data for</w:t>
      </w:r>
      <w:r w:rsidRPr="00515F75">
        <w:t xml:space="preserve"> 2022–23, 2023–24 and </w:t>
      </w:r>
      <w:r w:rsidR="00BB46FC">
        <w:br/>
      </w:r>
      <w:r w:rsidRPr="00515F75">
        <w:t xml:space="preserve">2024–25. </w:t>
      </w:r>
    </w:p>
    <w:p w14:paraId="4B4CEBB0" w14:textId="77777777" w:rsidR="00DB01BB" w:rsidRPr="00515F75" w:rsidRDefault="00DB01BB" w:rsidP="00DB01BB">
      <w:pPr>
        <w:pStyle w:val="CGCParaNumber"/>
      </w:pPr>
      <w:r>
        <w:t xml:space="preserve">The Commission needs to decide how to implement the treatment of the BFSA funding in the assessment years. It has 3 options: </w:t>
      </w:r>
    </w:p>
    <w:p w14:paraId="60FAA344" w14:textId="77777777" w:rsidR="00DB01BB" w:rsidRPr="00DB6423" w:rsidRDefault="00DB01BB" w:rsidP="00421844">
      <w:pPr>
        <w:pStyle w:val="CGCBullet1"/>
      </w:pPr>
      <w:r>
        <w:t>a</w:t>
      </w:r>
      <w:r w:rsidRPr="00DB6423">
        <w:t>pply BFSA treatment</w:t>
      </w:r>
      <w:r>
        <w:t xml:space="preserve"> in </w:t>
      </w:r>
      <w:r w:rsidRPr="00DB6423">
        <w:t xml:space="preserve">all </w:t>
      </w:r>
      <w:r>
        <w:t>3</w:t>
      </w:r>
      <w:r w:rsidRPr="00DB6423">
        <w:t xml:space="preserve"> </w:t>
      </w:r>
      <w:r>
        <w:t xml:space="preserve">assessment </w:t>
      </w:r>
      <w:r w:rsidRPr="00DB6423">
        <w:t>years (</w:t>
      </w:r>
      <w:r>
        <w:t>‘</w:t>
      </w:r>
      <w:proofErr w:type="spellStart"/>
      <w:r w:rsidRPr="00DB6423">
        <w:t>backcas</w:t>
      </w:r>
      <w:r>
        <w:t>ting</w:t>
      </w:r>
      <w:proofErr w:type="spellEnd"/>
      <w:r>
        <w:t>’</w:t>
      </w:r>
      <w:r w:rsidRPr="00DB6423">
        <w:t>)</w:t>
      </w:r>
    </w:p>
    <w:p w14:paraId="0A5649DD" w14:textId="77777777" w:rsidR="00DB01BB" w:rsidRPr="00DB6423" w:rsidRDefault="00DB01BB" w:rsidP="00421844">
      <w:pPr>
        <w:pStyle w:val="CGCBullet1"/>
      </w:pPr>
      <w:r>
        <w:t xml:space="preserve">apply </w:t>
      </w:r>
      <w:r w:rsidRPr="00DB6423">
        <w:t xml:space="preserve">the </w:t>
      </w:r>
      <w:r w:rsidRPr="00DB6423">
        <w:rPr>
          <w:i/>
        </w:rPr>
        <w:t>Quality Schools</w:t>
      </w:r>
      <w:r w:rsidRPr="00DB6423">
        <w:t xml:space="preserve"> treatment </w:t>
      </w:r>
      <w:r>
        <w:t>(unwind the funding proportions) in</w:t>
      </w:r>
      <w:r w:rsidRPr="00DB6423">
        <w:t xml:space="preserve"> 2022–23 and 2023–24, and </w:t>
      </w:r>
      <w:r>
        <w:t xml:space="preserve">apply </w:t>
      </w:r>
      <w:r w:rsidRPr="00DB6423">
        <w:t xml:space="preserve">the BFSA treatment </w:t>
      </w:r>
      <w:r>
        <w:t xml:space="preserve">in </w:t>
      </w:r>
      <w:r w:rsidRPr="00DB6423">
        <w:t>2024–25 (</w:t>
      </w:r>
      <w:r>
        <w:t xml:space="preserve">simple </w:t>
      </w:r>
      <w:r w:rsidRPr="00DB6423">
        <w:t>phasing)</w:t>
      </w:r>
    </w:p>
    <w:p w14:paraId="2B5C54D0" w14:textId="3ED70481" w:rsidR="00DB01BB" w:rsidRPr="00DB6423" w:rsidRDefault="00DB01BB" w:rsidP="00421844">
      <w:pPr>
        <w:pStyle w:val="CGCBullet1"/>
      </w:pPr>
      <w:r>
        <w:t>apply</w:t>
      </w:r>
      <w:r w:rsidRPr="00DB6423">
        <w:t xml:space="preserve"> the </w:t>
      </w:r>
      <w:r w:rsidRPr="00DB6423">
        <w:rPr>
          <w:i/>
        </w:rPr>
        <w:t>Quality Schools</w:t>
      </w:r>
      <w:r w:rsidRPr="00DB6423">
        <w:t xml:space="preserve"> treatment </w:t>
      </w:r>
      <w:r>
        <w:t>in</w:t>
      </w:r>
      <w:r w:rsidRPr="00DB6423">
        <w:t xml:space="preserve"> 2022–23 and 2023–</w:t>
      </w:r>
      <w:proofErr w:type="gramStart"/>
      <w:r w:rsidRPr="00DB6423">
        <w:t>24, and</w:t>
      </w:r>
      <w:proofErr w:type="gramEnd"/>
      <w:r w:rsidRPr="00DB6423">
        <w:t xml:space="preserve"> apply BFSA treatment to half of 2024–25 and </w:t>
      </w:r>
      <w:r w:rsidRPr="00DB6423">
        <w:rPr>
          <w:i/>
        </w:rPr>
        <w:t>Quality Schools</w:t>
      </w:r>
      <w:r w:rsidRPr="00DB6423">
        <w:t xml:space="preserve"> treatment to the other half (</w:t>
      </w:r>
      <w:r w:rsidR="003F62C1">
        <w:t>complex</w:t>
      </w:r>
      <w:r w:rsidR="003F62C1" w:rsidRPr="00DB6423">
        <w:t xml:space="preserve"> </w:t>
      </w:r>
      <w:r w:rsidRPr="00DB6423">
        <w:t>phasing)</w:t>
      </w:r>
      <w:r>
        <w:t>.</w:t>
      </w:r>
    </w:p>
    <w:p w14:paraId="102E8BE1" w14:textId="77777777" w:rsidR="00DB01BB" w:rsidRDefault="00DB01BB" w:rsidP="00DB01BB">
      <w:pPr>
        <w:pStyle w:val="CGCParaNumber"/>
      </w:pPr>
      <w:r>
        <w:t xml:space="preserve">If the Commission were to </w:t>
      </w:r>
      <w:proofErr w:type="spellStart"/>
      <w:r>
        <w:t>backcast</w:t>
      </w:r>
      <w:proofErr w:type="spellEnd"/>
      <w:r>
        <w:t xml:space="preserve"> and treat payments in all 3 assessment years as ‘no impact’ it would be equalising based on conditions in the application year which will have the BFSA payment. If the Commission were to take either of the phased approaches, it would be equalising based on actual conditions of the assessment years (with a lag). </w:t>
      </w:r>
    </w:p>
    <w:p w14:paraId="64B8E1D2" w14:textId="5EF71F74" w:rsidR="00DB01BB" w:rsidRDefault="00270D37" w:rsidP="00DB01BB">
      <w:pPr>
        <w:pStyle w:val="CGCParaNumber"/>
      </w:pPr>
      <w:r>
        <w:t xml:space="preserve">Figure </w:t>
      </w:r>
      <w:r w:rsidR="001E6B34">
        <w:t>2</w:t>
      </w:r>
      <w:r w:rsidR="00DB01BB">
        <w:t xml:space="preserve"> shows that the current funding proportions differ from what is expected in the application year. </w:t>
      </w:r>
      <w:r w:rsidR="00E418BC">
        <w:t>Therefore,</w:t>
      </w:r>
      <w:r w:rsidR="00DB01BB">
        <w:t xml:space="preserve"> applying the BFSA treatment to 2022</w:t>
      </w:r>
      <w:r w:rsidR="00A876D1" w:rsidRPr="00DB6423">
        <w:t>–</w:t>
      </w:r>
      <w:r w:rsidR="00DB01BB">
        <w:t>23 and 2023</w:t>
      </w:r>
      <w:r w:rsidR="00DB01BB" w:rsidRPr="00DB6423">
        <w:t>–</w:t>
      </w:r>
      <w:r w:rsidR="00DB01BB">
        <w:t xml:space="preserve">24 </w:t>
      </w:r>
      <w:r w:rsidR="00777439">
        <w:t xml:space="preserve">would not reflect the conditions of the application year and </w:t>
      </w:r>
      <w:r w:rsidR="00DB01BB">
        <w:t xml:space="preserve">may not result in the best equalisation outcome. The Commission is not inclined to adopt the </w:t>
      </w:r>
      <w:proofErr w:type="spellStart"/>
      <w:r w:rsidR="00DB01BB">
        <w:t>backcasting</w:t>
      </w:r>
      <w:proofErr w:type="spellEnd"/>
      <w:r w:rsidR="00DB01BB">
        <w:t xml:space="preserve"> approach. </w:t>
      </w:r>
    </w:p>
    <w:p w14:paraId="23BC2024" w14:textId="7D2FA982" w:rsidR="00DB01BB" w:rsidRPr="00515F75" w:rsidRDefault="00DB01BB" w:rsidP="00DB01BB">
      <w:pPr>
        <w:pStyle w:val="CGCParaNumber"/>
      </w:pPr>
      <w:r>
        <w:t xml:space="preserve">On practicality grounds, the Commission is not inclined to split the 2024–25 funding and apply the </w:t>
      </w:r>
      <w:r w:rsidRPr="6819DC36">
        <w:rPr>
          <w:i/>
          <w:iCs/>
        </w:rPr>
        <w:t>Quality Schools</w:t>
      </w:r>
      <w:r>
        <w:t xml:space="preserve"> and BFSA treatments. The Commission’s preliminary view is to apply the BFSA treatment to the entire funding for 2024–25.</w:t>
      </w:r>
    </w:p>
    <w:p w14:paraId="0329B94F" w14:textId="77777777" w:rsidR="00DB01BB" w:rsidRDefault="00DB01BB" w:rsidP="00DB01BB">
      <w:pPr>
        <w:pStyle w:val="Heading3"/>
      </w:pPr>
      <w:r>
        <w:t>Preliminary view</w:t>
      </w:r>
    </w:p>
    <w:p w14:paraId="4EEA7FF1" w14:textId="6DD871DE" w:rsidR="00F5127E" w:rsidRPr="00DB01BB" w:rsidRDefault="00DB01BB" w:rsidP="00DB01BB">
      <w:r>
        <w:rPr>
          <w:noProof/>
        </w:rPr>
        <mc:AlternateContent>
          <mc:Choice Requires="wps">
            <w:drawing>
              <wp:inline distT="0" distB="0" distL="114300" distR="114300" wp14:anchorId="239552E7" wp14:editId="7238ABBE">
                <wp:extent cx="5731510" cy="826347"/>
                <wp:effectExtent l="0" t="0" r="2540" b="0"/>
                <wp:docPr id="1385911307" name="Rectangle 1385911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826347"/>
                        </a:xfrm>
                        <a:prstGeom prst="rect">
                          <a:avLst/>
                        </a:prstGeom>
                        <a:solidFill>
                          <a:srgbClr val="E5F8FF"/>
                        </a:solidFill>
                        <a:ln w="25400" cap="flat" cmpd="sng" algn="ctr">
                          <a:noFill/>
                          <a:prstDash val="solid"/>
                        </a:ln>
                        <a:effectLst/>
                      </wps:spPr>
                      <wps:txbx>
                        <w:txbxContent>
                          <w:p w14:paraId="0590B396" w14:textId="130A377A" w:rsidR="00DB01BB" w:rsidRPr="00DB01BB" w:rsidRDefault="00DB01BB" w:rsidP="008D32CF">
                            <w:pPr>
                              <w:pStyle w:val="CGCBullet1"/>
                              <w:numPr>
                                <w:ilvl w:val="0"/>
                                <w:numId w:val="0"/>
                              </w:numPr>
                              <w:ind w:left="142"/>
                            </w:pPr>
                            <w:r>
                              <w:t>The Commission’s preliminary view is to</w:t>
                            </w:r>
                            <w:r w:rsidRPr="00F17667">
                              <w:t xml:space="preserve"> exclude Commonwealth spending on state schools from all calculations from 2024</w:t>
                            </w:r>
                            <w:r>
                              <w:t>–‍</w:t>
                            </w:r>
                            <w:r w:rsidRPr="00F17667">
                              <w:t xml:space="preserve">25 and continue the </w:t>
                            </w:r>
                            <w:r>
                              <w:t>existing</w:t>
                            </w:r>
                            <w:r w:rsidRPr="00F17667">
                              <w:t xml:space="preserve"> approach for </w:t>
                            </w:r>
                            <w:r>
                              <w:t xml:space="preserve">the </w:t>
                            </w:r>
                            <w:r w:rsidRPr="00F17667">
                              <w:t>2022</w:t>
                            </w:r>
                            <w:r>
                              <w:t>–</w:t>
                            </w:r>
                            <w:r w:rsidRPr="00F17667">
                              <w:t>23 and 2023</w:t>
                            </w:r>
                            <w:r>
                              <w:t>–</w:t>
                            </w:r>
                            <w:r w:rsidRPr="00F17667">
                              <w:t>24 assessment years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9552E7" id="Rectangle 1385911307" o:spid="_x0000_s1031" alt="&quot;&quot;" style="width:451.3pt;height:6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" fillcolor="#e5f8ff" stroked="f" strokeweight="2pt">
                <v:textbox>
                  <w:txbxContent>
                    <w:p w14:paraId="0590B396" w14:textId="130A377A" w:rsidR="00DB01BB" w:rsidRPr="00DB01BB" w:rsidRDefault="00DB01BB" w:rsidP="008D32CF">
                      <w:pPr>
                        <w:pStyle w:val="CGCBullet1"/>
                        <w:numPr>
                          <w:ilvl w:val="0"/>
                          <w:numId w:val="0"/>
                        </w:numPr>
                        <w:ind w:left="142"/>
                      </w:pPr>
                      <w:r>
                        <w:t>The Commission’s preliminary view is to</w:t>
                      </w:r>
                      <w:r w:rsidRPr="00F17667">
                        <w:t xml:space="preserve"> exclude Commonwealth spending on state schools from all calculations from 2024</w:t>
                      </w:r>
                      <w:r>
                        <w:t>–‍</w:t>
                      </w:r>
                      <w:r w:rsidRPr="00F17667">
                        <w:t xml:space="preserve">25 and continue the </w:t>
                      </w:r>
                      <w:r>
                        <w:t>existing</w:t>
                      </w:r>
                      <w:r w:rsidRPr="00F17667">
                        <w:t xml:space="preserve"> approach for </w:t>
                      </w:r>
                      <w:r>
                        <w:t xml:space="preserve">the </w:t>
                      </w:r>
                      <w:r w:rsidRPr="00F17667">
                        <w:t>2022</w:t>
                      </w:r>
                      <w:r>
                        <w:t>–</w:t>
                      </w:r>
                      <w:r w:rsidRPr="00F17667">
                        <w:t>23 and 2023</w:t>
                      </w:r>
                      <w:r>
                        <w:t>–</w:t>
                      </w:r>
                      <w:r w:rsidRPr="00F17667">
                        <w:t>24 assessment years</w:t>
                      </w:r>
                      <w:r>
                        <w:t>.</w:t>
                      </w:r>
                    </w:p>
                  </w:txbxContent>
                </v:textbox>
                <w10:anchorlock/>
              </v:rect>
            </w:pict>
          </mc:Fallback>
        </mc:AlternateContent>
      </w:r>
    </w:p>
    <w:p w14:paraId="37AFD47D" w14:textId="77777777" w:rsidR="006E3770" w:rsidRDefault="006E3770">
      <w:pPr>
        <w:rPr>
          <w:rFonts w:ascii="Work Sans" w:eastAsia="Times New Roman" w:hAnsi="Work Sans" w:cs="Open Sans"/>
          <w:b/>
          <w:bCs/>
          <w:color w:val="006991"/>
          <w:sz w:val="40"/>
          <w:szCs w:val="40"/>
        </w:rPr>
      </w:pPr>
      <w:r>
        <w:rPr>
          <w:sz w:val="40"/>
          <w:szCs w:val="40"/>
        </w:rPr>
        <w:br w:type="page"/>
      </w:r>
    </w:p>
    <w:p w14:paraId="4C438D7B" w14:textId="04472053" w:rsidR="00DB01BB" w:rsidRPr="009775BF" w:rsidRDefault="00DB01BB" w:rsidP="009465E4">
      <w:pPr>
        <w:pStyle w:val="Heading1"/>
      </w:pPr>
      <w:r w:rsidRPr="009775BF">
        <w:lastRenderedPageBreak/>
        <w:t>New Commonwealth payments</w:t>
      </w:r>
    </w:p>
    <w:p w14:paraId="56977E00" w14:textId="77777777" w:rsidR="00DB01BB" w:rsidRDefault="00DB01BB" w:rsidP="00DB01BB">
      <w:pPr>
        <w:pStyle w:val="CGCParaNumber"/>
      </w:pPr>
      <w:r w:rsidRPr="00C81143">
        <w:t xml:space="preserve">Each year, the Commission </w:t>
      </w:r>
      <w:r>
        <w:t>considers</w:t>
      </w:r>
      <w:r w:rsidRPr="00C81143">
        <w:t xml:space="preserve"> whether new Commonwealth payments should impact the GST </w:t>
      </w:r>
      <w:r>
        <w:t>distribution</w:t>
      </w:r>
      <w:r w:rsidRPr="00C81143">
        <w:t>.</w:t>
      </w:r>
    </w:p>
    <w:p w14:paraId="2F75BC3A" w14:textId="77777777" w:rsidR="00DB01BB" w:rsidRDefault="00DB01BB" w:rsidP="008D2484">
      <w:pPr>
        <w:pStyle w:val="Heading3"/>
        <w:keepNext/>
      </w:pPr>
      <w:r>
        <w:t>Treatment of Commonwealth payments commenced in 2024–25</w:t>
      </w:r>
    </w:p>
    <w:p w14:paraId="52C2B9B0" w14:textId="67ADB22A" w:rsidR="00DB01BB" w:rsidRPr="008D32CF" w:rsidRDefault="00DB01BB" w:rsidP="008D32CF">
      <w:pPr>
        <w:pStyle w:val="CGCParaNumber"/>
        <w:rPr>
          <w:rStyle w:val="eop"/>
        </w:rPr>
      </w:pPr>
      <w:r w:rsidRPr="008D32CF">
        <w:rPr>
          <w:rStyle w:val="normaltextrun"/>
        </w:rPr>
        <w:t xml:space="preserve">The </w:t>
      </w:r>
      <w:r w:rsidRPr="008D32CF">
        <w:t>Commission</w:t>
      </w:r>
      <w:r w:rsidRPr="00802218">
        <w:t xml:space="preserve"> has examined new Commonwealth payments commencing in 2024–‍25, as listed in the Commonwealth Final Budget Outcome 2024–25. The proposals in Table </w:t>
      </w:r>
      <w:r w:rsidR="001C38DC" w:rsidRPr="00802218">
        <w:t>A-1</w:t>
      </w:r>
      <w:r w:rsidRPr="00802218">
        <w:t xml:space="preserve"> and Table </w:t>
      </w:r>
      <w:r w:rsidR="001C38DC" w:rsidRPr="00802218">
        <w:t>A-2</w:t>
      </w:r>
      <w:r w:rsidRPr="00802218">
        <w:t xml:space="preserve"> are based on the 2025 Review guideline.</w:t>
      </w:r>
    </w:p>
    <w:p w14:paraId="135A6CC2" w14:textId="77777777" w:rsidR="00DB01BB" w:rsidRPr="00F77F6E" w:rsidRDefault="00DB01BB" w:rsidP="008D2484">
      <w:pPr>
        <w:pStyle w:val="CGCBullet1"/>
      </w:pPr>
      <w:r w:rsidRPr="00F77F6E">
        <w:t>Payments which support state services, and for which expenditure needs are assessed, will impact state fiscal capacities. If needs are not assessed, it will have no impact on state fiscal capacities.</w:t>
      </w:r>
    </w:p>
    <w:p w14:paraId="19FD0B77" w14:textId="77777777" w:rsidR="008D2484" w:rsidRDefault="00DB01BB" w:rsidP="008D2484">
      <w:pPr>
        <w:pStyle w:val="CGCBullet1"/>
      </w:pPr>
      <w:r w:rsidRPr="00F77F6E">
        <w:t xml:space="preserve">If a payment has multiple components, some of which are for state services for which needs are assessed and some of which are not, and the Commission decides that one or more components should not affect state fiscal capacities, </w:t>
      </w:r>
      <w:r>
        <w:t>it</w:t>
      </w:r>
      <w:r w:rsidRPr="00F77F6E">
        <w:t xml:space="preserve"> will collect information to split the payment to ensure the appropriate treatment is applied.</w:t>
      </w:r>
    </w:p>
    <w:p w14:paraId="26C92D78" w14:textId="7C925F33" w:rsidR="00A21ED5" w:rsidRDefault="00A21ED5" w:rsidP="008D2484">
      <w:pPr>
        <w:pStyle w:val="CGCParaNumber"/>
      </w:pPr>
      <w:r>
        <w:t>Under the 2025 Review Commonwealth payments guideline, w</w:t>
      </w:r>
      <w:r w:rsidRPr="007176F5">
        <w:t xml:space="preserve">here there is substantial uncertainty about the payment’s purpose or whether relative state expenditure needs are assessed, </w:t>
      </w:r>
      <w:r>
        <w:t xml:space="preserve">the default is for the payment to </w:t>
      </w:r>
      <w:r w:rsidRPr="007176F5">
        <w:t xml:space="preserve">impact </w:t>
      </w:r>
      <w:r>
        <w:t>the GST distribution</w:t>
      </w:r>
      <w:r w:rsidRPr="007176F5">
        <w:t xml:space="preserve">. </w:t>
      </w:r>
      <w:r>
        <w:t>In these cases, it is open to s</w:t>
      </w:r>
      <w:r w:rsidRPr="007176F5">
        <w:t xml:space="preserve">tates </w:t>
      </w:r>
      <w:r>
        <w:t xml:space="preserve">to </w:t>
      </w:r>
      <w:r w:rsidRPr="007176F5">
        <w:t>provide evidence in support of a no impact treatment.</w:t>
      </w:r>
    </w:p>
    <w:p w14:paraId="33AA4713" w14:textId="75A10232" w:rsidR="00DB01BB" w:rsidRPr="008D2484" w:rsidRDefault="00DB01BB" w:rsidP="008D2484">
      <w:pPr>
        <w:pStyle w:val="CGCParaNumber"/>
      </w:pPr>
      <w:r w:rsidRPr="008D2484">
        <w:t xml:space="preserve">Table </w:t>
      </w:r>
      <w:r w:rsidR="001C38DC" w:rsidRPr="001C38DC">
        <w:t>A-</w:t>
      </w:r>
      <w:r w:rsidR="001C38DC">
        <w:t>2</w:t>
      </w:r>
      <w:r w:rsidRPr="008D2484">
        <w:t xml:space="preserve"> separately lists projects under the City and Regional deals that commenced in 2024–25 and the proposed treatment for each project.</w:t>
      </w:r>
    </w:p>
    <w:p w14:paraId="07EE7535" w14:textId="77777777" w:rsidR="008D2484" w:rsidRPr="006D10F6" w:rsidRDefault="008D2484" w:rsidP="006D10F6">
      <w:pPr>
        <w:pStyle w:val="Heading3"/>
        <w:rPr>
          <w:rStyle w:val="eop"/>
          <w:rFonts w:eastAsiaTheme="minorHAnsi"/>
        </w:rPr>
      </w:pPr>
      <w:r w:rsidRPr="006D10F6">
        <w:rPr>
          <w:rStyle w:val="normaltextrun"/>
        </w:rPr>
        <w:t>Terms of reference requirements</w:t>
      </w:r>
    </w:p>
    <w:p w14:paraId="62133A2F" w14:textId="5DB754AD" w:rsidR="008D2484" w:rsidRPr="008D2484" w:rsidRDefault="008D2484" w:rsidP="008D2484">
      <w:pPr>
        <w:pStyle w:val="CGCParaNumber"/>
      </w:pPr>
      <w:r w:rsidRPr="008D2484">
        <w:t>Several payments beginning in the 2024</w:t>
      </w:r>
      <w:r w:rsidR="00F02AEB">
        <w:t>–</w:t>
      </w:r>
      <w:r w:rsidRPr="008D2484">
        <w:t>25 financial year were quarantined in previous terms of reference</w:t>
      </w:r>
      <w:r w:rsidR="00837F19">
        <w:t>.</w:t>
      </w:r>
    </w:p>
    <w:p w14:paraId="16AC054D" w14:textId="6F7ABDC4" w:rsidR="008D2484" w:rsidRPr="00AB73BB" w:rsidRDefault="3B2070A1" w:rsidP="008D2484">
      <w:pPr>
        <w:pStyle w:val="CGCBullet1"/>
      </w:pPr>
      <w:r>
        <w:t>Supplementary terms of reference for the 2025 Review</w:t>
      </w:r>
    </w:p>
    <w:p w14:paraId="605427D9" w14:textId="77777777" w:rsidR="008D2484" w:rsidRPr="008D2484" w:rsidRDefault="008D2484" w:rsidP="00F9564E">
      <w:pPr>
        <w:pStyle w:val="CGCBullet1"/>
        <w:numPr>
          <w:ilvl w:val="0"/>
          <w:numId w:val="4"/>
        </w:numPr>
        <w:ind w:left="1134"/>
      </w:pPr>
      <w:r w:rsidRPr="008D2484">
        <w:t>National Firearms Register</w:t>
      </w:r>
    </w:p>
    <w:p w14:paraId="1789979C" w14:textId="77777777" w:rsidR="008D2484" w:rsidRPr="008D2484" w:rsidRDefault="008D2484" w:rsidP="00F9564E">
      <w:pPr>
        <w:pStyle w:val="CGCBullet1"/>
        <w:numPr>
          <w:ilvl w:val="0"/>
          <w:numId w:val="4"/>
        </w:numPr>
        <w:ind w:left="1134"/>
      </w:pPr>
      <w:r w:rsidRPr="008D2484">
        <w:t>Growing regions</w:t>
      </w:r>
    </w:p>
    <w:p w14:paraId="148A051B" w14:textId="77777777" w:rsidR="008D2484" w:rsidRPr="008D2484" w:rsidRDefault="008D2484" w:rsidP="00F9564E">
      <w:pPr>
        <w:pStyle w:val="CGCBullet1"/>
        <w:numPr>
          <w:ilvl w:val="0"/>
          <w:numId w:val="4"/>
        </w:numPr>
        <w:ind w:left="1134"/>
      </w:pPr>
      <w:r w:rsidRPr="008D2484">
        <w:t>Regional Precincts and Partnership Program</w:t>
      </w:r>
    </w:p>
    <w:p w14:paraId="0DF29096" w14:textId="77777777" w:rsidR="008D2484" w:rsidRPr="008D2484" w:rsidRDefault="008D2484" w:rsidP="00F9564E">
      <w:pPr>
        <w:pStyle w:val="CGCBullet1"/>
        <w:numPr>
          <w:ilvl w:val="0"/>
          <w:numId w:val="4"/>
        </w:numPr>
        <w:ind w:left="1134"/>
      </w:pPr>
      <w:r w:rsidRPr="008D2484">
        <w:t>Urban Precincts and Partnership Program</w:t>
      </w:r>
    </w:p>
    <w:p w14:paraId="2DA191AD" w14:textId="77777777" w:rsidR="008D2484" w:rsidRPr="008D2484" w:rsidRDefault="008D2484" w:rsidP="00F9564E">
      <w:pPr>
        <w:pStyle w:val="CGCBullet1"/>
        <w:numPr>
          <w:ilvl w:val="0"/>
          <w:numId w:val="4"/>
        </w:numPr>
        <w:ind w:left="1134"/>
      </w:pPr>
      <w:r w:rsidRPr="008D2484">
        <w:t>Thriving suburbs program</w:t>
      </w:r>
    </w:p>
    <w:p w14:paraId="01FF55D7" w14:textId="77777777" w:rsidR="008D2484" w:rsidRPr="008D2484" w:rsidRDefault="008D2484" w:rsidP="00F9564E">
      <w:pPr>
        <w:pStyle w:val="CGCBullet1"/>
        <w:numPr>
          <w:ilvl w:val="0"/>
          <w:numId w:val="4"/>
        </w:numPr>
        <w:ind w:left="1134"/>
      </w:pPr>
      <w:r w:rsidRPr="008D2484">
        <w:t>Launceston Northern Heart Centre</w:t>
      </w:r>
    </w:p>
    <w:p w14:paraId="3B8CD6C6" w14:textId="54C6FB59" w:rsidR="008D2484" w:rsidRPr="00AB73BB" w:rsidRDefault="3B2070A1" w:rsidP="008D2484">
      <w:pPr>
        <w:pStyle w:val="CGCBullet1"/>
      </w:pPr>
      <w:r>
        <w:t>Terms of reference for the 2025 Review</w:t>
      </w:r>
    </w:p>
    <w:p w14:paraId="25183037" w14:textId="77777777" w:rsidR="008D2484" w:rsidRPr="008D2484" w:rsidRDefault="008D2484" w:rsidP="00F9564E">
      <w:pPr>
        <w:pStyle w:val="CGCBullet1"/>
        <w:numPr>
          <w:ilvl w:val="0"/>
          <w:numId w:val="4"/>
        </w:numPr>
        <w:ind w:left="1134"/>
        <w:rPr>
          <w:iCs/>
        </w:rPr>
      </w:pPr>
      <w:r w:rsidRPr="008D2484">
        <w:rPr>
          <w:iCs/>
        </w:rPr>
        <w:t xml:space="preserve">Brisbane 2032 Olympic and Paralympic Games </w:t>
      </w:r>
    </w:p>
    <w:p w14:paraId="7D9AADF5" w14:textId="77777777" w:rsidR="008D2484" w:rsidRDefault="008D2484" w:rsidP="00802218">
      <w:pPr>
        <w:pStyle w:val="CGCParaNumber"/>
        <w:rPr>
          <w:rStyle w:val="normaltextrun"/>
          <w:rFonts w:cs="Segoe UI"/>
          <w:lang w:eastAsia="en-AU"/>
        </w:rPr>
      </w:pPr>
      <w:r w:rsidRPr="0098035D">
        <w:rPr>
          <w:rStyle w:val="normaltextrun"/>
          <w:rFonts w:cs="Segoe UI"/>
        </w:rPr>
        <w:t xml:space="preserve">In </w:t>
      </w:r>
      <w:r w:rsidRPr="008D2484">
        <w:t>addition</w:t>
      </w:r>
      <w:r>
        <w:rPr>
          <w:rStyle w:val="normaltextrun"/>
          <w:rFonts w:cs="Segoe UI"/>
        </w:rPr>
        <w:t>, supplementary terms of reference for the 2025 Review asked the Commission to:</w:t>
      </w:r>
    </w:p>
    <w:p w14:paraId="32108079" w14:textId="77777777" w:rsidR="008D2484" w:rsidRDefault="008D2484" w:rsidP="00745986">
      <w:pPr>
        <w:pStyle w:val="CGCBullet1"/>
        <w:numPr>
          <w:ilvl w:val="0"/>
          <w:numId w:val="0"/>
        </w:numPr>
        <w:ind w:left="851" w:right="804"/>
        <w:rPr>
          <w:i/>
          <w:iCs/>
        </w:rPr>
      </w:pPr>
      <w:r>
        <w:rPr>
          <w:i/>
          <w:iCs/>
        </w:rPr>
        <w:t>…</w:t>
      </w:r>
      <w:r w:rsidRPr="00937F3A">
        <w:rPr>
          <w:i/>
          <w:iCs/>
        </w:rPr>
        <w:t>ensure that the GST distribution process will not have the effect of unwinding the recognition of educational disadvantage, or the differential funding proportions embedded in the Better and Fairer Schools Agreement (BFSA) funding arrangements. The Commission will also ensure that no state receives a windfall gain through the GST distribution from non</w:t>
      </w:r>
      <w:r w:rsidRPr="00937F3A">
        <w:rPr>
          <w:i/>
          <w:iCs/>
        </w:rPr>
        <w:noBreakHyphen/>
        <w:t>participation in BFSA funding arrangements.</w:t>
      </w:r>
    </w:p>
    <w:p w14:paraId="3E1D6E29" w14:textId="77777777" w:rsidR="008D2484" w:rsidRPr="007A69CF" w:rsidRDefault="008D2484" w:rsidP="008C777E">
      <w:pPr>
        <w:pStyle w:val="CGCParaNumber"/>
        <w:rPr>
          <w:rStyle w:val="normaltextrun"/>
          <w:rFonts w:cs="Segoe UI"/>
        </w:rPr>
      </w:pPr>
      <w:r>
        <w:rPr>
          <w:rStyle w:val="normaltextrun"/>
          <w:rFonts w:cs="Segoe UI"/>
        </w:rPr>
        <w:lastRenderedPageBreak/>
        <w:t xml:space="preserve">The BFSA issue is </w:t>
      </w:r>
      <w:r w:rsidRPr="008D2484">
        <w:t>discussed</w:t>
      </w:r>
      <w:r>
        <w:rPr>
          <w:rStyle w:val="normaltextrun"/>
          <w:rFonts w:cs="Segoe UI"/>
        </w:rPr>
        <w:t xml:space="preserve"> </w:t>
      </w:r>
      <w:r w:rsidRPr="006220C1">
        <w:t>in</w:t>
      </w:r>
      <w:r>
        <w:rPr>
          <w:rStyle w:val="normaltextrun"/>
          <w:rFonts w:cs="Segoe UI"/>
        </w:rPr>
        <w:t xml:space="preserve"> </w:t>
      </w:r>
      <w:r w:rsidRPr="006220C1">
        <w:t>the previous</w:t>
      </w:r>
      <w:r>
        <w:rPr>
          <w:rStyle w:val="normaltextrun"/>
          <w:rFonts w:cs="Segoe UI"/>
        </w:rPr>
        <w:t xml:space="preserve"> </w:t>
      </w:r>
      <w:r w:rsidRPr="006220C1">
        <w:t>section.</w:t>
      </w:r>
    </w:p>
    <w:p w14:paraId="0A17EA52" w14:textId="77777777" w:rsidR="008D2484" w:rsidRDefault="008D2484" w:rsidP="008D2484">
      <w:pPr>
        <w:pStyle w:val="Heading3"/>
        <w:keepNext/>
      </w:pPr>
      <w:r>
        <w:t>Preliminary view</w:t>
      </w:r>
    </w:p>
    <w:p w14:paraId="1A6FBD79" w14:textId="0C70DCD2" w:rsidR="00F5127E" w:rsidRPr="008D2484" w:rsidRDefault="008D2484" w:rsidP="008D2484">
      <w:r>
        <w:rPr>
          <w:noProof/>
        </w:rPr>
        <mc:AlternateContent>
          <mc:Choice Requires="wps">
            <w:drawing>
              <wp:inline distT="0" distB="0" distL="114300" distR="114300" wp14:anchorId="60D41943" wp14:editId="51FFB8A1">
                <wp:extent cx="5731510" cy="666750"/>
                <wp:effectExtent l="0" t="0" r="2540" b="0"/>
                <wp:docPr id="1803759709" name="Rectangle 1803759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666750"/>
                        </a:xfrm>
                        <a:prstGeom prst="rect">
                          <a:avLst/>
                        </a:prstGeom>
                        <a:solidFill>
                          <a:srgbClr val="E5F8FF"/>
                        </a:solidFill>
                        <a:ln w="25400" cap="flat" cmpd="sng" algn="ctr">
                          <a:noFill/>
                          <a:prstDash val="solid"/>
                        </a:ln>
                        <a:effectLst/>
                      </wps:spPr>
                      <wps:txbx>
                        <w:txbxContent>
                          <w:p w14:paraId="5A548DCF" w14:textId="796D3AC4" w:rsidR="008D2484" w:rsidRPr="00EF13FC" w:rsidRDefault="008D2484" w:rsidP="008D2484">
                            <w:pPr>
                              <w:pStyle w:val="CGCBullet1"/>
                              <w:numPr>
                                <w:ilvl w:val="0"/>
                                <w:numId w:val="0"/>
                              </w:numPr>
                              <w:ind w:left="142"/>
                            </w:pPr>
                            <w:r>
                              <w:t>T</w:t>
                            </w:r>
                            <w:r w:rsidRPr="00F17667">
                              <w:t xml:space="preserve">he </w:t>
                            </w:r>
                            <w:r>
                              <w:t xml:space="preserve">Commission’s </w:t>
                            </w:r>
                            <w:r w:rsidRPr="00F17667">
                              <w:t xml:space="preserve">proposed treatment of new Commonwealth payments </w:t>
                            </w:r>
                            <w:r>
                              <w:t xml:space="preserve">is </w:t>
                            </w:r>
                            <w:r w:rsidRPr="00F17667">
                              <w:t>outlined in Attachment A</w:t>
                            </w:r>
                            <w:r w:rsidRPr="00AE133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D41943" id="Rectangle 1803759709" o:spid="_x0000_s1032" alt="&quot;&quot;" style="width:451.3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" fillcolor="#e5f8ff" stroked="f" strokeweight="2pt">
                <v:textbox>
                  <w:txbxContent>
                    <w:p w14:paraId="5A548DCF" w14:textId="796D3AC4" w:rsidR="008D2484" w:rsidRPr="00EF13FC" w:rsidRDefault="008D2484" w:rsidP="008D2484">
                      <w:pPr>
                        <w:pStyle w:val="CGCBullet1"/>
                        <w:numPr>
                          <w:ilvl w:val="0"/>
                          <w:numId w:val="0"/>
                        </w:numPr>
                        <w:ind w:left="142"/>
                      </w:pPr>
                      <w:r>
                        <w:t>T</w:t>
                      </w:r>
                      <w:r w:rsidRPr="00F17667">
                        <w:t xml:space="preserve">he </w:t>
                      </w:r>
                      <w:r>
                        <w:t xml:space="preserve">Commission’s </w:t>
                      </w:r>
                      <w:r w:rsidRPr="00F17667">
                        <w:t xml:space="preserve">proposed treatment of new Commonwealth payments </w:t>
                      </w:r>
                      <w:r>
                        <w:t xml:space="preserve">is </w:t>
                      </w:r>
                      <w:r w:rsidRPr="00F17667">
                        <w:t>outlined in Attachment A</w:t>
                      </w:r>
                      <w:r w:rsidRPr="00AE1330">
                        <w:t>.</w:t>
                      </w:r>
                    </w:p>
                  </w:txbxContent>
                </v:textbox>
                <w10:anchorlock/>
              </v:rect>
            </w:pict>
          </mc:Fallback>
        </mc:AlternateContent>
      </w:r>
    </w:p>
    <w:p w14:paraId="4DF685B1" w14:textId="77777777" w:rsidR="00F5127E" w:rsidRDefault="00F5127E" w:rsidP="00104A26">
      <w:pPr>
        <w:pStyle w:val="Heading3"/>
        <w:keepNext/>
      </w:pPr>
    </w:p>
    <w:p w14:paraId="36450174" w14:textId="77777777" w:rsidR="006C2FC5" w:rsidRDefault="006C2FC5">
      <w:pPr>
        <w:rPr>
          <w:rFonts w:ascii="Open Sans Light" w:eastAsia="Open Sans Light" w:hAnsi="Open Sans Light" w:cs="Open Sans Light"/>
          <w:color w:val="000000" w:themeColor="text1"/>
          <w:sz w:val="14"/>
        </w:rPr>
        <w:sectPr w:rsidR="006C2FC5" w:rsidSect="00296E5D">
          <w:headerReference w:type="default" r:id="rId20"/>
          <w:headerReference w:type="first" r:id="rId21"/>
          <w:pgSz w:w="11906" w:h="16838"/>
          <w:pgMar w:top="1440" w:right="1440" w:bottom="1440" w:left="1440" w:header="708" w:footer="708" w:gutter="0"/>
          <w:pgNumType w:start="3"/>
          <w:cols w:space="708"/>
          <w:titlePg/>
          <w:docGrid w:linePitch="360"/>
        </w:sectPr>
      </w:pPr>
    </w:p>
    <w:p w14:paraId="55FE057B" w14:textId="3D90E007" w:rsidR="006C2FC5" w:rsidRDefault="006C2FC5" w:rsidP="006C2FC5">
      <w:pPr>
        <w:pStyle w:val="Heading2"/>
      </w:pPr>
      <w:bookmarkStart w:id="6" w:name="_Ref174626818"/>
      <w:r>
        <w:lastRenderedPageBreak/>
        <w:t xml:space="preserve">Attachment A: </w:t>
      </w:r>
      <w:r w:rsidRPr="00827EF7">
        <w:t>Commonwealth payments commenced in 202</w:t>
      </w:r>
      <w:r>
        <w:t xml:space="preserve">4–25 </w:t>
      </w:r>
    </w:p>
    <w:p w14:paraId="0D2515C8" w14:textId="224A793B" w:rsidR="006C2FC5" w:rsidRPr="00DF230F" w:rsidRDefault="006C2FC5" w:rsidP="00E51B84">
      <w:pPr>
        <w:pStyle w:val="Tableheading"/>
        <w:tabs>
          <w:tab w:val="left" w:pos="1134"/>
        </w:tabs>
        <w:rPr>
          <w:rFonts w:ascii="Work Sans" w:hAnsi="Work Sans"/>
          <w:b/>
          <w:bCs/>
          <w:i/>
          <w:iCs/>
        </w:rPr>
      </w:pPr>
      <w:bookmarkStart w:id="7" w:name="_Ref207868140"/>
      <w:r w:rsidRPr="00DF230F">
        <w:rPr>
          <w:rFonts w:ascii="Work Sans" w:hAnsi="Work Sans"/>
          <w:b/>
          <w:bCs/>
        </w:rPr>
        <w:t>Table</w:t>
      </w:r>
      <w:bookmarkEnd w:id="6"/>
      <w:bookmarkEnd w:id="7"/>
      <w:r w:rsidRPr="00DF230F">
        <w:rPr>
          <w:rFonts w:ascii="Work Sans" w:hAnsi="Work Sans"/>
          <w:b/>
          <w:bCs/>
        </w:rPr>
        <w:t xml:space="preserve"> </w:t>
      </w:r>
      <w:r w:rsidR="00D65E69" w:rsidRPr="00DF230F">
        <w:rPr>
          <w:rFonts w:ascii="Work Sans" w:hAnsi="Work Sans"/>
          <w:b/>
          <w:bCs/>
        </w:rPr>
        <w:t>A-1</w:t>
      </w:r>
      <w:r w:rsidRPr="00DF230F">
        <w:rPr>
          <w:rFonts w:ascii="Work Sans" w:hAnsi="Work Sans"/>
          <w:b/>
          <w:bCs/>
        </w:rPr>
        <w:tab/>
        <w:t xml:space="preserve">Proposed treatment of Commonwealth payments commenced in 2024–25, </w:t>
      </w:r>
      <w:r w:rsidRPr="00DF230F">
        <w:rPr>
          <w:rFonts w:ascii="Work Sans" w:hAnsi="Work Sans"/>
          <w:b/>
          <w:bCs/>
          <w:i/>
          <w:iCs/>
        </w:rPr>
        <w:t>Final Budget Outcome, 2024–25</w:t>
      </w:r>
    </w:p>
    <w:tbl>
      <w:tblPr>
        <w:tblW w:w="13892" w:type="dxa"/>
        <w:tblLayout w:type="fixed"/>
        <w:tblCellMar>
          <w:left w:w="28" w:type="dxa"/>
          <w:right w:w="28" w:type="dxa"/>
        </w:tblCellMar>
        <w:tblLook w:val="04A0" w:firstRow="1" w:lastRow="0" w:firstColumn="1" w:lastColumn="0" w:noHBand="0" w:noVBand="1"/>
      </w:tblPr>
      <w:tblGrid>
        <w:gridCol w:w="2410"/>
        <w:gridCol w:w="4394"/>
        <w:gridCol w:w="1134"/>
        <w:gridCol w:w="1276"/>
        <w:gridCol w:w="4678"/>
      </w:tblGrid>
      <w:tr w:rsidR="006C2FC5" w:rsidRPr="00C91117" w14:paraId="19BFDE9D" w14:textId="77777777" w:rsidTr="00874F19">
        <w:trPr>
          <w:trHeight w:val="567"/>
          <w:tblHeader/>
        </w:trPr>
        <w:tc>
          <w:tcPr>
            <w:tcW w:w="2410" w:type="dxa"/>
            <w:tcBorders>
              <w:top w:val="single" w:sz="4" w:space="0" w:color="ADD6EA"/>
              <w:left w:val="nil"/>
              <w:bottom w:val="single" w:sz="4" w:space="0" w:color="ADD6EA"/>
              <w:right w:val="nil"/>
            </w:tcBorders>
            <w:shd w:val="clear" w:color="auto" w:fill="006991"/>
            <w:hideMark/>
          </w:tcPr>
          <w:p w14:paraId="62C141D1" w14:textId="77777777" w:rsidR="006C2FC5" w:rsidRPr="00C91117" w:rsidRDefault="006C2FC5" w:rsidP="00874F19">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Commonwealth payment</w:t>
            </w:r>
          </w:p>
        </w:tc>
        <w:tc>
          <w:tcPr>
            <w:tcW w:w="4394" w:type="dxa"/>
            <w:tcBorders>
              <w:top w:val="single" w:sz="4" w:space="0" w:color="ADD6EA"/>
              <w:left w:val="nil"/>
              <w:bottom w:val="single" w:sz="4" w:space="0" w:color="ADD6EA"/>
              <w:right w:val="nil"/>
            </w:tcBorders>
            <w:shd w:val="clear" w:color="auto" w:fill="006991"/>
            <w:hideMark/>
          </w:tcPr>
          <w:p w14:paraId="2B06D68E" w14:textId="77777777" w:rsidR="006C2FC5" w:rsidRPr="00C91117" w:rsidRDefault="006C2FC5" w:rsidP="00874F19">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Description</w:t>
            </w:r>
          </w:p>
        </w:tc>
        <w:tc>
          <w:tcPr>
            <w:tcW w:w="1134" w:type="dxa"/>
            <w:tcBorders>
              <w:top w:val="single" w:sz="4" w:space="0" w:color="ADD6EA"/>
              <w:left w:val="nil"/>
              <w:bottom w:val="single" w:sz="4" w:space="0" w:color="ADD6EA"/>
              <w:right w:val="nil"/>
            </w:tcBorders>
            <w:shd w:val="clear" w:color="auto" w:fill="006991"/>
            <w:tcMar>
              <w:right w:w="85" w:type="dxa"/>
            </w:tcMar>
            <w:hideMark/>
          </w:tcPr>
          <w:p w14:paraId="4061C114" w14:textId="33EC91D0" w:rsidR="006C2FC5" w:rsidRPr="00C91117" w:rsidRDefault="006C2FC5" w:rsidP="00874F19">
            <w:pPr>
              <w:spacing w:line="240" w:lineRule="auto"/>
              <w:ind w:right="227"/>
              <w:jc w:val="right"/>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20</w:t>
            </w:r>
            <w:r>
              <w:rPr>
                <w:rFonts w:ascii="Open Sans Semibold" w:eastAsia="Times New Roman" w:hAnsi="Open Sans Semibold" w:cs="Open Sans Light"/>
                <w:color w:val="FFFFFF"/>
                <w:sz w:val="16"/>
                <w:szCs w:val="20"/>
                <w:lang w:eastAsia="en-AU"/>
              </w:rPr>
              <w:t>24–</w:t>
            </w:r>
            <w:r w:rsidRPr="00C91117">
              <w:rPr>
                <w:rFonts w:ascii="Open Sans Semibold" w:eastAsia="Times New Roman" w:hAnsi="Open Sans Semibold" w:cs="Open Sans Light"/>
                <w:color w:val="FFFFFF"/>
                <w:sz w:val="16"/>
                <w:szCs w:val="20"/>
                <w:lang w:eastAsia="en-AU"/>
              </w:rPr>
              <w:t>2</w:t>
            </w:r>
            <w:r>
              <w:rPr>
                <w:rFonts w:ascii="Open Sans Semibold" w:eastAsia="Times New Roman" w:hAnsi="Open Sans Semibold" w:cs="Open Sans Light"/>
                <w:color w:val="FFFFFF"/>
                <w:sz w:val="16"/>
                <w:szCs w:val="20"/>
                <w:lang w:eastAsia="en-AU"/>
              </w:rPr>
              <w:t>5</w:t>
            </w:r>
            <w:r w:rsidRPr="00C91117">
              <w:rPr>
                <w:rFonts w:ascii="Open Sans Semibold" w:eastAsia="Times New Roman" w:hAnsi="Open Sans Semibold" w:cs="Open Sans Light"/>
                <w:color w:val="FFFFFF"/>
                <w:sz w:val="16"/>
                <w:szCs w:val="20"/>
                <w:lang w:eastAsia="en-AU"/>
              </w:rPr>
              <w:t xml:space="preserve"> $m</w:t>
            </w:r>
          </w:p>
        </w:tc>
        <w:tc>
          <w:tcPr>
            <w:tcW w:w="1276" w:type="dxa"/>
            <w:tcBorders>
              <w:top w:val="single" w:sz="4" w:space="0" w:color="ADD6EA"/>
              <w:left w:val="nil"/>
              <w:bottom w:val="single" w:sz="4" w:space="0" w:color="ADD6EA"/>
              <w:right w:val="nil"/>
            </w:tcBorders>
            <w:shd w:val="clear" w:color="auto" w:fill="006991"/>
            <w:hideMark/>
          </w:tcPr>
          <w:p w14:paraId="0138FEA7" w14:textId="77777777" w:rsidR="006C2FC5" w:rsidRPr="00C91117" w:rsidRDefault="006C2FC5" w:rsidP="00874F19">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Proposed treatment</w:t>
            </w:r>
          </w:p>
        </w:tc>
        <w:tc>
          <w:tcPr>
            <w:tcW w:w="4678" w:type="dxa"/>
            <w:tcBorders>
              <w:top w:val="single" w:sz="4" w:space="0" w:color="ADD6EA"/>
              <w:left w:val="nil"/>
              <w:bottom w:val="single" w:sz="4" w:space="0" w:color="ADD6EA"/>
              <w:right w:val="nil"/>
            </w:tcBorders>
            <w:shd w:val="clear" w:color="auto" w:fill="006991"/>
            <w:hideMark/>
          </w:tcPr>
          <w:p w14:paraId="028DECBE" w14:textId="77777777" w:rsidR="006C2FC5" w:rsidRPr="00C91117" w:rsidRDefault="006C2FC5" w:rsidP="00874F19">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Reason for treatment</w:t>
            </w:r>
          </w:p>
        </w:tc>
      </w:tr>
      <w:tr w:rsidR="006C2FC5" w:rsidRPr="00C91117" w14:paraId="285AA851" w14:textId="77777777" w:rsidTr="00874F19">
        <w:trPr>
          <w:trHeight w:val="259"/>
        </w:trPr>
        <w:tc>
          <w:tcPr>
            <w:tcW w:w="2410" w:type="dxa"/>
            <w:tcBorders>
              <w:top w:val="single" w:sz="4" w:space="0" w:color="ADD6EA"/>
              <w:left w:val="nil"/>
              <w:bottom w:val="single" w:sz="4" w:space="0" w:color="ADD6EA"/>
              <w:right w:val="nil"/>
            </w:tcBorders>
            <w:shd w:val="clear" w:color="auto" w:fill="B6D5E4"/>
            <w:hideMark/>
          </w:tcPr>
          <w:p w14:paraId="70CBE4BD" w14:textId="77777777" w:rsidR="006C2FC5" w:rsidRPr="00C91117" w:rsidRDefault="006C2FC5" w:rsidP="00874F19">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Light"/>
                <w:color w:val="000000"/>
                <w:sz w:val="16"/>
                <w:szCs w:val="20"/>
                <w:lang w:eastAsia="en-AU"/>
              </w:rPr>
              <w:t>Health</w:t>
            </w:r>
          </w:p>
        </w:tc>
        <w:tc>
          <w:tcPr>
            <w:tcW w:w="4394" w:type="dxa"/>
            <w:tcBorders>
              <w:top w:val="single" w:sz="4" w:space="0" w:color="ADD6EA"/>
              <w:left w:val="nil"/>
              <w:bottom w:val="single" w:sz="4" w:space="0" w:color="ADD6EA"/>
              <w:right w:val="nil"/>
            </w:tcBorders>
            <w:shd w:val="clear" w:color="auto" w:fill="B6D5E4"/>
            <w:noWrap/>
            <w:hideMark/>
          </w:tcPr>
          <w:p w14:paraId="591324F3" w14:textId="77777777" w:rsidR="006C2FC5" w:rsidRPr="00C91117" w:rsidRDefault="006C2FC5" w:rsidP="00874F19">
            <w:pPr>
              <w:spacing w:line="240" w:lineRule="auto"/>
              <w:jc w:val="right"/>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1134" w:type="dxa"/>
            <w:tcBorders>
              <w:top w:val="single" w:sz="4" w:space="0" w:color="ADD6EA"/>
              <w:left w:val="nil"/>
              <w:bottom w:val="single" w:sz="4" w:space="0" w:color="ADD6EA"/>
              <w:right w:val="nil"/>
            </w:tcBorders>
            <w:shd w:val="clear" w:color="auto" w:fill="B6D5E4"/>
            <w:noWrap/>
            <w:tcMar>
              <w:right w:w="85" w:type="dxa"/>
            </w:tcMar>
            <w:hideMark/>
          </w:tcPr>
          <w:p w14:paraId="4E7D714B" w14:textId="77777777" w:rsidR="006C2FC5" w:rsidRPr="00C91117" w:rsidRDefault="006C2FC5" w:rsidP="00874F19">
            <w:pPr>
              <w:spacing w:line="240" w:lineRule="auto"/>
              <w:ind w:right="227"/>
              <w:jc w:val="right"/>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1276" w:type="dxa"/>
            <w:tcBorders>
              <w:top w:val="single" w:sz="4" w:space="0" w:color="ADD6EA"/>
              <w:left w:val="nil"/>
              <w:bottom w:val="single" w:sz="4" w:space="0" w:color="ADD6EA"/>
              <w:right w:val="nil"/>
            </w:tcBorders>
            <w:shd w:val="clear" w:color="auto" w:fill="B6D5E4"/>
            <w:noWrap/>
            <w:hideMark/>
          </w:tcPr>
          <w:p w14:paraId="3D701D1E" w14:textId="77777777" w:rsidR="006C2FC5" w:rsidRPr="00C91117" w:rsidRDefault="006C2FC5" w:rsidP="00874F19">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1119DDB2" w14:textId="77777777" w:rsidR="006C2FC5" w:rsidRPr="00C91117" w:rsidRDefault="006C2FC5" w:rsidP="00874F19">
            <w:pPr>
              <w:spacing w:line="240" w:lineRule="auto"/>
              <w:jc w:val="right"/>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r>
      <w:tr w:rsidR="006C2FC5" w:rsidRPr="00EB0105" w14:paraId="0BEA8B11" w14:textId="77777777" w:rsidTr="00874F19">
        <w:trPr>
          <w:trHeight w:val="707"/>
        </w:trPr>
        <w:tc>
          <w:tcPr>
            <w:tcW w:w="2410" w:type="dxa"/>
            <w:tcBorders>
              <w:top w:val="single" w:sz="4" w:space="0" w:color="ADD6EA"/>
              <w:left w:val="nil"/>
              <w:bottom w:val="single" w:sz="4" w:space="0" w:color="ADD6EA"/>
              <w:right w:val="nil"/>
            </w:tcBorders>
          </w:tcPr>
          <w:p w14:paraId="38F7FD2C" w14:textId="77777777" w:rsidR="006C2FC5" w:rsidRPr="00E84E03" w:rsidRDefault="006C2FC5" w:rsidP="00874F19">
            <w:pPr>
              <w:spacing w:line="240" w:lineRule="auto"/>
              <w:rPr>
                <w:rFonts w:ascii="Open Sans Light" w:hAnsi="Open Sans Light" w:cs="Open Sans Light"/>
                <w:sz w:val="16"/>
                <w:szCs w:val="16"/>
                <w:highlight w:val="yellow"/>
              </w:rPr>
            </w:pPr>
            <w:r w:rsidRPr="00E84E03">
              <w:rPr>
                <w:rFonts w:ascii="Open Sans Light" w:hAnsi="Open Sans Light" w:cs="Open Sans Light"/>
                <w:sz w:val="16"/>
                <w:szCs w:val="16"/>
              </w:rPr>
              <w:t>Be</w:t>
            </w:r>
            <w:r>
              <w:rPr>
                <w:rFonts w:ascii="Open Sans Light" w:hAnsi="Open Sans Light" w:cs="Open Sans Light"/>
                <w:sz w:val="16"/>
                <w:szCs w:val="16"/>
              </w:rPr>
              <w:t xml:space="preserve">ntley Hospital </w:t>
            </w:r>
            <w:proofErr w:type="spellStart"/>
            <w:r>
              <w:rPr>
                <w:rFonts w:ascii="Open Sans Light" w:hAnsi="Open Sans Light" w:cs="Open Sans Light"/>
                <w:sz w:val="16"/>
                <w:szCs w:val="16"/>
              </w:rPr>
              <w:t>Surgicentre</w:t>
            </w:r>
            <w:proofErr w:type="spellEnd"/>
          </w:p>
        </w:tc>
        <w:tc>
          <w:tcPr>
            <w:tcW w:w="4394" w:type="dxa"/>
            <w:tcBorders>
              <w:top w:val="single" w:sz="4" w:space="0" w:color="ADD6EA"/>
              <w:left w:val="nil"/>
              <w:bottom w:val="single" w:sz="4" w:space="0" w:color="ADD6EA"/>
              <w:right w:val="nil"/>
            </w:tcBorders>
          </w:tcPr>
          <w:p w14:paraId="1CB86158" w14:textId="77777777" w:rsidR="006C2FC5" w:rsidRPr="00EF66D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BC57EE">
              <w:rPr>
                <w:rFonts w:ascii="Open Sans Light" w:eastAsia="Times New Roman" w:hAnsi="Open Sans Light" w:cs="Open Sans Light"/>
                <w:color w:val="000000"/>
                <w:sz w:val="16"/>
                <w:szCs w:val="16"/>
                <w:lang w:eastAsia="en-AU"/>
              </w:rPr>
              <w:t xml:space="preserve">unding to deliver a new Bentley Hospital </w:t>
            </w:r>
            <w:proofErr w:type="spellStart"/>
            <w:r w:rsidRPr="00BC57EE">
              <w:rPr>
                <w:rFonts w:ascii="Open Sans Light" w:eastAsia="Times New Roman" w:hAnsi="Open Sans Light" w:cs="Open Sans Light"/>
                <w:color w:val="000000"/>
                <w:sz w:val="16"/>
                <w:szCs w:val="16"/>
                <w:lang w:eastAsia="en-AU"/>
              </w:rPr>
              <w:t>Surgicentre</w:t>
            </w:r>
            <w:proofErr w:type="spellEnd"/>
            <w:r>
              <w:rPr>
                <w:rFonts w:ascii="Open Sans Light" w:eastAsia="Times New Roman" w:hAnsi="Open Sans Light" w:cs="Open Sans Light"/>
                <w:color w:val="000000"/>
                <w:sz w:val="16"/>
                <w:szCs w:val="16"/>
                <w:lang w:eastAsia="en-AU"/>
              </w:rPr>
              <w:t>, which</w:t>
            </w:r>
            <w:r w:rsidDel="000E3E55">
              <w:rPr>
                <w:rFonts w:ascii="Open Sans Light" w:eastAsia="Times New Roman" w:hAnsi="Open Sans Light" w:cs="Open Sans Light"/>
                <w:color w:val="000000"/>
                <w:sz w:val="16"/>
                <w:szCs w:val="16"/>
                <w:lang w:eastAsia="en-AU"/>
              </w:rPr>
              <w:t xml:space="preserve"> </w:t>
            </w:r>
            <w:r>
              <w:rPr>
                <w:rFonts w:ascii="Open Sans Light" w:eastAsia="Times New Roman" w:hAnsi="Open Sans Light" w:cs="Open Sans Light"/>
                <w:color w:val="000000"/>
                <w:sz w:val="16"/>
                <w:szCs w:val="16"/>
                <w:lang w:eastAsia="en-AU"/>
              </w:rPr>
              <w:t>will</w:t>
            </w:r>
            <w:r w:rsidRPr="00BC57EE">
              <w:rPr>
                <w:rFonts w:ascii="Open Sans Light" w:eastAsia="Times New Roman" w:hAnsi="Open Sans Light" w:cs="Open Sans Light"/>
                <w:color w:val="000000"/>
                <w:sz w:val="16"/>
                <w:szCs w:val="16"/>
                <w:lang w:eastAsia="en-AU"/>
              </w:rPr>
              <w:t xml:space="preserve"> separate non-complex elective surgery from emergency surgery.</w:t>
            </w:r>
          </w:p>
        </w:tc>
        <w:tc>
          <w:tcPr>
            <w:tcW w:w="1134" w:type="dxa"/>
            <w:tcBorders>
              <w:top w:val="single" w:sz="4" w:space="0" w:color="ADD6EA"/>
              <w:left w:val="nil"/>
              <w:bottom w:val="single" w:sz="4" w:space="0" w:color="ADD6EA"/>
              <w:right w:val="nil"/>
            </w:tcBorders>
            <w:noWrap/>
            <w:tcMar>
              <w:right w:w="85" w:type="dxa"/>
            </w:tcMar>
          </w:tcPr>
          <w:p w14:paraId="687B3712" w14:textId="61887681" w:rsidR="006C2FC5" w:rsidRPr="00EF66D7" w:rsidRDefault="00B97B97" w:rsidP="00874F19">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15</w:t>
            </w:r>
            <w:r w:rsidR="006C2FC5">
              <w:rPr>
                <w:rFonts w:ascii="Open Sans Light" w:eastAsia="Times New Roman" w:hAnsi="Open Sans Light" w:cs="Open Sans Light"/>
                <w:color w:val="000000"/>
                <w:sz w:val="16"/>
                <w:szCs w:val="16"/>
                <w:lang w:eastAsia="en-AU"/>
              </w:rPr>
              <w:t>.6</w:t>
            </w:r>
          </w:p>
        </w:tc>
        <w:tc>
          <w:tcPr>
            <w:tcW w:w="1276" w:type="dxa"/>
            <w:tcBorders>
              <w:top w:val="single" w:sz="4" w:space="0" w:color="ADD6EA"/>
              <w:left w:val="nil"/>
              <w:bottom w:val="single" w:sz="4" w:space="0" w:color="ADD6EA"/>
              <w:right w:val="nil"/>
            </w:tcBorders>
            <w:noWrap/>
          </w:tcPr>
          <w:p w14:paraId="59FCA007" w14:textId="77777777" w:rsidR="006C2FC5" w:rsidRPr="009D270E"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4B941B5D" w14:textId="77777777" w:rsidR="006C2FC5" w:rsidRPr="009D270E"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Investment in </w:t>
            </w:r>
            <w:r w:rsidRPr="006A2845">
              <w:rPr>
                <w:rFonts w:ascii="Open Sans Light" w:eastAsia="Times New Roman" w:hAnsi="Open Sans Light" w:cs="Open Sans Light"/>
                <w:color w:val="000000"/>
                <w:sz w:val="16"/>
                <w:szCs w:val="16"/>
                <w:lang w:eastAsia="en-AU"/>
              </w:rPr>
              <w:t xml:space="preserve">hospital infrastructure </w:t>
            </w:r>
            <w:r>
              <w:rPr>
                <w:rFonts w:ascii="Open Sans Light" w:eastAsia="Times New Roman" w:hAnsi="Open Sans Light" w:cs="Open Sans Light"/>
                <w:color w:val="000000"/>
                <w:sz w:val="16"/>
                <w:szCs w:val="16"/>
                <w:lang w:eastAsia="en-AU"/>
              </w:rPr>
              <w:t xml:space="preserve">is a state </w:t>
            </w:r>
            <w:proofErr w:type="gramStart"/>
            <w:r>
              <w:rPr>
                <w:rFonts w:ascii="Open Sans Light" w:eastAsia="Times New Roman" w:hAnsi="Open Sans Light" w:cs="Open Sans Light"/>
                <w:color w:val="000000"/>
                <w:sz w:val="16"/>
                <w:szCs w:val="16"/>
                <w:lang w:eastAsia="en-AU"/>
              </w:rPr>
              <w:t>service</w:t>
            </w:r>
            <w:proofErr w:type="gramEnd"/>
            <w:r>
              <w:rPr>
                <w:rFonts w:ascii="Open Sans Light" w:eastAsia="Times New Roman" w:hAnsi="Open Sans Light" w:cs="Open Sans Light"/>
                <w:color w:val="000000"/>
                <w:sz w:val="16"/>
                <w:szCs w:val="16"/>
                <w:lang w:eastAsia="en-AU"/>
              </w:rPr>
              <w:t xml:space="preserve"> and </w:t>
            </w:r>
            <w:r w:rsidRPr="006A2845">
              <w:rPr>
                <w:rFonts w:ascii="Open Sans Light" w:eastAsia="Times New Roman" w:hAnsi="Open Sans Light" w:cs="Open Sans Light"/>
                <w:color w:val="000000"/>
                <w:sz w:val="16"/>
                <w:szCs w:val="16"/>
                <w:lang w:eastAsia="en-AU"/>
              </w:rPr>
              <w:t>needs are assessed.</w:t>
            </w:r>
          </w:p>
        </w:tc>
      </w:tr>
      <w:tr w:rsidR="006C2FC5" w:rsidRPr="00EB0105" w14:paraId="25787DF5" w14:textId="77777777" w:rsidTr="00874F19">
        <w:trPr>
          <w:trHeight w:val="881"/>
        </w:trPr>
        <w:tc>
          <w:tcPr>
            <w:tcW w:w="2410" w:type="dxa"/>
            <w:tcBorders>
              <w:top w:val="single" w:sz="4" w:space="0" w:color="ADD6EA"/>
              <w:left w:val="nil"/>
              <w:bottom w:val="single" w:sz="4" w:space="0" w:color="ADD6EA"/>
              <w:right w:val="nil"/>
            </w:tcBorders>
          </w:tcPr>
          <w:p w14:paraId="3FE5BB35" w14:textId="77777777" w:rsidR="006C2FC5" w:rsidRDefault="006C2FC5" w:rsidP="00874F19">
            <w:pPr>
              <w:spacing w:line="240" w:lineRule="auto"/>
              <w:rPr>
                <w:rFonts w:ascii="Open Sans Light" w:hAnsi="Open Sans Light" w:cs="Open Sans Light"/>
                <w:sz w:val="16"/>
                <w:szCs w:val="16"/>
              </w:rPr>
            </w:pPr>
            <w:r w:rsidRPr="00225191">
              <w:rPr>
                <w:rFonts w:ascii="Open Sans Light" w:hAnsi="Open Sans Light" w:cs="Open Sans Light"/>
                <w:sz w:val="16"/>
                <w:szCs w:val="16"/>
              </w:rPr>
              <w:t>Expansion of the Flinders Medical Centre</w:t>
            </w:r>
          </w:p>
        </w:tc>
        <w:tc>
          <w:tcPr>
            <w:tcW w:w="4394" w:type="dxa"/>
            <w:tcBorders>
              <w:top w:val="single" w:sz="4" w:space="0" w:color="ADD6EA"/>
              <w:left w:val="nil"/>
              <w:bottom w:val="single" w:sz="4" w:space="0" w:color="ADD6EA"/>
              <w:right w:val="nil"/>
            </w:tcBorders>
          </w:tcPr>
          <w:p w14:paraId="6B4BA449"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DA4F23">
              <w:rPr>
                <w:rFonts w:ascii="Open Sans Light" w:eastAsia="Times New Roman" w:hAnsi="Open Sans Light" w:cs="Open Sans Light"/>
                <w:color w:val="000000"/>
                <w:sz w:val="16"/>
                <w:szCs w:val="16"/>
                <w:lang w:eastAsia="en-AU"/>
              </w:rPr>
              <w:t>und</w:t>
            </w:r>
            <w:r>
              <w:rPr>
                <w:rFonts w:ascii="Open Sans Light" w:eastAsia="Times New Roman" w:hAnsi="Open Sans Light" w:cs="Open Sans Light"/>
                <w:color w:val="000000"/>
                <w:sz w:val="16"/>
                <w:szCs w:val="16"/>
                <w:lang w:eastAsia="en-AU"/>
              </w:rPr>
              <w:t>ing for</w:t>
            </w:r>
            <w:r w:rsidRPr="00DA4F23">
              <w:rPr>
                <w:rFonts w:ascii="Open Sans Light" w:eastAsia="Times New Roman" w:hAnsi="Open Sans Light" w:cs="Open Sans Light"/>
                <w:color w:val="000000"/>
                <w:sz w:val="16"/>
                <w:szCs w:val="16"/>
                <w:lang w:eastAsia="en-AU"/>
              </w:rPr>
              <w:t xml:space="preserve"> an expansion of the Flinders Medical Centre, delivering 160 extra beds for the south of Adelaide.</w:t>
            </w:r>
          </w:p>
        </w:tc>
        <w:tc>
          <w:tcPr>
            <w:tcW w:w="1134" w:type="dxa"/>
            <w:tcBorders>
              <w:top w:val="single" w:sz="4" w:space="0" w:color="ADD6EA"/>
              <w:left w:val="nil"/>
              <w:bottom w:val="single" w:sz="4" w:space="0" w:color="ADD6EA"/>
              <w:right w:val="nil"/>
            </w:tcBorders>
            <w:noWrap/>
            <w:tcMar>
              <w:right w:w="85" w:type="dxa"/>
            </w:tcMar>
          </w:tcPr>
          <w:p w14:paraId="4FEA8206" w14:textId="77AF092E" w:rsidR="006C2FC5" w:rsidRDefault="00F32CA2" w:rsidP="00874F19">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59</w:t>
            </w:r>
            <w:r w:rsidR="006C2FC5">
              <w:rPr>
                <w:rFonts w:ascii="Open Sans Light" w:eastAsia="Times New Roman" w:hAnsi="Open Sans Light" w:cs="Open Sans Light"/>
                <w:color w:val="000000"/>
                <w:sz w:val="16"/>
                <w:szCs w:val="16"/>
                <w:lang w:eastAsia="en-AU"/>
              </w:rPr>
              <w:t>.5</w:t>
            </w:r>
          </w:p>
        </w:tc>
        <w:tc>
          <w:tcPr>
            <w:tcW w:w="1276" w:type="dxa"/>
            <w:tcBorders>
              <w:top w:val="single" w:sz="4" w:space="0" w:color="ADD6EA"/>
              <w:left w:val="nil"/>
              <w:bottom w:val="single" w:sz="4" w:space="0" w:color="ADD6EA"/>
              <w:right w:val="nil"/>
            </w:tcBorders>
            <w:noWrap/>
          </w:tcPr>
          <w:p w14:paraId="728B039B"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5A1652EF" w14:textId="77777777" w:rsidR="006C2FC5" w:rsidRPr="00EB0105" w:rsidRDefault="006C2FC5" w:rsidP="00874F19">
            <w:pPr>
              <w:spacing w:line="240" w:lineRule="auto"/>
              <w:rPr>
                <w:rFonts w:ascii="Open Sans Light" w:eastAsia="Times New Roman" w:hAnsi="Open Sans Light" w:cs="Open Sans Light"/>
                <w:color w:val="000000"/>
                <w:sz w:val="16"/>
                <w:szCs w:val="16"/>
                <w:highlight w:val="yellow"/>
                <w:lang w:eastAsia="en-AU"/>
              </w:rPr>
            </w:pPr>
            <w:r>
              <w:rPr>
                <w:rFonts w:ascii="Open Sans Light" w:eastAsia="Times New Roman" w:hAnsi="Open Sans Light" w:cs="Open Sans Light"/>
                <w:color w:val="000000"/>
                <w:sz w:val="16"/>
                <w:szCs w:val="16"/>
                <w:lang w:eastAsia="en-AU"/>
              </w:rPr>
              <w:t xml:space="preserve">Investment in </w:t>
            </w:r>
            <w:r w:rsidRPr="006A2845">
              <w:rPr>
                <w:rFonts w:ascii="Open Sans Light" w:eastAsia="Times New Roman" w:hAnsi="Open Sans Light" w:cs="Open Sans Light"/>
                <w:color w:val="000000"/>
                <w:sz w:val="16"/>
                <w:szCs w:val="16"/>
                <w:lang w:eastAsia="en-AU"/>
              </w:rPr>
              <w:t xml:space="preserve">hospital infrastructure </w:t>
            </w:r>
            <w:r>
              <w:rPr>
                <w:rFonts w:ascii="Open Sans Light" w:eastAsia="Times New Roman" w:hAnsi="Open Sans Light" w:cs="Open Sans Light"/>
                <w:color w:val="000000"/>
                <w:sz w:val="16"/>
                <w:szCs w:val="16"/>
                <w:lang w:eastAsia="en-AU"/>
              </w:rPr>
              <w:t xml:space="preserve">is a state </w:t>
            </w:r>
            <w:proofErr w:type="gramStart"/>
            <w:r>
              <w:rPr>
                <w:rFonts w:ascii="Open Sans Light" w:eastAsia="Times New Roman" w:hAnsi="Open Sans Light" w:cs="Open Sans Light"/>
                <w:color w:val="000000"/>
                <w:sz w:val="16"/>
                <w:szCs w:val="16"/>
                <w:lang w:eastAsia="en-AU"/>
              </w:rPr>
              <w:t>service</w:t>
            </w:r>
            <w:proofErr w:type="gramEnd"/>
            <w:r>
              <w:rPr>
                <w:rFonts w:ascii="Open Sans Light" w:eastAsia="Times New Roman" w:hAnsi="Open Sans Light" w:cs="Open Sans Light"/>
                <w:color w:val="000000"/>
                <w:sz w:val="16"/>
                <w:szCs w:val="16"/>
                <w:lang w:eastAsia="en-AU"/>
              </w:rPr>
              <w:t xml:space="preserve"> and </w:t>
            </w:r>
            <w:r w:rsidRPr="006A2845">
              <w:rPr>
                <w:rFonts w:ascii="Open Sans Light" w:eastAsia="Times New Roman" w:hAnsi="Open Sans Light" w:cs="Open Sans Light"/>
                <w:color w:val="000000"/>
                <w:sz w:val="16"/>
                <w:szCs w:val="16"/>
                <w:lang w:eastAsia="en-AU"/>
              </w:rPr>
              <w:t>needs are assessed.</w:t>
            </w:r>
          </w:p>
        </w:tc>
      </w:tr>
      <w:tr w:rsidR="006C2FC5" w:rsidRPr="00EB0105" w14:paraId="65BF9FFF" w14:textId="77777777" w:rsidTr="00874F19">
        <w:trPr>
          <w:trHeight w:val="707"/>
        </w:trPr>
        <w:tc>
          <w:tcPr>
            <w:tcW w:w="2410" w:type="dxa"/>
            <w:tcBorders>
              <w:top w:val="single" w:sz="4" w:space="0" w:color="ADD6EA"/>
              <w:left w:val="nil"/>
              <w:bottom w:val="single" w:sz="4" w:space="0" w:color="ADD6EA"/>
              <w:right w:val="nil"/>
            </w:tcBorders>
          </w:tcPr>
          <w:p w14:paraId="1A84DF65"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sidRPr="00895180">
              <w:rPr>
                <w:rFonts w:ascii="Open Sans Light" w:eastAsia="Times New Roman" w:hAnsi="Open Sans Light" w:cs="Open Sans Light"/>
                <w:color w:val="000000"/>
                <w:sz w:val="16"/>
                <w:szCs w:val="16"/>
                <w:lang w:eastAsia="en-AU"/>
              </w:rPr>
              <w:t>Health and Medical Research Centre for Launceston</w:t>
            </w:r>
          </w:p>
        </w:tc>
        <w:tc>
          <w:tcPr>
            <w:tcW w:w="4394" w:type="dxa"/>
            <w:tcBorders>
              <w:top w:val="single" w:sz="4" w:space="0" w:color="ADD6EA"/>
              <w:left w:val="nil"/>
              <w:bottom w:val="single" w:sz="4" w:space="0" w:color="ADD6EA"/>
              <w:right w:val="nil"/>
            </w:tcBorders>
          </w:tcPr>
          <w:p w14:paraId="767AF2CA"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6B6F8D">
              <w:rPr>
                <w:rFonts w:ascii="Open Sans Light" w:eastAsia="Times New Roman" w:hAnsi="Open Sans Light" w:cs="Open Sans Light"/>
                <w:color w:val="000000"/>
                <w:sz w:val="16"/>
                <w:szCs w:val="16"/>
                <w:lang w:eastAsia="en-AU"/>
              </w:rPr>
              <w:t>unding to develop a medical research centre within the Launceston General Hospital</w:t>
            </w:r>
            <w:r>
              <w:rPr>
                <w:rFonts w:ascii="Open Sans Light" w:eastAsia="Times New Roman" w:hAnsi="Open Sans Light" w:cs="Open Sans Light"/>
                <w:color w:val="000000"/>
                <w:sz w:val="16"/>
                <w:szCs w:val="16"/>
                <w:lang w:eastAsia="en-AU"/>
              </w:rPr>
              <w:t>.</w:t>
            </w:r>
          </w:p>
        </w:tc>
        <w:tc>
          <w:tcPr>
            <w:tcW w:w="1134" w:type="dxa"/>
            <w:tcBorders>
              <w:top w:val="single" w:sz="4" w:space="0" w:color="ADD6EA"/>
              <w:left w:val="nil"/>
              <w:bottom w:val="single" w:sz="4" w:space="0" w:color="ADD6EA"/>
              <w:right w:val="nil"/>
            </w:tcBorders>
            <w:noWrap/>
            <w:tcMar>
              <w:right w:w="85" w:type="dxa"/>
            </w:tcMar>
          </w:tcPr>
          <w:p w14:paraId="65C12C10" w14:textId="22FB5713" w:rsidR="006C2FC5" w:rsidRPr="00EB0105" w:rsidRDefault="000D3D86" w:rsidP="00874F19">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w:t>
            </w:r>
            <w:r w:rsidR="006C2FC5">
              <w:rPr>
                <w:rFonts w:ascii="Open Sans Light" w:eastAsia="Times New Roman" w:hAnsi="Open Sans Light" w:cs="Open Sans Light"/>
                <w:color w:val="000000"/>
                <w:sz w:val="16"/>
                <w:szCs w:val="16"/>
                <w:lang w:eastAsia="en-AU"/>
              </w:rPr>
              <w:t>.4</w:t>
            </w:r>
          </w:p>
        </w:tc>
        <w:tc>
          <w:tcPr>
            <w:tcW w:w="1276" w:type="dxa"/>
            <w:tcBorders>
              <w:top w:val="single" w:sz="4" w:space="0" w:color="ADD6EA"/>
              <w:left w:val="nil"/>
              <w:bottom w:val="single" w:sz="4" w:space="0" w:color="ADD6EA"/>
              <w:right w:val="nil"/>
            </w:tcBorders>
            <w:noWrap/>
          </w:tcPr>
          <w:p w14:paraId="3EC4453E"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0AA136CA" w14:textId="77777777" w:rsidR="006C2FC5" w:rsidRPr="00EB0105" w:rsidRDefault="006C2FC5" w:rsidP="00874F19">
            <w:pPr>
              <w:spacing w:line="240" w:lineRule="auto"/>
              <w:rPr>
                <w:rFonts w:ascii="Open Sans Light" w:eastAsia="Times New Roman" w:hAnsi="Open Sans Light" w:cs="Open Sans Light"/>
                <w:color w:val="000000"/>
                <w:sz w:val="16"/>
                <w:szCs w:val="16"/>
                <w:highlight w:val="yellow"/>
                <w:lang w:eastAsia="en-AU"/>
              </w:rPr>
            </w:pPr>
            <w:r>
              <w:rPr>
                <w:rFonts w:ascii="Open Sans Light" w:eastAsia="Times New Roman" w:hAnsi="Open Sans Light" w:cs="Open Sans Light"/>
                <w:color w:val="000000"/>
                <w:sz w:val="16"/>
                <w:szCs w:val="16"/>
                <w:lang w:eastAsia="en-AU"/>
              </w:rPr>
              <w:t>Medical r</w:t>
            </w:r>
            <w:r w:rsidRPr="00877542">
              <w:rPr>
                <w:rFonts w:ascii="Open Sans Light" w:eastAsia="Times New Roman" w:hAnsi="Open Sans Light" w:cs="Open Sans Light"/>
                <w:color w:val="000000"/>
                <w:sz w:val="16"/>
                <w:szCs w:val="16"/>
                <w:lang w:eastAsia="en-AU"/>
              </w:rPr>
              <w:t>esearch</w:t>
            </w:r>
            <w:r>
              <w:rPr>
                <w:rFonts w:ascii="Open Sans Light" w:eastAsia="Times New Roman" w:hAnsi="Open Sans Light" w:cs="Open Sans Light"/>
                <w:color w:val="000000"/>
                <w:sz w:val="16"/>
                <w:szCs w:val="16"/>
                <w:lang w:eastAsia="en-AU"/>
              </w:rPr>
              <w:t xml:space="preserve"> contributes to</w:t>
            </w:r>
            <w:r w:rsidRPr="00877542">
              <w:rPr>
                <w:rFonts w:ascii="Open Sans Light" w:eastAsia="Times New Roman" w:hAnsi="Open Sans Light" w:cs="Open Sans Light"/>
                <w:color w:val="000000"/>
                <w:sz w:val="16"/>
                <w:szCs w:val="16"/>
                <w:lang w:eastAsia="en-AU"/>
              </w:rPr>
              <w:t xml:space="preserve"> community health</w:t>
            </w:r>
            <w:r>
              <w:rPr>
                <w:rFonts w:ascii="Open Sans Light" w:eastAsia="Times New Roman" w:hAnsi="Open Sans Light" w:cs="Open Sans Light"/>
                <w:color w:val="000000"/>
                <w:sz w:val="16"/>
                <w:szCs w:val="16"/>
                <w:lang w:eastAsia="en-AU"/>
              </w:rPr>
              <w:t xml:space="preserve"> services. Community health is </w:t>
            </w:r>
            <w:r w:rsidRPr="00877542">
              <w:rPr>
                <w:rFonts w:ascii="Open Sans Light" w:eastAsia="Times New Roman" w:hAnsi="Open Sans Light" w:cs="Open Sans Light"/>
                <w:color w:val="000000"/>
                <w:sz w:val="16"/>
                <w:szCs w:val="16"/>
                <w:lang w:eastAsia="en-AU"/>
              </w:rPr>
              <w:t xml:space="preserve">a state </w:t>
            </w:r>
            <w:r>
              <w:rPr>
                <w:rFonts w:ascii="Open Sans Light" w:eastAsia="Times New Roman" w:hAnsi="Open Sans Light" w:cs="Open Sans Light"/>
                <w:color w:val="000000"/>
                <w:sz w:val="16"/>
                <w:szCs w:val="16"/>
                <w:lang w:eastAsia="en-AU"/>
              </w:rPr>
              <w:t>service, and</w:t>
            </w:r>
            <w:r w:rsidRPr="00877542">
              <w:rPr>
                <w:rFonts w:ascii="Open Sans Light" w:eastAsia="Times New Roman" w:hAnsi="Open Sans Light" w:cs="Open Sans Light"/>
                <w:color w:val="000000"/>
                <w:sz w:val="16"/>
                <w:szCs w:val="16"/>
                <w:lang w:eastAsia="en-AU"/>
              </w:rPr>
              <w:t xml:space="preserve"> needs are assessed.</w:t>
            </w:r>
          </w:p>
        </w:tc>
      </w:tr>
      <w:tr w:rsidR="006C2FC5" w:rsidRPr="00EB0105" w14:paraId="51D92102" w14:textId="77777777" w:rsidTr="00874F19">
        <w:trPr>
          <w:trHeight w:val="536"/>
        </w:trPr>
        <w:tc>
          <w:tcPr>
            <w:tcW w:w="2410" w:type="dxa"/>
            <w:tcBorders>
              <w:top w:val="single" w:sz="4" w:space="0" w:color="ADD6EA"/>
              <w:left w:val="nil"/>
              <w:bottom w:val="single" w:sz="4" w:space="0" w:color="ADD6EA"/>
              <w:right w:val="nil"/>
            </w:tcBorders>
          </w:tcPr>
          <w:p w14:paraId="41ADDA12" w14:textId="77777777" w:rsidR="006C2FC5" w:rsidRDefault="006C2FC5" w:rsidP="00874F19">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t>Integration and Empowerment Services and Wanneroo Seniors Club</w:t>
            </w:r>
          </w:p>
        </w:tc>
        <w:tc>
          <w:tcPr>
            <w:tcW w:w="4394" w:type="dxa"/>
            <w:tcBorders>
              <w:top w:val="single" w:sz="4" w:space="0" w:color="ADD6EA"/>
              <w:left w:val="nil"/>
              <w:bottom w:val="single" w:sz="4" w:space="0" w:color="ADD6EA"/>
              <w:right w:val="nil"/>
            </w:tcBorders>
          </w:tcPr>
          <w:p w14:paraId="4593C81E" w14:textId="786F385F"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sz w:val="16"/>
                <w:szCs w:val="16"/>
              </w:rPr>
              <w:t>F</w:t>
            </w:r>
            <w:r w:rsidRPr="00E8325D">
              <w:rPr>
                <w:rFonts w:ascii="Open Sans Light" w:hAnsi="Open Sans Light" w:cs="Open Sans Light"/>
                <w:sz w:val="16"/>
                <w:szCs w:val="16"/>
              </w:rPr>
              <w:t>unding</w:t>
            </w:r>
            <w:r>
              <w:rPr>
                <w:rFonts w:ascii="Open Sans Light" w:hAnsi="Open Sans Light" w:cs="Open Sans Light"/>
                <w:sz w:val="16"/>
                <w:szCs w:val="16"/>
              </w:rPr>
              <w:t>,</w:t>
            </w:r>
            <w:r w:rsidRPr="00E8325D">
              <w:rPr>
                <w:rFonts w:ascii="Open Sans Light" w:hAnsi="Open Sans Light" w:cs="Open Sans Light"/>
                <w:sz w:val="16"/>
                <w:szCs w:val="16"/>
              </w:rPr>
              <w:t xml:space="preserve"> </w:t>
            </w:r>
            <w:r>
              <w:rPr>
                <w:rFonts w:ascii="Open Sans Light" w:hAnsi="Open Sans Light" w:cs="Open Sans Light"/>
                <w:sz w:val="16"/>
                <w:szCs w:val="16"/>
              </w:rPr>
              <w:t>through</w:t>
            </w:r>
            <w:r w:rsidRPr="00E8325D">
              <w:rPr>
                <w:rFonts w:ascii="Open Sans Light" w:hAnsi="Open Sans Light" w:cs="Open Sans Light"/>
                <w:sz w:val="16"/>
                <w:szCs w:val="16"/>
              </w:rPr>
              <w:t xml:space="preserve"> the Western Australia Government</w:t>
            </w:r>
            <w:r>
              <w:rPr>
                <w:rFonts w:ascii="Open Sans Light" w:hAnsi="Open Sans Light" w:cs="Open Sans Light"/>
                <w:sz w:val="16"/>
                <w:szCs w:val="16"/>
              </w:rPr>
              <w:t>,</w:t>
            </w:r>
            <w:r w:rsidRPr="00E8325D">
              <w:rPr>
                <w:rFonts w:ascii="Open Sans Light" w:hAnsi="Open Sans Light" w:cs="Open Sans Light"/>
                <w:sz w:val="16"/>
                <w:szCs w:val="16"/>
              </w:rPr>
              <w:t xml:space="preserve"> to facilitate Integration and Empowerment Services and Wanneroo Senior Citizens Club</w:t>
            </w:r>
            <w:r>
              <w:rPr>
                <w:rFonts w:ascii="Open Sans Light" w:hAnsi="Open Sans Light" w:cs="Open Sans Light"/>
                <w:sz w:val="16"/>
                <w:szCs w:val="16"/>
              </w:rPr>
              <w:t xml:space="preserve"> organisations</w:t>
            </w:r>
            <w:r w:rsidRPr="00E8325D">
              <w:rPr>
                <w:rFonts w:ascii="Open Sans Light" w:hAnsi="Open Sans Light" w:cs="Open Sans Light"/>
                <w:sz w:val="16"/>
                <w:szCs w:val="16"/>
              </w:rPr>
              <w:t xml:space="preserve">, to support delivery of services for </w:t>
            </w:r>
            <w:r w:rsidR="00C41F64" w:rsidRPr="003B46B3">
              <w:rPr>
                <w:rFonts w:ascii="Open Sans Light" w:eastAsia="Times New Roman" w:hAnsi="Open Sans Light" w:cs="Open Sans Light"/>
                <w:color w:val="000000"/>
                <w:sz w:val="16"/>
                <w:szCs w:val="16"/>
                <w:lang w:eastAsia="en-AU"/>
              </w:rPr>
              <w:t>National Disability Insurance Scheme</w:t>
            </w:r>
            <w:r w:rsidRPr="00E8325D">
              <w:rPr>
                <w:rFonts w:ascii="Open Sans Light" w:hAnsi="Open Sans Light" w:cs="Open Sans Light"/>
                <w:sz w:val="16"/>
                <w:szCs w:val="16"/>
              </w:rPr>
              <w:t xml:space="preserve"> clients and Senior Australians.</w:t>
            </w:r>
          </w:p>
        </w:tc>
        <w:tc>
          <w:tcPr>
            <w:tcW w:w="1134" w:type="dxa"/>
            <w:tcBorders>
              <w:top w:val="single" w:sz="4" w:space="0" w:color="ADD6EA"/>
              <w:left w:val="nil"/>
              <w:bottom w:val="single" w:sz="4" w:space="0" w:color="ADD6EA"/>
              <w:right w:val="nil"/>
            </w:tcBorders>
            <w:noWrap/>
            <w:tcMar>
              <w:right w:w="85" w:type="dxa"/>
            </w:tcMar>
          </w:tcPr>
          <w:p w14:paraId="51711019" w14:textId="77777777" w:rsidR="006C2FC5" w:rsidRDefault="006C2FC5" w:rsidP="00874F19">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0.2</w:t>
            </w:r>
          </w:p>
        </w:tc>
        <w:tc>
          <w:tcPr>
            <w:tcW w:w="1276" w:type="dxa"/>
            <w:tcBorders>
              <w:top w:val="single" w:sz="4" w:space="0" w:color="ADD6EA"/>
              <w:left w:val="nil"/>
              <w:bottom w:val="single" w:sz="4" w:space="0" w:color="ADD6EA"/>
              <w:right w:val="nil"/>
            </w:tcBorders>
            <w:noWrap/>
          </w:tcPr>
          <w:p w14:paraId="798369D1"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417F75DB" w14:textId="77777777" w:rsidR="006C2FC5" w:rsidRPr="00B13C07" w:rsidRDefault="006C2FC5" w:rsidP="00874F19">
            <w:pPr>
              <w:spacing w:line="240" w:lineRule="auto"/>
              <w:rPr>
                <w:rFonts w:ascii="Open Sans Light" w:hAnsi="Open Sans Light" w:cs="Open Sans Light"/>
                <w:sz w:val="16"/>
                <w:szCs w:val="16"/>
              </w:rPr>
            </w:pPr>
            <w:r w:rsidRPr="00287265">
              <w:rPr>
                <w:rFonts w:ascii="Open Sans Light" w:hAnsi="Open Sans Light" w:cs="Open Sans Light"/>
                <w:sz w:val="16"/>
                <w:szCs w:val="16"/>
              </w:rPr>
              <w:t>Delivery of community social welfare programs is a state service. However, needs are not assessed (other welfare).</w:t>
            </w:r>
          </w:p>
        </w:tc>
      </w:tr>
      <w:tr w:rsidR="006C2FC5" w:rsidRPr="00EB0105" w14:paraId="62C726BA" w14:textId="77777777" w:rsidTr="00874F19">
        <w:trPr>
          <w:trHeight w:val="536"/>
        </w:trPr>
        <w:tc>
          <w:tcPr>
            <w:tcW w:w="2410" w:type="dxa"/>
            <w:tcBorders>
              <w:top w:val="single" w:sz="4" w:space="0" w:color="ADD6EA"/>
              <w:left w:val="nil"/>
              <w:bottom w:val="single" w:sz="4" w:space="0" w:color="ADD6EA"/>
              <w:right w:val="nil"/>
            </w:tcBorders>
          </w:tcPr>
          <w:p w14:paraId="11D42A63" w14:textId="77777777" w:rsidR="006C2FC5" w:rsidRDefault="006C2FC5" w:rsidP="00874F19">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t>Access to Eflornithine</w:t>
            </w:r>
          </w:p>
        </w:tc>
        <w:tc>
          <w:tcPr>
            <w:tcW w:w="4394" w:type="dxa"/>
            <w:tcBorders>
              <w:top w:val="single" w:sz="4" w:space="0" w:color="ADD6EA"/>
              <w:left w:val="nil"/>
              <w:bottom w:val="single" w:sz="4" w:space="0" w:color="ADD6EA"/>
              <w:right w:val="nil"/>
            </w:tcBorders>
          </w:tcPr>
          <w:p w14:paraId="136AD795" w14:textId="77777777" w:rsidR="006C2FC5" w:rsidRPr="007843BB" w:rsidRDefault="006C2FC5" w:rsidP="00874F19">
            <w:pPr>
              <w:spacing w:line="240" w:lineRule="auto"/>
              <w:rPr>
                <w:rFonts w:ascii="Open Sans Light" w:eastAsia="Times New Roman" w:hAnsi="Open Sans Light" w:cs="Open Sans Light"/>
                <w:color w:val="000000"/>
                <w:sz w:val="16"/>
                <w:szCs w:val="16"/>
                <w:lang w:eastAsia="en-AU"/>
              </w:rPr>
            </w:pPr>
            <w:r w:rsidRPr="007843BB">
              <w:rPr>
                <w:rFonts w:ascii="Open Sans Light" w:eastAsia="Times New Roman" w:hAnsi="Open Sans Light" w:cs="Open Sans Light"/>
                <w:color w:val="000000"/>
                <w:sz w:val="16"/>
                <w:szCs w:val="16"/>
                <w:lang w:eastAsia="en-AU"/>
              </w:rPr>
              <w:t>Funding to reimburse the cost of purchasing and transporting the medicine eflornithine for eligible patients.</w:t>
            </w:r>
          </w:p>
        </w:tc>
        <w:tc>
          <w:tcPr>
            <w:tcW w:w="1134" w:type="dxa"/>
            <w:tcBorders>
              <w:top w:val="single" w:sz="4" w:space="0" w:color="ADD6EA"/>
              <w:left w:val="nil"/>
              <w:bottom w:val="single" w:sz="4" w:space="0" w:color="ADD6EA"/>
              <w:right w:val="nil"/>
            </w:tcBorders>
            <w:noWrap/>
            <w:tcMar>
              <w:right w:w="85" w:type="dxa"/>
            </w:tcMar>
          </w:tcPr>
          <w:p w14:paraId="04DD2AC7" w14:textId="3FD15C57" w:rsidR="006C2FC5" w:rsidRPr="007843BB" w:rsidRDefault="00140470" w:rsidP="00874F19">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0.8</w:t>
            </w:r>
          </w:p>
        </w:tc>
        <w:tc>
          <w:tcPr>
            <w:tcW w:w="1276" w:type="dxa"/>
            <w:tcBorders>
              <w:top w:val="single" w:sz="4" w:space="0" w:color="ADD6EA"/>
              <w:left w:val="nil"/>
              <w:bottom w:val="single" w:sz="4" w:space="0" w:color="ADD6EA"/>
              <w:right w:val="nil"/>
            </w:tcBorders>
            <w:noWrap/>
          </w:tcPr>
          <w:p w14:paraId="33BEB7E3" w14:textId="77777777" w:rsidR="006C2FC5" w:rsidRPr="007843BB" w:rsidRDefault="006C2FC5" w:rsidP="00874F19">
            <w:pPr>
              <w:spacing w:line="240" w:lineRule="auto"/>
              <w:rPr>
                <w:rFonts w:ascii="Open Sans Light" w:eastAsia="Times New Roman" w:hAnsi="Open Sans Light" w:cs="Open Sans Light"/>
                <w:color w:val="000000"/>
                <w:sz w:val="16"/>
                <w:szCs w:val="16"/>
                <w:lang w:eastAsia="en-AU"/>
              </w:rPr>
            </w:pPr>
            <w:r w:rsidRPr="007843BB">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36A13DA8" w14:textId="26066C13" w:rsidR="006C2FC5" w:rsidRPr="007843BB" w:rsidRDefault="006C2FC5" w:rsidP="00874F19">
            <w:pPr>
              <w:spacing w:line="240" w:lineRule="auto"/>
              <w:rPr>
                <w:rFonts w:ascii="Open Sans Light" w:eastAsia="Times New Roman" w:hAnsi="Open Sans Light" w:cs="Open Sans Light"/>
                <w:color w:val="000000"/>
                <w:sz w:val="16"/>
                <w:szCs w:val="16"/>
                <w:lang w:eastAsia="en-AU"/>
              </w:rPr>
            </w:pPr>
            <w:r w:rsidRPr="007843BB">
              <w:rPr>
                <w:rFonts w:ascii="Open Sans Light" w:eastAsia="Times New Roman" w:hAnsi="Open Sans Light" w:cs="Open Sans Light"/>
                <w:color w:val="000000"/>
                <w:sz w:val="16"/>
                <w:szCs w:val="16"/>
                <w:lang w:eastAsia="en-AU"/>
              </w:rPr>
              <w:t xml:space="preserve">The affordable access to medicines is a service typically provided by the Commonwealth through </w:t>
            </w:r>
            <w:r>
              <w:rPr>
                <w:rFonts w:ascii="Open Sans Light" w:eastAsia="Times New Roman" w:hAnsi="Open Sans Light" w:cs="Open Sans Light"/>
                <w:color w:val="000000"/>
                <w:sz w:val="16"/>
                <w:szCs w:val="16"/>
                <w:lang w:eastAsia="en-AU"/>
              </w:rPr>
              <w:t>the</w:t>
            </w:r>
            <w:r w:rsidRPr="007843BB">
              <w:rPr>
                <w:rFonts w:ascii="Open Sans Light" w:eastAsia="Times New Roman" w:hAnsi="Open Sans Light" w:cs="Open Sans Light"/>
                <w:color w:val="000000"/>
                <w:sz w:val="16"/>
                <w:szCs w:val="16"/>
                <w:lang w:eastAsia="en-AU"/>
              </w:rPr>
              <w:t xml:space="preserve"> Pharmaceutical Benefits Scheme.</w:t>
            </w:r>
          </w:p>
        </w:tc>
      </w:tr>
      <w:tr w:rsidR="006C2FC5" w:rsidRPr="00EB0105" w14:paraId="6FB025F5" w14:textId="77777777" w:rsidTr="00874F19">
        <w:trPr>
          <w:trHeight w:val="536"/>
        </w:trPr>
        <w:tc>
          <w:tcPr>
            <w:tcW w:w="2410" w:type="dxa"/>
            <w:tcBorders>
              <w:top w:val="single" w:sz="4" w:space="0" w:color="ADD6EA"/>
              <w:left w:val="nil"/>
              <w:bottom w:val="single" w:sz="4" w:space="0" w:color="ADD6EA"/>
              <w:right w:val="nil"/>
            </w:tcBorders>
          </w:tcPr>
          <w:p w14:paraId="0D259F77" w14:textId="77777777" w:rsidR="006C2FC5" w:rsidRDefault="006C2FC5" w:rsidP="00874F19">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t>Eliminating cervical cancer in Australia</w:t>
            </w:r>
          </w:p>
        </w:tc>
        <w:tc>
          <w:tcPr>
            <w:tcW w:w="4394" w:type="dxa"/>
            <w:tcBorders>
              <w:top w:val="single" w:sz="4" w:space="0" w:color="ADD6EA"/>
              <w:left w:val="nil"/>
              <w:bottom w:val="single" w:sz="4" w:space="0" w:color="ADD6EA"/>
              <w:right w:val="nil"/>
            </w:tcBorders>
          </w:tcPr>
          <w:p w14:paraId="77634F4D"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590E9E">
              <w:rPr>
                <w:rFonts w:ascii="Open Sans Light" w:eastAsia="Times New Roman" w:hAnsi="Open Sans Light" w:cs="Open Sans Light"/>
                <w:color w:val="000000"/>
                <w:sz w:val="16"/>
                <w:szCs w:val="16"/>
                <w:lang w:eastAsia="en-AU"/>
              </w:rPr>
              <w:t>unding to expand cervical screening services, to improve access to reach under</w:t>
            </w:r>
            <w:r>
              <w:rPr>
                <w:rFonts w:ascii="Open Sans Light" w:eastAsia="Times New Roman" w:hAnsi="Open Sans Light" w:cs="Open Sans Light"/>
                <w:color w:val="000000"/>
                <w:sz w:val="16"/>
                <w:szCs w:val="16"/>
                <w:lang w:eastAsia="en-AU"/>
              </w:rPr>
              <w:t>-</w:t>
            </w:r>
            <w:r w:rsidRPr="00590E9E">
              <w:rPr>
                <w:rFonts w:ascii="Open Sans Light" w:eastAsia="Times New Roman" w:hAnsi="Open Sans Light" w:cs="Open Sans Light"/>
                <w:color w:val="000000"/>
                <w:sz w:val="16"/>
                <w:szCs w:val="16"/>
                <w:lang w:eastAsia="en-AU"/>
              </w:rPr>
              <w:t>screened populations.</w:t>
            </w:r>
          </w:p>
        </w:tc>
        <w:tc>
          <w:tcPr>
            <w:tcW w:w="1134" w:type="dxa"/>
            <w:tcBorders>
              <w:top w:val="single" w:sz="4" w:space="0" w:color="ADD6EA"/>
              <w:left w:val="nil"/>
              <w:bottom w:val="single" w:sz="4" w:space="0" w:color="ADD6EA"/>
              <w:right w:val="nil"/>
            </w:tcBorders>
            <w:noWrap/>
            <w:tcMar>
              <w:right w:w="85" w:type="dxa"/>
            </w:tcMar>
          </w:tcPr>
          <w:p w14:paraId="37E62A38" w14:textId="7A8714D4" w:rsidR="006C2FC5" w:rsidRPr="00F36488" w:rsidRDefault="00E065DB" w:rsidP="00874F19">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5.2</w:t>
            </w:r>
          </w:p>
        </w:tc>
        <w:tc>
          <w:tcPr>
            <w:tcW w:w="1276" w:type="dxa"/>
            <w:tcBorders>
              <w:top w:val="single" w:sz="4" w:space="0" w:color="ADD6EA"/>
              <w:left w:val="nil"/>
              <w:bottom w:val="single" w:sz="4" w:space="0" w:color="ADD6EA"/>
              <w:right w:val="nil"/>
            </w:tcBorders>
            <w:noWrap/>
          </w:tcPr>
          <w:p w14:paraId="13EE79E4" w14:textId="77777777" w:rsidR="006C2FC5" w:rsidRPr="00F36488" w:rsidRDefault="006C2FC5" w:rsidP="00874F19">
            <w:pPr>
              <w:spacing w:line="240" w:lineRule="auto"/>
              <w:rPr>
                <w:rFonts w:ascii="Open Sans Light" w:eastAsia="Times New Roman" w:hAnsi="Open Sans Light" w:cs="Open Sans Light"/>
                <w:color w:val="000000"/>
                <w:sz w:val="16"/>
                <w:szCs w:val="16"/>
                <w:lang w:eastAsia="en-AU"/>
              </w:rPr>
            </w:pPr>
            <w:r w:rsidRPr="00F36488">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3EC6E79C" w14:textId="77777777" w:rsidR="006C2FC5" w:rsidRPr="00F36488"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F36488">
              <w:rPr>
                <w:rFonts w:ascii="Open Sans Light" w:hAnsi="Open Sans Light" w:cs="Open Sans Light"/>
                <w:color w:val="000000"/>
                <w:sz w:val="16"/>
                <w:szCs w:val="16"/>
              </w:rPr>
              <w:t xml:space="preserve">Cervical screening services </w:t>
            </w:r>
            <w:r>
              <w:rPr>
                <w:rFonts w:ascii="Open Sans Light" w:hAnsi="Open Sans Light" w:cs="Open Sans Light"/>
                <w:color w:val="000000"/>
                <w:sz w:val="16"/>
                <w:szCs w:val="16"/>
              </w:rPr>
              <w:t>is a</w:t>
            </w:r>
            <w:r w:rsidRPr="00F36488">
              <w:rPr>
                <w:rFonts w:ascii="Open Sans Light" w:hAnsi="Open Sans Light" w:cs="Open Sans Light"/>
                <w:color w:val="000000"/>
                <w:sz w:val="16"/>
                <w:szCs w:val="16"/>
              </w:rPr>
              <w:t xml:space="preserve"> community </w:t>
            </w:r>
            <w:r>
              <w:rPr>
                <w:rFonts w:ascii="Open Sans Light" w:hAnsi="Open Sans Light" w:cs="Open Sans Light"/>
                <w:color w:val="000000"/>
                <w:sz w:val="16"/>
                <w:szCs w:val="16"/>
              </w:rPr>
              <w:t xml:space="preserve">health </w:t>
            </w:r>
            <w:r w:rsidRPr="00F36488">
              <w:rPr>
                <w:rFonts w:ascii="Open Sans Light" w:hAnsi="Open Sans Light" w:cs="Open Sans Light"/>
                <w:color w:val="000000"/>
                <w:sz w:val="16"/>
                <w:szCs w:val="16"/>
              </w:rPr>
              <w:t>service</w:t>
            </w:r>
            <w:r>
              <w:rPr>
                <w:rFonts w:ascii="Open Sans Light" w:hAnsi="Open Sans Light" w:cs="Open Sans Light"/>
                <w:color w:val="000000"/>
                <w:sz w:val="16"/>
                <w:szCs w:val="16"/>
              </w:rPr>
              <w:t>. Community health is a state service,</w:t>
            </w:r>
            <w:r w:rsidRPr="00F36488">
              <w:rPr>
                <w:rFonts w:ascii="Open Sans Light" w:hAnsi="Open Sans Light" w:cs="Open Sans Light"/>
                <w:color w:val="000000"/>
                <w:sz w:val="16"/>
                <w:szCs w:val="16"/>
              </w:rPr>
              <w:t xml:space="preserve"> and needs are assessed. </w:t>
            </w:r>
          </w:p>
        </w:tc>
      </w:tr>
      <w:tr w:rsidR="006C2FC5" w:rsidRPr="00EB0105" w14:paraId="760CA2F6" w14:textId="77777777" w:rsidTr="00874F19">
        <w:trPr>
          <w:trHeight w:val="536"/>
        </w:trPr>
        <w:tc>
          <w:tcPr>
            <w:tcW w:w="2410" w:type="dxa"/>
            <w:tcBorders>
              <w:top w:val="single" w:sz="4" w:space="0" w:color="ADD6EA"/>
              <w:left w:val="nil"/>
              <w:bottom w:val="single" w:sz="4" w:space="0" w:color="ADD6EA"/>
              <w:right w:val="nil"/>
            </w:tcBorders>
          </w:tcPr>
          <w:p w14:paraId="53AD237C" w14:textId="0FF2A853" w:rsidR="006C2FC5" w:rsidRDefault="006C2FC5" w:rsidP="00874F19">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t>Supporting older Australian</w:t>
            </w:r>
            <w:r w:rsidR="00263E57">
              <w:rPr>
                <w:rFonts w:ascii="Open Sans Light" w:eastAsia="Times New Roman" w:hAnsi="Open Sans Light" w:cs="Open Sans Light"/>
                <w:color w:val="000000"/>
                <w:sz w:val="16"/>
                <w:szCs w:val="16"/>
                <w:lang w:eastAsia="en-AU"/>
              </w:rPr>
              <w:t xml:space="preserve"> patients</w:t>
            </w:r>
          </w:p>
        </w:tc>
        <w:tc>
          <w:tcPr>
            <w:tcW w:w="4394" w:type="dxa"/>
            <w:tcBorders>
              <w:top w:val="single" w:sz="4" w:space="0" w:color="ADD6EA"/>
              <w:left w:val="nil"/>
              <w:bottom w:val="single" w:sz="4" w:space="0" w:color="ADD6EA"/>
              <w:right w:val="nil"/>
            </w:tcBorders>
          </w:tcPr>
          <w:p w14:paraId="34373313"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8704F5">
              <w:rPr>
                <w:rFonts w:ascii="Open Sans Light" w:eastAsia="Times New Roman" w:hAnsi="Open Sans Light" w:cs="Open Sans Light"/>
                <w:color w:val="000000"/>
                <w:sz w:val="16"/>
                <w:szCs w:val="16"/>
                <w:lang w:eastAsia="en-AU"/>
              </w:rPr>
              <w:t xml:space="preserve">unding to invest in state initiatives that address long stay older patient challenges </w:t>
            </w:r>
            <w:proofErr w:type="gramStart"/>
            <w:r w:rsidRPr="008704F5">
              <w:rPr>
                <w:rFonts w:ascii="Open Sans Light" w:eastAsia="Times New Roman" w:hAnsi="Open Sans Light" w:cs="Open Sans Light"/>
                <w:color w:val="000000"/>
                <w:sz w:val="16"/>
                <w:szCs w:val="16"/>
                <w:lang w:eastAsia="en-AU"/>
              </w:rPr>
              <w:t>through:</w:t>
            </w:r>
            <w:proofErr w:type="gramEnd"/>
            <w:r w:rsidRPr="008704F5">
              <w:rPr>
                <w:rFonts w:ascii="Open Sans Light" w:eastAsia="Times New Roman" w:hAnsi="Open Sans Light" w:cs="Open Sans Light"/>
                <w:color w:val="000000"/>
                <w:sz w:val="16"/>
                <w:szCs w:val="16"/>
                <w:lang w:eastAsia="en-AU"/>
              </w:rPr>
              <w:t xml:space="preserve"> avoiding hospital presentation and admission</w:t>
            </w:r>
            <w:r>
              <w:rPr>
                <w:rFonts w:ascii="Open Sans Light" w:eastAsia="Times New Roman" w:hAnsi="Open Sans Light" w:cs="Open Sans Light"/>
                <w:color w:val="000000"/>
                <w:sz w:val="16"/>
                <w:szCs w:val="16"/>
                <w:lang w:eastAsia="en-AU"/>
              </w:rPr>
              <w:t>;</w:t>
            </w:r>
            <w:r w:rsidRPr="008704F5">
              <w:rPr>
                <w:rFonts w:ascii="Open Sans Light" w:eastAsia="Times New Roman" w:hAnsi="Open Sans Light" w:cs="Open Sans Light"/>
                <w:color w:val="000000"/>
                <w:sz w:val="16"/>
                <w:szCs w:val="16"/>
                <w:lang w:eastAsia="en-AU"/>
              </w:rPr>
              <w:t xml:space="preserve"> where hospital admission is necessary, reducing the length of the hospital stay</w:t>
            </w:r>
            <w:r>
              <w:rPr>
                <w:rFonts w:ascii="Open Sans Light" w:eastAsia="Times New Roman" w:hAnsi="Open Sans Light" w:cs="Open Sans Light"/>
                <w:color w:val="000000"/>
                <w:sz w:val="16"/>
                <w:szCs w:val="16"/>
                <w:lang w:eastAsia="en-AU"/>
              </w:rPr>
              <w:t>;</w:t>
            </w:r>
            <w:r w:rsidRPr="008704F5">
              <w:rPr>
                <w:rFonts w:ascii="Open Sans Light" w:eastAsia="Times New Roman" w:hAnsi="Open Sans Light" w:cs="Open Sans Light"/>
                <w:color w:val="000000"/>
                <w:sz w:val="16"/>
                <w:szCs w:val="16"/>
                <w:lang w:eastAsia="en-AU"/>
              </w:rPr>
              <w:t xml:space="preserve"> supporting earlier discharge</w:t>
            </w:r>
            <w:r>
              <w:rPr>
                <w:rFonts w:ascii="Open Sans Light" w:eastAsia="Times New Roman" w:hAnsi="Open Sans Light" w:cs="Open Sans Light"/>
                <w:color w:val="000000"/>
                <w:sz w:val="16"/>
                <w:szCs w:val="16"/>
                <w:lang w:eastAsia="en-AU"/>
              </w:rPr>
              <w:t xml:space="preserve">; and </w:t>
            </w:r>
            <w:r w:rsidRPr="008704F5">
              <w:rPr>
                <w:rFonts w:ascii="Open Sans Light" w:eastAsia="Times New Roman" w:hAnsi="Open Sans Light" w:cs="Open Sans Light"/>
                <w:color w:val="000000"/>
                <w:sz w:val="16"/>
                <w:szCs w:val="16"/>
                <w:lang w:eastAsia="en-AU"/>
              </w:rPr>
              <w:t>improving the transition out of hospital to other appropriate care.</w:t>
            </w:r>
          </w:p>
        </w:tc>
        <w:tc>
          <w:tcPr>
            <w:tcW w:w="1134" w:type="dxa"/>
            <w:tcBorders>
              <w:top w:val="single" w:sz="4" w:space="0" w:color="ADD6EA"/>
              <w:left w:val="nil"/>
              <w:bottom w:val="single" w:sz="4" w:space="0" w:color="ADD6EA"/>
              <w:right w:val="nil"/>
            </w:tcBorders>
            <w:noWrap/>
            <w:tcMar>
              <w:right w:w="85" w:type="dxa"/>
            </w:tcMar>
          </w:tcPr>
          <w:p w14:paraId="44AF3060" w14:textId="25DE2DB5" w:rsidR="006C2FC5" w:rsidRPr="00F36488" w:rsidRDefault="00C344C5" w:rsidP="00874F19">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16</w:t>
            </w:r>
            <w:r w:rsidR="00463E06">
              <w:rPr>
                <w:rFonts w:ascii="Open Sans Light" w:eastAsia="Times New Roman" w:hAnsi="Open Sans Light" w:cs="Open Sans Light"/>
                <w:color w:val="000000"/>
                <w:sz w:val="16"/>
                <w:szCs w:val="16"/>
                <w:lang w:eastAsia="en-AU"/>
              </w:rPr>
              <w:t>8.6</w:t>
            </w:r>
          </w:p>
        </w:tc>
        <w:tc>
          <w:tcPr>
            <w:tcW w:w="1276" w:type="dxa"/>
            <w:tcBorders>
              <w:top w:val="single" w:sz="4" w:space="0" w:color="ADD6EA"/>
              <w:left w:val="nil"/>
              <w:bottom w:val="single" w:sz="4" w:space="0" w:color="ADD6EA"/>
              <w:right w:val="nil"/>
            </w:tcBorders>
            <w:noWrap/>
          </w:tcPr>
          <w:p w14:paraId="0FDFAFDD" w14:textId="77777777" w:rsidR="006C2FC5" w:rsidRPr="00F36488" w:rsidRDefault="006C2FC5" w:rsidP="00874F19">
            <w:pPr>
              <w:spacing w:line="240" w:lineRule="auto"/>
              <w:rPr>
                <w:rFonts w:ascii="Open Sans Light" w:eastAsia="Times New Roman" w:hAnsi="Open Sans Light" w:cs="Open Sans Light"/>
                <w:color w:val="000000"/>
                <w:sz w:val="16"/>
                <w:szCs w:val="16"/>
                <w:lang w:eastAsia="en-AU"/>
              </w:rPr>
            </w:pPr>
            <w:r w:rsidRPr="00F36488">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136A74B9" w14:textId="6C8DAFEF" w:rsidR="006C2FC5" w:rsidRPr="00F36488"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F36488">
              <w:rPr>
                <w:rFonts w:ascii="Open Sans Light" w:hAnsi="Open Sans Light" w:cs="Open Sans Light"/>
                <w:color w:val="000000"/>
                <w:sz w:val="16"/>
                <w:szCs w:val="16"/>
              </w:rPr>
              <w:t>The payment predominantly funds aged care</w:t>
            </w:r>
            <w:r w:rsidR="000354B5">
              <w:rPr>
                <w:rFonts w:ascii="Open Sans Light" w:hAnsi="Open Sans Light" w:cs="Open Sans Light"/>
                <w:color w:val="000000"/>
                <w:sz w:val="16"/>
                <w:szCs w:val="16"/>
              </w:rPr>
              <w:t>,</w:t>
            </w:r>
            <w:r w:rsidRPr="00F36488">
              <w:rPr>
                <w:rFonts w:ascii="Open Sans Light" w:hAnsi="Open Sans Light" w:cs="Open Sans Light"/>
                <w:color w:val="000000"/>
                <w:sz w:val="16"/>
                <w:szCs w:val="16"/>
              </w:rPr>
              <w:t xml:space="preserve"> which is a Commonwealth responsibility.</w:t>
            </w:r>
          </w:p>
        </w:tc>
      </w:tr>
      <w:tr w:rsidR="006C2FC5" w:rsidRPr="00EB0105" w14:paraId="648F2DC2" w14:textId="77777777" w:rsidTr="00874F19">
        <w:trPr>
          <w:trHeight w:val="536"/>
        </w:trPr>
        <w:tc>
          <w:tcPr>
            <w:tcW w:w="2410" w:type="dxa"/>
            <w:tcBorders>
              <w:top w:val="single" w:sz="4" w:space="0" w:color="ADD6EA"/>
              <w:left w:val="nil"/>
              <w:bottom w:val="single" w:sz="4" w:space="0" w:color="ADD6EA"/>
              <w:right w:val="nil"/>
            </w:tcBorders>
          </w:tcPr>
          <w:p w14:paraId="5DD4BBB0" w14:textId="08EAA9EB" w:rsidR="006C2FC5" w:rsidRDefault="006C2FC5" w:rsidP="00874F19">
            <w:pPr>
              <w:spacing w:line="240" w:lineRule="auto"/>
              <w:rPr>
                <w:rFonts w:ascii="Open Sans Light" w:eastAsia="Times New Roman" w:hAnsi="Open Sans Light" w:cs="Open Sans Light"/>
                <w:color w:val="000000"/>
                <w:sz w:val="16"/>
                <w:szCs w:val="16"/>
                <w:lang w:eastAsia="en-AU"/>
              </w:rPr>
            </w:pPr>
            <w:r w:rsidRPr="002E30A7">
              <w:rPr>
                <w:rFonts w:ascii="Open Sans Light" w:eastAsia="Times New Roman" w:hAnsi="Open Sans Light" w:cs="Open Sans Light"/>
                <w:color w:val="000000"/>
                <w:sz w:val="16"/>
                <w:szCs w:val="16"/>
                <w:lang w:eastAsia="en-AU"/>
              </w:rPr>
              <w:lastRenderedPageBreak/>
              <w:t>Primary Health Care Services in remote N</w:t>
            </w:r>
            <w:r w:rsidR="00E53AE0">
              <w:rPr>
                <w:rFonts w:ascii="Open Sans Light" w:eastAsia="Times New Roman" w:hAnsi="Open Sans Light" w:cs="Open Sans Light"/>
                <w:color w:val="000000"/>
                <w:sz w:val="16"/>
                <w:szCs w:val="16"/>
                <w:lang w:eastAsia="en-AU"/>
              </w:rPr>
              <w:t>orthern Territory</w:t>
            </w:r>
          </w:p>
        </w:tc>
        <w:tc>
          <w:tcPr>
            <w:tcW w:w="4394" w:type="dxa"/>
            <w:tcBorders>
              <w:top w:val="single" w:sz="4" w:space="0" w:color="ADD6EA"/>
              <w:left w:val="nil"/>
              <w:bottom w:val="single" w:sz="4" w:space="0" w:color="ADD6EA"/>
              <w:right w:val="nil"/>
            </w:tcBorders>
          </w:tcPr>
          <w:p w14:paraId="453146BF"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8704F5">
              <w:rPr>
                <w:rFonts w:ascii="Open Sans Light" w:eastAsia="Times New Roman" w:hAnsi="Open Sans Light" w:cs="Open Sans Light"/>
                <w:color w:val="000000"/>
                <w:sz w:val="16"/>
                <w:szCs w:val="16"/>
                <w:lang w:eastAsia="en-AU"/>
              </w:rPr>
              <w:t>unding for the delivery of culturally appropriate, comprehensive primary health care for First Nations people in regional and remote Northern Territory communities where there is no Aboriginal Community Controlled Health Organisation.</w:t>
            </w:r>
          </w:p>
        </w:tc>
        <w:tc>
          <w:tcPr>
            <w:tcW w:w="1134" w:type="dxa"/>
            <w:tcBorders>
              <w:top w:val="single" w:sz="4" w:space="0" w:color="ADD6EA"/>
              <w:left w:val="nil"/>
              <w:bottom w:val="single" w:sz="4" w:space="0" w:color="ADD6EA"/>
              <w:right w:val="nil"/>
            </w:tcBorders>
            <w:noWrap/>
            <w:tcMar>
              <w:right w:w="85" w:type="dxa"/>
            </w:tcMar>
          </w:tcPr>
          <w:p w14:paraId="0E73F83D" w14:textId="1326E016" w:rsidR="006C2FC5" w:rsidRPr="00CB1CE7" w:rsidRDefault="003A2EA2"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46.3</w:t>
            </w:r>
          </w:p>
        </w:tc>
        <w:tc>
          <w:tcPr>
            <w:tcW w:w="1276" w:type="dxa"/>
            <w:tcBorders>
              <w:top w:val="single" w:sz="4" w:space="0" w:color="ADD6EA"/>
              <w:left w:val="nil"/>
              <w:bottom w:val="single" w:sz="4" w:space="0" w:color="ADD6EA"/>
              <w:right w:val="nil"/>
            </w:tcBorders>
            <w:noWrap/>
          </w:tcPr>
          <w:p w14:paraId="1206F063"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2F40D098"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State provided primary care services are a responsibility of the state and needs are assessed.</w:t>
            </w:r>
          </w:p>
        </w:tc>
      </w:tr>
      <w:tr w:rsidR="006C2FC5" w:rsidRPr="00EB0105" w14:paraId="0E750E93" w14:textId="77777777" w:rsidTr="00874F19">
        <w:trPr>
          <w:trHeight w:val="536"/>
        </w:trPr>
        <w:tc>
          <w:tcPr>
            <w:tcW w:w="2410" w:type="dxa"/>
            <w:tcBorders>
              <w:top w:val="single" w:sz="4" w:space="0" w:color="ADD6EA"/>
              <w:left w:val="nil"/>
              <w:bottom w:val="single" w:sz="4" w:space="0" w:color="ADD6EA"/>
              <w:right w:val="nil"/>
            </w:tcBorders>
          </w:tcPr>
          <w:p w14:paraId="34204184" w14:textId="77777777" w:rsidR="006C2FC5" w:rsidRDefault="006C2FC5" w:rsidP="00874F19">
            <w:pPr>
              <w:spacing w:line="240" w:lineRule="auto"/>
              <w:rPr>
                <w:rFonts w:ascii="Open Sans Light" w:hAnsi="Open Sans Light" w:cs="Open Sans Light"/>
                <w:sz w:val="16"/>
                <w:szCs w:val="16"/>
              </w:rPr>
            </w:pPr>
            <w:r w:rsidRPr="00E8235B">
              <w:rPr>
                <w:rFonts w:ascii="Open Sans Light" w:hAnsi="Open Sans Light" w:cs="Open Sans Light"/>
                <w:sz w:val="16"/>
                <w:szCs w:val="16"/>
              </w:rPr>
              <w:t>Yass Maternity Care Centre</w:t>
            </w:r>
          </w:p>
        </w:tc>
        <w:tc>
          <w:tcPr>
            <w:tcW w:w="4394" w:type="dxa"/>
            <w:tcBorders>
              <w:top w:val="single" w:sz="4" w:space="0" w:color="ADD6EA"/>
              <w:left w:val="nil"/>
              <w:bottom w:val="single" w:sz="4" w:space="0" w:color="ADD6EA"/>
              <w:right w:val="nil"/>
            </w:tcBorders>
          </w:tcPr>
          <w:p w14:paraId="547E3CFE" w14:textId="77777777" w:rsidR="006C2FC5" w:rsidRPr="00EB0105" w:rsidRDefault="006C2FC5" w:rsidP="00874F19">
            <w:pPr>
              <w:spacing w:line="240" w:lineRule="auto"/>
              <w:rPr>
                <w:rFonts w:ascii="Open Sans Light" w:hAnsi="Open Sans Light" w:cs="Open Sans Light"/>
                <w:sz w:val="16"/>
                <w:szCs w:val="16"/>
              </w:rPr>
            </w:pPr>
            <w:r>
              <w:rPr>
                <w:rFonts w:ascii="Open Sans Light" w:hAnsi="Open Sans Light" w:cs="Open Sans Light"/>
                <w:sz w:val="16"/>
                <w:szCs w:val="16"/>
              </w:rPr>
              <w:t>Funding for d</w:t>
            </w:r>
            <w:r w:rsidRPr="007F191D">
              <w:rPr>
                <w:rFonts w:ascii="Open Sans Light" w:hAnsi="Open Sans Light" w:cs="Open Sans Light"/>
                <w:sz w:val="16"/>
                <w:szCs w:val="16"/>
              </w:rPr>
              <w:t>eveloping a women</w:t>
            </w:r>
            <w:r>
              <w:rPr>
                <w:rFonts w:ascii="Open Sans Light" w:hAnsi="Open Sans Light" w:cs="Open Sans Light"/>
                <w:sz w:val="16"/>
                <w:szCs w:val="16"/>
              </w:rPr>
              <w:t>’</w:t>
            </w:r>
            <w:r w:rsidRPr="007F191D">
              <w:rPr>
                <w:rFonts w:ascii="Open Sans Light" w:hAnsi="Open Sans Light" w:cs="Open Sans Light"/>
                <w:sz w:val="16"/>
                <w:szCs w:val="16"/>
              </w:rPr>
              <w:t>s and family maternity care centre at Yass</w:t>
            </w:r>
            <w:r>
              <w:rPr>
                <w:rFonts w:ascii="Open Sans Light" w:hAnsi="Open Sans Light" w:cs="Open Sans Light"/>
                <w:sz w:val="16"/>
                <w:szCs w:val="16"/>
              </w:rPr>
              <w:t>.</w:t>
            </w:r>
          </w:p>
        </w:tc>
        <w:tc>
          <w:tcPr>
            <w:tcW w:w="1134" w:type="dxa"/>
            <w:tcBorders>
              <w:top w:val="single" w:sz="4" w:space="0" w:color="ADD6EA"/>
              <w:left w:val="nil"/>
              <w:bottom w:val="single" w:sz="4" w:space="0" w:color="ADD6EA"/>
              <w:right w:val="nil"/>
            </w:tcBorders>
            <w:noWrap/>
            <w:tcMar>
              <w:right w:w="85" w:type="dxa"/>
            </w:tcMar>
          </w:tcPr>
          <w:p w14:paraId="09F6C686" w14:textId="32035363" w:rsidR="006C2FC5" w:rsidRPr="00CB1CE7" w:rsidRDefault="0011177F" w:rsidP="00874F19">
            <w:pPr>
              <w:spacing w:line="240" w:lineRule="auto"/>
              <w:ind w:right="227"/>
              <w:jc w:val="right"/>
              <w:rPr>
                <w:rFonts w:ascii="Open Sans Light" w:hAnsi="Open Sans Light" w:cs="Open Sans Light"/>
                <w:sz w:val="16"/>
                <w:szCs w:val="16"/>
              </w:rPr>
            </w:pPr>
            <w:r w:rsidRPr="00E23345">
              <w:rPr>
                <w:rFonts w:ascii="Open Sans Light" w:hAnsi="Open Sans Light" w:cs="Open Sans Light"/>
                <w:sz w:val="16"/>
                <w:szCs w:val="16"/>
              </w:rPr>
              <w:t>2.9</w:t>
            </w:r>
          </w:p>
        </w:tc>
        <w:tc>
          <w:tcPr>
            <w:tcW w:w="1276" w:type="dxa"/>
            <w:tcBorders>
              <w:top w:val="single" w:sz="4" w:space="0" w:color="ADD6EA"/>
              <w:left w:val="nil"/>
              <w:bottom w:val="single" w:sz="4" w:space="0" w:color="ADD6EA"/>
              <w:right w:val="nil"/>
            </w:tcBorders>
            <w:noWrap/>
          </w:tcPr>
          <w:p w14:paraId="5B2ACBE2" w14:textId="77777777" w:rsidR="006C2FC5" w:rsidRPr="00CB1CE7" w:rsidRDefault="006C2FC5" w:rsidP="00874F19">
            <w:pPr>
              <w:spacing w:line="240" w:lineRule="auto"/>
              <w:rPr>
                <w:rFonts w:ascii="Open Sans Light" w:hAnsi="Open Sans Light" w:cs="Open Sans Light"/>
                <w:sz w:val="16"/>
                <w:szCs w:val="16"/>
              </w:rPr>
            </w:pPr>
            <w:r w:rsidRPr="00CB1CE7">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13DC88B4" w14:textId="77777777" w:rsidR="006C2FC5" w:rsidRPr="00CB1CE7" w:rsidRDefault="006C2FC5" w:rsidP="00874F19">
            <w:pPr>
              <w:spacing w:line="240" w:lineRule="auto"/>
              <w:rPr>
                <w:rFonts w:ascii="Open Sans Light" w:hAnsi="Open Sans Light" w:cs="Open Sans Light"/>
                <w:sz w:val="16"/>
                <w:szCs w:val="16"/>
              </w:rPr>
            </w:pPr>
            <w:r w:rsidRPr="00CB1CE7">
              <w:rPr>
                <w:rFonts w:ascii="Open Sans Light" w:hAnsi="Open Sans Light" w:cs="Open Sans Light"/>
                <w:color w:val="000000"/>
                <w:sz w:val="16"/>
                <w:szCs w:val="16"/>
              </w:rPr>
              <w:t>Maternity health services are a state function, and needs are assessed.</w:t>
            </w:r>
          </w:p>
        </w:tc>
      </w:tr>
      <w:tr w:rsidR="006C2FC5" w:rsidRPr="00EB0105" w14:paraId="12BD64F4" w14:textId="77777777" w:rsidTr="00874F19">
        <w:trPr>
          <w:trHeight w:val="536"/>
        </w:trPr>
        <w:tc>
          <w:tcPr>
            <w:tcW w:w="2410" w:type="dxa"/>
            <w:tcBorders>
              <w:top w:val="single" w:sz="4" w:space="0" w:color="ADD6EA"/>
              <w:left w:val="nil"/>
              <w:bottom w:val="single" w:sz="4" w:space="0" w:color="ADD6EA"/>
              <w:right w:val="nil"/>
            </w:tcBorders>
          </w:tcPr>
          <w:p w14:paraId="3BBCE52F" w14:textId="77777777" w:rsidR="006C2FC5" w:rsidRDefault="006C2FC5" w:rsidP="00874F19">
            <w:pPr>
              <w:spacing w:line="240" w:lineRule="auto"/>
              <w:rPr>
                <w:rFonts w:ascii="Open Sans Light" w:hAnsi="Open Sans Light" w:cs="Open Sans Light"/>
                <w:sz w:val="16"/>
                <w:szCs w:val="16"/>
              </w:rPr>
            </w:pPr>
            <w:r w:rsidRPr="00E8235B">
              <w:rPr>
                <w:rFonts w:ascii="Open Sans Light" w:hAnsi="Open Sans Light" w:cs="Open Sans Light"/>
                <w:sz w:val="16"/>
                <w:szCs w:val="16"/>
              </w:rPr>
              <w:t>Canoe Slalom World Championship 2025</w:t>
            </w:r>
          </w:p>
        </w:tc>
        <w:tc>
          <w:tcPr>
            <w:tcW w:w="4394" w:type="dxa"/>
            <w:tcBorders>
              <w:top w:val="single" w:sz="4" w:space="0" w:color="ADD6EA"/>
              <w:left w:val="nil"/>
              <w:bottom w:val="single" w:sz="4" w:space="0" w:color="ADD6EA"/>
              <w:right w:val="nil"/>
            </w:tcBorders>
          </w:tcPr>
          <w:p w14:paraId="58B1165D" w14:textId="34886A8D" w:rsidR="006C2FC5" w:rsidRPr="00EB0105" w:rsidRDefault="006C2FC5" w:rsidP="00874F19">
            <w:pPr>
              <w:spacing w:line="240" w:lineRule="auto"/>
              <w:rPr>
                <w:rFonts w:ascii="Open Sans Light" w:hAnsi="Open Sans Light" w:cs="Open Sans Light"/>
                <w:sz w:val="16"/>
                <w:szCs w:val="16"/>
              </w:rPr>
            </w:pPr>
            <w:r>
              <w:rPr>
                <w:rFonts w:ascii="Open Sans Light" w:hAnsi="Open Sans Light" w:cs="Open Sans Light"/>
                <w:sz w:val="16"/>
                <w:szCs w:val="16"/>
              </w:rPr>
              <w:t>C</w:t>
            </w:r>
            <w:r w:rsidRPr="009667F6">
              <w:rPr>
                <w:rFonts w:ascii="Open Sans Light" w:hAnsi="Open Sans Light" w:cs="Open Sans Light"/>
                <w:sz w:val="16"/>
                <w:szCs w:val="16"/>
              </w:rPr>
              <w:t>ontribut</w:t>
            </w:r>
            <w:r>
              <w:rPr>
                <w:rFonts w:ascii="Open Sans Light" w:hAnsi="Open Sans Light" w:cs="Open Sans Light"/>
                <w:sz w:val="16"/>
                <w:szCs w:val="16"/>
              </w:rPr>
              <w:t>ion</w:t>
            </w:r>
            <w:r w:rsidRPr="009667F6">
              <w:rPr>
                <w:rFonts w:ascii="Open Sans Light" w:hAnsi="Open Sans Light" w:cs="Open Sans Light"/>
                <w:sz w:val="16"/>
                <w:szCs w:val="16"/>
              </w:rPr>
              <w:t xml:space="preserve"> to a range of </w:t>
            </w:r>
            <w:r w:rsidR="00CB0597">
              <w:rPr>
                <w:rFonts w:ascii="Open Sans Light" w:hAnsi="Open Sans Light" w:cs="Open Sans Light"/>
                <w:sz w:val="16"/>
                <w:szCs w:val="16"/>
              </w:rPr>
              <w:t>e</w:t>
            </w:r>
            <w:r w:rsidRPr="009667F6">
              <w:rPr>
                <w:rFonts w:ascii="Open Sans Light" w:hAnsi="Open Sans Light" w:cs="Open Sans Light"/>
                <w:sz w:val="16"/>
                <w:szCs w:val="16"/>
              </w:rPr>
              <w:t xml:space="preserve">vent planning activities such as: </w:t>
            </w:r>
            <w:r w:rsidR="00CB0597">
              <w:rPr>
                <w:rFonts w:ascii="Open Sans Light" w:hAnsi="Open Sans Light" w:cs="Open Sans Light"/>
                <w:sz w:val="16"/>
                <w:szCs w:val="16"/>
              </w:rPr>
              <w:t>m</w:t>
            </w:r>
            <w:r w:rsidRPr="009667F6">
              <w:rPr>
                <w:rFonts w:ascii="Open Sans Light" w:hAnsi="Open Sans Light" w:cs="Open Sans Light"/>
                <w:sz w:val="16"/>
                <w:szCs w:val="16"/>
              </w:rPr>
              <w:t xml:space="preserve">arketing and promotion, </w:t>
            </w:r>
            <w:r w:rsidR="00CB0597">
              <w:rPr>
                <w:rFonts w:ascii="Open Sans Light" w:hAnsi="Open Sans Light" w:cs="Open Sans Light"/>
                <w:sz w:val="16"/>
                <w:szCs w:val="16"/>
              </w:rPr>
              <w:t>b</w:t>
            </w:r>
            <w:r w:rsidRPr="009667F6">
              <w:rPr>
                <w:rFonts w:ascii="Open Sans Light" w:hAnsi="Open Sans Light" w:cs="Open Sans Light"/>
                <w:sz w:val="16"/>
                <w:szCs w:val="16"/>
              </w:rPr>
              <w:t>roadcast production, sports presentation, technology/performance systems, venue branding, in</w:t>
            </w:r>
            <w:r>
              <w:rPr>
                <w:rFonts w:ascii="Open Sans Light" w:hAnsi="Open Sans Light" w:cs="Open Sans Light"/>
                <w:sz w:val="16"/>
                <w:szCs w:val="16"/>
              </w:rPr>
              <w:t>t</w:t>
            </w:r>
            <w:r w:rsidRPr="009667F6">
              <w:rPr>
                <w:rFonts w:ascii="Open Sans Light" w:hAnsi="Open Sans Light" w:cs="Open Sans Light"/>
                <w:sz w:val="16"/>
                <w:szCs w:val="16"/>
              </w:rPr>
              <w:t>ernational Canoe Federation development programme, test events, post event legacy impact and evaluation reports.</w:t>
            </w:r>
          </w:p>
        </w:tc>
        <w:tc>
          <w:tcPr>
            <w:tcW w:w="1134" w:type="dxa"/>
            <w:tcBorders>
              <w:top w:val="single" w:sz="4" w:space="0" w:color="ADD6EA"/>
              <w:left w:val="nil"/>
              <w:bottom w:val="single" w:sz="4" w:space="0" w:color="ADD6EA"/>
              <w:right w:val="nil"/>
            </w:tcBorders>
            <w:noWrap/>
            <w:tcMar>
              <w:right w:w="85" w:type="dxa"/>
            </w:tcMar>
          </w:tcPr>
          <w:p w14:paraId="1CB3C2E8" w14:textId="21B8AFEE" w:rsidR="006C2FC5" w:rsidRPr="00CB1CE7" w:rsidRDefault="009F300D" w:rsidP="00874F19">
            <w:pPr>
              <w:spacing w:line="240" w:lineRule="auto"/>
              <w:ind w:right="227"/>
              <w:jc w:val="right"/>
              <w:rPr>
                <w:rFonts w:ascii="Open Sans Light" w:hAnsi="Open Sans Light" w:cs="Open Sans Light"/>
                <w:sz w:val="16"/>
                <w:szCs w:val="16"/>
              </w:rPr>
            </w:pPr>
            <w:r w:rsidRPr="00E23345">
              <w:rPr>
                <w:rFonts w:ascii="Open Sans Light" w:hAnsi="Open Sans Light" w:cs="Open Sans Light"/>
                <w:sz w:val="16"/>
                <w:szCs w:val="16"/>
              </w:rPr>
              <w:t>0.8</w:t>
            </w:r>
          </w:p>
        </w:tc>
        <w:tc>
          <w:tcPr>
            <w:tcW w:w="1276" w:type="dxa"/>
            <w:tcBorders>
              <w:top w:val="single" w:sz="4" w:space="0" w:color="ADD6EA"/>
              <w:left w:val="nil"/>
              <w:bottom w:val="single" w:sz="4" w:space="0" w:color="ADD6EA"/>
              <w:right w:val="nil"/>
            </w:tcBorders>
            <w:noWrap/>
          </w:tcPr>
          <w:p w14:paraId="3748FEF2" w14:textId="77777777" w:rsidR="006C2FC5" w:rsidRPr="00CB1CE7" w:rsidRDefault="006C2FC5" w:rsidP="00874F19">
            <w:pPr>
              <w:spacing w:line="240" w:lineRule="auto"/>
              <w:rPr>
                <w:rFonts w:ascii="Open Sans Light" w:hAnsi="Open Sans Light" w:cs="Open Sans Light"/>
                <w:sz w:val="16"/>
                <w:szCs w:val="16"/>
              </w:rPr>
            </w:pPr>
            <w:r w:rsidRPr="00CB1CE7">
              <w:rPr>
                <w:rFonts w:ascii="Open Sans Light" w:hAnsi="Open Sans Light" w:cs="Open Sans Light"/>
                <w:sz w:val="16"/>
                <w:szCs w:val="16"/>
              </w:rPr>
              <w:t>No Impact</w:t>
            </w:r>
          </w:p>
        </w:tc>
        <w:tc>
          <w:tcPr>
            <w:tcW w:w="4678" w:type="dxa"/>
            <w:tcBorders>
              <w:top w:val="single" w:sz="4" w:space="0" w:color="ADD6EA"/>
              <w:left w:val="nil"/>
              <w:bottom w:val="single" w:sz="4" w:space="0" w:color="ADD6EA"/>
              <w:right w:val="nil"/>
            </w:tcBorders>
            <w:noWrap/>
          </w:tcPr>
          <w:p w14:paraId="06695A64" w14:textId="77777777" w:rsidR="006C2FC5" w:rsidRPr="00CB1CE7" w:rsidRDefault="006C2FC5" w:rsidP="00874F19">
            <w:pPr>
              <w:spacing w:line="240" w:lineRule="auto"/>
              <w:rPr>
                <w:rFonts w:ascii="Open Sans Light" w:hAnsi="Open Sans Light" w:cs="Open Sans Light"/>
                <w:sz w:val="16"/>
                <w:szCs w:val="16"/>
              </w:rPr>
            </w:pPr>
            <w:r w:rsidRPr="00CB1CE7">
              <w:rPr>
                <w:rFonts w:ascii="Open Sans Light" w:hAnsi="Open Sans Light" w:cs="Open Sans Light"/>
                <w:sz w:val="16"/>
                <w:szCs w:val="16"/>
              </w:rPr>
              <w:t>While recreational services are a state function, needs for international events are not assessed.</w:t>
            </w:r>
          </w:p>
        </w:tc>
      </w:tr>
      <w:tr w:rsidR="006C2FC5" w:rsidRPr="00EB0105" w14:paraId="65C62F80" w14:textId="77777777" w:rsidTr="00874F19">
        <w:trPr>
          <w:trHeight w:val="536"/>
        </w:trPr>
        <w:tc>
          <w:tcPr>
            <w:tcW w:w="2410" w:type="dxa"/>
            <w:tcBorders>
              <w:top w:val="single" w:sz="4" w:space="0" w:color="ADD6EA"/>
              <w:left w:val="nil"/>
              <w:bottom w:val="single" w:sz="4" w:space="0" w:color="ADD6EA"/>
              <w:right w:val="nil"/>
            </w:tcBorders>
          </w:tcPr>
          <w:p w14:paraId="06D6A814" w14:textId="77777777" w:rsidR="006C2FC5" w:rsidRDefault="006C2FC5" w:rsidP="00874F19">
            <w:pPr>
              <w:spacing w:line="240" w:lineRule="auto"/>
              <w:rPr>
                <w:rFonts w:ascii="Open Sans Light" w:hAnsi="Open Sans Light" w:cs="Open Sans Light"/>
                <w:sz w:val="16"/>
                <w:szCs w:val="16"/>
              </w:rPr>
            </w:pPr>
            <w:r w:rsidRPr="00742819">
              <w:rPr>
                <w:rFonts w:ascii="Open Sans Light" w:hAnsi="Open Sans Light" w:cs="Open Sans Light"/>
                <w:sz w:val="16"/>
                <w:szCs w:val="16"/>
              </w:rPr>
              <w:t>Short-term workforce reforms - Kruk Review Implementation</w:t>
            </w:r>
          </w:p>
        </w:tc>
        <w:tc>
          <w:tcPr>
            <w:tcW w:w="4394" w:type="dxa"/>
            <w:tcBorders>
              <w:top w:val="single" w:sz="4" w:space="0" w:color="ADD6EA"/>
              <w:left w:val="nil"/>
              <w:bottom w:val="single" w:sz="4" w:space="0" w:color="ADD6EA"/>
              <w:right w:val="nil"/>
            </w:tcBorders>
          </w:tcPr>
          <w:p w14:paraId="73FACD05" w14:textId="5894FAD0" w:rsidR="006C2FC5" w:rsidRPr="00EB0105" w:rsidRDefault="006C2FC5" w:rsidP="00874F19">
            <w:pPr>
              <w:tabs>
                <w:tab w:val="left" w:pos="1290"/>
              </w:tabs>
              <w:spacing w:line="240" w:lineRule="auto"/>
              <w:rPr>
                <w:rFonts w:ascii="Open Sans Light" w:hAnsi="Open Sans Light" w:cs="Open Sans Light"/>
                <w:sz w:val="16"/>
                <w:szCs w:val="16"/>
              </w:rPr>
            </w:pPr>
            <w:r w:rsidRPr="003148F5">
              <w:rPr>
                <w:rFonts w:ascii="Open Sans Light" w:hAnsi="Open Sans Light" w:cs="Open Sans Light"/>
                <w:sz w:val="16"/>
                <w:szCs w:val="16"/>
              </w:rPr>
              <w:t>Removing regulatory and transitionary barriers for overseas health professionals to work in Australia</w:t>
            </w:r>
            <w:r w:rsidR="00105A10">
              <w:rPr>
                <w:rFonts w:ascii="Open Sans Light" w:hAnsi="Open Sans Light" w:cs="Open Sans Light"/>
                <w:sz w:val="16"/>
                <w:szCs w:val="16"/>
              </w:rPr>
              <w:t>.</w:t>
            </w:r>
          </w:p>
        </w:tc>
        <w:tc>
          <w:tcPr>
            <w:tcW w:w="1134" w:type="dxa"/>
            <w:tcBorders>
              <w:top w:val="single" w:sz="4" w:space="0" w:color="ADD6EA"/>
              <w:left w:val="nil"/>
              <w:bottom w:val="single" w:sz="4" w:space="0" w:color="ADD6EA"/>
              <w:right w:val="nil"/>
            </w:tcBorders>
            <w:noWrap/>
            <w:tcMar>
              <w:right w:w="85" w:type="dxa"/>
            </w:tcMar>
          </w:tcPr>
          <w:p w14:paraId="77983D23" w14:textId="77AC903E" w:rsidR="006C2FC5" w:rsidRPr="00F36488" w:rsidRDefault="00050C96" w:rsidP="00874F19">
            <w:pPr>
              <w:spacing w:line="240" w:lineRule="auto"/>
              <w:ind w:right="227"/>
              <w:jc w:val="right"/>
              <w:rPr>
                <w:rFonts w:ascii="Open Sans Light" w:hAnsi="Open Sans Light" w:cs="Open Sans Light"/>
                <w:sz w:val="16"/>
                <w:szCs w:val="16"/>
              </w:rPr>
            </w:pPr>
            <w:r w:rsidRPr="00E23345">
              <w:rPr>
                <w:rFonts w:ascii="Open Sans Light" w:hAnsi="Open Sans Light" w:cs="Open Sans Light"/>
                <w:sz w:val="16"/>
                <w:szCs w:val="16"/>
              </w:rPr>
              <w:t>1.3</w:t>
            </w:r>
          </w:p>
        </w:tc>
        <w:tc>
          <w:tcPr>
            <w:tcW w:w="1276" w:type="dxa"/>
            <w:tcBorders>
              <w:top w:val="single" w:sz="4" w:space="0" w:color="ADD6EA"/>
              <w:left w:val="nil"/>
              <w:bottom w:val="single" w:sz="4" w:space="0" w:color="ADD6EA"/>
              <w:right w:val="nil"/>
            </w:tcBorders>
            <w:noWrap/>
          </w:tcPr>
          <w:p w14:paraId="266E5F87" w14:textId="77777777" w:rsidR="006C2FC5" w:rsidRPr="00F36488" w:rsidRDefault="006C2FC5" w:rsidP="00874F19">
            <w:pPr>
              <w:spacing w:line="240" w:lineRule="auto"/>
              <w:rPr>
                <w:rFonts w:ascii="Open Sans Light" w:hAnsi="Open Sans Light" w:cs="Open Sans Light"/>
                <w:sz w:val="16"/>
                <w:szCs w:val="16"/>
              </w:rPr>
            </w:pPr>
            <w:r w:rsidRPr="00F36488">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73538299" w14:textId="2CB40512" w:rsidR="006C2FC5" w:rsidRPr="00DD58F8" w:rsidRDefault="00105A10" w:rsidP="00874F19">
            <w:pPr>
              <w:spacing w:line="240" w:lineRule="auto"/>
              <w:rPr>
                <w:rFonts w:ascii="Open Sans Light" w:hAnsi="Open Sans Light" w:cs="Open Sans Light"/>
                <w:sz w:val="16"/>
                <w:szCs w:val="16"/>
                <w:highlight w:val="yellow"/>
              </w:rPr>
            </w:pPr>
            <w:r>
              <w:rPr>
                <w:rFonts w:ascii="Open Sans Light" w:hAnsi="Open Sans Light" w:cs="Open Sans Light"/>
                <w:sz w:val="16"/>
                <w:szCs w:val="16"/>
              </w:rPr>
              <w:t>Regulation of</w:t>
            </w:r>
            <w:r w:rsidR="006C2FC5" w:rsidRPr="00F47D49">
              <w:rPr>
                <w:rFonts w:ascii="Open Sans Light" w:hAnsi="Open Sans Light" w:cs="Open Sans Light"/>
                <w:sz w:val="16"/>
                <w:szCs w:val="16"/>
              </w:rPr>
              <w:t xml:space="preserve"> international health professionals is a Commonwealth responsibility.</w:t>
            </w:r>
          </w:p>
        </w:tc>
      </w:tr>
      <w:tr w:rsidR="006C2FC5" w:rsidRPr="00C91117" w14:paraId="041A892D" w14:textId="77777777" w:rsidTr="00874F19">
        <w:trPr>
          <w:trHeight w:val="284"/>
        </w:trPr>
        <w:tc>
          <w:tcPr>
            <w:tcW w:w="13892" w:type="dxa"/>
            <w:gridSpan w:val="5"/>
            <w:tcBorders>
              <w:top w:val="single" w:sz="4" w:space="0" w:color="ADD6EA"/>
              <w:left w:val="nil"/>
              <w:bottom w:val="single" w:sz="4" w:space="0" w:color="ADD6EA"/>
              <w:right w:val="nil"/>
            </w:tcBorders>
            <w:shd w:val="clear" w:color="auto" w:fill="B6D5E4"/>
            <w:tcMar>
              <w:right w:w="85" w:type="dxa"/>
            </w:tcMar>
          </w:tcPr>
          <w:p w14:paraId="7F192E84" w14:textId="77777777" w:rsidR="006C2FC5" w:rsidRPr="00184475" w:rsidRDefault="006C2FC5" w:rsidP="00A535E0">
            <w:pPr>
              <w:keepNext/>
              <w:spacing w:line="240" w:lineRule="auto"/>
              <w:ind w:right="227"/>
              <w:rPr>
                <w:rFonts w:ascii="Open Sans Semibold" w:eastAsia="Times New Roman" w:hAnsi="Open Sans Semibold" w:cs="Open Sans Semibold"/>
                <w:color w:val="000000"/>
                <w:sz w:val="16"/>
                <w:szCs w:val="20"/>
                <w:lang w:eastAsia="en-AU"/>
              </w:rPr>
            </w:pPr>
            <w:r>
              <w:rPr>
                <w:rFonts w:ascii="Open Sans Semibold" w:eastAsia="Times New Roman" w:hAnsi="Open Sans Semibold" w:cs="Open Sans Semibold"/>
                <w:color w:val="000000"/>
                <w:sz w:val="16"/>
                <w:szCs w:val="20"/>
                <w:lang w:eastAsia="en-AU"/>
              </w:rPr>
              <w:t>Education</w:t>
            </w:r>
          </w:p>
        </w:tc>
      </w:tr>
      <w:tr w:rsidR="006C2FC5" w:rsidRPr="00C91117" w14:paraId="4168B6AC" w14:textId="77777777" w:rsidTr="00874F19">
        <w:trPr>
          <w:trHeight w:val="510"/>
        </w:trPr>
        <w:tc>
          <w:tcPr>
            <w:tcW w:w="2410" w:type="dxa"/>
            <w:tcBorders>
              <w:top w:val="single" w:sz="4" w:space="0" w:color="ADD6EA"/>
              <w:left w:val="nil"/>
              <w:bottom w:val="single" w:sz="4" w:space="0" w:color="ADD6EA"/>
              <w:right w:val="nil"/>
            </w:tcBorders>
          </w:tcPr>
          <w:p w14:paraId="090D2359"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sidRPr="00B53758">
              <w:rPr>
                <w:rFonts w:ascii="Open Sans Light" w:eastAsia="Times New Roman" w:hAnsi="Open Sans Light" w:cs="Open Sans Light"/>
                <w:color w:val="000000"/>
                <w:sz w:val="16"/>
                <w:szCs w:val="16"/>
                <w:lang w:eastAsia="en-AU"/>
              </w:rPr>
              <w:t>Operational Support for Manjali School</w:t>
            </w:r>
          </w:p>
        </w:tc>
        <w:tc>
          <w:tcPr>
            <w:tcW w:w="4394" w:type="dxa"/>
            <w:tcBorders>
              <w:top w:val="single" w:sz="4" w:space="0" w:color="ADD6EA"/>
              <w:left w:val="nil"/>
              <w:bottom w:val="single" w:sz="4" w:space="0" w:color="ADD6EA"/>
              <w:right w:val="nil"/>
            </w:tcBorders>
          </w:tcPr>
          <w:p w14:paraId="5811AFF3"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sz w:val="16"/>
                <w:szCs w:val="16"/>
              </w:rPr>
              <w:t>F</w:t>
            </w:r>
            <w:r w:rsidRPr="00FA02B3">
              <w:rPr>
                <w:rFonts w:ascii="Open Sans Light" w:hAnsi="Open Sans Light" w:cs="Open Sans Light"/>
                <w:sz w:val="16"/>
                <w:szCs w:val="16"/>
              </w:rPr>
              <w:t>unding to support the operation of the Manjali Studio School, a new secondary boarding school in the Kimberley region of Western Australia for First Nations students, which opened in 2025.</w:t>
            </w:r>
          </w:p>
        </w:tc>
        <w:tc>
          <w:tcPr>
            <w:tcW w:w="1134" w:type="dxa"/>
            <w:tcBorders>
              <w:top w:val="single" w:sz="4" w:space="0" w:color="ADD6EA"/>
              <w:left w:val="nil"/>
              <w:bottom w:val="single" w:sz="4" w:space="0" w:color="ADD6EA"/>
              <w:right w:val="nil"/>
            </w:tcBorders>
            <w:noWrap/>
            <w:tcMar>
              <w:right w:w="85" w:type="dxa"/>
            </w:tcMar>
          </w:tcPr>
          <w:p w14:paraId="3997D3F8" w14:textId="77777777" w:rsidR="006C2FC5" w:rsidRPr="00786B03" w:rsidRDefault="006C2FC5" w:rsidP="00874F19">
            <w:pPr>
              <w:spacing w:line="240" w:lineRule="auto"/>
              <w:ind w:right="227"/>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2.7</w:t>
            </w:r>
          </w:p>
        </w:tc>
        <w:tc>
          <w:tcPr>
            <w:tcW w:w="1276" w:type="dxa"/>
            <w:tcBorders>
              <w:top w:val="single" w:sz="4" w:space="0" w:color="ADD6EA"/>
              <w:left w:val="nil"/>
              <w:bottom w:val="single" w:sz="4" w:space="0" w:color="ADD6EA"/>
              <w:right w:val="nil"/>
            </w:tcBorders>
            <w:noWrap/>
          </w:tcPr>
          <w:p w14:paraId="10ABB101" w14:textId="77777777" w:rsidR="006C2FC5" w:rsidRPr="00786B03"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25B23A06" w14:textId="77777777" w:rsidR="006C2FC5" w:rsidRPr="00786B03" w:rsidRDefault="006C2FC5" w:rsidP="00874F19">
            <w:pPr>
              <w:spacing w:line="240" w:lineRule="auto"/>
              <w:rPr>
                <w:rFonts w:ascii="Open Sans Light" w:eastAsia="Times New Roman" w:hAnsi="Open Sans Light" w:cs="Open Sans Light"/>
                <w:color w:val="000000"/>
                <w:sz w:val="16"/>
                <w:szCs w:val="16"/>
                <w:lang w:eastAsia="en-AU"/>
              </w:rPr>
            </w:pPr>
            <w:r w:rsidRPr="00CD595A">
              <w:rPr>
                <w:rFonts w:ascii="Open Sans Light" w:eastAsia="Times New Roman" w:hAnsi="Open Sans Light" w:cs="Open Sans Light"/>
                <w:color w:val="000000"/>
                <w:sz w:val="16"/>
                <w:szCs w:val="16"/>
                <w:lang w:eastAsia="en-AU"/>
              </w:rPr>
              <w:t>Commonwealth funded support for non-government schools is not assessed.</w:t>
            </w:r>
          </w:p>
        </w:tc>
      </w:tr>
      <w:tr w:rsidR="006C2FC5" w:rsidRPr="00C91117" w14:paraId="5A8245C1" w14:textId="77777777" w:rsidTr="00874F19">
        <w:trPr>
          <w:trHeight w:val="510"/>
        </w:trPr>
        <w:tc>
          <w:tcPr>
            <w:tcW w:w="2410" w:type="dxa"/>
            <w:tcBorders>
              <w:top w:val="single" w:sz="4" w:space="0" w:color="ADD6EA"/>
              <w:left w:val="nil"/>
              <w:bottom w:val="single" w:sz="4" w:space="0" w:color="ADD6EA"/>
              <w:right w:val="nil"/>
            </w:tcBorders>
          </w:tcPr>
          <w:p w14:paraId="6934AAB1" w14:textId="77777777" w:rsidR="006C2FC5" w:rsidRPr="00D94F84" w:rsidRDefault="006C2FC5" w:rsidP="00874F19">
            <w:pPr>
              <w:spacing w:line="240" w:lineRule="auto"/>
              <w:rPr>
                <w:rFonts w:ascii="Open Sans Light" w:eastAsia="Times New Roman" w:hAnsi="Open Sans Light" w:cs="Open Sans Light"/>
                <w:color w:val="000000"/>
                <w:sz w:val="16"/>
                <w:szCs w:val="16"/>
                <w:lang w:eastAsia="en-AU"/>
              </w:rPr>
            </w:pPr>
            <w:r w:rsidRPr="00D94F84">
              <w:rPr>
                <w:rFonts w:ascii="Open Sans Light" w:eastAsia="Times New Roman" w:hAnsi="Open Sans Light" w:cs="Open Sans Light"/>
                <w:color w:val="000000"/>
                <w:sz w:val="16"/>
                <w:szCs w:val="16"/>
                <w:lang w:eastAsia="en-AU"/>
              </w:rPr>
              <w:t>Better and Fairer Schools Funding</w:t>
            </w:r>
          </w:p>
        </w:tc>
        <w:tc>
          <w:tcPr>
            <w:tcW w:w="4394" w:type="dxa"/>
            <w:tcBorders>
              <w:top w:val="single" w:sz="4" w:space="0" w:color="ADD6EA"/>
              <w:left w:val="nil"/>
              <w:bottom w:val="single" w:sz="4" w:space="0" w:color="ADD6EA"/>
              <w:right w:val="nil"/>
            </w:tcBorders>
          </w:tcPr>
          <w:p w14:paraId="248529B6" w14:textId="77777777" w:rsidR="006C2FC5" w:rsidRPr="00D94F84" w:rsidRDefault="006C2FC5" w:rsidP="00874F19">
            <w:pPr>
              <w:spacing w:line="240" w:lineRule="auto"/>
              <w:rPr>
                <w:rFonts w:ascii="Open Sans Light" w:eastAsia="Times New Roman" w:hAnsi="Open Sans Light" w:cs="Open Sans Light"/>
                <w:color w:val="000000"/>
                <w:sz w:val="16"/>
                <w:szCs w:val="16"/>
                <w:lang w:eastAsia="en-AU"/>
              </w:rPr>
            </w:pPr>
            <w:r w:rsidRPr="00D94F84">
              <w:rPr>
                <w:rFonts w:ascii="Open Sans Light" w:hAnsi="Open Sans Light" w:cs="Open Sans Light"/>
                <w:sz w:val="16"/>
                <w:szCs w:val="16"/>
              </w:rPr>
              <w:t>Funding, in a joint agreement with states, to support state education services to improve educational outcomes of Australian students. The BFSF will go to government and non-government schools in all states including recurrent funding, capital funding, choice and affordability funding and other prescribed purpose funding.</w:t>
            </w:r>
          </w:p>
        </w:tc>
        <w:tc>
          <w:tcPr>
            <w:tcW w:w="1134" w:type="dxa"/>
            <w:tcBorders>
              <w:top w:val="single" w:sz="4" w:space="0" w:color="ADD6EA"/>
              <w:left w:val="nil"/>
              <w:bottom w:val="single" w:sz="4" w:space="0" w:color="ADD6EA"/>
              <w:right w:val="nil"/>
            </w:tcBorders>
            <w:noWrap/>
            <w:tcMar>
              <w:right w:w="85" w:type="dxa"/>
            </w:tcMar>
          </w:tcPr>
          <w:p w14:paraId="239DE3B1" w14:textId="68A8CD9B" w:rsidR="006C2FC5" w:rsidRPr="00D94F84" w:rsidRDefault="006C2FC5"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3</w:t>
            </w:r>
            <w:r w:rsidR="002E4E94" w:rsidRPr="00E23345">
              <w:rPr>
                <w:rFonts w:ascii="Open Sans Light" w:eastAsia="Times New Roman" w:hAnsi="Open Sans Light" w:cs="Open Sans Light"/>
                <w:color w:val="000000"/>
                <w:sz w:val="16"/>
                <w:szCs w:val="16"/>
                <w:lang w:eastAsia="en-AU"/>
              </w:rPr>
              <w:t>1</w:t>
            </w:r>
            <w:r w:rsidR="002E0F76" w:rsidRPr="00E23345">
              <w:rPr>
                <w:rFonts w:ascii="Open Sans Light" w:eastAsia="Times New Roman" w:hAnsi="Open Sans Light" w:cs="Open Sans Light"/>
                <w:color w:val="000000"/>
                <w:sz w:val="16"/>
                <w:szCs w:val="16"/>
                <w:lang w:eastAsia="en-AU"/>
              </w:rPr>
              <w:t>,</w:t>
            </w:r>
            <w:r w:rsidR="002E4E94" w:rsidRPr="00E23345">
              <w:rPr>
                <w:rFonts w:ascii="Open Sans Light" w:eastAsia="Times New Roman" w:hAnsi="Open Sans Light" w:cs="Open Sans Light"/>
                <w:color w:val="000000"/>
                <w:sz w:val="16"/>
                <w:szCs w:val="16"/>
                <w:lang w:eastAsia="en-AU"/>
              </w:rPr>
              <w:t>026.7</w:t>
            </w:r>
          </w:p>
        </w:tc>
        <w:tc>
          <w:tcPr>
            <w:tcW w:w="1276" w:type="dxa"/>
            <w:tcBorders>
              <w:top w:val="single" w:sz="4" w:space="0" w:color="ADD6EA"/>
              <w:left w:val="nil"/>
              <w:bottom w:val="single" w:sz="4" w:space="0" w:color="ADD6EA"/>
              <w:right w:val="nil"/>
            </w:tcBorders>
            <w:noWrap/>
          </w:tcPr>
          <w:p w14:paraId="7B34B618" w14:textId="77777777" w:rsidR="006C2FC5" w:rsidRPr="00D94F84" w:rsidRDefault="006C2FC5" w:rsidP="00874F19">
            <w:pPr>
              <w:spacing w:line="240" w:lineRule="auto"/>
              <w:rPr>
                <w:rFonts w:ascii="Open Sans Light" w:eastAsia="Times New Roman" w:hAnsi="Open Sans Light" w:cs="Open Sans Light"/>
                <w:color w:val="000000"/>
                <w:sz w:val="16"/>
                <w:szCs w:val="16"/>
                <w:lang w:eastAsia="en-AU"/>
              </w:rPr>
            </w:pPr>
            <w:r w:rsidRPr="00D94F84">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single" w:sz="4" w:space="0" w:color="ADD6EA"/>
              <w:right w:val="nil"/>
            </w:tcBorders>
            <w:noWrap/>
          </w:tcPr>
          <w:p w14:paraId="25F9D4AA" w14:textId="77777777" w:rsidR="006C2FC5" w:rsidRDefault="006C2FC5" w:rsidP="00874F19">
            <w:pPr>
              <w:spacing w:line="240" w:lineRule="auto"/>
              <w:rPr>
                <w:rFonts w:ascii="Open Sans Light" w:eastAsia="Times New Roman" w:hAnsi="Open Sans Light" w:cs="Open Sans Light"/>
                <w:color w:val="000000"/>
                <w:sz w:val="16"/>
                <w:szCs w:val="16"/>
                <w:lang w:eastAsia="en-AU"/>
              </w:rPr>
            </w:pPr>
            <w:r w:rsidRPr="00D94F84">
              <w:rPr>
                <w:rFonts w:ascii="Open Sans Light" w:eastAsia="Times New Roman" w:hAnsi="Open Sans Light" w:cs="Open Sans Light"/>
                <w:color w:val="000000"/>
                <w:sz w:val="16"/>
                <w:szCs w:val="16"/>
                <w:lang w:eastAsia="en-AU"/>
              </w:rPr>
              <w:t xml:space="preserve">See </w:t>
            </w:r>
            <w:r>
              <w:rPr>
                <w:rFonts w:ascii="Open Sans Light" w:eastAsia="Times New Roman" w:hAnsi="Open Sans Light" w:cs="Open Sans Light"/>
                <w:color w:val="000000"/>
                <w:sz w:val="16"/>
                <w:szCs w:val="16"/>
                <w:lang w:eastAsia="en-AU"/>
              </w:rPr>
              <w:t xml:space="preserve">paragraphs </w:t>
            </w:r>
            <w:r w:rsidR="00FF5D2B">
              <w:rPr>
                <w:rFonts w:ascii="Open Sans Light" w:eastAsia="Times New Roman" w:hAnsi="Open Sans Light" w:cs="Open Sans Light"/>
                <w:color w:val="000000"/>
                <w:sz w:val="16"/>
                <w:szCs w:val="16"/>
                <w:lang w:eastAsia="en-AU"/>
              </w:rPr>
              <w:t>3</w:t>
            </w:r>
            <w:r w:rsidR="00E56E88">
              <w:rPr>
                <w:rFonts w:ascii="Open Sans Light" w:eastAsia="Times New Roman" w:hAnsi="Open Sans Light" w:cs="Open Sans Light"/>
                <w:color w:val="000000"/>
                <w:sz w:val="16"/>
                <w:szCs w:val="16"/>
                <w:lang w:eastAsia="en-AU"/>
              </w:rPr>
              <w:t>6</w:t>
            </w:r>
            <w:r>
              <w:rPr>
                <w:rFonts w:ascii="Open Sans Light" w:eastAsia="Times New Roman" w:hAnsi="Open Sans Light" w:cs="Open Sans Light"/>
                <w:color w:val="000000"/>
                <w:sz w:val="16"/>
                <w:szCs w:val="16"/>
                <w:lang w:eastAsia="en-AU"/>
              </w:rPr>
              <w:t xml:space="preserve"> to </w:t>
            </w:r>
            <w:r w:rsidR="000F2A94">
              <w:rPr>
                <w:rFonts w:ascii="Open Sans Light" w:eastAsia="Times New Roman" w:hAnsi="Open Sans Light" w:cs="Open Sans Light"/>
                <w:color w:val="000000"/>
                <w:sz w:val="16"/>
                <w:szCs w:val="16"/>
                <w:lang w:eastAsia="en-AU"/>
              </w:rPr>
              <w:t>4</w:t>
            </w:r>
            <w:r w:rsidR="00E56E88">
              <w:rPr>
                <w:rFonts w:ascii="Open Sans Light" w:eastAsia="Times New Roman" w:hAnsi="Open Sans Light" w:cs="Open Sans Light"/>
                <w:color w:val="000000"/>
                <w:sz w:val="16"/>
                <w:szCs w:val="16"/>
                <w:lang w:eastAsia="en-AU"/>
              </w:rPr>
              <w:t>3</w:t>
            </w:r>
            <w:r>
              <w:rPr>
                <w:rFonts w:ascii="Open Sans Light" w:eastAsia="Times New Roman" w:hAnsi="Open Sans Light" w:cs="Open Sans Light"/>
                <w:color w:val="000000"/>
                <w:sz w:val="16"/>
                <w:szCs w:val="16"/>
                <w:lang w:eastAsia="en-AU"/>
              </w:rPr>
              <w:t xml:space="preserve"> in the main document.</w:t>
            </w:r>
          </w:p>
          <w:p w14:paraId="55B6A26E" w14:textId="4E80A278" w:rsidR="006C2FC5" w:rsidRPr="00D94F84" w:rsidRDefault="00A447C8"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Includes </w:t>
            </w:r>
            <w:r w:rsidR="006D4ED9">
              <w:rPr>
                <w:rFonts w:ascii="Open Sans Light" w:eastAsia="Times New Roman" w:hAnsi="Open Sans Light" w:cs="Open Sans Light"/>
                <w:color w:val="000000"/>
                <w:sz w:val="16"/>
                <w:szCs w:val="16"/>
                <w:lang w:eastAsia="en-AU"/>
              </w:rPr>
              <w:t>$19,</w:t>
            </w:r>
            <w:r w:rsidR="00820461">
              <w:rPr>
                <w:rFonts w:ascii="Open Sans Light" w:eastAsia="Times New Roman" w:hAnsi="Open Sans Light" w:cs="Open Sans Light"/>
                <w:color w:val="000000"/>
                <w:sz w:val="16"/>
                <w:szCs w:val="16"/>
                <w:lang w:eastAsia="en-AU"/>
              </w:rPr>
              <w:t xml:space="preserve">325.4 million for non-government schools which will be treated </w:t>
            </w:r>
            <w:r w:rsidR="00C50CB1">
              <w:rPr>
                <w:rFonts w:ascii="Open Sans Light" w:eastAsia="Times New Roman" w:hAnsi="Open Sans Light" w:cs="Open Sans Light"/>
                <w:color w:val="000000"/>
                <w:sz w:val="16"/>
                <w:szCs w:val="16"/>
                <w:lang w:eastAsia="en-AU"/>
              </w:rPr>
              <w:t>out of scope.</w:t>
            </w:r>
          </w:p>
        </w:tc>
      </w:tr>
      <w:tr w:rsidR="006C2FC5" w:rsidRPr="00C91117" w14:paraId="64E09FCB" w14:textId="77777777" w:rsidTr="00874F19">
        <w:trPr>
          <w:trHeight w:val="283"/>
        </w:trPr>
        <w:tc>
          <w:tcPr>
            <w:tcW w:w="13892" w:type="dxa"/>
            <w:gridSpan w:val="5"/>
            <w:tcBorders>
              <w:top w:val="single" w:sz="4" w:space="0" w:color="ADD6EA"/>
              <w:left w:val="nil"/>
              <w:bottom w:val="single" w:sz="4" w:space="0" w:color="ADD6EA"/>
              <w:right w:val="nil"/>
            </w:tcBorders>
            <w:shd w:val="clear" w:color="auto" w:fill="B6D5E4"/>
          </w:tcPr>
          <w:p w14:paraId="52BAD740" w14:textId="77777777" w:rsidR="006C2FC5" w:rsidRPr="00C91117" w:rsidRDefault="006C2FC5" w:rsidP="00874F19">
            <w:pPr>
              <w:spacing w:line="240" w:lineRule="auto"/>
              <w:rPr>
                <w:rFonts w:eastAsia="Times New Roman" w:cs="Open Sans Light"/>
                <w:color w:val="000000"/>
                <w:sz w:val="16"/>
                <w:szCs w:val="20"/>
                <w:lang w:eastAsia="en-AU"/>
              </w:rPr>
            </w:pPr>
            <w:r>
              <w:rPr>
                <w:rFonts w:ascii="Open Sans Semibold" w:eastAsia="Times New Roman" w:hAnsi="Open Sans Semibold" w:cs="Open Sans Semibold"/>
                <w:color w:val="000000"/>
                <w:sz w:val="16"/>
                <w:szCs w:val="20"/>
                <w:lang w:eastAsia="en-AU"/>
              </w:rPr>
              <w:t>Skills and Workforce Development</w:t>
            </w:r>
          </w:p>
        </w:tc>
      </w:tr>
      <w:tr w:rsidR="006C2FC5" w:rsidRPr="00C91117" w14:paraId="05D7CF1E" w14:textId="77777777" w:rsidTr="00874F19">
        <w:trPr>
          <w:trHeight w:val="510"/>
        </w:trPr>
        <w:tc>
          <w:tcPr>
            <w:tcW w:w="2410" w:type="dxa"/>
            <w:tcBorders>
              <w:top w:val="single" w:sz="4" w:space="0" w:color="ADD6EA"/>
              <w:left w:val="nil"/>
              <w:bottom w:val="single" w:sz="4" w:space="0" w:color="ADD6EA"/>
              <w:right w:val="nil"/>
            </w:tcBorders>
          </w:tcPr>
          <w:p w14:paraId="185F1E04" w14:textId="77777777" w:rsidR="006C2FC5" w:rsidRPr="00F0064B" w:rsidRDefault="006C2FC5" w:rsidP="00874F19">
            <w:pPr>
              <w:spacing w:line="240" w:lineRule="auto"/>
              <w:rPr>
                <w:rFonts w:ascii="Open Sans Light" w:eastAsia="Times New Roman" w:hAnsi="Open Sans Light" w:cs="Open Sans Light"/>
                <w:color w:val="000000"/>
                <w:sz w:val="16"/>
                <w:szCs w:val="16"/>
                <w:lang w:eastAsia="en-AU"/>
              </w:rPr>
            </w:pPr>
            <w:r w:rsidRPr="00D340F3">
              <w:rPr>
                <w:rFonts w:ascii="Open Sans Light" w:eastAsia="Times New Roman" w:hAnsi="Open Sans Light" w:cs="Open Sans Light"/>
                <w:color w:val="000000"/>
                <w:sz w:val="16"/>
                <w:szCs w:val="16"/>
                <w:lang w:eastAsia="en-AU"/>
              </w:rPr>
              <w:t>Degree Apprenticeship Pilot Program</w:t>
            </w:r>
          </w:p>
        </w:tc>
        <w:tc>
          <w:tcPr>
            <w:tcW w:w="4394" w:type="dxa"/>
            <w:tcBorders>
              <w:top w:val="single" w:sz="4" w:space="0" w:color="ADD6EA"/>
              <w:left w:val="nil"/>
              <w:bottom w:val="single" w:sz="4" w:space="0" w:color="ADD6EA"/>
              <w:right w:val="nil"/>
            </w:tcBorders>
          </w:tcPr>
          <w:p w14:paraId="140F4F2E" w14:textId="77777777" w:rsidR="006C2FC5" w:rsidRPr="004C0A99" w:rsidRDefault="006C2FC5" w:rsidP="00874F19">
            <w:pPr>
              <w:spacing w:line="240" w:lineRule="auto"/>
              <w:rPr>
                <w:rFonts w:ascii="Open Sans Light" w:eastAsia="Times New Roman" w:hAnsi="Open Sans Light" w:cs="Open Sans Light"/>
                <w:color w:val="000000"/>
                <w:sz w:val="16"/>
                <w:szCs w:val="16"/>
                <w:lang w:eastAsia="en-AU"/>
              </w:rPr>
            </w:pPr>
            <w:r w:rsidRPr="004C0A99">
              <w:rPr>
                <w:rFonts w:ascii="Open Sans Light" w:hAnsi="Open Sans Light" w:cs="Open Sans Light"/>
                <w:color w:val="000000"/>
                <w:sz w:val="16"/>
                <w:szCs w:val="16"/>
              </w:rPr>
              <w:t xml:space="preserve">Support for the delivery of the Degree Apprenticeships Pilot program. </w:t>
            </w:r>
          </w:p>
        </w:tc>
        <w:tc>
          <w:tcPr>
            <w:tcW w:w="1134" w:type="dxa"/>
            <w:tcBorders>
              <w:top w:val="single" w:sz="4" w:space="0" w:color="ADD6EA"/>
              <w:left w:val="nil"/>
              <w:bottom w:val="single" w:sz="4" w:space="0" w:color="ADD6EA"/>
              <w:right w:val="nil"/>
            </w:tcBorders>
            <w:noWrap/>
            <w:tcMar>
              <w:right w:w="85" w:type="dxa"/>
            </w:tcMar>
          </w:tcPr>
          <w:p w14:paraId="2A5D5561" w14:textId="11740ED2" w:rsidR="006C2FC5" w:rsidRPr="00CB1CE7" w:rsidRDefault="002C7510"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1.0</w:t>
            </w:r>
          </w:p>
        </w:tc>
        <w:tc>
          <w:tcPr>
            <w:tcW w:w="1276" w:type="dxa"/>
            <w:tcBorders>
              <w:top w:val="single" w:sz="4" w:space="0" w:color="ADD6EA"/>
              <w:left w:val="nil"/>
              <w:bottom w:val="single" w:sz="4" w:space="0" w:color="ADD6EA"/>
              <w:right w:val="nil"/>
            </w:tcBorders>
            <w:noWrap/>
          </w:tcPr>
          <w:p w14:paraId="59A13085"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17CF46B2" w14:textId="7742F39C"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Post</w:t>
            </w:r>
            <w:r w:rsidR="00B011AE">
              <w:rPr>
                <w:rFonts w:ascii="Open Sans Light" w:hAnsi="Open Sans Light" w:cs="Open Sans Light"/>
                <w:color w:val="000000"/>
                <w:sz w:val="16"/>
                <w:szCs w:val="16"/>
              </w:rPr>
              <w:noBreakHyphen/>
            </w:r>
            <w:r w:rsidRPr="00CB1CE7">
              <w:rPr>
                <w:rFonts w:ascii="Open Sans Light" w:hAnsi="Open Sans Light" w:cs="Open Sans Light"/>
                <w:color w:val="000000"/>
                <w:sz w:val="16"/>
                <w:szCs w:val="16"/>
              </w:rPr>
              <w:t xml:space="preserve">secondary education is a state </w:t>
            </w:r>
            <w:proofErr w:type="gramStart"/>
            <w:r w:rsidRPr="00CB1CE7">
              <w:rPr>
                <w:rFonts w:ascii="Open Sans Light" w:hAnsi="Open Sans Light" w:cs="Open Sans Light"/>
                <w:color w:val="000000"/>
                <w:sz w:val="16"/>
                <w:szCs w:val="16"/>
              </w:rPr>
              <w:t>function</w:t>
            </w:r>
            <w:proofErr w:type="gramEnd"/>
            <w:r w:rsidRPr="00CB1CE7">
              <w:rPr>
                <w:rFonts w:ascii="Open Sans Light" w:hAnsi="Open Sans Light" w:cs="Open Sans Light"/>
                <w:color w:val="000000"/>
                <w:sz w:val="16"/>
                <w:szCs w:val="16"/>
              </w:rPr>
              <w:t xml:space="preserve"> and needs are assessed.</w:t>
            </w:r>
          </w:p>
        </w:tc>
      </w:tr>
      <w:tr w:rsidR="006C2FC5" w:rsidRPr="00C91117" w14:paraId="069F081A" w14:textId="77777777" w:rsidTr="00874F19">
        <w:trPr>
          <w:trHeight w:val="510"/>
        </w:trPr>
        <w:tc>
          <w:tcPr>
            <w:tcW w:w="2410" w:type="dxa"/>
            <w:tcBorders>
              <w:top w:val="single" w:sz="4" w:space="0" w:color="ADD6EA"/>
              <w:left w:val="nil"/>
              <w:bottom w:val="single" w:sz="4" w:space="0" w:color="ADD6EA"/>
              <w:right w:val="nil"/>
            </w:tcBorders>
          </w:tcPr>
          <w:p w14:paraId="130CFA5D" w14:textId="77777777" w:rsidR="006C2FC5" w:rsidRPr="00F0064B" w:rsidRDefault="006C2FC5" w:rsidP="00874F19">
            <w:pPr>
              <w:spacing w:line="240" w:lineRule="auto"/>
              <w:rPr>
                <w:rFonts w:ascii="Open Sans Light" w:eastAsia="Times New Roman" w:hAnsi="Open Sans Light" w:cs="Open Sans Light"/>
                <w:color w:val="000000"/>
                <w:sz w:val="16"/>
                <w:szCs w:val="16"/>
                <w:lang w:eastAsia="en-AU"/>
              </w:rPr>
            </w:pPr>
            <w:r w:rsidRPr="00D340F3">
              <w:rPr>
                <w:rFonts w:ascii="Open Sans Light" w:eastAsia="Times New Roman" w:hAnsi="Open Sans Light" w:cs="Open Sans Light"/>
                <w:color w:val="000000"/>
                <w:sz w:val="16"/>
                <w:szCs w:val="16"/>
                <w:lang w:eastAsia="en-AU"/>
              </w:rPr>
              <w:lastRenderedPageBreak/>
              <w:t>Turbocharging TAFE Centres of Excellence</w:t>
            </w:r>
          </w:p>
        </w:tc>
        <w:tc>
          <w:tcPr>
            <w:tcW w:w="4394" w:type="dxa"/>
            <w:tcBorders>
              <w:top w:val="single" w:sz="4" w:space="0" w:color="ADD6EA"/>
              <w:left w:val="nil"/>
              <w:bottom w:val="single" w:sz="4" w:space="0" w:color="ADD6EA"/>
              <w:right w:val="nil"/>
            </w:tcBorders>
          </w:tcPr>
          <w:p w14:paraId="73ED746F" w14:textId="77777777" w:rsidR="006C2FC5" w:rsidRPr="004C0A99" w:rsidRDefault="006C2FC5" w:rsidP="00874F19">
            <w:pPr>
              <w:spacing w:line="240" w:lineRule="auto"/>
              <w:rPr>
                <w:rFonts w:ascii="Open Sans Light" w:eastAsia="Times New Roman" w:hAnsi="Open Sans Light" w:cs="Open Sans Light"/>
                <w:color w:val="000000"/>
                <w:sz w:val="16"/>
                <w:szCs w:val="16"/>
                <w:lang w:eastAsia="en-AU"/>
              </w:rPr>
            </w:pPr>
            <w:r w:rsidRPr="004C0A99">
              <w:rPr>
                <w:rFonts w:ascii="Open Sans Light" w:hAnsi="Open Sans Light" w:cs="Open Sans Light"/>
                <w:color w:val="000000"/>
                <w:sz w:val="16"/>
                <w:szCs w:val="16"/>
              </w:rPr>
              <w:t>Funding for TAFE Centres of Excellence to support agreed national skills and training priorities.</w:t>
            </w:r>
          </w:p>
        </w:tc>
        <w:tc>
          <w:tcPr>
            <w:tcW w:w="1134" w:type="dxa"/>
            <w:tcBorders>
              <w:top w:val="single" w:sz="4" w:space="0" w:color="ADD6EA"/>
              <w:left w:val="nil"/>
              <w:bottom w:val="single" w:sz="4" w:space="0" w:color="ADD6EA"/>
              <w:right w:val="nil"/>
            </w:tcBorders>
            <w:noWrap/>
            <w:tcMar>
              <w:right w:w="85" w:type="dxa"/>
            </w:tcMar>
          </w:tcPr>
          <w:p w14:paraId="7798BE6E" w14:textId="47D3B9AE" w:rsidR="006C2FC5" w:rsidRPr="004C0A99" w:rsidRDefault="00EC1EE0"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14.7</w:t>
            </w:r>
          </w:p>
        </w:tc>
        <w:tc>
          <w:tcPr>
            <w:tcW w:w="1276" w:type="dxa"/>
            <w:tcBorders>
              <w:top w:val="single" w:sz="4" w:space="0" w:color="ADD6EA"/>
              <w:left w:val="nil"/>
              <w:bottom w:val="single" w:sz="4" w:space="0" w:color="ADD6EA"/>
              <w:right w:val="nil"/>
            </w:tcBorders>
            <w:noWrap/>
          </w:tcPr>
          <w:p w14:paraId="39CE88C2" w14:textId="77777777" w:rsidR="006C2FC5" w:rsidRPr="004C0A99" w:rsidRDefault="006C2FC5" w:rsidP="00874F19">
            <w:pPr>
              <w:spacing w:line="240" w:lineRule="auto"/>
              <w:rPr>
                <w:rFonts w:ascii="Open Sans Light" w:eastAsia="Times New Roman" w:hAnsi="Open Sans Light" w:cs="Open Sans Light"/>
                <w:color w:val="000000"/>
                <w:sz w:val="16"/>
                <w:szCs w:val="16"/>
                <w:lang w:eastAsia="en-AU"/>
              </w:rPr>
            </w:pPr>
            <w:r w:rsidRPr="004C0A99">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43614BA0" w14:textId="77777777" w:rsidR="006C2FC5" w:rsidRPr="004C0A99"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4C0A99">
              <w:rPr>
                <w:rFonts w:ascii="Open Sans Light" w:hAnsi="Open Sans Light" w:cs="Open Sans Light"/>
                <w:color w:val="000000"/>
                <w:sz w:val="16"/>
                <w:szCs w:val="16"/>
              </w:rPr>
              <w:t xml:space="preserve">Demand to meet workforce challenges </w:t>
            </w:r>
            <w:r>
              <w:rPr>
                <w:rFonts w:ascii="Open Sans Light" w:hAnsi="Open Sans Light" w:cs="Open Sans Light"/>
                <w:color w:val="000000"/>
                <w:sz w:val="16"/>
                <w:szCs w:val="16"/>
              </w:rPr>
              <w:t xml:space="preserve">through further education </w:t>
            </w:r>
            <w:r w:rsidRPr="004C0A99">
              <w:rPr>
                <w:rFonts w:ascii="Open Sans Light" w:hAnsi="Open Sans Light" w:cs="Open Sans Light"/>
                <w:color w:val="000000"/>
                <w:sz w:val="16"/>
                <w:szCs w:val="16"/>
              </w:rPr>
              <w:t xml:space="preserve">in each state is a usual state function and </w:t>
            </w:r>
            <w:r>
              <w:rPr>
                <w:rFonts w:ascii="Open Sans Light" w:hAnsi="Open Sans Light" w:cs="Open Sans Light"/>
                <w:color w:val="000000"/>
                <w:sz w:val="16"/>
                <w:szCs w:val="16"/>
              </w:rPr>
              <w:t>needs are</w:t>
            </w:r>
            <w:r w:rsidRPr="004C0A99">
              <w:rPr>
                <w:rFonts w:ascii="Open Sans Light" w:hAnsi="Open Sans Light" w:cs="Open Sans Light"/>
                <w:color w:val="000000"/>
                <w:sz w:val="16"/>
                <w:szCs w:val="16"/>
              </w:rPr>
              <w:t xml:space="preserve"> assessed.</w:t>
            </w:r>
          </w:p>
        </w:tc>
      </w:tr>
      <w:tr w:rsidR="006C2FC5" w:rsidRPr="00C91117" w14:paraId="7D21D1A8" w14:textId="77777777" w:rsidTr="00874F19">
        <w:trPr>
          <w:trHeight w:val="284"/>
        </w:trPr>
        <w:tc>
          <w:tcPr>
            <w:tcW w:w="13892" w:type="dxa"/>
            <w:gridSpan w:val="5"/>
            <w:tcBorders>
              <w:top w:val="single" w:sz="4" w:space="0" w:color="ADD6EA"/>
              <w:left w:val="nil"/>
              <w:bottom w:val="nil"/>
              <w:right w:val="nil"/>
            </w:tcBorders>
            <w:shd w:val="clear" w:color="auto" w:fill="B6D5E4"/>
            <w:tcMar>
              <w:right w:w="85" w:type="dxa"/>
            </w:tcMar>
          </w:tcPr>
          <w:p w14:paraId="1E069228" w14:textId="77777777" w:rsidR="006C2FC5" w:rsidRPr="00642499" w:rsidRDefault="006C2FC5" w:rsidP="00874F19">
            <w:pPr>
              <w:spacing w:line="240" w:lineRule="auto"/>
              <w:ind w:right="227"/>
              <w:rPr>
                <w:rFonts w:ascii="Open Sans Semibold" w:eastAsia="Times New Roman" w:hAnsi="Open Sans Semibold" w:cs="Open Sans Semibold"/>
                <w:color w:val="000000"/>
                <w:sz w:val="16"/>
                <w:szCs w:val="20"/>
                <w:lang w:eastAsia="en-AU"/>
              </w:rPr>
            </w:pPr>
            <w:r>
              <w:rPr>
                <w:rFonts w:ascii="Open Sans Semibold" w:eastAsia="Times New Roman" w:hAnsi="Open Sans Semibold" w:cs="Open Sans Semibold"/>
                <w:color w:val="000000"/>
                <w:sz w:val="16"/>
                <w:szCs w:val="20"/>
                <w:lang w:eastAsia="en-AU"/>
              </w:rPr>
              <w:t>Community</w:t>
            </w:r>
          </w:p>
        </w:tc>
      </w:tr>
      <w:tr w:rsidR="006C2FC5" w:rsidRPr="00C91117" w14:paraId="0AF7C874" w14:textId="77777777" w:rsidTr="00874F19">
        <w:trPr>
          <w:trHeight w:val="510"/>
        </w:trPr>
        <w:tc>
          <w:tcPr>
            <w:tcW w:w="2410" w:type="dxa"/>
            <w:tcBorders>
              <w:top w:val="single" w:sz="4" w:space="0" w:color="ADD6EA"/>
              <w:left w:val="nil"/>
              <w:bottom w:val="single" w:sz="4" w:space="0" w:color="ADD6EA"/>
              <w:right w:val="nil"/>
            </w:tcBorders>
          </w:tcPr>
          <w:p w14:paraId="15752507"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sidRPr="0034547C">
              <w:rPr>
                <w:rFonts w:ascii="Open Sans Light" w:eastAsia="Times New Roman" w:hAnsi="Open Sans Light" w:cs="Open Sans Light"/>
                <w:color w:val="000000"/>
                <w:sz w:val="16"/>
                <w:szCs w:val="16"/>
                <w:lang w:eastAsia="en-AU"/>
              </w:rPr>
              <w:t>Far North Queensland Connect Project</w:t>
            </w:r>
          </w:p>
        </w:tc>
        <w:tc>
          <w:tcPr>
            <w:tcW w:w="4394" w:type="dxa"/>
            <w:tcBorders>
              <w:top w:val="single" w:sz="4" w:space="0" w:color="ADD6EA"/>
              <w:left w:val="nil"/>
              <w:bottom w:val="single" w:sz="4" w:space="0" w:color="ADD6EA"/>
              <w:right w:val="nil"/>
            </w:tcBorders>
          </w:tcPr>
          <w:p w14:paraId="4A1A2EEC" w14:textId="70B9C3C0" w:rsidR="006C2FC5" w:rsidRPr="003B46B3" w:rsidRDefault="006C2FC5" w:rsidP="00874F19">
            <w:pPr>
              <w:spacing w:line="240" w:lineRule="auto"/>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Funding to Queensland to explore a model to integrate care and support services, strengthen local community workforces, and build inclusive communities across Far North Queensland. The initiative aims to increase National Disability Insurance Scheme plan utilisation, workforce capability and efficient integration of resources.</w:t>
            </w:r>
          </w:p>
        </w:tc>
        <w:tc>
          <w:tcPr>
            <w:tcW w:w="1134" w:type="dxa"/>
            <w:tcBorders>
              <w:top w:val="single" w:sz="4" w:space="0" w:color="ADD6EA"/>
              <w:left w:val="nil"/>
              <w:bottom w:val="single" w:sz="4" w:space="0" w:color="ADD6EA"/>
              <w:right w:val="nil"/>
            </w:tcBorders>
            <w:noWrap/>
            <w:tcMar>
              <w:right w:w="85" w:type="dxa"/>
            </w:tcMar>
          </w:tcPr>
          <w:p w14:paraId="6986E21B" w14:textId="77777777" w:rsidR="006C2FC5" w:rsidRPr="003B46B3" w:rsidRDefault="006C2FC5" w:rsidP="00874F19">
            <w:pPr>
              <w:spacing w:line="240" w:lineRule="auto"/>
              <w:ind w:right="227"/>
              <w:jc w:val="right"/>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4.6</w:t>
            </w:r>
          </w:p>
        </w:tc>
        <w:tc>
          <w:tcPr>
            <w:tcW w:w="1276" w:type="dxa"/>
            <w:tcBorders>
              <w:top w:val="single" w:sz="4" w:space="0" w:color="ADD6EA"/>
              <w:left w:val="nil"/>
              <w:bottom w:val="single" w:sz="4" w:space="0" w:color="ADD6EA"/>
              <w:right w:val="nil"/>
            </w:tcBorders>
            <w:noWrap/>
          </w:tcPr>
          <w:p w14:paraId="769D25DC" w14:textId="77777777" w:rsidR="006C2FC5" w:rsidRPr="003B46B3" w:rsidRDefault="006C2FC5" w:rsidP="00874F19">
            <w:pPr>
              <w:spacing w:line="240" w:lineRule="auto"/>
              <w:rPr>
                <w:rFonts w:ascii="Open Sans Light" w:eastAsia="Times New Roman" w:hAnsi="Open Sans Light" w:cs="Open Sans Light"/>
                <w:color w:val="000000"/>
                <w:sz w:val="16"/>
                <w:szCs w:val="16"/>
                <w:lang w:eastAsia="en-AU"/>
              </w:rPr>
            </w:pPr>
            <w:r w:rsidRPr="003B46B3">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05C25306" w14:textId="6EB1F0B2" w:rsidR="006C2FC5" w:rsidRPr="003B46B3" w:rsidRDefault="005052EA" w:rsidP="00874F19">
            <w:pPr>
              <w:spacing w:line="240" w:lineRule="auto"/>
              <w:rPr>
                <w:rFonts w:ascii="Open Sans Light" w:eastAsia="Times New Roman" w:hAnsi="Open Sans Light" w:cs="Open Sans Light"/>
                <w:color w:val="000000"/>
                <w:sz w:val="16"/>
                <w:szCs w:val="16"/>
                <w:lang w:eastAsia="en-AU"/>
              </w:rPr>
            </w:pPr>
            <w:r w:rsidRPr="00287265">
              <w:rPr>
                <w:rFonts w:ascii="Open Sans Light" w:hAnsi="Open Sans Light" w:cs="Open Sans Light"/>
                <w:sz w:val="16"/>
                <w:szCs w:val="16"/>
              </w:rPr>
              <w:t>Delivery of community social welfare programs is a state service. However, needs are not assessed (other welfare).</w:t>
            </w:r>
          </w:p>
        </w:tc>
      </w:tr>
      <w:tr w:rsidR="006C2FC5" w:rsidRPr="00C91117" w14:paraId="024368B8" w14:textId="77777777" w:rsidTr="00874F19">
        <w:trPr>
          <w:trHeight w:val="510"/>
        </w:trPr>
        <w:tc>
          <w:tcPr>
            <w:tcW w:w="2410" w:type="dxa"/>
            <w:tcBorders>
              <w:top w:val="single" w:sz="4" w:space="0" w:color="ADD6EA"/>
              <w:left w:val="nil"/>
              <w:bottom w:val="single" w:sz="4" w:space="0" w:color="ADD6EA"/>
              <w:right w:val="nil"/>
            </w:tcBorders>
          </w:tcPr>
          <w:p w14:paraId="5ED1B140" w14:textId="77777777" w:rsidR="006C2FC5" w:rsidRPr="00ED56BE" w:rsidRDefault="006C2FC5" w:rsidP="00874F19">
            <w:pPr>
              <w:spacing w:line="240" w:lineRule="auto"/>
              <w:rPr>
                <w:rFonts w:ascii="Open Sans Light" w:eastAsia="Times New Roman" w:hAnsi="Open Sans Light" w:cs="Open Sans Light"/>
                <w:color w:val="000000"/>
                <w:sz w:val="16"/>
                <w:szCs w:val="16"/>
                <w:lang w:eastAsia="en-AU"/>
              </w:rPr>
            </w:pPr>
            <w:r w:rsidRPr="00A638DC">
              <w:rPr>
                <w:rFonts w:ascii="Open Sans Light" w:eastAsia="Times New Roman" w:hAnsi="Open Sans Light" w:cs="Open Sans Light"/>
                <w:color w:val="000000"/>
                <w:sz w:val="16"/>
                <w:szCs w:val="16"/>
                <w:lang w:eastAsia="en-AU"/>
              </w:rPr>
              <w:t>Outcomes Fund</w:t>
            </w:r>
          </w:p>
        </w:tc>
        <w:tc>
          <w:tcPr>
            <w:tcW w:w="4394" w:type="dxa"/>
            <w:tcBorders>
              <w:top w:val="single" w:sz="4" w:space="0" w:color="ADD6EA"/>
              <w:left w:val="nil"/>
              <w:bottom w:val="single" w:sz="4" w:space="0" w:color="ADD6EA"/>
              <w:right w:val="nil"/>
            </w:tcBorders>
          </w:tcPr>
          <w:p w14:paraId="2D89DD69" w14:textId="6C2BE111" w:rsidR="006C2FC5" w:rsidRPr="003B46B3"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A</w:t>
            </w:r>
            <w:r w:rsidRPr="003B46B3">
              <w:rPr>
                <w:rFonts w:ascii="Open Sans Light" w:eastAsia="Times New Roman" w:hAnsi="Open Sans Light" w:cs="Open Sans Light"/>
                <w:color w:val="000000"/>
                <w:sz w:val="16"/>
                <w:szCs w:val="16"/>
                <w:lang w:eastAsia="en-AU"/>
              </w:rPr>
              <w:t xml:space="preserve"> </w:t>
            </w:r>
            <w:r>
              <w:rPr>
                <w:rFonts w:ascii="Open Sans Light" w:eastAsia="Times New Roman" w:hAnsi="Open Sans Light" w:cs="Open Sans Light"/>
                <w:color w:val="000000"/>
                <w:sz w:val="16"/>
                <w:szCs w:val="16"/>
                <w:lang w:eastAsia="en-AU"/>
              </w:rPr>
              <w:t>commitment of</w:t>
            </w:r>
            <w:r w:rsidRPr="003B46B3">
              <w:rPr>
                <w:rFonts w:ascii="Open Sans Light" w:eastAsia="Times New Roman" w:hAnsi="Open Sans Light" w:cs="Open Sans Light"/>
                <w:color w:val="000000"/>
                <w:sz w:val="16"/>
                <w:szCs w:val="16"/>
                <w:lang w:eastAsia="en-AU"/>
              </w:rPr>
              <w:t xml:space="preserve"> $100 million over </w:t>
            </w:r>
            <w:r>
              <w:rPr>
                <w:rFonts w:ascii="Open Sans Light" w:eastAsia="Times New Roman" w:hAnsi="Open Sans Light" w:cs="Open Sans Light"/>
                <w:color w:val="000000"/>
                <w:sz w:val="16"/>
                <w:szCs w:val="16"/>
                <w:lang w:eastAsia="en-AU"/>
              </w:rPr>
              <w:t>10</w:t>
            </w:r>
            <w:r w:rsidRPr="003B46B3">
              <w:rPr>
                <w:rFonts w:ascii="Open Sans Light" w:eastAsia="Times New Roman" w:hAnsi="Open Sans Light" w:cs="Open Sans Light"/>
                <w:color w:val="000000"/>
                <w:sz w:val="16"/>
                <w:szCs w:val="16"/>
                <w:lang w:eastAsia="en-AU"/>
              </w:rPr>
              <w:t xml:space="preserve"> years to support social impact investing projects addressing entrenched disadvantage focus</w:t>
            </w:r>
            <w:r>
              <w:rPr>
                <w:rFonts w:ascii="Open Sans Light" w:eastAsia="Times New Roman" w:hAnsi="Open Sans Light" w:cs="Open Sans Light"/>
                <w:color w:val="000000"/>
                <w:sz w:val="16"/>
                <w:szCs w:val="16"/>
                <w:lang w:eastAsia="en-AU"/>
              </w:rPr>
              <w:t>ing</w:t>
            </w:r>
            <w:r w:rsidRPr="003B46B3">
              <w:rPr>
                <w:rFonts w:ascii="Open Sans Light" w:eastAsia="Times New Roman" w:hAnsi="Open Sans Light" w:cs="Open Sans Light"/>
                <w:color w:val="000000"/>
                <w:sz w:val="16"/>
                <w:szCs w:val="16"/>
                <w:lang w:eastAsia="en-AU"/>
              </w:rPr>
              <w:t xml:space="preserve"> on supporting families and children, people facing concentrated unemployment and people facing or experiencing homelessness.</w:t>
            </w:r>
          </w:p>
        </w:tc>
        <w:tc>
          <w:tcPr>
            <w:tcW w:w="1134" w:type="dxa"/>
            <w:tcBorders>
              <w:top w:val="single" w:sz="4" w:space="0" w:color="ADD6EA"/>
              <w:left w:val="nil"/>
              <w:bottom w:val="single" w:sz="4" w:space="0" w:color="ADD6EA"/>
              <w:right w:val="nil"/>
            </w:tcBorders>
            <w:noWrap/>
            <w:tcMar>
              <w:right w:w="85" w:type="dxa"/>
            </w:tcMar>
          </w:tcPr>
          <w:p w14:paraId="1CFFD3F9" w14:textId="77777777" w:rsidR="006C2FC5" w:rsidRPr="003B46B3" w:rsidRDefault="006C2FC5" w:rsidP="00874F19">
            <w:pPr>
              <w:spacing w:line="240" w:lineRule="auto"/>
              <w:ind w:right="227"/>
              <w:jc w:val="right"/>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1.7</w:t>
            </w:r>
          </w:p>
        </w:tc>
        <w:tc>
          <w:tcPr>
            <w:tcW w:w="1276" w:type="dxa"/>
            <w:tcBorders>
              <w:top w:val="single" w:sz="4" w:space="0" w:color="ADD6EA"/>
              <w:left w:val="nil"/>
              <w:bottom w:val="single" w:sz="4" w:space="0" w:color="ADD6EA"/>
              <w:right w:val="nil"/>
            </w:tcBorders>
            <w:noWrap/>
          </w:tcPr>
          <w:p w14:paraId="1D73AE3B" w14:textId="77777777" w:rsidR="006C2FC5" w:rsidRPr="003B46B3" w:rsidRDefault="006C2FC5" w:rsidP="00874F19">
            <w:pPr>
              <w:spacing w:line="240" w:lineRule="auto"/>
              <w:rPr>
                <w:rFonts w:ascii="Open Sans Light" w:eastAsia="Times New Roman" w:hAnsi="Open Sans Light" w:cs="Open Sans Light"/>
                <w:color w:val="000000"/>
                <w:sz w:val="16"/>
                <w:szCs w:val="16"/>
                <w:lang w:eastAsia="en-AU"/>
              </w:rPr>
            </w:pPr>
            <w:r w:rsidRPr="003B46B3">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79EFDECD" w14:textId="070B83A7" w:rsidR="006C2FC5" w:rsidRPr="003B46B3" w:rsidRDefault="005052EA" w:rsidP="00874F19">
            <w:pPr>
              <w:spacing w:line="240" w:lineRule="auto"/>
              <w:rPr>
                <w:rFonts w:ascii="Open Sans Light" w:eastAsia="Times New Roman" w:hAnsi="Open Sans Light" w:cs="Open Sans Light"/>
                <w:color w:val="000000"/>
                <w:sz w:val="16"/>
                <w:szCs w:val="16"/>
                <w:lang w:eastAsia="en-AU"/>
              </w:rPr>
            </w:pPr>
            <w:r w:rsidRPr="00287265">
              <w:rPr>
                <w:rFonts w:ascii="Open Sans Light" w:hAnsi="Open Sans Light" w:cs="Open Sans Light"/>
                <w:sz w:val="16"/>
                <w:szCs w:val="16"/>
              </w:rPr>
              <w:t>Delivery of community social welfare programs is a state service. However, needs are not assessed (other welfare).</w:t>
            </w:r>
          </w:p>
        </w:tc>
      </w:tr>
      <w:tr w:rsidR="006C2FC5" w:rsidRPr="00C91117" w14:paraId="5A482D45" w14:textId="77777777" w:rsidTr="00874F19">
        <w:trPr>
          <w:trHeight w:val="510"/>
        </w:trPr>
        <w:tc>
          <w:tcPr>
            <w:tcW w:w="2410" w:type="dxa"/>
            <w:tcBorders>
              <w:top w:val="single" w:sz="4" w:space="0" w:color="ADD6EA"/>
              <w:left w:val="nil"/>
              <w:bottom w:val="single" w:sz="4" w:space="0" w:color="ADD6EA"/>
              <w:right w:val="nil"/>
            </w:tcBorders>
          </w:tcPr>
          <w:p w14:paraId="6F151343" w14:textId="77777777" w:rsidR="006C2FC5" w:rsidRPr="00EB0105" w:rsidRDefault="006C2FC5" w:rsidP="00874F19">
            <w:pPr>
              <w:spacing w:line="240" w:lineRule="auto"/>
              <w:rPr>
                <w:rFonts w:ascii="Open Sans Light" w:eastAsia="Times New Roman" w:hAnsi="Open Sans Light" w:cs="Open Sans Light"/>
                <w:color w:val="000000"/>
                <w:sz w:val="16"/>
                <w:szCs w:val="16"/>
                <w:lang w:eastAsia="en-AU"/>
              </w:rPr>
            </w:pPr>
            <w:r w:rsidRPr="00A638DC">
              <w:rPr>
                <w:rFonts w:ascii="Open Sans Light" w:eastAsia="Times New Roman" w:hAnsi="Open Sans Light" w:cs="Open Sans Light"/>
                <w:color w:val="000000"/>
                <w:sz w:val="16"/>
                <w:szCs w:val="16"/>
                <w:lang w:eastAsia="en-AU"/>
              </w:rPr>
              <w:t>Port Augusta Safety and Wellbeing Partnership</w:t>
            </w:r>
          </w:p>
        </w:tc>
        <w:tc>
          <w:tcPr>
            <w:tcW w:w="4394" w:type="dxa"/>
            <w:tcBorders>
              <w:top w:val="single" w:sz="4" w:space="0" w:color="ADD6EA"/>
              <w:left w:val="nil"/>
              <w:bottom w:val="single" w:sz="4" w:space="0" w:color="ADD6EA"/>
              <w:right w:val="nil"/>
            </w:tcBorders>
          </w:tcPr>
          <w:p w14:paraId="1690E8EE" w14:textId="77777777" w:rsidR="006C2FC5" w:rsidRPr="003B46B3"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3B46B3">
              <w:rPr>
                <w:rFonts w:ascii="Open Sans Light" w:eastAsia="Times New Roman" w:hAnsi="Open Sans Light" w:cs="Open Sans Light"/>
                <w:color w:val="000000"/>
                <w:sz w:val="16"/>
                <w:szCs w:val="16"/>
                <w:lang w:eastAsia="en-AU"/>
              </w:rPr>
              <w:t>unding to support the Port Augusta Safety and Wellbeing Partnership. The Partnership aims to better coordinate investment in community services between the Australian Government and South Australia to improve the safety and wellbeing of people in Port Augusta and Davenport.</w:t>
            </w:r>
          </w:p>
        </w:tc>
        <w:tc>
          <w:tcPr>
            <w:tcW w:w="1134" w:type="dxa"/>
            <w:tcBorders>
              <w:top w:val="single" w:sz="4" w:space="0" w:color="ADD6EA"/>
              <w:left w:val="nil"/>
              <w:bottom w:val="single" w:sz="4" w:space="0" w:color="ADD6EA"/>
              <w:right w:val="nil"/>
            </w:tcBorders>
            <w:noWrap/>
            <w:tcMar>
              <w:right w:w="85" w:type="dxa"/>
            </w:tcMar>
          </w:tcPr>
          <w:p w14:paraId="5044B91E" w14:textId="766CCF53" w:rsidR="006C2FC5" w:rsidRPr="003B46B3" w:rsidRDefault="006C2FC5" w:rsidP="00874F19">
            <w:pPr>
              <w:spacing w:line="240" w:lineRule="auto"/>
              <w:ind w:right="227"/>
              <w:jc w:val="right"/>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3</w:t>
            </w:r>
            <w:r w:rsidR="00844357" w:rsidRPr="00E23345">
              <w:rPr>
                <w:rFonts w:ascii="Open Sans Light" w:eastAsia="Times New Roman" w:hAnsi="Open Sans Light" w:cs="Open Sans Light"/>
                <w:color w:val="000000"/>
                <w:sz w:val="16"/>
                <w:szCs w:val="16"/>
                <w:lang w:eastAsia="en-AU"/>
              </w:rPr>
              <w:t>.0</w:t>
            </w:r>
          </w:p>
        </w:tc>
        <w:tc>
          <w:tcPr>
            <w:tcW w:w="1276" w:type="dxa"/>
            <w:tcBorders>
              <w:top w:val="single" w:sz="4" w:space="0" w:color="ADD6EA"/>
              <w:left w:val="nil"/>
              <w:bottom w:val="single" w:sz="4" w:space="0" w:color="ADD6EA"/>
              <w:right w:val="nil"/>
            </w:tcBorders>
            <w:noWrap/>
          </w:tcPr>
          <w:p w14:paraId="777E98C0" w14:textId="77777777" w:rsidR="006C2FC5" w:rsidRPr="003B46B3" w:rsidRDefault="006C2FC5" w:rsidP="00874F19">
            <w:pPr>
              <w:spacing w:line="240" w:lineRule="auto"/>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4EB6EA52" w14:textId="4D281D8A" w:rsidR="006C2FC5" w:rsidRPr="003B46B3" w:rsidRDefault="006C2FC5" w:rsidP="00874F19">
            <w:pPr>
              <w:spacing w:line="240" w:lineRule="auto"/>
              <w:rPr>
                <w:rFonts w:ascii="Open Sans Light" w:eastAsia="Times New Roman" w:hAnsi="Open Sans Light" w:cs="Open Sans Light"/>
                <w:color w:val="000000"/>
                <w:sz w:val="16"/>
                <w:szCs w:val="16"/>
                <w:lang w:eastAsia="en-AU"/>
              </w:rPr>
            </w:pPr>
            <w:r w:rsidRPr="003B46B3">
              <w:rPr>
                <w:rFonts w:ascii="Open Sans Light" w:eastAsia="Times New Roman" w:hAnsi="Open Sans Light" w:cs="Open Sans Light"/>
                <w:color w:val="000000"/>
                <w:sz w:val="16"/>
                <w:szCs w:val="16"/>
                <w:lang w:eastAsia="en-AU"/>
              </w:rPr>
              <w:t xml:space="preserve">First Nations community engagement and development is a normal state function </w:t>
            </w:r>
            <w:r>
              <w:rPr>
                <w:rFonts w:ascii="Open Sans Light" w:eastAsia="Times New Roman" w:hAnsi="Open Sans Light" w:cs="Open Sans Light"/>
                <w:color w:val="000000"/>
                <w:sz w:val="16"/>
                <w:szCs w:val="16"/>
                <w:lang w:eastAsia="en-AU"/>
              </w:rPr>
              <w:t>and</w:t>
            </w:r>
            <w:r w:rsidRPr="003B46B3">
              <w:rPr>
                <w:rFonts w:ascii="Open Sans Light" w:eastAsia="Times New Roman" w:hAnsi="Open Sans Light" w:cs="Open Sans Light"/>
                <w:color w:val="000000"/>
                <w:sz w:val="16"/>
                <w:szCs w:val="16"/>
                <w:lang w:eastAsia="en-AU"/>
              </w:rPr>
              <w:t xml:space="preserve"> needs are assessed.</w:t>
            </w:r>
          </w:p>
        </w:tc>
      </w:tr>
      <w:tr w:rsidR="006C2FC5" w:rsidRPr="00642499" w14:paraId="5E26D634" w14:textId="77777777" w:rsidTr="00874F19">
        <w:trPr>
          <w:trHeight w:val="284"/>
        </w:trPr>
        <w:tc>
          <w:tcPr>
            <w:tcW w:w="13892" w:type="dxa"/>
            <w:gridSpan w:val="5"/>
            <w:tcBorders>
              <w:top w:val="single" w:sz="4" w:space="0" w:color="ADD6EA"/>
              <w:left w:val="nil"/>
              <w:bottom w:val="nil"/>
              <w:right w:val="nil"/>
            </w:tcBorders>
            <w:shd w:val="clear" w:color="auto" w:fill="B6D5E4"/>
            <w:tcMar>
              <w:right w:w="85" w:type="dxa"/>
            </w:tcMar>
          </w:tcPr>
          <w:p w14:paraId="0736D8C6" w14:textId="77777777" w:rsidR="006C2FC5" w:rsidRPr="00642499" w:rsidRDefault="006C2FC5" w:rsidP="00874F19">
            <w:pPr>
              <w:spacing w:line="240" w:lineRule="auto"/>
              <w:ind w:right="227"/>
              <w:rPr>
                <w:rFonts w:ascii="Open Sans Semibold" w:eastAsia="Times New Roman" w:hAnsi="Open Sans Semibold" w:cs="Open Sans Semibold"/>
                <w:color w:val="000000"/>
                <w:sz w:val="16"/>
                <w:szCs w:val="20"/>
                <w:lang w:eastAsia="en-AU"/>
              </w:rPr>
            </w:pPr>
            <w:r>
              <w:rPr>
                <w:rFonts w:ascii="Open Sans Semibold" w:eastAsia="Times New Roman" w:hAnsi="Open Sans Semibold" w:cs="Open Sans Semibold"/>
                <w:color w:val="000000"/>
                <w:sz w:val="16"/>
                <w:szCs w:val="20"/>
                <w:lang w:eastAsia="en-AU"/>
              </w:rPr>
              <w:t>Affordable Housing</w:t>
            </w:r>
          </w:p>
        </w:tc>
      </w:tr>
      <w:tr w:rsidR="006C2FC5" w:rsidRPr="00C91117" w14:paraId="045E8EEF" w14:textId="77777777" w:rsidTr="00874F19">
        <w:trPr>
          <w:trHeight w:val="510"/>
        </w:trPr>
        <w:tc>
          <w:tcPr>
            <w:tcW w:w="2410" w:type="dxa"/>
            <w:tcBorders>
              <w:top w:val="single" w:sz="4" w:space="0" w:color="ADD6EA"/>
              <w:left w:val="nil"/>
              <w:bottom w:val="single" w:sz="4" w:space="0" w:color="ADD6EA"/>
              <w:right w:val="nil"/>
            </w:tcBorders>
          </w:tcPr>
          <w:p w14:paraId="12F48486" w14:textId="77777777" w:rsidR="006C2FC5" w:rsidRPr="00B930B3" w:rsidRDefault="006C2FC5" w:rsidP="00874F19">
            <w:pPr>
              <w:spacing w:line="240" w:lineRule="auto"/>
              <w:rPr>
                <w:rFonts w:ascii="Open Sans Light" w:eastAsia="Times New Roman" w:hAnsi="Open Sans Light" w:cs="Open Sans Light"/>
                <w:color w:val="000000"/>
                <w:sz w:val="16"/>
                <w:szCs w:val="16"/>
                <w:lang w:eastAsia="en-AU"/>
              </w:rPr>
            </w:pPr>
            <w:r w:rsidRPr="00B930B3">
              <w:rPr>
                <w:rFonts w:ascii="Open Sans Light" w:eastAsia="Times New Roman" w:hAnsi="Open Sans Light" w:cs="Open Sans Light"/>
                <w:color w:val="000000"/>
                <w:sz w:val="16"/>
                <w:szCs w:val="16"/>
                <w:lang w:eastAsia="en-AU"/>
              </w:rPr>
              <w:t>Housing Australia Future Fund - Remote Indigenous Housing</w:t>
            </w:r>
          </w:p>
        </w:tc>
        <w:tc>
          <w:tcPr>
            <w:tcW w:w="4394" w:type="dxa"/>
            <w:tcBorders>
              <w:top w:val="single" w:sz="4" w:space="0" w:color="ADD6EA"/>
              <w:left w:val="nil"/>
              <w:bottom w:val="single" w:sz="4" w:space="0" w:color="ADD6EA"/>
              <w:right w:val="nil"/>
            </w:tcBorders>
          </w:tcPr>
          <w:p w14:paraId="498CD747" w14:textId="1D74CCD2" w:rsidR="006C2FC5" w:rsidRPr="00B930B3" w:rsidRDefault="006C2FC5" w:rsidP="00874F19">
            <w:pPr>
              <w:spacing w:line="240" w:lineRule="auto"/>
              <w:rPr>
                <w:rFonts w:ascii="Open Sans Light" w:eastAsia="Times New Roman" w:hAnsi="Open Sans Light" w:cs="Open Sans Light"/>
                <w:color w:val="000000"/>
                <w:sz w:val="16"/>
                <w:szCs w:val="16"/>
                <w:lang w:eastAsia="en-AU"/>
              </w:rPr>
            </w:pPr>
            <w:r w:rsidRPr="00B930B3">
              <w:rPr>
                <w:rFonts w:ascii="Open Sans Light" w:eastAsia="Times New Roman" w:hAnsi="Open Sans Light" w:cs="Open Sans Light"/>
                <w:color w:val="000000"/>
                <w:sz w:val="16"/>
                <w:szCs w:val="16"/>
                <w:lang w:eastAsia="en-AU"/>
              </w:rPr>
              <w:t xml:space="preserve">Funding for repairs, maintenance and improvements to housing in remote Indigenous communities in </w:t>
            </w:r>
            <w:r w:rsidR="00E95695" w:rsidRPr="00B930B3">
              <w:rPr>
                <w:rFonts w:ascii="Open Sans Light" w:eastAsia="Times New Roman" w:hAnsi="Open Sans Light" w:cs="Open Sans Light"/>
                <w:color w:val="000000"/>
                <w:sz w:val="16"/>
                <w:szCs w:val="16"/>
                <w:lang w:eastAsia="en-AU"/>
              </w:rPr>
              <w:t>Q</w:t>
            </w:r>
            <w:r w:rsidR="00E95695">
              <w:rPr>
                <w:rFonts w:ascii="Open Sans Light" w:eastAsia="Times New Roman" w:hAnsi="Open Sans Light" w:cs="Open Sans Light"/>
                <w:color w:val="000000"/>
                <w:sz w:val="16"/>
                <w:szCs w:val="16"/>
                <w:lang w:eastAsia="en-AU"/>
              </w:rPr>
              <w:t>ueensland,</w:t>
            </w:r>
            <w:r w:rsidRPr="00B930B3">
              <w:rPr>
                <w:rFonts w:ascii="Open Sans Light" w:eastAsia="Times New Roman" w:hAnsi="Open Sans Light" w:cs="Open Sans Light"/>
                <w:color w:val="000000"/>
                <w:sz w:val="16"/>
                <w:szCs w:val="16"/>
                <w:lang w:eastAsia="en-AU"/>
              </w:rPr>
              <w:t xml:space="preserve"> W</w:t>
            </w:r>
            <w:r w:rsidR="00E45AEF">
              <w:rPr>
                <w:rFonts w:ascii="Open Sans Light" w:eastAsia="Times New Roman" w:hAnsi="Open Sans Light" w:cs="Open Sans Light"/>
                <w:color w:val="000000"/>
                <w:sz w:val="16"/>
                <w:szCs w:val="16"/>
                <w:lang w:eastAsia="en-AU"/>
              </w:rPr>
              <w:t xml:space="preserve">estern </w:t>
            </w:r>
            <w:r w:rsidRPr="00B930B3">
              <w:rPr>
                <w:rFonts w:ascii="Open Sans Light" w:eastAsia="Times New Roman" w:hAnsi="Open Sans Light" w:cs="Open Sans Light"/>
                <w:color w:val="000000"/>
                <w:sz w:val="16"/>
                <w:szCs w:val="16"/>
                <w:lang w:eastAsia="en-AU"/>
              </w:rPr>
              <w:t>A</w:t>
            </w:r>
            <w:r w:rsidR="00E45AEF">
              <w:rPr>
                <w:rFonts w:ascii="Open Sans Light" w:eastAsia="Times New Roman" w:hAnsi="Open Sans Light" w:cs="Open Sans Light"/>
                <w:color w:val="000000"/>
                <w:sz w:val="16"/>
                <w:szCs w:val="16"/>
                <w:lang w:eastAsia="en-AU"/>
              </w:rPr>
              <w:t>ustralia</w:t>
            </w:r>
            <w:r w:rsidRPr="00B930B3">
              <w:rPr>
                <w:rFonts w:ascii="Open Sans Light" w:eastAsia="Times New Roman" w:hAnsi="Open Sans Light" w:cs="Open Sans Light"/>
                <w:color w:val="000000"/>
                <w:sz w:val="16"/>
                <w:szCs w:val="16"/>
                <w:lang w:eastAsia="en-AU"/>
              </w:rPr>
              <w:t>, S</w:t>
            </w:r>
            <w:r w:rsidR="00E45AEF">
              <w:rPr>
                <w:rFonts w:ascii="Open Sans Light" w:eastAsia="Times New Roman" w:hAnsi="Open Sans Light" w:cs="Open Sans Light"/>
                <w:color w:val="000000"/>
                <w:sz w:val="16"/>
                <w:szCs w:val="16"/>
                <w:lang w:eastAsia="en-AU"/>
              </w:rPr>
              <w:t xml:space="preserve">outh </w:t>
            </w:r>
            <w:r w:rsidRPr="00B930B3">
              <w:rPr>
                <w:rFonts w:ascii="Open Sans Light" w:eastAsia="Times New Roman" w:hAnsi="Open Sans Light" w:cs="Open Sans Light"/>
                <w:color w:val="000000"/>
                <w:sz w:val="16"/>
                <w:szCs w:val="16"/>
                <w:lang w:eastAsia="en-AU"/>
              </w:rPr>
              <w:t>A</w:t>
            </w:r>
            <w:r w:rsidR="00E45AEF">
              <w:rPr>
                <w:rFonts w:ascii="Open Sans Light" w:eastAsia="Times New Roman" w:hAnsi="Open Sans Light" w:cs="Open Sans Light"/>
                <w:color w:val="000000"/>
                <w:sz w:val="16"/>
                <w:szCs w:val="16"/>
                <w:lang w:eastAsia="en-AU"/>
              </w:rPr>
              <w:t>ustralia</w:t>
            </w:r>
            <w:r w:rsidRPr="00B930B3">
              <w:rPr>
                <w:rFonts w:ascii="Open Sans Light" w:eastAsia="Times New Roman" w:hAnsi="Open Sans Light" w:cs="Open Sans Light"/>
                <w:color w:val="000000"/>
                <w:sz w:val="16"/>
                <w:szCs w:val="16"/>
                <w:lang w:eastAsia="en-AU"/>
              </w:rPr>
              <w:t xml:space="preserve"> and the N</w:t>
            </w:r>
            <w:r w:rsidR="00C41F64">
              <w:rPr>
                <w:rFonts w:ascii="Open Sans Light" w:eastAsia="Times New Roman" w:hAnsi="Open Sans Light" w:cs="Open Sans Light"/>
                <w:color w:val="000000"/>
                <w:sz w:val="16"/>
                <w:szCs w:val="16"/>
                <w:lang w:eastAsia="en-AU"/>
              </w:rPr>
              <w:t xml:space="preserve">orthern </w:t>
            </w:r>
            <w:r w:rsidRPr="00B930B3">
              <w:rPr>
                <w:rFonts w:ascii="Open Sans Light" w:eastAsia="Times New Roman" w:hAnsi="Open Sans Light" w:cs="Open Sans Light"/>
                <w:color w:val="000000"/>
                <w:sz w:val="16"/>
                <w:szCs w:val="16"/>
                <w:lang w:eastAsia="en-AU"/>
              </w:rPr>
              <w:t>T</w:t>
            </w:r>
            <w:r w:rsidR="00C41F64">
              <w:rPr>
                <w:rFonts w:ascii="Open Sans Light" w:eastAsia="Times New Roman" w:hAnsi="Open Sans Light" w:cs="Open Sans Light"/>
                <w:color w:val="000000"/>
                <w:sz w:val="16"/>
                <w:szCs w:val="16"/>
                <w:lang w:eastAsia="en-AU"/>
              </w:rPr>
              <w:t>erritory</w:t>
            </w:r>
            <w:r w:rsidRPr="00B930B3">
              <w:rPr>
                <w:rFonts w:ascii="Open Sans Light" w:eastAsia="Times New Roman" w:hAnsi="Open Sans Light" w:cs="Open Sans Light"/>
                <w:color w:val="000000"/>
                <w:sz w:val="16"/>
                <w:szCs w:val="16"/>
                <w:lang w:eastAsia="en-AU"/>
              </w:rPr>
              <w:t>.</w:t>
            </w:r>
          </w:p>
        </w:tc>
        <w:tc>
          <w:tcPr>
            <w:tcW w:w="1134" w:type="dxa"/>
            <w:tcBorders>
              <w:top w:val="single" w:sz="4" w:space="0" w:color="ADD6EA"/>
              <w:left w:val="nil"/>
              <w:bottom w:val="single" w:sz="4" w:space="0" w:color="ADD6EA"/>
              <w:right w:val="nil"/>
            </w:tcBorders>
            <w:noWrap/>
            <w:tcMar>
              <w:right w:w="85" w:type="dxa"/>
            </w:tcMar>
          </w:tcPr>
          <w:p w14:paraId="3B2BAD63" w14:textId="5FE6D0C7" w:rsidR="006C2FC5" w:rsidRPr="00B930B3" w:rsidRDefault="00BB66FE"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75.0</w:t>
            </w:r>
          </w:p>
        </w:tc>
        <w:tc>
          <w:tcPr>
            <w:tcW w:w="1276" w:type="dxa"/>
            <w:tcBorders>
              <w:top w:val="single" w:sz="4" w:space="0" w:color="ADD6EA"/>
              <w:left w:val="nil"/>
              <w:bottom w:val="single" w:sz="4" w:space="0" w:color="ADD6EA"/>
              <w:right w:val="nil"/>
            </w:tcBorders>
            <w:noWrap/>
          </w:tcPr>
          <w:p w14:paraId="15A78CB4" w14:textId="77777777" w:rsidR="006C2FC5" w:rsidRPr="00B930B3" w:rsidRDefault="006C2FC5" w:rsidP="00874F19">
            <w:pPr>
              <w:spacing w:line="240" w:lineRule="auto"/>
              <w:rPr>
                <w:rFonts w:ascii="Open Sans Light" w:eastAsia="Times New Roman" w:hAnsi="Open Sans Light" w:cs="Open Sans Light"/>
                <w:color w:val="000000"/>
                <w:sz w:val="16"/>
                <w:szCs w:val="16"/>
                <w:lang w:eastAsia="en-AU"/>
              </w:rPr>
            </w:pPr>
            <w:r w:rsidRPr="00B930B3">
              <w:rPr>
                <w:rFonts w:ascii="Open Sans Light" w:eastAsia="Times New Roman" w:hAnsi="Open Sans Light" w:cs="Open Sans Light"/>
                <w:color w:val="000000"/>
                <w:sz w:val="16"/>
                <w:szCs w:val="16"/>
                <w:lang w:eastAsia="en-AU"/>
              </w:rPr>
              <w:t>Impact</w:t>
            </w:r>
          </w:p>
        </w:tc>
        <w:tc>
          <w:tcPr>
            <w:tcW w:w="4678" w:type="dxa"/>
            <w:tcBorders>
              <w:top w:val="single" w:sz="4" w:space="0" w:color="ADD6EA"/>
              <w:left w:val="nil"/>
              <w:bottom w:val="single" w:sz="4" w:space="0" w:color="ADD6EA"/>
              <w:right w:val="nil"/>
            </w:tcBorders>
            <w:noWrap/>
          </w:tcPr>
          <w:p w14:paraId="57CD91C8" w14:textId="77777777" w:rsidR="006C2FC5" w:rsidRPr="00B930B3" w:rsidRDefault="006C2FC5" w:rsidP="00874F19">
            <w:pPr>
              <w:spacing w:line="240" w:lineRule="auto"/>
              <w:rPr>
                <w:rFonts w:ascii="Open Sans Light" w:eastAsia="Times New Roman" w:hAnsi="Open Sans Light" w:cs="Open Sans Light"/>
                <w:color w:val="000000"/>
                <w:sz w:val="16"/>
                <w:szCs w:val="16"/>
                <w:lang w:eastAsia="en-AU"/>
              </w:rPr>
            </w:pPr>
            <w:r w:rsidRPr="00B930B3">
              <w:rPr>
                <w:rFonts w:ascii="Open Sans Light" w:eastAsia="Times New Roman" w:hAnsi="Open Sans Light" w:cs="Open Sans Light"/>
                <w:color w:val="000000"/>
                <w:sz w:val="16"/>
                <w:szCs w:val="16"/>
                <w:lang w:eastAsia="en-AU"/>
              </w:rPr>
              <w:t>The payment supports social housing maintenance. This is a state service, and needs are assessed.</w:t>
            </w:r>
          </w:p>
        </w:tc>
      </w:tr>
      <w:tr w:rsidR="006C2FC5" w:rsidRPr="00184475" w14:paraId="5C552B56" w14:textId="77777777" w:rsidTr="00874F19">
        <w:trPr>
          <w:trHeight w:val="284"/>
        </w:trPr>
        <w:tc>
          <w:tcPr>
            <w:tcW w:w="2410" w:type="dxa"/>
            <w:tcBorders>
              <w:top w:val="single" w:sz="4" w:space="0" w:color="ADD6EA"/>
              <w:left w:val="nil"/>
              <w:bottom w:val="nil"/>
              <w:right w:val="nil"/>
            </w:tcBorders>
            <w:shd w:val="clear" w:color="auto" w:fill="B6D5E4"/>
          </w:tcPr>
          <w:p w14:paraId="3A9E222B" w14:textId="77777777" w:rsidR="006C2FC5" w:rsidRPr="481A7BDB" w:rsidRDefault="006C2FC5" w:rsidP="00874F19">
            <w:pPr>
              <w:spacing w:line="240" w:lineRule="auto"/>
              <w:rPr>
                <w:rFonts w:ascii="Open Sans Semibold" w:eastAsia="Times New Roman" w:hAnsi="Open Sans Semibold" w:cs="Open Sans Semibold"/>
                <w:color w:val="000000" w:themeColor="text1"/>
                <w:sz w:val="16"/>
                <w:szCs w:val="16"/>
                <w:lang w:eastAsia="en-AU"/>
              </w:rPr>
            </w:pPr>
            <w:r>
              <w:rPr>
                <w:rFonts w:ascii="Open Sans Semibold" w:eastAsia="Times New Roman" w:hAnsi="Open Sans Semibold" w:cs="Open Sans Semibold"/>
                <w:color w:val="000000" w:themeColor="text1"/>
                <w:sz w:val="16"/>
                <w:szCs w:val="16"/>
                <w:lang w:eastAsia="en-AU"/>
              </w:rPr>
              <w:t>Infrastructure</w:t>
            </w:r>
          </w:p>
        </w:tc>
        <w:tc>
          <w:tcPr>
            <w:tcW w:w="4394" w:type="dxa"/>
            <w:tcBorders>
              <w:top w:val="single" w:sz="4" w:space="0" w:color="ADD6EA"/>
              <w:left w:val="nil"/>
              <w:bottom w:val="nil"/>
              <w:right w:val="nil"/>
            </w:tcBorders>
            <w:shd w:val="clear" w:color="auto" w:fill="B6D5E4"/>
          </w:tcPr>
          <w:p w14:paraId="5F91A010" w14:textId="77777777" w:rsidR="006C2FC5" w:rsidRPr="00184475" w:rsidRDefault="006C2FC5" w:rsidP="00874F19">
            <w:pPr>
              <w:spacing w:line="240" w:lineRule="auto"/>
              <w:rPr>
                <w:rFonts w:ascii="Open Sans Semibold" w:eastAsia="Times New Roman" w:hAnsi="Open Sans Semibold" w:cs="Open Sans Semibold"/>
                <w:color w:val="000000"/>
                <w:sz w:val="16"/>
                <w:szCs w:val="16"/>
                <w:lang w:eastAsia="en-AU"/>
              </w:rPr>
            </w:pPr>
          </w:p>
        </w:tc>
        <w:tc>
          <w:tcPr>
            <w:tcW w:w="1134" w:type="dxa"/>
            <w:tcBorders>
              <w:top w:val="single" w:sz="4" w:space="0" w:color="ADD6EA"/>
              <w:left w:val="nil"/>
              <w:bottom w:val="nil"/>
              <w:right w:val="nil"/>
            </w:tcBorders>
            <w:shd w:val="clear" w:color="auto" w:fill="B6D5E4"/>
            <w:noWrap/>
            <w:tcMar>
              <w:right w:w="85" w:type="dxa"/>
            </w:tcMar>
          </w:tcPr>
          <w:p w14:paraId="70B67AD9" w14:textId="77777777" w:rsidR="006C2FC5" w:rsidRPr="00184475" w:rsidRDefault="006C2FC5" w:rsidP="00874F19">
            <w:pPr>
              <w:spacing w:line="240" w:lineRule="auto"/>
              <w:ind w:right="227"/>
              <w:rPr>
                <w:rFonts w:ascii="Open Sans Semibold" w:eastAsia="Times New Roman" w:hAnsi="Open Sans Semibold" w:cs="Open Sans Semibold"/>
                <w:color w:val="000000"/>
                <w:sz w:val="16"/>
                <w:szCs w:val="16"/>
                <w:lang w:eastAsia="en-AU"/>
              </w:rPr>
            </w:pPr>
          </w:p>
        </w:tc>
        <w:tc>
          <w:tcPr>
            <w:tcW w:w="1276" w:type="dxa"/>
            <w:tcBorders>
              <w:top w:val="single" w:sz="4" w:space="0" w:color="ADD6EA"/>
              <w:left w:val="nil"/>
              <w:bottom w:val="nil"/>
              <w:right w:val="nil"/>
            </w:tcBorders>
            <w:shd w:val="clear" w:color="auto" w:fill="B6D5E4"/>
            <w:noWrap/>
          </w:tcPr>
          <w:p w14:paraId="2393CC66" w14:textId="77777777" w:rsidR="006C2FC5" w:rsidRPr="00184475" w:rsidRDefault="006C2FC5" w:rsidP="00874F19">
            <w:pPr>
              <w:spacing w:line="240" w:lineRule="auto"/>
              <w:rPr>
                <w:rFonts w:ascii="Open Sans Semibold" w:eastAsia="Times New Roman" w:hAnsi="Open Sans Semibold" w:cs="Open Sans Semibold"/>
                <w:color w:val="000000"/>
                <w:sz w:val="16"/>
                <w:szCs w:val="20"/>
                <w:lang w:eastAsia="en-AU"/>
              </w:rPr>
            </w:pPr>
          </w:p>
        </w:tc>
        <w:tc>
          <w:tcPr>
            <w:tcW w:w="4678" w:type="dxa"/>
            <w:tcBorders>
              <w:top w:val="single" w:sz="4" w:space="0" w:color="ADD6EA"/>
              <w:left w:val="nil"/>
              <w:bottom w:val="nil"/>
              <w:right w:val="nil"/>
            </w:tcBorders>
            <w:shd w:val="clear" w:color="auto" w:fill="B6D5E4"/>
            <w:noWrap/>
          </w:tcPr>
          <w:p w14:paraId="78151861" w14:textId="77777777" w:rsidR="006C2FC5" w:rsidRPr="00B73F02" w:rsidRDefault="006C2FC5" w:rsidP="00874F19">
            <w:pPr>
              <w:spacing w:line="240" w:lineRule="auto"/>
              <w:rPr>
                <w:rFonts w:ascii="Open Sans Semibold" w:eastAsia="Times New Roman" w:hAnsi="Open Sans Semibold" w:cs="Open Sans Semibold"/>
                <w:color w:val="000000"/>
                <w:sz w:val="16"/>
                <w:szCs w:val="20"/>
                <w:lang w:eastAsia="en-AU"/>
              </w:rPr>
            </w:pPr>
          </w:p>
        </w:tc>
      </w:tr>
      <w:tr w:rsidR="006C2FC5" w:rsidRPr="00184475" w14:paraId="2C1DCEB8" w14:textId="77777777" w:rsidTr="00874F19">
        <w:trPr>
          <w:trHeight w:val="284"/>
        </w:trPr>
        <w:tc>
          <w:tcPr>
            <w:tcW w:w="2410" w:type="dxa"/>
            <w:tcBorders>
              <w:top w:val="single" w:sz="4" w:space="0" w:color="ADD6EA"/>
              <w:left w:val="nil"/>
              <w:bottom w:val="nil"/>
              <w:right w:val="nil"/>
            </w:tcBorders>
          </w:tcPr>
          <w:p w14:paraId="4A6C63E0" w14:textId="77777777" w:rsidR="006C2FC5" w:rsidRPr="00330882" w:rsidRDefault="006C2FC5" w:rsidP="00874F19">
            <w:pPr>
              <w:spacing w:line="240" w:lineRule="auto"/>
              <w:rPr>
                <w:rFonts w:ascii="Open Sans Light" w:eastAsia="Times New Roman" w:hAnsi="Open Sans Light" w:cs="Open Sans Light"/>
                <w:color w:val="000000" w:themeColor="text1"/>
                <w:sz w:val="16"/>
                <w:szCs w:val="16"/>
                <w:lang w:eastAsia="en-AU"/>
              </w:rPr>
            </w:pPr>
            <w:r w:rsidRPr="00DE194B">
              <w:rPr>
                <w:rFonts w:ascii="Open Sans Light" w:eastAsia="Times New Roman" w:hAnsi="Open Sans Light" w:cs="Open Sans Light"/>
                <w:color w:val="000000" w:themeColor="text1"/>
                <w:sz w:val="16"/>
                <w:szCs w:val="16"/>
                <w:lang w:eastAsia="en-AU"/>
              </w:rPr>
              <w:t>Hunter region - supporting clean energy</w:t>
            </w:r>
          </w:p>
        </w:tc>
        <w:tc>
          <w:tcPr>
            <w:tcW w:w="4394" w:type="dxa"/>
            <w:tcBorders>
              <w:top w:val="single" w:sz="4" w:space="0" w:color="ADD6EA"/>
              <w:left w:val="nil"/>
              <w:bottom w:val="nil"/>
              <w:right w:val="nil"/>
            </w:tcBorders>
          </w:tcPr>
          <w:p w14:paraId="3B4055DA" w14:textId="77777777" w:rsidR="006C2FC5" w:rsidRPr="00330882"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1703AF">
              <w:rPr>
                <w:rFonts w:ascii="Open Sans Light" w:eastAsia="Times New Roman" w:hAnsi="Open Sans Light" w:cs="Open Sans Light"/>
                <w:color w:val="000000"/>
                <w:sz w:val="16"/>
                <w:szCs w:val="16"/>
                <w:lang w:eastAsia="en-AU"/>
              </w:rPr>
              <w:t>unding to support the Hunter region and the Port of Newcastle to become hydrogen ready.</w:t>
            </w:r>
          </w:p>
        </w:tc>
        <w:tc>
          <w:tcPr>
            <w:tcW w:w="1134" w:type="dxa"/>
            <w:tcBorders>
              <w:top w:val="single" w:sz="4" w:space="0" w:color="ADD6EA"/>
              <w:left w:val="nil"/>
              <w:bottom w:val="nil"/>
              <w:right w:val="nil"/>
            </w:tcBorders>
            <w:noWrap/>
            <w:tcMar>
              <w:right w:w="85" w:type="dxa"/>
            </w:tcMar>
          </w:tcPr>
          <w:p w14:paraId="2E2A5EFE" w14:textId="7E3B5DB9" w:rsidR="006C2FC5" w:rsidRPr="00330882" w:rsidRDefault="00AF053B"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11.9</w:t>
            </w:r>
          </w:p>
        </w:tc>
        <w:tc>
          <w:tcPr>
            <w:tcW w:w="1276" w:type="dxa"/>
            <w:tcBorders>
              <w:top w:val="single" w:sz="4" w:space="0" w:color="ADD6EA"/>
              <w:left w:val="nil"/>
              <w:bottom w:val="nil"/>
              <w:right w:val="nil"/>
            </w:tcBorders>
            <w:noWrap/>
          </w:tcPr>
          <w:p w14:paraId="2A8B051A" w14:textId="77777777" w:rsidR="006C2FC5" w:rsidRPr="00330882" w:rsidRDefault="006C2FC5" w:rsidP="00874F19">
            <w:pPr>
              <w:spacing w:line="240" w:lineRule="auto"/>
              <w:rPr>
                <w:rFonts w:ascii="Open Sans Light" w:eastAsia="Times New Roman" w:hAnsi="Open Sans Light" w:cs="Open Sans Light"/>
                <w:color w:val="000000"/>
                <w:sz w:val="16"/>
                <w:szCs w:val="20"/>
                <w:lang w:eastAsia="en-AU"/>
              </w:rPr>
            </w:pPr>
            <w:r>
              <w:rPr>
                <w:rFonts w:ascii="Open Sans Light" w:eastAsia="Times New Roman" w:hAnsi="Open Sans Light" w:cs="Open Sans Light"/>
                <w:color w:val="000000"/>
                <w:sz w:val="16"/>
                <w:szCs w:val="20"/>
                <w:lang w:eastAsia="en-AU"/>
              </w:rPr>
              <w:t>Impact</w:t>
            </w:r>
          </w:p>
        </w:tc>
        <w:tc>
          <w:tcPr>
            <w:tcW w:w="4678" w:type="dxa"/>
            <w:tcBorders>
              <w:top w:val="single" w:sz="4" w:space="0" w:color="ADD6EA"/>
              <w:left w:val="nil"/>
              <w:bottom w:val="nil"/>
              <w:right w:val="nil"/>
            </w:tcBorders>
            <w:noWrap/>
          </w:tcPr>
          <w:p w14:paraId="324F6D38" w14:textId="77777777" w:rsidR="006C2FC5" w:rsidRPr="00330882" w:rsidRDefault="006C2FC5" w:rsidP="00874F19">
            <w:pPr>
              <w:spacing w:line="240" w:lineRule="auto"/>
              <w:rPr>
                <w:rFonts w:ascii="Open Sans Light" w:eastAsia="Times New Roman" w:hAnsi="Open Sans Light" w:cs="Open Sans Light"/>
                <w:color w:val="000000"/>
                <w:sz w:val="16"/>
                <w:szCs w:val="20"/>
                <w:lang w:eastAsia="en-AU"/>
              </w:rPr>
            </w:pPr>
            <w:r w:rsidRPr="004F695B">
              <w:rPr>
                <w:rFonts w:ascii="Open Sans Light" w:eastAsia="Times New Roman" w:hAnsi="Open Sans Light" w:cs="Open Sans Light"/>
                <w:color w:val="000000"/>
                <w:sz w:val="16"/>
                <w:szCs w:val="20"/>
                <w:lang w:eastAsia="en-AU"/>
              </w:rPr>
              <w:t>Hydrogen business development is a form of business development</w:t>
            </w:r>
            <w:r>
              <w:rPr>
                <w:rFonts w:ascii="Open Sans Light" w:eastAsia="Times New Roman" w:hAnsi="Open Sans Light" w:cs="Open Sans Light"/>
                <w:color w:val="000000"/>
                <w:sz w:val="16"/>
                <w:szCs w:val="20"/>
                <w:lang w:eastAsia="en-AU"/>
              </w:rPr>
              <w:t>.</w:t>
            </w:r>
            <w:r w:rsidRPr="004F695B">
              <w:rPr>
                <w:rFonts w:ascii="Open Sans Light" w:eastAsia="Times New Roman" w:hAnsi="Open Sans Light" w:cs="Open Sans Light"/>
                <w:color w:val="000000"/>
                <w:sz w:val="16"/>
                <w:szCs w:val="20"/>
                <w:lang w:eastAsia="en-AU"/>
              </w:rPr>
              <w:t xml:space="preserve"> </w:t>
            </w:r>
            <w:r>
              <w:rPr>
                <w:rFonts w:ascii="Open Sans Light" w:eastAsia="Times New Roman" w:hAnsi="Open Sans Light" w:cs="Open Sans Light"/>
                <w:color w:val="000000"/>
                <w:sz w:val="16"/>
                <w:szCs w:val="20"/>
                <w:lang w:eastAsia="en-AU"/>
              </w:rPr>
              <w:t>This</w:t>
            </w:r>
            <w:r w:rsidRPr="004F695B">
              <w:rPr>
                <w:rFonts w:ascii="Open Sans Light" w:eastAsia="Times New Roman" w:hAnsi="Open Sans Light" w:cs="Open Sans Light"/>
                <w:color w:val="000000"/>
                <w:sz w:val="16"/>
                <w:szCs w:val="20"/>
                <w:lang w:eastAsia="en-AU"/>
              </w:rPr>
              <w:t xml:space="preserve"> is a state function</w:t>
            </w:r>
            <w:r>
              <w:rPr>
                <w:rFonts w:ascii="Open Sans Light" w:eastAsia="Times New Roman" w:hAnsi="Open Sans Light" w:cs="Open Sans Light"/>
                <w:color w:val="000000"/>
                <w:sz w:val="16"/>
                <w:szCs w:val="20"/>
                <w:lang w:eastAsia="en-AU"/>
              </w:rPr>
              <w:t>,</w:t>
            </w:r>
            <w:r w:rsidRPr="004F695B">
              <w:rPr>
                <w:rFonts w:ascii="Open Sans Light" w:eastAsia="Times New Roman" w:hAnsi="Open Sans Light" w:cs="Open Sans Light"/>
                <w:color w:val="000000"/>
                <w:sz w:val="16"/>
                <w:szCs w:val="20"/>
                <w:lang w:eastAsia="en-AU"/>
              </w:rPr>
              <w:t xml:space="preserve"> </w:t>
            </w:r>
            <w:r>
              <w:rPr>
                <w:rFonts w:ascii="Open Sans Light" w:eastAsia="Times New Roman" w:hAnsi="Open Sans Light" w:cs="Open Sans Light"/>
                <w:color w:val="000000"/>
                <w:sz w:val="16"/>
                <w:szCs w:val="20"/>
                <w:lang w:eastAsia="en-AU"/>
              </w:rPr>
              <w:t>and</w:t>
            </w:r>
            <w:r w:rsidRPr="004F695B">
              <w:rPr>
                <w:rFonts w:ascii="Open Sans Light" w:eastAsia="Times New Roman" w:hAnsi="Open Sans Light" w:cs="Open Sans Light"/>
                <w:color w:val="000000"/>
                <w:sz w:val="16"/>
                <w:szCs w:val="20"/>
                <w:lang w:eastAsia="en-AU"/>
              </w:rPr>
              <w:t xml:space="preserve"> needs are assessed.</w:t>
            </w:r>
          </w:p>
        </w:tc>
      </w:tr>
      <w:tr w:rsidR="006C2FC5" w:rsidRPr="00184475" w14:paraId="24D56A62" w14:textId="77777777" w:rsidTr="00874F19">
        <w:trPr>
          <w:trHeight w:val="284"/>
        </w:trPr>
        <w:tc>
          <w:tcPr>
            <w:tcW w:w="2410" w:type="dxa"/>
            <w:tcBorders>
              <w:top w:val="single" w:sz="4" w:space="0" w:color="ADD6EA"/>
              <w:left w:val="nil"/>
              <w:bottom w:val="nil"/>
              <w:right w:val="nil"/>
            </w:tcBorders>
          </w:tcPr>
          <w:p w14:paraId="0E90265D" w14:textId="77777777" w:rsidR="006C2FC5" w:rsidRPr="00330882" w:rsidRDefault="006C2FC5" w:rsidP="00874F19">
            <w:pPr>
              <w:spacing w:line="240" w:lineRule="auto"/>
              <w:rPr>
                <w:rFonts w:ascii="Open Sans Light" w:eastAsia="Times New Roman" w:hAnsi="Open Sans Light" w:cs="Open Sans Light"/>
                <w:color w:val="000000" w:themeColor="text1"/>
                <w:sz w:val="16"/>
                <w:szCs w:val="16"/>
                <w:lang w:eastAsia="en-AU"/>
              </w:rPr>
            </w:pPr>
            <w:r w:rsidRPr="00AA6EB2">
              <w:rPr>
                <w:rFonts w:ascii="Open Sans Light" w:eastAsia="Times New Roman" w:hAnsi="Open Sans Light" w:cs="Open Sans Light"/>
                <w:color w:val="000000" w:themeColor="text1"/>
                <w:sz w:val="16"/>
                <w:szCs w:val="16"/>
                <w:lang w:eastAsia="en-AU"/>
              </w:rPr>
              <w:lastRenderedPageBreak/>
              <w:t>Active Transport Fund</w:t>
            </w:r>
          </w:p>
        </w:tc>
        <w:tc>
          <w:tcPr>
            <w:tcW w:w="4394" w:type="dxa"/>
            <w:tcBorders>
              <w:top w:val="single" w:sz="4" w:space="0" w:color="ADD6EA"/>
              <w:left w:val="nil"/>
              <w:bottom w:val="nil"/>
              <w:right w:val="nil"/>
            </w:tcBorders>
          </w:tcPr>
          <w:p w14:paraId="4B1C7622" w14:textId="77777777" w:rsidR="006C2FC5" w:rsidRPr="00330882"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Funding</w:t>
            </w:r>
            <w:r w:rsidRPr="000A2483">
              <w:rPr>
                <w:rFonts w:ascii="Open Sans Light" w:eastAsia="Times New Roman" w:hAnsi="Open Sans Light" w:cs="Open Sans Light"/>
                <w:color w:val="000000"/>
                <w:sz w:val="16"/>
                <w:szCs w:val="16"/>
                <w:lang w:eastAsia="en-AU"/>
              </w:rPr>
              <w:t xml:space="preserve"> to encourage an increase in active transport through the upgrade of existing and construction of new bicycle and walking pathways.</w:t>
            </w:r>
          </w:p>
        </w:tc>
        <w:tc>
          <w:tcPr>
            <w:tcW w:w="1134" w:type="dxa"/>
            <w:tcBorders>
              <w:top w:val="single" w:sz="4" w:space="0" w:color="ADD6EA"/>
              <w:left w:val="nil"/>
              <w:bottom w:val="nil"/>
              <w:right w:val="nil"/>
            </w:tcBorders>
            <w:noWrap/>
            <w:tcMar>
              <w:right w:w="85" w:type="dxa"/>
            </w:tcMar>
          </w:tcPr>
          <w:p w14:paraId="1DECC09C" w14:textId="50B311C6" w:rsidR="006C2FC5" w:rsidRPr="00330882" w:rsidRDefault="0042383D"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0.1</w:t>
            </w:r>
          </w:p>
        </w:tc>
        <w:tc>
          <w:tcPr>
            <w:tcW w:w="1276" w:type="dxa"/>
            <w:tcBorders>
              <w:top w:val="single" w:sz="4" w:space="0" w:color="ADD6EA"/>
              <w:left w:val="nil"/>
              <w:bottom w:val="nil"/>
              <w:right w:val="nil"/>
            </w:tcBorders>
            <w:noWrap/>
          </w:tcPr>
          <w:p w14:paraId="1EA5D460" w14:textId="77777777" w:rsidR="006C2FC5" w:rsidRPr="00330882" w:rsidRDefault="006C2FC5" w:rsidP="00874F19">
            <w:pPr>
              <w:spacing w:line="240" w:lineRule="auto"/>
              <w:rPr>
                <w:rFonts w:ascii="Open Sans Light" w:eastAsia="Times New Roman" w:hAnsi="Open Sans Light" w:cs="Open Sans Light"/>
                <w:color w:val="000000"/>
                <w:sz w:val="16"/>
                <w:szCs w:val="20"/>
                <w:lang w:eastAsia="en-AU"/>
              </w:rPr>
            </w:pPr>
            <w:r>
              <w:rPr>
                <w:rFonts w:ascii="Open Sans Light" w:eastAsia="Times New Roman" w:hAnsi="Open Sans Light" w:cs="Open Sans Light"/>
                <w:color w:val="000000"/>
                <w:sz w:val="16"/>
                <w:szCs w:val="20"/>
                <w:lang w:eastAsia="en-AU"/>
              </w:rPr>
              <w:t>Impact</w:t>
            </w:r>
          </w:p>
        </w:tc>
        <w:tc>
          <w:tcPr>
            <w:tcW w:w="4678" w:type="dxa"/>
            <w:tcBorders>
              <w:top w:val="single" w:sz="4" w:space="0" w:color="ADD6EA"/>
              <w:left w:val="nil"/>
              <w:bottom w:val="nil"/>
              <w:right w:val="nil"/>
            </w:tcBorders>
            <w:noWrap/>
          </w:tcPr>
          <w:p w14:paraId="5AD12716" w14:textId="77777777" w:rsidR="006C2FC5" w:rsidRPr="00330882" w:rsidRDefault="006C2FC5" w:rsidP="00874F19">
            <w:pPr>
              <w:spacing w:line="240" w:lineRule="auto"/>
              <w:rPr>
                <w:rFonts w:ascii="Open Sans Light" w:eastAsia="Times New Roman" w:hAnsi="Open Sans Light" w:cs="Open Sans Light"/>
                <w:color w:val="000000"/>
                <w:sz w:val="16"/>
                <w:szCs w:val="20"/>
                <w:lang w:eastAsia="en-AU"/>
              </w:rPr>
            </w:pPr>
            <w:r>
              <w:rPr>
                <w:rFonts w:ascii="Open Sans Light" w:eastAsia="Times New Roman" w:hAnsi="Open Sans Light" w:cs="Open Sans Light"/>
                <w:color w:val="000000"/>
                <w:sz w:val="16"/>
                <w:szCs w:val="20"/>
                <w:lang w:eastAsia="en-AU"/>
              </w:rPr>
              <w:t>Community infrastructure is a state service, and n</w:t>
            </w:r>
            <w:r w:rsidRPr="003F2AAA">
              <w:rPr>
                <w:rFonts w:ascii="Open Sans Light" w:eastAsia="Times New Roman" w:hAnsi="Open Sans Light" w:cs="Open Sans Light"/>
                <w:color w:val="000000"/>
                <w:sz w:val="16"/>
                <w:szCs w:val="20"/>
                <w:lang w:eastAsia="en-AU"/>
              </w:rPr>
              <w:t>eeds are assessed</w:t>
            </w:r>
            <w:r>
              <w:rPr>
                <w:rFonts w:ascii="Open Sans Light" w:eastAsia="Times New Roman" w:hAnsi="Open Sans Light" w:cs="Open Sans Light"/>
                <w:color w:val="000000"/>
                <w:sz w:val="16"/>
                <w:szCs w:val="20"/>
                <w:lang w:eastAsia="en-AU"/>
              </w:rPr>
              <w:t>.</w:t>
            </w:r>
          </w:p>
        </w:tc>
      </w:tr>
      <w:tr w:rsidR="006C2FC5" w:rsidRPr="00184475" w14:paraId="36C2E0A8" w14:textId="77777777" w:rsidTr="00874F19">
        <w:trPr>
          <w:trHeight w:val="284"/>
        </w:trPr>
        <w:tc>
          <w:tcPr>
            <w:tcW w:w="2410" w:type="dxa"/>
            <w:tcBorders>
              <w:top w:val="single" w:sz="4" w:space="0" w:color="ADD6EA"/>
              <w:left w:val="nil"/>
              <w:bottom w:val="nil"/>
              <w:right w:val="nil"/>
            </w:tcBorders>
          </w:tcPr>
          <w:p w14:paraId="2A5F00F4" w14:textId="77777777" w:rsidR="006C2FC5" w:rsidRPr="00330882" w:rsidRDefault="006C2FC5" w:rsidP="00874F19">
            <w:pPr>
              <w:spacing w:line="240" w:lineRule="auto"/>
              <w:rPr>
                <w:rFonts w:ascii="Open Sans Light" w:eastAsia="Times New Roman" w:hAnsi="Open Sans Light" w:cs="Open Sans Light"/>
                <w:color w:val="000000" w:themeColor="text1"/>
                <w:sz w:val="16"/>
                <w:szCs w:val="16"/>
                <w:lang w:eastAsia="en-AU"/>
              </w:rPr>
            </w:pPr>
            <w:r w:rsidRPr="00AA6EB2">
              <w:rPr>
                <w:rFonts w:ascii="Open Sans Light" w:eastAsia="Times New Roman" w:hAnsi="Open Sans Light" w:cs="Open Sans Light"/>
                <w:color w:val="000000" w:themeColor="text1"/>
                <w:sz w:val="16"/>
                <w:szCs w:val="16"/>
                <w:lang w:eastAsia="en-AU"/>
              </w:rPr>
              <w:t>Safer Local Roads and Infrastructure Program (SLRIP)</w:t>
            </w:r>
          </w:p>
        </w:tc>
        <w:tc>
          <w:tcPr>
            <w:tcW w:w="4394" w:type="dxa"/>
            <w:tcBorders>
              <w:top w:val="single" w:sz="4" w:space="0" w:color="ADD6EA"/>
              <w:left w:val="nil"/>
              <w:bottom w:val="nil"/>
              <w:right w:val="nil"/>
            </w:tcBorders>
          </w:tcPr>
          <w:p w14:paraId="19B451D5" w14:textId="77777777" w:rsidR="006C2FC5" w:rsidRPr="002942AE" w:rsidRDefault="006C2FC5" w:rsidP="00874F19">
            <w:pPr>
              <w:spacing w:line="240" w:lineRule="auto"/>
              <w:rPr>
                <w:rFonts w:ascii="Open Sans Light" w:eastAsia="Times New Roman" w:hAnsi="Open Sans Light" w:cs="Open Sans Light"/>
                <w:color w:val="000000"/>
                <w:sz w:val="16"/>
                <w:szCs w:val="16"/>
                <w:lang w:eastAsia="en-AU"/>
              </w:rPr>
            </w:pPr>
            <w:r w:rsidRPr="002942AE">
              <w:rPr>
                <w:rFonts w:ascii="Open Sans Light" w:eastAsia="Times New Roman" w:hAnsi="Open Sans Light" w:cs="Open Sans Light"/>
                <w:color w:val="000000"/>
                <w:sz w:val="16"/>
                <w:szCs w:val="16"/>
                <w:lang w:eastAsia="en-AU"/>
              </w:rPr>
              <w:t xml:space="preserve">The SLRIP program aims to address current and emerging priorities in road infrastructure needs. </w:t>
            </w:r>
          </w:p>
          <w:p w14:paraId="35B40CE8" w14:textId="77777777" w:rsidR="006C2FC5" w:rsidRPr="00330882" w:rsidRDefault="006C2FC5" w:rsidP="00874F19">
            <w:pPr>
              <w:spacing w:line="240" w:lineRule="auto"/>
              <w:rPr>
                <w:rFonts w:ascii="Open Sans Light" w:eastAsia="Times New Roman" w:hAnsi="Open Sans Light" w:cs="Open Sans Light"/>
                <w:color w:val="000000"/>
                <w:sz w:val="16"/>
                <w:szCs w:val="16"/>
                <w:lang w:eastAsia="en-AU"/>
              </w:rPr>
            </w:pPr>
            <w:r w:rsidRPr="002942AE">
              <w:rPr>
                <w:rFonts w:ascii="Open Sans Light" w:eastAsia="Times New Roman" w:hAnsi="Open Sans Light" w:cs="Open Sans Light"/>
                <w:color w:val="000000"/>
                <w:sz w:val="16"/>
                <w:szCs w:val="16"/>
                <w:lang w:eastAsia="en-AU"/>
              </w:rPr>
              <w:t>The SLRIP consolidated the previous Bridges Renewal Program and Heavy Vehicle Safety and Productivity Program into a single funding stream.</w:t>
            </w:r>
          </w:p>
        </w:tc>
        <w:tc>
          <w:tcPr>
            <w:tcW w:w="1134" w:type="dxa"/>
            <w:tcBorders>
              <w:top w:val="single" w:sz="4" w:space="0" w:color="ADD6EA"/>
              <w:left w:val="nil"/>
              <w:bottom w:val="nil"/>
              <w:right w:val="nil"/>
            </w:tcBorders>
            <w:noWrap/>
            <w:tcMar>
              <w:right w:w="85" w:type="dxa"/>
            </w:tcMar>
          </w:tcPr>
          <w:p w14:paraId="575FE06B" w14:textId="3C6997FA" w:rsidR="006C2FC5" w:rsidRPr="00330882" w:rsidRDefault="00483AEF"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147.6</w:t>
            </w:r>
          </w:p>
        </w:tc>
        <w:tc>
          <w:tcPr>
            <w:tcW w:w="1276" w:type="dxa"/>
            <w:tcBorders>
              <w:top w:val="single" w:sz="4" w:space="0" w:color="ADD6EA"/>
              <w:left w:val="nil"/>
              <w:bottom w:val="nil"/>
              <w:right w:val="nil"/>
            </w:tcBorders>
            <w:noWrap/>
          </w:tcPr>
          <w:p w14:paraId="1431554C" w14:textId="77777777" w:rsidR="006C2FC5" w:rsidRPr="00330882" w:rsidRDefault="006C2FC5" w:rsidP="00874F19">
            <w:pPr>
              <w:spacing w:line="240" w:lineRule="auto"/>
              <w:rPr>
                <w:rFonts w:ascii="Open Sans Light" w:eastAsia="Times New Roman" w:hAnsi="Open Sans Light" w:cs="Open Sans Light"/>
                <w:color w:val="000000"/>
                <w:sz w:val="16"/>
                <w:szCs w:val="20"/>
                <w:lang w:eastAsia="en-AU"/>
              </w:rPr>
            </w:pPr>
            <w:r>
              <w:rPr>
                <w:rFonts w:ascii="Open Sans Light" w:eastAsia="Times New Roman" w:hAnsi="Open Sans Light" w:cs="Open Sans Light"/>
                <w:color w:val="000000"/>
                <w:sz w:val="16"/>
                <w:szCs w:val="20"/>
                <w:lang w:eastAsia="en-AU"/>
              </w:rPr>
              <w:t>Impact</w:t>
            </w:r>
          </w:p>
        </w:tc>
        <w:tc>
          <w:tcPr>
            <w:tcW w:w="4678" w:type="dxa"/>
            <w:tcBorders>
              <w:top w:val="single" w:sz="4" w:space="0" w:color="ADD6EA"/>
              <w:left w:val="nil"/>
              <w:bottom w:val="nil"/>
              <w:right w:val="nil"/>
            </w:tcBorders>
            <w:noWrap/>
          </w:tcPr>
          <w:p w14:paraId="43A1F1B7" w14:textId="77777777" w:rsidR="006C2FC5" w:rsidRPr="009B3EC1" w:rsidRDefault="006C2FC5" w:rsidP="00874F19">
            <w:pPr>
              <w:spacing w:line="240" w:lineRule="auto"/>
              <w:rPr>
                <w:rFonts w:ascii="Open Sans Light" w:eastAsia="Times New Roman" w:hAnsi="Open Sans Light" w:cs="Open Sans Light"/>
                <w:color w:val="000000"/>
                <w:sz w:val="16"/>
                <w:szCs w:val="20"/>
                <w:highlight w:val="yellow"/>
                <w:lang w:eastAsia="en-AU"/>
              </w:rPr>
            </w:pPr>
            <w:r w:rsidRPr="00B75F9B">
              <w:rPr>
                <w:rFonts w:ascii="Open Sans Light" w:eastAsia="Times New Roman" w:hAnsi="Open Sans Light" w:cs="Open Sans Light"/>
                <w:color w:val="000000"/>
                <w:sz w:val="16"/>
                <w:szCs w:val="20"/>
                <w:lang w:eastAsia="en-AU"/>
              </w:rPr>
              <w:t xml:space="preserve">Investment in bridges and roads </w:t>
            </w:r>
            <w:r>
              <w:rPr>
                <w:rFonts w:ascii="Open Sans Light" w:eastAsia="Times New Roman" w:hAnsi="Open Sans Light" w:cs="Open Sans Light"/>
                <w:color w:val="000000"/>
                <w:sz w:val="16"/>
                <w:szCs w:val="20"/>
                <w:lang w:eastAsia="en-AU"/>
              </w:rPr>
              <w:t>is</w:t>
            </w:r>
            <w:r w:rsidRPr="00B75F9B">
              <w:rPr>
                <w:rFonts w:ascii="Open Sans Light" w:eastAsia="Times New Roman" w:hAnsi="Open Sans Light" w:cs="Open Sans Light"/>
                <w:color w:val="000000"/>
                <w:sz w:val="16"/>
                <w:szCs w:val="20"/>
                <w:lang w:eastAsia="en-AU"/>
              </w:rPr>
              <w:t xml:space="preserve"> a state </w:t>
            </w:r>
            <w:proofErr w:type="gramStart"/>
            <w:r w:rsidRPr="00B75F9B">
              <w:rPr>
                <w:rFonts w:ascii="Open Sans Light" w:eastAsia="Times New Roman" w:hAnsi="Open Sans Light" w:cs="Open Sans Light"/>
                <w:color w:val="000000"/>
                <w:sz w:val="16"/>
                <w:szCs w:val="20"/>
                <w:lang w:eastAsia="en-AU"/>
              </w:rPr>
              <w:t>service</w:t>
            </w:r>
            <w:proofErr w:type="gramEnd"/>
            <w:r w:rsidRPr="00B75F9B">
              <w:rPr>
                <w:rFonts w:ascii="Open Sans Light" w:eastAsia="Times New Roman" w:hAnsi="Open Sans Light" w:cs="Open Sans Light"/>
                <w:color w:val="000000"/>
                <w:sz w:val="16"/>
                <w:szCs w:val="20"/>
                <w:lang w:eastAsia="en-AU"/>
              </w:rPr>
              <w:t xml:space="preserve"> and needs are assessed.</w:t>
            </w:r>
            <w:r w:rsidRPr="009B3EC1">
              <w:rPr>
                <w:rFonts w:ascii="Open Sans Light" w:eastAsia="Times New Roman" w:hAnsi="Open Sans Light" w:cs="Open Sans Light"/>
                <w:color w:val="000000"/>
                <w:sz w:val="16"/>
                <w:szCs w:val="20"/>
                <w:highlight w:val="yellow"/>
                <w:lang w:eastAsia="en-AU"/>
              </w:rPr>
              <w:t xml:space="preserve"> </w:t>
            </w:r>
          </w:p>
        </w:tc>
      </w:tr>
      <w:tr w:rsidR="006C2FC5" w:rsidRPr="00184475" w14:paraId="09E5F6B2" w14:textId="77777777" w:rsidTr="00874F19">
        <w:trPr>
          <w:trHeight w:val="284"/>
        </w:trPr>
        <w:tc>
          <w:tcPr>
            <w:tcW w:w="2410" w:type="dxa"/>
            <w:tcBorders>
              <w:top w:val="single" w:sz="4" w:space="0" w:color="ADD6EA"/>
              <w:left w:val="nil"/>
              <w:bottom w:val="nil"/>
              <w:right w:val="nil"/>
            </w:tcBorders>
          </w:tcPr>
          <w:p w14:paraId="6D316B70"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Armstrong Creek Stadium</w:t>
            </w:r>
          </w:p>
        </w:tc>
        <w:tc>
          <w:tcPr>
            <w:tcW w:w="4394" w:type="dxa"/>
            <w:tcBorders>
              <w:top w:val="single" w:sz="4" w:space="0" w:color="ADD6EA"/>
              <w:left w:val="nil"/>
              <w:bottom w:val="nil"/>
              <w:right w:val="nil"/>
            </w:tcBorders>
          </w:tcPr>
          <w:p w14:paraId="1BF3A2CC" w14:textId="77777777" w:rsidR="006C2FC5" w:rsidRPr="004E3756"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 xml:space="preserve">Funding for </w:t>
            </w:r>
            <w:r w:rsidRPr="004E3756">
              <w:rPr>
                <w:rFonts w:ascii="Open Sans Light" w:hAnsi="Open Sans Light" w:cs="Open Sans Light"/>
                <w:color w:val="000000"/>
                <w:sz w:val="16"/>
                <w:szCs w:val="16"/>
              </w:rPr>
              <w:t xml:space="preserve">the Victorian Government’s Regional Sports Infrastructure Program, </w:t>
            </w:r>
            <w:r>
              <w:rPr>
                <w:rFonts w:ascii="Open Sans Light" w:hAnsi="Open Sans Light" w:cs="Open Sans Light"/>
                <w:color w:val="000000"/>
                <w:sz w:val="16"/>
                <w:szCs w:val="16"/>
              </w:rPr>
              <w:t xml:space="preserve">for a </w:t>
            </w:r>
            <w:r w:rsidRPr="004E3756">
              <w:rPr>
                <w:rFonts w:ascii="Open Sans Light" w:hAnsi="Open Sans Light" w:cs="Open Sans Light"/>
                <w:color w:val="000000"/>
                <w:sz w:val="16"/>
                <w:szCs w:val="16"/>
              </w:rPr>
              <w:t>new multi-sport facility in Armstrong Creek.</w:t>
            </w:r>
          </w:p>
        </w:tc>
        <w:tc>
          <w:tcPr>
            <w:tcW w:w="1134" w:type="dxa"/>
            <w:tcBorders>
              <w:top w:val="single" w:sz="4" w:space="0" w:color="ADD6EA"/>
              <w:left w:val="nil"/>
              <w:bottom w:val="nil"/>
              <w:right w:val="nil"/>
            </w:tcBorders>
            <w:noWrap/>
            <w:tcMar>
              <w:right w:w="85" w:type="dxa"/>
            </w:tcMar>
          </w:tcPr>
          <w:p w14:paraId="6CB9305E" w14:textId="0D1668D5" w:rsidR="006C2FC5" w:rsidRPr="00744D67" w:rsidRDefault="00F86DAC"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5.5</w:t>
            </w:r>
          </w:p>
        </w:tc>
        <w:tc>
          <w:tcPr>
            <w:tcW w:w="1276" w:type="dxa"/>
            <w:tcBorders>
              <w:top w:val="single" w:sz="4" w:space="0" w:color="ADD6EA"/>
              <w:left w:val="nil"/>
              <w:bottom w:val="nil"/>
              <w:right w:val="nil"/>
            </w:tcBorders>
            <w:noWrap/>
          </w:tcPr>
          <w:p w14:paraId="17817233"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5C06BF4E"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Recreational infrastructure is a state service, and needs are assessed.</w:t>
            </w:r>
          </w:p>
        </w:tc>
      </w:tr>
      <w:tr w:rsidR="006C2FC5" w:rsidRPr="00184475" w14:paraId="17A81555" w14:textId="77777777" w:rsidTr="00874F19">
        <w:trPr>
          <w:trHeight w:val="284"/>
        </w:trPr>
        <w:tc>
          <w:tcPr>
            <w:tcW w:w="2410" w:type="dxa"/>
            <w:tcBorders>
              <w:top w:val="single" w:sz="4" w:space="0" w:color="ADD6EA"/>
              <w:left w:val="nil"/>
              <w:bottom w:val="nil"/>
              <w:right w:val="nil"/>
            </w:tcBorders>
          </w:tcPr>
          <w:p w14:paraId="5635B898"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Australian Opal Centre - Lightning Ridge</w:t>
            </w:r>
          </w:p>
        </w:tc>
        <w:tc>
          <w:tcPr>
            <w:tcW w:w="4394" w:type="dxa"/>
            <w:tcBorders>
              <w:top w:val="single" w:sz="4" w:space="0" w:color="ADD6EA"/>
              <w:left w:val="nil"/>
              <w:bottom w:val="nil"/>
              <w:right w:val="nil"/>
            </w:tcBorders>
          </w:tcPr>
          <w:p w14:paraId="65F78651" w14:textId="77777777" w:rsidR="006C2FC5" w:rsidRPr="004E3756"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 xml:space="preserve">Funding for </w:t>
            </w:r>
            <w:r w:rsidRPr="004E3756">
              <w:rPr>
                <w:rFonts w:ascii="Open Sans Light" w:hAnsi="Open Sans Light" w:cs="Open Sans Light"/>
                <w:color w:val="000000"/>
                <w:sz w:val="16"/>
                <w:szCs w:val="16"/>
              </w:rPr>
              <w:t>a national museum being developed at the outback opal mining town of Lightning Ridge, Australia, to house the world’s greatest public collection of Australian opal and precious opalised fossils from the Age of Dinosaurs.</w:t>
            </w:r>
          </w:p>
        </w:tc>
        <w:tc>
          <w:tcPr>
            <w:tcW w:w="1134" w:type="dxa"/>
            <w:tcBorders>
              <w:top w:val="single" w:sz="4" w:space="0" w:color="ADD6EA"/>
              <w:left w:val="nil"/>
              <w:bottom w:val="nil"/>
              <w:right w:val="nil"/>
            </w:tcBorders>
            <w:noWrap/>
            <w:tcMar>
              <w:right w:w="85" w:type="dxa"/>
            </w:tcMar>
          </w:tcPr>
          <w:p w14:paraId="63E8CF3A" w14:textId="7A8368F9" w:rsidR="006C2FC5" w:rsidRPr="00744D67" w:rsidRDefault="009174FE"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2.8</w:t>
            </w:r>
          </w:p>
        </w:tc>
        <w:tc>
          <w:tcPr>
            <w:tcW w:w="1276" w:type="dxa"/>
            <w:tcBorders>
              <w:top w:val="single" w:sz="4" w:space="0" w:color="ADD6EA"/>
              <w:left w:val="nil"/>
              <w:bottom w:val="nil"/>
              <w:right w:val="nil"/>
            </w:tcBorders>
            <w:noWrap/>
          </w:tcPr>
          <w:p w14:paraId="7562E34C"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6DB6C4C8"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Tourism</w:t>
            </w:r>
            <w:r>
              <w:rPr>
                <w:rFonts w:ascii="Open Sans Light" w:hAnsi="Open Sans Light" w:cs="Open Sans Light"/>
                <w:color w:val="000000"/>
                <w:sz w:val="16"/>
                <w:szCs w:val="16"/>
              </w:rPr>
              <w:t xml:space="preserve"> development is a state service, and </w:t>
            </w:r>
            <w:r w:rsidRPr="00744D67">
              <w:rPr>
                <w:rFonts w:ascii="Open Sans Light" w:hAnsi="Open Sans Light" w:cs="Open Sans Light"/>
                <w:color w:val="000000"/>
                <w:sz w:val="16"/>
                <w:szCs w:val="16"/>
              </w:rPr>
              <w:t>needs</w:t>
            </w:r>
            <w:r>
              <w:rPr>
                <w:rFonts w:ascii="Open Sans Light" w:hAnsi="Open Sans Light" w:cs="Open Sans Light"/>
                <w:color w:val="000000"/>
                <w:sz w:val="16"/>
                <w:szCs w:val="16"/>
              </w:rPr>
              <w:t xml:space="preserve"> are</w:t>
            </w:r>
            <w:r w:rsidRPr="00744D67">
              <w:rPr>
                <w:rFonts w:ascii="Open Sans Light" w:hAnsi="Open Sans Light" w:cs="Open Sans Light"/>
                <w:color w:val="000000"/>
                <w:sz w:val="16"/>
                <w:szCs w:val="16"/>
              </w:rPr>
              <w:t xml:space="preserve"> assessed</w:t>
            </w:r>
            <w:r>
              <w:rPr>
                <w:rFonts w:ascii="Open Sans Light" w:hAnsi="Open Sans Light" w:cs="Open Sans Light"/>
                <w:color w:val="000000"/>
                <w:sz w:val="16"/>
                <w:szCs w:val="16"/>
              </w:rPr>
              <w:t>.</w:t>
            </w:r>
          </w:p>
        </w:tc>
      </w:tr>
      <w:tr w:rsidR="006C2FC5" w:rsidRPr="00184475" w14:paraId="0EF0BC24" w14:textId="77777777" w:rsidTr="00874F19">
        <w:trPr>
          <w:trHeight w:val="284"/>
        </w:trPr>
        <w:tc>
          <w:tcPr>
            <w:tcW w:w="2410" w:type="dxa"/>
            <w:tcBorders>
              <w:top w:val="single" w:sz="4" w:space="0" w:color="ADD6EA"/>
              <w:left w:val="nil"/>
              <w:bottom w:val="nil"/>
              <w:right w:val="nil"/>
            </w:tcBorders>
          </w:tcPr>
          <w:p w14:paraId="26472E47"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Busselton Jetty Village and Marine Discovery Centre</w:t>
            </w:r>
          </w:p>
        </w:tc>
        <w:tc>
          <w:tcPr>
            <w:tcW w:w="4394" w:type="dxa"/>
            <w:tcBorders>
              <w:top w:val="single" w:sz="4" w:space="0" w:color="ADD6EA"/>
              <w:left w:val="nil"/>
              <w:bottom w:val="nil"/>
              <w:right w:val="nil"/>
            </w:tcBorders>
          </w:tcPr>
          <w:p w14:paraId="13C72FD0" w14:textId="77777777" w:rsidR="006C2FC5" w:rsidRPr="004E3756"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Funding for a</w:t>
            </w:r>
            <w:r w:rsidRPr="004E3756">
              <w:rPr>
                <w:rFonts w:ascii="Open Sans Light" w:hAnsi="Open Sans Light" w:cs="Open Sans Light"/>
                <w:color w:val="000000"/>
                <w:sz w:val="16"/>
                <w:szCs w:val="16"/>
              </w:rPr>
              <w:t xml:space="preserve"> marine discovery experience on the Busselton foreshore.</w:t>
            </w:r>
          </w:p>
        </w:tc>
        <w:tc>
          <w:tcPr>
            <w:tcW w:w="1134" w:type="dxa"/>
            <w:tcBorders>
              <w:top w:val="single" w:sz="4" w:space="0" w:color="ADD6EA"/>
              <w:left w:val="nil"/>
              <w:bottom w:val="nil"/>
              <w:right w:val="nil"/>
            </w:tcBorders>
            <w:noWrap/>
            <w:tcMar>
              <w:right w:w="85" w:type="dxa"/>
            </w:tcMar>
          </w:tcPr>
          <w:p w14:paraId="5B82061E" w14:textId="48C4F729" w:rsidR="006C2FC5" w:rsidRPr="00744D67" w:rsidRDefault="00312204"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7.4</w:t>
            </w:r>
          </w:p>
        </w:tc>
        <w:tc>
          <w:tcPr>
            <w:tcW w:w="1276" w:type="dxa"/>
            <w:tcBorders>
              <w:top w:val="single" w:sz="4" w:space="0" w:color="ADD6EA"/>
              <w:left w:val="nil"/>
              <w:bottom w:val="nil"/>
              <w:right w:val="nil"/>
            </w:tcBorders>
            <w:noWrap/>
          </w:tcPr>
          <w:p w14:paraId="263198A6"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57B9D36C"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Tourism</w:t>
            </w:r>
            <w:r>
              <w:rPr>
                <w:rFonts w:ascii="Open Sans Light" w:hAnsi="Open Sans Light" w:cs="Open Sans Light"/>
                <w:color w:val="000000"/>
                <w:sz w:val="16"/>
                <w:szCs w:val="16"/>
              </w:rPr>
              <w:t xml:space="preserve"> development is a state service, and </w:t>
            </w:r>
            <w:r w:rsidRPr="00744D67">
              <w:rPr>
                <w:rFonts w:ascii="Open Sans Light" w:hAnsi="Open Sans Light" w:cs="Open Sans Light"/>
                <w:color w:val="000000"/>
                <w:sz w:val="16"/>
                <w:szCs w:val="16"/>
              </w:rPr>
              <w:t>needs</w:t>
            </w:r>
            <w:r>
              <w:rPr>
                <w:rFonts w:ascii="Open Sans Light" w:hAnsi="Open Sans Light" w:cs="Open Sans Light"/>
                <w:color w:val="000000"/>
                <w:sz w:val="16"/>
                <w:szCs w:val="16"/>
              </w:rPr>
              <w:t xml:space="preserve"> are</w:t>
            </w:r>
            <w:r w:rsidRPr="00744D67">
              <w:rPr>
                <w:rFonts w:ascii="Open Sans Light" w:hAnsi="Open Sans Light" w:cs="Open Sans Light"/>
                <w:color w:val="000000"/>
                <w:sz w:val="16"/>
                <w:szCs w:val="16"/>
              </w:rPr>
              <w:t xml:space="preserve"> assessed</w:t>
            </w:r>
            <w:r>
              <w:rPr>
                <w:rFonts w:ascii="Open Sans Light" w:hAnsi="Open Sans Light" w:cs="Open Sans Light"/>
                <w:color w:val="000000"/>
                <w:sz w:val="16"/>
                <w:szCs w:val="16"/>
              </w:rPr>
              <w:t>.</w:t>
            </w:r>
          </w:p>
        </w:tc>
      </w:tr>
      <w:tr w:rsidR="006C2FC5" w:rsidRPr="00184475" w14:paraId="364F82F8" w14:textId="77777777" w:rsidTr="00874F19">
        <w:trPr>
          <w:trHeight w:val="284"/>
        </w:trPr>
        <w:tc>
          <w:tcPr>
            <w:tcW w:w="2410" w:type="dxa"/>
            <w:tcBorders>
              <w:top w:val="single" w:sz="4" w:space="0" w:color="ADD6EA"/>
              <w:left w:val="nil"/>
              <w:bottom w:val="nil"/>
              <w:right w:val="nil"/>
            </w:tcBorders>
          </w:tcPr>
          <w:p w14:paraId="446E65C1"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Darwin Cyclone Tracy Memorial</w:t>
            </w:r>
          </w:p>
        </w:tc>
        <w:tc>
          <w:tcPr>
            <w:tcW w:w="4394" w:type="dxa"/>
            <w:tcBorders>
              <w:top w:val="single" w:sz="4" w:space="0" w:color="ADD6EA"/>
              <w:left w:val="nil"/>
              <w:bottom w:val="nil"/>
              <w:right w:val="nil"/>
            </w:tcBorders>
          </w:tcPr>
          <w:p w14:paraId="5A426B30" w14:textId="77777777" w:rsidR="006C2FC5" w:rsidRPr="004E3756"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Funding for the</w:t>
            </w:r>
            <w:r w:rsidRPr="004E3756">
              <w:rPr>
                <w:rFonts w:ascii="Open Sans Light" w:hAnsi="Open Sans Light" w:cs="Open Sans Light"/>
                <w:color w:val="000000"/>
                <w:sz w:val="16"/>
                <w:szCs w:val="16"/>
              </w:rPr>
              <w:t xml:space="preserve"> construction of a permanent sculpture and a separate permanent memorial in Darwin to honour those who died and those whose lives were irrevocably changed by Cyclone Tracy impacting Darwin in December 1974.</w:t>
            </w:r>
          </w:p>
        </w:tc>
        <w:tc>
          <w:tcPr>
            <w:tcW w:w="1134" w:type="dxa"/>
            <w:tcBorders>
              <w:top w:val="single" w:sz="4" w:space="0" w:color="ADD6EA"/>
              <w:left w:val="nil"/>
              <w:bottom w:val="nil"/>
              <w:right w:val="nil"/>
            </w:tcBorders>
            <w:noWrap/>
            <w:tcMar>
              <w:right w:w="85" w:type="dxa"/>
            </w:tcMar>
          </w:tcPr>
          <w:p w14:paraId="4116F49E" w14:textId="5DDC1FAC" w:rsidR="006C2FC5" w:rsidRPr="00744D67" w:rsidRDefault="00972056"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0.6</w:t>
            </w:r>
          </w:p>
        </w:tc>
        <w:tc>
          <w:tcPr>
            <w:tcW w:w="1276" w:type="dxa"/>
            <w:tcBorders>
              <w:top w:val="single" w:sz="4" w:space="0" w:color="ADD6EA"/>
              <w:left w:val="nil"/>
              <w:bottom w:val="nil"/>
              <w:right w:val="nil"/>
            </w:tcBorders>
            <w:noWrap/>
          </w:tcPr>
          <w:p w14:paraId="28B3259F"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7BB6FE87"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R</w:t>
            </w:r>
            <w:r w:rsidRPr="00882EAC">
              <w:rPr>
                <w:rFonts w:ascii="Open Sans Light" w:hAnsi="Open Sans Light" w:cs="Open Sans Light"/>
                <w:color w:val="000000"/>
                <w:sz w:val="16"/>
                <w:szCs w:val="16"/>
              </w:rPr>
              <w:t>ecreation</w:t>
            </w:r>
            <w:r>
              <w:rPr>
                <w:rFonts w:ascii="Open Sans Light" w:hAnsi="Open Sans Light" w:cs="Open Sans Light"/>
                <w:color w:val="000000"/>
                <w:sz w:val="16"/>
                <w:szCs w:val="16"/>
              </w:rPr>
              <w:t>al and</w:t>
            </w:r>
            <w:r w:rsidRPr="00882EAC">
              <w:rPr>
                <w:rFonts w:ascii="Open Sans Light" w:hAnsi="Open Sans Light" w:cs="Open Sans Light"/>
                <w:color w:val="000000"/>
                <w:sz w:val="16"/>
                <w:szCs w:val="16"/>
              </w:rPr>
              <w:t xml:space="preserve"> cultu</w:t>
            </w:r>
            <w:r>
              <w:rPr>
                <w:rFonts w:ascii="Open Sans Light" w:hAnsi="Open Sans Light" w:cs="Open Sans Light"/>
                <w:color w:val="000000"/>
                <w:sz w:val="16"/>
                <w:szCs w:val="16"/>
              </w:rPr>
              <w:t>ral services</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is a state function</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and needs are assessed.</w:t>
            </w:r>
          </w:p>
        </w:tc>
      </w:tr>
      <w:tr w:rsidR="006C2FC5" w:rsidRPr="00184475" w14:paraId="0BFEA0C4" w14:textId="77777777" w:rsidTr="00874F19">
        <w:trPr>
          <w:trHeight w:val="284"/>
        </w:trPr>
        <w:tc>
          <w:tcPr>
            <w:tcW w:w="2410" w:type="dxa"/>
            <w:tcBorders>
              <w:top w:val="single" w:sz="4" w:space="0" w:color="ADD6EA"/>
              <w:left w:val="nil"/>
              <w:bottom w:val="nil"/>
              <w:right w:val="nil"/>
            </w:tcBorders>
          </w:tcPr>
          <w:p w14:paraId="23603CBC"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National Capital Functions Program</w:t>
            </w:r>
          </w:p>
        </w:tc>
        <w:tc>
          <w:tcPr>
            <w:tcW w:w="4394" w:type="dxa"/>
            <w:tcBorders>
              <w:top w:val="single" w:sz="4" w:space="0" w:color="ADD6EA"/>
              <w:left w:val="nil"/>
              <w:bottom w:val="nil"/>
              <w:right w:val="nil"/>
            </w:tcBorders>
          </w:tcPr>
          <w:p w14:paraId="3E06CD91" w14:textId="6C40A678" w:rsidR="006C2FC5" w:rsidRPr="004E3756" w:rsidRDefault="006C2FC5" w:rsidP="00874F19">
            <w:pPr>
              <w:spacing w:line="240" w:lineRule="auto"/>
              <w:rPr>
                <w:rFonts w:ascii="Open Sans Light" w:eastAsia="Times New Roman" w:hAnsi="Open Sans Light" w:cs="Open Sans Light"/>
                <w:color w:val="000000"/>
                <w:sz w:val="16"/>
                <w:szCs w:val="16"/>
                <w:lang w:eastAsia="en-AU"/>
              </w:rPr>
            </w:pPr>
            <w:r w:rsidRPr="004E3756">
              <w:rPr>
                <w:rFonts w:ascii="Open Sans Light" w:hAnsi="Open Sans Light" w:cs="Open Sans Light"/>
                <w:color w:val="000000"/>
                <w:sz w:val="16"/>
                <w:szCs w:val="16"/>
              </w:rPr>
              <w:t xml:space="preserve">The Australian Government is providing funding to the </w:t>
            </w:r>
            <w:r w:rsidR="00BB0DDC">
              <w:rPr>
                <w:rFonts w:ascii="Open Sans Light" w:hAnsi="Open Sans Light" w:cs="Open Sans Light"/>
                <w:color w:val="000000"/>
                <w:sz w:val="16"/>
                <w:szCs w:val="16"/>
              </w:rPr>
              <w:t>ACT</w:t>
            </w:r>
            <w:r w:rsidR="008A4A14">
              <w:rPr>
                <w:rFonts w:ascii="Open Sans Light" w:hAnsi="Open Sans Light" w:cs="Open Sans Light"/>
                <w:color w:val="000000"/>
                <w:sz w:val="16"/>
                <w:szCs w:val="16"/>
              </w:rPr>
              <w:t> </w:t>
            </w:r>
            <w:r w:rsidRPr="004E3756">
              <w:rPr>
                <w:rFonts w:ascii="Open Sans Light" w:hAnsi="Open Sans Light" w:cs="Open Sans Light"/>
                <w:color w:val="000000"/>
                <w:sz w:val="16"/>
                <w:szCs w:val="16"/>
              </w:rPr>
              <w:t xml:space="preserve">Government for delivery of services that fulfil Commonwealth responsibilities of diplomatic and treaty obligations and relevant legislative provisions. This includes registration of diplomatic vehicles and licences, electronic registration of certain deaths abroad, French teaching under the </w:t>
            </w:r>
            <w:proofErr w:type="gramStart"/>
            <w:r w:rsidRPr="004E3756">
              <w:rPr>
                <w:rFonts w:ascii="Open Sans Light" w:hAnsi="Open Sans Light" w:cs="Open Sans Light"/>
                <w:color w:val="000000"/>
                <w:sz w:val="16"/>
                <w:szCs w:val="16"/>
              </w:rPr>
              <w:t>French-Australian</w:t>
            </w:r>
            <w:proofErr w:type="gramEnd"/>
            <w:r w:rsidRPr="004E3756">
              <w:rPr>
                <w:rFonts w:ascii="Open Sans Light" w:hAnsi="Open Sans Light" w:cs="Open Sans Light"/>
                <w:color w:val="000000"/>
                <w:sz w:val="16"/>
                <w:szCs w:val="16"/>
              </w:rPr>
              <w:t xml:space="preserve"> program for the purpose of meeting the Commonwealth's obligations and facilitating International Baccalaureate membership at Narrabundah College</w:t>
            </w:r>
            <w:r>
              <w:rPr>
                <w:rFonts w:ascii="Open Sans Light" w:hAnsi="Open Sans Light" w:cs="Open Sans Light"/>
                <w:color w:val="000000"/>
                <w:sz w:val="16"/>
                <w:szCs w:val="16"/>
              </w:rPr>
              <w:t>.</w:t>
            </w:r>
          </w:p>
        </w:tc>
        <w:tc>
          <w:tcPr>
            <w:tcW w:w="1134" w:type="dxa"/>
            <w:tcBorders>
              <w:top w:val="single" w:sz="4" w:space="0" w:color="ADD6EA"/>
              <w:left w:val="nil"/>
              <w:bottom w:val="nil"/>
              <w:right w:val="nil"/>
            </w:tcBorders>
            <w:noWrap/>
            <w:tcMar>
              <w:right w:w="85" w:type="dxa"/>
            </w:tcMar>
          </w:tcPr>
          <w:p w14:paraId="26090247" w14:textId="55A51742" w:rsidR="006C2FC5" w:rsidRPr="00744D67" w:rsidRDefault="00BA3BFC"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1.6</w:t>
            </w:r>
          </w:p>
        </w:tc>
        <w:tc>
          <w:tcPr>
            <w:tcW w:w="1276" w:type="dxa"/>
            <w:tcBorders>
              <w:top w:val="single" w:sz="4" w:space="0" w:color="ADD6EA"/>
              <w:left w:val="nil"/>
              <w:bottom w:val="nil"/>
              <w:right w:val="nil"/>
            </w:tcBorders>
            <w:noWrap/>
          </w:tcPr>
          <w:p w14:paraId="42A92606"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nil"/>
              <w:right w:val="nil"/>
            </w:tcBorders>
            <w:noWrap/>
          </w:tcPr>
          <w:p w14:paraId="6E2491EA"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Fulfilling diplomatic and treaty obligations is a responsibility of the Commonwealth.</w:t>
            </w:r>
          </w:p>
        </w:tc>
      </w:tr>
      <w:tr w:rsidR="006C2FC5" w:rsidRPr="00184475" w14:paraId="30D0DD67" w14:textId="77777777" w:rsidTr="00874F19">
        <w:trPr>
          <w:trHeight w:val="648"/>
        </w:trPr>
        <w:tc>
          <w:tcPr>
            <w:tcW w:w="2410" w:type="dxa"/>
            <w:tcBorders>
              <w:top w:val="single" w:sz="4" w:space="0" w:color="ADD6EA"/>
              <w:left w:val="nil"/>
              <w:bottom w:val="nil"/>
              <w:right w:val="nil"/>
            </w:tcBorders>
          </w:tcPr>
          <w:p w14:paraId="0DD9F99F"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lastRenderedPageBreak/>
              <w:t>Regional Roads Australian Mobile Program - Pilot Program</w:t>
            </w:r>
          </w:p>
        </w:tc>
        <w:tc>
          <w:tcPr>
            <w:tcW w:w="4394" w:type="dxa"/>
            <w:tcBorders>
              <w:top w:val="single" w:sz="4" w:space="0" w:color="ADD6EA"/>
              <w:left w:val="nil"/>
              <w:bottom w:val="nil"/>
              <w:right w:val="nil"/>
            </w:tcBorders>
          </w:tcPr>
          <w:p w14:paraId="7E4A0EBE"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6D4924">
              <w:rPr>
                <w:rFonts w:ascii="Open Sans Light" w:eastAsia="Times New Roman" w:hAnsi="Open Sans Light" w:cs="Open Sans Light"/>
                <w:color w:val="000000"/>
                <w:sz w:val="16"/>
                <w:szCs w:val="16"/>
                <w:lang w:eastAsia="en-AU"/>
              </w:rPr>
              <w:t>unding to improve multi-carrier mobile coverage on highways and major roads in regional and remote Australia.</w:t>
            </w:r>
          </w:p>
        </w:tc>
        <w:tc>
          <w:tcPr>
            <w:tcW w:w="1134" w:type="dxa"/>
            <w:tcBorders>
              <w:top w:val="single" w:sz="4" w:space="0" w:color="ADD6EA"/>
              <w:left w:val="nil"/>
              <w:bottom w:val="nil"/>
              <w:right w:val="nil"/>
            </w:tcBorders>
            <w:noWrap/>
            <w:tcMar>
              <w:right w:w="85" w:type="dxa"/>
            </w:tcMar>
          </w:tcPr>
          <w:p w14:paraId="7A2481E3" w14:textId="46F599FB" w:rsidR="006C2FC5" w:rsidRPr="00CB1CE7" w:rsidRDefault="00196C26"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18.5</w:t>
            </w:r>
          </w:p>
        </w:tc>
        <w:tc>
          <w:tcPr>
            <w:tcW w:w="1276" w:type="dxa"/>
            <w:tcBorders>
              <w:top w:val="single" w:sz="4" w:space="0" w:color="ADD6EA"/>
              <w:left w:val="nil"/>
              <w:bottom w:val="nil"/>
              <w:right w:val="nil"/>
            </w:tcBorders>
            <w:noWrap/>
          </w:tcPr>
          <w:p w14:paraId="6597CCD6"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eastAsia="Times New Roman" w:hAnsi="Open Sans Light" w:cs="Open Sans Light"/>
                <w:color w:val="000000"/>
                <w:sz w:val="16"/>
                <w:szCs w:val="16"/>
                <w:lang w:eastAsia="en-AU"/>
              </w:rPr>
              <w:t>No Impact</w:t>
            </w:r>
          </w:p>
        </w:tc>
        <w:tc>
          <w:tcPr>
            <w:tcW w:w="4678" w:type="dxa"/>
            <w:tcBorders>
              <w:top w:val="single" w:sz="4" w:space="0" w:color="ADD6EA"/>
              <w:left w:val="nil"/>
              <w:bottom w:val="nil"/>
              <w:right w:val="nil"/>
            </w:tcBorders>
            <w:noWrap/>
          </w:tcPr>
          <w:p w14:paraId="0B9A12D3"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Telecommunications is a Commonwealth responsibility.</w:t>
            </w:r>
          </w:p>
        </w:tc>
      </w:tr>
      <w:tr w:rsidR="006C2FC5" w:rsidRPr="00184475" w14:paraId="5C99401A" w14:textId="77777777" w:rsidTr="00874F19">
        <w:trPr>
          <w:trHeight w:val="284"/>
        </w:trPr>
        <w:tc>
          <w:tcPr>
            <w:tcW w:w="2410" w:type="dxa"/>
            <w:tcBorders>
              <w:top w:val="single" w:sz="4" w:space="0" w:color="ADD6EA"/>
              <w:left w:val="nil"/>
              <w:bottom w:val="nil"/>
              <w:right w:val="nil"/>
            </w:tcBorders>
          </w:tcPr>
          <w:p w14:paraId="248AE6CF"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 xml:space="preserve">Upgrades to the </w:t>
            </w:r>
            <w:proofErr w:type="spellStart"/>
            <w:r>
              <w:rPr>
                <w:rFonts w:ascii="Open Sans Light" w:eastAsia="Times New Roman" w:hAnsi="Open Sans Light" w:cs="Open Sans Light"/>
                <w:color w:val="000000" w:themeColor="text1"/>
                <w:sz w:val="16"/>
                <w:szCs w:val="16"/>
                <w:lang w:eastAsia="en-AU"/>
              </w:rPr>
              <w:t>Q</w:t>
            </w:r>
            <w:r w:rsidRPr="00744D67">
              <w:rPr>
                <w:rFonts w:ascii="Open Sans Light" w:eastAsia="Times New Roman" w:hAnsi="Open Sans Light" w:cs="Open Sans Light"/>
                <w:color w:val="000000" w:themeColor="text1"/>
                <w:sz w:val="16"/>
                <w:szCs w:val="16"/>
                <w:lang w:eastAsia="en-AU"/>
              </w:rPr>
              <w:t>topia</w:t>
            </w:r>
            <w:proofErr w:type="spellEnd"/>
            <w:r w:rsidRPr="00744D67">
              <w:rPr>
                <w:rFonts w:ascii="Open Sans Light" w:eastAsia="Times New Roman" w:hAnsi="Open Sans Light" w:cs="Open Sans Light"/>
                <w:color w:val="000000" w:themeColor="text1"/>
                <w:sz w:val="16"/>
                <w:szCs w:val="16"/>
                <w:lang w:eastAsia="en-AU"/>
              </w:rPr>
              <w:t xml:space="preserve"> Sydney Museum</w:t>
            </w:r>
          </w:p>
        </w:tc>
        <w:tc>
          <w:tcPr>
            <w:tcW w:w="4394" w:type="dxa"/>
            <w:tcBorders>
              <w:top w:val="single" w:sz="4" w:space="0" w:color="ADD6EA"/>
              <w:left w:val="nil"/>
              <w:bottom w:val="nil"/>
              <w:right w:val="nil"/>
            </w:tcBorders>
          </w:tcPr>
          <w:p w14:paraId="7FC54FD0"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Funding for </w:t>
            </w:r>
            <w:r w:rsidRPr="004E349B">
              <w:rPr>
                <w:rFonts w:ascii="Open Sans Light" w:eastAsia="Times New Roman" w:hAnsi="Open Sans Light" w:cs="Open Sans Light"/>
                <w:color w:val="000000"/>
                <w:sz w:val="16"/>
                <w:szCs w:val="16"/>
                <w:lang w:eastAsia="en-AU"/>
              </w:rPr>
              <w:t xml:space="preserve">the delivery of capital works to upgrade the first of the former Darlinghurst Police Station and expand </w:t>
            </w:r>
            <w:proofErr w:type="spellStart"/>
            <w:r w:rsidRPr="004E349B">
              <w:rPr>
                <w:rFonts w:ascii="Open Sans Light" w:eastAsia="Times New Roman" w:hAnsi="Open Sans Light" w:cs="Open Sans Light"/>
                <w:color w:val="000000"/>
                <w:sz w:val="16"/>
                <w:szCs w:val="16"/>
                <w:lang w:eastAsia="en-AU"/>
              </w:rPr>
              <w:t>Qtopia</w:t>
            </w:r>
            <w:proofErr w:type="spellEnd"/>
            <w:r w:rsidRPr="004E349B">
              <w:rPr>
                <w:rFonts w:ascii="Open Sans Light" w:eastAsia="Times New Roman" w:hAnsi="Open Sans Light" w:cs="Open Sans Light"/>
                <w:color w:val="000000"/>
                <w:sz w:val="16"/>
                <w:szCs w:val="16"/>
                <w:lang w:eastAsia="en-AU"/>
              </w:rPr>
              <w:t xml:space="preserve"> Sydney.</w:t>
            </w:r>
          </w:p>
        </w:tc>
        <w:tc>
          <w:tcPr>
            <w:tcW w:w="1134" w:type="dxa"/>
            <w:tcBorders>
              <w:top w:val="single" w:sz="4" w:space="0" w:color="ADD6EA"/>
              <w:left w:val="nil"/>
              <w:bottom w:val="nil"/>
              <w:right w:val="nil"/>
            </w:tcBorders>
            <w:noWrap/>
            <w:tcMar>
              <w:right w:w="85" w:type="dxa"/>
            </w:tcMar>
          </w:tcPr>
          <w:p w14:paraId="4F93DCBE" w14:textId="79C2DC3D" w:rsidR="006C2FC5" w:rsidRPr="00744D67" w:rsidRDefault="00DE0AC4"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1.5</w:t>
            </w:r>
          </w:p>
        </w:tc>
        <w:tc>
          <w:tcPr>
            <w:tcW w:w="1276" w:type="dxa"/>
            <w:tcBorders>
              <w:top w:val="single" w:sz="4" w:space="0" w:color="ADD6EA"/>
              <w:left w:val="nil"/>
              <w:bottom w:val="nil"/>
              <w:right w:val="nil"/>
            </w:tcBorders>
            <w:noWrap/>
          </w:tcPr>
          <w:p w14:paraId="76883A5D"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6333FDB7" w14:textId="3D4E882F"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r</w:t>
            </w:r>
            <w:r w:rsidRPr="00882EAC">
              <w:rPr>
                <w:rFonts w:ascii="Open Sans Light" w:hAnsi="Open Sans Light" w:cs="Open Sans Light"/>
                <w:color w:val="000000"/>
                <w:sz w:val="16"/>
                <w:szCs w:val="16"/>
              </w:rPr>
              <w:t>ecreation</w:t>
            </w:r>
            <w:r>
              <w:rPr>
                <w:rFonts w:ascii="Open Sans Light" w:hAnsi="Open Sans Light" w:cs="Open Sans Light"/>
                <w:color w:val="000000"/>
                <w:sz w:val="16"/>
                <w:szCs w:val="16"/>
              </w:rPr>
              <w:t>al and</w:t>
            </w:r>
            <w:r w:rsidRPr="00882EAC">
              <w:rPr>
                <w:rFonts w:ascii="Open Sans Light" w:hAnsi="Open Sans Light" w:cs="Open Sans Light"/>
                <w:color w:val="000000"/>
                <w:sz w:val="16"/>
                <w:szCs w:val="16"/>
              </w:rPr>
              <w:t xml:space="preserve"> cultu</w:t>
            </w:r>
            <w:r>
              <w:rPr>
                <w:rFonts w:ascii="Open Sans Light" w:hAnsi="Open Sans Light" w:cs="Open Sans Light"/>
                <w:color w:val="000000"/>
                <w:sz w:val="16"/>
                <w:szCs w:val="16"/>
              </w:rPr>
              <w:t>ral services</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is a state function</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and needs are assessed</w:t>
            </w:r>
            <w:r w:rsidR="00005A0E">
              <w:rPr>
                <w:rFonts w:ascii="Open Sans Light" w:hAnsi="Open Sans Light" w:cs="Open Sans Light"/>
                <w:color w:val="000000"/>
                <w:sz w:val="16"/>
                <w:szCs w:val="16"/>
              </w:rPr>
              <w:t>.</w:t>
            </w:r>
          </w:p>
        </w:tc>
      </w:tr>
      <w:tr w:rsidR="006C2FC5" w:rsidRPr="00184475" w14:paraId="5049BA21" w14:textId="77777777" w:rsidTr="00874F19">
        <w:trPr>
          <w:trHeight w:val="284"/>
        </w:trPr>
        <w:tc>
          <w:tcPr>
            <w:tcW w:w="2410" w:type="dxa"/>
            <w:tcBorders>
              <w:top w:val="single" w:sz="4" w:space="0" w:color="ADD6EA"/>
              <w:left w:val="nil"/>
              <w:bottom w:val="nil"/>
              <w:right w:val="nil"/>
            </w:tcBorders>
          </w:tcPr>
          <w:p w14:paraId="7E3D117D"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Warburton Mountain Bike Destination Project</w:t>
            </w:r>
          </w:p>
        </w:tc>
        <w:tc>
          <w:tcPr>
            <w:tcW w:w="4394" w:type="dxa"/>
            <w:tcBorders>
              <w:top w:val="single" w:sz="4" w:space="0" w:color="ADD6EA"/>
              <w:left w:val="nil"/>
              <w:bottom w:val="nil"/>
              <w:right w:val="nil"/>
            </w:tcBorders>
          </w:tcPr>
          <w:p w14:paraId="07D4E5C5"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Funding for a world-class mountain bike destination.</w:t>
            </w:r>
          </w:p>
        </w:tc>
        <w:tc>
          <w:tcPr>
            <w:tcW w:w="1134" w:type="dxa"/>
            <w:tcBorders>
              <w:top w:val="single" w:sz="4" w:space="0" w:color="ADD6EA"/>
              <w:left w:val="nil"/>
              <w:bottom w:val="nil"/>
              <w:right w:val="nil"/>
            </w:tcBorders>
            <w:noWrap/>
            <w:tcMar>
              <w:right w:w="85" w:type="dxa"/>
            </w:tcMar>
          </w:tcPr>
          <w:p w14:paraId="0D7F65B3" w14:textId="666E8528" w:rsidR="006C2FC5" w:rsidRPr="00744D67" w:rsidRDefault="00CE5D13"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3.0</w:t>
            </w:r>
          </w:p>
        </w:tc>
        <w:tc>
          <w:tcPr>
            <w:tcW w:w="1276" w:type="dxa"/>
            <w:tcBorders>
              <w:top w:val="single" w:sz="4" w:space="0" w:color="ADD6EA"/>
              <w:left w:val="nil"/>
              <w:bottom w:val="nil"/>
              <w:right w:val="nil"/>
            </w:tcBorders>
            <w:noWrap/>
          </w:tcPr>
          <w:p w14:paraId="6B6D412B"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Impact</w:t>
            </w:r>
          </w:p>
        </w:tc>
        <w:tc>
          <w:tcPr>
            <w:tcW w:w="4678" w:type="dxa"/>
            <w:tcBorders>
              <w:top w:val="single" w:sz="4" w:space="0" w:color="ADD6EA"/>
              <w:left w:val="nil"/>
              <w:bottom w:val="nil"/>
              <w:right w:val="nil"/>
            </w:tcBorders>
            <w:noWrap/>
          </w:tcPr>
          <w:p w14:paraId="5969F0DA"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Tourism and recreational infrastructure are a state service, and needs are assessed.</w:t>
            </w:r>
          </w:p>
        </w:tc>
      </w:tr>
      <w:tr w:rsidR="006C2FC5" w:rsidRPr="00184475" w14:paraId="514FF07F" w14:textId="77777777" w:rsidTr="00874F19">
        <w:trPr>
          <w:trHeight w:val="284"/>
        </w:trPr>
        <w:tc>
          <w:tcPr>
            <w:tcW w:w="2410" w:type="dxa"/>
            <w:tcBorders>
              <w:top w:val="single" w:sz="4" w:space="0" w:color="ADD6EA"/>
              <w:left w:val="nil"/>
              <w:bottom w:val="nil"/>
              <w:right w:val="nil"/>
            </w:tcBorders>
          </w:tcPr>
          <w:p w14:paraId="37766326"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WA Telecommunication Resilience Program Pilot</w:t>
            </w:r>
          </w:p>
        </w:tc>
        <w:tc>
          <w:tcPr>
            <w:tcW w:w="4394" w:type="dxa"/>
            <w:tcBorders>
              <w:top w:val="single" w:sz="4" w:space="0" w:color="ADD6EA"/>
              <w:left w:val="nil"/>
              <w:bottom w:val="nil"/>
              <w:right w:val="nil"/>
            </w:tcBorders>
          </w:tcPr>
          <w:p w14:paraId="53C67681"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Funding for urgent upgrades to telecommunication infrastructure during the bushfire season in priority locations.</w:t>
            </w:r>
          </w:p>
        </w:tc>
        <w:tc>
          <w:tcPr>
            <w:tcW w:w="1134" w:type="dxa"/>
            <w:tcBorders>
              <w:top w:val="single" w:sz="4" w:space="0" w:color="ADD6EA"/>
              <w:left w:val="nil"/>
              <w:bottom w:val="nil"/>
              <w:right w:val="nil"/>
            </w:tcBorders>
            <w:noWrap/>
            <w:tcMar>
              <w:right w:w="85" w:type="dxa"/>
            </w:tcMar>
          </w:tcPr>
          <w:p w14:paraId="7FBD1A8F" w14:textId="387D3497" w:rsidR="006C2FC5" w:rsidRPr="00744D67" w:rsidRDefault="00AE7036"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nil"/>
              <w:right w:val="nil"/>
            </w:tcBorders>
            <w:noWrap/>
          </w:tcPr>
          <w:p w14:paraId="14B0EF24"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No Impact</w:t>
            </w:r>
          </w:p>
        </w:tc>
        <w:tc>
          <w:tcPr>
            <w:tcW w:w="4678" w:type="dxa"/>
            <w:tcBorders>
              <w:top w:val="single" w:sz="4" w:space="0" w:color="ADD6EA"/>
              <w:left w:val="nil"/>
              <w:bottom w:val="nil"/>
              <w:right w:val="nil"/>
            </w:tcBorders>
            <w:noWrap/>
          </w:tcPr>
          <w:p w14:paraId="62D2F00C"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 xml:space="preserve">Telecommunications is a Commonwealth </w:t>
            </w:r>
            <w:r>
              <w:rPr>
                <w:rFonts w:ascii="Open Sans Light" w:hAnsi="Open Sans Light" w:cs="Open Sans Light"/>
                <w:color w:val="000000"/>
                <w:sz w:val="16"/>
                <w:szCs w:val="16"/>
              </w:rPr>
              <w:t>r</w:t>
            </w:r>
            <w:r w:rsidRPr="00744D67">
              <w:rPr>
                <w:rFonts w:ascii="Open Sans Light" w:hAnsi="Open Sans Light" w:cs="Open Sans Light"/>
                <w:color w:val="000000"/>
                <w:sz w:val="16"/>
                <w:szCs w:val="16"/>
              </w:rPr>
              <w:t>esponsibility</w:t>
            </w:r>
            <w:r>
              <w:rPr>
                <w:rFonts w:ascii="Open Sans Light" w:hAnsi="Open Sans Light" w:cs="Open Sans Light"/>
                <w:color w:val="000000"/>
                <w:sz w:val="16"/>
                <w:szCs w:val="16"/>
              </w:rPr>
              <w:t>.</w:t>
            </w:r>
          </w:p>
        </w:tc>
      </w:tr>
      <w:tr w:rsidR="006C2FC5" w:rsidRPr="00184475" w14:paraId="670BD5DF" w14:textId="77777777" w:rsidTr="00874F19">
        <w:trPr>
          <w:trHeight w:val="284"/>
        </w:trPr>
        <w:tc>
          <w:tcPr>
            <w:tcW w:w="2410" w:type="dxa"/>
            <w:tcBorders>
              <w:top w:val="single" w:sz="4" w:space="0" w:color="ADD6EA"/>
              <w:left w:val="nil"/>
              <w:bottom w:val="nil"/>
              <w:right w:val="nil"/>
            </w:tcBorders>
          </w:tcPr>
          <w:p w14:paraId="02CA26CF" w14:textId="77777777" w:rsidR="006C2FC5" w:rsidRPr="00744D67" w:rsidRDefault="006C2FC5" w:rsidP="00874F19">
            <w:pPr>
              <w:spacing w:line="240" w:lineRule="auto"/>
              <w:rPr>
                <w:rFonts w:ascii="Open Sans Light" w:eastAsia="Times New Roman" w:hAnsi="Open Sans Light" w:cs="Open Sans Light"/>
                <w:color w:val="000000" w:themeColor="text1"/>
                <w:sz w:val="16"/>
                <w:szCs w:val="16"/>
                <w:lang w:eastAsia="en-AU"/>
              </w:rPr>
            </w:pPr>
            <w:r w:rsidRPr="00744D67">
              <w:rPr>
                <w:rFonts w:ascii="Open Sans Light" w:eastAsia="Times New Roman" w:hAnsi="Open Sans Light" w:cs="Open Sans Light"/>
                <w:color w:val="000000" w:themeColor="text1"/>
                <w:sz w:val="16"/>
                <w:szCs w:val="16"/>
                <w:lang w:eastAsia="en-AU"/>
              </w:rPr>
              <w:t>Whyalla Airport Upgrades</w:t>
            </w:r>
          </w:p>
        </w:tc>
        <w:tc>
          <w:tcPr>
            <w:tcW w:w="4394" w:type="dxa"/>
            <w:tcBorders>
              <w:top w:val="single" w:sz="4" w:space="0" w:color="ADD6EA"/>
              <w:left w:val="nil"/>
              <w:bottom w:val="nil"/>
              <w:right w:val="nil"/>
            </w:tcBorders>
          </w:tcPr>
          <w:p w14:paraId="203F918B"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F</w:t>
            </w:r>
            <w:r w:rsidRPr="000F494E">
              <w:rPr>
                <w:rFonts w:ascii="Open Sans Light" w:eastAsia="Times New Roman" w:hAnsi="Open Sans Light" w:cs="Open Sans Light"/>
                <w:color w:val="000000"/>
                <w:sz w:val="16"/>
                <w:szCs w:val="16"/>
                <w:lang w:eastAsia="en-AU"/>
              </w:rPr>
              <w:t>unding to support delivery of upgrades to strengthen the Whyalla Airport runway to enable larger, heavier aircraft to land safely.</w:t>
            </w:r>
          </w:p>
        </w:tc>
        <w:tc>
          <w:tcPr>
            <w:tcW w:w="1134" w:type="dxa"/>
            <w:tcBorders>
              <w:top w:val="single" w:sz="4" w:space="0" w:color="ADD6EA"/>
              <w:left w:val="nil"/>
              <w:bottom w:val="nil"/>
              <w:right w:val="nil"/>
            </w:tcBorders>
            <w:noWrap/>
            <w:tcMar>
              <w:right w:w="85" w:type="dxa"/>
            </w:tcMar>
          </w:tcPr>
          <w:p w14:paraId="41BF39C5" w14:textId="5A095A28" w:rsidR="006C2FC5" w:rsidRPr="00744D67" w:rsidRDefault="00744FF7"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10.0</w:t>
            </w:r>
          </w:p>
        </w:tc>
        <w:tc>
          <w:tcPr>
            <w:tcW w:w="1276" w:type="dxa"/>
            <w:tcBorders>
              <w:top w:val="single" w:sz="4" w:space="0" w:color="ADD6EA"/>
              <w:left w:val="nil"/>
              <w:bottom w:val="nil"/>
              <w:right w:val="nil"/>
            </w:tcBorders>
            <w:noWrap/>
          </w:tcPr>
          <w:p w14:paraId="601814DA"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744D67">
              <w:rPr>
                <w:rFonts w:ascii="Open Sans Light" w:hAnsi="Open Sans Light" w:cs="Open Sans Light"/>
                <w:color w:val="000000"/>
                <w:sz w:val="16"/>
                <w:szCs w:val="16"/>
              </w:rPr>
              <w:t>No impact</w:t>
            </w:r>
          </w:p>
        </w:tc>
        <w:tc>
          <w:tcPr>
            <w:tcW w:w="4678" w:type="dxa"/>
            <w:tcBorders>
              <w:top w:val="single" w:sz="4" w:space="0" w:color="ADD6EA"/>
              <w:left w:val="nil"/>
              <w:bottom w:val="nil"/>
              <w:right w:val="nil"/>
            </w:tcBorders>
            <w:noWrap/>
          </w:tcPr>
          <w:p w14:paraId="16E4EAAE" w14:textId="77777777" w:rsidR="006C2FC5" w:rsidRPr="00744D67" w:rsidRDefault="006C2FC5" w:rsidP="00874F19">
            <w:pPr>
              <w:spacing w:line="240" w:lineRule="auto"/>
              <w:rPr>
                <w:rFonts w:ascii="Open Sans Light" w:eastAsia="Times New Roman" w:hAnsi="Open Sans Light" w:cs="Open Sans Light"/>
                <w:color w:val="000000"/>
                <w:sz w:val="16"/>
                <w:szCs w:val="16"/>
                <w:lang w:eastAsia="en-AU"/>
              </w:rPr>
            </w:pPr>
            <w:r w:rsidRPr="00FB7F9C">
              <w:rPr>
                <w:rFonts w:ascii="Open Sans Light" w:eastAsia="Times New Roman" w:hAnsi="Open Sans Light" w:cs="Open Sans Light"/>
                <w:color w:val="000000"/>
                <w:sz w:val="16"/>
                <w:szCs w:val="16"/>
                <w:lang w:eastAsia="en-AU"/>
              </w:rPr>
              <w:t>While investment in airport infrastructure is a normal state service, the Commission does not assess needs related to airport infrastructure in its non-urban transport assessment.</w:t>
            </w:r>
          </w:p>
        </w:tc>
      </w:tr>
      <w:tr w:rsidR="006C2FC5" w:rsidRPr="00184475" w14:paraId="59A0A0C8" w14:textId="77777777" w:rsidTr="00874F19">
        <w:trPr>
          <w:trHeight w:val="284"/>
        </w:trPr>
        <w:tc>
          <w:tcPr>
            <w:tcW w:w="2410" w:type="dxa"/>
            <w:tcBorders>
              <w:top w:val="single" w:sz="4" w:space="0" w:color="ADD6EA"/>
              <w:left w:val="nil"/>
              <w:bottom w:val="nil"/>
              <w:right w:val="nil"/>
            </w:tcBorders>
            <w:shd w:val="clear" w:color="auto" w:fill="B6D5E4"/>
          </w:tcPr>
          <w:p w14:paraId="01E62013" w14:textId="77777777" w:rsidR="006C2FC5" w:rsidRPr="00184475" w:rsidRDefault="006C2FC5" w:rsidP="00874F19">
            <w:pPr>
              <w:spacing w:line="240" w:lineRule="auto"/>
              <w:rPr>
                <w:rFonts w:ascii="Open Sans Semibold" w:eastAsia="Times New Roman" w:hAnsi="Open Sans Semibold" w:cs="Open Sans Semibold"/>
                <w:color w:val="000000"/>
                <w:sz w:val="16"/>
                <w:szCs w:val="16"/>
                <w:lang w:eastAsia="en-AU"/>
              </w:rPr>
            </w:pPr>
            <w:r w:rsidRPr="481A7BDB">
              <w:rPr>
                <w:rFonts w:ascii="Open Sans Semibold" w:eastAsia="Times New Roman" w:hAnsi="Open Sans Semibold" w:cs="Open Sans Semibold"/>
                <w:color w:val="000000" w:themeColor="text1"/>
                <w:sz w:val="16"/>
                <w:szCs w:val="16"/>
                <w:lang w:eastAsia="en-AU"/>
              </w:rPr>
              <w:t>Environment,</w:t>
            </w:r>
            <w:r w:rsidRPr="2BC756B2">
              <w:rPr>
                <w:rFonts w:ascii="Open Sans Semibold" w:eastAsia="Times New Roman" w:hAnsi="Open Sans Semibold" w:cs="Open Sans Semibold"/>
                <w:color w:val="000000" w:themeColor="text1"/>
                <w:sz w:val="16"/>
                <w:szCs w:val="16"/>
                <w:lang w:eastAsia="en-AU"/>
              </w:rPr>
              <w:t xml:space="preserve"> </w:t>
            </w:r>
            <w:r w:rsidRPr="16D864F0">
              <w:rPr>
                <w:rFonts w:ascii="Open Sans Semibold" w:eastAsia="Times New Roman" w:hAnsi="Open Sans Semibold" w:cs="Open Sans Semibold"/>
                <w:color w:val="000000" w:themeColor="text1"/>
                <w:sz w:val="16"/>
                <w:szCs w:val="16"/>
                <w:lang w:eastAsia="en-AU"/>
              </w:rPr>
              <w:t>energy and water</w:t>
            </w:r>
          </w:p>
        </w:tc>
        <w:tc>
          <w:tcPr>
            <w:tcW w:w="4394" w:type="dxa"/>
            <w:tcBorders>
              <w:top w:val="single" w:sz="4" w:space="0" w:color="ADD6EA"/>
              <w:left w:val="nil"/>
              <w:bottom w:val="nil"/>
              <w:right w:val="nil"/>
            </w:tcBorders>
            <w:shd w:val="clear" w:color="auto" w:fill="B6D5E4"/>
          </w:tcPr>
          <w:p w14:paraId="746931C5" w14:textId="77777777" w:rsidR="006C2FC5" w:rsidRPr="00184475" w:rsidRDefault="006C2FC5" w:rsidP="00874F19">
            <w:pPr>
              <w:spacing w:line="240" w:lineRule="auto"/>
              <w:rPr>
                <w:rFonts w:ascii="Open Sans Semibold" w:eastAsia="Times New Roman" w:hAnsi="Open Sans Semibold" w:cs="Open Sans Semibold"/>
                <w:color w:val="000000"/>
                <w:sz w:val="16"/>
                <w:szCs w:val="16"/>
                <w:lang w:eastAsia="en-AU"/>
              </w:rPr>
            </w:pPr>
          </w:p>
        </w:tc>
        <w:tc>
          <w:tcPr>
            <w:tcW w:w="1134" w:type="dxa"/>
            <w:tcBorders>
              <w:top w:val="single" w:sz="4" w:space="0" w:color="ADD6EA"/>
              <w:left w:val="nil"/>
              <w:bottom w:val="nil"/>
              <w:right w:val="nil"/>
            </w:tcBorders>
            <w:shd w:val="clear" w:color="auto" w:fill="B6D5E4"/>
            <w:noWrap/>
            <w:tcMar>
              <w:right w:w="85" w:type="dxa"/>
            </w:tcMar>
          </w:tcPr>
          <w:p w14:paraId="02A74D9B" w14:textId="77777777" w:rsidR="006C2FC5" w:rsidRPr="00184475" w:rsidRDefault="006C2FC5" w:rsidP="00874F19">
            <w:pPr>
              <w:spacing w:line="240" w:lineRule="auto"/>
              <w:ind w:right="227"/>
              <w:rPr>
                <w:rFonts w:ascii="Open Sans Semibold" w:eastAsia="Times New Roman" w:hAnsi="Open Sans Semibold" w:cs="Open Sans Semibold"/>
                <w:color w:val="000000"/>
                <w:sz w:val="16"/>
                <w:szCs w:val="16"/>
                <w:lang w:eastAsia="en-AU"/>
              </w:rPr>
            </w:pPr>
          </w:p>
        </w:tc>
        <w:tc>
          <w:tcPr>
            <w:tcW w:w="1276" w:type="dxa"/>
            <w:tcBorders>
              <w:top w:val="single" w:sz="4" w:space="0" w:color="ADD6EA"/>
              <w:left w:val="nil"/>
              <w:bottom w:val="nil"/>
              <w:right w:val="nil"/>
            </w:tcBorders>
            <w:shd w:val="clear" w:color="auto" w:fill="B6D5E4"/>
            <w:noWrap/>
          </w:tcPr>
          <w:p w14:paraId="6758E13D" w14:textId="77777777" w:rsidR="006C2FC5" w:rsidRPr="00184475" w:rsidRDefault="006C2FC5" w:rsidP="00874F19">
            <w:pPr>
              <w:spacing w:line="240" w:lineRule="auto"/>
              <w:rPr>
                <w:rFonts w:ascii="Open Sans Semibold" w:eastAsia="Times New Roman" w:hAnsi="Open Sans Semibold" w:cs="Open Sans Semibold"/>
                <w:color w:val="000000"/>
                <w:sz w:val="16"/>
                <w:szCs w:val="20"/>
                <w:lang w:eastAsia="en-AU"/>
              </w:rPr>
            </w:pPr>
          </w:p>
        </w:tc>
        <w:tc>
          <w:tcPr>
            <w:tcW w:w="4678" w:type="dxa"/>
            <w:tcBorders>
              <w:top w:val="single" w:sz="4" w:space="0" w:color="ADD6EA"/>
              <w:left w:val="nil"/>
              <w:bottom w:val="nil"/>
              <w:right w:val="nil"/>
            </w:tcBorders>
            <w:shd w:val="clear" w:color="auto" w:fill="B6D5E4"/>
            <w:noWrap/>
          </w:tcPr>
          <w:p w14:paraId="57C5C843" w14:textId="77777777" w:rsidR="006C2FC5" w:rsidRPr="00184475" w:rsidRDefault="006C2FC5" w:rsidP="00874F19">
            <w:pPr>
              <w:spacing w:line="240" w:lineRule="auto"/>
              <w:rPr>
                <w:rFonts w:ascii="Open Sans Semibold" w:eastAsia="Times New Roman" w:hAnsi="Open Sans Semibold" w:cs="Open Sans Semibold"/>
                <w:color w:val="000000"/>
                <w:sz w:val="16"/>
                <w:szCs w:val="20"/>
                <w:lang w:eastAsia="en-AU"/>
              </w:rPr>
            </w:pPr>
          </w:p>
        </w:tc>
      </w:tr>
      <w:tr w:rsidR="006C2FC5" w:rsidRPr="00C91117" w14:paraId="778DC578" w14:textId="77777777" w:rsidTr="00874F19">
        <w:trPr>
          <w:trHeight w:val="665"/>
        </w:trPr>
        <w:tc>
          <w:tcPr>
            <w:tcW w:w="2410" w:type="dxa"/>
            <w:tcBorders>
              <w:top w:val="single" w:sz="4" w:space="0" w:color="ADD6EA"/>
              <w:left w:val="nil"/>
              <w:bottom w:val="single" w:sz="4" w:space="0" w:color="ADD6EA"/>
              <w:right w:val="nil"/>
            </w:tcBorders>
          </w:tcPr>
          <w:p w14:paraId="4AB8CF5B" w14:textId="77777777" w:rsidR="006C2FC5" w:rsidRPr="00E06561" w:rsidRDefault="006C2FC5" w:rsidP="00874F19">
            <w:pPr>
              <w:spacing w:line="240" w:lineRule="auto"/>
              <w:rPr>
                <w:rFonts w:ascii="Open Sans Light" w:hAnsi="Open Sans Light" w:cs="Open Sans Light"/>
                <w:sz w:val="16"/>
                <w:szCs w:val="16"/>
              </w:rPr>
            </w:pPr>
            <w:r w:rsidRPr="00E06561">
              <w:rPr>
                <w:rFonts w:ascii="Open Sans Light" w:hAnsi="Open Sans Light" w:cs="Open Sans Light"/>
                <w:color w:val="212529"/>
                <w:sz w:val="16"/>
                <w:szCs w:val="16"/>
              </w:rPr>
              <w:t>Recycling modernisation fund - plastics technology stream</w:t>
            </w:r>
          </w:p>
        </w:tc>
        <w:tc>
          <w:tcPr>
            <w:tcW w:w="4394" w:type="dxa"/>
            <w:tcBorders>
              <w:top w:val="single" w:sz="4" w:space="0" w:color="ADD6EA"/>
              <w:left w:val="nil"/>
              <w:bottom w:val="single" w:sz="4" w:space="0" w:color="ADD6EA"/>
              <w:right w:val="nil"/>
            </w:tcBorders>
          </w:tcPr>
          <w:p w14:paraId="2EF7BDE9" w14:textId="77777777"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for improved recycling outcomes by addressing critical infrastructure and technology gaps in Australia’s waste management and resource recovery system.</w:t>
            </w:r>
          </w:p>
        </w:tc>
        <w:tc>
          <w:tcPr>
            <w:tcW w:w="1134" w:type="dxa"/>
            <w:tcBorders>
              <w:top w:val="single" w:sz="4" w:space="0" w:color="ADD6EA"/>
              <w:left w:val="nil"/>
              <w:bottom w:val="single" w:sz="4" w:space="0" w:color="ADD6EA"/>
              <w:right w:val="nil"/>
            </w:tcBorders>
            <w:noWrap/>
            <w:tcMar>
              <w:right w:w="85" w:type="dxa"/>
            </w:tcMar>
          </w:tcPr>
          <w:p w14:paraId="713D640A" w14:textId="5AA4AC0B" w:rsidR="006C2FC5" w:rsidRPr="00E06561" w:rsidRDefault="00BE36D5"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w:t>
            </w:r>
            <w:r w:rsidR="00FB58E0" w:rsidRPr="00E23345">
              <w:rPr>
                <w:rFonts w:ascii="Open Sans Light" w:eastAsia="Times New Roman" w:hAnsi="Open Sans Light" w:cs="Open Sans Light"/>
                <w:color w:val="000000"/>
                <w:sz w:val="16"/>
                <w:szCs w:val="16"/>
                <w:lang w:eastAsia="en-AU"/>
              </w:rPr>
              <w:t>3.7</w:t>
            </w:r>
          </w:p>
        </w:tc>
        <w:tc>
          <w:tcPr>
            <w:tcW w:w="1276" w:type="dxa"/>
            <w:tcBorders>
              <w:top w:val="single" w:sz="4" w:space="0" w:color="ADD6EA"/>
              <w:left w:val="nil"/>
              <w:bottom w:val="single" w:sz="4" w:space="0" w:color="ADD6EA"/>
              <w:right w:val="nil"/>
            </w:tcBorders>
            <w:noWrap/>
          </w:tcPr>
          <w:p w14:paraId="5B33D003"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6DBFF102" w14:textId="77777777"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Business development is a state function, and needs are assessed. </w:t>
            </w:r>
          </w:p>
        </w:tc>
      </w:tr>
      <w:tr w:rsidR="006C2FC5" w:rsidRPr="00C91117" w14:paraId="50B12381" w14:textId="77777777" w:rsidTr="00874F19">
        <w:trPr>
          <w:trHeight w:val="605"/>
        </w:trPr>
        <w:tc>
          <w:tcPr>
            <w:tcW w:w="2410" w:type="dxa"/>
            <w:tcBorders>
              <w:top w:val="single" w:sz="4" w:space="0" w:color="ADD6EA"/>
              <w:left w:val="nil"/>
              <w:bottom w:val="single" w:sz="4" w:space="0" w:color="ADD6EA"/>
              <w:right w:val="nil"/>
            </w:tcBorders>
          </w:tcPr>
          <w:p w14:paraId="14DD9497"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Reef 2050 Plan - Sustainable Fisheries</w:t>
            </w:r>
          </w:p>
        </w:tc>
        <w:tc>
          <w:tcPr>
            <w:tcW w:w="4394" w:type="dxa"/>
            <w:tcBorders>
              <w:top w:val="single" w:sz="4" w:space="0" w:color="ADD6EA"/>
              <w:left w:val="nil"/>
              <w:bottom w:val="single" w:sz="4" w:space="0" w:color="ADD6EA"/>
              <w:right w:val="nil"/>
            </w:tcBorders>
          </w:tcPr>
          <w:p w14:paraId="139A3269"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Funding to decrease risks to threatened and protected species and position reef fisheries at the forefront of best practice and sustainability.</w:t>
            </w:r>
          </w:p>
        </w:tc>
        <w:tc>
          <w:tcPr>
            <w:tcW w:w="1134" w:type="dxa"/>
            <w:tcBorders>
              <w:top w:val="single" w:sz="4" w:space="0" w:color="ADD6EA"/>
              <w:left w:val="nil"/>
              <w:bottom w:val="single" w:sz="4" w:space="0" w:color="ADD6EA"/>
              <w:right w:val="nil"/>
            </w:tcBorders>
            <w:noWrap/>
            <w:tcMar>
              <w:right w:w="85" w:type="dxa"/>
            </w:tcMar>
          </w:tcPr>
          <w:p w14:paraId="1D8C998C" w14:textId="0FAC7313" w:rsidR="006C2FC5" w:rsidRPr="00E06561" w:rsidRDefault="004D7DF5"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9.0</w:t>
            </w:r>
          </w:p>
        </w:tc>
        <w:tc>
          <w:tcPr>
            <w:tcW w:w="1276" w:type="dxa"/>
            <w:tcBorders>
              <w:top w:val="single" w:sz="4" w:space="0" w:color="ADD6EA"/>
              <w:left w:val="nil"/>
              <w:bottom w:val="single" w:sz="4" w:space="0" w:color="ADD6EA"/>
              <w:right w:val="nil"/>
            </w:tcBorders>
            <w:noWrap/>
          </w:tcPr>
          <w:p w14:paraId="35EB5A90"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20FE23D3" w14:textId="77777777"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Management of </w:t>
            </w:r>
            <w:r>
              <w:rPr>
                <w:rFonts w:ascii="Open Sans Light" w:hAnsi="Open Sans Light" w:cs="Open Sans Light"/>
                <w:color w:val="000000"/>
                <w:sz w:val="16"/>
                <w:szCs w:val="16"/>
              </w:rPr>
              <w:t>the fishing industry is a</w:t>
            </w:r>
            <w:r w:rsidRPr="00E06561">
              <w:rPr>
                <w:rFonts w:ascii="Open Sans Light" w:hAnsi="Open Sans Light" w:cs="Open Sans Light"/>
                <w:color w:val="000000"/>
                <w:sz w:val="16"/>
                <w:szCs w:val="16"/>
              </w:rPr>
              <w:t xml:space="preserve"> state service, and needs are assessed.</w:t>
            </w:r>
          </w:p>
        </w:tc>
      </w:tr>
      <w:tr w:rsidR="006C2FC5" w:rsidRPr="00C91117" w14:paraId="2B34F2D7" w14:textId="77777777" w:rsidTr="00874F19">
        <w:trPr>
          <w:trHeight w:val="545"/>
        </w:trPr>
        <w:tc>
          <w:tcPr>
            <w:tcW w:w="2410" w:type="dxa"/>
            <w:tcBorders>
              <w:top w:val="single" w:sz="4" w:space="0" w:color="ADD6EA"/>
              <w:left w:val="nil"/>
              <w:bottom w:val="single" w:sz="4" w:space="0" w:color="ADD6EA"/>
              <w:right w:val="nil"/>
            </w:tcBorders>
          </w:tcPr>
          <w:p w14:paraId="36ABDB23"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Water for the environment special account/ - Resilient Rivers Water Infrastructure Program</w:t>
            </w:r>
          </w:p>
        </w:tc>
        <w:tc>
          <w:tcPr>
            <w:tcW w:w="4394" w:type="dxa"/>
            <w:tcBorders>
              <w:top w:val="single" w:sz="4" w:space="0" w:color="ADD6EA"/>
              <w:left w:val="nil"/>
              <w:bottom w:val="single" w:sz="4" w:space="0" w:color="ADD6EA"/>
              <w:right w:val="nil"/>
            </w:tcBorders>
          </w:tcPr>
          <w:p w14:paraId="7A02AE4B" w14:textId="77777777"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for projects that contribute to enhancing the environmental outcomes of the Basin Plan. Includes improving the water efficiency of irrigation infrastructure, purchasing water for the environment and addressing detrimental impacts.</w:t>
            </w:r>
          </w:p>
        </w:tc>
        <w:tc>
          <w:tcPr>
            <w:tcW w:w="1134" w:type="dxa"/>
            <w:tcBorders>
              <w:top w:val="single" w:sz="4" w:space="0" w:color="ADD6EA"/>
              <w:left w:val="nil"/>
              <w:bottom w:val="single" w:sz="4" w:space="0" w:color="ADD6EA"/>
              <w:right w:val="nil"/>
            </w:tcBorders>
            <w:noWrap/>
            <w:tcMar>
              <w:right w:w="85" w:type="dxa"/>
            </w:tcMar>
          </w:tcPr>
          <w:p w14:paraId="53E5789E" w14:textId="10DD90E7" w:rsidR="006C2FC5" w:rsidRPr="00E06561" w:rsidRDefault="006525F2"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40.8</w:t>
            </w:r>
          </w:p>
        </w:tc>
        <w:tc>
          <w:tcPr>
            <w:tcW w:w="1276" w:type="dxa"/>
            <w:tcBorders>
              <w:top w:val="single" w:sz="4" w:space="0" w:color="ADD6EA"/>
              <w:left w:val="nil"/>
              <w:bottom w:val="single" w:sz="4" w:space="0" w:color="ADD6EA"/>
              <w:right w:val="nil"/>
            </w:tcBorders>
            <w:noWrap/>
          </w:tcPr>
          <w:p w14:paraId="25512B87"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No impact</w:t>
            </w:r>
          </w:p>
        </w:tc>
        <w:tc>
          <w:tcPr>
            <w:tcW w:w="4678" w:type="dxa"/>
            <w:tcBorders>
              <w:top w:val="single" w:sz="4" w:space="0" w:color="ADD6EA"/>
              <w:left w:val="nil"/>
              <w:bottom w:val="single" w:sz="4" w:space="0" w:color="ADD6EA"/>
              <w:right w:val="nil"/>
            </w:tcBorders>
            <w:noWrap/>
          </w:tcPr>
          <w:p w14:paraId="35FFA3A0" w14:textId="77777777"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Environmental protection is a state service, but needs are not assessed. </w:t>
            </w:r>
          </w:p>
        </w:tc>
      </w:tr>
      <w:tr w:rsidR="006C2FC5" w:rsidRPr="00C91117" w14:paraId="332318A2" w14:textId="77777777" w:rsidTr="00874F19">
        <w:trPr>
          <w:trHeight w:val="545"/>
        </w:trPr>
        <w:tc>
          <w:tcPr>
            <w:tcW w:w="2410" w:type="dxa"/>
            <w:tcBorders>
              <w:top w:val="single" w:sz="4" w:space="0" w:color="ADD6EA"/>
              <w:left w:val="nil"/>
              <w:bottom w:val="single" w:sz="4" w:space="0" w:color="ADD6EA"/>
              <w:right w:val="nil"/>
            </w:tcBorders>
          </w:tcPr>
          <w:p w14:paraId="2954E10C"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Boosting HPAI biosecurity responses capability</w:t>
            </w:r>
          </w:p>
        </w:tc>
        <w:tc>
          <w:tcPr>
            <w:tcW w:w="4394" w:type="dxa"/>
            <w:tcBorders>
              <w:top w:val="single" w:sz="4" w:space="0" w:color="ADD6EA"/>
              <w:left w:val="nil"/>
              <w:bottom w:val="single" w:sz="4" w:space="0" w:color="ADD6EA"/>
              <w:right w:val="nil"/>
            </w:tcBorders>
          </w:tcPr>
          <w:p w14:paraId="384A5304" w14:textId="2C53E3CE"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Financial contributions based on </w:t>
            </w:r>
            <w:r w:rsidR="008261BA">
              <w:rPr>
                <w:rFonts w:ascii="Open Sans Light" w:hAnsi="Open Sans Light" w:cs="Open Sans Light"/>
                <w:color w:val="000000"/>
                <w:sz w:val="16"/>
                <w:szCs w:val="16"/>
              </w:rPr>
              <w:t>s</w:t>
            </w:r>
            <w:r w:rsidRPr="00E06561">
              <w:rPr>
                <w:rFonts w:ascii="Open Sans Light" w:hAnsi="Open Sans Light" w:cs="Open Sans Light"/>
                <w:color w:val="000000"/>
                <w:sz w:val="16"/>
                <w:szCs w:val="16"/>
              </w:rPr>
              <w:t>tates</w:t>
            </w:r>
            <w:r w:rsidR="00F70DB5">
              <w:rPr>
                <w:rFonts w:ascii="Open Sans Light" w:hAnsi="Open Sans Light" w:cs="Open Sans Light"/>
                <w:color w:val="000000"/>
                <w:sz w:val="16"/>
                <w:szCs w:val="16"/>
              </w:rPr>
              <w:t>’</w:t>
            </w:r>
            <w:r w:rsidRPr="00E06561">
              <w:rPr>
                <w:rFonts w:ascii="Open Sans Light" w:hAnsi="Open Sans Light" w:cs="Open Sans Light"/>
                <w:color w:val="000000"/>
                <w:sz w:val="16"/>
                <w:szCs w:val="16"/>
              </w:rPr>
              <w:t xml:space="preserve"> co-investment to prepare for an incursion of high pathogenicity avian influenza (HPAI) through development of </w:t>
            </w:r>
            <w:r w:rsidR="00F70DB5">
              <w:rPr>
                <w:rFonts w:ascii="Open Sans Light" w:hAnsi="Open Sans Light" w:cs="Open Sans Light"/>
                <w:color w:val="000000"/>
                <w:sz w:val="16"/>
                <w:szCs w:val="16"/>
              </w:rPr>
              <w:t>s</w:t>
            </w:r>
            <w:r w:rsidRPr="00E06561">
              <w:rPr>
                <w:rFonts w:ascii="Open Sans Light" w:hAnsi="Open Sans Light" w:cs="Open Sans Light"/>
                <w:color w:val="000000"/>
                <w:sz w:val="16"/>
                <w:szCs w:val="16"/>
              </w:rPr>
              <w:t>tate response plans.</w:t>
            </w:r>
          </w:p>
        </w:tc>
        <w:tc>
          <w:tcPr>
            <w:tcW w:w="1134" w:type="dxa"/>
            <w:tcBorders>
              <w:top w:val="single" w:sz="4" w:space="0" w:color="ADD6EA"/>
              <w:left w:val="nil"/>
              <w:bottom w:val="single" w:sz="4" w:space="0" w:color="ADD6EA"/>
              <w:right w:val="nil"/>
            </w:tcBorders>
            <w:noWrap/>
            <w:tcMar>
              <w:right w:w="85" w:type="dxa"/>
            </w:tcMar>
          </w:tcPr>
          <w:p w14:paraId="165F8923" w14:textId="206D110B" w:rsidR="006C2FC5" w:rsidRPr="00E06561" w:rsidRDefault="00D752CF"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7.4</w:t>
            </w:r>
          </w:p>
        </w:tc>
        <w:tc>
          <w:tcPr>
            <w:tcW w:w="1276" w:type="dxa"/>
            <w:tcBorders>
              <w:top w:val="single" w:sz="4" w:space="0" w:color="ADD6EA"/>
              <w:left w:val="nil"/>
              <w:bottom w:val="single" w:sz="4" w:space="0" w:color="ADD6EA"/>
              <w:right w:val="nil"/>
            </w:tcBorders>
            <w:noWrap/>
          </w:tcPr>
          <w:p w14:paraId="6A1CBE88"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6BC657CC" w14:textId="06054478"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 xml:space="preserve">Internal </w:t>
            </w:r>
            <w:r w:rsidR="00F70DB5">
              <w:rPr>
                <w:rFonts w:ascii="Open Sans Light" w:hAnsi="Open Sans Light" w:cs="Open Sans Light"/>
                <w:color w:val="000000"/>
                <w:sz w:val="16"/>
                <w:szCs w:val="16"/>
              </w:rPr>
              <w:t>b</w:t>
            </w:r>
            <w:r w:rsidRPr="00E06561">
              <w:rPr>
                <w:rFonts w:ascii="Open Sans Light" w:hAnsi="Open Sans Light" w:cs="Open Sans Light"/>
                <w:color w:val="000000"/>
                <w:sz w:val="16"/>
                <w:szCs w:val="16"/>
              </w:rPr>
              <w:t>iosecurity monitoring is a state service, and needs are assessed.</w:t>
            </w:r>
          </w:p>
        </w:tc>
      </w:tr>
      <w:tr w:rsidR="006C2FC5" w:rsidRPr="00C91117" w14:paraId="0DF0F73A" w14:textId="77777777" w:rsidTr="00874F19">
        <w:trPr>
          <w:trHeight w:val="546"/>
        </w:trPr>
        <w:tc>
          <w:tcPr>
            <w:tcW w:w="2410" w:type="dxa"/>
            <w:tcBorders>
              <w:top w:val="single" w:sz="4" w:space="0" w:color="ADD6EA"/>
              <w:left w:val="nil"/>
              <w:bottom w:val="single" w:sz="4" w:space="0" w:color="ADD6EA"/>
              <w:right w:val="nil"/>
            </w:tcBorders>
          </w:tcPr>
          <w:p w14:paraId="6474CB80"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lastRenderedPageBreak/>
              <w:t>Critical Minerals National Productivity Initiative</w:t>
            </w:r>
          </w:p>
        </w:tc>
        <w:tc>
          <w:tcPr>
            <w:tcW w:w="4394" w:type="dxa"/>
            <w:tcBorders>
              <w:top w:val="single" w:sz="4" w:space="0" w:color="ADD6EA"/>
              <w:left w:val="nil"/>
              <w:bottom w:val="single" w:sz="4" w:space="0" w:color="ADD6EA"/>
              <w:right w:val="nil"/>
            </w:tcBorders>
          </w:tcPr>
          <w:p w14:paraId="6FAFE6BB"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Support for a detailed feasibility study for a common user minerals processing facility to enhance Australia’s capacity to process critical minerals and strategic materials.</w:t>
            </w:r>
          </w:p>
        </w:tc>
        <w:tc>
          <w:tcPr>
            <w:tcW w:w="1134" w:type="dxa"/>
            <w:tcBorders>
              <w:top w:val="single" w:sz="4" w:space="0" w:color="ADD6EA"/>
              <w:left w:val="nil"/>
              <w:bottom w:val="single" w:sz="4" w:space="0" w:color="ADD6EA"/>
              <w:right w:val="nil"/>
            </w:tcBorders>
            <w:noWrap/>
            <w:tcMar>
              <w:right w:w="85" w:type="dxa"/>
            </w:tcMar>
          </w:tcPr>
          <w:p w14:paraId="4A339017" w14:textId="3F4DB669" w:rsidR="006C2FC5" w:rsidRPr="00E06561" w:rsidRDefault="004F2E59"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0.2</w:t>
            </w:r>
          </w:p>
        </w:tc>
        <w:tc>
          <w:tcPr>
            <w:tcW w:w="1276" w:type="dxa"/>
            <w:tcBorders>
              <w:top w:val="single" w:sz="4" w:space="0" w:color="ADD6EA"/>
              <w:left w:val="nil"/>
              <w:bottom w:val="single" w:sz="4" w:space="0" w:color="ADD6EA"/>
              <w:right w:val="nil"/>
            </w:tcBorders>
            <w:noWrap/>
          </w:tcPr>
          <w:p w14:paraId="372B9B72"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1EF73D22" w14:textId="77777777" w:rsidR="006C2FC5" w:rsidRPr="00E06561"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E06561">
              <w:rPr>
                <w:rFonts w:ascii="Open Sans Light" w:hAnsi="Open Sans Light" w:cs="Open Sans Light"/>
                <w:color w:val="000000"/>
                <w:sz w:val="16"/>
                <w:szCs w:val="16"/>
              </w:rPr>
              <w:t>Business development is a state function, and needs are assessed.</w:t>
            </w:r>
          </w:p>
        </w:tc>
      </w:tr>
      <w:tr w:rsidR="006C2FC5" w:rsidRPr="00C91117" w14:paraId="20D823DB" w14:textId="77777777" w:rsidTr="00874F19">
        <w:trPr>
          <w:trHeight w:val="546"/>
        </w:trPr>
        <w:tc>
          <w:tcPr>
            <w:tcW w:w="2410" w:type="dxa"/>
            <w:tcBorders>
              <w:top w:val="single" w:sz="4" w:space="0" w:color="ADD6EA"/>
              <w:left w:val="nil"/>
              <w:bottom w:val="single" w:sz="4" w:space="0" w:color="ADD6EA"/>
              <w:right w:val="nil"/>
            </w:tcBorders>
          </w:tcPr>
          <w:p w14:paraId="7049368C"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Implementation of the live sheep exports by sea phase out</w:t>
            </w:r>
          </w:p>
        </w:tc>
        <w:tc>
          <w:tcPr>
            <w:tcW w:w="4394" w:type="dxa"/>
            <w:tcBorders>
              <w:top w:val="single" w:sz="4" w:space="0" w:color="ADD6EA"/>
              <w:left w:val="nil"/>
              <w:bottom w:val="single" w:sz="4" w:space="0" w:color="ADD6EA"/>
              <w:right w:val="nil"/>
            </w:tcBorders>
          </w:tcPr>
          <w:p w14:paraId="43BE87D4" w14:textId="2871B1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Support to implement the Commonwealth's Phase Out of Live Sheep Exports by Sea</w:t>
            </w:r>
            <w:r w:rsidR="00663CA3">
              <w:rPr>
                <w:rFonts w:ascii="Open Sans Light" w:eastAsia="Times New Roman" w:hAnsi="Open Sans Light" w:cs="Open Sans Light"/>
                <w:color w:val="000000"/>
                <w:sz w:val="16"/>
                <w:szCs w:val="16"/>
                <w:lang w:eastAsia="en-AU"/>
              </w:rPr>
              <w:t xml:space="preserve"> </w:t>
            </w:r>
            <w:r w:rsidRPr="00E06561">
              <w:rPr>
                <w:rFonts w:ascii="Open Sans Light" w:eastAsia="Times New Roman" w:hAnsi="Open Sans Light" w:cs="Open Sans Light"/>
                <w:color w:val="000000"/>
                <w:sz w:val="16"/>
                <w:szCs w:val="16"/>
                <w:lang w:eastAsia="en-AU"/>
              </w:rPr>
              <w:t>transition assistance in Western Australia.</w:t>
            </w:r>
          </w:p>
        </w:tc>
        <w:tc>
          <w:tcPr>
            <w:tcW w:w="1134" w:type="dxa"/>
            <w:tcBorders>
              <w:top w:val="single" w:sz="4" w:space="0" w:color="ADD6EA"/>
              <w:left w:val="nil"/>
              <w:bottom w:val="single" w:sz="4" w:space="0" w:color="ADD6EA"/>
              <w:right w:val="nil"/>
            </w:tcBorders>
            <w:noWrap/>
            <w:tcMar>
              <w:right w:w="85" w:type="dxa"/>
            </w:tcMar>
          </w:tcPr>
          <w:p w14:paraId="7F6DAA4D" w14:textId="3F36B435" w:rsidR="006C2FC5" w:rsidRPr="00E06561" w:rsidRDefault="0073352C"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1.0</w:t>
            </w:r>
          </w:p>
        </w:tc>
        <w:tc>
          <w:tcPr>
            <w:tcW w:w="1276" w:type="dxa"/>
            <w:tcBorders>
              <w:top w:val="single" w:sz="4" w:space="0" w:color="ADD6EA"/>
              <w:left w:val="nil"/>
              <w:bottom w:val="single" w:sz="4" w:space="0" w:color="ADD6EA"/>
              <w:right w:val="nil"/>
            </w:tcBorders>
            <w:noWrap/>
          </w:tcPr>
          <w:p w14:paraId="2D2B4775"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Impact</w:t>
            </w:r>
          </w:p>
          <w:p w14:paraId="7061142A"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p>
        </w:tc>
        <w:tc>
          <w:tcPr>
            <w:tcW w:w="4678" w:type="dxa"/>
            <w:tcBorders>
              <w:top w:val="single" w:sz="4" w:space="0" w:color="ADD6EA"/>
              <w:left w:val="nil"/>
              <w:bottom w:val="single" w:sz="4" w:space="0" w:color="ADD6EA"/>
              <w:right w:val="nil"/>
            </w:tcBorders>
            <w:noWrap/>
          </w:tcPr>
          <w:p w14:paraId="574F8618"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Business development is a state function, and needs are assessed.</w:t>
            </w:r>
          </w:p>
        </w:tc>
      </w:tr>
      <w:tr w:rsidR="006C2FC5" w:rsidRPr="00C91117" w14:paraId="01414CE2" w14:textId="77777777" w:rsidTr="00874F19">
        <w:trPr>
          <w:trHeight w:val="807"/>
        </w:trPr>
        <w:tc>
          <w:tcPr>
            <w:tcW w:w="2410" w:type="dxa"/>
            <w:tcBorders>
              <w:top w:val="single" w:sz="4" w:space="0" w:color="ADD6EA"/>
              <w:left w:val="nil"/>
              <w:bottom w:val="single" w:sz="4" w:space="0" w:color="ADD6EA"/>
              <w:right w:val="nil"/>
            </w:tcBorders>
          </w:tcPr>
          <w:p w14:paraId="1EE459EF" w14:textId="15A01037" w:rsidR="006C2FC5" w:rsidRPr="00E06561" w:rsidRDefault="006C2FC5" w:rsidP="00874F19">
            <w:pPr>
              <w:spacing w:line="240" w:lineRule="auto"/>
              <w:rPr>
                <w:rFonts w:ascii="Open Sans Light" w:hAnsi="Open Sans Light" w:cs="Open Sans Light"/>
                <w:sz w:val="16"/>
                <w:szCs w:val="16"/>
              </w:rPr>
            </w:pPr>
            <w:r w:rsidRPr="00E06561">
              <w:rPr>
                <w:rFonts w:ascii="Open Sans Light" w:hAnsi="Open Sans Light" w:cs="Open Sans Light"/>
                <w:color w:val="000000"/>
                <w:sz w:val="16"/>
                <w:szCs w:val="16"/>
              </w:rPr>
              <w:t>Investing in Australia's First</w:t>
            </w:r>
            <w:r w:rsidR="005E6678">
              <w:rPr>
                <w:rFonts w:ascii="Open Sans Light" w:hAnsi="Open Sans Light" w:cs="Open Sans Light"/>
                <w:color w:val="000000"/>
                <w:sz w:val="16"/>
                <w:szCs w:val="16"/>
              </w:rPr>
              <w:t> </w:t>
            </w:r>
            <w:r w:rsidRPr="00E06561">
              <w:rPr>
                <w:rFonts w:ascii="Open Sans Light" w:hAnsi="Open Sans Light" w:cs="Open Sans Light"/>
                <w:color w:val="000000"/>
                <w:sz w:val="16"/>
                <w:szCs w:val="16"/>
              </w:rPr>
              <w:t>Nations Culture and World Heritage</w:t>
            </w:r>
          </w:p>
        </w:tc>
        <w:tc>
          <w:tcPr>
            <w:tcW w:w="4394" w:type="dxa"/>
            <w:tcBorders>
              <w:top w:val="single" w:sz="4" w:space="0" w:color="ADD6EA"/>
              <w:left w:val="nil"/>
              <w:bottom w:val="single" w:sz="4" w:space="0" w:color="ADD6EA"/>
              <w:right w:val="nil"/>
            </w:tcBorders>
          </w:tcPr>
          <w:p w14:paraId="395AE357" w14:textId="77777777" w:rsidR="006C2FC5" w:rsidRPr="00E06561" w:rsidRDefault="006C2FC5" w:rsidP="00874F19">
            <w:pPr>
              <w:rPr>
                <w:rFonts w:ascii="Open Sans Light" w:hAnsi="Open Sans Light" w:cs="Open Sans Light"/>
                <w:sz w:val="16"/>
                <w:szCs w:val="16"/>
              </w:rPr>
            </w:pPr>
            <w:r w:rsidRPr="00E06561">
              <w:rPr>
                <w:rFonts w:ascii="Open Sans Light" w:hAnsi="Open Sans Light" w:cs="Open Sans Light"/>
                <w:color w:val="000000"/>
                <w:sz w:val="16"/>
                <w:szCs w:val="16"/>
              </w:rPr>
              <w:t>Support towards the potential World Heritage listing of Parramatta Female Factory, Trades Hall transnational listing and Flinders Ranges.</w:t>
            </w:r>
          </w:p>
        </w:tc>
        <w:tc>
          <w:tcPr>
            <w:tcW w:w="1134" w:type="dxa"/>
            <w:tcBorders>
              <w:top w:val="single" w:sz="4" w:space="0" w:color="ADD6EA"/>
              <w:left w:val="nil"/>
              <w:bottom w:val="single" w:sz="4" w:space="0" w:color="ADD6EA"/>
              <w:right w:val="nil"/>
            </w:tcBorders>
            <w:noWrap/>
            <w:tcMar>
              <w:right w:w="85" w:type="dxa"/>
            </w:tcMar>
          </w:tcPr>
          <w:p w14:paraId="6ED05F50" w14:textId="209B0AD8" w:rsidR="006C2FC5" w:rsidRPr="00E06561" w:rsidRDefault="00F63F36" w:rsidP="00874F19">
            <w:pPr>
              <w:spacing w:line="240" w:lineRule="auto"/>
              <w:ind w:right="227"/>
              <w:jc w:val="right"/>
              <w:rPr>
                <w:rFonts w:ascii="Open Sans Light" w:hAnsi="Open Sans Light" w:cs="Open Sans Light"/>
                <w:color w:val="000000"/>
                <w:sz w:val="16"/>
                <w:szCs w:val="16"/>
              </w:rPr>
            </w:pPr>
            <w:r w:rsidRPr="00E23345">
              <w:rPr>
                <w:rFonts w:ascii="Open Sans Light" w:hAnsi="Open Sans Light" w:cs="Open Sans Light"/>
                <w:color w:val="000000"/>
                <w:sz w:val="16"/>
                <w:szCs w:val="16"/>
              </w:rPr>
              <w:t>0.1</w:t>
            </w:r>
          </w:p>
        </w:tc>
        <w:tc>
          <w:tcPr>
            <w:tcW w:w="1276" w:type="dxa"/>
            <w:tcBorders>
              <w:top w:val="single" w:sz="4" w:space="0" w:color="ADD6EA"/>
              <w:left w:val="nil"/>
              <w:bottom w:val="single" w:sz="4" w:space="0" w:color="ADD6EA"/>
              <w:right w:val="nil"/>
            </w:tcBorders>
            <w:noWrap/>
          </w:tcPr>
          <w:p w14:paraId="4AE570AE"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5F209D59" w14:textId="7E347192"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Needs are assessed for deliberative EPC assessment for service expenses</w:t>
            </w:r>
            <w:r w:rsidR="006B65D0">
              <w:rPr>
                <w:rFonts w:ascii="Open Sans Light" w:hAnsi="Open Sans Light" w:cs="Open Sans Light"/>
                <w:color w:val="000000"/>
                <w:sz w:val="16"/>
                <w:szCs w:val="16"/>
              </w:rPr>
              <w:t>.</w:t>
            </w:r>
            <w:r w:rsidRPr="00E06561">
              <w:rPr>
                <w:rFonts w:ascii="Open Sans Light" w:hAnsi="Open Sans Light" w:cs="Open Sans Light"/>
                <w:color w:val="000000"/>
                <w:sz w:val="16"/>
                <w:szCs w:val="16"/>
              </w:rPr>
              <w:t xml:space="preserve"> </w:t>
            </w:r>
          </w:p>
        </w:tc>
      </w:tr>
      <w:tr w:rsidR="006C2FC5" w:rsidRPr="00C91117" w14:paraId="148010C8" w14:textId="77777777" w:rsidTr="00874F19">
        <w:trPr>
          <w:trHeight w:val="765"/>
        </w:trPr>
        <w:tc>
          <w:tcPr>
            <w:tcW w:w="2410" w:type="dxa"/>
            <w:tcBorders>
              <w:top w:val="single" w:sz="4" w:space="0" w:color="ADD6EA"/>
              <w:left w:val="nil"/>
              <w:bottom w:val="single" w:sz="4" w:space="0" w:color="ADD6EA"/>
              <w:right w:val="nil"/>
            </w:tcBorders>
          </w:tcPr>
          <w:p w14:paraId="4A29D03F" w14:textId="77777777" w:rsidR="006C2FC5" w:rsidRPr="00E06561" w:rsidRDefault="006C2FC5" w:rsidP="00874F19">
            <w:pPr>
              <w:spacing w:line="240" w:lineRule="auto"/>
              <w:rPr>
                <w:rFonts w:ascii="Open Sans Light" w:hAnsi="Open Sans Light" w:cs="Open Sans Light"/>
                <w:sz w:val="16"/>
                <w:szCs w:val="16"/>
              </w:rPr>
            </w:pPr>
            <w:r w:rsidRPr="00E06561">
              <w:rPr>
                <w:rFonts w:ascii="Open Sans Light" w:hAnsi="Open Sans Light" w:cs="Open Sans Light"/>
                <w:color w:val="000000"/>
                <w:sz w:val="16"/>
                <w:szCs w:val="16"/>
              </w:rPr>
              <w:t>Partnering to Implement the National Soil Action Plan</w:t>
            </w:r>
          </w:p>
        </w:tc>
        <w:tc>
          <w:tcPr>
            <w:tcW w:w="4394" w:type="dxa"/>
            <w:tcBorders>
              <w:top w:val="single" w:sz="4" w:space="0" w:color="ADD6EA"/>
              <w:left w:val="nil"/>
              <w:bottom w:val="single" w:sz="4" w:space="0" w:color="ADD6EA"/>
              <w:right w:val="nil"/>
            </w:tcBorders>
          </w:tcPr>
          <w:p w14:paraId="4126EA9C" w14:textId="77777777"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to deliver on-ground activities that help advance the protection and improvement of Australia’s soil health.</w:t>
            </w:r>
          </w:p>
        </w:tc>
        <w:tc>
          <w:tcPr>
            <w:tcW w:w="1134" w:type="dxa"/>
            <w:tcBorders>
              <w:top w:val="single" w:sz="4" w:space="0" w:color="ADD6EA"/>
              <w:left w:val="nil"/>
              <w:bottom w:val="single" w:sz="4" w:space="0" w:color="ADD6EA"/>
              <w:right w:val="nil"/>
            </w:tcBorders>
            <w:noWrap/>
            <w:tcMar>
              <w:right w:w="85" w:type="dxa"/>
            </w:tcMar>
          </w:tcPr>
          <w:p w14:paraId="0D0347D4" w14:textId="7C1EA898" w:rsidR="006C2FC5" w:rsidRPr="00E06561" w:rsidRDefault="00880160" w:rsidP="00874F19">
            <w:pPr>
              <w:spacing w:line="240" w:lineRule="auto"/>
              <w:ind w:right="227"/>
              <w:jc w:val="right"/>
              <w:rPr>
                <w:rFonts w:ascii="Open Sans Light" w:hAnsi="Open Sans Light" w:cs="Open Sans Light"/>
                <w:color w:val="000000"/>
                <w:sz w:val="16"/>
                <w:szCs w:val="16"/>
              </w:rPr>
            </w:pPr>
            <w:r w:rsidRPr="00E23345">
              <w:rPr>
                <w:rFonts w:ascii="Open Sans Light" w:hAnsi="Open Sans Light" w:cs="Open Sans Light"/>
                <w:color w:val="000000"/>
                <w:sz w:val="16"/>
                <w:szCs w:val="16"/>
              </w:rPr>
              <w:t>7.1</w:t>
            </w:r>
          </w:p>
        </w:tc>
        <w:tc>
          <w:tcPr>
            <w:tcW w:w="1276" w:type="dxa"/>
            <w:tcBorders>
              <w:top w:val="single" w:sz="4" w:space="0" w:color="ADD6EA"/>
              <w:left w:val="nil"/>
              <w:bottom w:val="single" w:sz="4" w:space="0" w:color="ADD6EA"/>
              <w:right w:val="nil"/>
            </w:tcBorders>
            <w:noWrap/>
          </w:tcPr>
          <w:p w14:paraId="51E74BBC"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31513C38"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Business development is a state function, and needs are assessed.</w:t>
            </w:r>
          </w:p>
        </w:tc>
      </w:tr>
      <w:tr w:rsidR="006C2FC5" w:rsidRPr="00C91117" w14:paraId="65C23F41" w14:textId="77777777" w:rsidTr="00874F19">
        <w:trPr>
          <w:trHeight w:val="523"/>
        </w:trPr>
        <w:tc>
          <w:tcPr>
            <w:tcW w:w="2410" w:type="dxa"/>
            <w:tcBorders>
              <w:top w:val="single" w:sz="4" w:space="0" w:color="ADD6EA"/>
              <w:left w:val="nil"/>
              <w:bottom w:val="single" w:sz="4" w:space="0" w:color="ADD6EA"/>
              <w:right w:val="nil"/>
            </w:tcBorders>
          </w:tcPr>
          <w:p w14:paraId="1010735E"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Restoring the upper Murrumbidgee River program</w:t>
            </w:r>
          </w:p>
        </w:tc>
        <w:tc>
          <w:tcPr>
            <w:tcW w:w="4394" w:type="dxa"/>
            <w:tcBorders>
              <w:top w:val="single" w:sz="4" w:space="0" w:color="ADD6EA"/>
              <w:left w:val="nil"/>
              <w:bottom w:val="single" w:sz="4" w:space="0" w:color="ADD6EA"/>
              <w:right w:val="nil"/>
            </w:tcBorders>
            <w:vAlign w:val="bottom"/>
          </w:tcPr>
          <w:p w14:paraId="6226A527" w14:textId="77777777"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to improve the health of the upper Murrumbidgee River. This includes projects that will address the decline in river health, and science and monitoring activities.</w:t>
            </w:r>
          </w:p>
        </w:tc>
        <w:tc>
          <w:tcPr>
            <w:tcW w:w="1134" w:type="dxa"/>
            <w:tcBorders>
              <w:top w:val="single" w:sz="4" w:space="0" w:color="ADD6EA"/>
              <w:left w:val="nil"/>
              <w:bottom w:val="single" w:sz="4" w:space="0" w:color="ADD6EA"/>
              <w:right w:val="nil"/>
            </w:tcBorders>
            <w:noWrap/>
            <w:tcMar>
              <w:right w:w="85" w:type="dxa"/>
            </w:tcMar>
          </w:tcPr>
          <w:p w14:paraId="7F9AB85C" w14:textId="5F58D982" w:rsidR="006C2FC5" w:rsidRPr="00E06561" w:rsidRDefault="002B5064"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5.0</w:t>
            </w:r>
          </w:p>
        </w:tc>
        <w:tc>
          <w:tcPr>
            <w:tcW w:w="1276" w:type="dxa"/>
            <w:tcBorders>
              <w:top w:val="single" w:sz="4" w:space="0" w:color="ADD6EA"/>
              <w:left w:val="nil"/>
              <w:bottom w:val="single" w:sz="4" w:space="0" w:color="ADD6EA"/>
              <w:right w:val="nil"/>
            </w:tcBorders>
            <w:noWrap/>
          </w:tcPr>
          <w:p w14:paraId="6D9F908A" w14:textId="77777777"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No impact</w:t>
            </w:r>
          </w:p>
          <w:p w14:paraId="1D78E65C"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p>
        </w:tc>
        <w:tc>
          <w:tcPr>
            <w:tcW w:w="4678" w:type="dxa"/>
            <w:tcBorders>
              <w:top w:val="single" w:sz="4" w:space="0" w:color="ADD6EA"/>
              <w:left w:val="nil"/>
              <w:bottom w:val="single" w:sz="4" w:space="0" w:color="ADD6EA"/>
              <w:right w:val="nil"/>
            </w:tcBorders>
            <w:noWrap/>
          </w:tcPr>
          <w:p w14:paraId="422A2460"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Environmental protection is a state service, but needs are not assessed.</w:t>
            </w:r>
          </w:p>
        </w:tc>
      </w:tr>
      <w:tr w:rsidR="006C2FC5" w:rsidRPr="00C91117" w14:paraId="784BB836" w14:textId="77777777" w:rsidTr="00874F19">
        <w:trPr>
          <w:trHeight w:val="765"/>
        </w:trPr>
        <w:tc>
          <w:tcPr>
            <w:tcW w:w="2410" w:type="dxa"/>
            <w:tcBorders>
              <w:top w:val="single" w:sz="4" w:space="0" w:color="ADD6EA"/>
              <w:left w:val="nil"/>
              <w:bottom w:val="single" w:sz="4" w:space="0" w:color="ADD6EA"/>
              <w:right w:val="nil"/>
            </w:tcBorders>
          </w:tcPr>
          <w:p w14:paraId="0307C236" w14:textId="576C48FC"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eastAsia="Times New Roman" w:hAnsi="Open Sans Light" w:cs="Open Sans Light"/>
                <w:color w:val="000000"/>
                <w:sz w:val="16"/>
                <w:szCs w:val="16"/>
                <w:lang w:eastAsia="en-AU"/>
              </w:rPr>
              <w:t>Water for the environment special account - Sustainable Communities Program</w:t>
            </w:r>
          </w:p>
        </w:tc>
        <w:tc>
          <w:tcPr>
            <w:tcW w:w="4394" w:type="dxa"/>
            <w:tcBorders>
              <w:top w:val="single" w:sz="4" w:space="0" w:color="ADD6EA"/>
              <w:left w:val="nil"/>
              <w:bottom w:val="single" w:sz="4" w:space="0" w:color="ADD6EA"/>
              <w:right w:val="nil"/>
            </w:tcBorders>
            <w:vAlign w:val="bottom"/>
          </w:tcPr>
          <w:p w14:paraId="5BB23282" w14:textId="77777777" w:rsidR="006C2FC5" w:rsidRPr="00E06561" w:rsidRDefault="006C2FC5" w:rsidP="00874F19">
            <w:pPr>
              <w:spacing w:line="240" w:lineRule="auto"/>
              <w:rPr>
                <w:rFonts w:ascii="Open Sans Light" w:hAnsi="Open Sans Light" w:cs="Open Sans Light"/>
                <w:color w:val="000000"/>
                <w:sz w:val="16"/>
                <w:szCs w:val="16"/>
              </w:rPr>
            </w:pPr>
            <w:r w:rsidRPr="00E06561">
              <w:rPr>
                <w:rFonts w:ascii="Open Sans Light" w:hAnsi="Open Sans Light" w:cs="Open Sans Light"/>
                <w:color w:val="000000"/>
                <w:sz w:val="16"/>
                <w:szCs w:val="16"/>
              </w:rPr>
              <w:t>Funding for community adjustment assistance to minimise socio-economic impacts of water purchase towards the Murray–Darling Basin Plan recovery target of 450 gigalitres per year of additional environmental water.</w:t>
            </w:r>
          </w:p>
        </w:tc>
        <w:tc>
          <w:tcPr>
            <w:tcW w:w="1134" w:type="dxa"/>
            <w:tcBorders>
              <w:top w:val="single" w:sz="4" w:space="0" w:color="ADD6EA"/>
              <w:left w:val="nil"/>
              <w:bottom w:val="single" w:sz="4" w:space="0" w:color="ADD6EA"/>
              <w:right w:val="nil"/>
            </w:tcBorders>
            <w:noWrap/>
            <w:tcMar>
              <w:right w:w="85" w:type="dxa"/>
            </w:tcMar>
          </w:tcPr>
          <w:p w14:paraId="5E489B77" w14:textId="7948102A" w:rsidR="006C2FC5" w:rsidRPr="00E06561" w:rsidRDefault="006977C3"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9.1</w:t>
            </w:r>
          </w:p>
        </w:tc>
        <w:tc>
          <w:tcPr>
            <w:tcW w:w="1276" w:type="dxa"/>
            <w:tcBorders>
              <w:top w:val="single" w:sz="4" w:space="0" w:color="ADD6EA"/>
              <w:left w:val="nil"/>
              <w:bottom w:val="single" w:sz="4" w:space="0" w:color="ADD6EA"/>
              <w:right w:val="nil"/>
            </w:tcBorders>
            <w:noWrap/>
          </w:tcPr>
          <w:p w14:paraId="228106D7" w14:textId="77777777"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4AF01B14" w14:textId="27E69B65" w:rsidR="006C2FC5" w:rsidRPr="00E06561"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 xml:space="preserve">This payment is primarily to support basin communities. Community development and planning is a state function, and needs are assessed. </w:t>
            </w:r>
          </w:p>
        </w:tc>
      </w:tr>
      <w:tr w:rsidR="006C2FC5" w:rsidRPr="00C91117" w14:paraId="349F67A4" w14:textId="77777777" w:rsidTr="00874F19">
        <w:trPr>
          <w:trHeight w:val="284"/>
        </w:trPr>
        <w:tc>
          <w:tcPr>
            <w:tcW w:w="13892" w:type="dxa"/>
            <w:gridSpan w:val="5"/>
            <w:tcBorders>
              <w:top w:val="single" w:sz="4" w:space="0" w:color="ADD6EA"/>
              <w:left w:val="nil"/>
              <w:bottom w:val="single" w:sz="4" w:space="0" w:color="ADD6EA"/>
              <w:right w:val="nil"/>
            </w:tcBorders>
            <w:shd w:val="clear" w:color="auto" w:fill="B6D5E4"/>
            <w:tcMar>
              <w:right w:w="85" w:type="dxa"/>
            </w:tcMar>
          </w:tcPr>
          <w:p w14:paraId="0BE6E9AE" w14:textId="77777777" w:rsidR="006C2FC5" w:rsidRPr="006220C1" w:rsidRDefault="006C2FC5" w:rsidP="00874F19">
            <w:pPr>
              <w:spacing w:line="240" w:lineRule="auto"/>
              <w:ind w:right="227"/>
              <w:rPr>
                <w:rFonts w:ascii="Open Sans Semibold" w:eastAsia="Times New Roman" w:hAnsi="Open Sans Semibold" w:cs="Open Sans Semibold"/>
                <w:color w:val="000000"/>
                <w:sz w:val="16"/>
                <w:szCs w:val="16"/>
                <w:lang w:eastAsia="en-AU"/>
              </w:rPr>
            </w:pPr>
            <w:r w:rsidRPr="006220C1">
              <w:rPr>
                <w:rFonts w:ascii="Open Sans Semibold" w:eastAsia="Times New Roman" w:hAnsi="Open Sans Semibold" w:cs="Open Sans Semibold"/>
                <w:color w:val="000000"/>
                <w:sz w:val="16"/>
                <w:szCs w:val="16"/>
                <w:lang w:eastAsia="en-AU"/>
              </w:rPr>
              <w:t>Other purposes</w:t>
            </w:r>
          </w:p>
        </w:tc>
      </w:tr>
      <w:tr w:rsidR="006C2FC5" w:rsidRPr="006F208E" w14:paraId="12F30418" w14:textId="77777777" w:rsidTr="00874F19">
        <w:trPr>
          <w:trHeight w:val="524"/>
        </w:trPr>
        <w:tc>
          <w:tcPr>
            <w:tcW w:w="2410" w:type="dxa"/>
            <w:tcBorders>
              <w:top w:val="single" w:sz="4" w:space="0" w:color="ADD6EA"/>
              <w:left w:val="nil"/>
              <w:bottom w:val="single" w:sz="4" w:space="0" w:color="ADD6EA"/>
              <w:right w:val="nil"/>
            </w:tcBorders>
          </w:tcPr>
          <w:p w14:paraId="6257D797" w14:textId="77777777" w:rsidR="006C2FC5" w:rsidRPr="00882EAC" w:rsidRDefault="006C2FC5" w:rsidP="00874F19">
            <w:pPr>
              <w:spacing w:line="240" w:lineRule="auto"/>
              <w:rPr>
                <w:rFonts w:ascii="Open Sans Light" w:eastAsia="Times New Roman" w:hAnsi="Open Sans Light" w:cs="Open Sans Light"/>
                <w:color w:val="000000" w:themeColor="text1"/>
                <w:sz w:val="16"/>
                <w:szCs w:val="16"/>
                <w:lang w:eastAsia="en-AU"/>
              </w:rPr>
            </w:pPr>
            <w:r w:rsidRPr="00882EAC">
              <w:rPr>
                <w:rFonts w:ascii="Open Sans Light" w:hAnsi="Open Sans Light" w:cs="Open Sans Light"/>
                <w:color w:val="000000"/>
                <w:sz w:val="16"/>
                <w:szCs w:val="16"/>
              </w:rPr>
              <w:t>Indigenous tourism fund</w:t>
            </w:r>
          </w:p>
        </w:tc>
        <w:tc>
          <w:tcPr>
            <w:tcW w:w="4394" w:type="dxa"/>
            <w:tcBorders>
              <w:top w:val="single" w:sz="4" w:space="0" w:color="ADD6EA"/>
              <w:left w:val="nil"/>
              <w:bottom w:val="single" w:sz="4" w:space="0" w:color="ADD6EA"/>
              <w:right w:val="nil"/>
            </w:tcBorders>
          </w:tcPr>
          <w:p w14:paraId="5EF6B3F7" w14:textId="7CF98C12" w:rsidR="006C2FC5" w:rsidRPr="00882EAC" w:rsidRDefault="006C2FC5" w:rsidP="00874F19">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 xml:space="preserve">Funding to co-invest with the </w:t>
            </w:r>
            <w:r w:rsidR="00F64AC6">
              <w:rPr>
                <w:rFonts w:ascii="Open Sans Light" w:hAnsi="Open Sans Light" w:cs="Open Sans Light"/>
                <w:color w:val="000000"/>
                <w:sz w:val="16"/>
                <w:szCs w:val="16"/>
              </w:rPr>
              <w:t>s</w:t>
            </w:r>
            <w:r w:rsidRPr="00882EAC">
              <w:rPr>
                <w:rFonts w:ascii="Open Sans Light" w:hAnsi="Open Sans Light" w:cs="Open Sans Light"/>
                <w:color w:val="000000"/>
                <w:sz w:val="16"/>
                <w:szCs w:val="16"/>
              </w:rPr>
              <w:t>tates on strategic projects that increase the supply of Indigenous tourism experiences and/or create supply chain opportunities for Indigenous tourism businesses.</w:t>
            </w:r>
          </w:p>
        </w:tc>
        <w:tc>
          <w:tcPr>
            <w:tcW w:w="1134" w:type="dxa"/>
            <w:tcBorders>
              <w:top w:val="single" w:sz="4" w:space="0" w:color="ADD6EA"/>
              <w:left w:val="nil"/>
              <w:bottom w:val="single" w:sz="4" w:space="0" w:color="ADD6EA"/>
              <w:right w:val="nil"/>
            </w:tcBorders>
            <w:noWrap/>
            <w:tcMar>
              <w:right w:w="85" w:type="dxa"/>
            </w:tcMar>
          </w:tcPr>
          <w:p w14:paraId="3962EB17" w14:textId="244F75BF" w:rsidR="006C2FC5" w:rsidRPr="00882EAC" w:rsidRDefault="003D228E"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5.8</w:t>
            </w:r>
          </w:p>
        </w:tc>
        <w:tc>
          <w:tcPr>
            <w:tcW w:w="1276" w:type="dxa"/>
            <w:tcBorders>
              <w:top w:val="nil"/>
              <w:left w:val="nil"/>
              <w:bottom w:val="single" w:sz="4" w:space="0" w:color="ADD6EA"/>
              <w:right w:val="nil"/>
            </w:tcBorders>
            <w:noWrap/>
          </w:tcPr>
          <w:p w14:paraId="22E19B76" w14:textId="77777777" w:rsidR="006C2FC5" w:rsidRPr="00882EAC" w:rsidRDefault="006C2FC5" w:rsidP="00874F19">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Impact</w:t>
            </w:r>
          </w:p>
        </w:tc>
        <w:tc>
          <w:tcPr>
            <w:tcW w:w="4678" w:type="dxa"/>
            <w:tcBorders>
              <w:top w:val="nil"/>
              <w:left w:val="nil"/>
              <w:bottom w:val="single" w:sz="4" w:space="0" w:color="ADD6EA"/>
              <w:right w:val="nil"/>
            </w:tcBorders>
            <w:noWrap/>
          </w:tcPr>
          <w:p w14:paraId="4415C9FF" w14:textId="77777777" w:rsidR="006C2FC5" w:rsidRPr="00882EAC" w:rsidRDefault="006C2FC5" w:rsidP="00874F19">
            <w:pPr>
              <w:spacing w:line="240" w:lineRule="auto"/>
              <w:rPr>
                <w:rFonts w:ascii="Open Sans Light" w:eastAsia="Times New Roman" w:hAnsi="Open Sans Light" w:cs="Open Sans Light"/>
                <w:color w:val="000000"/>
                <w:sz w:val="16"/>
                <w:szCs w:val="16"/>
                <w:lang w:eastAsia="en-AU"/>
              </w:rPr>
            </w:pPr>
            <w:r w:rsidRPr="00E06561">
              <w:rPr>
                <w:rFonts w:ascii="Open Sans Light" w:hAnsi="Open Sans Light" w:cs="Open Sans Light"/>
                <w:color w:val="000000"/>
                <w:sz w:val="16"/>
                <w:szCs w:val="16"/>
              </w:rPr>
              <w:t>Business development is a state function, and needs are assessed.</w:t>
            </w:r>
          </w:p>
        </w:tc>
      </w:tr>
      <w:tr w:rsidR="006C2FC5" w:rsidRPr="00C91117" w14:paraId="5C971D53" w14:textId="77777777" w:rsidTr="00874F19">
        <w:trPr>
          <w:trHeight w:val="703"/>
        </w:trPr>
        <w:tc>
          <w:tcPr>
            <w:tcW w:w="2410" w:type="dxa"/>
            <w:tcBorders>
              <w:top w:val="single" w:sz="4" w:space="0" w:color="ADD6EA"/>
              <w:left w:val="nil"/>
              <w:bottom w:val="single" w:sz="4" w:space="0" w:color="ADD6EA"/>
              <w:right w:val="nil"/>
            </w:tcBorders>
          </w:tcPr>
          <w:p w14:paraId="0FF0D900" w14:textId="77777777" w:rsidR="006C2FC5" w:rsidRPr="00882EAC" w:rsidRDefault="006C2FC5" w:rsidP="00874F19">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Assistance for the Whyalla steel Industry</w:t>
            </w:r>
          </w:p>
        </w:tc>
        <w:tc>
          <w:tcPr>
            <w:tcW w:w="4394" w:type="dxa"/>
            <w:tcBorders>
              <w:top w:val="single" w:sz="4" w:space="0" w:color="ADD6EA"/>
              <w:left w:val="nil"/>
              <w:bottom w:val="single" w:sz="4" w:space="0" w:color="ADD6EA"/>
              <w:right w:val="nil"/>
            </w:tcBorders>
          </w:tcPr>
          <w:p w14:paraId="25C18508" w14:textId="77777777" w:rsidR="006C2FC5" w:rsidRPr="00882EAC" w:rsidRDefault="006C2FC5" w:rsidP="00874F19">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Funding towards the administration, including ongoing operations, of the Whyalla Steelworks and to support eligible business creditors that remain out-of-pocket for debts owed during the</w:t>
            </w:r>
            <w:r>
              <w:rPr>
                <w:rFonts w:ascii="Open Sans Light" w:hAnsi="Open Sans Light" w:cs="Open Sans Light"/>
                <w:color w:val="000000"/>
                <w:sz w:val="16"/>
                <w:szCs w:val="16"/>
              </w:rPr>
              <w:t xml:space="preserve"> </w:t>
            </w:r>
            <w:r w:rsidRPr="00882EAC">
              <w:rPr>
                <w:rFonts w:ascii="Open Sans Light" w:hAnsi="Open Sans Light" w:cs="Open Sans Light"/>
                <w:color w:val="000000"/>
                <w:sz w:val="16"/>
                <w:szCs w:val="16"/>
              </w:rPr>
              <w:t>administration period.</w:t>
            </w:r>
          </w:p>
        </w:tc>
        <w:tc>
          <w:tcPr>
            <w:tcW w:w="1134" w:type="dxa"/>
            <w:tcBorders>
              <w:top w:val="single" w:sz="4" w:space="0" w:color="ADD6EA"/>
              <w:left w:val="nil"/>
              <w:bottom w:val="single" w:sz="4" w:space="0" w:color="ADD6EA"/>
              <w:right w:val="nil"/>
            </w:tcBorders>
            <w:noWrap/>
            <w:tcMar>
              <w:right w:w="85" w:type="dxa"/>
            </w:tcMar>
          </w:tcPr>
          <w:p w14:paraId="0C1947F2" w14:textId="5A5012B1" w:rsidR="006C2FC5" w:rsidRPr="00CB1CE7" w:rsidRDefault="00C65A5A"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162.3</w:t>
            </w:r>
          </w:p>
        </w:tc>
        <w:tc>
          <w:tcPr>
            <w:tcW w:w="1276" w:type="dxa"/>
            <w:tcBorders>
              <w:top w:val="single" w:sz="4" w:space="0" w:color="ADD6EA"/>
              <w:left w:val="nil"/>
              <w:bottom w:val="single" w:sz="4" w:space="0" w:color="ADD6EA"/>
              <w:right w:val="nil"/>
            </w:tcBorders>
            <w:noWrap/>
          </w:tcPr>
          <w:p w14:paraId="40E9BFB1"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626BCCA7"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Business support is a state function, and needs are assessed.</w:t>
            </w:r>
          </w:p>
        </w:tc>
      </w:tr>
      <w:tr w:rsidR="006C2FC5" w:rsidRPr="00C91117" w14:paraId="40C8F477" w14:textId="77777777" w:rsidTr="00874F19">
        <w:trPr>
          <w:trHeight w:val="703"/>
        </w:trPr>
        <w:tc>
          <w:tcPr>
            <w:tcW w:w="2410" w:type="dxa"/>
            <w:tcBorders>
              <w:top w:val="single" w:sz="4" w:space="0" w:color="ADD6EA"/>
              <w:left w:val="nil"/>
              <w:bottom w:val="single" w:sz="4" w:space="0" w:color="ADD6EA"/>
              <w:right w:val="nil"/>
            </w:tcBorders>
          </w:tcPr>
          <w:p w14:paraId="2C4CE041" w14:textId="77777777" w:rsidR="006C2FC5" w:rsidRPr="00882EAC" w:rsidRDefault="006C2FC5" w:rsidP="00874F19">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lastRenderedPageBreak/>
              <w:t>Commonwealth Community Safety Order Scheme (CSO)</w:t>
            </w:r>
          </w:p>
        </w:tc>
        <w:tc>
          <w:tcPr>
            <w:tcW w:w="4394" w:type="dxa"/>
            <w:tcBorders>
              <w:top w:val="single" w:sz="4" w:space="0" w:color="ADD6EA"/>
              <w:left w:val="nil"/>
              <w:bottom w:val="single" w:sz="4" w:space="0" w:color="ADD6EA"/>
              <w:right w:val="nil"/>
            </w:tcBorders>
          </w:tcPr>
          <w:p w14:paraId="1C43F50F" w14:textId="3A551AB2" w:rsidR="006C2FC5" w:rsidRPr="00882EAC" w:rsidRDefault="006C2FC5" w:rsidP="00874F19">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 xml:space="preserve">This Schedule will support the delivery of services for the Community Safety Order Scheme, which involves Community Safety Detention Orders and Community Safety Supervision Orders. </w:t>
            </w:r>
          </w:p>
        </w:tc>
        <w:tc>
          <w:tcPr>
            <w:tcW w:w="1134" w:type="dxa"/>
            <w:tcBorders>
              <w:top w:val="single" w:sz="4" w:space="0" w:color="ADD6EA"/>
              <w:left w:val="nil"/>
              <w:bottom w:val="single" w:sz="4" w:space="0" w:color="ADD6EA"/>
              <w:right w:val="nil"/>
            </w:tcBorders>
            <w:noWrap/>
            <w:tcMar>
              <w:right w:w="85" w:type="dxa"/>
            </w:tcMar>
          </w:tcPr>
          <w:p w14:paraId="761CF2F3" w14:textId="4DDA3156" w:rsidR="006C2FC5" w:rsidRPr="00CB1CE7" w:rsidRDefault="008F5955"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2.8</w:t>
            </w:r>
          </w:p>
        </w:tc>
        <w:tc>
          <w:tcPr>
            <w:tcW w:w="1276" w:type="dxa"/>
            <w:tcBorders>
              <w:top w:val="single" w:sz="4" w:space="0" w:color="ADD6EA"/>
              <w:left w:val="nil"/>
              <w:bottom w:val="single" w:sz="4" w:space="0" w:color="ADD6EA"/>
              <w:right w:val="nil"/>
            </w:tcBorders>
            <w:noWrap/>
          </w:tcPr>
          <w:p w14:paraId="4FA13E73"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themeColor="text1"/>
                <w:sz w:val="16"/>
                <w:szCs w:val="16"/>
              </w:rPr>
              <w:t>No -impact</w:t>
            </w:r>
          </w:p>
        </w:tc>
        <w:tc>
          <w:tcPr>
            <w:tcW w:w="4678" w:type="dxa"/>
            <w:tcBorders>
              <w:top w:val="single" w:sz="4" w:space="0" w:color="ADD6EA"/>
              <w:left w:val="nil"/>
              <w:bottom w:val="single" w:sz="4" w:space="0" w:color="ADD6EA"/>
              <w:right w:val="nil"/>
            </w:tcBorders>
            <w:noWrap/>
          </w:tcPr>
          <w:p w14:paraId="77E5AA73" w14:textId="77777777" w:rsidR="006C2FC5" w:rsidRPr="00CB1CE7" w:rsidRDefault="006C2FC5" w:rsidP="00874F19">
            <w:pPr>
              <w:spacing w:line="240" w:lineRule="auto"/>
              <w:rPr>
                <w:rFonts w:ascii="Open Sans Light" w:hAnsi="Open Sans Light" w:cs="Open Sans Light"/>
                <w:color w:val="000000"/>
                <w:sz w:val="16"/>
                <w:szCs w:val="16"/>
                <w:lang w:eastAsia="en-AU"/>
              </w:rPr>
            </w:pPr>
            <w:r w:rsidRPr="00CB1CE7">
              <w:rPr>
                <w:rFonts w:ascii="Open Sans Light" w:hAnsi="Open Sans Light" w:cs="Open Sans Light"/>
                <w:color w:val="000000" w:themeColor="text1"/>
                <w:sz w:val="16"/>
                <w:szCs w:val="16"/>
              </w:rPr>
              <w:t xml:space="preserve">This payment is related to the provision of Continuing Detention Orders and Extended Supervision Orders under the Community Safety Order scheme administered by the Commonwealth. This represents a Commonwealth function and is not a state service. </w:t>
            </w:r>
          </w:p>
        </w:tc>
      </w:tr>
      <w:tr w:rsidR="006C2FC5" w:rsidRPr="00C91117" w14:paraId="3C84128C" w14:textId="77777777" w:rsidTr="00874F19">
        <w:trPr>
          <w:trHeight w:val="703"/>
        </w:trPr>
        <w:tc>
          <w:tcPr>
            <w:tcW w:w="2410" w:type="dxa"/>
            <w:tcBorders>
              <w:top w:val="single" w:sz="4" w:space="0" w:color="ADD6EA"/>
              <w:left w:val="nil"/>
              <w:bottom w:val="single" w:sz="4" w:space="0" w:color="ADD6EA"/>
              <w:right w:val="nil"/>
            </w:tcBorders>
          </w:tcPr>
          <w:p w14:paraId="78574847" w14:textId="77777777" w:rsidR="006C2FC5" w:rsidRPr="00882EAC" w:rsidRDefault="006C2FC5" w:rsidP="00874F19">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Delivering high priority RFIs under CSO scheme</w:t>
            </w:r>
          </w:p>
        </w:tc>
        <w:tc>
          <w:tcPr>
            <w:tcW w:w="4394" w:type="dxa"/>
            <w:tcBorders>
              <w:top w:val="single" w:sz="4" w:space="0" w:color="ADD6EA"/>
              <w:left w:val="nil"/>
              <w:bottom w:val="single" w:sz="4" w:space="0" w:color="ADD6EA"/>
              <w:right w:val="nil"/>
            </w:tcBorders>
          </w:tcPr>
          <w:p w14:paraId="477CBDD5" w14:textId="279E01C2" w:rsidR="006C2FC5" w:rsidRPr="00882EAC" w:rsidRDefault="006C2FC5" w:rsidP="00874F19">
            <w:pPr>
              <w:spacing w:line="240" w:lineRule="auto"/>
              <w:rPr>
                <w:rFonts w:ascii="Open Sans Light" w:eastAsia="Times New Roman" w:hAnsi="Open Sans Light" w:cs="Open Sans Light"/>
                <w:color w:val="000000"/>
                <w:sz w:val="16"/>
                <w:szCs w:val="16"/>
                <w:lang w:eastAsia="en-AU"/>
              </w:rPr>
            </w:pPr>
            <w:r w:rsidRPr="00882EAC">
              <w:rPr>
                <w:rFonts w:ascii="Open Sans Light" w:hAnsi="Open Sans Light" w:cs="Open Sans Light"/>
                <w:color w:val="000000"/>
                <w:sz w:val="16"/>
                <w:szCs w:val="16"/>
              </w:rPr>
              <w:t>This Schedule will support states to respond to the high</w:t>
            </w:r>
            <w:r w:rsidR="0006053F">
              <w:rPr>
                <w:rFonts w:ascii="Open Sans Light" w:hAnsi="Open Sans Light" w:cs="Open Sans Light"/>
                <w:color w:val="000000"/>
                <w:sz w:val="16"/>
                <w:szCs w:val="16"/>
              </w:rPr>
              <w:noBreakHyphen/>
            </w:r>
            <w:r w:rsidRPr="00882EAC">
              <w:rPr>
                <w:rFonts w:ascii="Open Sans Light" w:hAnsi="Open Sans Light" w:cs="Open Sans Light"/>
                <w:color w:val="000000"/>
                <w:sz w:val="16"/>
                <w:szCs w:val="16"/>
              </w:rPr>
              <w:t xml:space="preserve">priority Requests for Information (RFIs) from the Commonwealth by the </w:t>
            </w:r>
            <w:proofErr w:type="gramStart"/>
            <w:r w:rsidRPr="00882EAC">
              <w:rPr>
                <w:rFonts w:ascii="Open Sans Light" w:hAnsi="Open Sans Light" w:cs="Open Sans Light"/>
                <w:color w:val="000000"/>
                <w:sz w:val="16"/>
                <w:szCs w:val="16"/>
              </w:rPr>
              <w:t>Immigration Minister</w:t>
            </w:r>
            <w:proofErr w:type="gramEnd"/>
            <w:r w:rsidRPr="00882EAC">
              <w:rPr>
                <w:rFonts w:ascii="Open Sans Light" w:hAnsi="Open Sans Light" w:cs="Open Sans Light"/>
                <w:color w:val="000000"/>
                <w:sz w:val="16"/>
                <w:szCs w:val="16"/>
              </w:rPr>
              <w:t xml:space="preserve"> and the Department of Home Affairs. </w:t>
            </w:r>
          </w:p>
        </w:tc>
        <w:tc>
          <w:tcPr>
            <w:tcW w:w="1134" w:type="dxa"/>
            <w:tcBorders>
              <w:top w:val="single" w:sz="4" w:space="0" w:color="ADD6EA"/>
              <w:left w:val="nil"/>
              <w:bottom w:val="single" w:sz="4" w:space="0" w:color="ADD6EA"/>
              <w:right w:val="nil"/>
            </w:tcBorders>
            <w:noWrap/>
            <w:tcMar>
              <w:right w:w="85" w:type="dxa"/>
            </w:tcMar>
          </w:tcPr>
          <w:p w14:paraId="178B7FE7" w14:textId="2E8EC76F" w:rsidR="006C2FC5" w:rsidRPr="00CB1CE7" w:rsidRDefault="008F5955"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0.6</w:t>
            </w:r>
          </w:p>
        </w:tc>
        <w:tc>
          <w:tcPr>
            <w:tcW w:w="1276" w:type="dxa"/>
            <w:tcBorders>
              <w:top w:val="single" w:sz="4" w:space="0" w:color="ADD6EA"/>
              <w:left w:val="nil"/>
              <w:bottom w:val="single" w:sz="4" w:space="0" w:color="ADD6EA"/>
              <w:right w:val="nil"/>
            </w:tcBorders>
            <w:noWrap/>
          </w:tcPr>
          <w:p w14:paraId="5DB68D7E" w14:textId="77777777" w:rsidR="006C2FC5" w:rsidRPr="00CB1CE7" w:rsidRDefault="006C2FC5" w:rsidP="00874F19">
            <w:pPr>
              <w:spacing w:line="240" w:lineRule="auto"/>
              <w:rPr>
                <w:rFonts w:ascii="Open Sans Light" w:eastAsia="Times New Roman" w:hAnsi="Open Sans Light" w:cs="Open Sans Light"/>
                <w:color w:val="000000" w:themeColor="text1"/>
                <w:sz w:val="16"/>
                <w:szCs w:val="16"/>
                <w:lang w:eastAsia="en-AU"/>
              </w:rPr>
            </w:pPr>
            <w:r w:rsidRPr="00CB1CE7">
              <w:rPr>
                <w:rFonts w:ascii="Open Sans Light" w:hAnsi="Open Sans Light" w:cs="Open Sans Light"/>
                <w:color w:val="000000" w:themeColor="text1"/>
                <w:sz w:val="16"/>
                <w:szCs w:val="16"/>
              </w:rPr>
              <w:t>No impact</w:t>
            </w:r>
          </w:p>
        </w:tc>
        <w:tc>
          <w:tcPr>
            <w:tcW w:w="4678" w:type="dxa"/>
            <w:tcBorders>
              <w:top w:val="single" w:sz="4" w:space="0" w:color="ADD6EA"/>
              <w:left w:val="nil"/>
              <w:bottom w:val="single" w:sz="4" w:space="0" w:color="ADD6EA"/>
              <w:right w:val="nil"/>
            </w:tcBorders>
            <w:noWrap/>
          </w:tcPr>
          <w:p w14:paraId="3F5F0D0A" w14:textId="5E860061"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themeColor="text1"/>
                <w:sz w:val="16"/>
                <w:szCs w:val="16"/>
              </w:rPr>
              <w:t>This payment relates to information requested by the Commonwealth under the Community Safety Order scheme administered by the Commonwealth. This represents a Commonwealth function and is not a state service.</w:t>
            </w:r>
          </w:p>
        </w:tc>
      </w:tr>
      <w:tr w:rsidR="006C2FC5" w:rsidRPr="00C91117" w14:paraId="73BFC994" w14:textId="77777777" w:rsidTr="00874F19">
        <w:trPr>
          <w:trHeight w:val="703"/>
        </w:trPr>
        <w:tc>
          <w:tcPr>
            <w:tcW w:w="2410" w:type="dxa"/>
            <w:tcBorders>
              <w:top w:val="single" w:sz="4" w:space="0" w:color="ADD6EA"/>
              <w:left w:val="nil"/>
              <w:bottom w:val="single" w:sz="4" w:space="0" w:color="ADD6EA"/>
              <w:right w:val="nil"/>
            </w:tcBorders>
          </w:tcPr>
          <w:p w14:paraId="77D26D1C" w14:textId="77777777" w:rsidR="006C2FC5" w:rsidRPr="001B7802" w:rsidRDefault="006C2FC5" w:rsidP="00874F19">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National Labour Hire</w:t>
            </w:r>
          </w:p>
        </w:tc>
        <w:tc>
          <w:tcPr>
            <w:tcW w:w="4394" w:type="dxa"/>
            <w:tcBorders>
              <w:top w:val="single" w:sz="4" w:space="0" w:color="ADD6EA"/>
              <w:left w:val="nil"/>
              <w:bottom w:val="single" w:sz="4" w:space="0" w:color="ADD6EA"/>
              <w:right w:val="nil"/>
            </w:tcBorders>
          </w:tcPr>
          <w:p w14:paraId="5EB0D1E4" w14:textId="77777777" w:rsidR="006C2FC5" w:rsidRPr="001B7802" w:rsidRDefault="006C2FC5" w:rsidP="00874F19">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 xml:space="preserve">Funding to progress a harmonised approach to </w:t>
            </w:r>
            <w:r w:rsidRPr="001B7802">
              <w:rPr>
                <w:rFonts w:ascii="Open Sans Light" w:hAnsi="Open Sans Light" w:cs="Open Sans Light"/>
                <w:color w:val="000000"/>
                <w:sz w:val="16"/>
                <w:szCs w:val="16"/>
              </w:rPr>
              <w:br/>
              <w:t xml:space="preserve">national labour hire reform. </w:t>
            </w:r>
          </w:p>
        </w:tc>
        <w:tc>
          <w:tcPr>
            <w:tcW w:w="1134" w:type="dxa"/>
            <w:tcBorders>
              <w:top w:val="single" w:sz="4" w:space="0" w:color="ADD6EA"/>
              <w:left w:val="nil"/>
              <w:bottom w:val="single" w:sz="4" w:space="0" w:color="ADD6EA"/>
              <w:right w:val="nil"/>
            </w:tcBorders>
            <w:noWrap/>
            <w:tcMar>
              <w:right w:w="85" w:type="dxa"/>
            </w:tcMar>
          </w:tcPr>
          <w:p w14:paraId="40710872" w14:textId="03685D9E" w:rsidR="006C2FC5" w:rsidRPr="001B7802" w:rsidRDefault="00E46F26"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2.6</w:t>
            </w:r>
          </w:p>
        </w:tc>
        <w:tc>
          <w:tcPr>
            <w:tcW w:w="1276" w:type="dxa"/>
            <w:tcBorders>
              <w:top w:val="single" w:sz="4" w:space="0" w:color="ADD6EA"/>
              <w:left w:val="nil"/>
              <w:bottom w:val="single" w:sz="4" w:space="0" w:color="ADD6EA"/>
              <w:right w:val="nil"/>
            </w:tcBorders>
            <w:noWrap/>
          </w:tcPr>
          <w:p w14:paraId="4B5DD77A" w14:textId="77777777" w:rsidR="006C2FC5" w:rsidRPr="001B7802" w:rsidRDefault="006C2FC5" w:rsidP="00874F19">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6A2049E5" w14:textId="77777777" w:rsidR="006C2FC5" w:rsidRPr="001B7802" w:rsidRDefault="006C2FC5" w:rsidP="00874F19">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Industry regulation is a state function, and need are assessed.</w:t>
            </w:r>
          </w:p>
        </w:tc>
      </w:tr>
      <w:tr w:rsidR="006C2FC5" w:rsidRPr="00C91117" w14:paraId="05FE8512" w14:textId="77777777" w:rsidTr="00874F19">
        <w:trPr>
          <w:trHeight w:val="703"/>
        </w:trPr>
        <w:tc>
          <w:tcPr>
            <w:tcW w:w="2410" w:type="dxa"/>
            <w:tcBorders>
              <w:top w:val="single" w:sz="4" w:space="0" w:color="ADD6EA"/>
              <w:left w:val="nil"/>
              <w:bottom w:val="single" w:sz="4" w:space="0" w:color="ADD6EA"/>
              <w:right w:val="nil"/>
            </w:tcBorders>
          </w:tcPr>
          <w:p w14:paraId="1FA5287B" w14:textId="77777777" w:rsidR="006C2FC5" w:rsidRPr="001B7802" w:rsidRDefault="006C2FC5" w:rsidP="00874F19">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Support to Host Giant Pandas in South Australia</w:t>
            </w:r>
          </w:p>
        </w:tc>
        <w:tc>
          <w:tcPr>
            <w:tcW w:w="4394" w:type="dxa"/>
            <w:tcBorders>
              <w:top w:val="single" w:sz="4" w:space="0" w:color="ADD6EA"/>
              <w:left w:val="nil"/>
              <w:bottom w:val="single" w:sz="4" w:space="0" w:color="ADD6EA"/>
              <w:right w:val="nil"/>
            </w:tcBorders>
          </w:tcPr>
          <w:p w14:paraId="1E0EB7F3" w14:textId="56D131E0" w:rsidR="006C2FC5" w:rsidRPr="001B7802" w:rsidRDefault="006C2FC5" w:rsidP="00874F19">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 xml:space="preserve">Funding to host </w:t>
            </w:r>
            <w:r w:rsidR="00242DD1">
              <w:rPr>
                <w:rFonts w:ascii="Open Sans Light" w:hAnsi="Open Sans Light" w:cs="Open Sans Light"/>
                <w:color w:val="000000"/>
                <w:sz w:val="16"/>
                <w:szCs w:val="16"/>
              </w:rPr>
              <w:t>2</w:t>
            </w:r>
            <w:r w:rsidR="00242DD1" w:rsidRPr="001B7802">
              <w:rPr>
                <w:rFonts w:ascii="Open Sans Light" w:hAnsi="Open Sans Light" w:cs="Open Sans Light"/>
                <w:color w:val="000000"/>
                <w:sz w:val="16"/>
                <w:szCs w:val="16"/>
              </w:rPr>
              <w:t xml:space="preserve"> </w:t>
            </w:r>
            <w:r w:rsidRPr="001B7802">
              <w:rPr>
                <w:rFonts w:ascii="Open Sans Light" w:hAnsi="Open Sans Light" w:cs="Open Sans Light"/>
                <w:color w:val="000000"/>
                <w:sz w:val="16"/>
                <w:szCs w:val="16"/>
              </w:rPr>
              <w:t>giant pandas in the Adelaide Zoo.</w:t>
            </w:r>
          </w:p>
        </w:tc>
        <w:tc>
          <w:tcPr>
            <w:tcW w:w="1134" w:type="dxa"/>
            <w:tcBorders>
              <w:top w:val="single" w:sz="4" w:space="0" w:color="ADD6EA"/>
              <w:left w:val="nil"/>
              <w:bottom w:val="single" w:sz="4" w:space="0" w:color="ADD6EA"/>
              <w:right w:val="nil"/>
            </w:tcBorders>
            <w:noWrap/>
            <w:tcMar>
              <w:right w:w="85" w:type="dxa"/>
            </w:tcMar>
          </w:tcPr>
          <w:p w14:paraId="35B3A0C5" w14:textId="077D8F08" w:rsidR="006C2FC5" w:rsidRPr="001B7802" w:rsidRDefault="005B7F50" w:rsidP="00874F19">
            <w:pPr>
              <w:spacing w:line="240" w:lineRule="auto"/>
              <w:ind w:right="227"/>
              <w:jc w:val="right"/>
              <w:rPr>
                <w:rFonts w:ascii="Open Sans Light" w:eastAsia="Times New Roman" w:hAnsi="Open Sans Light" w:cs="Open Sans Light"/>
                <w:color w:val="000000"/>
                <w:sz w:val="16"/>
                <w:szCs w:val="16"/>
                <w:lang w:eastAsia="en-AU"/>
              </w:rPr>
            </w:pPr>
            <w:r w:rsidRPr="00E23345">
              <w:rPr>
                <w:rFonts w:ascii="Open Sans Light" w:eastAsia="Times New Roman" w:hAnsi="Open Sans Light" w:cs="Open Sans Light"/>
                <w:color w:val="000000"/>
                <w:sz w:val="16"/>
                <w:szCs w:val="16"/>
                <w:lang w:eastAsia="en-AU"/>
              </w:rPr>
              <w:t>0.8</w:t>
            </w:r>
          </w:p>
        </w:tc>
        <w:tc>
          <w:tcPr>
            <w:tcW w:w="1276" w:type="dxa"/>
            <w:tcBorders>
              <w:top w:val="single" w:sz="4" w:space="0" w:color="ADD6EA"/>
              <w:left w:val="nil"/>
              <w:bottom w:val="single" w:sz="4" w:space="0" w:color="ADD6EA"/>
              <w:right w:val="nil"/>
            </w:tcBorders>
            <w:noWrap/>
          </w:tcPr>
          <w:p w14:paraId="472B87F2" w14:textId="77777777" w:rsidR="006C2FC5" w:rsidRPr="001B7802" w:rsidRDefault="006C2FC5" w:rsidP="00874F19">
            <w:pPr>
              <w:spacing w:line="240" w:lineRule="auto"/>
              <w:rPr>
                <w:rFonts w:ascii="Open Sans Light" w:eastAsia="Times New Roman" w:hAnsi="Open Sans Light" w:cs="Open Sans Light"/>
                <w:color w:val="000000"/>
                <w:sz w:val="16"/>
                <w:szCs w:val="16"/>
                <w:lang w:eastAsia="en-AU"/>
              </w:rPr>
            </w:pPr>
            <w:r w:rsidRPr="001B7802">
              <w:rPr>
                <w:rFonts w:ascii="Open Sans Light" w:hAnsi="Open Sans Light" w:cs="Open Sans Light"/>
                <w:color w:val="000000"/>
                <w:sz w:val="16"/>
                <w:szCs w:val="16"/>
              </w:rPr>
              <w:t>Impact</w:t>
            </w:r>
          </w:p>
        </w:tc>
        <w:tc>
          <w:tcPr>
            <w:tcW w:w="4678" w:type="dxa"/>
            <w:tcBorders>
              <w:top w:val="single" w:sz="4" w:space="0" w:color="ADD6EA"/>
              <w:left w:val="nil"/>
              <w:bottom w:val="single" w:sz="4" w:space="0" w:color="ADD6EA"/>
              <w:right w:val="nil"/>
            </w:tcBorders>
            <w:noWrap/>
          </w:tcPr>
          <w:p w14:paraId="6C0B3BB5" w14:textId="77777777" w:rsidR="006C2FC5" w:rsidRPr="001B7802"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R</w:t>
            </w:r>
            <w:r w:rsidRPr="00882EAC">
              <w:rPr>
                <w:rFonts w:ascii="Open Sans Light" w:hAnsi="Open Sans Light" w:cs="Open Sans Light"/>
                <w:color w:val="000000"/>
                <w:sz w:val="16"/>
                <w:szCs w:val="16"/>
              </w:rPr>
              <w:t>ecreation</w:t>
            </w:r>
            <w:r>
              <w:rPr>
                <w:rFonts w:ascii="Open Sans Light" w:hAnsi="Open Sans Light" w:cs="Open Sans Light"/>
                <w:color w:val="000000"/>
                <w:sz w:val="16"/>
                <w:szCs w:val="16"/>
              </w:rPr>
              <w:t>al and</w:t>
            </w:r>
            <w:r w:rsidRPr="00882EAC">
              <w:rPr>
                <w:rFonts w:ascii="Open Sans Light" w:hAnsi="Open Sans Light" w:cs="Open Sans Light"/>
                <w:color w:val="000000"/>
                <w:sz w:val="16"/>
                <w:szCs w:val="16"/>
              </w:rPr>
              <w:t xml:space="preserve"> cultu</w:t>
            </w:r>
            <w:r>
              <w:rPr>
                <w:rFonts w:ascii="Open Sans Light" w:hAnsi="Open Sans Light" w:cs="Open Sans Light"/>
                <w:color w:val="000000"/>
                <w:sz w:val="16"/>
                <w:szCs w:val="16"/>
              </w:rPr>
              <w:t>ral services</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is a state function</w:t>
            </w:r>
            <w:r w:rsidRPr="00882EAC">
              <w:rPr>
                <w:rFonts w:ascii="Open Sans Light" w:hAnsi="Open Sans Light" w:cs="Open Sans Light"/>
                <w:color w:val="000000"/>
                <w:sz w:val="16"/>
                <w:szCs w:val="16"/>
              </w:rPr>
              <w:t xml:space="preserve">, </w:t>
            </w:r>
            <w:r>
              <w:rPr>
                <w:rFonts w:ascii="Open Sans Light" w:hAnsi="Open Sans Light" w:cs="Open Sans Light"/>
                <w:color w:val="000000"/>
                <w:sz w:val="16"/>
                <w:szCs w:val="16"/>
              </w:rPr>
              <w:t>and needs are assessed.</w:t>
            </w:r>
          </w:p>
        </w:tc>
      </w:tr>
    </w:tbl>
    <w:p w14:paraId="3C3240D3" w14:textId="77777777" w:rsidR="006C2FC5" w:rsidRDefault="006C2FC5" w:rsidP="006C2FC5">
      <w:pPr>
        <w:pStyle w:val="Tableheading"/>
      </w:pPr>
      <w:bookmarkStart w:id="8" w:name="_Ref174626745"/>
      <w:bookmarkStart w:id="9" w:name="_Ref174546443"/>
    </w:p>
    <w:p w14:paraId="2F251576" w14:textId="77777777" w:rsidR="00F57D5F" w:rsidRPr="00F57D5F" w:rsidRDefault="00F57D5F" w:rsidP="00F57D5F">
      <w:pPr>
        <w:rPr>
          <w:lang w:eastAsia="en-AU"/>
        </w:rPr>
      </w:pPr>
    </w:p>
    <w:p w14:paraId="0A72F46F" w14:textId="77777777" w:rsidR="00F57D5F" w:rsidRPr="00F57D5F" w:rsidRDefault="00F57D5F" w:rsidP="00F57D5F">
      <w:pPr>
        <w:rPr>
          <w:lang w:eastAsia="en-AU"/>
        </w:rPr>
      </w:pPr>
    </w:p>
    <w:p w14:paraId="6D52C517" w14:textId="77777777" w:rsidR="00F57D5F" w:rsidRPr="00F57D5F" w:rsidRDefault="00F57D5F" w:rsidP="00F57D5F">
      <w:pPr>
        <w:rPr>
          <w:lang w:eastAsia="en-AU"/>
        </w:rPr>
      </w:pPr>
    </w:p>
    <w:p w14:paraId="4D0DDB5A" w14:textId="77777777" w:rsidR="00F57D5F" w:rsidRPr="00F57D5F" w:rsidRDefault="00F57D5F" w:rsidP="00F57D5F">
      <w:pPr>
        <w:rPr>
          <w:lang w:eastAsia="en-AU"/>
        </w:rPr>
      </w:pPr>
    </w:p>
    <w:p w14:paraId="7C3D27FB" w14:textId="77777777" w:rsidR="00F57D5F" w:rsidRPr="00F57D5F" w:rsidRDefault="00F57D5F" w:rsidP="00F57D5F">
      <w:pPr>
        <w:rPr>
          <w:lang w:eastAsia="en-AU"/>
        </w:rPr>
      </w:pPr>
    </w:p>
    <w:p w14:paraId="4A4DB321" w14:textId="77777777" w:rsidR="00F57D5F" w:rsidRPr="00F57D5F" w:rsidRDefault="00F57D5F" w:rsidP="00F57D5F">
      <w:pPr>
        <w:rPr>
          <w:lang w:eastAsia="en-AU"/>
        </w:rPr>
      </w:pPr>
    </w:p>
    <w:p w14:paraId="554A080F" w14:textId="77777777" w:rsidR="00F57D5F" w:rsidRDefault="00F57D5F" w:rsidP="00F57D5F">
      <w:pPr>
        <w:rPr>
          <w:rFonts w:ascii="Work Sans SemiBold" w:eastAsia="Times New Roman" w:hAnsi="Work Sans SemiBold" w:cs="Times New Roman"/>
          <w:sz w:val="20"/>
          <w:szCs w:val="20"/>
          <w:lang w:eastAsia="en-AU"/>
        </w:rPr>
      </w:pPr>
    </w:p>
    <w:p w14:paraId="6F741146" w14:textId="77777777" w:rsidR="00F57D5F" w:rsidRDefault="00F57D5F" w:rsidP="00F57D5F">
      <w:pPr>
        <w:rPr>
          <w:rFonts w:ascii="Work Sans SemiBold" w:eastAsia="Times New Roman" w:hAnsi="Work Sans SemiBold" w:cs="Times New Roman"/>
          <w:sz w:val="20"/>
          <w:szCs w:val="20"/>
          <w:lang w:eastAsia="en-AU"/>
        </w:rPr>
      </w:pPr>
    </w:p>
    <w:p w14:paraId="1043AFD3" w14:textId="77777777" w:rsidR="00F57D5F" w:rsidRPr="00F57D5F" w:rsidRDefault="00F57D5F" w:rsidP="00F57D5F">
      <w:pPr>
        <w:rPr>
          <w:lang w:eastAsia="en-AU"/>
        </w:rPr>
        <w:sectPr w:rsidR="00F57D5F" w:rsidRPr="00F57D5F" w:rsidSect="006C2FC5">
          <w:headerReference w:type="even" r:id="rId22"/>
          <w:headerReference w:type="default" r:id="rId23"/>
          <w:footerReference w:type="even" r:id="rId24"/>
          <w:footerReference w:type="default" r:id="rId25"/>
          <w:headerReference w:type="first" r:id="rId26"/>
          <w:footerReference w:type="first" r:id="rId27"/>
          <w:footnotePr>
            <w:numRestart w:val="eachSect"/>
          </w:footnotePr>
          <w:pgSz w:w="16840" w:h="11907" w:orient="landscape" w:code="9"/>
          <w:pgMar w:top="1474" w:right="1418" w:bottom="1474" w:left="1418" w:header="567" w:footer="567" w:gutter="0"/>
          <w:cols w:space="720"/>
          <w:titlePg/>
          <w:docGrid w:linePitch="360"/>
        </w:sectPr>
      </w:pPr>
    </w:p>
    <w:p w14:paraId="0FBCF28B" w14:textId="41D3E120" w:rsidR="006C2FC5" w:rsidRPr="00DF230F" w:rsidRDefault="006C2FC5" w:rsidP="00DF230F">
      <w:pPr>
        <w:pStyle w:val="Tableheading"/>
        <w:tabs>
          <w:tab w:val="left" w:pos="1134"/>
        </w:tabs>
        <w:rPr>
          <w:rFonts w:ascii="Work Sans" w:hAnsi="Work Sans"/>
          <w:b/>
          <w:bCs/>
        </w:rPr>
      </w:pPr>
      <w:r w:rsidRPr="00DF230F">
        <w:rPr>
          <w:rFonts w:ascii="Work Sans" w:hAnsi="Work Sans"/>
          <w:b/>
          <w:bCs/>
        </w:rPr>
        <w:lastRenderedPageBreak/>
        <w:t>Table</w:t>
      </w:r>
      <w:bookmarkEnd w:id="8"/>
      <w:r w:rsidRPr="00DF230F">
        <w:rPr>
          <w:rFonts w:ascii="Work Sans" w:hAnsi="Work Sans"/>
          <w:b/>
          <w:bCs/>
        </w:rPr>
        <w:t xml:space="preserve"> </w:t>
      </w:r>
      <w:r w:rsidR="00061488" w:rsidRPr="00DF230F">
        <w:rPr>
          <w:rFonts w:ascii="Work Sans" w:hAnsi="Work Sans"/>
          <w:b/>
          <w:bCs/>
        </w:rPr>
        <w:t>A-2</w:t>
      </w:r>
      <w:r w:rsidRPr="00DF230F">
        <w:rPr>
          <w:rFonts w:ascii="Work Sans" w:hAnsi="Work Sans"/>
          <w:b/>
          <w:bCs/>
        </w:rPr>
        <w:tab/>
        <w:t>Proposed treatment of city and regional deals commenced in 2024–2</w:t>
      </w:r>
      <w:bookmarkEnd w:id="9"/>
      <w:r w:rsidRPr="00DF230F">
        <w:rPr>
          <w:rFonts w:ascii="Work Sans" w:hAnsi="Work Sans"/>
          <w:b/>
          <w:bCs/>
        </w:rPr>
        <w:t>5</w:t>
      </w:r>
    </w:p>
    <w:tbl>
      <w:tblPr>
        <w:tblW w:w="13892" w:type="dxa"/>
        <w:tblLayout w:type="fixed"/>
        <w:tblCellMar>
          <w:left w:w="28" w:type="dxa"/>
          <w:right w:w="28" w:type="dxa"/>
        </w:tblCellMar>
        <w:tblLook w:val="04A0" w:firstRow="1" w:lastRow="0" w:firstColumn="1" w:lastColumn="0" w:noHBand="0" w:noVBand="1"/>
      </w:tblPr>
      <w:tblGrid>
        <w:gridCol w:w="2552"/>
        <w:gridCol w:w="4678"/>
        <w:gridCol w:w="992"/>
        <w:gridCol w:w="1276"/>
        <w:gridCol w:w="4394"/>
      </w:tblGrid>
      <w:tr w:rsidR="006C2FC5" w:rsidRPr="00C91117" w14:paraId="151D53DC" w14:textId="77777777" w:rsidTr="6819DC36">
        <w:trPr>
          <w:trHeight w:val="567"/>
          <w:tblHeader/>
        </w:trPr>
        <w:tc>
          <w:tcPr>
            <w:tcW w:w="2552" w:type="dxa"/>
            <w:tcBorders>
              <w:top w:val="single" w:sz="4" w:space="0" w:color="ADD6EA"/>
              <w:left w:val="nil"/>
              <w:bottom w:val="single" w:sz="4" w:space="0" w:color="ADD6EA"/>
              <w:right w:val="nil"/>
            </w:tcBorders>
            <w:shd w:val="clear" w:color="auto" w:fill="006991"/>
            <w:hideMark/>
          </w:tcPr>
          <w:p w14:paraId="5EB17D82" w14:textId="77777777" w:rsidR="006C2FC5" w:rsidRPr="00C91117" w:rsidRDefault="006C2FC5" w:rsidP="00874F19">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Commonwealth payment</w:t>
            </w:r>
          </w:p>
        </w:tc>
        <w:tc>
          <w:tcPr>
            <w:tcW w:w="4678" w:type="dxa"/>
            <w:tcBorders>
              <w:top w:val="single" w:sz="4" w:space="0" w:color="ADD6EA"/>
              <w:left w:val="nil"/>
              <w:bottom w:val="single" w:sz="4" w:space="0" w:color="ADD6EA"/>
              <w:right w:val="nil"/>
            </w:tcBorders>
            <w:shd w:val="clear" w:color="auto" w:fill="006991"/>
            <w:hideMark/>
          </w:tcPr>
          <w:p w14:paraId="5A28DB36" w14:textId="77777777" w:rsidR="006C2FC5" w:rsidRPr="00C91117" w:rsidRDefault="006C2FC5" w:rsidP="00874F19">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Description</w:t>
            </w:r>
          </w:p>
        </w:tc>
        <w:tc>
          <w:tcPr>
            <w:tcW w:w="992" w:type="dxa"/>
            <w:tcBorders>
              <w:top w:val="single" w:sz="4" w:space="0" w:color="ADD6EA"/>
              <w:left w:val="nil"/>
              <w:bottom w:val="single" w:sz="4" w:space="0" w:color="ADD6EA"/>
              <w:right w:val="nil"/>
            </w:tcBorders>
            <w:shd w:val="clear" w:color="auto" w:fill="006991"/>
            <w:tcMar>
              <w:right w:w="85" w:type="dxa"/>
            </w:tcMar>
            <w:hideMark/>
          </w:tcPr>
          <w:p w14:paraId="6C6E918A" w14:textId="5F3232C8" w:rsidR="006C2FC5" w:rsidRPr="00C91117" w:rsidRDefault="006C2FC5" w:rsidP="00874F19">
            <w:pPr>
              <w:spacing w:line="240" w:lineRule="auto"/>
              <w:ind w:right="227"/>
              <w:jc w:val="right"/>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20</w:t>
            </w:r>
            <w:r>
              <w:rPr>
                <w:rFonts w:ascii="Open Sans Semibold" w:eastAsia="Times New Roman" w:hAnsi="Open Sans Semibold" w:cs="Open Sans Light"/>
                <w:color w:val="FFFFFF"/>
                <w:sz w:val="16"/>
                <w:szCs w:val="20"/>
                <w:lang w:eastAsia="en-AU"/>
              </w:rPr>
              <w:t>24–25</w:t>
            </w:r>
            <w:r w:rsidRPr="00C91117">
              <w:rPr>
                <w:rFonts w:ascii="Open Sans Semibold" w:eastAsia="Times New Roman" w:hAnsi="Open Sans Semibold" w:cs="Open Sans Light"/>
                <w:color w:val="FFFFFF"/>
                <w:sz w:val="16"/>
                <w:szCs w:val="20"/>
                <w:lang w:eastAsia="en-AU"/>
              </w:rPr>
              <w:t xml:space="preserve"> $m</w:t>
            </w:r>
          </w:p>
        </w:tc>
        <w:tc>
          <w:tcPr>
            <w:tcW w:w="1276" w:type="dxa"/>
            <w:tcBorders>
              <w:top w:val="single" w:sz="4" w:space="0" w:color="ADD6EA"/>
              <w:left w:val="nil"/>
              <w:bottom w:val="single" w:sz="4" w:space="0" w:color="ADD6EA"/>
              <w:right w:val="nil"/>
            </w:tcBorders>
            <w:shd w:val="clear" w:color="auto" w:fill="006991"/>
            <w:hideMark/>
          </w:tcPr>
          <w:p w14:paraId="68D23CB0" w14:textId="77777777" w:rsidR="006C2FC5" w:rsidRPr="00C91117" w:rsidRDefault="006C2FC5" w:rsidP="00874F19">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Proposed treatment</w:t>
            </w:r>
          </w:p>
        </w:tc>
        <w:tc>
          <w:tcPr>
            <w:tcW w:w="4394" w:type="dxa"/>
            <w:tcBorders>
              <w:top w:val="single" w:sz="4" w:space="0" w:color="ADD6EA"/>
              <w:left w:val="nil"/>
              <w:bottom w:val="single" w:sz="4" w:space="0" w:color="ADD6EA"/>
              <w:right w:val="nil"/>
            </w:tcBorders>
            <w:shd w:val="clear" w:color="auto" w:fill="006991"/>
            <w:hideMark/>
          </w:tcPr>
          <w:p w14:paraId="646F18F5" w14:textId="77777777" w:rsidR="006C2FC5" w:rsidRPr="00C91117" w:rsidRDefault="006C2FC5" w:rsidP="00874F19">
            <w:pPr>
              <w:spacing w:line="240" w:lineRule="auto"/>
              <w:rPr>
                <w:rFonts w:ascii="Open Sans Semibold" w:eastAsia="Times New Roman" w:hAnsi="Open Sans Semibold" w:cs="Open Sans Semibold"/>
                <w:color w:val="FFFFFF"/>
                <w:sz w:val="16"/>
                <w:szCs w:val="16"/>
                <w:lang w:eastAsia="en-AU"/>
              </w:rPr>
            </w:pPr>
            <w:r w:rsidRPr="00C91117">
              <w:rPr>
                <w:rFonts w:ascii="Open Sans Semibold" w:eastAsia="Times New Roman" w:hAnsi="Open Sans Semibold" w:cs="Open Sans Light"/>
                <w:color w:val="FFFFFF"/>
                <w:sz w:val="16"/>
                <w:szCs w:val="20"/>
                <w:lang w:eastAsia="en-AU"/>
              </w:rPr>
              <w:t>Reason for treatment</w:t>
            </w:r>
          </w:p>
        </w:tc>
      </w:tr>
      <w:tr w:rsidR="006C2FC5" w:rsidRPr="00C91117" w14:paraId="1A4765F0" w14:textId="77777777" w:rsidTr="6819DC36">
        <w:trPr>
          <w:trHeight w:val="302"/>
        </w:trPr>
        <w:tc>
          <w:tcPr>
            <w:tcW w:w="2552" w:type="dxa"/>
            <w:tcBorders>
              <w:top w:val="single" w:sz="4" w:space="0" w:color="ADD6EA"/>
              <w:left w:val="nil"/>
              <w:bottom w:val="single" w:sz="4" w:space="0" w:color="ADD6EA"/>
              <w:right w:val="nil"/>
            </w:tcBorders>
            <w:shd w:val="clear" w:color="auto" w:fill="B6D5E4"/>
            <w:hideMark/>
          </w:tcPr>
          <w:p w14:paraId="2126E522" w14:textId="77777777" w:rsidR="006C2FC5" w:rsidRPr="00C91117" w:rsidRDefault="006C2FC5" w:rsidP="00874F19">
            <w:pPr>
              <w:spacing w:line="240" w:lineRule="auto"/>
              <w:rPr>
                <w:rFonts w:ascii="Open Sans Semibold" w:eastAsia="Times New Roman" w:hAnsi="Open Sans Semibold" w:cs="Open Sans Semibold"/>
                <w:color w:val="000000"/>
                <w:sz w:val="16"/>
                <w:szCs w:val="16"/>
                <w:lang w:eastAsia="en-AU"/>
              </w:rPr>
            </w:pPr>
            <w:bookmarkStart w:id="10" w:name="_Hlk80869744"/>
            <w:r>
              <w:rPr>
                <w:rFonts w:ascii="Open Sans Semibold" w:eastAsia="Times New Roman" w:hAnsi="Open Sans Semibold" w:cs="Open Sans Semibold"/>
                <w:color w:val="000000"/>
                <w:sz w:val="16"/>
                <w:szCs w:val="16"/>
                <w:lang w:eastAsia="en-AU"/>
              </w:rPr>
              <w:t>Adelaide</w:t>
            </w:r>
          </w:p>
        </w:tc>
        <w:tc>
          <w:tcPr>
            <w:tcW w:w="4678" w:type="dxa"/>
            <w:tcBorders>
              <w:top w:val="single" w:sz="4" w:space="0" w:color="ADD6EA"/>
              <w:left w:val="nil"/>
              <w:bottom w:val="single" w:sz="4" w:space="0" w:color="ADD6EA"/>
              <w:right w:val="nil"/>
            </w:tcBorders>
            <w:shd w:val="clear" w:color="auto" w:fill="B6D5E4"/>
            <w:noWrap/>
            <w:hideMark/>
          </w:tcPr>
          <w:p w14:paraId="6C310465" w14:textId="77777777" w:rsidR="006C2FC5" w:rsidRPr="00C91117" w:rsidRDefault="006C2FC5" w:rsidP="00874F19">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992" w:type="dxa"/>
            <w:tcBorders>
              <w:top w:val="single" w:sz="4" w:space="0" w:color="ADD6EA"/>
              <w:left w:val="nil"/>
              <w:bottom w:val="single" w:sz="4" w:space="0" w:color="ADD6EA"/>
              <w:right w:val="nil"/>
            </w:tcBorders>
            <w:shd w:val="clear" w:color="auto" w:fill="B6D5E4"/>
            <w:noWrap/>
            <w:tcMar>
              <w:right w:w="85" w:type="dxa"/>
            </w:tcMar>
            <w:hideMark/>
          </w:tcPr>
          <w:p w14:paraId="2F8275A0" w14:textId="77777777" w:rsidR="006C2FC5" w:rsidRPr="00C91117" w:rsidRDefault="006C2FC5" w:rsidP="00874F19">
            <w:pPr>
              <w:spacing w:line="240" w:lineRule="auto"/>
              <w:ind w:right="227"/>
              <w:jc w:val="right"/>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1276" w:type="dxa"/>
            <w:tcBorders>
              <w:top w:val="single" w:sz="4" w:space="0" w:color="ADD6EA"/>
              <w:left w:val="nil"/>
              <w:bottom w:val="single" w:sz="4" w:space="0" w:color="ADD6EA"/>
              <w:right w:val="nil"/>
            </w:tcBorders>
            <w:shd w:val="clear" w:color="auto" w:fill="B6D5E4"/>
            <w:noWrap/>
            <w:hideMark/>
          </w:tcPr>
          <w:p w14:paraId="3AE75A5C" w14:textId="77777777" w:rsidR="006C2FC5" w:rsidRPr="00C91117" w:rsidRDefault="006C2FC5" w:rsidP="00874F19">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c>
          <w:tcPr>
            <w:tcW w:w="4394" w:type="dxa"/>
            <w:tcBorders>
              <w:top w:val="single" w:sz="4" w:space="0" w:color="ADD6EA"/>
              <w:left w:val="nil"/>
              <w:bottom w:val="single" w:sz="4" w:space="0" w:color="ADD6EA"/>
              <w:right w:val="nil"/>
            </w:tcBorders>
            <w:shd w:val="clear" w:color="auto" w:fill="B6D5E4"/>
            <w:noWrap/>
            <w:hideMark/>
          </w:tcPr>
          <w:p w14:paraId="58825017" w14:textId="77777777" w:rsidR="006C2FC5" w:rsidRPr="00C91117" w:rsidRDefault="006C2FC5" w:rsidP="00874F19">
            <w:pPr>
              <w:spacing w:line="240" w:lineRule="auto"/>
              <w:rPr>
                <w:rFonts w:ascii="Open Sans Semibold" w:eastAsia="Times New Roman" w:hAnsi="Open Sans Semibold" w:cs="Open Sans Semibold"/>
                <w:color w:val="000000"/>
                <w:sz w:val="16"/>
                <w:szCs w:val="16"/>
                <w:lang w:eastAsia="en-AU"/>
              </w:rPr>
            </w:pPr>
            <w:r w:rsidRPr="00C91117">
              <w:rPr>
                <w:rFonts w:ascii="Open Sans Semibold" w:eastAsia="Times New Roman" w:hAnsi="Open Sans Semibold" w:cs="Open Sans Semibold"/>
                <w:color w:val="000000"/>
                <w:sz w:val="16"/>
                <w:szCs w:val="16"/>
                <w:lang w:eastAsia="en-AU"/>
              </w:rPr>
              <w:t> </w:t>
            </w:r>
          </w:p>
        </w:tc>
      </w:tr>
      <w:tr w:rsidR="006C2FC5" w:rsidRPr="00954A46" w14:paraId="76373D34" w14:textId="77777777" w:rsidTr="6819DC36">
        <w:trPr>
          <w:trHeight w:val="765"/>
        </w:trPr>
        <w:tc>
          <w:tcPr>
            <w:tcW w:w="2552" w:type="dxa"/>
            <w:tcBorders>
              <w:top w:val="single" w:sz="4" w:space="0" w:color="ADD6EA"/>
              <w:left w:val="nil"/>
              <w:bottom w:val="single" w:sz="4" w:space="0" w:color="ADD6EA"/>
              <w:right w:val="nil"/>
            </w:tcBorders>
          </w:tcPr>
          <w:p w14:paraId="401E6B06" w14:textId="77777777" w:rsidR="006C2FC5" w:rsidRPr="00CE3F7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Australian Defence Technologies Academy</w:t>
            </w:r>
          </w:p>
        </w:tc>
        <w:tc>
          <w:tcPr>
            <w:tcW w:w="4678" w:type="dxa"/>
            <w:tcBorders>
              <w:top w:val="single" w:sz="4" w:space="0" w:color="ADD6EA"/>
              <w:left w:val="nil"/>
              <w:bottom w:val="single" w:sz="4" w:space="0" w:color="ADD6EA"/>
              <w:right w:val="nil"/>
            </w:tcBorders>
          </w:tcPr>
          <w:p w14:paraId="69FC9FEA" w14:textId="77777777" w:rsidR="006C2FC5" w:rsidRPr="00CE3F7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Contribution to a</w:t>
            </w:r>
            <w:r w:rsidRPr="00FF02FE">
              <w:rPr>
                <w:rFonts w:ascii="Open Sans Light" w:eastAsia="Times New Roman" w:hAnsi="Open Sans Light" w:cs="Open Sans Light"/>
                <w:color w:val="000000"/>
                <w:sz w:val="16"/>
                <w:szCs w:val="16"/>
                <w:lang w:eastAsia="en-AU"/>
              </w:rPr>
              <w:t xml:space="preserve"> $60 million Australian Defence Technologies Academy </w:t>
            </w:r>
            <w:r>
              <w:rPr>
                <w:rFonts w:ascii="Open Sans Light" w:eastAsia="Times New Roman" w:hAnsi="Open Sans Light" w:cs="Open Sans Light"/>
                <w:color w:val="000000"/>
                <w:sz w:val="16"/>
                <w:szCs w:val="16"/>
                <w:lang w:eastAsia="en-AU"/>
              </w:rPr>
              <w:t>to</w:t>
            </w:r>
            <w:r w:rsidRPr="00FF02FE">
              <w:rPr>
                <w:rFonts w:ascii="Open Sans Light" w:eastAsia="Times New Roman" w:hAnsi="Open Sans Light" w:cs="Open Sans Light"/>
                <w:color w:val="000000"/>
                <w:sz w:val="16"/>
                <w:szCs w:val="16"/>
                <w:lang w:eastAsia="en-AU"/>
              </w:rPr>
              <w:t xml:space="preserve"> drive sovereign research and development of defence capabilities in South Australia.</w:t>
            </w:r>
            <w:r>
              <w:rPr>
                <w:rFonts w:ascii="Open Sans Light" w:eastAsia="Times New Roman" w:hAnsi="Open Sans Light" w:cs="Open Sans Light"/>
                <w:color w:val="000000"/>
                <w:sz w:val="16"/>
                <w:szCs w:val="16"/>
                <w:lang w:eastAsia="en-AU"/>
              </w:rPr>
              <w:t xml:space="preserve"> </w:t>
            </w:r>
          </w:p>
        </w:tc>
        <w:tc>
          <w:tcPr>
            <w:tcW w:w="992" w:type="dxa"/>
            <w:tcBorders>
              <w:top w:val="single" w:sz="4" w:space="0" w:color="ADD6EA"/>
              <w:left w:val="nil"/>
              <w:bottom w:val="single" w:sz="4" w:space="0" w:color="ADD6EA"/>
            </w:tcBorders>
            <w:noWrap/>
            <w:tcMar>
              <w:right w:w="85" w:type="dxa"/>
            </w:tcMar>
            <w:vAlign w:val="center"/>
          </w:tcPr>
          <w:p w14:paraId="1B8FD2F0" w14:textId="77777777" w:rsidR="006C2FC5" w:rsidRPr="002B0919" w:rsidRDefault="006C2FC5" w:rsidP="00874F19">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single" w:sz="4" w:space="0" w:color="ADD6EA"/>
              <w:right w:val="nil"/>
            </w:tcBorders>
            <w:noWrap/>
            <w:vAlign w:val="center"/>
          </w:tcPr>
          <w:p w14:paraId="779C0F7C" w14:textId="77777777" w:rsidR="006C2FC5" w:rsidRPr="00CE3F7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No impact</w:t>
            </w:r>
          </w:p>
        </w:tc>
        <w:tc>
          <w:tcPr>
            <w:tcW w:w="4394" w:type="dxa"/>
            <w:tcBorders>
              <w:top w:val="single" w:sz="4" w:space="0" w:color="ADD6EA"/>
              <w:left w:val="nil"/>
              <w:bottom w:val="single" w:sz="4" w:space="0" w:color="ADD6EA"/>
              <w:right w:val="nil"/>
            </w:tcBorders>
            <w:noWrap/>
          </w:tcPr>
          <w:p w14:paraId="390B0122" w14:textId="77777777" w:rsidR="006C2FC5" w:rsidRPr="00CE3F77"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Universities and defence are a Commonwealth responsibility.</w:t>
            </w:r>
          </w:p>
        </w:tc>
      </w:tr>
      <w:bookmarkEnd w:id="10"/>
      <w:tr w:rsidR="006C2FC5" w:rsidRPr="00C91117" w14:paraId="01D41DB4" w14:textId="77777777" w:rsidTr="6819DC36">
        <w:trPr>
          <w:trHeight w:val="259"/>
        </w:trPr>
        <w:tc>
          <w:tcPr>
            <w:tcW w:w="2552" w:type="dxa"/>
            <w:tcBorders>
              <w:top w:val="single" w:sz="4" w:space="0" w:color="ADD6EA"/>
              <w:left w:val="nil"/>
              <w:bottom w:val="single" w:sz="4" w:space="0" w:color="ADD6EA"/>
              <w:right w:val="nil"/>
            </w:tcBorders>
            <w:shd w:val="clear" w:color="auto" w:fill="B6D5E4"/>
          </w:tcPr>
          <w:p w14:paraId="4033FB83" w14:textId="77777777" w:rsidR="006C2FC5" w:rsidRPr="006220C1" w:rsidRDefault="006C2FC5" w:rsidP="00874F19">
            <w:pPr>
              <w:spacing w:line="240" w:lineRule="auto"/>
              <w:rPr>
                <w:rFonts w:ascii="Open Sans Semibold" w:eastAsia="Times New Roman" w:hAnsi="Open Sans Semibold" w:cs="Open Sans Semibold"/>
                <w:color w:val="000000"/>
                <w:sz w:val="16"/>
                <w:szCs w:val="16"/>
                <w:lang w:eastAsia="en-AU"/>
              </w:rPr>
            </w:pPr>
            <w:r w:rsidRPr="006220C1">
              <w:rPr>
                <w:rFonts w:ascii="Open Sans Semibold" w:eastAsia="Times New Roman" w:hAnsi="Open Sans Semibold" w:cs="Open Sans Semibold"/>
                <w:color w:val="000000"/>
                <w:sz w:val="16"/>
                <w:szCs w:val="16"/>
                <w:lang w:eastAsia="en-AU"/>
              </w:rPr>
              <w:t>Albury-Wodonga</w:t>
            </w:r>
          </w:p>
        </w:tc>
        <w:tc>
          <w:tcPr>
            <w:tcW w:w="4678" w:type="dxa"/>
            <w:tcBorders>
              <w:top w:val="single" w:sz="4" w:space="0" w:color="ADD6EA"/>
              <w:left w:val="nil"/>
              <w:bottom w:val="single" w:sz="4" w:space="0" w:color="ADD6EA"/>
              <w:right w:val="nil"/>
            </w:tcBorders>
            <w:shd w:val="clear" w:color="auto" w:fill="B6D5E4"/>
            <w:noWrap/>
          </w:tcPr>
          <w:p w14:paraId="2544A1BD" w14:textId="77777777" w:rsidR="006C2FC5" w:rsidRPr="00934245" w:rsidRDefault="006C2FC5" w:rsidP="00874F19">
            <w:pPr>
              <w:spacing w:line="240" w:lineRule="auto"/>
              <w:jc w:val="right"/>
              <w:rPr>
                <w:rFonts w:ascii="Open Sans Light" w:eastAsia="Times New Roman" w:hAnsi="Open Sans Light" w:cs="Open Sans Light"/>
                <w:color w:val="000000"/>
                <w:sz w:val="16"/>
                <w:szCs w:val="16"/>
                <w:lang w:eastAsia="en-AU"/>
              </w:rPr>
            </w:pPr>
          </w:p>
        </w:tc>
        <w:tc>
          <w:tcPr>
            <w:tcW w:w="992" w:type="dxa"/>
            <w:tcBorders>
              <w:top w:val="single" w:sz="4" w:space="0" w:color="ADD6EA"/>
              <w:left w:val="nil"/>
              <w:bottom w:val="single" w:sz="4" w:space="0" w:color="ADD6EA"/>
              <w:right w:val="nil"/>
            </w:tcBorders>
            <w:shd w:val="clear" w:color="auto" w:fill="B6D5E4"/>
            <w:noWrap/>
            <w:tcMar>
              <w:right w:w="85" w:type="dxa"/>
            </w:tcMar>
            <w:vAlign w:val="center"/>
          </w:tcPr>
          <w:p w14:paraId="54FD9EA2" w14:textId="77777777" w:rsidR="006C2FC5" w:rsidRPr="002B0919" w:rsidRDefault="006C2FC5" w:rsidP="00874F19">
            <w:pPr>
              <w:spacing w:line="240" w:lineRule="auto"/>
              <w:ind w:right="192"/>
              <w:jc w:val="right"/>
              <w:rPr>
                <w:rFonts w:ascii="Open Sans Light" w:eastAsia="Times New Roman" w:hAnsi="Open Sans Light" w:cs="Open Sans Light"/>
                <w:color w:val="000000"/>
                <w:sz w:val="16"/>
                <w:szCs w:val="16"/>
                <w:lang w:eastAsia="en-AU"/>
              </w:rPr>
            </w:pPr>
          </w:p>
        </w:tc>
        <w:tc>
          <w:tcPr>
            <w:tcW w:w="1276" w:type="dxa"/>
            <w:tcBorders>
              <w:top w:val="single" w:sz="4" w:space="0" w:color="ADD6EA"/>
              <w:left w:val="nil"/>
              <w:bottom w:val="single" w:sz="4" w:space="0" w:color="ADD6EA"/>
              <w:right w:val="nil"/>
            </w:tcBorders>
            <w:shd w:val="clear" w:color="auto" w:fill="B6D5E4"/>
            <w:noWrap/>
            <w:vAlign w:val="center"/>
          </w:tcPr>
          <w:p w14:paraId="20BB97ED"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p>
        </w:tc>
        <w:tc>
          <w:tcPr>
            <w:tcW w:w="4394" w:type="dxa"/>
            <w:tcBorders>
              <w:top w:val="single" w:sz="4" w:space="0" w:color="ADD6EA"/>
              <w:left w:val="nil"/>
              <w:bottom w:val="single" w:sz="4" w:space="0" w:color="ADD6EA"/>
              <w:right w:val="nil"/>
            </w:tcBorders>
            <w:shd w:val="clear" w:color="auto" w:fill="B6D5E4"/>
            <w:noWrap/>
          </w:tcPr>
          <w:p w14:paraId="57C0283A" w14:textId="77777777" w:rsidR="006C2FC5" w:rsidRPr="00934245" w:rsidRDefault="006C2FC5" w:rsidP="00874F19">
            <w:pPr>
              <w:spacing w:line="240" w:lineRule="auto"/>
              <w:jc w:val="right"/>
              <w:rPr>
                <w:rFonts w:ascii="Open Sans Light" w:eastAsia="Times New Roman" w:hAnsi="Open Sans Light" w:cs="Open Sans Light"/>
                <w:color w:val="000000"/>
                <w:sz w:val="16"/>
                <w:szCs w:val="16"/>
                <w:lang w:eastAsia="en-AU"/>
              </w:rPr>
            </w:pPr>
          </w:p>
        </w:tc>
      </w:tr>
      <w:tr w:rsidR="006C2FC5" w:rsidRPr="00954A46" w14:paraId="5829353B" w14:textId="77777777" w:rsidTr="00A8117F">
        <w:trPr>
          <w:trHeight w:val="465"/>
        </w:trPr>
        <w:tc>
          <w:tcPr>
            <w:tcW w:w="2552" w:type="dxa"/>
            <w:tcBorders>
              <w:top w:val="single" w:sz="4" w:space="0" w:color="ADD6EA"/>
              <w:left w:val="nil"/>
              <w:bottom w:val="single" w:sz="4" w:space="0" w:color="ADD6EA"/>
              <w:right w:val="nil"/>
            </w:tcBorders>
            <w:vAlign w:val="center"/>
          </w:tcPr>
          <w:p w14:paraId="418433B2"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Stage 3 Splash Park development. Oddies Creek</w:t>
            </w:r>
          </w:p>
        </w:tc>
        <w:tc>
          <w:tcPr>
            <w:tcW w:w="4678" w:type="dxa"/>
            <w:tcBorders>
              <w:top w:val="single" w:sz="4" w:space="0" w:color="ADD6EA"/>
              <w:left w:val="nil"/>
              <w:bottom w:val="single" w:sz="4" w:space="0" w:color="ADD6EA"/>
              <w:right w:val="nil"/>
            </w:tcBorders>
            <w:vAlign w:val="bottom"/>
          </w:tcPr>
          <w:p w14:paraId="07BFFB14" w14:textId="77777777" w:rsidR="006C2FC5" w:rsidRPr="00934245"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934245">
              <w:rPr>
                <w:rFonts w:ascii="Open Sans Light" w:hAnsi="Open Sans Light" w:cs="Open Sans Light"/>
                <w:color w:val="000000"/>
                <w:sz w:val="16"/>
                <w:szCs w:val="16"/>
              </w:rPr>
              <w:t>Funding for a splash park that will offer families an alternative to risky river activities and meet community aspirations for accessible and vibrant recreational spaces.</w:t>
            </w:r>
          </w:p>
        </w:tc>
        <w:tc>
          <w:tcPr>
            <w:tcW w:w="992" w:type="dxa"/>
            <w:tcBorders>
              <w:top w:val="single" w:sz="4" w:space="0" w:color="ADD6EA"/>
              <w:left w:val="nil"/>
              <w:bottom w:val="single" w:sz="4" w:space="0" w:color="ADD6EA"/>
              <w:right w:val="nil"/>
            </w:tcBorders>
            <w:noWrap/>
            <w:tcMar>
              <w:right w:w="85" w:type="dxa"/>
            </w:tcMar>
            <w:vAlign w:val="center"/>
          </w:tcPr>
          <w:p w14:paraId="6B0FD65A"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single" w:sz="4" w:space="0" w:color="ADD6EA"/>
              <w:right w:val="nil"/>
            </w:tcBorders>
            <w:noWrap/>
            <w:vAlign w:val="center"/>
          </w:tcPr>
          <w:p w14:paraId="599F1B5A"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47E931D3"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Investment in recreational and cultural services is a state function, and needs are assessed.</w:t>
            </w:r>
          </w:p>
        </w:tc>
      </w:tr>
      <w:tr w:rsidR="006C2FC5" w:rsidRPr="00954A46" w14:paraId="7E305008" w14:textId="77777777" w:rsidTr="00A8117F">
        <w:trPr>
          <w:trHeight w:val="465"/>
        </w:trPr>
        <w:tc>
          <w:tcPr>
            <w:tcW w:w="2552" w:type="dxa"/>
            <w:tcBorders>
              <w:top w:val="single" w:sz="4" w:space="0" w:color="ADD6EA"/>
              <w:left w:val="nil"/>
              <w:bottom w:val="single" w:sz="4" w:space="0" w:color="ADD6EA"/>
              <w:right w:val="nil"/>
            </w:tcBorders>
            <w:vAlign w:val="center"/>
          </w:tcPr>
          <w:p w14:paraId="3FEC0082"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Detailed design for an Aboriginal Aged Care Facility</w:t>
            </w:r>
          </w:p>
        </w:tc>
        <w:tc>
          <w:tcPr>
            <w:tcW w:w="4678" w:type="dxa"/>
            <w:tcBorders>
              <w:top w:val="single" w:sz="4" w:space="0" w:color="ADD6EA"/>
              <w:left w:val="nil"/>
              <w:bottom w:val="single" w:sz="4" w:space="0" w:color="ADD6EA"/>
              <w:right w:val="nil"/>
            </w:tcBorders>
          </w:tcPr>
          <w:p w14:paraId="5BDC6087" w14:textId="27EEE797" w:rsidR="006C2FC5" w:rsidRPr="00934245"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3447F8">
              <w:rPr>
                <w:rFonts w:ascii="Open Sans Light" w:eastAsia="Times New Roman" w:hAnsi="Open Sans Light" w:cs="Open Sans Light"/>
                <w:color w:val="000000"/>
                <w:sz w:val="16"/>
                <w:szCs w:val="16"/>
                <w:lang w:eastAsia="en-AU"/>
              </w:rPr>
              <w:t>Detailed design for proposed facility to include low medium and high care option for First Nation</w:t>
            </w:r>
            <w:r w:rsidR="003A085E">
              <w:rPr>
                <w:rFonts w:ascii="Open Sans Light" w:eastAsia="Times New Roman" w:hAnsi="Open Sans Light" w:cs="Open Sans Light"/>
                <w:color w:val="000000"/>
                <w:sz w:val="16"/>
                <w:szCs w:val="16"/>
                <w:lang w:eastAsia="en-AU"/>
              </w:rPr>
              <w:t>s</w:t>
            </w:r>
            <w:r w:rsidRPr="003447F8">
              <w:rPr>
                <w:rFonts w:ascii="Open Sans Light" w:eastAsia="Times New Roman" w:hAnsi="Open Sans Light" w:cs="Open Sans Light"/>
                <w:color w:val="000000"/>
                <w:sz w:val="16"/>
                <w:szCs w:val="16"/>
                <w:lang w:eastAsia="en-AU"/>
              </w:rPr>
              <w:t xml:space="preserve"> community members with a focus on holistic and culturally safe care.</w:t>
            </w:r>
          </w:p>
        </w:tc>
        <w:tc>
          <w:tcPr>
            <w:tcW w:w="992" w:type="dxa"/>
            <w:tcBorders>
              <w:top w:val="single" w:sz="4" w:space="0" w:color="ADD6EA"/>
              <w:left w:val="nil"/>
              <w:bottom w:val="single" w:sz="4" w:space="0" w:color="ADD6EA"/>
              <w:right w:val="nil"/>
            </w:tcBorders>
            <w:noWrap/>
            <w:tcMar>
              <w:right w:w="85" w:type="dxa"/>
            </w:tcMar>
            <w:vAlign w:val="center"/>
          </w:tcPr>
          <w:p w14:paraId="30700B10"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0.5</w:t>
            </w:r>
          </w:p>
        </w:tc>
        <w:tc>
          <w:tcPr>
            <w:tcW w:w="1276" w:type="dxa"/>
            <w:tcBorders>
              <w:top w:val="single" w:sz="4" w:space="0" w:color="ADD6EA"/>
              <w:left w:val="nil"/>
              <w:bottom w:val="single" w:sz="4" w:space="0" w:color="ADD6EA"/>
              <w:right w:val="nil"/>
            </w:tcBorders>
            <w:noWrap/>
            <w:vAlign w:val="center"/>
          </w:tcPr>
          <w:p w14:paraId="55652D7E"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No Impact</w:t>
            </w:r>
          </w:p>
        </w:tc>
        <w:tc>
          <w:tcPr>
            <w:tcW w:w="4394" w:type="dxa"/>
            <w:tcBorders>
              <w:top w:val="single" w:sz="4" w:space="0" w:color="ADD6EA"/>
              <w:left w:val="nil"/>
              <w:bottom w:val="single" w:sz="4" w:space="0" w:color="ADD6EA"/>
              <w:right w:val="nil"/>
            </w:tcBorders>
            <w:noWrap/>
            <w:vAlign w:val="center"/>
          </w:tcPr>
          <w:p w14:paraId="258F1BF5"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eastAsia="Times New Roman" w:hAnsi="Open Sans Light" w:cs="Open Sans Light"/>
                <w:color w:val="000000"/>
                <w:sz w:val="16"/>
                <w:szCs w:val="16"/>
                <w:lang w:eastAsia="en-AU"/>
              </w:rPr>
              <w:t>Aged care, including residential aged care, is a Commonwealth responsibility.</w:t>
            </w:r>
          </w:p>
        </w:tc>
      </w:tr>
      <w:tr w:rsidR="006C2FC5" w:rsidRPr="00954A46" w14:paraId="28BA0EC6" w14:textId="77777777" w:rsidTr="00A8117F">
        <w:trPr>
          <w:trHeight w:val="465"/>
        </w:trPr>
        <w:tc>
          <w:tcPr>
            <w:tcW w:w="2552" w:type="dxa"/>
            <w:tcBorders>
              <w:top w:val="single" w:sz="4" w:space="0" w:color="ADD6EA"/>
              <w:left w:val="nil"/>
              <w:bottom w:val="single" w:sz="4" w:space="0" w:color="ADD6EA"/>
              <w:right w:val="nil"/>
            </w:tcBorders>
            <w:vAlign w:val="center"/>
          </w:tcPr>
          <w:p w14:paraId="1E7B2E6E"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Enabling &amp; other infrastructure to support the Albury Wodonga Regional Hospital Development</w:t>
            </w:r>
          </w:p>
        </w:tc>
        <w:tc>
          <w:tcPr>
            <w:tcW w:w="4678" w:type="dxa"/>
            <w:tcBorders>
              <w:top w:val="single" w:sz="4" w:space="0" w:color="ADD6EA"/>
              <w:left w:val="nil"/>
              <w:bottom w:val="single" w:sz="4" w:space="0" w:color="ADD6EA"/>
              <w:right w:val="nil"/>
            </w:tcBorders>
          </w:tcPr>
          <w:p w14:paraId="76B0FE9C" w14:textId="77777777" w:rsidR="006C2FC5" w:rsidRPr="00934245"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934245">
              <w:rPr>
                <w:rFonts w:ascii="Open Sans Light" w:hAnsi="Open Sans Light" w:cs="Open Sans Light"/>
                <w:color w:val="000000"/>
                <w:sz w:val="16"/>
                <w:szCs w:val="16"/>
              </w:rPr>
              <w:t xml:space="preserve">Funding for a major new regional hospital and improved health services for the Albury, Wodonga and border communities. </w:t>
            </w:r>
          </w:p>
        </w:tc>
        <w:tc>
          <w:tcPr>
            <w:tcW w:w="992" w:type="dxa"/>
            <w:tcBorders>
              <w:top w:val="single" w:sz="4" w:space="0" w:color="ADD6EA"/>
              <w:left w:val="nil"/>
              <w:bottom w:val="single" w:sz="4" w:space="0" w:color="ADD6EA"/>
              <w:right w:val="nil"/>
            </w:tcBorders>
            <w:noWrap/>
            <w:tcMar>
              <w:right w:w="85" w:type="dxa"/>
            </w:tcMar>
            <w:vAlign w:val="center"/>
          </w:tcPr>
          <w:p w14:paraId="7F249FE7"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6.5</w:t>
            </w:r>
          </w:p>
        </w:tc>
        <w:tc>
          <w:tcPr>
            <w:tcW w:w="1276" w:type="dxa"/>
            <w:tcBorders>
              <w:top w:val="single" w:sz="4" w:space="0" w:color="ADD6EA"/>
              <w:left w:val="nil"/>
              <w:bottom w:val="single" w:sz="4" w:space="0" w:color="ADD6EA"/>
              <w:right w:val="nil"/>
            </w:tcBorders>
            <w:noWrap/>
            <w:vAlign w:val="center"/>
          </w:tcPr>
          <w:p w14:paraId="3B175D3A"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vAlign w:val="center"/>
          </w:tcPr>
          <w:p w14:paraId="0A603ABD"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h</w:t>
            </w:r>
            <w:r w:rsidRPr="00934245">
              <w:rPr>
                <w:rFonts w:ascii="Open Sans Light" w:hAnsi="Open Sans Light" w:cs="Open Sans Light"/>
                <w:color w:val="000000"/>
                <w:sz w:val="16"/>
                <w:szCs w:val="16"/>
              </w:rPr>
              <w:t>ospital</w:t>
            </w:r>
            <w:r>
              <w:rPr>
                <w:rFonts w:ascii="Open Sans Light" w:hAnsi="Open Sans Light" w:cs="Open Sans Light"/>
                <w:color w:val="000000"/>
                <w:sz w:val="16"/>
                <w:szCs w:val="16"/>
              </w:rPr>
              <w:t xml:space="preserve"> infrastructure and health services are a state function, and needs are</w:t>
            </w:r>
            <w:r w:rsidRPr="00934245">
              <w:rPr>
                <w:rFonts w:ascii="Open Sans Light" w:hAnsi="Open Sans Light" w:cs="Open Sans Light"/>
                <w:color w:val="000000"/>
                <w:sz w:val="16"/>
                <w:szCs w:val="16"/>
              </w:rPr>
              <w:t xml:space="preserve"> assessed</w:t>
            </w:r>
            <w:r>
              <w:rPr>
                <w:rFonts w:ascii="Open Sans Light" w:hAnsi="Open Sans Light" w:cs="Open Sans Light"/>
                <w:color w:val="000000"/>
                <w:sz w:val="16"/>
                <w:szCs w:val="16"/>
              </w:rPr>
              <w:t>.</w:t>
            </w:r>
          </w:p>
        </w:tc>
      </w:tr>
      <w:tr w:rsidR="006C2FC5" w:rsidRPr="00954A46" w14:paraId="2EAEC019" w14:textId="77777777" w:rsidTr="00A8117F">
        <w:trPr>
          <w:trHeight w:val="465"/>
        </w:trPr>
        <w:tc>
          <w:tcPr>
            <w:tcW w:w="2552" w:type="dxa"/>
            <w:tcBorders>
              <w:top w:val="single" w:sz="4" w:space="0" w:color="ADD6EA"/>
              <w:left w:val="nil"/>
              <w:bottom w:val="single" w:sz="4" w:space="0" w:color="ADD6EA"/>
              <w:right w:val="nil"/>
            </w:tcBorders>
            <w:vAlign w:val="center"/>
          </w:tcPr>
          <w:p w14:paraId="04D5788E"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Wodonga Creek Precinct development</w:t>
            </w:r>
          </w:p>
        </w:tc>
        <w:tc>
          <w:tcPr>
            <w:tcW w:w="4678" w:type="dxa"/>
            <w:tcBorders>
              <w:top w:val="single" w:sz="4" w:space="0" w:color="ADD6EA"/>
              <w:left w:val="nil"/>
              <w:bottom w:val="single" w:sz="4" w:space="0" w:color="ADD6EA"/>
              <w:right w:val="nil"/>
            </w:tcBorders>
          </w:tcPr>
          <w:p w14:paraId="0C7EA306" w14:textId="77777777" w:rsidR="006C2FC5" w:rsidRPr="00934245"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934245">
              <w:rPr>
                <w:rFonts w:ascii="Open Sans Light" w:hAnsi="Open Sans Light" w:cs="Open Sans Light"/>
                <w:color w:val="000000"/>
                <w:sz w:val="16"/>
                <w:szCs w:val="16"/>
              </w:rPr>
              <w:t xml:space="preserve">Funding for the Wodonga Creek precinct development, linking the Wodonga central business area, Belvoir Park and Gateway Island through to Albury by connecting to the existing Wodonga pathways network. </w:t>
            </w:r>
          </w:p>
        </w:tc>
        <w:tc>
          <w:tcPr>
            <w:tcW w:w="992" w:type="dxa"/>
            <w:tcBorders>
              <w:top w:val="single" w:sz="4" w:space="0" w:color="ADD6EA"/>
              <w:left w:val="nil"/>
              <w:bottom w:val="single" w:sz="4" w:space="0" w:color="ADD6EA"/>
              <w:right w:val="nil"/>
            </w:tcBorders>
            <w:noWrap/>
            <w:tcMar>
              <w:right w:w="85" w:type="dxa"/>
            </w:tcMar>
            <w:vAlign w:val="center"/>
          </w:tcPr>
          <w:p w14:paraId="7140E2EF"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single" w:sz="4" w:space="0" w:color="ADD6EA"/>
              <w:right w:val="nil"/>
            </w:tcBorders>
            <w:noWrap/>
            <w:vAlign w:val="center"/>
          </w:tcPr>
          <w:p w14:paraId="614EEF25"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vAlign w:val="center"/>
          </w:tcPr>
          <w:p w14:paraId="2C395641" w14:textId="77777777" w:rsidR="006C2FC5" w:rsidRPr="00214718"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CD2A58">
              <w:rPr>
                <w:rFonts w:ascii="Open Sans Light" w:hAnsi="Open Sans Light" w:cs="Open Sans Light"/>
                <w:color w:val="000000"/>
                <w:sz w:val="16"/>
                <w:szCs w:val="16"/>
              </w:rPr>
              <w:t>Investment in recreational and cultural services (cycle track) is a state function, and needs are assessed.</w:t>
            </w:r>
          </w:p>
        </w:tc>
      </w:tr>
      <w:tr w:rsidR="006C2FC5" w:rsidRPr="00CB1CE7" w14:paraId="7F937DF9" w14:textId="77777777" w:rsidTr="00A8117F">
        <w:trPr>
          <w:trHeight w:val="465"/>
        </w:trPr>
        <w:tc>
          <w:tcPr>
            <w:tcW w:w="2552" w:type="dxa"/>
            <w:tcBorders>
              <w:top w:val="single" w:sz="4" w:space="0" w:color="ADD6EA"/>
              <w:left w:val="nil"/>
              <w:bottom w:val="single" w:sz="4" w:space="0" w:color="ADD6EA"/>
              <w:right w:val="nil"/>
            </w:tcBorders>
            <w:vAlign w:val="center"/>
          </w:tcPr>
          <w:p w14:paraId="010C59AD" w14:textId="77777777" w:rsidR="006C2FC5" w:rsidRPr="00934245" w:rsidRDefault="006C2FC5" w:rsidP="00874F19">
            <w:pPr>
              <w:spacing w:line="240" w:lineRule="auto"/>
              <w:rPr>
                <w:rFonts w:ascii="Open Sans Light" w:eastAsia="Times New Roman" w:hAnsi="Open Sans Light" w:cs="Open Sans Light"/>
                <w:color w:val="000000"/>
                <w:sz w:val="16"/>
                <w:szCs w:val="16"/>
                <w:lang w:eastAsia="en-AU"/>
              </w:rPr>
            </w:pPr>
            <w:r w:rsidRPr="00934245">
              <w:rPr>
                <w:rFonts w:ascii="Open Sans Light" w:hAnsi="Open Sans Light" w:cs="Open Sans Light"/>
                <w:color w:val="000000"/>
                <w:sz w:val="16"/>
                <w:szCs w:val="16"/>
              </w:rPr>
              <w:t>Essential health worker housing</w:t>
            </w:r>
          </w:p>
        </w:tc>
        <w:tc>
          <w:tcPr>
            <w:tcW w:w="4678" w:type="dxa"/>
            <w:tcBorders>
              <w:top w:val="single" w:sz="4" w:space="0" w:color="ADD6EA"/>
              <w:left w:val="nil"/>
              <w:bottom w:val="single" w:sz="4" w:space="0" w:color="ADD6EA"/>
              <w:right w:val="nil"/>
            </w:tcBorders>
            <w:vAlign w:val="bottom"/>
          </w:tcPr>
          <w:p w14:paraId="51D8E61D" w14:textId="3B10F735" w:rsidR="006C2FC5" w:rsidRPr="00934245" w:rsidRDefault="006C2FC5" w:rsidP="00874F19">
            <w:pPr>
              <w:spacing w:line="240" w:lineRule="auto"/>
              <w:rPr>
                <w:rFonts w:ascii="Open Sans Light" w:eastAsia="Times New Roman" w:hAnsi="Open Sans Light" w:cs="Open Sans Light"/>
                <w:color w:val="000000"/>
                <w:sz w:val="16"/>
                <w:szCs w:val="16"/>
                <w:highlight w:val="yellow"/>
                <w:lang w:eastAsia="en-AU"/>
              </w:rPr>
            </w:pPr>
            <w:r w:rsidRPr="00934245">
              <w:rPr>
                <w:rFonts w:ascii="Open Sans Light" w:hAnsi="Open Sans Light" w:cs="Open Sans Light"/>
                <w:color w:val="000000"/>
                <w:sz w:val="16"/>
                <w:szCs w:val="16"/>
              </w:rPr>
              <w:t>The funding will secure approximately 120 dwellings across regional N</w:t>
            </w:r>
            <w:r w:rsidR="00D86345">
              <w:rPr>
                <w:rFonts w:ascii="Open Sans Light" w:hAnsi="Open Sans Light" w:cs="Open Sans Light"/>
                <w:color w:val="000000"/>
                <w:sz w:val="16"/>
                <w:szCs w:val="16"/>
              </w:rPr>
              <w:t>ew South Wales</w:t>
            </w:r>
            <w:r>
              <w:rPr>
                <w:rFonts w:ascii="Open Sans Light" w:hAnsi="Open Sans Light" w:cs="Open Sans Light"/>
                <w:color w:val="000000"/>
                <w:sz w:val="16"/>
                <w:szCs w:val="16"/>
              </w:rPr>
              <w:t xml:space="preserve"> to</w:t>
            </w:r>
            <w:r w:rsidRPr="00934245">
              <w:rPr>
                <w:rFonts w:ascii="Open Sans Light" w:hAnsi="Open Sans Light" w:cs="Open Sans Light"/>
                <w:color w:val="000000"/>
                <w:sz w:val="16"/>
                <w:szCs w:val="16"/>
              </w:rPr>
              <w:t xml:space="preserve"> support the recruitment and retention of more than 500 health workers and their families by providing a range of accommodation options.</w:t>
            </w:r>
          </w:p>
        </w:tc>
        <w:tc>
          <w:tcPr>
            <w:tcW w:w="992" w:type="dxa"/>
            <w:tcBorders>
              <w:top w:val="single" w:sz="4" w:space="0" w:color="ADD6EA"/>
              <w:left w:val="nil"/>
              <w:bottom w:val="single" w:sz="4" w:space="0" w:color="ADD6EA"/>
              <w:right w:val="nil"/>
            </w:tcBorders>
            <w:noWrap/>
            <w:tcMar>
              <w:right w:w="85" w:type="dxa"/>
            </w:tcMar>
            <w:vAlign w:val="center"/>
          </w:tcPr>
          <w:p w14:paraId="0900BD15"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3.5</w:t>
            </w:r>
          </w:p>
        </w:tc>
        <w:tc>
          <w:tcPr>
            <w:tcW w:w="1276" w:type="dxa"/>
            <w:tcBorders>
              <w:top w:val="single" w:sz="4" w:space="0" w:color="ADD6EA"/>
              <w:left w:val="nil"/>
              <w:bottom w:val="single" w:sz="4" w:space="0" w:color="ADD6EA"/>
              <w:right w:val="nil"/>
            </w:tcBorders>
            <w:noWrap/>
            <w:vAlign w:val="center"/>
          </w:tcPr>
          <w:p w14:paraId="7C6285B3"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vAlign w:val="center"/>
          </w:tcPr>
          <w:p w14:paraId="6AB01145"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The recruitment and retention of health-related staff is a function of state health services, and needs are assessed.</w:t>
            </w:r>
          </w:p>
        </w:tc>
      </w:tr>
      <w:tr w:rsidR="006C2FC5" w:rsidRPr="00954A46" w14:paraId="5AFEA4BF" w14:textId="77777777" w:rsidTr="00A8117F">
        <w:trPr>
          <w:trHeight w:val="465"/>
        </w:trPr>
        <w:tc>
          <w:tcPr>
            <w:tcW w:w="2552" w:type="dxa"/>
            <w:tcBorders>
              <w:top w:val="single" w:sz="4" w:space="0" w:color="ADD6EA"/>
              <w:left w:val="nil"/>
              <w:bottom w:val="single" w:sz="4" w:space="0" w:color="ADD6EA"/>
              <w:right w:val="nil"/>
            </w:tcBorders>
            <w:shd w:val="clear" w:color="auto" w:fill="B6D5E4"/>
          </w:tcPr>
          <w:p w14:paraId="5854A79A" w14:textId="77777777" w:rsidR="006C2FC5" w:rsidRPr="007651C5"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Semibold" w:eastAsia="Times New Roman" w:hAnsi="Open Sans Semibold" w:cs="Open Sans Semibold"/>
                <w:color w:val="000000"/>
                <w:sz w:val="16"/>
                <w:szCs w:val="16"/>
                <w:lang w:eastAsia="en-AU"/>
              </w:rPr>
              <w:t>Barkly</w:t>
            </w:r>
          </w:p>
        </w:tc>
        <w:tc>
          <w:tcPr>
            <w:tcW w:w="4678" w:type="dxa"/>
            <w:tcBorders>
              <w:top w:val="single" w:sz="4" w:space="0" w:color="ADD6EA"/>
              <w:left w:val="nil"/>
              <w:bottom w:val="single" w:sz="4" w:space="0" w:color="ADD6EA"/>
              <w:right w:val="nil"/>
            </w:tcBorders>
            <w:shd w:val="clear" w:color="auto" w:fill="B6D5E4"/>
          </w:tcPr>
          <w:p w14:paraId="42AE9962" w14:textId="77777777" w:rsidR="006C2FC5" w:rsidRPr="007651C5" w:rsidRDefault="006C2FC5" w:rsidP="00874F19">
            <w:pPr>
              <w:spacing w:line="240" w:lineRule="auto"/>
              <w:rPr>
                <w:rFonts w:ascii="Open Sans Light" w:eastAsia="Times New Roman" w:hAnsi="Open Sans Light" w:cs="Open Sans Light"/>
                <w:color w:val="000000"/>
                <w:sz w:val="16"/>
                <w:szCs w:val="16"/>
                <w:highlight w:val="yellow"/>
                <w:lang w:eastAsia="en-AU"/>
              </w:rPr>
            </w:pPr>
          </w:p>
        </w:tc>
        <w:tc>
          <w:tcPr>
            <w:tcW w:w="992" w:type="dxa"/>
            <w:tcBorders>
              <w:top w:val="single" w:sz="4" w:space="0" w:color="ADD6EA"/>
              <w:left w:val="nil"/>
              <w:bottom w:val="single" w:sz="4" w:space="0" w:color="ADD6EA"/>
              <w:right w:val="nil"/>
            </w:tcBorders>
            <w:shd w:val="clear" w:color="auto" w:fill="B6D5E4"/>
            <w:noWrap/>
            <w:tcMar>
              <w:right w:w="85" w:type="dxa"/>
            </w:tcMar>
            <w:vAlign w:val="center"/>
          </w:tcPr>
          <w:p w14:paraId="3F3F27A8" w14:textId="77777777" w:rsidR="006C2FC5" w:rsidRPr="007651C5" w:rsidRDefault="006C2FC5" w:rsidP="00874F19">
            <w:pPr>
              <w:spacing w:line="240" w:lineRule="auto"/>
              <w:jc w:val="right"/>
              <w:rPr>
                <w:rFonts w:ascii="Open Sans Light" w:eastAsia="Times New Roman" w:hAnsi="Open Sans Light" w:cs="Open Sans Light"/>
                <w:color w:val="000000"/>
                <w:sz w:val="16"/>
                <w:szCs w:val="16"/>
                <w:lang w:eastAsia="en-AU"/>
              </w:rPr>
            </w:pPr>
          </w:p>
        </w:tc>
        <w:tc>
          <w:tcPr>
            <w:tcW w:w="1276" w:type="dxa"/>
            <w:tcBorders>
              <w:top w:val="single" w:sz="4" w:space="0" w:color="ADD6EA"/>
              <w:left w:val="nil"/>
              <w:bottom w:val="single" w:sz="4" w:space="0" w:color="ADD6EA"/>
              <w:right w:val="nil"/>
            </w:tcBorders>
            <w:shd w:val="clear" w:color="auto" w:fill="B6D5E4"/>
            <w:noWrap/>
          </w:tcPr>
          <w:p w14:paraId="74E136D0" w14:textId="77777777" w:rsidR="006C2FC5" w:rsidRPr="007952D8" w:rsidRDefault="006C2FC5" w:rsidP="00874F19">
            <w:pPr>
              <w:spacing w:line="240" w:lineRule="auto"/>
              <w:rPr>
                <w:rFonts w:ascii="Open Sans Light" w:eastAsia="Times New Roman" w:hAnsi="Open Sans Light" w:cs="Open Sans Light"/>
                <w:color w:val="000000"/>
                <w:sz w:val="16"/>
                <w:szCs w:val="16"/>
                <w:lang w:eastAsia="en-AU"/>
              </w:rPr>
            </w:pPr>
          </w:p>
        </w:tc>
        <w:tc>
          <w:tcPr>
            <w:tcW w:w="4394" w:type="dxa"/>
            <w:tcBorders>
              <w:top w:val="single" w:sz="4" w:space="0" w:color="ADD6EA"/>
              <w:left w:val="nil"/>
              <w:bottom w:val="single" w:sz="4" w:space="0" w:color="ADD6EA"/>
              <w:right w:val="nil"/>
            </w:tcBorders>
            <w:shd w:val="clear" w:color="auto" w:fill="B6D5E4"/>
            <w:noWrap/>
          </w:tcPr>
          <w:p w14:paraId="7F00C125" w14:textId="77777777" w:rsidR="006C2FC5" w:rsidRPr="007952D8" w:rsidRDefault="006C2FC5" w:rsidP="00874F19">
            <w:pPr>
              <w:spacing w:line="240" w:lineRule="auto"/>
              <w:rPr>
                <w:rFonts w:ascii="Open Sans Light" w:eastAsia="Times New Roman" w:hAnsi="Open Sans Light" w:cs="Open Sans Light"/>
                <w:color w:val="000000"/>
                <w:sz w:val="16"/>
                <w:szCs w:val="16"/>
                <w:lang w:eastAsia="en-AU"/>
              </w:rPr>
            </w:pPr>
          </w:p>
        </w:tc>
      </w:tr>
      <w:tr w:rsidR="006C2FC5" w:rsidRPr="00954A46" w14:paraId="4E7ED587" w14:textId="77777777" w:rsidTr="00A8117F">
        <w:trPr>
          <w:trHeight w:val="465"/>
        </w:trPr>
        <w:tc>
          <w:tcPr>
            <w:tcW w:w="2552" w:type="dxa"/>
            <w:tcBorders>
              <w:top w:val="single" w:sz="4" w:space="0" w:color="ADD6EA"/>
              <w:left w:val="nil"/>
              <w:bottom w:val="single" w:sz="4" w:space="0" w:color="ADD6EA"/>
              <w:right w:val="nil"/>
            </w:tcBorders>
            <w:vAlign w:val="center"/>
          </w:tcPr>
          <w:p w14:paraId="76031A69" w14:textId="77777777" w:rsidR="006C2FC5" w:rsidRPr="008C7CDD" w:rsidRDefault="006C2FC5" w:rsidP="00874F19">
            <w:pPr>
              <w:spacing w:line="240" w:lineRule="auto"/>
              <w:rPr>
                <w:rFonts w:ascii="Open Sans Light" w:eastAsia="Times New Roman" w:hAnsi="Open Sans Light" w:cs="Open Sans Light"/>
                <w:color w:val="000000"/>
                <w:sz w:val="16"/>
                <w:szCs w:val="16"/>
                <w:lang w:eastAsia="en-AU"/>
              </w:rPr>
            </w:pPr>
            <w:r w:rsidRPr="008C7CDD">
              <w:rPr>
                <w:rFonts w:ascii="Open Sans Light" w:eastAsia="Times New Roman" w:hAnsi="Open Sans Light" w:cs="Open Sans Light"/>
                <w:color w:val="000000"/>
                <w:sz w:val="16"/>
                <w:szCs w:val="16"/>
                <w:lang w:eastAsia="en-AU"/>
              </w:rPr>
              <w:t>Social and Affordable Housing Private-Public Partnership</w:t>
            </w:r>
          </w:p>
        </w:tc>
        <w:tc>
          <w:tcPr>
            <w:tcW w:w="4678" w:type="dxa"/>
            <w:tcBorders>
              <w:top w:val="single" w:sz="4" w:space="0" w:color="ADD6EA"/>
              <w:left w:val="nil"/>
              <w:bottom w:val="single" w:sz="4" w:space="0" w:color="ADD6EA"/>
              <w:right w:val="nil"/>
            </w:tcBorders>
          </w:tcPr>
          <w:p w14:paraId="701924FA" w14:textId="77777777" w:rsidR="006C2FC5" w:rsidRPr="008C7CDD" w:rsidRDefault="006C2FC5" w:rsidP="00874F19">
            <w:pPr>
              <w:spacing w:line="240" w:lineRule="auto"/>
              <w:rPr>
                <w:rFonts w:ascii="Open Sans Light" w:eastAsia="Times New Roman" w:hAnsi="Open Sans Light" w:cs="Open Sans Light"/>
                <w:color w:val="000000"/>
                <w:sz w:val="16"/>
                <w:szCs w:val="16"/>
                <w:lang w:eastAsia="en-AU"/>
              </w:rPr>
            </w:pPr>
            <w:r w:rsidRPr="008C7CDD">
              <w:rPr>
                <w:rFonts w:ascii="Open Sans Light" w:eastAsia="Times New Roman" w:hAnsi="Open Sans Light" w:cs="Open Sans Light"/>
                <w:color w:val="000000"/>
                <w:sz w:val="16"/>
                <w:szCs w:val="16"/>
                <w:lang w:eastAsia="en-AU"/>
              </w:rPr>
              <w:t>This project will deliver new dwellings in Tennant Creek, a portion of which available as affordable rental prioritised for eligible local people. The remaining dwellings will be provided as social housing aimed at women and children fleeing family violence and older women experiencing homelessness.</w:t>
            </w:r>
          </w:p>
        </w:tc>
        <w:tc>
          <w:tcPr>
            <w:tcW w:w="992" w:type="dxa"/>
            <w:tcBorders>
              <w:top w:val="single" w:sz="4" w:space="0" w:color="ADD6EA"/>
              <w:left w:val="nil"/>
              <w:bottom w:val="single" w:sz="4" w:space="0" w:color="ADD6EA"/>
              <w:right w:val="nil"/>
            </w:tcBorders>
            <w:noWrap/>
            <w:tcMar>
              <w:right w:w="85" w:type="dxa"/>
            </w:tcMar>
            <w:vAlign w:val="center"/>
          </w:tcPr>
          <w:p w14:paraId="0FAC8E53" w14:textId="77777777" w:rsidR="006C2FC5" w:rsidRPr="00A8117F" w:rsidRDefault="006C2FC5" w:rsidP="00A8117F">
            <w:pPr>
              <w:spacing w:line="240" w:lineRule="auto"/>
              <w:ind w:right="227"/>
              <w:jc w:val="right"/>
              <w:rPr>
                <w:rFonts w:ascii="Open Sans Light" w:eastAsia="Times New Roman" w:hAnsi="Open Sans Light" w:cs="Open Sans Light"/>
                <w:color w:val="000000"/>
                <w:sz w:val="16"/>
                <w:szCs w:val="16"/>
                <w:highlight w:val="yellow"/>
                <w:lang w:eastAsia="en-AU"/>
              </w:rPr>
            </w:pPr>
            <w:r w:rsidRPr="002B0919">
              <w:rPr>
                <w:rFonts w:ascii="Open Sans Light" w:eastAsia="Times New Roman" w:hAnsi="Open Sans Light" w:cs="Open Sans Light"/>
                <w:color w:val="000000"/>
                <w:sz w:val="16"/>
                <w:szCs w:val="16"/>
                <w:lang w:eastAsia="en-AU"/>
              </w:rPr>
              <w:t>1.0</w:t>
            </w:r>
          </w:p>
        </w:tc>
        <w:tc>
          <w:tcPr>
            <w:tcW w:w="1276" w:type="dxa"/>
            <w:tcBorders>
              <w:top w:val="single" w:sz="4" w:space="0" w:color="ADD6EA"/>
              <w:left w:val="nil"/>
              <w:bottom w:val="single" w:sz="4" w:space="0" w:color="ADD6EA"/>
              <w:right w:val="nil"/>
            </w:tcBorders>
            <w:noWrap/>
            <w:vAlign w:val="center"/>
          </w:tcPr>
          <w:p w14:paraId="69DCB13C" w14:textId="77777777" w:rsidR="006C2FC5" w:rsidRPr="008C7CDD" w:rsidRDefault="006C2FC5" w:rsidP="00874F19">
            <w:pPr>
              <w:spacing w:line="240" w:lineRule="auto"/>
              <w:rPr>
                <w:rFonts w:ascii="Open Sans Light" w:eastAsia="Times New Roman" w:hAnsi="Open Sans Light" w:cs="Open Sans Light"/>
                <w:color w:val="000000"/>
                <w:sz w:val="16"/>
                <w:szCs w:val="16"/>
                <w:lang w:eastAsia="en-AU"/>
              </w:rPr>
            </w:pPr>
            <w:r w:rsidRPr="008C7CDD">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vAlign w:val="center"/>
          </w:tcPr>
          <w:p w14:paraId="528835A5" w14:textId="77777777" w:rsidR="006C2FC5" w:rsidRPr="008C7CDD" w:rsidRDefault="006C2FC5" w:rsidP="00874F19">
            <w:pPr>
              <w:spacing w:line="240" w:lineRule="auto"/>
              <w:rPr>
                <w:rFonts w:ascii="Open Sans Light" w:eastAsia="Times New Roman" w:hAnsi="Open Sans Light" w:cs="Open Sans Light"/>
                <w:color w:val="000000"/>
                <w:sz w:val="16"/>
                <w:szCs w:val="16"/>
                <w:lang w:eastAsia="en-AU"/>
              </w:rPr>
            </w:pPr>
            <w:r w:rsidRPr="008C7CDD">
              <w:rPr>
                <w:rFonts w:ascii="Open Sans Light" w:hAnsi="Open Sans Light" w:cs="Open Sans Light"/>
                <w:color w:val="000000"/>
                <w:sz w:val="16"/>
                <w:szCs w:val="16"/>
              </w:rPr>
              <w:t>Social housing</w:t>
            </w:r>
            <w:r>
              <w:rPr>
                <w:rFonts w:ascii="Open Sans Light" w:hAnsi="Open Sans Light" w:cs="Open Sans Light"/>
                <w:color w:val="000000"/>
                <w:sz w:val="16"/>
                <w:szCs w:val="16"/>
              </w:rPr>
              <w:t xml:space="preserve"> provision is a state function, and </w:t>
            </w:r>
            <w:r w:rsidRPr="008C7CDD">
              <w:rPr>
                <w:rFonts w:ascii="Open Sans Light" w:hAnsi="Open Sans Light" w:cs="Open Sans Light"/>
                <w:color w:val="000000"/>
                <w:sz w:val="16"/>
                <w:szCs w:val="16"/>
              </w:rPr>
              <w:t xml:space="preserve">needs </w:t>
            </w:r>
            <w:r>
              <w:rPr>
                <w:rFonts w:ascii="Open Sans Light" w:hAnsi="Open Sans Light" w:cs="Open Sans Light"/>
                <w:color w:val="000000"/>
                <w:sz w:val="16"/>
                <w:szCs w:val="16"/>
              </w:rPr>
              <w:t xml:space="preserve">are </w:t>
            </w:r>
            <w:r w:rsidRPr="008C7CDD">
              <w:rPr>
                <w:rFonts w:ascii="Open Sans Light" w:hAnsi="Open Sans Light" w:cs="Open Sans Light"/>
                <w:color w:val="000000"/>
                <w:sz w:val="16"/>
                <w:szCs w:val="16"/>
              </w:rPr>
              <w:t>assessed</w:t>
            </w:r>
            <w:r>
              <w:rPr>
                <w:rFonts w:ascii="Open Sans Light" w:hAnsi="Open Sans Light" w:cs="Open Sans Light"/>
                <w:color w:val="000000"/>
                <w:sz w:val="16"/>
                <w:szCs w:val="16"/>
              </w:rPr>
              <w:t>.</w:t>
            </w:r>
          </w:p>
        </w:tc>
      </w:tr>
      <w:tr w:rsidR="006C2FC5" w:rsidRPr="00954A46" w14:paraId="573ED91D" w14:textId="77777777" w:rsidTr="6819DC36">
        <w:trPr>
          <w:trHeight w:val="253"/>
        </w:trPr>
        <w:tc>
          <w:tcPr>
            <w:tcW w:w="7230" w:type="dxa"/>
            <w:gridSpan w:val="2"/>
            <w:tcBorders>
              <w:top w:val="single" w:sz="4" w:space="0" w:color="ADD6EA"/>
              <w:left w:val="nil"/>
              <w:bottom w:val="single" w:sz="4" w:space="0" w:color="ADD6EA"/>
              <w:right w:val="nil"/>
            </w:tcBorders>
            <w:shd w:val="clear" w:color="auto" w:fill="B6D5E4"/>
          </w:tcPr>
          <w:p w14:paraId="72D28D08" w14:textId="77777777" w:rsidR="006C2FC5" w:rsidRPr="00B30766" w:rsidRDefault="006C2FC5" w:rsidP="00874F19">
            <w:pPr>
              <w:spacing w:line="240" w:lineRule="auto"/>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lastRenderedPageBreak/>
              <w:t>Geelong</w:t>
            </w:r>
          </w:p>
        </w:tc>
        <w:tc>
          <w:tcPr>
            <w:tcW w:w="992" w:type="dxa"/>
            <w:tcBorders>
              <w:top w:val="single" w:sz="4" w:space="0" w:color="ADD6EA"/>
              <w:left w:val="nil"/>
              <w:bottom w:val="single" w:sz="4" w:space="0" w:color="ADD6EA"/>
              <w:right w:val="nil"/>
            </w:tcBorders>
            <w:shd w:val="clear" w:color="auto" w:fill="B6D5E4"/>
            <w:noWrap/>
            <w:tcMar>
              <w:right w:w="85" w:type="dxa"/>
            </w:tcMar>
            <w:vAlign w:val="center"/>
          </w:tcPr>
          <w:p w14:paraId="127968D1" w14:textId="77777777" w:rsidR="006C2FC5" w:rsidRPr="007651C5" w:rsidRDefault="006C2FC5" w:rsidP="00874F19">
            <w:pPr>
              <w:spacing w:line="240" w:lineRule="auto"/>
              <w:jc w:val="right"/>
              <w:rPr>
                <w:rFonts w:ascii="Open Sans Light" w:eastAsia="Times New Roman" w:hAnsi="Open Sans Light" w:cs="Open Sans Light"/>
                <w:color w:val="000000"/>
                <w:sz w:val="16"/>
                <w:szCs w:val="16"/>
                <w:lang w:eastAsia="en-AU"/>
              </w:rPr>
            </w:pPr>
          </w:p>
        </w:tc>
        <w:tc>
          <w:tcPr>
            <w:tcW w:w="1276" w:type="dxa"/>
            <w:tcBorders>
              <w:top w:val="single" w:sz="4" w:space="0" w:color="ADD6EA"/>
              <w:left w:val="nil"/>
              <w:bottom w:val="single" w:sz="4" w:space="0" w:color="ADD6EA"/>
              <w:right w:val="nil"/>
            </w:tcBorders>
            <w:shd w:val="clear" w:color="auto" w:fill="B6D5E4"/>
            <w:noWrap/>
            <w:vAlign w:val="center"/>
          </w:tcPr>
          <w:p w14:paraId="56B6C59C" w14:textId="77777777" w:rsidR="006C2FC5" w:rsidRPr="007651C5" w:rsidRDefault="006C2FC5" w:rsidP="00874F19">
            <w:pPr>
              <w:spacing w:line="240" w:lineRule="auto"/>
              <w:rPr>
                <w:rFonts w:ascii="Open Sans Light" w:eastAsia="Times New Roman" w:hAnsi="Open Sans Light" w:cs="Open Sans Light"/>
                <w:color w:val="000000"/>
                <w:sz w:val="16"/>
                <w:szCs w:val="16"/>
                <w:lang w:eastAsia="en-AU"/>
              </w:rPr>
            </w:pPr>
          </w:p>
        </w:tc>
        <w:tc>
          <w:tcPr>
            <w:tcW w:w="4394" w:type="dxa"/>
            <w:tcBorders>
              <w:top w:val="single" w:sz="4" w:space="0" w:color="ADD6EA"/>
              <w:left w:val="nil"/>
              <w:bottom w:val="single" w:sz="4" w:space="0" w:color="ADD6EA"/>
              <w:right w:val="nil"/>
            </w:tcBorders>
            <w:shd w:val="clear" w:color="auto" w:fill="B6D5E4"/>
            <w:noWrap/>
          </w:tcPr>
          <w:p w14:paraId="3CC7C78A" w14:textId="77777777" w:rsidR="006C2FC5" w:rsidRPr="00306662" w:rsidRDefault="006C2FC5" w:rsidP="00874F19">
            <w:pPr>
              <w:spacing w:line="240" w:lineRule="auto"/>
              <w:rPr>
                <w:rFonts w:ascii="Open Sans Light" w:eastAsia="Times New Roman" w:hAnsi="Open Sans Light" w:cs="Open Sans Light"/>
                <w:color w:val="000000"/>
                <w:sz w:val="16"/>
                <w:szCs w:val="16"/>
                <w:highlight w:val="yellow"/>
                <w:lang w:eastAsia="en-AU"/>
              </w:rPr>
            </w:pPr>
          </w:p>
        </w:tc>
      </w:tr>
      <w:tr w:rsidR="006C2FC5" w:rsidRPr="00954A46" w14:paraId="30627F3B" w14:textId="77777777" w:rsidTr="6819DC36">
        <w:trPr>
          <w:trHeight w:val="465"/>
        </w:trPr>
        <w:tc>
          <w:tcPr>
            <w:tcW w:w="2552" w:type="dxa"/>
            <w:tcBorders>
              <w:top w:val="single" w:sz="4" w:space="0" w:color="ADD6EA"/>
              <w:left w:val="nil"/>
              <w:bottom w:val="single" w:sz="4" w:space="0" w:color="ADD6EA"/>
              <w:right w:val="nil"/>
            </w:tcBorders>
            <w:vAlign w:val="center"/>
          </w:tcPr>
          <w:p w14:paraId="211C2187" w14:textId="77777777" w:rsidR="006C2FC5" w:rsidRPr="00C07C8A" w:rsidRDefault="006C2FC5" w:rsidP="00874F19">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City Arrivals</w:t>
            </w:r>
          </w:p>
        </w:tc>
        <w:tc>
          <w:tcPr>
            <w:tcW w:w="4678" w:type="dxa"/>
            <w:tcBorders>
              <w:top w:val="single" w:sz="4" w:space="0" w:color="ADD6EA"/>
              <w:left w:val="nil"/>
              <w:bottom w:val="single" w:sz="4" w:space="0" w:color="ADD6EA"/>
              <w:right w:val="nil"/>
            </w:tcBorders>
          </w:tcPr>
          <w:p w14:paraId="4F3EF269" w14:textId="77777777" w:rsidR="006C2FC5" w:rsidRPr="00C07C8A" w:rsidRDefault="006C2FC5" w:rsidP="00874F19">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This project aims to make Geelong a greener, more pedestrian an</w:t>
            </w:r>
            <w:r>
              <w:rPr>
                <w:rFonts w:ascii="Open Sans Light" w:hAnsi="Open Sans Light" w:cs="Open Sans Light"/>
                <w:color w:val="000000"/>
                <w:sz w:val="16"/>
                <w:szCs w:val="16"/>
              </w:rPr>
              <w:t>d</w:t>
            </w:r>
            <w:r w:rsidRPr="00C07C8A">
              <w:rPr>
                <w:rFonts w:ascii="Open Sans Light" w:hAnsi="Open Sans Light" w:cs="Open Sans Light"/>
                <w:color w:val="000000"/>
                <w:sz w:val="16"/>
                <w:szCs w:val="16"/>
              </w:rPr>
              <w:t xml:space="preserve"> bike</w:t>
            </w:r>
            <w:r>
              <w:rPr>
                <w:rFonts w:ascii="Open Sans Light" w:hAnsi="Open Sans Light" w:cs="Open Sans Light"/>
                <w:color w:val="000000"/>
                <w:sz w:val="16"/>
                <w:szCs w:val="16"/>
              </w:rPr>
              <w:t>-</w:t>
            </w:r>
            <w:r w:rsidRPr="00C07C8A">
              <w:rPr>
                <w:rFonts w:ascii="Open Sans Light" w:hAnsi="Open Sans Light" w:cs="Open Sans Light"/>
                <w:color w:val="000000"/>
                <w:sz w:val="16"/>
                <w:szCs w:val="16"/>
              </w:rPr>
              <w:t>oriented city with new facilities and improved access.</w:t>
            </w:r>
          </w:p>
        </w:tc>
        <w:tc>
          <w:tcPr>
            <w:tcW w:w="992" w:type="dxa"/>
            <w:tcBorders>
              <w:top w:val="single" w:sz="4" w:space="0" w:color="ADD6EA"/>
              <w:left w:val="nil"/>
              <w:bottom w:val="single" w:sz="4" w:space="0" w:color="ADD6EA"/>
              <w:right w:val="nil"/>
            </w:tcBorders>
            <w:noWrap/>
            <w:tcMar>
              <w:right w:w="85" w:type="dxa"/>
            </w:tcMar>
            <w:vAlign w:val="center"/>
          </w:tcPr>
          <w:p w14:paraId="3CE69317"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0.2</w:t>
            </w:r>
          </w:p>
        </w:tc>
        <w:tc>
          <w:tcPr>
            <w:tcW w:w="1276" w:type="dxa"/>
            <w:tcBorders>
              <w:top w:val="single" w:sz="4" w:space="0" w:color="ADD6EA"/>
              <w:left w:val="nil"/>
              <w:bottom w:val="single" w:sz="4" w:space="0" w:color="ADD6EA"/>
              <w:right w:val="nil"/>
            </w:tcBorders>
            <w:noWrap/>
            <w:vAlign w:val="center"/>
          </w:tcPr>
          <w:p w14:paraId="74A5B73D" w14:textId="77777777" w:rsidR="006C2FC5" w:rsidRPr="00C07C8A" w:rsidRDefault="006C2FC5" w:rsidP="00874F19">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14738FDB" w14:textId="77777777" w:rsidR="006C2FC5" w:rsidRPr="00C07C8A" w:rsidRDefault="006C2FC5" w:rsidP="00874F19">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Investment in recreational and cultural services is a state function, and needs are assessed.</w:t>
            </w:r>
          </w:p>
        </w:tc>
      </w:tr>
      <w:tr w:rsidR="006C2FC5" w:rsidRPr="00954A46" w14:paraId="176D1FF5" w14:textId="77777777" w:rsidTr="6819DC36">
        <w:trPr>
          <w:trHeight w:val="465"/>
        </w:trPr>
        <w:tc>
          <w:tcPr>
            <w:tcW w:w="2552" w:type="dxa"/>
            <w:tcBorders>
              <w:top w:val="single" w:sz="4" w:space="0" w:color="ADD6EA"/>
              <w:left w:val="nil"/>
              <w:bottom w:val="single" w:sz="4" w:space="0" w:color="ADD6EA"/>
              <w:right w:val="nil"/>
            </w:tcBorders>
            <w:vAlign w:val="center"/>
          </w:tcPr>
          <w:p w14:paraId="4DB7B687" w14:textId="77777777" w:rsidR="006C2FC5" w:rsidRPr="00C07C8A" w:rsidRDefault="006C2FC5" w:rsidP="00874F19">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Twelve Apostles</w:t>
            </w:r>
          </w:p>
        </w:tc>
        <w:tc>
          <w:tcPr>
            <w:tcW w:w="4678" w:type="dxa"/>
            <w:tcBorders>
              <w:top w:val="single" w:sz="4" w:space="0" w:color="ADD6EA"/>
              <w:left w:val="nil"/>
              <w:bottom w:val="single" w:sz="4" w:space="0" w:color="ADD6EA"/>
              <w:right w:val="nil"/>
            </w:tcBorders>
          </w:tcPr>
          <w:p w14:paraId="1BE22672" w14:textId="77777777" w:rsidR="006C2FC5" w:rsidRPr="00C07C8A" w:rsidRDefault="006C2FC5" w:rsidP="00874F19">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 xml:space="preserve">Investment in improved infrastructure, services </w:t>
            </w:r>
            <w:r w:rsidRPr="00C07C8A">
              <w:rPr>
                <w:rFonts w:ascii="Open Sans Light" w:hAnsi="Open Sans Light" w:cs="Open Sans Light"/>
                <w:color w:val="000000"/>
                <w:sz w:val="16"/>
                <w:szCs w:val="16"/>
              </w:rPr>
              <w:br/>
              <w:t xml:space="preserve">and amenities to provide a better, safer and more connected visitor experience on the Shipwreck Coast. </w:t>
            </w:r>
          </w:p>
        </w:tc>
        <w:tc>
          <w:tcPr>
            <w:tcW w:w="992" w:type="dxa"/>
            <w:tcBorders>
              <w:top w:val="single" w:sz="4" w:space="0" w:color="ADD6EA"/>
              <w:left w:val="nil"/>
              <w:bottom w:val="single" w:sz="4" w:space="0" w:color="ADD6EA"/>
              <w:right w:val="nil"/>
            </w:tcBorders>
            <w:noWrap/>
            <w:tcMar>
              <w:right w:w="85" w:type="dxa"/>
            </w:tcMar>
            <w:vAlign w:val="center"/>
          </w:tcPr>
          <w:p w14:paraId="4DE9AF3E"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29.3</w:t>
            </w:r>
          </w:p>
        </w:tc>
        <w:tc>
          <w:tcPr>
            <w:tcW w:w="1276" w:type="dxa"/>
            <w:tcBorders>
              <w:top w:val="single" w:sz="4" w:space="0" w:color="ADD6EA"/>
              <w:left w:val="nil"/>
              <w:bottom w:val="single" w:sz="4" w:space="0" w:color="ADD6EA"/>
              <w:right w:val="nil"/>
            </w:tcBorders>
            <w:noWrap/>
            <w:vAlign w:val="center"/>
          </w:tcPr>
          <w:p w14:paraId="18F4B079" w14:textId="77777777" w:rsidR="006C2FC5" w:rsidRPr="00C07C8A" w:rsidRDefault="006C2FC5" w:rsidP="00874F19">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7E22C85A" w14:textId="77777777" w:rsidR="006C2FC5" w:rsidRPr="00C07C8A"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the t</w:t>
            </w:r>
            <w:r w:rsidRPr="00C07C8A">
              <w:rPr>
                <w:rFonts w:ascii="Open Sans Light" w:hAnsi="Open Sans Light" w:cs="Open Sans Light"/>
                <w:color w:val="000000"/>
                <w:sz w:val="16"/>
                <w:szCs w:val="16"/>
              </w:rPr>
              <w:t>ourism industry</w:t>
            </w:r>
            <w:r>
              <w:rPr>
                <w:rFonts w:ascii="Open Sans Light" w:hAnsi="Open Sans Light" w:cs="Open Sans Light"/>
                <w:color w:val="000000"/>
                <w:sz w:val="16"/>
                <w:szCs w:val="16"/>
              </w:rPr>
              <w:t xml:space="preserve"> is a state function, and</w:t>
            </w:r>
            <w:r w:rsidRPr="00C07C8A">
              <w:rPr>
                <w:rFonts w:ascii="Open Sans Light" w:hAnsi="Open Sans Light" w:cs="Open Sans Light"/>
                <w:color w:val="000000"/>
                <w:sz w:val="16"/>
                <w:szCs w:val="16"/>
              </w:rPr>
              <w:t xml:space="preserve"> needs assessed</w:t>
            </w:r>
            <w:r>
              <w:rPr>
                <w:rFonts w:ascii="Open Sans Light" w:hAnsi="Open Sans Light" w:cs="Open Sans Light"/>
                <w:color w:val="000000"/>
                <w:sz w:val="16"/>
                <w:szCs w:val="16"/>
              </w:rPr>
              <w:t>.</w:t>
            </w:r>
          </w:p>
        </w:tc>
      </w:tr>
      <w:tr w:rsidR="006C2FC5" w:rsidRPr="00954A46" w14:paraId="24013B6C" w14:textId="77777777" w:rsidTr="6819DC36">
        <w:trPr>
          <w:trHeight w:val="367"/>
        </w:trPr>
        <w:tc>
          <w:tcPr>
            <w:tcW w:w="2552" w:type="dxa"/>
            <w:tcBorders>
              <w:top w:val="single" w:sz="4" w:space="0" w:color="ADD6EA"/>
              <w:left w:val="nil"/>
              <w:bottom w:val="single" w:sz="4" w:space="0" w:color="ADD6EA"/>
              <w:right w:val="nil"/>
            </w:tcBorders>
            <w:shd w:val="clear" w:color="auto" w:fill="B6D5E4"/>
          </w:tcPr>
          <w:p w14:paraId="506FA5D6" w14:textId="7542A81B" w:rsidR="006C2FC5" w:rsidRPr="00F86909" w:rsidRDefault="006C2FC5" w:rsidP="00874F19">
            <w:pPr>
              <w:spacing w:line="240" w:lineRule="auto"/>
              <w:rPr>
                <w:rFonts w:ascii="Open Sans Semibold" w:eastAsia="Times New Roman" w:hAnsi="Open Sans Semibold" w:cs="Open Sans Semibold"/>
                <w:color w:val="000000"/>
                <w:sz w:val="16"/>
                <w:szCs w:val="16"/>
                <w:lang w:eastAsia="en-AU"/>
              </w:rPr>
            </w:pPr>
            <w:proofErr w:type="gramStart"/>
            <w:r w:rsidRPr="00F86909">
              <w:rPr>
                <w:rFonts w:ascii="Open Sans Semibold" w:eastAsia="Times New Roman" w:hAnsi="Open Sans Semibold" w:cs="Open Sans Semibold"/>
                <w:color w:val="000000"/>
                <w:sz w:val="16"/>
                <w:szCs w:val="16"/>
                <w:lang w:eastAsia="en-AU"/>
              </w:rPr>
              <w:t>South East</w:t>
            </w:r>
            <w:proofErr w:type="gramEnd"/>
            <w:r w:rsidRPr="00F86909">
              <w:rPr>
                <w:rFonts w:ascii="Open Sans Semibold" w:eastAsia="Times New Roman" w:hAnsi="Open Sans Semibold" w:cs="Open Sans Semibold"/>
                <w:color w:val="000000"/>
                <w:sz w:val="16"/>
                <w:szCs w:val="16"/>
                <w:lang w:eastAsia="en-AU"/>
              </w:rPr>
              <w:t xml:space="preserve"> Queensland</w:t>
            </w:r>
            <w:r w:rsidR="006E0859">
              <w:rPr>
                <w:rFonts w:ascii="Open Sans Semibold" w:eastAsia="Times New Roman" w:hAnsi="Open Sans Semibold" w:cs="Open Sans Semibold"/>
                <w:color w:val="000000"/>
                <w:sz w:val="16"/>
                <w:szCs w:val="16"/>
                <w:lang w:eastAsia="en-AU"/>
              </w:rPr>
              <w:t xml:space="preserve"> (SEQ)</w:t>
            </w:r>
          </w:p>
        </w:tc>
        <w:tc>
          <w:tcPr>
            <w:tcW w:w="4678" w:type="dxa"/>
            <w:tcBorders>
              <w:top w:val="single" w:sz="4" w:space="0" w:color="ADD6EA"/>
              <w:left w:val="nil"/>
              <w:bottom w:val="single" w:sz="4" w:space="0" w:color="ADD6EA"/>
              <w:right w:val="nil"/>
            </w:tcBorders>
            <w:shd w:val="clear" w:color="auto" w:fill="B6D5E4"/>
          </w:tcPr>
          <w:p w14:paraId="6639E68B" w14:textId="77777777" w:rsidR="006C2FC5" w:rsidRPr="00541C88" w:rsidRDefault="006C2FC5" w:rsidP="00874F19">
            <w:pPr>
              <w:spacing w:line="240" w:lineRule="auto"/>
              <w:rPr>
                <w:rFonts w:ascii="Open Sans Light" w:eastAsia="Times New Roman" w:hAnsi="Open Sans Light" w:cs="Open Sans Light"/>
                <w:color w:val="000000"/>
                <w:sz w:val="16"/>
                <w:szCs w:val="16"/>
                <w:lang w:eastAsia="en-AU"/>
              </w:rPr>
            </w:pPr>
          </w:p>
        </w:tc>
        <w:tc>
          <w:tcPr>
            <w:tcW w:w="992" w:type="dxa"/>
            <w:tcBorders>
              <w:top w:val="single" w:sz="4" w:space="0" w:color="ADD6EA"/>
              <w:left w:val="nil"/>
              <w:bottom w:val="single" w:sz="4" w:space="0" w:color="ADD6EA"/>
              <w:right w:val="nil"/>
            </w:tcBorders>
            <w:shd w:val="clear" w:color="auto" w:fill="B6D5E4"/>
            <w:noWrap/>
            <w:tcMar>
              <w:right w:w="85" w:type="dxa"/>
            </w:tcMar>
          </w:tcPr>
          <w:p w14:paraId="564E6099" w14:textId="77777777" w:rsidR="006C2FC5" w:rsidRPr="002B0919" w:rsidRDefault="006C2FC5" w:rsidP="00874F19">
            <w:pPr>
              <w:spacing w:line="240" w:lineRule="auto"/>
              <w:jc w:val="right"/>
              <w:rPr>
                <w:rFonts w:ascii="Open Sans Light" w:eastAsia="Times New Roman" w:hAnsi="Open Sans Light" w:cs="Open Sans Light"/>
                <w:color w:val="000000"/>
                <w:sz w:val="16"/>
                <w:szCs w:val="16"/>
                <w:lang w:eastAsia="en-AU"/>
              </w:rPr>
            </w:pPr>
          </w:p>
        </w:tc>
        <w:tc>
          <w:tcPr>
            <w:tcW w:w="1276" w:type="dxa"/>
            <w:tcBorders>
              <w:top w:val="single" w:sz="4" w:space="0" w:color="ADD6EA"/>
              <w:left w:val="nil"/>
              <w:bottom w:val="single" w:sz="4" w:space="0" w:color="ADD6EA"/>
              <w:right w:val="nil"/>
            </w:tcBorders>
            <w:shd w:val="clear" w:color="auto" w:fill="B6D5E4"/>
            <w:noWrap/>
            <w:vAlign w:val="center"/>
          </w:tcPr>
          <w:p w14:paraId="17DCC253" w14:textId="77777777" w:rsidR="006C2FC5" w:rsidRPr="007651C5" w:rsidRDefault="006C2FC5" w:rsidP="00874F19">
            <w:pPr>
              <w:spacing w:line="240" w:lineRule="auto"/>
              <w:rPr>
                <w:rFonts w:ascii="Open Sans Light" w:eastAsia="Times New Roman" w:hAnsi="Open Sans Light" w:cs="Open Sans Light"/>
                <w:color w:val="000000"/>
                <w:sz w:val="16"/>
                <w:szCs w:val="16"/>
                <w:lang w:eastAsia="en-AU"/>
              </w:rPr>
            </w:pPr>
          </w:p>
        </w:tc>
        <w:tc>
          <w:tcPr>
            <w:tcW w:w="4394" w:type="dxa"/>
            <w:tcBorders>
              <w:top w:val="single" w:sz="4" w:space="0" w:color="ADD6EA"/>
              <w:left w:val="nil"/>
              <w:bottom w:val="single" w:sz="4" w:space="0" w:color="ADD6EA"/>
              <w:right w:val="nil"/>
            </w:tcBorders>
            <w:shd w:val="clear" w:color="auto" w:fill="B6D5E4"/>
            <w:noWrap/>
          </w:tcPr>
          <w:p w14:paraId="0B179D7B" w14:textId="77777777" w:rsidR="006C2FC5" w:rsidRPr="007651C5" w:rsidRDefault="006C2FC5" w:rsidP="00874F19">
            <w:pPr>
              <w:spacing w:line="240" w:lineRule="auto"/>
              <w:rPr>
                <w:rFonts w:ascii="Open Sans Light" w:eastAsia="Times New Roman" w:hAnsi="Open Sans Light" w:cs="Open Sans Light"/>
                <w:color w:val="000000"/>
                <w:sz w:val="16"/>
                <w:szCs w:val="16"/>
                <w:lang w:eastAsia="en-AU"/>
              </w:rPr>
            </w:pPr>
          </w:p>
        </w:tc>
      </w:tr>
      <w:tr w:rsidR="006C2FC5" w:rsidRPr="00954A46" w14:paraId="7E2BDAA7" w14:textId="77777777" w:rsidTr="6819DC36">
        <w:trPr>
          <w:trHeight w:val="465"/>
        </w:trPr>
        <w:tc>
          <w:tcPr>
            <w:tcW w:w="2552" w:type="dxa"/>
            <w:tcBorders>
              <w:top w:val="single" w:sz="4" w:space="0" w:color="ADD6EA"/>
              <w:left w:val="nil"/>
              <w:bottom w:val="single" w:sz="4" w:space="0" w:color="ADD6EA"/>
              <w:right w:val="nil"/>
            </w:tcBorders>
          </w:tcPr>
          <w:p w14:paraId="5E515980"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SEQ Innovation Economy Fund</w:t>
            </w:r>
          </w:p>
        </w:tc>
        <w:tc>
          <w:tcPr>
            <w:tcW w:w="4678" w:type="dxa"/>
            <w:tcBorders>
              <w:top w:val="single" w:sz="4" w:space="0" w:color="ADD6EA"/>
              <w:left w:val="nil"/>
              <w:bottom w:val="single" w:sz="4" w:space="0" w:color="ADD6EA"/>
              <w:right w:val="nil"/>
            </w:tcBorders>
          </w:tcPr>
          <w:p w14:paraId="71E37756"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Investment in capital projects that promote and grow SEQ’s innovation economy with the aim to deliver more high value, knowledge-intensive jobs.</w:t>
            </w:r>
          </w:p>
        </w:tc>
        <w:tc>
          <w:tcPr>
            <w:tcW w:w="992" w:type="dxa"/>
            <w:tcBorders>
              <w:top w:val="single" w:sz="4" w:space="0" w:color="ADD6EA"/>
              <w:left w:val="nil"/>
              <w:bottom w:val="single" w:sz="4" w:space="0" w:color="ADD6EA"/>
              <w:right w:val="nil"/>
            </w:tcBorders>
            <w:noWrap/>
            <w:tcMar>
              <w:right w:w="85" w:type="dxa"/>
            </w:tcMar>
            <w:vAlign w:val="center"/>
          </w:tcPr>
          <w:p w14:paraId="3E661767"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10.0</w:t>
            </w:r>
          </w:p>
        </w:tc>
        <w:tc>
          <w:tcPr>
            <w:tcW w:w="1276" w:type="dxa"/>
            <w:tcBorders>
              <w:top w:val="single" w:sz="4" w:space="0" w:color="ADD6EA"/>
              <w:left w:val="nil"/>
              <w:bottom w:val="single" w:sz="4" w:space="0" w:color="ADD6EA"/>
              <w:right w:val="nil"/>
            </w:tcBorders>
            <w:noWrap/>
            <w:vAlign w:val="center"/>
          </w:tcPr>
          <w:p w14:paraId="6D9C9951"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2BB29C88"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b</w:t>
            </w:r>
            <w:r w:rsidRPr="00E06561">
              <w:rPr>
                <w:rFonts w:ascii="Open Sans Light" w:hAnsi="Open Sans Light" w:cs="Open Sans Light"/>
                <w:color w:val="000000"/>
                <w:sz w:val="16"/>
                <w:szCs w:val="16"/>
              </w:rPr>
              <w:t>usiness development is a state function, and needs are assessed.</w:t>
            </w:r>
          </w:p>
        </w:tc>
      </w:tr>
      <w:tr w:rsidR="006C2FC5" w:rsidRPr="00954A46" w14:paraId="4CB07221" w14:textId="77777777" w:rsidTr="6819DC36">
        <w:trPr>
          <w:trHeight w:val="465"/>
        </w:trPr>
        <w:tc>
          <w:tcPr>
            <w:tcW w:w="2552" w:type="dxa"/>
            <w:tcBorders>
              <w:top w:val="single" w:sz="4" w:space="0" w:color="ADD6EA"/>
              <w:left w:val="nil"/>
              <w:bottom w:val="single" w:sz="4" w:space="0" w:color="ADD6EA"/>
              <w:right w:val="nil"/>
            </w:tcBorders>
          </w:tcPr>
          <w:p w14:paraId="73704348"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SEQ Rail Corridor Digital Connectivity</w:t>
            </w:r>
          </w:p>
        </w:tc>
        <w:tc>
          <w:tcPr>
            <w:tcW w:w="4678" w:type="dxa"/>
            <w:tcBorders>
              <w:top w:val="single" w:sz="4" w:space="0" w:color="ADD6EA"/>
              <w:left w:val="nil"/>
              <w:bottom w:val="single" w:sz="4" w:space="0" w:color="ADD6EA"/>
              <w:right w:val="nil"/>
            </w:tcBorders>
          </w:tcPr>
          <w:p w14:paraId="34D222DC" w14:textId="74E3401A"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Delivering improved digital connectivity on selected commuter rail corridors</w:t>
            </w:r>
            <w:r w:rsidR="00FE597A">
              <w:rPr>
                <w:rFonts w:ascii="Open Sans Light" w:hAnsi="Open Sans Light" w:cs="Open Sans Light"/>
                <w:color w:val="000000"/>
                <w:sz w:val="16"/>
                <w:szCs w:val="16"/>
              </w:rPr>
              <w:t>.</w:t>
            </w:r>
          </w:p>
        </w:tc>
        <w:tc>
          <w:tcPr>
            <w:tcW w:w="992" w:type="dxa"/>
            <w:tcBorders>
              <w:top w:val="single" w:sz="4" w:space="0" w:color="ADD6EA"/>
              <w:left w:val="nil"/>
              <w:bottom w:val="single" w:sz="4" w:space="0" w:color="ADD6EA"/>
              <w:right w:val="nil"/>
            </w:tcBorders>
            <w:noWrap/>
            <w:tcMar>
              <w:right w:w="85" w:type="dxa"/>
            </w:tcMar>
            <w:vAlign w:val="center"/>
          </w:tcPr>
          <w:p w14:paraId="7C901594"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2.5</w:t>
            </w:r>
          </w:p>
        </w:tc>
        <w:tc>
          <w:tcPr>
            <w:tcW w:w="1276" w:type="dxa"/>
            <w:tcBorders>
              <w:top w:val="single" w:sz="4" w:space="0" w:color="ADD6EA"/>
              <w:left w:val="nil"/>
              <w:bottom w:val="single" w:sz="4" w:space="0" w:color="ADD6EA"/>
              <w:right w:val="nil"/>
            </w:tcBorders>
            <w:noWrap/>
            <w:vAlign w:val="center"/>
          </w:tcPr>
          <w:p w14:paraId="3E98CFCB"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0768707F"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Urban transport investment</w:t>
            </w:r>
            <w:r>
              <w:rPr>
                <w:rFonts w:ascii="Open Sans Light" w:hAnsi="Open Sans Light" w:cs="Open Sans Light"/>
                <w:color w:val="000000"/>
                <w:sz w:val="16"/>
                <w:szCs w:val="16"/>
              </w:rPr>
              <w:t xml:space="preserve"> is a state function, and </w:t>
            </w:r>
            <w:r w:rsidRPr="00251F91">
              <w:rPr>
                <w:rFonts w:ascii="Open Sans Light" w:hAnsi="Open Sans Light" w:cs="Open Sans Light"/>
                <w:color w:val="000000"/>
                <w:sz w:val="16"/>
                <w:szCs w:val="16"/>
              </w:rPr>
              <w:t xml:space="preserve">needs </w:t>
            </w:r>
            <w:r>
              <w:rPr>
                <w:rFonts w:ascii="Open Sans Light" w:hAnsi="Open Sans Light" w:cs="Open Sans Light"/>
                <w:color w:val="000000"/>
                <w:sz w:val="16"/>
                <w:szCs w:val="16"/>
              </w:rPr>
              <w:t xml:space="preserve">are </w:t>
            </w:r>
            <w:r w:rsidRPr="00251F91">
              <w:rPr>
                <w:rFonts w:ascii="Open Sans Light" w:hAnsi="Open Sans Light" w:cs="Open Sans Light"/>
                <w:color w:val="000000"/>
                <w:sz w:val="16"/>
                <w:szCs w:val="16"/>
              </w:rPr>
              <w:t>assessed</w:t>
            </w:r>
            <w:r>
              <w:rPr>
                <w:rFonts w:ascii="Open Sans Light" w:hAnsi="Open Sans Light" w:cs="Open Sans Light"/>
                <w:color w:val="000000"/>
                <w:sz w:val="16"/>
                <w:szCs w:val="16"/>
              </w:rPr>
              <w:t>.</w:t>
            </w:r>
          </w:p>
        </w:tc>
      </w:tr>
      <w:tr w:rsidR="006C2FC5" w:rsidRPr="00954A46" w14:paraId="591B6817" w14:textId="77777777" w:rsidTr="6819DC36">
        <w:trPr>
          <w:trHeight w:val="465"/>
        </w:trPr>
        <w:tc>
          <w:tcPr>
            <w:tcW w:w="2552" w:type="dxa"/>
            <w:tcBorders>
              <w:top w:val="single" w:sz="4" w:space="0" w:color="ADD6EA"/>
              <w:left w:val="nil"/>
              <w:bottom w:val="single" w:sz="4" w:space="0" w:color="ADD6EA"/>
              <w:right w:val="nil"/>
            </w:tcBorders>
          </w:tcPr>
          <w:p w14:paraId="28174C75"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Dunwich Ferry Terminal Upgrade</w:t>
            </w:r>
          </w:p>
        </w:tc>
        <w:tc>
          <w:tcPr>
            <w:tcW w:w="4678" w:type="dxa"/>
            <w:tcBorders>
              <w:top w:val="single" w:sz="4" w:space="0" w:color="ADD6EA"/>
              <w:left w:val="nil"/>
              <w:bottom w:val="single" w:sz="4" w:space="0" w:color="ADD6EA"/>
              <w:right w:val="nil"/>
            </w:tcBorders>
          </w:tcPr>
          <w:p w14:paraId="20DCF0A2" w14:textId="649C88AB" w:rsidR="006C2FC5" w:rsidRPr="00251F91" w:rsidRDefault="35965CC2" w:rsidP="00874F19">
            <w:pPr>
              <w:spacing w:line="240" w:lineRule="auto"/>
              <w:rPr>
                <w:rFonts w:ascii="Open Sans Light" w:eastAsia="Times New Roman" w:hAnsi="Open Sans Light" w:cs="Open Sans Light"/>
                <w:color w:val="000000"/>
                <w:sz w:val="16"/>
                <w:szCs w:val="16"/>
                <w:lang w:eastAsia="en-AU"/>
              </w:rPr>
            </w:pPr>
            <w:r w:rsidRPr="6819DC36">
              <w:rPr>
                <w:rFonts w:ascii="Open Sans Light" w:hAnsi="Open Sans Light" w:cs="Open Sans Light"/>
                <w:color w:val="000000" w:themeColor="text1"/>
                <w:sz w:val="16"/>
                <w:szCs w:val="16"/>
              </w:rPr>
              <w:t xml:space="preserve">Upgrade of the Ferry Terminal at </w:t>
            </w:r>
            <w:proofErr w:type="spellStart"/>
            <w:r w:rsidRPr="6819DC36">
              <w:rPr>
                <w:rFonts w:ascii="Open Sans Light" w:hAnsi="Open Sans Light" w:cs="Open Sans Light"/>
                <w:color w:val="000000" w:themeColor="text1"/>
                <w:sz w:val="16"/>
                <w:szCs w:val="16"/>
              </w:rPr>
              <w:t>Junner</w:t>
            </w:r>
            <w:proofErr w:type="spellEnd"/>
            <w:r w:rsidRPr="6819DC36">
              <w:rPr>
                <w:rFonts w:ascii="Open Sans Light" w:hAnsi="Open Sans Light" w:cs="Open Sans Light"/>
                <w:color w:val="000000" w:themeColor="text1"/>
                <w:sz w:val="16"/>
                <w:szCs w:val="16"/>
              </w:rPr>
              <w:t xml:space="preserve"> Street, Dunwich</w:t>
            </w:r>
            <w:r w:rsidR="00FE597A">
              <w:rPr>
                <w:rFonts w:ascii="Open Sans Light" w:hAnsi="Open Sans Light" w:cs="Open Sans Light"/>
                <w:color w:val="000000" w:themeColor="text1"/>
                <w:sz w:val="16"/>
                <w:szCs w:val="16"/>
              </w:rPr>
              <w:t>.</w:t>
            </w:r>
          </w:p>
        </w:tc>
        <w:tc>
          <w:tcPr>
            <w:tcW w:w="992" w:type="dxa"/>
            <w:tcBorders>
              <w:top w:val="single" w:sz="4" w:space="0" w:color="ADD6EA"/>
              <w:left w:val="nil"/>
              <w:bottom w:val="single" w:sz="4" w:space="0" w:color="ADD6EA"/>
              <w:right w:val="nil"/>
            </w:tcBorders>
            <w:noWrap/>
            <w:tcMar>
              <w:right w:w="85" w:type="dxa"/>
            </w:tcMar>
            <w:vAlign w:val="center"/>
          </w:tcPr>
          <w:p w14:paraId="57083F4E"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1.0</w:t>
            </w:r>
          </w:p>
        </w:tc>
        <w:tc>
          <w:tcPr>
            <w:tcW w:w="1276" w:type="dxa"/>
            <w:tcBorders>
              <w:top w:val="single" w:sz="4" w:space="0" w:color="ADD6EA"/>
              <w:left w:val="nil"/>
              <w:bottom w:val="single" w:sz="4" w:space="0" w:color="ADD6EA"/>
              <w:right w:val="nil"/>
            </w:tcBorders>
            <w:noWrap/>
            <w:vAlign w:val="center"/>
          </w:tcPr>
          <w:p w14:paraId="727185F9" w14:textId="42227316" w:rsidR="006C2FC5" w:rsidRPr="00251F91" w:rsidRDefault="004D6A51"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 xml:space="preserve">No </w:t>
            </w:r>
            <w:r w:rsidR="006C2FC5"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082D9E37" w14:textId="52290F92" w:rsidR="006C2FC5" w:rsidRPr="00251F91" w:rsidRDefault="005761D3"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Non-u</w:t>
            </w:r>
            <w:r w:rsidR="006C2FC5" w:rsidRPr="00251F91">
              <w:rPr>
                <w:rFonts w:ascii="Open Sans Light" w:hAnsi="Open Sans Light" w:cs="Open Sans Light"/>
                <w:color w:val="000000"/>
                <w:sz w:val="16"/>
                <w:szCs w:val="16"/>
              </w:rPr>
              <w:t>rban transport investment</w:t>
            </w:r>
            <w:r w:rsidR="006C2FC5">
              <w:rPr>
                <w:rFonts w:ascii="Open Sans Light" w:hAnsi="Open Sans Light" w:cs="Open Sans Light"/>
                <w:color w:val="000000"/>
                <w:sz w:val="16"/>
                <w:szCs w:val="16"/>
              </w:rPr>
              <w:t xml:space="preserve"> is a state function, </w:t>
            </w:r>
            <w:r w:rsidR="004D6A51">
              <w:rPr>
                <w:rFonts w:ascii="Open Sans Light" w:hAnsi="Open Sans Light" w:cs="Open Sans Light"/>
                <w:color w:val="000000"/>
                <w:sz w:val="16"/>
                <w:szCs w:val="16"/>
              </w:rPr>
              <w:t>but</w:t>
            </w:r>
            <w:r w:rsidR="006C2FC5">
              <w:rPr>
                <w:rFonts w:ascii="Open Sans Light" w:hAnsi="Open Sans Light" w:cs="Open Sans Light"/>
                <w:color w:val="000000"/>
                <w:sz w:val="16"/>
                <w:szCs w:val="16"/>
              </w:rPr>
              <w:t xml:space="preserve"> </w:t>
            </w:r>
            <w:r w:rsidR="006C2FC5" w:rsidRPr="00251F91">
              <w:rPr>
                <w:rFonts w:ascii="Open Sans Light" w:hAnsi="Open Sans Light" w:cs="Open Sans Light"/>
                <w:color w:val="000000"/>
                <w:sz w:val="16"/>
                <w:szCs w:val="16"/>
              </w:rPr>
              <w:t xml:space="preserve">needs </w:t>
            </w:r>
            <w:r w:rsidR="006C2FC5">
              <w:rPr>
                <w:rFonts w:ascii="Open Sans Light" w:hAnsi="Open Sans Light" w:cs="Open Sans Light"/>
                <w:color w:val="000000"/>
                <w:sz w:val="16"/>
                <w:szCs w:val="16"/>
              </w:rPr>
              <w:t xml:space="preserve">are </w:t>
            </w:r>
            <w:r w:rsidR="004D6A51">
              <w:rPr>
                <w:rFonts w:ascii="Open Sans Light" w:hAnsi="Open Sans Light" w:cs="Open Sans Light"/>
                <w:color w:val="000000"/>
                <w:sz w:val="16"/>
                <w:szCs w:val="16"/>
              </w:rPr>
              <w:t xml:space="preserve">not </w:t>
            </w:r>
            <w:r w:rsidR="006C2FC5" w:rsidRPr="00251F91">
              <w:rPr>
                <w:rFonts w:ascii="Open Sans Light" w:hAnsi="Open Sans Light" w:cs="Open Sans Light"/>
                <w:color w:val="000000"/>
                <w:sz w:val="16"/>
                <w:szCs w:val="16"/>
              </w:rPr>
              <w:t>assessed</w:t>
            </w:r>
            <w:r w:rsidR="006C2FC5">
              <w:rPr>
                <w:rFonts w:ascii="Open Sans Light" w:hAnsi="Open Sans Light" w:cs="Open Sans Light"/>
                <w:color w:val="000000"/>
                <w:sz w:val="16"/>
                <w:szCs w:val="16"/>
              </w:rPr>
              <w:t>.</w:t>
            </w:r>
          </w:p>
        </w:tc>
      </w:tr>
      <w:tr w:rsidR="006C2FC5" w:rsidRPr="00954A46" w14:paraId="7E5544F5" w14:textId="77777777" w:rsidTr="6819DC36">
        <w:trPr>
          <w:trHeight w:val="465"/>
        </w:trPr>
        <w:tc>
          <w:tcPr>
            <w:tcW w:w="2552" w:type="dxa"/>
            <w:tcBorders>
              <w:top w:val="single" w:sz="4" w:space="0" w:color="ADD6EA"/>
              <w:left w:val="nil"/>
              <w:bottom w:val="single" w:sz="4" w:space="0" w:color="ADD6EA"/>
              <w:right w:val="nil"/>
            </w:tcBorders>
          </w:tcPr>
          <w:p w14:paraId="0B751878"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SEQ Liveability Fund</w:t>
            </w:r>
          </w:p>
        </w:tc>
        <w:tc>
          <w:tcPr>
            <w:tcW w:w="4678" w:type="dxa"/>
            <w:tcBorders>
              <w:top w:val="single" w:sz="4" w:space="0" w:color="ADD6EA"/>
              <w:left w:val="nil"/>
              <w:bottom w:val="single" w:sz="4" w:space="0" w:color="ADD6EA"/>
              <w:right w:val="nil"/>
            </w:tcBorders>
          </w:tcPr>
          <w:p w14:paraId="26386C77"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Projects to improve community facilities including playgrounds, community amenities, sports fields, aquatic centre and open space recreation.</w:t>
            </w:r>
          </w:p>
        </w:tc>
        <w:tc>
          <w:tcPr>
            <w:tcW w:w="992" w:type="dxa"/>
            <w:tcBorders>
              <w:top w:val="single" w:sz="4" w:space="0" w:color="ADD6EA"/>
              <w:left w:val="nil"/>
              <w:bottom w:val="single" w:sz="4" w:space="0" w:color="ADD6EA"/>
              <w:right w:val="nil"/>
            </w:tcBorders>
            <w:noWrap/>
            <w:tcMar>
              <w:right w:w="85" w:type="dxa"/>
            </w:tcMar>
            <w:vAlign w:val="center"/>
          </w:tcPr>
          <w:p w14:paraId="5DA5E5E6"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35.0</w:t>
            </w:r>
          </w:p>
        </w:tc>
        <w:tc>
          <w:tcPr>
            <w:tcW w:w="1276" w:type="dxa"/>
            <w:tcBorders>
              <w:top w:val="single" w:sz="4" w:space="0" w:color="ADD6EA"/>
              <w:left w:val="nil"/>
              <w:bottom w:val="single" w:sz="4" w:space="0" w:color="ADD6EA"/>
              <w:right w:val="nil"/>
            </w:tcBorders>
            <w:noWrap/>
            <w:vAlign w:val="center"/>
          </w:tcPr>
          <w:p w14:paraId="40718C22"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5F19DD8D"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C07C8A">
              <w:rPr>
                <w:rFonts w:ascii="Open Sans Light" w:hAnsi="Open Sans Light" w:cs="Open Sans Light"/>
                <w:color w:val="000000"/>
                <w:sz w:val="16"/>
                <w:szCs w:val="16"/>
              </w:rPr>
              <w:t>Investment in recreational and cultural services is a state function, and needs are assessed.</w:t>
            </w:r>
          </w:p>
        </w:tc>
      </w:tr>
      <w:tr w:rsidR="006C2FC5" w:rsidRPr="00954A46" w14:paraId="38013E45" w14:textId="77777777" w:rsidTr="6819DC36">
        <w:trPr>
          <w:trHeight w:val="465"/>
        </w:trPr>
        <w:tc>
          <w:tcPr>
            <w:tcW w:w="2552" w:type="dxa"/>
            <w:tcBorders>
              <w:top w:val="single" w:sz="4" w:space="0" w:color="ADD6EA"/>
              <w:left w:val="nil"/>
              <w:bottom w:val="single" w:sz="4" w:space="0" w:color="ADD6EA"/>
              <w:right w:val="nil"/>
            </w:tcBorders>
          </w:tcPr>
          <w:p w14:paraId="284369EF"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Resource Recovery Infrastructure</w:t>
            </w:r>
          </w:p>
        </w:tc>
        <w:tc>
          <w:tcPr>
            <w:tcW w:w="4678" w:type="dxa"/>
            <w:tcBorders>
              <w:top w:val="single" w:sz="4" w:space="0" w:color="ADD6EA"/>
              <w:left w:val="nil"/>
              <w:bottom w:val="single" w:sz="4" w:space="0" w:color="ADD6EA"/>
              <w:right w:val="nil"/>
            </w:tcBorders>
          </w:tcPr>
          <w:p w14:paraId="3D43C446"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Developing waste processing infrastructure in SEQ that will increase resource recovery rates, facilitate organics recycling and progress the region towards a circular economy.</w:t>
            </w:r>
          </w:p>
        </w:tc>
        <w:tc>
          <w:tcPr>
            <w:tcW w:w="992" w:type="dxa"/>
            <w:tcBorders>
              <w:top w:val="single" w:sz="4" w:space="0" w:color="ADD6EA"/>
              <w:left w:val="nil"/>
              <w:bottom w:val="single" w:sz="4" w:space="0" w:color="ADD6EA"/>
              <w:right w:val="nil"/>
            </w:tcBorders>
            <w:noWrap/>
            <w:tcMar>
              <w:right w:w="85" w:type="dxa"/>
            </w:tcMar>
            <w:vAlign w:val="center"/>
          </w:tcPr>
          <w:p w14:paraId="6BCD9216"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7.0</w:t>
            </w:r>
          </w:p>
        </w:tc>
        <w:tc>
          <w:tcPr>
            <w:tcW w:w="1276" w:type="dxa"/>
            <w:tcBorders>
              <w:top w:val="single" w:sz="4" w:space="0" w:color="ADD6EA"/>
              <w:left w:val="nil"/>
              <w:bottom w:val="single" w:sz="4" w:space="0" w:color="ADD6EA"/>
              <w:right w:val="nil"/>
            </w:tcBorders>
            <w:noWrap/>
            <w:vAlign w:val="center"/>
          </w:tcPr>
          <w:p w14:paraId="486A3BF8"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No Impact</w:t>
            </w:r>
          </w:p>
        </w:tc>
        <w:tc>
          <w:tcPr>
            <w:tcW w:w="4394" w:type="dxa"/>
            <w:tcBorders>
              <w:top w:val="single" w:sz="4" w:space="0" w:color="ADD6EA"/>
              <w:left w:val="nil"/>
              <w:bottom w:val="single" w:sz="4" w:space="0" w:color="ADD6EA"/>
              <w:right w:val="nil"/>
            </w:tcBorders>
            <w:noWrap/>
          </w:tcPr>
          <w:p w14:paraId="2E8B7B2D" w14:textId="6B075CE1"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 xml:space="preserve">Sanitation is </w:t>
            </w:r>
            <w:r w:rsidR="00BC1BCE">
              <w:rPr>
                <w:rFonts w:ascii="Open Sans Light" w:hAnsi="Open Sans Light" w:cs="Open Sans Light"/>
                <w:color w:val="000000"/>
                <w:sz w:val="16"/>
                <w:szCs w:val="16"/>
              </w:rPr>
              <w:t xml:space="preserve">a </w:t>
            </w:r>
            <w:r w:rsidRPr="00251F91">
              <w:rPr>
                <w:rFonts w:ascii="Open Sans Light" w:hAnsi="Open Sans Light" w:cs="Open Sans Light"/>
                <w:color w:val="000000"/>
                <w:sz w:val="16"/>
                <w:szCs w:val="16"/>
              </w:rPr>
              <w:t>local government</w:t>
            </w:r>
            <w:r>
              <w:rPr>
                <w:rFonts w:ascii="Open Sans Light" w:hAnsi="Open Sans Light" w:cs="Open Sans Light"/>
                <w:color w:val="000000"/>
                <w:sz w:val="16"/>
                <w:szCs w:val="16"/>
              </w:rPr>
              <w:t xml:space="preserve"> responsibility.</w:t>
            </w:r>
          </w:p>
        </w:tc>
      </w:tr>
      <w:tr w:rsidR="006C2FC5" w:rsidRPr="00954A46" w14:paraId="3314A98E" w14:textId="77777777" w:rsidTr="6819DC36">
        <w:trPr>
          <w:trHeight w:val="465"/>
        </w:trPr>
        <w:tc>
          <w:tcPr>
            <w:tcW w:w="2552" w:type="dxa"/>
            <w:tcBorders>
              <w:top w:val="single" w:sz="4" w:space="0" w:color="ADD6EA"/>
              <w:left w:val="nil"/>
              <w:bottom w:val="single" w:sz="4" w:space="0" w:color="ADD6EA"/>
              <w:right w:val="nil"/>
            </w:tcBorders>
          </w:tcPr>
          <w:p w14:paraId="22BEBD80"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Resilient Rivers Initiative</w:t>
            </w:r>
          </w:p>
        </w:tc>
        <w:tc>
          <w:tcPr>
            <w:tcW w:w="4678" w:type="dxa"/>
            <w:tcBorders>
              <w:top w:val="single" w:sz="4" w:space="0" w:color="ADD6EA"/>
              <w:left w:val="nil"/>
              <w:bottom w:val="single" w:sz="4" w:space="0" w:color="ADD6EA"/>
              <w:right w:val="nil"/>
            </w:tcBorders>
          </w:tcPr>
          <w:p w14:paraId="0A78A893"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 xml:space="preserve">This partnership-based project will invest in capital works to improve the health of the region’s rivers and waterways. </w:t>
            </w:r>
          </w:p>
        </w:tc>
        <w:tc>
          <w:tcPr>
            <w:tcW w:w="992" w:type="dxa"/>
            <w:tcBorders>
              <w:top w:val="single" w:sz="4" w:space="0" w:color="ADD6EA"/>
              <w:left w:val="nil"/>
              <w:bottom w:val="single" w:sz="4" w:space="0" w:color="ADD6EA"/>
              <w:right w:val="nil"/>
            </w:tcBorders>
            <w:noWrap/>
            <w:tcMar>
              <w:right w:w="85" w:type="dxa"/>
            </w:tcMar>
            <w:vAlign w:val="center"/>
          </w:tcPr>
          <w:p w14:paraId="51E7D768"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2.5</w:t>
            </w:r>
          </w:p>
        </w:tc>
        <w:tc>
          <w:tcPr>
            <w:tcW w:w="1276" w:type="dxa"/>
            <w:tcBorders>
              <w:top w:val="single" w:sz="4" w:space="0" w:color="ADD6EA"/>
              <w:left w:val="nil"/>
              <w:bottom w:val="single" w:sz="4" w:space="0" w:color="ADD6EA"/>
              <w:right w:val="nil"/>
            </w:tcBorders>
            <w:noWrap/>
            <w:vAlign w:val="center"/>
          </w:tcPr>
          <w:p w14:paraId="463F9FFA"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No Impact</w:t>
            </w:r>
          </w:p>
        </w:tc>
        <w:tc>
          <w:tcPr>
            <w:tcW w:w="4394" w:type="dxa"/>
            <w:tcBorders>
              <w:top w:val="single" w:sz="4" w:space="0" w:color="ADD6EA"/>
              <w:left w:val="nil"/>
              <w:bottom w:val="single" w:sz="4" w:space="0" w:color="ADD6EA"/>
              <w:right w:val="nil"/>
            </w:tcBorders>
            <w:noWrap/>
          </w:tcPr>
          <w:p w14:paraId="11E90294" w14:textId="77777777" w:rsidR="006C2FC5" w:rsidRPr="00CB1CE7" w:rsidRDefault="006C2FC5" w:rsidP="00874F19">
            <w:pPr>
              <w:spacing w:line="240" w:lineRule="auto"/>
              <w:rPr>
                <w:rFonts w:ascii="Open Sans Light" w:hAnsi="Open Sans Light" w:cs="Open Sans Light"/>
                <w:color w:val="000000"/>
                <w:sz w:val="16"/>
                <w:szCs w:val="16"/>
              </w:rPr>
            </w:pPr>
            <w:r w:rsidRPr="00CB1CE7">
              <w:rPr>
                <w:rFonts w:ascii="Open Sans Light" w:hAnsi="Open Sans Light" w:cs="Open Sans Light"/>
                <w:color w:val="000000"/>
                <w:sz w:val="16"/>
                <w:szCs w:val="16"/>
              </w:rPr>
              <w:t>Environmental protection is a state service, but needs are not assessed.</w:t>
            </w:r>
          </w:p>
        </w:tc>
      </w:tr>
      <w:tr w:rsidR="006C2FC5" w:rsidRPr="00954A46" w14:paraId="38F058B1" w14:textId="77777777" w:rsidTr="6819DC36">
        <w:trPr>
          <w:trHeight w:val="465"/>
        </w:trPr>
        <w:tc>
          <w:tcPr>
            <w:tcW w:w="2552" w:type="dxa"/>
            <w:tcBorders>
              <w:top w:val="single" w:sz="4" w:space="0" w:color="ADD6EA"/>
              <w:left w:val="nil"/>
              <w:bottom w:val="single" w:sz="4" w:space="0" w:color="ADD6EA"/>
              <w:right w:val="nil"/>
            </w:tcBorders>
            <w:vAlign w:val="center"/>
          </w:tcPr>
          <w:p w14:paraId="3AB9727F"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Blue Heart Sunshine Coast</w:t>
            </w:r>
          </w:p>
        </w:tc>
        <w:tc>
          <w:tcPr>
            <w:tcW w:w="4678" w:type="dxa"/>
            <w:tcBorders>
              <w:top w:val="single" w:sz="4" w:space="0" w:color="ADD6EA"/>
              <w:left w:val="nil"/>
              <w:bottom w:val="single" w:sz="4" w:space="0" w:color="ADD6EA"/>
              <w:right w:val="nil"/>
            </w:tcBorders>
          </w:tcPr>
          <w:p w14:paraId="776A37AB"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This partnership-based project is committed to sustainable and adaptive floodplain management in the Maroochy River catchment.</w:t>
            </w:r>
          </w:p>
        </w:tc>
        <w:tc>
          <w:tcPr>
            <w:tcW w:w="992" w:type="dxa"/>
            <w:tcBorders>
              <w:top w:val="single" w:sz="4" w:space="0" w:color="ADD6EA"/>
              <w:left w:val="nil"/>
              <w:bottom w:val="single" w:sz="4" w:space="0" w:color="ADD6EA"/>
              <w:right w:val="nil"/>
            </w:tcBorders>
            <w:noWrap/>
            <w:tcMar>
              <w:right w:w="85" w:type="dxa"/>
            </w:tcMar>
            <w:vAlign w:val="center"/>
          </w:tcPr>
          <w:p w14:paraId="40E68A8A" w14:textId="77777777"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2.0</w:t>
            </w:r>
          </w:p>
        </w:tc>
        <w:tc>
          <w:tcPr>
            <w:tcW w:w="1276" w:type="dxa"/>
            <w:tcBorders>
              <w:top w:val="single" w:sz="4" w:space="0" w:color="ADD6EA"/>
              <w:left w:val="nil"/>
              <w:bottom w:val="single" w:sz="4" w:space="0" w:color="ADD6EA"/>
              <w:right w:val="nil"/>
            </w:tcBorders>
            <w:noWrap/>
            <w:vAlign w:val="center"/>
          </w:tcPr>
          <w:p w14:paraId="675DADDE"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No Impact</w:t>
            </w:r>
          </w:p>
        </w:tc>
        <w:tc>
          <w:tcPr>
            <w:tcW w:w="4394" w:type="dxa"/>
            <w:tcBorders>
              <w:top w:val="single" w:sz="4" w:space="0" w:color="ADD6EA"/>
              <w:left w:val="nil"/>
              <w:bottom w:val="single" w:sz="4" w:space="0" w:color="ADD6EA"/>
              <w:right w:val="nil"/>
            </w:tcBorders>
            <w:noWrap/>
          </w:tcPr>
          <w:p w14:paraId="0FE40068" w14:textId="77777777" w:rsidR="006C2FC5" w:rsidRPr="00CB1CE7" w:rsidRDefault="006C2FC5" w:rsidP="00874F19">
            <w:pPr>
              <w:spacing w:line="240" w:lineRule="auto"/>
              <w:rPr>
                <w:rFonts w:ascii="Open Sans Light" w:eastAsia="Times New Roman" w:hAnsi="Open Sans Light" w:cs="Open Sans Light"/>
                <w:color w:val="000000"/>
                <w:sz w:val="16"/>
                <w:szCs w:val="16"/>
                <w:lang w:eastAsia="en-AU"/>
              </w:rPr>
            </w:pPr>
            <w:r w:rsidRPr="00CB1CE7">
              <w:rPr>
                <w:rFonts w:ascii="Open Sans Light" w:hAnsi="Open Sans Light" w:cs="Open Sans Light"/>
                <w:color w:val="000000"/>
                <w:sz w:val="16"/>
                <w:szCs w:val="16"/>
              </w:rPr>
              <w:t>Environmental protection is a state service, but needs are not assessed.</w:t>
            </w:r>
          </w:p>
        </w:tc>
      </w:tr>
      <w:tr w:rsidR="006C2FC5" w:rsidRPr="00954A46" w14:paraId="2C18BFB7" w14:textId="77777777" w:rsidTr="6819DC36">
        <w:trPr>
          <w:trHeight w:val="465"/>
        </w:trPr>
        <w:tc>
          <w:tcPr>
            <w:tcW w:w="2552" w:type="dxa"/>
            <w:tcBorders>
              <w:top w:val="single" w:sz="4" w:space="0" w:color="ADD6EA"/>
              <w:left w:val="nil"/>
              <w:bottom w:val="single" w:sz="4" w:space="0" w:color="ADD6EA"/>
              <w:right w:val="nil"/>
            </w:tcBorders>
            <w:vAlign w:val="center"/>
          </w:tcPr>
          <w:p w14:paraId="77876001"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proofErr w:type="spellStart"/>
            <w:r w:rsidRPr="00251F91">
              <w:rPr>
                <w:rFonts w:ascii="Open Sans Light" w:hAnsi="Open Sans Light" w:cs="Open Sans Light"/>
                <w:color w:val="000000"/>
                <w:sz w:val="16"/>
                <w:szCs w:val="16"/>
              </w:rPr>
              <w:t>Bromelton</w:t>
            </w:r>
            <w:proofErr w:type="spellEnd"/>
            <w:r w:rsidRPr="00251F91">
              <w:rPr>
                <w:rFonts w:ascii="Open Sans Light" w:hAnsi="Open Sans Light" w:cs="Open Sans Light"/>
                <w:color w:val="000000"/>
                <w:sz w:val="16"/>
                <w:szCs w:val="16"/>
              </w:rPr>
              <w:t xml:space="preserve"> State Development Area Business Case</w:t>
            </w:r>
          </w:p>
        </w:tc>
        <w:tc>
          <w:tcPr>
            <w:tcW w:w="4678" w:type="dxa"/>
            <w:tcBorders>
              <w:top w:val="single" w:sz="4" w:space="0" w:color="ADD6EA"/>
              <w:left w:val="nil"/>
              <w:bottom w:val="single" w:sz="4" w:space="0" w:color="ADD6EA"/>
              <w:right w:val="nil"/>
            </w:tcBorders>
          </w:tcPr>
          <w:p w14:paraId="1F7B012C"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Developing a Business Case to determine what infrastructure planning, sequencing, prioritisation and capital investment is required to activate the 15,610ha State Development Area.</w:t>
            </w:r>
          </w:p>
        </w:tc>
        <w:tc>
          <w:tcPr>
            <w:tcW w:w="992" w:type="dxa"/>
            <w:tcBorders>
              <w:top w:val="single" w:sz="4" w:space="0" w:color="ADD6EA"/>
              <w:left w:val="nil"/>
              <w:bottom w:val="single" w:sz="4" w:space="0" w:color="ADD6EA"/>
              <w:right w:val="nil"/>
            </w:tcBorders>
            <w:noWrap/>
            <w:tcMar>
              <w:right w:w="85" w:type="dxa"/>
            </w:tcMar>
            <w:vAlign w:val="center"/>
          </w:tcPr>
          <w:p w14:paraId="4CE8C3BC" w14:textId="74BBF67F" w:rsidR="006C2FC5" w:rsidRPr="002B0919" w:rsidRDefault="006C2FC5" w:rsidP="00A8117F">
            <w:pPr>
              <w:spacing w:line="240" w:lineRule="auto"/>
              <w:ind w:right="227"/>
              <w:jc w:val="right"/>
              <w:rPr>
                <w:rFonts w:ascii="Open Sans Light" w:eastAsia="Times New Roman" w:hAnsi="Open Sans Light" w:cs="Open Sans Light"/>
                <w:color w:val="000000"/>
                <w:sz w:val="16"/>
                <w:szCs w:val="16"/>
                <w:lang w:eastAsia="en-AU"/>
              </w:rPr>
            </w:pPr>
            <w:r w:rsidRPr="002B0919">
              <w:rPr>
                <w:rFonts w:ascii="Open Sans Light" w:eastAsia="Times New Roman" w:hAnsi="Open Sans Light" w:cs="Open Sans Light"/>
                <w:color w:val="000000"/>
                <w:sz w:val="16"/>
                <w:szCs w:val="16"/>
                <w:lang w:eastAsia="en-AU"/>
              </w:rPr>
              <w:t>0.</w:t>
            </w:r>
            <w:r w:rsidR="00A52DD7" w:rsidRPr="002B0919">
              <w:rPr>
                <w:rFonts w:ascii="Open Sans Light" w:eastAsia="Times New Roman" w:hAnsi="Open Sans Light" w:cs="Open Sans Light"/>
                <w:color w:val="000000"/>
                <w:sz w:val="16"/>
                <w:szCs w:val="16"/>
                <w:lang w:eastAsia="en-AU"/>
              </w:rPr>
              <w:t>8</w:t>
            </w:r>
          </w:p>
        </w:tc>
        <w:tc>
          <w:tcPr>
            <w:tcW w:w="1276" w:type="dxa"/>
            <w:tcBorders>
              <w:top w:val="single" w:sz="4" w:space="0" w:color="ADD6EA"/>
              <w:left w:val="nil"/>
              <w:bottom w:val="single" w:sz="4" w:space="0" w:color="ADD6EA"/>
              <w:right w:val="nil"/>
            </w:tcBorders>
            <w:noWrap/>
            <w:vAlign w:val="center"/>
          </w:tcPr>
          <w:p w14:paraId="18A9D978"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sidRPr="00251F91">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47087FB9" w14:textId="77777777" w:rsidR="006C2FC5" w:rsidRPr="00251F91" w:rsidRDefault="006C2FC5" w:rsidP="00874F19">
            <w:pPr>
              <w:spacing w:line="240" w:lineRule="auto"/>
              <w:rPr>
                <w:rFonts w:ascii="Open Sans Light" w:eastAsia="Times New Roman" w:hAnsi="Open Sans Light" w:cs="Open Sans Light"/>
                <w:color w:val="000000"/>
                <w:sz w:val="16"/>
                <w:szCs w:val="16"/>
                <w:lang w:eastAsia="en-AU"/>
              </w:rPr>
            </w:pPr>
            <w:r>
              <w:rPr>
                <w:rFonts w:ascii="Open Sans Light" w:hAnsi="Open Sans Light" w:cs="Open Sans Light"/>
                <w:color w:val="000000"/>
                <w:sz w:val="16"/>
                <w:szCs w:val="16"/>
              </w:rPr>
              <w:t>Investment in b</w:t>
            </w:r>
            <w:r w:rsidRPr="00E06561">
              <w:rPr>
                <w:rFonts w:ascii="Open Sans Light" w:hAnsi="Open Sans Light" w:cs="Open Sans Light"/>
                <w:color w:val="000000"/>
                <w:sz w:val="16"/>
                <w:szCs w:val="16"/>
              </w:rPr>
              <w:t>usiness development is a state function, and needs are assessed.</w:t>
            </w:r>
          </w:p>
        </w:tc>
      </w:tr>
      <w:tr w:rsidR="006C2FC5" w:rsidRPr="00954A46" w14:paraId="37D76358" w14:textId="77777777" w:rsidTr="6819DC36">
        <w:trPr>
          <w:trHeight w:val="465"/>
        </w:trPr>
        <w:tc>
          <w:tcPr>
            <w:tcW w:w="2552" w:type="dxa"/>
            <w:tcBorders>
              <w:top w:val="single" w:sz="4" w:space="0" w:color="ADD6EA"/>
              <w:left w:val="nil"/>
              <w:bottom w:val="single" w:sz="4" w:space="0" w:color="ADD6EA"/>
              <w:right w:val="nil"/>
            </w:tcBorders>
            <w:vAlign w:val="center"/>
          </w:tcPr>
          <w:p w14:paraId="4C7F8B59" w14:textId="77777777" w:rsidR="006C2FC5" w:rsidRPr="0004486F" w:rsidRDefault="006C2FC5" w:rsidP="00874F19">
            <w:pPr>
              <w:spacing w:line="240" w:lineRule="auto"/>
              <w:rPr>
                <w:rFonts w:ascii="Open Sans Light" w:eastAsia="Times New Roman" w:hAnsi="Open Sans Light" w:cs="Open Sans Light"/>
                <w:color w:val="000000"/>
                <w:sz w:val="16"/>
                <w:szCs w:val="16"/>
                <w:lang w:eastAsia="en-AU"/>
              </w:rPr>
            </w:pPr>
            <w:r w:rsidRPr="0004486F">
              <w:rPr>
                <w:rFonts w:ascii="Open Sans Light" w:hAnsi="Open Sans Light" w:cs="Open Sans Light"/>
                <w:color w:val="000000"/>
                <w:sz w:val="16"/>
                <w:szCs w:val="16"/>
              </w:rPr>
              <w:lastRenderedPageBreak/>
              <w:t>Planning for Future Region-Shaping Infrastructure</w:t>
            </w:r>
          </w:p>
        </w:tc>
        <w:tc>
          <w:tcPr>
            <w:tcW w:w="4678" w:type="dxa"/>
            <w:tcBorders>
              <w:top w:val="single" w:sz="4" w:space="0" w:color="ADD6EA"/>
              <w:left w:val="nil"/>
              <w:bottom w:val="single" w:sz="4" w:space="0" w:color="ADD6EA"/>
              <w:right w:val="nil"/>
            </w:tcBorders>
          </w:tcPr>
          <w:p w14:paraId="5411B431" w14:textId="77777777" w:rsidR="006C2FC5" w:rsidRPr="0004486F" w:rsidRDefault="006C2FC5" w:rsidP="00874F19">
            <w:pPr>
              <w:spacing w:line="240" w:lineRule="auto"/>
              <w:rPr>
                <w:rFonts w:ascii="Open Sans Light" w:eastAsia="Times New Roman" w:hAnsi="Open Sans Light" w:cs="Open Sans Light"/>
                <w:color w:val="000000"/>
                <w:sz w:val="16"/>
                <w:szCs w:val="16"/>
                <w:lang w:eastAsia="en-AU"/>
              </w:rPr>
            </w:pPr>
            <w:r w:rsidRPr="0004486F">
              <w:rPr>
                <w:rFonts w:ascii="Open Sans Light" w:hAnsi="Open Sans Light" w:cs="Open Sans Light"/>
                <w:color w:val="000000"/>
                <w:sz w:val="16"/>
                <w:szCs w:val="16"/>
              </w:rPr>
              <w:t>Funding to identify infrastructure and land use planning needed to meet population growth.</w:t>
            </w:r>
          </w:p>
        </w:tc>
        <w:tc>
          <w:tcPr>
            <w:tcW w:w="992" w:type="dxa"/>
            <w:tcBorders>
              <w:top w:val="single" w:sz="4" w:space="0" w:color="ADD6EA"/>
              <w:left w:val="nil"/>
              <w:bottom w:val="single" w:sz="4" w:space="0" w:color="ADD6EA"/>
              <w:right w:val="nil"/>
            </w:tcBorders>
            <w:noWrap/>
            <w:tcMar>
              <w:right w:w="85" w:type="dxa"/>
            </w:tcMar>
            <w:vAlign w:val="center"/>
          </w:tcPr>
          <w:p w14:paraId="463A93FE" w14:textId="77777777" w:rsidR="006C2FC5" w:rsidRPr="00A8117F" w:rsidRDefault="006C2FC5" w:rsidP="00A8117F">
            <w:pPr>
              <w:spacing w:line="240" w:lineRule="auto"/>
              <w:ind w:right="227"/>
              <w:jc w:val="right"/>
              <w:rPr>
                <w:rFonts w:ascii="Open Sans Light" w:eastAsia="Times New Roman" w:hAnsi="Open Sans Light" w:cs="Open Sans Light"/>
                <w:color w:val="000000"/>
                <w:sz w:val="16"/>
                <w:szCs w:val="16"/>
                <w:highlight w:val="yellow"/>
                <w:lang w:eastAsia="en-AU"/>
              </w:rPr>
            </w:pPr>
            <w:r w:rsidRPr="002B0919">
              <w:rPr>
                <w:rFonts w:ascii="Open Sans Light" w:eastAsia="Times New Roman" w:hAnsi="Open Sans Light" w:cs="Open Sans Light"/>
                <w:color w:val="000000"/>
                <w:sz w:val="16"/>
                <w:szCs w:val="16"/>
                <w:lang w:eastAsia="en-AU"/>
              </w:rPr>
              <w:t>1.2</w:t>
            </w:r>
          </w:p>
        </w:tc>
        <w:tc>
          <w:tcPr>
            <w:tcW w:w="1276" w:type="dxa"/>
            <w:tcBorders>
              <w:top w:val="single" w:sz="4" w:space="0" w:color="ADD6EA"/>
              <w:left w:val="nil"/>
              <w:bottom w:val="single" w:sz="4" w:space="0" w:color="ADD6EA"/>
              <w:right w:val="nil"/>
            </w:tcBorders>
            <w:noWrap/>
            <w:vAlign w:val="center"/>
          </w:tcPr>
          <w:p w14:paraId="504C4918" w14:textId="77777777" w:rsidR="006C2FC5" w:rsidRPr="0004486F" w:rsidRDefault="006C2FC5" w:rsidP="00874F19">
            <w:pPr>
              <w:spacing w:line="240" w:lineRule="auto"/>
              <w:rPr>
                <w:rFonts w:ascii="Open Sans Light" w:eastAsia="Times New Roman" w:hAnsi="Open Sans Light" w:cs="Open Sans Light"/>
                <w:color w:val="000000"/>
                <w:sz w:val="16"/>
                <w:szCs w:val="16"/>
                <w:lang w:eastAsia="en-AU"/>
              </w:rPr>
            </w:pPr>
            <w:r w:rsidRPr="0004486F">
              <w:rPr>
                <w:rFonts w:ascii="Open Sans Light" w:hAnsi="Open Sans Light" w:cs="Open Sans Light"/>
                <w:color w:val="000000"/>
                <w:sz w:val="16"/>
                <w:szCs w:val="16"/>
              </w:rPr>
              <w:t>Impact</w:t>
            </w:r>
          </w:p>
        </w:tc>
        <w:tc>
          <w:tcPr>
            <w:tcW w:w="4394" w:type="dxa"/>
            <w:tcBorders>
              <w:top w:val="single" w:sz="4" w:space="0" w:color="ADD6EA"/>
              <w:left w:val="nil"/>
              <w:bottom w:val="single" w:sz="4" w:space="0" w:color="ADD6EA"/>
              <w:right w:val="nil"/>
            </w:tcBorders>
            <w:noWrap/>
          </w:tcPr>
          <w:p w14:paraId="199D050C" w14:textId="77777777" w:rsidR="006C2FC5" w:rsidRPr="0004486F" w:rsidRDefault="006C2FC5" w:rsidP="00874F19">
            <w:pPr>
              <w:spacing w:line="240" w:lineRule="auto"/>
              <w:rPr>
                <w:rFonts w:ascii="Open Sans Light" w:eastAsia="Times New Roman" w:hAnsi="Open Sans Light" w:cs="Open Sans Light"/>
                <w:color w:val="000000"/>
                <w:sz w:val="16"/>
                <w:szCs w:val="16"/>
                <w:lang w:eastAsia="en-AU"/>
              </w:rPr>
            </w:pPr>
            <w:r w:rsidRPr="0004486F">
              <w:rPr>
                <w:rFonts w:ascii="Open Sans Light" w:hAnsi="Open Sans Light" w:cs="Open Sans Light"/>
                <w:color w:val="000000"/>
                <w:sz w:val="16"/>
                <w:szCs w:val="16"/>
              </w:rPr>
              <w:t>Road infrastructure</w:t>
            </w:r>
            <w:r>
              <w:rPr>
                <w:rFonts w:ascii="Open Sans Light" w:hAnsi="Open Sans Light" w:cs="Open Sans Light"/>
                <w:color w:val="000000"/>
                <w:sz w:val="16"/>
                <w:szCs w:val="16"/>
              </w:rPr>
              <w:t xml:space="preserve"> investment and maintenance is a state function</w:t>
            </w:r>
            <w:r w:rsidRPr="0004486F">
              <w:rPr>
                <w:rFonts w:ascii="Open Sans Light" w:hAnsi="Open Sans Light" w:cs="Open Sans Light"/>
                <w:color w:val="000000"/>
                <w:sz w:val="16"/>
                <w:szCs w:val="16"/>
              </w:rPr>
              <w:t>,</w:t>
            </w:r>
            <w:r>
              <w:rPr>
                <w:rFonts w:ascii="Open Sans Light" w:hAnsi="Open Sans Light" w:cs="Open Sans Light"/>
                <w:color w:val="000000"/>
                <w:sz w:val="16"/>
                <w:szCs w:val="16"/>
              </w:rPr>
              <w:t xml:space="preserve"> and</w:t>
            </w:r>
            <w:r w:rsidRPr="0004486F">
              <w:rPr>
                <w:rFonts w:ascii="Open Sans Light" w:hAnsi="Open Sans Light" w:cs="Open Sans Light"/>
                <w:color w:val="000000"/>
                <w:sz w:val="16"/>
                <w:szCs w:val="16"/>
              </w:rPr>
              <w:t xml:space="preserve"> needs</w:t>
            </w:r>
            <w:r>
              <w:rPr>
                <w:rFonts w:ascii="Open Sans Light" w:hAnsi="Open Sans Light" w:cs="Open Sans Light"/>
                <w:color w:val="000000"/>
                <w:sz w:val="16"/>
                <w:szCs w:val="16"/>
              </w:rPr>
              <w:t xml:space="preserve"> are</w:t>
            </w:r>
            <w:r w:rsidRPr="0004486F">
              <w:rPr>
                <w:rFonts w:ascii="Open Sans Light" w:hAnsi="Open Sans Light" w:cs="Open Sans Light"/>
                <w:color w:val="000000"/>
                <w:sz w:val="16"/>
                <w:szCs w:val="16"/>
              </w:rPr>
              <w:t xml:space="preserve"> assessed</w:t>
            </w:r>
            <w:r>
              <w:rPr>
                <w:rFonts w:ascii="Open Sans Light" w:hAnsi="Open Sans Light" w:cs="Open Sans Light"/>
                <w:color w:val="000000"/>
                <w:sz w:val="16"/>
                <w:szCs w:val="16"/>
              </w:rPr>
              <w:t>.</w:t>
            </w:r>
          </w:p>
        </w:tc>
      </w:tr>
    </w:tbl>
    <w:p w14:paraId="5D0AF378" w14:textId="77777777" w:rsidR="006C2FC5" w:rsidRPr="006C2FC5" w:rsidRDefault="006C2FC5" w:rsidP="006C2FC5">
      <w:pPr>
        <w:pStyle w:val="CGCTablenote"/>
      </w:pPr>
      <w:r w:rsidRPr="006C2FC5">
        <w:t>Source: Department of Infrastructure</w:t>
      </w:r>
    </w:p>
    <w:p w14:paraId="0A802F6C" w14:textId="21D6B4A1" w:rsidR="00447041" w:rsidRDefault="00447041">
      <w:pPr>
        <w:rPr>
          <w:rFonts w:ascii="Open Sans Light" w:eastAsia="Open Sans Light" w:hAnsi="Open Sans Light" w:cs="Open Sans Light"/>
          <w:color w:val="000000" w:themeColor="text1"/>
          <w:sz w:val="14"/>
        </w:rPr>
      </w:pPr>
    </w:p>
    <w:sectPr w:rsidR="00447041" w:rsidSect="006C2FC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1BB34" w14:textId="77777777" w:rsidR="002C782E" w:rsidRDefault="002C782E" w:rsidP="00CF2841">
      <w:pPr>
        <w:spacing w:after="0" w:line="240" w:lineRule="auto"/>
      </w:pPr>
      <w:r>
        <w:separator/>
      </w:r>
    </w:p>
  </w:endnote>
  <w:endnote w:type="continuationSeparator" w:id="0">
    <w:p w14:paraId="0DDDBD0F" w14:textId="77777777" w:rsidR="002C782E" w:rsidRDefault="002C782E" w:rsidP="00CF2841">
      <w:pPr>
        <w:spacing w:after="0" w:line="240" w:lineRule="auto"/>
      </w:pPr>
      <w:r>
        <w:continuationSeparator/>
      </w:r>
    </w:p>
  </w:endnote>
  <w:endnote w:type="continuationNotice" w:id="1">
    <w:p w14:paraId="4071F8B0" w14:textId="77777777" w:rsidR="002C782E" w:rsidRDefault="002C7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Work Sans SemiBold">
    <w:charset w:val="00"/>
    <w:family w:val="auto"/>
    <w:pitch w:val="variable"/>
    <w:sig w:usb0="A00000FF" w:usb1="5000E07B" w:usb2="00000000" w:usb3="00000000" w:csb0="00000193"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088592"/>
      <w:docPartObj>
        <w:docPartGallery w:val="Page Numbers (Bottom of Page)"/>
        <w:docPartUnique/>
      </w:docPartObj>
    </w:sdtPr>
    <w:sdtEndPr>
      <w:rPr>
        <w:noProof/>
      </w:rPr>
    </w:sdtEndPr>
    <w:sdtContent>
      <w:p w14:paraId="35C1A5DD" w14:textId="674F205D" w:rsidR="00F57D5F" w:rsidRDefault="00F57D5F">
        <w:pPr>
          <w:pStyle w:val="Footer"/>
          <w:jc w:val="right"/>
        </w:pPr>
        <w:r w:rsidRPr="005E54C4">
          <w:rPr>
            <w:rFonts w:ascii="Work Sans" w:hAnsi="Work Sans"/>
            <w:sz w:val="14"/>
            <w:szCs w:val="14"/>
          </w:rPr>
          <w:fldChar w:fldCharType="begin"/>
        </w:r>
        <w:r w:rsidRPr="005E54C4">
          <w:rPr>
            <w:rFonts w:ascii="Work Sans" w:hAnsi="Work Sans"/>
            <w:sz w:val="14"/>
            <w:szCs w:val="14"/>
          </w:rPr>
          <w:instrText xml:space="preserve"> PAGE   \* MERGEFORMAT </w:instrText>
        </w:r>
        <w:r w:rsidRPr="005E54C4">
          <w:rPr>
            <w:rFonts w:ascii="Work Sans" w:hAnsi="Work Sans"/>
            <w:sz w:val="14"/>
            <w:szCs w:val="14"/>
          </w:rPr>
          <w:fldChar w:fldCharType="separate"/>
        </w:r>
        <w:r w:rsidRPr="005E54C4">
          <w:rPr>
            <w:rFonts w:ascii="Work Sans" w:hAnsi="Work Sans"/>
            <w:noProof/>
            <w:sz w:val="14"/>
            <w:szCs w:val="14"/>
          </w:rPr>
          <w:t>2</w:t>
        </w:r>
        <w:r w:rsidRPr="005E54C4">
          <w:rPr>
            <w:rFonts w:ascii="Work Sans" w:hAnsi="Work Sans"/>
            <w:noProof/>
            <w:sz w:val="14"/>
            <w:szCs w:val="14"/>
          </w:rPr>
          <w:fldChar w:fldCharType="end"/>
        </w:r>
      </w:p>
    </w:sdtContent>
  </w:sdt>
  <w:p w14:paraId="1929E654" w14:textId="77777777" w:rsidR="008A5137" w:rsidRDefault="008A5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2536453"/>
      <w:docPartObj>
        <w:docPartGallery w:val="Page Numbers (Bottom of Page)"/>
        <w:docPartUnique/>
      </w:docPartObj>
    </w:sdtPr>
    <w:sdtEndPr>
      <w:rPr>
        <w:noProof/>
      </w:rPr>
    </w:sdtEndPr>
    <w:sdtContent>
      <w:p w14:paraId="0F27BA0D" w14:textId="660A9A9F" w:rsidR="00F57D5F" w:rsidRDefault="00F57D5F">
        <w:pPr>
          <w:pStyle w:val="Footer"/>
          <w:jc w:val="right"/>
        </w:pPr>
        <w:r w:rsidRPr="005E54C4">
          <w:rPr>
            <w:rFonts w:ascii="Work Sans" w:hAnsi="Work Sans"/>
            <w:sz w:val="14"/>
            <w:szCs w:val="14"/>
          </w:rPr>
          <w:fldChar w:fldCharType="begin"/>
        </w:r>
        <w:r w:rsidRPr="005E54C4">
          <w:rPr>
            <w:rFonts w:ascii="Work Sans" w:hAnsi="Work Sans"/>
            <w:sz w:val="14"/>
            <w:szCs w:val="14"/>
          </w:rPr>
          <w:instrText xml:space="preserve"> PAGE   \* MERGEFORMAT </w:instrText>
        </w:r>
        <w:r w:rsidRPr="005E54C4">
          <w:rPr>
            <w:rFonts w:ascii="Work Sans" w:hAnsi="Work Sans"/>
            <w:sz w:val="14"/>
            <w:szCs w:val="14"/>
          </w:rPr>
          <w:fldChar w:fldCharType="separate"/>
        </w:r>
        <w:r w:rsidRPr="005E54C4">
          <w:rPr>
            <w:rFonts w:ascii="Work Sans" w:hAnsi="Work Sans"/>
            <w:noProof/>
            <w:sz w:val="14"/>
            <w:szCs w:val="14"/>
          </w:rPr>
          <w:t>2</w:t>
        </w:r>
        <w:r w:rsidRPr="005E54C4">
          <w:rPr>
            <w:rFonts w:ascii="Work Sans" w:hAnsi="Work Sans"/>
            <w:noProof/>
            <w:sz w:val="14"/>
            <w:szCs w:val="14"/>
          </w:rPr>
          <w:fldChar w:fldCharType="end"/>
        </w:r>
      </w:p>
    </w:sdtContent>
  </w:sdt>
  <w:p w14:paraId="3C5AEB96" w14:textId="77777777" w:rsidR="00635CB3" w:rsidRDefault="00635C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302A" w14:textId="77777777" w:rsidR="006C2FC5" w:rsidRDefault="006C2FC5">
    <w:pPr>
      <w:pStyle w:val="Footer"/>
    </w:pPr>
    <w:r>
      <w:rPr>
        <w:noProof/>
      </w:rPr>
      <mc:AlternateContent>
        <mc:Choice Requires="wps">
          <w:drawing>
            <wp:anchor distT="0" distB="0" distL="0" distR="0" simplePos="0" relativeHeight="251658244" behindDoc="0" locked="0" layoutInCell="1" allowOverlap="1" wp14:anchorId="3AC325BC" wp14:editId="6B8B5E08">
              <wp:simplePos x="635" y="635"/>
              <wp:positionH relativeFrom="page">
                <wp:align>center</wp:align>
              </wp:positionH>
              <wp:positionV relativeFrom="page">
                <wp:align>bottom</wp:align>
              </wp:positionV>
              <wp:extent cx="551815" cy="391160"/>
              <wp:effectExtent l="0" t="0" r="635" b="0"/>
              <wp:wrapNone/>
              <wp:docPr id="9505102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9C0F309"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325BC" id="_x0000_t202" coordsize="21600,21600" o:spt="202" path="m,l,21600r21600,l21600,xe">
              <v:stroke joinstyle="miter"/>
              <v:path gradientshapeok="t" o:connecttype="rect"/>
            </v:shapetype>
            <v:shape id="Text Box 5" o:spid="_x0000_s1035" type="#_x0000_t202" alt="OFFICIAL" style="position:absolute;margin-left:0;margin-top:0;width:43.4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59C0F309"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v:textbox>
              <w10:wrap anchorx="page" anchory="page"/>
            </v:shape>
          </w:pict>
        </mc:Fallback>
      </mc:AlternateContent>
    </w:r>
  </w:p>
  <w:p w14:paraId="73BE9CE3" w14:textId="77777777" w:rsidR="006C2FC5" w:rsidRDefault="006C2FC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233109"/>
      <w:docPartObj>
        <w:docPartGallery w:val="Page Numbers (Bottom of Page)"/>
        <w:docPartUnique/>
      </w:docPartObj>
    </w:sdtPr>
    <w:sdtEndPr>
      <w:rPr>
        <w:noProof/>
      </w:rPr>
    </w:sdtEndPr>
    <w:sdtContent>
      <w:p w14:paraId="436ED4C2" w14:textId="238E3FA5" w:rsidR="005E54C4" w:rsidRDefault="005E54C4">
        <w:pPr>
          <w:pStyle w:val="Footer"/>
          <w:jc w:val="right"/>
        </w:pPr>
        <w:r w:rsidRPr="005E54C4">
          <w:rPr>
            <w:rFonts w:ascii="Work Sans" w:hAnsi="Work Sans"/>
            <w:sz w:val="14"/>
            <w:szCs w:val="14"/>
          </w:rPr>
          <w:fldChar w:fldCharType="begin"/>
        </w:r>
        <w:r w:rsidRPr="005E54C4">
          <w:rPr>
            <w:rFonts w:ascii="Work Sans" w:hAnsi="Work Sans"/>
            <w:sz w:val="14"/>
            <w:szCs w:val="14"/>
          </w:rPr>
          <w:instrText xml:space="preserve"> PAGE   \* MERGEFORMAT </w:instrText>
        </w:r>
        <w:r w:rsidRPr="005E54C4">
          <w:rPr>
            <w:rFonts w:ascii="Work Sans" w:hAnsi="Work Sans"/>
            <w:sz w:val="14"/>
            <w:szCs w:val="14"/>
          </w:rPr>
          <w:fldChar w:fldCharType="separate"/>
        </w:r>
        <w:r w:rsidRPr="005E54C4">
          <w:rPr>
            <w:rFonts w:ascii="Work Sans" w:hAnsi="Work Sans"/>
            <w:noProof/>
            <w:sz w:val="14"/>
            <w:szCs w:val="14"/>
          </w:rPr>
          <w:t>2</w:t>
        </w:r>
        <w:r w:rsidRPr="005E54C4">
          <w:rPr>
            <w:rFonts w:ascii="Work Sans" w:hAnsi="Work Sans"/>
            <w:noProof/>
            <w:sz w:val="14"/>
            <w:szCs w:val="14"/>
          </w:rPr>
          <w:fldChar w:fldCharType="end"/>
        </w:r>
      </w:p>
    </w:sdtContent>
  </w:sdt>
  <w:p w14:paraId="62704935" w14:textId="77777777" w:rsidR="006C2FC5" w:rsidRDefault="006C2FC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C683C" w14:textId="77777777" w:rsidR="006C2FC5" w:rsidRPr="005E54C4" w:rsidRDefault="006C2FC5" w:rsidP="005E54C4">
    <w:pPr>
      <w:pStyle w:val="Footer"/>
      <w:tabs>
        <w:tab w:val="right" w:pos="8931"/>
      </w:tabs>
      <w:jc w:val="right"/>
      <w:rPr>
        <w:rFonts w:ascii="Work Sans" w:hAnsi="Work Sans"/>
        <w:sz w:val="14"/>
        <w:szCs w:val="14"/>
      </w:rPr>
    </w:pPr>
    <w:r>
      <w:rPr>
        <w:noProof/>
        <w:szCs w:val="20"/>
      </w:rPr>
      <mc:AlternateContent>
        <mc:Choice Requires="wps">
          <w:drawing>
            <wp:anchor distT="0" distB="0" distL="0" distR="0" simplePos="0" relativeHeight="251658247" behindDoc="0" locked="0" layoutInCell="1" allowOverlap="1" wp14:anchorId="7B3BC26A" wp14:editId="3E9E4A81">
              <wp:simplePos x="635" y="635"/>
              <wp:positionH relativeFrom="page">
                <wp:align>center</wp:align>
              </wp:positionH>
              <wp:positionV relativeFrom="page">
                <wp:align>bottom</wp:align>
              </wp:positionV>
              <wp:extent cx="551815" cy="391160"/>
              <wp:effectExtent l="0" t="0" r="635" b="0"/>
              <wp:wrapNone/>
              <wp:docPr id="162271735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112ADA5"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BC26A" id="_x0000_t202" coordsize="21600,21600" o:spt="202" path="m,l,21600r21600,l21600,xe">
              <v:stroke joinstyle="miter"/>
              <v:path gradientshapeok="t" o:connecttype="rect"/>
            </v:shapetype>
            <v:shape id="Text Box 4" o:spid="_x0000_s1037" type="#_x0000_t202" alt="OFFICIAL" style="position:absolute;left:0;text-align:left;margin-left:0;margin-top:0;width:43.45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HBn8+A8CAAAc&#10;BAAADgAAAAAAAAAAAAAAAAAuAgAAZHJzL2Uyb0RvYy54bWxQSwECLQAUAAYACAAAACEAy6OOENoA&#10;AAADAQAADwAAAAAAAAAAAAAAAABpBAAAZHJzL2Rvd25yZXYueG1sUEsFBgAAAAAEAAQA8wAAAHAF&#10;AAAAAA==&#10;" filled="f" stroked="f">
              <v:textbox style="mso-fit-shape-to-text:t" inset="0,0,0,15pt">
                <w:txbxContent>
                  <w:p w14:paraId="2112ADA5"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v:textbox>
              <w10:wrap anchorx="page" anchory="page"/>
            </v:shape>
          </w:pict>
        </mc:Fallback>
      </mc:AlternateContent>
    </w:r>
    <w:r>
      <w:rPr>
        <w:szCs w:val="20"/>
      </w:rPr>
      <w:tab/>
    </w:r>
    <w:r>
      <w:rPr>
        <w:szCs w:val="20"/>
      </w:rPr>
      <w:tab/>
    </w:r>
    <w:r w:rsidRPr="005E54C4">
      <w:rPr>
        <w:rFonts w:ascii="Work Sans" w:hAnsi="Work Sans"/>
        <w:sz w:val="14"/>
        <w:szCs w:val="14"/>
      </w:rPr>
      <w:fldChar w:fldCharType="begin"/>
    </w:r>
    <w:r w:rsidRPr="005E54C4">
      <w:rPr>
        <w:rFonts w:ascii="Work Sans" w:hAnsi="Work Sans"/>
        <w:sz w:val="14"/>
        <w:szCs w:val="14"/>
      </w:rPr>
      <w:instrText xml:space="preserve"> PAGE   \* MERGEFORMAT </w:instrText>
    </w:r>
    <w:r w:rsidRPr="005E54C4">
      <w:rPr>
        <w:rFonts w:ascii="Work Sans" w:hAnsi="Work Sans"/>
        <w:sz w:val="14"/>
        <w:szCs w:val="14"/>
      </w:rPr>
      <w:fldChar w:fldCharType="separate"/>
    </w:r>
    <w:r w:rsidRPr="005E54C4">
      <w:rPr>
        <w:rFonts w:ascii="Work Sans" w:hAnsi="Work Sans"/>
        <w:noProof/>
        <w:sz w:val="14"/>
        <w:szCs w:val="14"/>
      </w:rPr>
      <w:t>4</w:t>
    </w:r>
    <w:r w:rsidRPr="005E54C4">
      <w:rPr>
        <w:rFonts w:ascii="Work Sans" w:hAnsi="Work Sans"/>
        <w:noProof/>
        <w:sz w:val="14"/>
        <w:szCs w:val="14"/>
      </w:rPr>
      <w:fldChar w:fldCharType="end"/>
    </w:r>
  </w:p>
  <w:p w14:paraId="06E78E68" w14:textId="77777777" w:rsidR="006C2FC5" w:rsidRDefault="006C2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4CF6A" w14:textId="77777777" w:rsidR="002C782E" w:rsidRDefault="002C782E" w:rsidP="00CF2841">
      <w:pPr>
        <w:spacing w:after="0" w:line="240" w:lineRule="auto"/>
      </w:pPr>
      <w:r>
        <w:separator/>
      </w:r>
    </w:p>
  </w:footnote>
  <w:footnote w:type="continuationSeparator" w:id="0">
    <w:p w14:paraId="742FDE08" w14:textId="77777777" w:rsidR="002C782E" w:rsidRDefault="002C782E" w:rsidP="00CF2841">
      <w:pPr>
        <w:spacing w:after="0" w:line="240" w:lineRule="auto"/>
      </w:pPr>
      <w:r>
        <w:continuationSeparator/>
      </w:r>
    </w:p>
  </w:footnote>
  <w:footnote w:type="continuationNotice" w:id="1">
    <w:p w14:paraId="3CD99DD5" w14:textId="77777777" w:rsidR="002C782E" w:rsidRDefault="002C782E">
      <w:pPr>
        <w:spacing w:after="0" w:line="240" w:lineRule="auto"/>
      </w:pPr>
    </w:p>
  </w:footnote>
  <w:footnote w:id="2">
    <w:p w14:paraId="3E433C70" w14:textId="60E05A65" w:rsidR="00C04FEB" w:rsidRPr="00B963D6" w:rsidRDefault="00C04FEB" w:rsidP="00C04FEB">
      <w:pPr>
        <w:pStyle w:val="FootnoteText"/>
        <w:rPr>
          <w:lang w:val="en-US"/>
        </w:rPr>
      </w:pPr>
      <w:r w:rsidRPr="006B368E">
        <w:rPr>
          <w:rStyle w:val="FootnoteReference"/>
          <w:vertAlign w:val="superscript"/>
        </w:rPr>
        <w:footnoteRef/>
      </w:r>
      <w:r>
        <w:t xml:space="preserve"> </w:t>
      </w:r>
      <w:r w:rsidR="00E31726">
        <w:tab/>
      </w:r>
      <w:r>
        <w:t xml:space="preserve">For the full list of selected non-admitted patient services see </w:t>
      </w:r>
      <w:r w:rsidRPr="006C14C3">
        <w:t xml:space="preserve">Commonwealth Grants Commission, </w:t>
      </w:r>
      <w:hyperlink r:id="rId1" w:history="1">
        <w:r w:rsidRPr="006C14C3">
          <w:rPr>
            <w:rStyle w:val="Hyperlink"/>
            <w:i/>
            <w:iCs/>
          </w:rPr>
          <w:t>2025 Methodology Review</w:t>
        </w:r>
      </w:hyperlink>
      <w:r>
        <w:t>,</w:t>
      </w:r>
      <w:r w:rsidRPr="006C14C3">
        <w:t xml:space="preserve"> Review </w:t>
      </w:r>
      <w:r w:rsidR="00CA5204">
        <w:t>O</w:t>
      </w:r>
      <w:r w:rsidRPr="006C14C3">
        <w:t>utcomes</w:t>
      </w:r>
      <w:r>
        <w:t>,</w:t>
      </w:r>
      <w:r w:rsidRPr="006C14C3">
        <w:t xml:space="preserve"> Health</w:t>
      </w:r>
      <w:r w:rsidR="00526057">
        <w:t xml:space="preserve"> chapter</w:t>
      </w:r>
      <w:r>
        <w:t>,</w:t>
      </w:r>
      <w:r w:rsidRPr="006C14C3">
        <w:t xml:space="preserve"> Attachment A</w:t>
      </w:r>
      <w:r>
        <w:t>,</w:t>
      </w:r>
      <w:r w:rsidRPr="006C14C3">
        <w:t xml:space="preserve"> CGC, 2025, accessed 5 August 2025</w:t>
      </w:r>
      <w:r>
        <w:t>.</w:t>
      </w:r>
    </w:p>
  </w:footnote>
  <w:footnote w:id="3">
    <w:p w14:paraId="0877A28B" w14:textId="3E665ED8" w:rsidR="00642D43" w:rsidRDefault="00642D43">
      <w:pPr>
        <w:pStyle w:val="FootnoteText"/>
      </w:pPr>
      <w:r w:rsidRPr="00642D43">
        <w:rPr>
          <w:rStyle w:val="FootnoteReference"/>
          <w:vertAlign w:val="superscript"/>
        </w:rPr>
        <w:footnoteRef/>
      </w:r>
      <w:r w:rsidRPr="00642D43">
        <w:rPr>
          <w:rStyle w:val="FootnoteReference"/>
          <w:vertAlign w:val="superscript"/>
        </w:rPr>
        <w:t xml:space="preserve"> </w:t>
      </w:r>
      <w:r>
        <w:tab/>
        <w:t xml:space="preserve">IHACPA </w:t>
      </w:r>
      <w:r w:rsidR="00172283">
        <w:t>activity d</w:t>
      </w:r>
      <w:r>
        <w:t xml:space="preserve">ata </w:t>
      </w:r>
      <w:r w:rsidR="00172283">
        <w:t>are lagged by one year</w:t>
      </w:r>
      <w:r w:rsidR="00BD6AD2">
        <w:t>,</w:t>
      </w:r>
      <w:r w:rsidR="00172283">
        <w:t xml:space="preserve"> </w:t>
      </w:r>
      <w:r w:rsidR="007E158B">
        <w:t xml:space="preserve">since data for the final assessment year arrive too late to be incorporated in </w:t>
      </w:r>
      <w:r w:rsidR="00BD6AD2">
        <w:t>an update.</w:t>
      </w:r>
      <w:r w:rsidR="00E857E3">
        <w:t xml:space="preserve"> 2023–24 activity data will be </w:t>
      </w:r>
      <w:r w:rsidR="00B90D1B">
        <w:t xml:space="preserve">first </w:t>
      </w:r>
      <w:r w:rsidR="00E857E3">
        <w:t xml:space="preserve">used in the assessment </w:t>
      </w:r>
      <w:r w:rsidR="00B90D1B">
        <w:t>in the 2026 Update.</w:t>
      </w:r>
    </w:p>
  </w:footnote>
  <w:footnote w:id="4">
    <w:p w14:paraId="56813BA6" w14:textId="789FE3A5" w:rsidR="00D13BC9" w:rsidRDefault="00D13BC9">
      <w:pPr>
        <w:pStyle w:val="FootnoteText"/>
      </w:pPr>
      <w:r w:rsidRPr="00B90D1B">
        <w:rPr>
          <w:rStyle w:val="FootnoteReference"/>
          <w:vertAlign w:val="superscript"/>
        </w:rPr>
        <w:footnoteRef/>
      </w:r>
      <w:r>
        <w:t xml:space="preserve"> </w:t>
      </w:r>
      <w:r w:rsidR="00B93190">
        <w:t>The state data request notes that ‘To be consistent with the definition used by the CGC only transport within an urban area should be included</w:t>
      </w:r>
      <w:r w:rsidR="00BF24BB">
        <w:t>…</w:t>
      </w:r>
      <w:r w:rsidR="00DD0051">
        <w:t xml:space="preserve">services provided between non-urban UCL, or services provided between the </w:t>
      </w:r>
      <w:r w:rsidR="009C0D21">
        <w:t>urban UCL,</w:t>
      </w:r>
      <w:r w:rsidR="00DD0051">
        <w:t xml:space="preserve"> and no</w:t>
      </w:r>
      <w:r w:rsidR="009C0D21">
        <w:t>n</w:t>
      </w:r>
      <w:r w:rsidR="00DD0051">
        <w:t>-urban areas should not be included’</w:t>
      </w:r>
      <w:r w:rsidR="001340E5">
        <w:t>.</w:t>
      </w:r>
    </w:p>
  </w:footnote>
  <w:footnote w:id="5">
    <w:p w14:paraId="2FEDCFAB" w14:textId="77777777" w:rsidR="00DB01BB" w:rsidRDefault="00DB01BB" w:rsidP="00DB01BB">
      <w:pPr>
        <w:pStyle w:val="FootnoteText"/>
      </w:pPr>
      <w:r w:rsidRPr="000D6245">
        <w:rPr>
          <w:rStyle w:val="FootnoteReference"/>
          <w:sz w:val="20"/>
          <w:vertAlign w:val="superscript"/>
        </w:rPr>
        <w:footnoteRef/>
      </w:r>
      <w:r>
        <w:t xml:space="preserve"> By not unwinding the differential funding proportions, no state can receive a windfall gain through non-participation. The Commission will continue to not unwind the recognition of educational disadvantage. </w:t>
      </w:r>
    </w:p>
  </w:footnote>
  <w:footnote w:id="6">
    <w:p w14:paraId="51448E50" w14:textId="77777777" w:rsidR="00DB01BB" w:rsidRDefault="00DB01BB" w:rsidP="00DB01BB">
      <w:pPr>
        <w:pStyle w:val="FootnoteText"/>
      </w:pPr>
      <w:r w:rsidRPr="00801F5A">
        <w:rPr>
          <w:rStyle w:val="FootnoteReference"/>
          <w:sz w:val="20"/>
          <w:vertAlign w:val="superscript"/>
        </w:rPr>
        <w:footnoteRef/>
      </w:r>
      <w:r>
        <w:t xml:space="preserve"> </w:t>
      </w:r>
      <w:r w:rsidRPr="0057685E">
        <w:t xml:space="preserve">In 2023–24, Commonwealth funding covered about 20% of government school </w:t>
      </w:r>
      <w:r>
        <w:t>expenses.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65EE" w14:textId="31361308" w:rsidR="00382669" w:rsidRDefault="00E15340">
    <w:pPr>
      <w:pStyle w:val="Header"/>
    </w:pPr>
    <w:r w:rsidRPr="009D2E84">
      <w:rPr>
        <w:rFonts w:ascii="Work Sans" w:hAnsi="Work Sans"/>
        <w:noProof/>
      </w:rPr>
      <w:drawing>
        <wp:anchor distT="0" distB="0" distL="114300" distR="114300" simplePos="0" relativeHeight="251658240" behindDoc="1" locked="1" layoutInCell="1" allowOverlap="1" wp14:anchorId="290EA28C" wp14:editId="317E8DE2">
          <wp:simplePos x="0" y="0"/>
          <wp:positionH relativeFrom="page">
            <wp:align>left</wp:align>
          </wp:positionH>
          <wp:positionV relativeFrom="page">
            <wp:align>top</wp:align>
          </wp:positionV>
          <wp:extent cx="7563485" cy="10691495"/>
          <wp:effectExtent l="0" t="0" r="0" b="0"/>
          <wp:wrapNone/>
          <wp:docPr id="1471861650" name="Picture 147186165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7F3214" w:rsidRPr="009D2E84">
      <w:rPr>
        <w:rFonts w:ascii="Work Sans" w:hAnsi="Work Sans"/>
        <w:noProof/>
      </w:rPr>
      <w:drawing>
        <wp:anchor distT="0" distB="0" distL="114300" distR="114300" simplePos="0" relativeHeight="251658241" behindDoc="1" locked="1" layoutInCell="1" allowOverlap="1" wp14:anchorId="5E409258" wp14:editId="000739FC">
          <wp:simplePos x="0" y="0"/>
          <wp:positionH relativeFrom="page">
            <wp:posOffset>9525</wp:posOffset>
          </wp:positionH>
          <wp:positionV relativeFrom="page">
            <wp:posOffset>1270</wp:posOffset>
          </wp:positionV>
          <wp:extent cx="7563485" cy="10691495"/>
          <wp:effectExtent l="0" t="0" r="0" b="0"/>
          <wp:wrapNone/>
          <wp:docPr id="1187942361" name="Picture 118794236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13CFD" w14:textId="2006BA20" w:rsidR="00FC0DDC" w:rsidRDefault="00FC0D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9F9C6" w14:textId="7DA25C84" w:rsidR="00FC0DDC" w:rsidRDefault="00FC0D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3914" w14:textId="77777777" w:rsidR="006C2FC5" w:rsidRDefault="006C2FC5">
    <w:pPr>
      <w:pStyle w:val="Header"/>
    </w:pPr>
    <w:r>
      <w:rPr>
        <w:noProof/>
      </w:rPr>
      <mc:AlternateContent>
        <mc:Choice Requires="wps">
          <w:drawing>
            <wp:anchor distT="0" distB="0" distL="0" distR="0" simplePos="0" relativeHeight="251658242" behindDoc="0" locked="0" layoutInCell="1" allowOverlap="1" wp14:anchorId="78E61800" wp14:editId="2E33A339">
              <wp:simplePos x="635" y="635"/>
              <wp:positionH relativeFrom="page">
                <wp:align>center</wp:align>
              </wp:positionH>
              <wp:positionV relativeFrom="page">
                <wp:align>top</wp:align>
              </wp:positionV>
              <wp:extent cx="551815" cy="391160"/>
              <wp:effectExtent l="0" t="0" r="635" b="8890"/>
              <wp:wrapNone/>
              <wp:docPr id="4495789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82B2DE5"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E61800" id="_x0000_t202" coordsize="21600,21600" o:spt="202" path="m,l,21600r21600,l21600,xe">
              <v:stroke joinstyle="miter"/>
              <v:path gradientshapeok="t" o:connecttype="rect"/>
            </v:shapetype>
            <v:shape id="Text Box 2" o:spid="_x0000_s1033"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082B2DE5"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v:textbox>
              <w10:wrap anchorx="page" anchory="page"/>
            </v:shape>
          </w:pict>
        </mc:Fallback>
      </mc:AlternateContent>
    </w:r>
  </w:p>
  <w:p w14:paraId="6C4BA3C2" w14:textId="77777777" w:rsidR="006C2FC5" w:rsidRDefault="006C2FC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3998D" w14:textId="77777777" w:rsidR="006C2FC5" w:rsidRDefault="006C2FC5">
    <w:pPr>
      <w:pStyle w:val="Header"/>
    </w:pPr>
    <w:r>
      <w:rPr>
        <w:noProof/>
      </w:rPr>
      <mc:AlternateContent>
        <mc:Choice Requires="wps">
          <w:drawing>
            <wp:anchor distT="0" distB="0" distL="0" distR="0" simplePos="0" relativeHeight="251658243" behindDoc="0" locked="0" layoutInCell="1" allowOverlap="1" wp14:anchorId="0E0998DA" wp14:editId="2139A030">
              <wp:simplePos x="936346" y="358445"/>
              <wp:positionH relativeFrom="page">
                <wp:align>center</wp:align>
              </wp:positionH>
              <wp:positionV relativeFrom="page">
                <wp:align>top</wp:align>
              </wp:positionV>
              <wp:extent cx="551815" cy="391160"/>
              <wp:effectExtent l="0" t="0" r="635" b="8890"/>
              <wp:wrapNone/>
              <wp:docPr id="172457068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393338D"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0998DA" id="_x0000_t202" coordsize="21600,21600" o:spt="202" path="m,l,21600r21600,l21600,xe">
              <v:stroke joinstyle="miter"/>
              <v:path gradientshapeok="t" o:connecttype="rect"/>
            </v:shapetype>
            <v:shape id="Text Box 3" o:spid="_x0000_s1034"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5393338D"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v:textbox>
              <w10:wrap anchorx="page" anchory="page"/>
            </v:shape>
          </w:pict>
        </mc:Fallback>
      </mc:AlternateContent>
    </w:r>
  </w:p>
  <w:p w14:paraId="1816849A" w14:textId="77777777" w:rsidR="006C2FC5" w:rsidRDefault="006C2F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36095" w14:textId="77777777" w:rsidR="006C2FC5" w:rsidRDefault="006C2FC5">
    <w:pPr>
      <w:pStyle w:val="Header"/>
    </w:pPr>
    <w:r>
      <w:rPr>
        <w:noProof/>
      </w:rPr>
      <mc:AlternateContent>
        <mc:Choice Requires="wps">
          <w:drawing>
            <wp:anchor distT="0" distB="0" distL="0" distR="0" simplePos="0" relativeHeight="251658246" behindDoc="0" locked="0" layoutInCell="1" allowOverlap="1" wp14:anchorId="69F8D33A" wp14:editId="09CC3C8E">
              <wp:simplePos x="635" y="635"/>
              <wp:positionH relativeFrom="page">
                <wp:align>center</wp:align>
              </wp:positionH>
              <wp:positionV relativeFrom="page">
                <wp:align>top</wp:align>
              </wp:positionV>
              <wp:extent cx="551815" cy="391160"/>
              <wp:effectExtent l="0" t="0" r="635" b="8890"/>
              <wp:wrapNone/>
              <wp:docPr id="13746089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215FAF2"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F8D33A" id="_x0000_t202" coordsize="21600,21600" o:spt="202" path="m,l,21600r21600,l21600,xe">
              <v:stroke joinstyle="miter"/>
              <v:path gradientshapeok="t" o:connecttype="rect"/>
            </v:shapetype>
            <v:shape id="Text Box 1" o:spid="_x0000_s1036" type="#_x0000_t202" alt="OFFICIAL" style="position:absolute;margin-left:0;margin-top:0;width:43.45pt;height:30.8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0215FAF2" w14:textId="77777777" w:rsidR="006C2FC5" w:rsidRPr="005F1984" w:rsidRDefault="006C2FC5" w:rsidP="00874F19">
                    <w:pPr>
                      <w:spacing w:after="0"/>
                      <w:rPr>
                        <w:rFonts w:ascii="Calibri" w:eastAsia="Calibri" w:hAnsi="Calibri" w:cs="Calibri"/>
                        <w:noProof/>
                        <w:color w:val="FF0000"/>
                        <w:sz w:val="24"/>
                        <w:szCs w:val="24"/>
                      </w:rPr>
                    </w:pPr>
                    <w:r w:rsidRPr="005F1984">
                      <w:rPr>
                        <w:rFonts w:ascii="Calibri" w:eastAsia="Calibri" w:hAnsi="Calibri" w:cs="Calibri"/>
                        <w:noProof/>
                        <w:color w:val="FF0000"/>
                        <w:sz w:val="24"/>
                        <w:szCs w:val="24"/>
                      </w:rPr>
                      <w:t>OFFICIAL</w:t>
                    </w:r>
                  </w:p>
                </w:txbxContent>
              </v:textbox>
              <w10:wrap anchorx="page" anchory="page"/>
            </v:shape>
          </w:pict>
        </mc:Fallback>
      </mc:AlternateContent>
    </w:r>
  </w:p>
  <w:p w14:paraId="4F2D0CD8" w14:textId="77777777" w:rsidR="006C2FC5" w:rsidRDefault="006C2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7E4A"/>
    <w:multiLevelType w:val="multilevel"/>
    <w:tmpl w:val="5288C4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597618"/>
    <w:multiLevelType w:val="hybridMultilevel"/>
    <w:tmpl w:val="8C2E2410"/>
    <w:lvl w:ilvl="0" w:tplc="BF8CDAA2">
      <w:start w:val="1"/>
      <w:numFmt w:val="decimal"/>
      <w:pStyle w:val="CGCParaNumber"/>
      <w:lvlText w:val="%1."/>
      <w:lvlJc w:val="left"/>
      <w:pPr>
        <w:ind w:left="360" w:hanging="360"/>
      </w:pPr>
    </w:lvl>
    <w:lvl w:ilvl="1" w:tplc="0C090019">
      <w:start w:val="1"/>
      <w:numFmt w:val="lowerLetter"/>
      <w:lvlText w:val="%2."/>
      <w:lvlJc w:val="left"/>
      <w:pPr>
        <w:ind w:left="-1820" w:hanging="360"/>
      </w:pPr>
    </w:lvl>
    <w:lvl w:ilvl="2" w:tplc="0C09001B" w:tentative="1">
      <w:start w:val="1"/>
      <w:numFmt w:val="lowerRoman"/>
      <w:lvlText w:val="%3."/>
      <w:lvlJc w:val="right"/>
      <w:pPr>
        <w:ind w:left="-1100" w:hanging="180"/>
      </w:pPr>
    </w:lvl>
    <w:lvl w:ilvl="3" w:tplc="0C09000F" w:tentative="1">
      <w:start w:val="1"/>
      <w:numFmt w:val="decimal"/>
      <w:lvlText w:val="%4."/>
      <w:lvlJc w:val="left"/>
      <w:pPr>
        <w:ind w:left="-380" w:hanging="360"/>
      </w:pPr>
    </w:lvl>
    <w:lvl w:ilvl="4" w:tplc="0C090019" w:tentative="1">
      <w:start w:val="1"/>
      <w:numFmt w:val="lowerLetter"/>
      <w:lvlText w:val="%5."/>
      <w:lvlJc w:val="left"/>
      <w:pPr>
        <w:ind w:left="340" w:hanging="360"/>
      </w:pPr>
    </w:lvl>
    <w:lvl w:ilvl="5" w:tplc="0C09001B" w:tentative="1">
      <w:start w:val="1"/>
      <w:numFmt w:val="lowerRoman"/>
      <w:lvlText w:val="%6."/>
      <w:lvlJc w:val="right"/>
      <w:pPr>
        <w:ind w:left="1060" w:hanging="180"/>
      </w:pPr>
    </w:lvl>
    <w:lvl w:ilvl="6" w:tplc="0C09000F" w:tentative="1">
      <w:start w:val="1"/>
      <w:numFmt w:val="decimal"/>
      <w:lvlText w:val="%7."/>
      <w:lvlJc w:val="left"/>
      <w:pPr>
        <w:ind w:left="1780" w:hanging="360"/>
      </w:pPr>
    </w:lvl>
    <w:lvl w:ilvl="7" w:tplc="0C090019" w:tentative="1">
      <w:start w:val="1"/>
      <w:numFmt w:val="lowerLetter"/>
      <w:lvlText w:val="%8."/>
      <w:lvlJc w:val="left"/>
      <w:pPr>
        <w:ind w:left="2500" w:hanging="360"/>
      </w:pPr>
    </w:lvl>
    <w:lvl w:ilvl="8" w:tplc="0C09001B" w:tentative="1">
      <w:start w:val="1"/>
      <w:numFmt w:val="lowerRoman"/>
      <w:lvlText w:val="%9."/>
      <w:lvlJc w:val="right"/>
      <w:pPr>
        <w:ind w:left="3220" w:hanging="180"/>
      </w:pPr>
    </w:lvl>
  </w:abstractNum>
  <w:abstractNum w:abstractNumId="2" w15:restartNumberingAfterBreak="0">
    <w:nsid w:val="0DF76A24"/>
    <w:multiLevelType w:val="multilevel"/>
    <w:tmpl w:val="B7DE34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2E0450E"/>
    <w:multiLevelType w:val="hybridMultilevel"/>
    <w:tmpl w:val="2E7CB974"/>
    <w:lvl w:ilvl="0" w:tplc="0B66A1EE">
      <w:start w:val="7"/>
      <w:numFmt w:val="bullet"/>
      <w:lvlText w:val="-"/>
      <w:lvlJc w:val="left"/>
      <w:pPr>
        <w:ind w:left="720" w:hanging="360"/>
      </w:pPr>
      <w:rPr>
        <w:rFonts w:ascii="Work Sans" w:eastAsia="Times New Roman" w:hAnsi="Work San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AB7EFC"/>
    <w:multiLevelType w:val="multilevel"/>
    <w:tmpl w:val="0E88DFF6"/>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AC9430E"/>
    <w:multiLevelType w:val="multilevel"/>
    <w:tmpl w:val="6A3C1CE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DF6AEE"/>
    <w:multiLevelType w:val="multilevel"/>
    <w:tmpl w:val="DE108BC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5627B0"/>
    <w:multiLevelType w:val="hybridMultilevel"/>
    <w:tmpl w:val="AFDAF5B4"/>
    <w:lvl w:ilvl="0" w:tplc="0C090001">
      <w:start w:val="1"/>
      <w:numFmt w:val="bullet"/>
      <w:lvlText w:val=""/>
      <w:lvlJc w:val="left"/>
      <w:pPr>
        <w:ind w:left="1155" w:hanging="360"/>
      </w:pPr>
      <w:rPr>
        <w:rFonts w:ascii="Symbol" w:hAnsi="Symbol" w:hint="default"/>
      </w:rPr>
    </w:lvl>
    <w:lvl w:ilvl="1" w:tplc="0C090003">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8" w15:restartNumberingAfterBreak="0">
    <w:nsid w:val="23227F65"/>
    <w:multiLevelType w:val="multilevel"/>
    <w:tmpl w:val="2B326E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AA60EA"/>
    <w:multiLevelType w:val="multilevel"/>
    <w:tmpl w:val="74C40D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F9240D"/>
    <w:multiLevelType w:val="multilevel"/>
    <w:tmpl w:val="89F288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80191F"/>
    <w:multiLevelType w:val="multilevel"/>
    <w:tmpl w:val="E10E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CE5936"/>
    <w:multiLevelType w:val="hybridMultilevel"/>
    <w:tmpl w:val="6FC09D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11CFA"/>
    <w:multiLevelType w:val="hybridMultilevel"/>
    <w:tmpl w:val="366ACF42"/>
    <w:lvl w:ilvl="0" w:tplc="5866B8BC">
      <w:start w:val="1"/>
      <w:numFmt w:val="bullet"/>
      <w:pStyle w:val="CGCBullet1"/>
      <w:lvlText w:val=""/>
      <w:lvlJc w:val="left"/>
      <w:pPr>
        <w:ind w:left="720" w:hanging="360"/>
      </w:pPr>
      <w:rPr>
        <w:rFonts w:ascii="Symbol" w:hAnsi="Symbol" w:hint="default"/>
      </w:rPr>
    </w:lvl>
    <w:lvl w:ilvl="1" w:tplc="701437B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2F43AF"/>
    <w:multiLevelType w:val="hybridMultilevel"/>
    <w:tmpl w:val="1624B262"/>
    <w:lvl w:ilvl="0" w:tplc="60586F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6E299B"/>
    <w:multiLevelType w:val="multilevel"/>
    <w:tmpl w:val="957C2ED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1E2A55"/>
    <w:multiLevelType w:val="multilevel"/>
    <w:tmpl w:val="8C78535C"/>
    <w:lvl w:ilvl="0">
      <w:start w:val="1"/>
      <w:numFmt w:val="decimal"/>
      <w:pStyle w:val="CGC2025QuestionNumbers"/>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06F5A9D"/>
    <w:multiLevelType w:val="multilevel"/>
    <w:tmpl w:val="FA820F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5C441C"/>
    <w:multiLevelType w:val="hybridMultilevel"/>
    <w:tmpl w:val="42226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1C2CF5"/>
    <w:multiLevelType w:val="multilevel"/>
    <w:tmpl w:val="02E2E94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A805E6"/>
    <w:multiLevelType w:val="multilevel"/>
    <w:tmpl w:val="D458EB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E964BA4"/>
    <w:multiLevelType w:val="hybridMultilevel"/>
    <w:tmpl w:val="8C483EB6"/>
    <w:lvl w:ilvl="0" w:tplc="29C6E41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4D554F9"/>
    <w:multiLevelType w:val="hybridMultilevel"/>
    <w:tmpl w:val="E2F6BCEA"/>
    <w:lvl w:ilvl="0" w:tplc="65920C2E">
      <w:start w:val="1"/>
      <w:numFmt w:val="bullet"/>
      <w:pStyle w:val="BulletPoints"/>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69204C5"/>
    <w:multiLevelType w:val="multilevel"/>
    <w:tmpl w:val="610459E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B76E85"/>
    <w:multiLevelType w:val="multilevel"/>
    <w:tmpl w:val="82DEF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6129673">
    <w:abstractNumId w:val="13"/>
  </w:num>
  <w:num w:numId="2" w16cid:durableId="2133862960">
    <w:abstractNumId w:val="1"/>
  </w:num>
  <w:num w:numId="3" w16cid:durableId="1531723502">
    <w:abstractNumId w:val="2"/>
  </w:num>
  <w:num w:numId="4" w16cid:durableId="1239092046">
    <w:abstractNumId w:val="3"/>
  </w:num>
  <w:num w:numId="5" w16cid:durableId="545072451">
    <w:abstractNumId w:val="22"/>
  </w:num>
  <w:num w:numId="6" w16cid:durableId="1039236975">
    <w:abstractNumId w:val="16"/>
  </w:num>
  <w:num w:numId="7" w16cid:durableId="213392663">
    <w:abstractNumId w:val="4"/>
  </w:num>
  <w:num w:numId="8" w16cid:durableId="883981127">
    <w:abstractNumId w:val="12"/>
  </w:num>
  <w:num w:numId="9" w16cid:durableId="1752651901">
    <w:abstractNumId w:val="6"/>
  </w:num>
  <w:num w:numId="10" w16cid:durableId="228880096">
    <w:abstractNumId w:val="19"/>
  </w:num>
  <w:num w:numId="11" w16cid:durableId="1165439929">
    <w:abstractNumId w:val="11"/>
  </w:num>
  <w:num w:numId="12" w16cid:durableId="2040079065">
    <w:abstractNumId w:val="15"/>
  </w:num>
  <w:num w:numId="13" w16cid:durableId="706837139">
    <w:abstractNumId w:val="5"/>
  </w:num>
  <w:num w:numId="14" w16cid:durableId="859050306">
    <w:abstractNumId w:val="23"/>
  </w:num>
  <w:num w:numId="15" w16cid:durableId="1256133308">
    <w:abstractNumId w:val="7"/>
  </w:num>
  <w:num w:numId="16" w16cid:durableId="1589732913">
    <w:abstractNumId w:val="18"/>
  </w:num>
  <w:num w:numId="17" w16cid:durableId="850991002">
    <w:abstractNumId w:val="14"/>
  </w:num>
  <w:num w:numId="18" w16cid:durableId="565804876">
    <w:abstractNumId w:val="24"/>
  </w:num>
  <w:num w:numId="19" w16cid:durableId="1507867410">
    <w:abstractNumId w:val="9"/>
  </w:num>
  <w:num w:numId="20" w16cid:durableId="1561133691">
    <w:abstractNumId w:val="10"/>
  </w:num>
  <w:num w:numId="21" w16cid:durableId="1619219095">
    <w:abstractNumId w:val="8"/>
  </w:num>
  <w:num w:numId="22" w16cid:durableId="519395538">
    <w:abstractNumId w:val="17"/>
  </w:num>
  <w:num w:numId="23" w16cid:durableId="1207450310">
    <w:abstractNumId w:val="0"/>
  </w:num>
  <w:num w:numId="24" w16cid:durableId="17515397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46491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33115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03543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2516734">
    <w:abstractNumId w:val="20"/>
  </w:num>
  <w:num w:numId="29" w16cid:durableId="4268476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81921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53291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60356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49649527">
    <w:abstractNumId w:val="21"/>
  </w:num>
  <w:num w:numId="34" w16cid:durableId="1516071121">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09B"/>
    <w:rsid w:val="00000573"/>
    <w:rsid w:val="0000065A"/>
    <w:rsid w:val="00000789"/>
    <w:rsid w:val="00000960"/>
    <w:rsid w:val="00000F10"/>
    <w:rsid w:val="000010FC"/>
    <w:rsid w:val="00001114"/>
    <w:rsid w:val="00001452"/>
    <w:rsid w:val="000014FB"/>
    <w:rsid w:val="00001542"/>
    <w:rsid w:val="00001557"/>
    <w:rsid w:val="000017E9"/>
    <w:rsid w:val="000018A5"/>
    <w:rsid w:val="00001AD7"/>
    <w:rsid w:val="00001BFC"/>
    <w:rsid w:val="00001D1F"/>
    <w:rsid w:val="00002242"/>
    <w:rsid w:val="00002529"/>
    <w:rsid w:val="0000255E"/>
    <w:rsid w:val="00002621"/>
    <w:rsid w:val="0000265B"/>
    <w:rsid w:val="0000269D"/>
    <w:rsid w:val="00002A03"/>
    <w:rsid w:val="00002BBD"/>
    <w:rsid w:val="00002FDE"/>
    <w:rsid w:val="00003076"/>
    <w:rsid w:val="0000308A"/>
    <w:rsid w:val="00003335"/>
    <w:rsid w:val="000035B8"/>
    <w:rsid w:val="000036D4"/>
    <w:rsid w:val="000037C7"/>
    <w:rsid w:val="00003AA6"/>
    <w:rsid w:val="00003ABC"/>
    <w:rsid w:val="00003C09"/>
    <w:rsid w:val="00003EA5"/>
    <w:rsid w:val="0000417F"/>
    <w:rsid w:val="000042EB"/>
    <w:rsid w:val="00004328"/>
    <w:rsid w:val="0000468B"/>
    <w:rsid w:val="00004751"/>
    <w:rsid w:val="00004808"/>
    <w:rsid w:val="00004F00"/>
    <w:rsid w:val="000050B0"/>
    <w:rsid w:val="0000515D"/>
    <w:rsid w:val="00005527"/>
    <w:rsid w:val="0000555F"/>
    <w:rsid w:val="00005A0E"/>
    <w:rsid w:val="00005AA3"/>
    <w:rsid w:val="00005BA1"/>
    <w:rsid w:val="00005CF6"/>
    <w:rsid w:val="00005F60"/>
    <w:rsid w:val="00006000"/>
    <w:rsid w:val="0000634C"/>
    <w:rsid w:val="0000643E"/>
    <w:rsid w:val="000066CD"/>
    <w:rsid w:val="00006721"/>
    <w:rsid w:val="000067CD"/>
    <w:rsid w:val="00006975"/>
    <w:rsid w:val="00006AF8"/>
    <w:rsid w:val="00006F67"/>
    <w:rsid w:val="00007068"/>
    <w:rsid w:val="000071DA"/>
    <w:rsid w:val="0000723B"/>
    <w:rsid w:val="00007272"/>
    <w:rsid w:val="000073AB"/>
    <w:rsid w:val="000073C2"/>
    <w:rsid w:val="000073C8"/>
    <w:rsid w:val="000073CB"/>
    <w:rsid w:val="00007440"/>
    <w:rsid w:val="00007741"/>
    <w:rsid w:val="0000791E"/>
    <w:rsid w:val="00007ADC"/>
    <w:rsid w:val="00007B0A"/>
    <w:rsid w:val="00007DE8"/>
    <w:rsid w:val="00007EF3"/>
    <w:rsid w:val="00010223"/>
    <w:rsid w:val="00010457"/>
    <w:rsid w:val="000104FF"/>
    <w:rsid w:val="000106B3"/>
    <w:rsid w:val="000107D9"/>
    <w:rsid w:val="000108E5"/>
    <w:rsid w:val="00010C0F"/>
    <w:rsid w:val="00010E64"/>
    <w:rsid w:val="00010F1B"/>
    <w:rsid w:val="000111F6"/>
    <w:rsid w:val="00011468"/>
    <w:rsid w:val="00011486"/>
    <w:rsid w:val="000114B5"/>
    <w:rsid w:val="000114C5"/>
    <w:rsid w:val="000115D1"/>
    <w:rsid w:val="000115F6"/>
    <w:rsid w:val="0001162D"/>
    <w:rsid w:val="00011694"/>
    <w:rsid w:val="0001176C"/>
    <w:rsid w:val="0001181D"/>
    <w:rsid w:val="000119BA"/>
    <w:rsid w:val="00011D32"/>
    <w:rsid w:val="00011D91"/>
    <w:rsid w:val="000120D1"/>
    <w:rsid w:val="000120D6"/>
    <w:rsid w:val="00012315"/>
    <w:rsid w:val="000123A0"/>
    <w:rsid w:val="000123CB"/>
    <w:rsid w:val="00012696"/>
    <w:rsid w:val="00012727"/>
    <w:rsid w:val="000127ED"/>
    <w:rsid w:val="00012D07"/>
    <w:rsid w:val="00012F2D"/>
    <w:rsid w:val="00012F63"/>
    <w:rsid w:val="00012F78"/>
    <w:rsid w:val="000132AD"/>
    <w:rsid w:val="000132C9"/>
    <w:rsid w:val="0001337D"/>
    <w:rsid w:val="000133E5"/>
    <w:rsid w:val="000139AA"/>
    <w:rsid w:val="00013A61"/>
    <w:rsid w:val="00013C0C"/>
    <w:rsid w:val="00013CA8"/>
    <w:rsid w:val="00013F83"/>
    <w:rsid w:val="000140B3"/>
    <w:rsid w:val="00014183"/>
    <w:rsid w:val="00014512"/>
    <w:rsid w:val="00014627"/>
    <w:rsid w:val="00014628"/>
    <w:rsid w:val="00014789"/>
    <w:rsid w:val="0001480E"/>
    <w:rsid w:val="00014995"/>
    <w:rsid w:val="00014A1C"/>
    <w:rsid w:val="00014AEE"/>
    <w:rsid w:val="00014B11"/>
    <w:rsid w:val="00014D88"/>
    <w:rsid w:val="00014E5C"/>
    <w:rsid w:val="00015024"/>
    <w:rsid w:val="00015212"/>
    <w:rsid w:val="000152D7"/>
    <w:rsid w:val="000153BA"/>
    <w:rsid w:val="00015571"/>
    <w:rsid w:val="000158C2"/>
    <w:rsid w:val="000158C6"/>
    <w:rsid w:val="00015B03"/>
    <w:rsid w:val="00015B41"/>
    <w:rsid w:val="00015C1B"/>
    <w:rsid w:val="00015CAC"/>
    <w:rsid w:val="00015E94"/>
    <w:rsid w:val="00016082"/>
    <w:rsid w:val="00016451"/>
    <w:rsid w:val="00016657"/>
    <w:rsid w:val="0001693D"/>
    <w:rsid w:val="0001695D"/>
    <w:rsid w:val="00016A0A"/>
    <w:rsid w:val="00017075"/>
    <w:rsid w:val="000170F2"/>
    <w:rsid w:val="000171B3"/>
    <w:rsid w:val="00017410"/>
    <w:rsid w:val="0001746F"/>
    <w:rsid w:val="0001755A"/>
    <w:rsid w:val="000175B2"/>
    <w:rsid w:val="0001768A"/>
    <w:rsid w:val="0001775E"/>
    <w:rsid w:val="00017779"/>
    <w:rsid w:val="000179D0"/>
    <w:rsid w:val="00017AD6"/>
    <w:rsid w:val="00017C94"/>
    <w:rsid w:val="00017CBF"/>
    <w:rsid w:val="00017E3D"/>
    <w:rsid w:val="00017E46"/>
    <w:rsid w:val="00017E57"/>
    <w:rsid w:val="00020142"/>
    <w:rsid w:val="00020291"/>
    <w:rsid w:val="00020396"/>
    <w:rsid w:val="00020501"/>
    <w:rsid w:val="00020A88"/>
    <w:rsid w:val="00020AF5"/>
    <w:rsid w:val="00020CF7"/>
    <w:rsid w:val="00020D5B"/>
    <w:rsid w:val="00020D62"/>
    <w:rsid w:val="00021202"/>
    <w:rsid w:val="000216F0"/>
    <w:rsid w:val="00021704"/>
    <w:rsid w:val="00021880"/>
    <w:rsid w:val="00021C28"/>
    <w:rsid w:val="00021C39"/>
    <w:rsid w:val="00022002"/>
    <w:rsid w:val="000225C8"/>
    <w:rsid w:val="00022638"/>
    <w:rsid w:val="00022823"/>
    <w:rsid w:val="00022C0B"/>
    <w:rsid w:val="00022C6D"/>
    <w:rsid w:val="00022E02"/>
    <w:rsid w:val="000230AC"/>
    <w:rsid w:val="00023832"/>
    <w:rsid w:val="000239E6"/>
    <w:rsid w:val="00023B43"/>
    <w:rsid w:val="00023BBD"/>
    <w:rsid w:val="00023C22"/>
    <w:rsid w:val="00023CB8"/>
    <w:rsid w:val="00024015"/>
    <w:rsid w:val="0002408C"/>
    <w:rsid w:val="00024145"/>
    <w:rsid w:val="00024173"/>
    <w:rsid w:val="000243A2"/>
    <w:rsid w:val="00024416"/>
    <w:rsid w:val="0002454D"/>
    <w:rsid w:val="00024856"/>
    <w:rsid w:val="00024873"/>
    <w:rsid w:val="0002493D"/>
    <w:rsid w:val="00024CC5"/>
    <w:rsid w:val="00024CDC"/>
    <w:rsid w:val="00024D30"/>
    <w:rsid w:val="00024E03"/>
    <w:rsid w:val="00024FF3"/>
    <w:rsid w:val="000251AD"/>
    <w:rsid w:val="0002544F"/>
    <w:rsid w:val="000257EA"/>
    <w:rsid w:val="00025A0E"/>
    <w:rsid w:val="00025D8F"/>
    <w:rsid w:val="00025E88"/>
    <w:rsid w:val="00025FC8"/>
    <w:rsid w:val="000261DA"/>
    <w:rsid w:val="00026202"/>
    <w:rsid w:val="00026287"/>
    <w:rsid w:val="00026393"/>
    <w:rsid w:val="000264C9"/>
    <w:rsid w:val="00026906"/>
    <w:rsid w:val="00026B78"/>
    <w:rsid w:val="00026BE3"/>
    <w:rsid w:val="00026BF7"/>
    <w:rsid w:val="00026C9F"/>
    <w:rsid w:val="00026EC6"/>
    <w:rsid w:val="00026ED6"/>
    <w:rsid w:val="0002721D"/>
    <w:rsid w:val="0002733B"/>
    <w:rsid w:val="00027891"/>
    <w:rsid w:val="00027A16"/>
    <w:rsid w:val="00027B40"/>
    <w:rsid w:val="00027BDA"/>
    <w:rsid w:val="00027BF9"/>
    <w:rsid w:val="00027C2E"/>
    <w:rsid w:val="00027D09"/>
    <w:rsid w:val="00027DF5"/>
    <w:rsid w:val="00027F0E"/>
    <w:rsid w:val="00027F2D"/>
    <w:rsid w:val="00027F9A"/>
    <w:rsid w:val="000301AF"/>
    <w:rsid w:val="000301E5"/>
    <w:rsid w:val="00030385"/>
    <w:rsid w:val="000303D1"/>
    <w:rsid w:val="00030667"/>
    <w:rsid w:val="000307DB"/>
    <w:rsid w:val="000309C8"/>
    <w:rsid w:val="00030B05"/>
    <w:rsid w:val="00030B39"/>
    <w:rsid w:val="00030B6D"/>
    <w:rsid w:val="00030CC5"/>
    <w:rsid w:val="00030DA3"/>
    <w:rsid w:val="00030EC9"/>
    <w:rsid w:val="00030F64"/>
    <w:rsid w:val="00030F7B"/>
    <w:rsid w:val="0003139A"/>
    <w:rsid w:val="00031723"/>
    <w:rsid w:val="0003188A"/>
    <w:rsid w:val="00031C4E"/>
    <w:rsid w:val="000329F4"/>
    <w:rsid w:val="00032B85"/>
    <w:rsid w:val="00032C47"/>
    <w:rsid w:val="000331F9"/>
    <w:rsid w:val="00033557"/>
    <w:rsid w:val="000336B3"/>
    <w:rsid w:val="000336B4"/>
    <w:rsid w:val="000336C7"/>
    <w:rsid w:val="00033720"/>
    <w:rsid w:val="0003385B"/>
    <w:rsid w:val="00033CF3"/>
    <w:rsid w:val="00033EF5"/>
    <w:rsid w:val="000341D6"/>
    <w:rsid w:val="000342AA"/>
    <w:rsid w:val="00034496"/>
    <w:rsid w:val="0003463B"/>
    <w:rsid w:val="000347A2"/>
    <w:rsid w:val="00034994"/>
    <w:rsid w:val="00034B50"/>
    <w:rsid w:val="00034BA6"/>
    <w:rsid w:val="00034EA0"/>
    <w:rsid w:val="00034F23"/>
    <w:rsid w:val="00035082"/>
    <w:rsid w:val="000350D7"/>
    <w:rsid w:val="0003511D"/>
    <w:rsid w:val="000354B5"/>
    <w:rsid w:val="00035687"/>
    <w:rsid w:val="00035692"/>
    <w:rsid w:val="000357F3"/>
    <w:rsid w:val="00035825"/>
    <w:rsid w:val="000358A2"/>
    <w:rsid w:val="000359F5"/>
    <w:rsid w:val="00035CD2"/>
    <w:rsid w:val="00035D5E"/>
    <w:rsid w:val="00036032"/>
    <w:rsid w:val="000361D4"/>
    <w:rsid w:val="0003626B"/>
    <w:rsid w:val="0003654E"/>
    <w:rsid w:val="00036709"/>
    <w:rsid w:val="00036885"/>
    <w:rsid w:val="00036C34"/>
    <w:rsid w:val="00036E43"/>
    <w:rsid w:val="0003700D"/>
    <w:rsid w:val="00037333"/>
    <w:rsid w:val="00037335"/>
    <w:rsid w:val="000375C0"/>
    <w:rsid w:val="000379C8"/>
    <w:rsid w:val="00037ECC"/>
    <w:rsid w:val="00037F49"/>
    <w:rsid w:val="0004020A"/>
    <w:rsid w:val="00040548"/>
    <w:rsid w:val="000407D5"/>
    <w:rsid w:val="000409C0"/>
    <w:rsid w:val="00040BF2"/>
    <w:rsid w:val="00040D1B"/>
    <w:rsid w:val="00040F0C"/>
    <w:rsid w:val="00040FAB"/>
    <w:rsid w:val="00041170"/>
    <w:rsid w:val="00041267"/>
    <w:rsid w:val="0004127B"/>
    <w:rsid w:val="000412D9"/>
    <w:rsid w:val="00041504"/>
    <w:rsid w:val="00041653"/>
    <w:rsid w:val="0004173F"/>
    <w:rsid w:val="00041770"/>
    <w:rsid w:val="00041A3A"/>
    <w:rsid w:val="00041DA2"/>
    <w:rsid w:val="00041F07"/>
    <w:rsid w:val="00042127"/>
    <w:rsid w:val="00042324"/>
    <w:rsid w:val="000423B9"/>
    <w:rsid w:val="0004249A"/>
    <w:rsid w:val="000424B3"/>
    <w:rsid w:val="0004268D"/>
    <w:rsid w:val="000429FC"/>
    <w:rsid w:val="00042AAA"/>
    <w:rsid w:val="00042AC0"/>
    <w:rsid w:val="00042C10"/>
    <w:rsid w:val="00042CA5"/>
    <w:rsid w:val="00042CAD"/>
    <w:rsid w:val="00042E75"/>
    <w:rsid w:val="00042FFB"/>
    <w:rsid w:val="0004327E"/>
    <w:rsid w:val="00043325"/>
    <w:rsid w:val="000434B9"/>
    <w:rsid w:val="00043B66"/>
    <w:rsid w:val="00043B73"/>
    <w:rsid w:val="00043E50"/>
    <w:rsid w:val="00044045"/>
    <w:rsid w:val="00044070"/>
    <w:rsid w:val="00044240"/>
    <w:rsid w:val="00044378"/>
    <w:rsid w:val="00044630"/>
    <w:rsid w:val="00044772"/>
    <w:rsid w:val="00044B43"/>
    <w:rsid w:val="00045070"/>
    <w:rsid w:val="000451B6"/>
    <w:rsid w:val="000451BB"/>
    <w:rsid w:val="00045219"/>
    <w:rsid w:val="00045488"/>
    <w:rsid w:val="000454A9"/>
    <w:rsid w:val="00045790"/>
    <w:rsid w:val="000458A6"/>
    <w:rsid w:val="00046029"/>
    <w:rsid w:val="00046071"/>
    <w:rsid w:val="0004611E"/>
    <w:rsid w:val="000462E8"/>
    <w:rsid w:val="000463FE"/>
    <w:rsid w:val="000467F9"/>
    <w:rsid w:val="00046F7B"/>
    <w:rsid w:val="00047420"/>
    <w:rsid w:val="00047A32"/>
    <w:rsid w:val="00047A82"/>
    <w:rsid w:val="00047B7D"/>
    <w:rsid w:val="00047D68"/>
    <w:rsid w:val="000501AC"/>
    <w:rsid w:val="000505E4"/>
    <w:rsid w:val="00050915"/>
    <w:rsid w:val="000509B1"/>
    <w:rsid w:val="00050ADE"/>
    <w:rsid w:val="00050AE9"/>
    <w:rsid w:val="00050C2D"/>
    <w:rsid w:val="00050C96"/>
    <w:rsid w:val="00050FAD"/>
    <w:rsid w:val="00051014"/>
    <w:rsid w:val="00051018"/>
    <w:rsid w:val="000510CF"/>
    <w:rsid w:val="000513D5"/>
    <w:rsid w:val="0005143E"/>
    <w:rsid w:val="00051562"/>
    <w:rsid w:val="00051748"/>
    <w:rsid w:val="00051814"/>
    <w:rsid w:val="00051AB0"/>
    <w:rsid w:val="00051DAD"/>
    <w:rsid w:val="00051FFB"/>
    <w:rsid w:val="0005205C"/>
    <w:rsid w:val="00052674"/>
    <w:rsid w:val="0005270B"/>
    <w:rsid w:val="000528FD"/>
    <w:rsid w:val="00052986"/>
    <w:rsid w:val="00052A8E"/>
    <w:rsid w:val="00052BF5"/>
    <w:rsid w:val="00052DB7"/>
    <w:rsid w:val="00052E43"/>
    <w:rsid w:val="00052F04"/>
    <w:rsid w:val="00052F17"/>
    <w:rsid w:val="0005333A"/>
    <w:rsid w:val="000534EE"/>
    <w:rsid w:val="000536B7"/>
    <w:rsid w:val="00053709"/>
    <w:rsid w:val="00053D0A"/>
    <w:rsid w:val="00053EA5"/>
    <w:rsid w:val="000540B3"/>
    <w:rsid w:val="000544AF"/>
    <w:rsid w:val="00054582"/>
    <w:rsid w:val="000546A5"/>
    <w:rsid w:val="0005476D"/>
    <w:rsid w:val="000547FC"/>
    <w:rsid w:val="00054A14"/>
    <w:rsid w:val="00054A65"/>
    <w:rsid w:val="00054A70"/>
    <w:rsid w:val="00054C7F"/>
    <w:rsid w:val="00054E23"/>
    <w:rsid w:val="00054E4B"/>
    <w:rsid w:val="000550CE"/>
    <w:rsid w:val="0005515D"/>
    <w:rsid w:val="00055517"/>
    <w:rsid w:val="000556D5"/>
    <w:rsid w:val="00055707"/>
    <w:rsid w:val="0005570B"/>
    <w:rsid w:val="000558B8"/>
    <w:rsid w:val="000558E0"/>
    <w:rsid w:val="00055A5D"/>
    <w:rsid w:val="00055C2C"/>
    <w:rsid w:val="00055DA9"/>
    <w:rsid w:val="00056007"/>
    <w:rsid w:val="000560D1"/>
    <w:rsid w:val="00056104"/>
    <w:rsid w:val="0005614E"/>
    <w:rsid w:val="00056152"/>
    <w:rsid w:val="0005616C"/>
    <w:rsid w:val="0005642D"/>
    <w:rsid w:val="000565C8"/>
    <w:rsid w:val="0005671C"/>
    <w:rsid w:val="0005697E"/>
    <w:rsid w:val="00056B7E"/>
    <w:rsid w:val="00056BB2"/>
    <w:rsid w:val="00056C23"/>
    <w:rsid w:val="00056C60"/>
    <w:rsid w:val="00056D07"/>
    <w:rsid w:val="00056F0F"/>
    <w:rsid w:val="00057142"/>
    <w:rsid w:val="0005774A"/>
    <w:rsid w:val="000577DD"/>
    <w:rsid w:val="00057A41"/>
    <w:rsid w:val="00057BFD"/>
    <w:rsid w:val="00057D01"/>
    <w:rsid w:val="00057E2E"/>
    <w:rsid w:val="00057FAA"/>
    <w:rsid w:val="0006012B"/>
    <w:rsid w:val="000603EA"/>
    <w:rsid w:val="000604F4"/>
    <w:rsid w:val="0006053F"/>
    <w:rsid w:val="00060682"/>
    <w:rsid w:val="00060734"/>
    <w:rsid w:val="000607C0"/>
    <w:rsid w:val="00060833"/>
    <w:rsid w:val="0006083B"/>
    <w:rsid w:val="00060B79"/>
    <w:rsid w:val="00060C12"/>
    <w:rsid w:val="00060D5E"/>
    <w:rsid w:val="00060D8C"/>
    <w:rsid w:val="0006105F"/>
    <w:rsid w:val="00061488"/>
    <w:rsid w:val="000614F7"/>
    <w:rsid w:val="000615BB"/>
    <w:rsid w:val="00061687"/>
    <w:rsid w:val="0006193F"/>
    <w:rsid w:val="00061971"/>
    <w:rsid w:val="000619EF"/>
    <w:rsid w:val="00061B21"/>
    <w:rsid w:val="00061B82"/>
    <w:rsid w:val="00061CBF"/>
    <w:rsid w:val="00061CE7"/>
    <w:rsid w:val="00061DBA"/>
    <w:rsid w:val="000622BA"/>
    <w:rsid w:val="00062306"/>
    <w:rsid w:val="00062352"/>
    <w:rsid w:val="00062641"/>
    <w:rsid w:val="00062754"/>
    <w:rsid w:val="000627D3"/>
    <w:rsid w:val="00062907"/>
    <w:rsid w:val="00062979"/>
    <w:rsid w:val="00062996"/>
    <w:rsid w:val="00062A16"/>
    <w:rsid w:val="00062B2E"/>
    <w:rsid w:val="00062B31"/>
    <w:rsid w:val="00062B61"/>
    <w:rsid w:val="0006305C"/>
    <w:rsid w:val="000630F3"/>
    <w:rsid w:val="00063118"/>
    <w:rsid w:val="00063296"/>
    <w:rsid w:val="000634FA"/>
    <w:rsid w:val="000635B4"/>
    <w:rsid w:val="000637BD"/>
    <w:rsid w:val="0006384D"/>
    <w:rsid w:val="00063853"/>
    <w:rsid w:val="000638CD"/>
    <w:rsid w:val="00063906"/>
    <w:rsid w:val="00063B37"/>
    <w:rsid w:val="00063F09"/>
    <w:rsid w:val="00064145"/>
    <w:rsid w:val="0006421B"/>
    <w:rsid w:val="000642F3"/>
    <w:rsid w:val="00064387"/>
    <w:rsid w:val="000644A2"/>
    <w:rsid w:val="0006453C"/>
    <w:rsid w:val="00064725"/>
    <w:rsid w:val="00064776"/>
    <w:rsid w:val="00064861"/>
    <w:rsid w:val="000649DE"/>
    <w:rsid w:val="00064A2D"/>
    <w:rsid w:val="00064AA9"/>
    <w:rsid w:val="00064AD3"/>
    <w:rsid w:val="00064B92"/>
    <w:rsid w:val="00064F24"/>
    <w:rsid w:val="00064F8A"/>
    <w:rsid w:val="00065205"/>
    <w:rsid w:val="000652EF"/>
    <w:rsid w:val="0006558D"/>
    <w:rsid w:val="00065646"/>
    <w:rsid w:val="0006572A"/>
    <w:rsid w:val="00065A70"/>
    <w:rsid w:val="00065AB6"/>
    <w:rsid w:val="00065AC1"/>
    <w:rsid w:val="00065C94"/>
    <w:rsid w:val="00065F21"/>
    <w:rsid w:val="00065F23"/>
    <w:rsid w:val="00065FAB"/>
    <w:rsid w:val="00065FE4"/>
    <w:rsid w:val="0006625E"/>
    <w:rsid w:val="00066420"/>
    <w:rsid w:val="00066425"/>
    <w:rsid w:val="000664B6"/>
    <w:rsid w:val="00066646"/>
    <w:rsid w:val="00066A18"/>
    <w:rsid w:val="00066A2B"/>
    <w:rsid w:val="00066B96"/>
    <w:rsid w:val="00066E06"/>
    <w:rsid w:val="00066FAB"/>
    <w:rsid w:val="0006713B"/>
    <w:rsid w:val="00067154"/>
    <w:rsid w:val="00067873"/>
    <w:rsid w:val="000679A3"/>
    <w:rsid w:val="00067B02"/>
    <w:rsid w:val="00067BB3"/>
    <w:rsid w:val="00070149"/>
    <w:rsid w:val="000702D2"/>
    <w:rsid w:val="00070622"/>
    <w:rsid w:val="000707A3"/>
    <w:rsid w:val="00070816"/>
    <w:rsid w:val="00070818"/>
    <w:rsid w:val="00070830"/>
    <w:rsid w:val="00070867"/>
    <w:rsid w:val="00070895"/>
    <w:rsid w:val="00070896"/>
    <w:rsid w:val="000709CA"/>
    <w:rsid w:val="00070AC2"/>
    <w:rsid w:val="00070D16"/>
    <w:rsid w:val="00070D7A"/>
    <w:rsid w:val="00070F2E"/>
    <w:rsid w:val="00071222"/>
    <w:rsid w:val="00071421"/>
    <w:rsid w:val="00071422"/>
    <w:rsid w:val="0007184F"/>
    <w:rsid w:val="00071868"/>
    <w:rsid w:val="00071CE5"/>
    <w:rsid w:val="00071FCE"/>
    <w:rsid w:val="00072121"/>
    <w:rsid w:val="000724FD"/>
    <w:rsid w:val="000725B1"/>
    <w:rsid w:val="0007264E"/>
    <w:rsid w:val="00072705"/>
    <w:rsid w:val="00072711"/>
    <w:rsid w:val="0007273D"/>
    <w:rsid w:val="000727DE"/>
    <w:rsid w:val="00072B3B"/>
    <w:rsid w:val="00072CB2"/>
    <w:rsid w:val="00072F8B"/>
    <w:rsid w:val="00073129"/>
    <w:rsid w:val="00073156"/>
    <w:rsid w:val="00073179"/>
    <w:rsid w:val="0007327F"/>
    <w:rsid w:val="000733AB"/>
    <w:rsid w:val="0007356C"/>
    <w:rsid w:val="0007367C"/>
    <w:rsid w:val="000737AE"/>
    <w:rsid w:val="00073862"/>
    <w:rsid w:val="00073ADC"/>
    <w:rsid w:val="00073B19"/>
    <w:rsid w:val="0007405D"/>
    <w:rsid w:val="0007407E"/>
    <w:rsid w:val="0007417D"/>
    <w:rsid w:val="000741E2"/>
    <w:rsid w:val="000741FB"/>
    <w:rsid w:val="0007426F"/>
    <w:rsid w:val="000742AD"/>
    <w:rsid w:val="00074464"/>
    <w:rsid w:val="00074551"/>
    <w:rsid w:val="000749FB"/>
    <w:rsid w:val="00074A0C"/>
    <w:rsid w:val="00074ADD"/>
    <w:rsid w:val="00074B1B"/>
    <w:rsid w:val="00074B1C"/>
    <w:rsid w:val="00074FAB"/>
    <w:rsid w:val="00074FF2"/>
    <w:rsid w:val="000750A5"/>
    <w:rsid w:val="000752AF"/>
    <w:rsid w:val="000754C8"/>
    <w:rsid w:val="000758C6"/>
    <w:rsid w:val="0007599D"/>
    <w:rsid w:val="00075A56"/>
    <w:rsid w:val="00075AD5"/>
    <w:rsid w:val="000760B6"/>
    <w:rsid w:val="000762F1"/>
    <w:rsid w:val="00076683"/>
    <w:rsid w:val="00076788"/>
    <w:rsid w:val="000768C3"/>
    <w:rsid w:val="000768DE"/>
    <w:rsid w:val="000769E2"/>
    <w:rsid w:val="00076A29"/>
    <w:rsid w:val="00076B62"/>
    <w:rsid w:val="00076B9E"/>
    <w:rsid w:val="00076BC0"/>
    <w:rsid w:val="00076C31"/>
    <w:rsid w:val="00076DA8"/>
    <w:rsid w:val="00076E00"/>
    <w:rsid w:val="0007712A"/>
    <w:rsid w:val="000772A3"/>
    <w:rsid w:val="000772DE"/>
    <w:rsid w:val="000773A6"/>
    <w:rsid w:val="000774B5"/>
    <w:rsid w:val="000774BE"/>
    <w:rsid w:val="00077648"/>
    <w:rsid w:val="0007767D"/>
    <w:rsid w:val="00077C84"/>
    <w:rsid w:val="00077D45"/>
    <w:rsid w:val="00077D7A"/>
    <w:rsid w:val="00080001"/>
    <w:rsid w:val="0008003A"/>
    <w:rsid w:val="000800CA"/>
    <w:rsid w:val="00080392"/>
    <w:rsid w:val="0008044E"/>
    <w:rsid w:val="0008046D"/>
    <w:rsid w:val="0008051D"/>
    <w:rsid w:val="000808B6"/>
    <w:rsid w:val="00080911"/>
    <w:rsid w:val="000809D8"/>
    <w:rsid w:val="00080A73"/>
    <w:rsid w:val="00080B81"/>
    <w:rsid w:val="00080C8C"/>
    <w:rsid w:val="00080E8D"/>
    <w:rsid w:val="000810CD"/>
    <w:rsid w:val="00081256"/>
    <w:rsid w:val="000812FC"/>
    <w:rsid w:val="0008139F"/>
    <w:rsid w:val="000813BB"/>
    <w:rsid w:val="0008149D"/>
    <w:rsid w:val="00081865"/>
    <w:rsid w:val="000818B9"/>
    <w:rsid w:val="00081938"/>
    <w:rsid w:val="00081ACC"/>
    <w:rsid w:val="00081B2C"/>
    <w:rsid w:val="00081CD5"/>
    <w:rsid w:val="00081D8E"/>
    <w:rsid w:val="00081D93"/>
    <w:rsid w:val="00081E73"/>
    <w:rsid w:val="00081F80"/>
    <w:rsid w:val="00081F88"/>
    <w:rsid w:val="0008206A"/>
    <w:rsid w:val="00082177"/>
    <w:rsid w:val="00082261"/>
    <w:rsid w:val="00082451"/>
    <w:rsid w:val="000824A8"/>
    <w:rsid w:val="00082B90"/>
    <w:rsid w:val="00082D55"/>
    <w:rsid w:val="00082D59"/>
    <w:rsid w:val="00082FB1"/>
    <w:rsid w:val="0008302A"/>
    <w:rsid w:val="000831B0"/>
    <w:rsid w:val="000831E5"/>
    <w:rsid w:val="000833C1"/>
    <w:rsid w:val="0008361E"/>
    <w:rsid w:val="0008375B"/>
    <w:rsid w:val="00083C3E"/>
    <w:rsid w:val="000840A0"/>
    <w:rsid w:val="00084389"/>
    <w:rsid w:val="000843EE"/>
    <w:rsid w:val="00084418"/>
    <w:rsid w:val="00084420"/>
    <w:rsid w:val="0008461E"/>
    <w:rsid w:val="000846FB"/>
    <w:rsid w:val="00084CD2"/>
    <w:rsid w:val="00084FEB"/>
    <w:rsid w:val="0008522A"/>
    <w:rsid w:val="00085534"/>
    <w:rsid w:val="000858EB"/>
    <w:rsid w:val="000858F0"/>
    <w:rsid w:val="00085903"/>
    <w:rsid w:val="00085B62"/>
    <w:rsid w:val="00085C86"/>
    <w:rsid w:val="00085D08"/>
    <w:rsid w:val="00085EFE"/>
    <w:rsid w:val="000863E3"/>
    <w:rsid w:val="00086590"/>
    <w:rsid w:val="000865C9"/>
    <w:rsid w:val="00086778"/>
    <w:rsid w:val="00086787"/>
    <w:rsid w:val="0008682E"/>
    <w:rsid w:val="00086938"/>
    <w:rsid w:val="00086B1C"/>
    <w:rsid w:val="00086F13"/>
    <w:rsid w:val="00086F15"/>
    <w:rsid w:val="00086FC2"/>
    <w:rsid w:val="000871DB"/>
    <w:rsid w:val="0008744F"/>
    <w:rsid w:val="0008746C"/>
    <w:rsid w:val="00087B40"/>
    <w:rsid w:val="00087CB4"/>
    <w:rsid w:val="00087CD6"/>
    <w:rsid w:val="00087D8E"/>
    <w:rsid w:val="00087E11"/>
    <w:rsid w:val="00087E34"/>
    <w:rsid w:val="00090014"/>
    <w:rsid w:val="00090161"/>
    <w:rsid w:val="000902B6"/>
    <w:rsid w:val="00090490"/>
    <w:rsid w:val="000907AB"/>
    <w:rsid w:val="0009085A"/>
    <w:rsid w:val="00090BC7"/>
    <w:rsid w:val="00090C88"/>
    <w:rsid w:val="00090E8C"/>
    <w:rsid w:val="00090EA5"/>
    <w:rsid w:val="00091074"/>
    <w:rsid w:val="00091308"/>
    <w:rsid w:val="00091381"/>
    <w:rsid w:val="000916EA"/>
    <w:rsid w:val="000917CA"/>
    <w:rsid w:val="0009197F"/>
    <w:rsid w:val="00091A88"/>
    <w:rsid w:val="00091F0C"/>
    <w:rsid w:val="00091FCD"/>
    <w:rsid w:val="00092029"/>
    <w:rsid w:val="0009218C"/>
    <w:rsid w:val="000925EC"/>
    <w:rsid w:val="000929B8"/>
    <w:rsid w:val="00092A1E"/>
    <w:rsid w:val="00092C8F"/>
    <w:rsid w:val="00092EFB"/>
    <w:rsid w:val="000930C7"/>
    <w:rsid w:val="00093149"/>
    <w:rsid w:val="000931F9"/>
    <w:rsid w:val="00093334"/>
    <w:rsid w:val="00093361"/>
    <w:rsid w:val="00093534"/>
    <w:rsid w:val="0009353E"/>
    <w:rsid w:val="00093B83"/>
    <w:rsid w:val="00093CC4"/>
    <w:rsid w:val="00093ECF"/>
    <w:rsid w:val="00094149"/>
    <w:rsid w:val="000946F5"/>
    <w:rsid w:val="000948A8"/>
    <w:rsid w:val="00094A15"/>
    <w:rsid w:val="00094AC7"/>
    <w:rsid w:val="00094AED"/>
    <w:rsid w:val="00094FDF"/>
    <w:rsid w:val="000955C8"/>
    <w:rsid w:val="000957EA"/>
    <w:rsid w:val="00095804"/>
    <w:rsid w:val="0009595B"/>
    <w:rsid w:val="00095ABB"/>
    <w:rsid w:val="00095BCB"/>
    <w:rsid w:val="00095C45"/>
    <w:rsid w:val="00095ECF"/>
    <w:rsid w:val="00095EF2"/>
    <w:rsid w:val="000960FD"/>
    <w:rsid w:val="0009614D"/>
    <w:rsid w:val="00096489"/>
    <w:rsid w:val="00096642"/>
    <w:rsid w:val="00096781"/>
    <w:rsid w:val="00096812"/>
    <w:rsid w:val="00096A07"/>
    <w:rsid w:val="00096B12"/>
    <w:rsid w:val="000973C8"/>
    <w:rsid w:val="000974F4"/>
    <w:rsid w:val="0009752F"/>
    <w:rsid w:val="000977BB"/>
    <w:rsid w:val="000977F1"/>
    <w:rsid w:val="0009788F"/>
    <w:rsid w:val="00097897"/>
    <w:rsid w:val="00097B12"/>
    <w:rsid w:val="00097BA0"/>
    <w:rsid w:val="00097C8D"/>
    <w:rsid w:val="00097CFF"/>
    <w:rsid w:val="00097E19"/>
    <w:rsid w:val="00097E6A"/>
    <w:rsid w:val="000A01AA"/>
    <w:rsid w:val="000A03F6"/>
    <w:rsid w:val="000A0444"/>
    <w:rsid w:val="000A0552"/>
    <w:rsid w:val="000A0BB8"/>
    <w:rsid w:val="000A0C19"/>
    <w:rsid w:val="000A0D22"/>
    <w:rsid w:val="000A0EAC"/>
    <w:rsid w:val="000A120A"/>
    <w:rsid w:val="000A146C"/>
    <w:rsid w:val="000A190D"/>
    <w:rsid w:val="000A1A25"/>
    <w:rsid w:val="000A1CB1"/>
    <w:rsid w:val="000A1D73"/>
    <w:rsid w:val="000A1E85"/>
    <w:rsid w:val="000A272B"/>
    <w:rsid w:val="000A27C9"/>
    <w:rsid w:val="000A27F5"/>
    <w:rsid w:val="000A2BF1"/>
    <w:rsid w:val="000A2BFC"/>
    <w:rsid w:val="000A2CEC"/>
    <w:rsid w:val="000A3354"/>
    <w:rsid w:val="000A342C"/>
    <w:rsid w:val="000A3815"/>
    <w:rsid w:val="000A3CCD"/>
    <w:rsid w:val="000A3F1A"/>
    <w:rsid w:val="000A3F90"/>
    <w:rsid w:val="000A4272"/>
    <w:rsid w:val="000A4331"/>
    <w:rsid w:val="000A457F"/>
    <w:rsid w:val="000A4757"/>
    <w:rsid w:val="000A49D1"/>
    <w:rsid w:val="000A4ECB"/>
    <w:rsid w:val="000A519D"/>
    <w:rsid w:val="000A52E4"/>
    <w:rsid w:val="000A543A"/>
    <w:rsid w:val="000A54B9"/>
    <w:rsid w:val="000A54EF"/>
    <w:rsid w:val="000A5620"/>
    <w:rsid w:val="000A5647"/>
    <w:rsid w:val="000A5747"/>
    <w:rsid w:val="000A580F"/>
    <w:rsid w:val="000A5948"/>
    <w:rsid w:val="000A5A08"/>
    <w:rsid w:val="000A5A53"/>
    <w:rsid w:val="000A5AF4"/>
    <w:rsid w:val="000A5B6C"/>
    <w:rsid w:val="000A5D21"/>
    <w:rsid w:val="000A5D3E"/>
    <w:rsid w:val="000A5D76"/>
    <w:rsid w:val="000A5D7D"/>
    <w:rsid w:val="000A6068"/>
    <w:rsid w:val="000A6159"/>
    <w:rsid w:val="000A6232"/>
    <w:rsid w:val="000A6357"/>
    <w:rsid w:val="000A64DB"/>
    <w:rsid w:val="000A6677"/>
    <w:rsid w:val="000A6694"/>
    <w:rsid w:val="000A674A"/>
    <w:rsid w:val="000A68E5"/>
    <w:rsid w:val="000A6C12"/>
    <w:rsid w:val="000A6E16"/>
    <w:rsid w:val="000A6F93"/>
    <w:rsid w:val="000A70D1"/>
    <w:rsid w:val="000A71DE"/>
    <w:rsid w:val="000A72C6"/>
    <w:rsid w:val="000A75EB"/>
    <w:rsid w:val="000A76C7"/>
    <w:rsid w:val="000A78C5"/>
    <w:rsid w:val="000A7A3A"/>
    <w:rsid w:val="000A7AD6"/>
    <w:rsid w:val="000A7B13"/>
    <w:rsid w:val="000A7C95"/>
    <w:rsid w:val="000A7E69"/>
    <w:rsid w:val="000B021F"/>
    <w:rsid w:val="000B03A6"/>
    <w:rsid w:val="000B0442"/>
    <w:rsid w:val="000B053B"/>
    <w:rsid w:val="000B0590"/>
    <w:rsid w:val="000B0618"/>
    <w:rsid w:val="000B0689"/>
    <w:rsid w:val="000B070A"/>
    <w:rsid w:val="000B087A"/>
    <w:rsid w:val="000B0906"/>
    <w:rsid w:val="000B0A49"/>
    <w:rsid w:val="000B0AB7"/>
    <w:rsid w:val="000B0C02"/>
    <w:rsid w:val="000B0D20"/>
    <w:rsid w:val="000B1236"/>
    <w:rsid w:val="000B13F5"/>
    <w:rsid w:val="000B1406"/>
    <w:rsid w:val="000B1589"/>
    <w:rsid w:val="000B1849"/>
    <w:rsid w:val="000B1984"/>
    <w:rsid w:val="000B1C5E"/>
    <w:rsid w:val="000B1CB4"/>
    <w:rsid w:val="000B1F21"/>
    <w:rsid w:val="000B246F"/>
    <w:rsid w:val="000B2777"/>
    <w:rsid w:val="000B2806"/>
    <w:rsid w:val="000B2A98"/>
    <w:rsid w:val="000B3246"/>
    <w:rsid w:val="000B32F5"/>
    <w:rsid w:val="000B3370"/>
    <w:rsid w:val="000B355C"/>
    <w:rsid w:val="000B36B3"/>
    <w:rsid w:val="000B370E"/>
    <w:rsid w:val="000B37FD"/>
    <w:rsid w:val="000B3815"/>
    <w:rsid w:val="000B3BB2"/>
    <w:rsid w:val="000B3C38"/>
    <w:rsid w:val="000B3DC8"/>
    <w:rsid w:val="000B408D"/>
    <w:rsid w:val="000B422E"/>
    <w:rsid w:val="000B44DD"/>
    <w:rsid w:val="000B456A"/>
    <w:rsid w:val="000B47BD"/>
    <w:rsid w:val="000B4825"/>
    <w:rsid w:val="000B48BF"/>
    <w:rsid w:val="000B48EC"/>
    <w:rsid w:val="000B4917"/>
    <w:rsid w:val="000B4A87"/>
    <w:rsid w:val="000B4B92"/>
    <w:rsid w:val="000B4C9F"/>
    <w:rsid w:val="000B4D19"/>
    <w:rsid w:val="000B4EFA"/>
    <w:rsid w:val="000B517A"/>
    <w:rsid w:val="000B523B"/>
    <w:rsid w:val="000B54D2"/>
    <w:rsid w:val="000B5946"/>
    <w:rsid w:val="000B5C93"/>
    <w:rsid w:val="000B5CBE"/>
    <w:rsid w:val="000B6078"/>
    <w:rsid w:val="000B6328"/>
    <w:rsid w:val="000B6506"/>
    <w:rsid w:val="000B657E"/>
    <w:rsid w:val="000B6ACA"/>
    <w:rsid w:val="000B6B7B"/>
    <w:rsid w:val="000B6C42"/>
    <w:rsid w:val="000B6C55"/>
    <w:rsid w:val="000B6CEF"/>
    <w:rsid w:val="000B6D4D"/>
    <w:rsid w:val="000B6D61"/>
    <w:rsid w:val="000B6E8A"/>
    <w:rsid w:val="000B7202"/>
    <w:rsid w:val="000B74C0"/>
    <w:rsid w:val="000B7564"/>
    <w:rsid w:val="000B7755"/>
    <w:rsid w:val="000B77EA"/>
    <w:rsid w:val="000B7A1F"/>
    <w:rsid w:val="000B7AE9"/>
    <w:rsid w:val="000B7C07"/>
    <w:rsid w:val="000B7C9D"/>
    <w:rsid w:val="000B7D5E"/>
    <w:rsid w:val="000B7E00"/>
    <w:rsid w:val="000C000C"/>
    <w:rsid w:val="000C0045"/>
    <w:rsid w:val="000C015B"/>
    <w:rsid w:val="000C01BD"/>
    <w:rsid w:val="000C0246"/>
    <w:rsid w:val="000C0257"/>
    <w:rsid w:val="000C0395"/>
    <w:rsid w:val="000C060A"/>
    <w:rsid w:val="000C0B17"/>
    <w:rsid w:val="000C0D42"/>
    <w:rsid w:val="000C0E8C"/>
    <w:rsid w:val="000C117F"/>
    <w:rsid w:val="000C11FC"/>
    <w:rsid w:val="000C1227"/>
    <w:rsid w:val="000C1448"/>
    <w:rsid w:val="000C176E"/>
    <w:rsid w:val="000C17BE"/>
    <w:rsid w:val="000C1815"/>
    <w:rsid w:val="000C1D33"/>
    <w:rsid w:val="000C2171"/>
    <w:rsid w:val="000C2256"/>
    <w:rsid w:val="000C22EE"/>
    <w:rsid w:val="000C29DE"/>
    <w:rsid w:val="000C2B43"/>
    <w:rsid w:val="000C2CA4"/>
    <w:rsid w:val="000C2EB5"/>
    <w:rsid w:val="000C2F22"/>
    <w:rsid w:val="000C3013"/>
    <w:rsid w:val="000C3231"/>
    <w:rsid w:val="000C3822"/>
    <w:rsid w:val="000C389F"/>
    <w:rsid w:val="000C39E1"/>
    <w:rsid w:val="000C3CFB"/>
    <w:rsid w:val="000C3F0B"/>
    <w:rsid w:val="000C3F14"/>
    <w:rsid w:val="000C3F55"/>
    <w:rsid w:val="000C3F6B"/>
    <w:rsid w:val="000C3FCC"/>
    <w:rsid w:val="000C41A5"/>
    <w:rsid w:val="000C41A6"/>
    <w:rsid w:val="000C441A"/>
    <w:rsid w:val="000C4860"/>
    <w:rsid w:val="000C4891"/>
    <w:rsid w:val="000C48A0"/>
    <w:rsid w:val="000C495A"/>
    <w:rsid w:val="000C4A5A"/>
    <w:rsid w:val="000C4AAE"/>
    <w:rsid w:val="000C4BC2"/>
    <w:rsid w:val="000C4BC6"/>
    <w:rsid w:val="000C4C5F"/>
    <w:rsid w:val="000C4DD6"/>
    <w:rsid w:val="000C509D"/>
    <w:rsid w:val="000C51A6"/>
    <w:rsid w:val="000C5309"/>
    <w:rsid w:val="000C549B"/>
    <w:rsid w:val="000C561C"/>
    <w:rsid w:val="000C5906"/>
    <w:rsid w:val="000C5AC1"/>
    <w:rsid w:val="000C5D0D"/>
    <w:rsid w:val="000C5D8E"/>
    <w:rsid w:val="000C5DC4"/>
    <w:rsid w:val="000C6162"/>
    <w:rsid w:val="000C6815"/>
    <w:rsid w:val="000C695D"/>
    <w:rsid w:val="000C69B2"/>
    <w:rsid w:val="000C6BD9"/>
    <w:rsid w:val="000C6CA6"/>
    <w:rsid w:val="000C6CF7"/>
    <w:rsid w:val="000C6D44"/>
    <w:rsid w:val="000C6E14"/>
    <w:rsid w:val="000C6EB5"/>
    <w:rsid w:val="000C6FF6"/>
    <w:rsid w:val="000C705E"/>
    <w:rsid w:val="000C71FE"/>
    <w:rsid w:val="000C753D"/>
    <w:rsid w:val="000C76B0"/>
    <w:rsid w:val="000C7AD6"/>
    <w:rsid w:val="000C7F06"/>
    <w:rsid w:val="000D004E"/>
    <w:rsid w:val="000D0561"/>
    <w:rsid w:val="000D07B6"/>
    <w:rsid w:val="000D08C9"/>
    <w:rsid w:val="000D08F8"/>
    <w:rsid w:val="000D0BAE"/>
    <w:rsid w:val="000D0BC6"/>
    <w:rsid w:val="000D1276"/>
    <w:rsid w:val="000D135C"/>
    <w:rsid w:val="000D1395"/>
    <w:rsid w:val="000D13A4"/>
    <w:rsid w:val="000D1422"/>
    <w:rsid w:val="000D1BB3"/>
    <w:rsid w:val="000D1CC7"/>
    <w:rsid w:val="000D1FC7"/>
    <w:rsid w:val="000D2288"/>
    <w:rsid w:val="000D22C2"/>
    <w:rsid w:val="000D249B"/>
    <w:rsid w:val="000D2577"/>
    <w:rsid w:val="000D25B6"/>
    <w:rsid w:val="000D2A15"/>
    <w:rsid w:val="000D2B24"/>
    <w:rsid w:val="000D2D05"/>
    <w:rsid w:val="000D3042"/>
    <w:rsid w:val="000D3479"/>
    <w:rsid w:val="000D3545"/>
    <w:rsid w:val="000D3739"/>
    <w:rsid w:val="000D37CC"/>
    <w:rsid w:val="000D38E6"/>
    <w:rsid w:val="000D3B76"/>
    <w:rsid w:val="000D3B9A"/>
    <w:rsid w:val="000D3D07"/>
    <w:rsid w:val="000D3D86"/>
    <w:rsid w:val="000D3EDA"/>
    <w:rsid w:val="000D3F74"/>
    <w:rsid w:val="000D4374"/>
    <w:rsid w:val="000D444D"/>
    <w:rsid w:val="000D4613"/>
    <w:rsid w:val="000D4706"/>
    <w:rsid w:val="000D47BA"/>
    <w:rsid w:val="000D4858"/>
    <w:rsid w:val="000D4974"/>
    <w:rsid w:val="000D4E50"/>
    <w:rsid w:val="000D4E61"/>
    <w:rsid w:val="000D4F7A"/>
    <w:rsid w:val="000D55B8"/>
    <w:rsid w:val="000D578F"/>
    <w:rsid w:val="000D5BFA"/>
    <w:rsid w:val="000D5C8E"/>
    <w:rsid w:val="000D5D97"/>
    <w:rsid w:val="000D5E39"/>
    <w:rsid w:val="000D5FCA"/>
    <w:rsid w:val="000D5FFD"/>
    <w:rsid w:val="000D6259"/>
    <w:rsid w:val="000D6448"/>
    <w:rsid w:val="000D6730"/>
    <w:rsid w:val="000D6BD0"/>
    <w:rsid w:val="000D6BF0"/>
    <w:rsid w:val="000D6FE5"/>
    <w:rsid w:val="000D70CA"/>
    <w:rsid w:val="000D722B"/>
    <w:rsid w:val="000D742E"/>
    <w:rsid w:val="000D76C7"/>
    <w:rsid w:val="000D781B"/>
    <w:rsid w:val="000D783F"/>
    <w:rsid w:val="000D7AD5"/>
    <w:rsid w:val="000D7B0A"/>
    <w:rsid w:val="000D7B32"/>
    <w:rsid w:val="000D7C6C"/>
    <w:rsid w:val="000D7CBA"/>
    <w:rsid w:val="000D7D4A"/>
    <w:rsid w:val="000D7E64"/>
    <w:rsid w:val="000D7FB9"/>
    <w:rsid w:val="000E0136"/>
    <w:rsid w:val="000E03FB"/>
    <w:rsid w:val="000E04F1"/>
    <w:rsid w:val="000E04FD"/>
    <w:rsid w:val="000E066E"/>
    <w:rsid w:val="000E0748"/>
    <w:rsid w:val="000E07BC"/>
    <w:rsid w:val="000E0874"/>
    <w:rsid w:val="000E0A80"/>
    <w:rsid w:val="000E0BD7"/>
    <w:rsid w:val="000E0C56"/>
    <w:rsid w:val="000E0E01"/>
    <w:rsid w:val="000E0E30"/>
    <w:rsid w:val="000E1283"/>
    <w:rsid w:val="000E1393"/>
    <w:rsid w:val="000E145D"/>
    <w:rsid w:val="000E1658"/>
    <w:rsid w:val="000E186C"/>
    <w:rsid w:val="000E1EF0"/>
    <w:rsid w:val="000E1F20"/>
    <w:rsid w:val="000E20BA"/>
    <w:rsid w:val="000E21D5"/>
    <w:rsid w:val="000E27D6"/>
    <w:rsid w:val="000E2999"/>
    <w:rsid w:val="000E2B1C"/>
    <w:rsid w:val="000E2BC1"/>
    <w:rsid w:val="000E2F58"/>
    <w:rsid w:val="000E3079"/>
    <w:rsid w:val="000E340A"/>
    <w:rsid w:val="000E34EE"/>
    <w:rsid w:val="000E364E"/>
    <w:rsid w:val="000E36BD"/>
    <w:rsid w:val="000E38AE"/>
    <w:rsid w:val="000E3B72"/>
    <w:rsid w:val="000E3CCD"/>
    <w:rsid w:val="000E3EF0"/>
    <w:rsid w:val="000E407E"/>
    <w:rsid w:val="000E41E6"/>
    <w:rsid w:val="000E4291"/>
    <w:rsid w:val="000E435C"/>
    <w:rsid w:val="000E4388"/>
    <w:rsid w:val="000E441B"/>
    <w:rsid w:val="000E4914"/>
    <w:rsid w:val="000E4E25"/>
    <w:rsid w:val="000E4F16"/>
    <w:rsid w:val="000E5601"/>
    <w:rsid w:val="000E5664"/>
    <w:rsid w:val="000E5786"/>
    <w:rsid w:val="000E57C4"/>
    <w:rsid w:val="000E5826"/>
    <w:rsid w:val="000E5A19"/>
    <w:rsid w:val="000E5AEA"/>
    <w:rsid w:val="000E5B7C"/>
    <w:rsid w:val="000E5DB6"/>
    <w:rsid w:val="000E5E86"/>
    <w:rsid w:val="000E5EBF"/>
    <w:rsid w:val="000E60AC"/>
    <w:rsid w:val="000E638C"/>
    <w:rsid w:val="000E6516"/>
    <w:rsid w:val="000E65CB"/>
    <w:rsid w:val="000E65D0"/>
    <w:rsid w:val="000E6663"/>
    <w:rsid w:val="000E6818"/>
    <w:rsid w:val="000E68F7"/>
    <w:rsid w:val="000E6925"/>
    <w:rsid w:val="000E693C"/>
    <w:rsid w:val="000E69AA"/>
    <w:rsid w:val="000E6A7D"/>
    <w:rsid w:val="000E6AE5"/>
    <w:rsid w:val="000E6B05"/>
    <w:rsid w:val="000E6B0C"/>
    <w:rsid w:val="000E6B6C"/>
    <w:rsid w:val="000E6C20"/>
    <w:rsid w:val="000E6FAF"/>
    <w:rsid w:val="000E6FCC"/>
    <w:rsid w:val="000E70BC"/>
    <w:rsid w:val="000E7347"/>
    <w:rsid w:val="000E769E"/>
    <w:rsid w:val="000E7722"/>
    <w:rsid w:val="000E775A"/>
    <w:rsid w:val="000E7850"/>
    <w:rsid w:val="000F0045"/>
    <w:rsid w:val="000F0153"/>
    <w:rsid w:val="000F034A"/>
    <w:rsid w:val="000F059B"/>
    <w:rsid w:val="000F072F"/>
    <w:rsid w:val="000F0743"/>
    <w:rsid w:val="000F0D1F"/>
    <w:rsid w:val="000F0DFA"/>
    <w:rsid w:val="000F0E47"/>
    <w:rsid w:val="000F10E0"/>
    <w:rsid w:val="000F1113"/>
    <w:rsid w:val="000F17B7"/>
    <w:rsid w:val="000F1DE3"/>
    <w:rsid w:val="000F1E10"/>
    <w:rsid w:val="000F1F07"/>
    <w:rsid w:val="000F1F1F"/>
    <w:rsid w:val="000F1F75"/>
    <w:rsid w:val="000F2409"/>
    <w:rsid w:val="000F24C6"/>
    <w:rsid w:val="000F2690"/>
    <w:rsid w:val="000F2A94"/>
    <w:rsid w:val="000F2C1F"/>
    <w:rsid w:val="000F2CBA"/>
    <w:rsid w:val="000F2F26"/>
    <w:rsid w:val="000F3070"/>
    <w:rsid w:val="000F30A1"/>
    <w:rsid w:val="000F341E"/>
    <w:rsid w:val="000F346F"/>
    <w:rsid w:val="000F382F"/>
    <w:rsid w:val="000F39B1"/>
    <w:rsid w:val="000F39D0"/>
    <w:rsid w:val="000F3B6A"/>
    <w:rsid w:val="000F3BAC"/>
    <w:rsid w:val="000F3BE8"/>
    <w:rsid w:val="000F3BF4"/>
    <w:rsid w:val="000F3DFF"/>
    <w:rsid w:val="000F41B8"/>
    <w:rsid w:val="000F4343"/>
    <w:rsid w:val="000F43E0"/>
    <w:rsid w:val="000F4697"/>
    <w:rsid w:val="000F47C8"/>
    <w:rsid w:val="000F49A4"/>
    <w:rsid w:val="000F4E76"/>
    <w:rsid w:val="000F4E97"/>
    <w:rsid w:val="000F4FE3"/>
    <w:rsid w:val="000F522C"/>
    <w:rsid w:val="000F561E"/>
    <w:rsid w:val="000F577A"/>
    <w:rsid w:val="000F5791"/>
    <w:rsid w:val="000F596B"/>
    <w:rsid w:val="000F59A1"/>
    <w:rsid w:val="000F5A57"/>
    <w:rsid w:val="000F5A67"/>
    <w:rsid w:val="000F5B73"/>
    <w:rsid w:val="000F5DBF"/>
    <w:rsid w:val="000F5EBC"/>
    <w:rsid w:val="000F62C1"/>
    <w:rsid w:val="000F63B9"/>
    <w:rsid w:val="000F646D"/>
    <w:rsid w:val="000F64F3"/>
    <w:rsid w:val="000F65CB"/>
    <w:rsid w:val="000F6721"/>
    <w:rsid w:val="000F6B3E"/>
    <w:rsid w:val="000F7153"/>
    <w:rsid w:val="000F716F"/>
    <w:rsid w:val="000F72D4"/>
    <w:rsid w:val="000F7364"/>
    <w:rsid w:val="000F737C"/>
    <w:rsid w:val="000F7407"/>
    <w:rsid w:val="000F7408"/>
    <w:rsid w:val="000F7A36"/>
    <w:rsid w:val="00100063"/>
    <w:rsid w:val="001003BF"/>
    <w:rsid w:val="001005DA"/>
    <w:rsid w:val="00100663"/>
    <w:rsid w:val="001006FB"/>
    <w:rsid w:val="00100B92"/>
    <w:rsid w:val="00100E5E"/>
    <w:rsid w:val="00100F2F"/>
    <w:rsid w:val="001013AB"/>
    <w:rsid w:val="001015EE"/>
    <w:rsid w:val="001015F6"/>
    <w:rsid w:val="00101637"/>
    <w:rsid w:val="001017AF"/>
    <w:rsid w:val="00101894"/>
    <w:rsid w:val="001018A3"/>
    <w:rsid w:val="00101914"/>
    <w:rsid w:val="00102002"/>
    <w:rsid w:val="0010207C"/>
    <w:rsid w:val="00102122"/>
    <w:rsid w:val="001021B6"/>
    <w:rsid w:val="00102511"/>
    <w:rsid w:val="00102714"/>
    <w:rsid w:val="00102F25"/>
    <w:rsid w:val="00103157"/>
    <w:rsid w:val="00103225"/>
    <w:rsid w:val="00103381"/>
    <w:rsid w:val="00103437"/>
    <w:rsid w:val="00103766"/>
    <w:rsid w:val="001037A4"/>
    <w:rsid w:val="0010384F"/>
    <w:rsid w:val="00103AA5"/>
    <w:rsid w:val="00103B01"/>
    <w:rsid w:val="00103C64"/>
    <w:rsid w:val="00103DB3"/>
    <w:rsid w:val="00103E3E"/>
    <w:rsid w:val="00103E55"/>
    <w:rsid w:val="00103E60"/>
    <w:rsid w:val="00103F9F"/>
    <w:rsid w:val="00104047"/>
    <w:rsid w:val="0010418F"/>
    <w:rsid w:val="00104192"/>
    <w:rsid w:val="00104812"/>
    <w:rsid w:val="001048AB"/>
    <w:rsid w:val="00104900"/>
    <w:rsid w:val="00104A12"/>
    <w:rsid w:val="00104A26"/>
    <w:rsid w:val="00105177"/>
    <w:rsid w:val="0010522E"/>
    <w:rsid w:val="00105310"/>
    <w:rsid w:val="0010540F"/>
    <w:rsid w:val="001055B8"/>
    <w:rsid w:val="00105778"/>
    <w:rsid w:val="0010584A"/>
    <w:rsid w:val="001058F9"/>
    <w:rsid w:val="001059B3"/>
    <w:rsid w:val="001059CE"/>
    <w:rsid w:val="00105A10"/>
    <w:rsid w:val="00105ACB"/>
    <w:rsid w:val="00105BE3"/>
    <w:rsid w:val="00105C1B"/>
    <w:rsid w:val="00105C63"/>
    <w:rsid w:val="00105DAD"/>
    <w:rsid w:val="00105FD6"/>
    <w:rsid w:val="00106093"/>
    <w:rsid w:val="0010615C"/>
    <w:rsid w:val="00106252"/>
    <w:rsid w:val="0010642D"/>
    <w:rsid w:val="0010673B"/>
    <w:rsid w:val="0010683C"/>
    <w:rsid w:val="0010695C"/>
    <w:rsid w:val="00106BB2"/>
    <w:rsid w:val="00106BDD"/>
    <w:rsid w:val="00106DE1"/>
    <w:rsid w:val="00107055"/>
    <w:rsid w:val="001071DD"/>
    <w:rsid w:val="00107605"/>
    <w:rsid w:val="00107798"/>
    <w:rsid w:val="00107A65"/>
    <w:rsid w:val="00107B62"/>
    <w:rsid w:val="00107C48"/>
    <w:rsid w:val="00107F4A"/>
    <w:rsid w:val="00107F7E"/>
    <w:rsid w:val="00107FC2"/>
    <w:rsid w:val="00110038"/>
    <w:rsid w:val="0011005A"/>
    <w:rsid w:val="001100AD"/>
    <w:rsid w:val="00110219"/>
    <w:rsid w:val="0011042E"/>
    <w:rsid w:val="0011053B"/>
    <w:rsid w:val="00110628"/>
    <w:rsid w:val="00110756"/>
    <w:rsid w:val="00110795"/>
    <w:rsid w:val="00110905"/>
    <w:rsid w:val="00110D47"/>
    <w:rsid w:val="00110DAF"/>
    <w:rsid w:val="00110DB3"/>
    <w:rsid w:val="00110EEB"/>
    <w:rsid w:val="00111713"/>
    <w:rsid w:val="0011177F"/>
    <w:rsid w:val="00111873"/>
    <w:rsid w:val="001119CE"/>
    <w:rsid w:val="00111A3C"/>
    <w:rsid w:val="00111BD6"/>
    <w:rsid w:val="00111D19"/>
    <w:rsid w:val="00111D68"/>
    <w:rsid w:val="00111D8E"/>
    <w:rsid w:val="00111F4C"/>
    <w:rsid w:val="00111FC7"/>
    <w:rsid w:val="00111FD2"/>
    <w:rsid w:val="00112111"/>
    <w:rsid w:val="00112251"/>
    <w:rsid w:val="00112585"/>
    <w:rsid w:val="0011258E"/>
    <w:rsid w:val="001125DC"/>
    <w:rsid w:val="001126BC"/>
    <w:rsid w:val="00112C5C"/>
    <w:rsid w:val="00112CA2"/>
    <w:rsid w:val="00112D01"/>
    <w:rsid w:val="00112F9F"/>
    <w:rsid w:val="001130AB"/>
    <w:rsid w:val="001130D8"/>
    <w:rsid w:val="00113104"/>
    <w:rsid w:val="001131D0"/>
    <w:rsid w:val="001132B0"/>
    <w:rsid w:val="001133A8"/>
    <w:rsid w:val="001135FF"/>
    <w:rsid w:val="00113791"/>
    <w:rsid w:val="00113C2C"/>
    <w:rsid w:val="00113C52"/>
    <w:rsid w:val="00113FA8"/>
    <w:rsid w:val="00114000"/>
    <w:rsid w:val="0011499A"/>
    <w:rsid w:val="00114AD8"/>
    <w:rsid w:val="00114B0A"/>
    <w:rsid w:val="00114FE8"/>
    <w:rsid w:val="0011505E"/>
    <w:rsid w:val="00115076"/>
    <w:rsid w:val="001156C7"/>
    <w:rsid w:val="00115A6F"/>
    <w:rsid w:val="00115A79"/>
    <w:rsid w:val="00115B44"/>
    <w:rsid w:val="00115B73"/>
    <w:rsid w:val="00115D4C"/>
    <w:rsid w:val="00115EC6"/>
    <w:rsid w:val="00116353"/>
    <w:rsid w:val="00116786"/>
    <w:rsid w:val="0011690F"/>
    <w:rsid w:val="00116B42"/>
    <w:rsid w:val="00116B62"/>
    <w:rsid w:val="00116D84"/>
    <w:rsid w:val="00116DDB"/>
    <w:rsid w:val="00116F6F"/>
    <w:rsid w:val="001170CB"/>
    <w:rsid w:val="001171BD"/>
    <w:rsid w:val="0011735B"/>
    <w:rsid w:val="001174FB"/>
    <w:rsid w:val="0011773F"/>
    <w:rsid w:val="001178D1"/>
    <w:rsid w:val="001178EF"/>
    <w:rsid w:val="00117998"/>
    <w:rsid w:val="00117D0A"/>
    <w:rsid w:val="00117E49"/>
    <w:rsid w:val="00117E8F"/>
    <w:rsid w:val="00117EA7"/>
    <w:rsid w:val="00117F9F"/>
    <w:rsid w:val="00117FAD"/>
    <w:rsid w:val="0012026A"/>
    <w:rsid w:val="001204C6"/>
    <w:rsid w:val="001204E2"/>
    <w:rsid w:val="00120670"/>
    <w:rsid w:val="0012070C"/>
    <w:rsid w:val="0012177F"/>
    <w:rsid w:val="00121954"/>
    <w:rsid w:val="00121B89"/>
    <w:rsid w:val="00121D6A"/>
    <w:rsid w:val="00121EA4"/>
    <w:rsid w:val="001220D3"/>
    <w:rsid w:val="001221F3"/>
    <w:rsid w:val="00122520"/>
    <w:rsid w:val="00122649"/>
    <w:rsid w:val="001226A0"/>
    <w:rsid w:val="001226ED"/>
    <w:rsid w:val="00122876"/>
    <w:rsid w:val="00122960"/>
    <w:rsid w:val="001229F2"/>
    <w:rsid w:val="00122C3E"/>
    <w:rsid w:val="00122C73"/>
    <w:rsid w:val="00122CD7"/>
    <w:rsid w:val="00122E0A"/>
    <w:rsid w:val="00122EEE"/>
    <w:rsid w:val="00122F1C"/>
    <w:rsid w:val="001230C2"/>
    <w:rsid w:val="001231B1"/>
    <w:rsid w:val="001231E0"/>
    <w:rsid w:val="001232B8"/>
    <w:rsid w:val="001233EF"/>
    <w:rsid w:val="0012340D"/>
    <w:rsid w:val="00123479"/>
    <w:rsid w:val="0012379A"/>
    <w:rsid w:val="001237C1"/>
    <w:rsid w:val="0012392F"/>
    <w:rsid w:val="00123B30"/>
    <w:rsid w:val="00123B4F"/>
    <w:rsid w:val="00123BEA"/>
    <w:rsid w:val="00123C83"/>
    <w:rsid w:val="00123E18"/>
    <w:rsid w:val="00123FAB"/>
    <w:rsid w:val="00124073"/>
    <w:rsid w:val="0012439B"/>
    <w:rsid w:val="0012440E"/>
    <w:rsid w:val="00124867"/>
    <w:rsid w:val="00124A84"/>
    <w:rsid w:val="00124B33"/>
    <w:rsid w:val="00124BA4"/>
    <w:rsid w:val="00124F08"/>
    <w:rsid w:val="00125021"/>
    <w:rsid w:val="001250CF"/>
    <w:rsid w:val="00125198"/>
    <w:rsid w:val="001251A2"/>
    <w:rsid w:val="0012561A"/>
    <w:rsid w:val="0012568F"/>
    <w:rsid w:val="00125853"/>
    <w:rsid w:val="00125960"/>
    <w:rsid w:val="00125B59"/>
    <w:rsid w:val="00125CFF"/>
    <w:rsid w:val="0012602C"/>
    <w:rsid w:val="0012605F"/>
    <w:rsid w:val="00126154"/>
    <w:rsid w:val="0012631D"/>
    <w:rsid w:val="001264E4"/>
    <w:rsid w:val="001265DF"/>
    <w:rsid w:val="001266B1"/>
    <w:rsid w:val="001266FE"/>
    <w:rsid w:val="001269C3"/>
    <w:rsid w:val="00126AF8"/>
    <w:rsid w:val="00126B51"/>
    <w:rsid w:val="00126D3D"/>
    <w:rsid w:val="00126F6B"/>
    <w:rsid w:val="00126F86"/>
    <w:rsid w:val="001270D3"/>
    <w:rsid w:val="00127152"/>
    <w:rsid w:val="001272AF"/>
    <w:rsid w:val="001272ED"/>
    <w:rsid w:val="001273A6"/>
    <w:rsid w:val="001274E2"/>
    <w:rsid w:val="00127515"/>
    <w:rsid w:val="0012782F"/>
    <w:rsid w:val="0012792E"/>
    <w:rsid w:val="00127CDE"/>
    <w:rsid w:val="00127D67"/>
    <w:rsid w:val="00127EC4"/>
    <w:rsid w:val="00127EDC"/>
    <w:rsid w:val="00127EE8"/>
    <w:rsid w:val="00130045"/>
    <w:rsid w:val="0013006B"/>
    <w:rsid w:val="001304A7"/>
    <w:rsid w:val="001304C7"/>
    <w:rsid w:val="001304D3"/>
    <w:rsid w:val="001305A2"/>
    <w:rsid w:val="00130656"/>
    <w:rsid w:val="00130691"/>
    <w:rsid w:val="0013078A"/>
    <w:rsid w:val="001309A0"/>
    <w:rsid w:val="00130D5A"/>
    <w:rsid w:val="00130DD1"/>
    <w:rsid w:val="00131705"/>
    <w:rsid w:val="0013175E"/>
    <w:rsid w:val="0013175F"/>
    <w:rsid w:val="00131A97"/>
    <w:rsid w:val="00131BB6"/>
    <w:rsid w:val="00131C09"/>
    <w:rsid w:val="00131CBD"/>
    <w:rsid w:val="00131D67"/>
    <w:rsid w:val="00131DD9"/>
    <w:rsid w:val="00131DE5"/>
    <w:rsid w:val="0013214B"/>
    <w:rsid w:val="00132321"/>
    <w:rsid w:val="0013241F"/>
    <w:rsid w:val="001324CE"/>
    <w:rsid w:val="001325FC"/>
    <w:rsid w:val="00132600"/>
    <w:rsid w:val="0013275E"/>
    <w:rsid w:val="00132920"/>
    <w:rsid w:val="00132991"/>
    <w:rsid w:val="001329C3"/>
    <w:rsid w:val="00132AB3"/>
    <w:rsid w:val="00132D67"/>
    <w:rsid w:val="00132E28"/>
    <w:rsid w:val="001333BB"/>
    <w:rsid w:val="00133966"/>
    <w:rsid w:val="00133986"/>
    <w:rsid w:val="00133C8D"/>
    <w:rsid w:val="001340E5"/>
    <w:rsid w:val="001344A6"/>
    <w:rsid w:val="0013450A"/>
    <w:rsid w:val="00134581"/>
    <w:rsid w:val="00134777"/>
    <w:rsid w:val="0013497B"/>
    <w:rsid w:val="00134AAD"/>
    <w:rsid w:val="00134CBF"/>
    <w:rsid w:val="00134DB0"/>
    <w:rsid w:val="00134FD0"/>
    <w:rsid w:val="00135188"/>
    <w:rsid w:val="001351A2"/>
    <w:rsid w:val="001352CD"/>
    <w:rsid w:val="001353E2"/>
    <w:rsid w:val="00135620"/>
    <w:rsid w:val="001359A8"/>
    <w:rsid w:val="00135B9B"/>
    <w:rsid w:val="00135ECB"/>
    <w:rsid w:val="00135F66"/>
    <w:rsid w:val="0013616C"/>
    <w:rsid w:val="00136275"/>
    <w:rsid w:val="001364EF"/>
    <w:rsid w:val="0013681B"/>
    <w:rsid w:val="001368DB"/>
    <w:rsid w:val="00136909"/>
    <w:rsid w:val="00136BCD"/>
    <w:rsid w:val="00136D0C"/>
    <w:rsid w:val="00136E59"/>
    <w:rsid w:val="001377BA"/>
    <w:rsid w:val="00137AF1"/>
    <w:rsid w:val="00137C71"/>
    <w:rsid w:val="00137DA0"/>
    <w:rsid w:val="00137E43"/>
    <w:rsid w:val="00137E4B"/>
    <w:rsid w:val="00137F89"/>
    <w:rsid w:val="001402E8"/>
    <w:rsid w:val="00140407"/>
    <w:rsid w:val="00140470"/>
    <w:rsid w:val="001404F3"/>
    <w:rsid w:val="0014054B"/>
    <w:rsid w:val="0014059C"/>
    <w:rsid w:val="0014059E"/>
    <w:rsid w:val="00140757"/>
    <w:rsid w:val="0014080D"/>
    <w:rsid w:val="001408F9"/>
    <w:rsid w:val="00140BC8"/>
    <w:rsid w:val="00140E4D"/>
    <w:rsid w:val="00140EB5"/>
    <w:rsid w:val="0014132B"/>
    <w:rsid w:val="0014139A"/>
    <w:rsid w:val="00141480"/>
    <w:rsid w:val="001416B7"/>
    <w:rsid w:val="0014184B"/>
    <w:rsid w:val="0014193F"/>
    <w:rsid w:val="00141DD6"/>
    <w:rsid w:val="00141E5E"/>
    <w:rsid w:val="00142256"/>
    <w:rsid w:val="00142331"/>
    <w:rsid w:val="00142368"/>
    <w:rsid w:val="00142391"/>
    <w:rsid w:val="001425B3"/>
    <w:rsid w:val="00142641"/>
    <w:rsid w:val="00142757"/>
    <w:rsid w:val="0014278F"/>
    <w:rsid w:val="00142A2A"/>
    <w:rsid w:val="00142A2D"/>
    <w:rsid w:val="00142C9A"/>
    <w:rsid w:val="00142CA2"/>
    <w:rsid w:val="00142CD5"/>
    <w:rsid w:val="00142E97"/>
    <w:rsid w:val="0014317B"/>
    <w:rsid w:val="0014325C"/>
    <w:rsid w:val="001434EB"/>
    <w:rsid w:val="0014355D"/>
    <w:rsid w:val="00143836"/>
    <w:rsid w:val="001438D9"/>
    <w:rsid w:val="00143A28"/>
    <w:rsid w:val="00143CDC"/>
    <w:rsid w:val="00143E8B"/>
    <w:rsid w:val="00144131"/>
    <w:rsid w:val="00144302"/>
    <w:rsid w:val="0014446C"/>
    <w:rsid w:val="0014457F"/>
    <w:rsid w:val="00144708"/>
    <w:rsid w:val="0014497C"/>
    <w:rsid w:val="001449C8"/>
    <w:rsid w:val="00144A49"/>
    <w:rsid w:val="00144CD8"/>
    <w:rsid w:val="00144D4B"/>
    <w:rsid w:val="00144DF3"/>
    <w:rsid w:val="00144E70"/>
    <w:rsid w:val="00144EFA"/>
    <w:rsid w:val="00144FBA"/>
    <w:rsid w:val="00145124"/>
    <w:rsid w:val="00145271"/>
    <w:rsid w:val="00145430"/>
    <w:rsid w:val="001454BC"/>
    <w:rsid w:val="001454C3"/>
    <w:rsid w:val="00145503"/>
    <w:rsid w:val="001455DC"/>
    <w:rsid w:val="00145661"/>
    <w:rsid w:val="0014568B"/>
    <w:rsid w:val="00145872"/>
    <w:rsid w:val="00145CE3"/>
    <w:rsid w:val="00145DB7"/>
    <w:rsid w:val="00146028"/>
    <w:rsid w:val="0014637E"/>
    <w:rsid w:val="0014644E"/>
    <w:rsid w:val="001464ED"/>
    <w:rsid w:val="001466D1"/>
    <w:rsid w:val="00146A1D"/>
    <w:rsid w:val="00146E0A"/>
    <w:rsid w:val="00147420"/>
    <w:rsid w:val="0014744A"/>
    <w:rsid w:val="0014764D"/>
    <w:rsid w:val="001477C7"/>
    <w:rsid w:val="00147894"/>
    <w:rsid w:val="00147ABB"/>
    <w:rsid w:val="00147B71"/>
    <w:rsid w:val="00147BE5"/>
    <w:rsid w:val="00147C0F"/>
    <w:rsid w:val="00147DD8"/>
    <w:rsid w:val="001501F2"/>
    <w:rsid w:val="00150274"/>
    <w:rsid w:val="001502D0"/>
    <w:rsid w:val="0015069D"/>
    <w:rsid w:val="00150747"/>
    <w:rsid w:val="00150AF9"/>
    <w:rsid w:val="00150D1C"/>
    <w:rsid w:val="00150D7D"/>
    <w:rsid w:val="00150F8D"/>
    <w:rsid w:val="0015122C"/>
    <w:rsid w:val="00151357"/>
    <w:rsid w:val="00151377"/>
    <w:rsid w:val="001516EE"/>
    <w:rsid w:val="0015197B"/>
    <w:rsid w:val="00151B85"/>
    <w:rsid w:val="00151DA2"/>
    <w:rsid w:val="00152281"/>
    <w:rsid w:val="001525CD"/>
    <w:rsid w:val="001526DB"/>
    <w:rsid w:val="00152749"/>
    <w:rsid w:val="001529DE"/>
    <w:rsid w:val="00152B18"/>
    <w:rsid w:val="00152C1C"/>
    <w:rsid w:val="00152D54"/>
    <w:rsid w:val="001530CD"/>
    <w:rsid w:val="0015311A"/>
    <w:rsid w:val="001533EF"/>
    <w:rsid w:val="00153419"/>
    <w:rsid w:val="00153716"/>
    <w:rsid w:val="00153BAA"/>
    <w:rsid w:val="00153FF9"/>
    <w:rsid w:val="00154129"/>
    <w:rsid w:val="0015413F"/>
    <w:rsid w:val="001541CA"/>
    <w:rsid w:val="001543BA"/>
    <w:rsid w:val="001543E9"/>
    <w:rsid w:val="00154577"/>
    <w:rsid w:val="00154667"/>
    <w:rsid w:val="001546E1"/>
    <w:rsid w:val="001549D2"/>
    <w:rsid w:val="00154A26"/>
    <w:rsid w:val="00154AE0"/>
    <w:rsid w:val="00154B54"/>
    <w:rsid w:val="00154B6B"/>
    <w:rsid w:val="00154BC8"/>
    <w:rsid w:val="00154F99"/>
    <w:rsid w:val="0015504D"/>
    <w:rsid w:val="00155145"/>
    <w:rsid w:val="0015521B"/>
    <w:rsid w:val="0015537B"/>
    <w:rsid w:val="00155637"/>
    <w:rsid w:val="00155811"/>
    <w:rsid w:val="001558DC"/>
    <w:rsid w:val="00155950"/>
    <w:rsid w:val="001559CD"/>
    <w:rsid w:val="00155AE4"/>
    <w:rsid w:val="00155B55"/>
    <w:rsid w:val="00155D29"/>
    <w:rsid w:val="00155D79"/>
    <w:rsid w:val="00156055"/>
    <w:rsid w:val="001563A0"/>
    <w:rsid w:val="0015670D"/>
    <w:rsid w:val="001569DB"/>
    <w:rsid w:val="00156B43"/>
    <w:rsid w:val="00156F91"/>
    <w:rsid w:val="0015710D"/>
    <w:rsid w:val="00157117"/>
    <w:rsid w:val="00157273"/>
    <w:rsid w:val="00157394"/>
    <w:rsid w:val="0015746F"/>
    <w:rsid w:val="001574C8"/>
    <w:rsid w:val="00157644"/>
    <w:rsid w:val="001579C0"/>
    <w:rsid w:val="00157C7C"/>
    <w:rsid w:val="0016003A"/>
    <w:rsid w:val="00160165"/>
    <w:rsid w:val="001604D0"/>
    <w:rsid w:val="001606C9"/>
    <w:rsid w:val="0016078A"/>
    <w:rsid w:val="001607A7"/>
    <w:rsid w:val="001607DA"/>
    <w:rsid w:val="001607F4"/>
    <w:rsid w:val="001608B0"/>
    <w:rsid w:val="00160B87"/>
    <w:rsid w:val="00160B8D"/>
    <w:rsid w:val="00160E7D"/>
    <w:rsid w:val="00160ED2"/>
    <w:rsid w:val="00160F98"/>
    <w:rsid w:val="0016119C"/>
    <w:rsid w:val="001611E6"/>
    <w:rsid w:val="001613CC"/>
    <w:rsid w:val="001614D9"/>
    <w:rsid w:val="0016166F"/>
    <w:rsid w:val="00161A8E"/>
    <w:rsid w:val="00161C5C"/>
    <w:rsid w:val="00161CB1"/>
    <w:rsid w:val="00161D12"/>
    <w:rsid w:val="00161F54"/>
    <w:rsid w:val="00161F5C"/>
    <w:rsid w:val="0016252A"/>
    <w:rsid w:val="00162550"/>
    <w:rsid w:val="0016262F"/>
    <w:rsid w:val="0016264D"/>
    <w:rsid w:val="00162D4D"/>
    <w:rsid w:val="00162D5B"/>
    <w:rsid w:val="00162DAF"/>
    <w:rsid w:val="00162F1F"/>
    <w:rsid w:val="001631BA"/>
    <w:rsid w:val="00163305"/>
    <w:rsid w:val="0016360B"/>
    <w:rsid w:val="001636C2"/>
    <w:rsid w:val="0016383A"/>
    <w:rsid w:val="0016387F"/>
    <w:rsid w:val="00163935"/>
    <w:rsid w:val="00163DD9"/>
    <w:rsid w:val="00163DFD"/>
    <w:rsid w:val="00163E2F"/>
    <w:rsid w:val="00164217"/>
    <w:rsid w:val="0016461D"/>
    <w:rsid w:val="00164725"/>
    <w:rsid w:val="0016474A"/>
    <w:rsid w:val="00164D37"/>
    <w:rsid w:val="00164E56"/>
    <w:rsid w:val="001657AD"/>
    <w:rsid w:val="00165941"/>
    <w:rsid w:val="00165980"/>
    <w:rsid w:val="00165AC7"/>
    <w:rsid w:val="00165CA1"/>
    <w:rsid w:val="00165D61"/>
    <w:rsid w:val="00165DA8"/>
    <w:rsid w:val="00165DF2"/>
    <w:rsid w:val="00165ED6"/>
    <w:rsid w:val="00165EF9"/>
    <w:rsid w:val="00166204"/>
    <w:rsid w:val="0016621D"/>
    <w:rsid w:val="00166384"/>
    <w:rsid w:val="001665C7"/>
    <w:rsid w:val="001665F7"/>
    <w:rsid w:val="00166939"/>
    <w:rsid w:val="001669AE"/>
    <w:rsid w:val="00166AE8"/>
    <w:rsid w:val="00166BBB"/>
    <w:rsid w:val="00166C26"/>
    <w:rsid w:val="0016707B"/>
    <w:rsid w:val="001672C2"/>
    <w:rsid w:val="001672E7"/>
    <w:rsid w:val="001674A0"/>
    <w:rsid w:val="00167632"/>
    <w:rsid w:val="001677AE"/>
    <w:rsid w:val="00167809"/>
    <w:rsid w:val="001679C7"/>
    <w:rsid w:val="00167AA4"/>
    <w:rsid w:val="00167E61"/>
    <w:rsid w:val="00167F26"/>
    <w:rsid w:val="00170000"/>
    <w:rsid w:val="001704AB"/>
    <w:rsid w:val="001704F9"/>
    <w:rsid w:val="00170881"/>
    <w:rsid w:val="001709F2"/>
    <w:rsid w:val="00170B32"/>
    <w:rsid w:val="00170B48"/>
    <w:rsid w:val="00170BDF"/>
    <w:rsid w:val="00170E84"/>
    <w:rsid w:val="00170F22"/>
    <w:rsid w:val="001710C8"/>
    <w:rsid w:val="00171134"/>
    <w:rsid w:val="00171155"/>
    <w:rsid w:val="001712F6"/>
    <w:rsid w:val="001716D9"/>
    <w:rsid w:val="00171814"/>
    <w:rsid w:val="00171838"/>
    <w:rsid w:val="00171CD4"/>
    <w:rsid w:val="00171D0F"/>
    <w:rsid w:val="00171DD2"/>
    <w:rsid w:val="00171EDD"/>
    <w:rsid w:val="00172283"/>
    <w:rsid w:val="001723CE"/>
    <w:rsid w:val="001726E5"/>
    <w:rsid w:val="00172744"/>
    <w:rsid w:val="00172840"/>
    <w:rsid w:val="001729C3"/>
    <w:rsid w:val="00172A54"/>
    <w:rsid w:val="00172CEC"/>
    <w:rsid w:val="00172D78"/>
    <w:rsid w:val="001732AE"/>
    <w:rsid w:val="0017338E"/>
    <w:rsid w:val="001733A0"/>
    <w:rsid w:val="00173457"/>
    <w:rsid w:val="00173668"/>
    <w:rsid w:val="00173B15"/>
    <w:rsid w:val="00173BF7"/>
    <w:rsid w:val="00173CD0"/>
    <w:rsid w:val="00173ECE"/>
    <w:rsid w:val="00173FCE"/>
    <w:rsid w:val="0017404F"/>
    <w:rsid w:val="0017409A"/>
    <w:rsid w:val="001740A7"/>
    <w:rsid w:val="00174146"/>
    <w:rsid w:val="00174156"/>
    <w:rsid w:val="001741FB"/>
    <w:rsid w:val="0017446E"/>
    <w:rsid w:val="00174A25"/>
    <w:rsid w:val="00174A50"/>
    <w:rsid w:val="00174C25"/>
    <w:rsid w:val="00174DBD"/>
    <w:rsid w:val="00174DCC"/>
    <w:rsid w:val="00175062"/>
    <w:rsid w:val="001750CD"/>
    <w:rsid w:val="001751C3"/>
    <w:rsid w:val="001753BF"/>
    <w:rsid w:val="001756F1"/>
    <w:rsid w:val="00175913"/>
    <w:rsid w:val="00175B01"/>
    <w:rsid w:val="00175D77"/>
    <w:rsid w:val="00175F82"/>
    <w:rsid w:val="00176068"/>
    <w:rsid w:val="00176147"/>
    <w:rsid w:val="001762B1"/>
    <w:rsid w:val="00176402"/>
    <w:rsid w:val="00176527"/>
    <w:rsid w:val="00176569"/>
    <w:rsid w:val="00176899"/>
    <w:rsid w:val="00176A64"/>
    <w:rsid w:val="00176B44"/>
    <w:rsid w:val="00176D97"/>
    <w:rsid w:val="00176FBF"/>
    <w:rsid w:val="00176FFA"/>
    <w:rsid w:val="00177028"/>
    <w:rsid w:val="0017706C"/>
    <w:rsid w:val="00177084"/>
    <w:rsid w:val="0017710B"/>
    <w:rsid w:val="0017726F"/>
    <w:rsid w:val="00177505"/>
    <w:rsid w:val="001777FC"/>
    <w:rsid w:val="0017780E"/>
    <w:rsid w:val="00177894"/>
    <w:rsid w:val="001778DA"/>
    <w:rsid w:val="00177BC5"/>
    <w:rsid w:val="00177CDF"/>
    <w:rsid w:val="00177D6D"/>
    <w:rsid w:val="00177F71"/>
    <w:rsid w:val="0018011B"/>
    <w:rsid w:val="001801C0"/>
    <w:rsid w:val="00180424"/>
    <w:rsid w:val="00180BAB"/>
    <w:rsid w:val="00180C9B"/>
    <w:rsid w:val="00180D0C"/>
    <w:rsid w:val="00180D90"/>
    <w:rsid w:val="001812EB"/>
    <w:rsid w:val="001813E1"/>
    <w:rsid w:val="00181462"/>
    <w:rsid w:val="001815DA"/>
    <w:rsid w:val="00181614"/>
    <w:rsid w:val="00181676"/>
    <w:rsid w:val="00181935"/>
    <w:rsid w:val="00181B79"/>
    <w:rsid w:val="00181B85"/>
    <w:rsid w:val="00181D3A"/>
    <w:rsid w:val="00182276"/>
    <w:rsid w:val="0018235C"/>
    <w:rsid w:val="001824E5"/>
    <w:rsid w:val="00182500"/>
    <w:rsid w:val="001827A5"/>
    <w:rsid w:val="001828F3"/>
    <w:rsid w:val="00182948"/>
    <w:rsid w:val="00182A17"/>
    <w:rsid w:val="00182AE4"/>
    <w:rsid w:val="00182BB9"/>
    <w:rsid w:val="00182DA6"/>
    <w:rsid w:val="00182F40"/>
    <w:rsid w:val="0018319F"/>
    <w:rsid w:val="00183361"/>
    <w:rsid w:val="0018351E"/>
    <w:rsid w:val="001835FC"/>
    <w:rsid w:val="001836B2"/>
    <w:rsid w:val="001837CF"/>
    <w:rsid w:val="0018380B"/>
    <w:rsid w:val="00183832"/>
    <w:rsid w:val="00183847"/>
    <w:rsid w:val="00183BCC"/>
    <w:rsid w:val="00183C2B"/>
    <w:rsid w:val="00183C54"/>
    <w:rsid w:val="00184129"/>
    <w:rsid w:val="00184277"/>
    <w:rsid w:val="00184452"/>
    <w:rsid w:val="00184473"/>
    <w:rsid w:val="00184533"/>
    <w:rsid w:val="00184689"/>
    <w:rsid w:val="001847FF"/>
    <w:rsid w:val="0018488E"/>
    <w:rsid w:val="00184942"/>
    <w:rsid w:val="00184E5C"/>
    <w:rsid w:val="00185146"/>
    <w:rsid w:val="001854C8"/>
    <w:rsid w:val="001856E0"/>
    <w:rsid w:val="00185913"/>
    <w:rsid w:val="00185933"/>
    <w:rsid w:val="001859E6"/>
    <w:rsid w:val="00185C59"/>
    <w:rsid w:val="00185D33"/>
    <w:rsid w:val="00185F88"/>
    <w:rsid w:val="00186106"/>
    <w:rsid w:val="00186205"/>
    <w:rsid w:val="0018621D"/>
    <w:rsid w:val="00186457"/>
    <w:rsid w:val="00186660"/>
    <w:rsid w:val="001867C2"/>
    <w:rsid w:val="0018691E"/>
    <w:rsid w:val="00186988"/>
    <w:rsid w:val="001869CE"/>
    <w:rsid w:val="00186A10"/>
    <w:rsid w:val="00186F2A"/>
    <w:rsid w:val="001875BD"/>
    <w:rsid w:val="00187861"/>
    <w:rsid w:val="00187B42"/>
    <w:rsid w:val="00187CA8"/>
    <w:rsid w:val="00187EF5"/>
    <w:rsid w:val="00187F0A"/>
    <w:rsid w:val="00187FD8"/>
    <w:rsid w:val="0019005F"/>
    <w:rsid w:val="001903EE"/>
    <w:rsid w:val="001906B3"/>
    <w:rsid w:val="00190727"/>
    <w:rsid w:val="0019073C"/>
    <w:rsid w:val="00190905"/>
    <w:rsid w:val="00190AE8"/>
    <w:rsid w:val="00190CF0"/>
    <w:rsid w:val="00190E25"/>
    <w:rsid w:val="00190E78"/>
    <w:rsid w:val="00190EFD"/>
    <w:rsid w:val="001912E2"/>
    <w:rsid w:val="001913F2"/>
    <w:rsid w:val="001915EB"/>
    <w:rsid w:val="001917C4"/>
    <w:rsid w:val="00191881"/>
    <w:rsid w:val="001919C6"/>
    <w:rsid w:val="00191B05"/>
    <w:rsid w:val="00191DEB"/>
    <w:rsid w:val="00191DFA"/>
    <w:rsid w:val="00191E37"/>
    <w:rsid w:val="00191E71"/>
    <w:rsid w:val="00191F78"/>
    <w:rsid w:val="00192001"/>
    <w:rsid w:val="00192200"/>
    <w:rsid w:val="0019256A"/>
    <w:rsid w:val="00192645"/>
    <w:rsid w:val="00192911"/>
    <w:rsid w:val="00192B65"/>
    <w:rsid w:val="00192BAB"/>
    <w:rsid w:val="00192DA0"/>
    <w:rsid w:val="00192E0D"/>
    <w:rsid w:val="00192E1C"/>
    <w:rsid w:val="00192E62"/>
    <w:rsid w:val="00192FB6"/>
    <w:rsid w:val="001931FD"/>
    <w:rsid w:val="00193313"/>
    <w:rsid w:val="00193A5E"/>
    <w:rsid w:val="00193AF2"/>
    <w:rsid w:val="00193B42"/>
    <w:rsid w:val="00193C01"/>
    <w:rsid w:val="00193CCA"/>
    <w:rsid w:val="00193D7E"/>
    <w:rsid w:val="001942A7"/>
    <w:rsid w:val="001943B4"/>
    <w:rsid w:val="0019442B"/>
    <w:rsid w:val="0019444B"/>
    <w:rsid w:val="0019449F"/>
    <w:rsid w:val="001946CC"/>
    <w:rsid w:val="001946D1"/>
    <w:rsid w:val="001947E8"/>
    <w:rsid w:val="001947F2"/>
    <w:rsid w:val="0019484D"/>
    <w:rsid w:val="00194A36"/>
    <w:rsid w:val="00194AC0"/>
    <w:rsid w:val="00194B25"/>
    <w:rsid w:val="00194BA5"/>
    <w:rsid w:val="00194CCC"/>
    <w:rsid w:val="00194DF0"/>
    <w:rsid w:val="00194E0B"/>
    <w:rsid w:val="00194E2B"/>
    <w:rsid w:val="00195164"/>
    <w:rsid w:val="0019528B"/>
    <w:rsid w:val="001953A9"/>
    <w:rsid w:val="001955BC"/>
    <w:rsid w:val="00195693"/>
    <w:rsid w:val="00195798"/>
    <w:rsid w:val="001959EF"/>
    <w:rsid w:val="00195AC3"/>
    <w:rsid w:val="00195C31"/>
    <w:rsid w:val="00195DFA"/>
    <w:rsid w:val="00195FBC"/>
    <w:rsid w:val="00196065"/>
    <w:rsid w:val="00196107"/>
    <w:rsid w:val="0019623D"/>
    <w:rsid w:val="001963E1"/>
    <w:rsid w:val="001963E9"/>
    <w:rsid w:val="00196435"/>
    <w:rsid w:val="00196658"/>
    <w:rsid w:val="001966C8"/>
    <w:rsid w:val="0019686A"/>
    <w:rsid w:val="001969D7"/>
    <w:rsid w:val="00196C26"/>
    <w:rsid w:val="00196EF7"/>
    <w:rsid w:val="00196F5E"/>
    <w:rsid w:val="00196FA5"/>
    <w:rsid w:val="00197099"/>
    <w:rsid w:val="001970BF"/>
    <w:rsid w:val="00197138"/>
    <w:rsid w:val="0019727E"/>
    <w:rsid w:val="001974E7"/>
    <w:rsid w:val="0019755A"/>
    <w:rsid w:val="001975F5"/>
    <w:rsid w:val="0019779B"/>
    <w:rsid w:val="001979C0"/>
    <w:rsid w:val="00197ABC"/>
    <w:rsid w:val="00197BBD"/>
    <w:rsid w:val="00197CE3"/>
    <w:rsid w:val="00197EBB"/>
    <w:rsid w:val="00197F73"/>
    <w:rsid w:val="001A017E"/>
    <w:rsid w:val="001A0182"/>
    <w:rsid w:val="001A01E0"/>
    <w:rsid w:val="001A04E1"/>
    <w:rsid w:val="001A096A"/>
    <w:rsid w:val="001A0979"/>
    <w:rsid w:val="001A09AF"/>
    <w:rsid w:val="001A0A33"/>
    <w:rsid w:val="001A0A48"/>
    <w:rsid w:val="001A0A9B"/>
    <w:rsid w:val="001A0AB6"/>
    <w:rsid w:val="001A0C4C"/>
    <w:rsid w:val="001A0D9D"/>
    <w:rsid w:val="001A0E73"/>
    <w:rsid w:val="001A10F4"/>
    <w:rsid w:val="001A1305"/>
    <w:rsid w:val="001A1390"/>
    <w:rsid w:val="001A157A"/>
    <w:rsid w:val="001A167D"/>
    <w:rsid w:val="001A17E5"/>
    <w:rsid w:val="001A1BE0"/>
    <w:rsid w:val="001A1C95"/>
    <w:rsid w:val="001A1CBF"/>
    <w:rsid w:val="001A1E5F"/>
    <w:rsid w:val="001A20FE"/>
    <w:rsid w:val="001A22D2"/>
    <w:rsid w:val="001A232D"/>
    <w:rsid w:val="001A233B"/>
    <w:rsid w:val="001A2346"/>
    <w:rsid w:val="001A2451"/>
    <w:rsid w:val="001A257A"/>
    <w:rsid w:val="001A26E2"/>
    <w:rsid w:val="001A284D"/>
    <w:rsid w:val="001A28BD"/>
    <w:rsid w:val="001A2A83"/>
    <w:rsid w:val="001A2C57"/>
    <w:rsid w:val="001A31EF"/>
    <w:rsid w:val="001A31F8"/>
    <w:rsid w:val="001A3802"/>
    <w:rsid w:val="001A3830"/>
    <w:rsid w:val="001A387C"/>
    <w:rsid w:val="001A3B35"/>
    <w:rsid w:val="001A40C1"/>
    <w:rsid w:val="001A41A2"/>
    <w:rsid w:val="001A440A"/>
    <w:rsid w:val="001A4421"/>
    <w:rsid w:val="001A4729"/>
    <w:rsid w:val="001A4A98"/>
    <w:rsid w:val="001A4CB7"/>
    <w:rsid w:val="001A4CC2"/>
    <w:rsid w:val="001A4D9A"/>
    <w:rsid w:val="001A4EDF"/>
    <w:rsid w:val="001A50ED"/>
    <w:rsid w:val="001A5339"/>
    <w:rsid w:val="001A546A"/>
    <w:rsid w:val="001A55CA"/>
    <w:rsid w:val="001A58FC"/>
    <w:rsid w:val="001A5AB2"/>
    <w:rsid w:val="001A5B1D"/>
    <w:rsid w:val="001A5C3A"/>
    <w:rsid w:val="001A5D4A"/>
    <w:rsid w:val="001A6063"/>
    <w:rsid w:val="001A6067"/>
    <w:rsid w:val="001A6188"/>
    <w:rsid w:val="001A6432"/>
    <w:rsid w:val="001A6503"/>
    <w:rsid w:val="001A65CD"/>
    <w:rsid w:val="001A666E"/>
    <w:rsid w:val="001A6996"/>
    <w:rsid w:val="001A69AA"/>
    <w:rsid w:val="001A6A17"/>
    <w:rsid w:val="001A6A1D"/>
    <w:rsid w:val="001A6D2D"/>
    <w:rsid w:val="001A6E40"/>
    <w:rsid w:val="001A704B"/>
    <w:rsid w:val="001A7091"/>
    <w:rsid w:val="001A709F"/>
    <w:rsid w:val="001A72E6"/>
    <w:rsid w:val="001A740C"/>
    <w:rsid w:val="001A74A5"/>
    <w:rsid w:val="001A7600"/>
    <w:rsid w:val="001A769F"/>
    <w:rsid w:val="001A788B"/>
    <w:rsid w:val="001A7D7A"/>
    <w:rsid w:val="001A7EB5"/>
    <w:rsid w:val="001B0143"/>
    <w:rsid w:val="001B0145"/>
    <w:rsid w:val="001B0207"/>
    <w:rsid w:val="001B0321"/>
    <w:rsid w:val="001B0375"/>
    <w:rsid w:val="001B0391"/>
    <w:rsid w:val="001B0435"/>
    <w:rsid w:val="001B04C8"/>
    <w:rsid w:val="001B066D"/>
    <w:rsid w:val="001B0880"/>
    <w:rsid w:val="001B0A59"/>
    <w:rsid w:val="001B0B5F"/>
    <w:rsid w:val="001B0D3C"/>
    <w:rsid w:val="001B0DB0"/>
    <w:rsid w:val="001B0E46"/>
    <w:rsid w:val="001B0E47"/>
    <w:rsid w:val="001B0EEB"/>
    <w:rsid w:val="001B120A"/>
    <w:rsid w:val="001B1492"/>
    <w:rsid w:val="001B1512"/>
    <w:rsid w:val="001B199A"/>
    <w:rsid w:val="001B19A6"/>
    <w:rsid w:val="001B19CA"/>
    <w:rsid w:val="001B1AA1"/>
    <w:rsid w:val="001B201D"/>
    <w:rsid w:val="001B202D"/>
    <w:rsid w:val="001B2084"/>
    <w:rsid w:val="001B2285"/>
    <w:rsid w:val="001B2298"/>
    <w:rsid w:val="001B2622"/>
    <w:rsid w:val="001B26CA"/>
    <w:rsid w:val="001B2802"/>
    <w:rsid w:val="001B2B9A"/>
    <w:rsid w:val="001B2C57"/>
    <w:rsid w:val="001B2C92"/>
    <w:rsid w:val="001B2E8C"/>
    <w:rsid w:val="001B30BE"/>
    <w:rsid w:val="001B3400"/>
    <w:rsid w:val="001B35F6"/>
    <w:rsid w:val="001B360D"/>
    <w:rsid w:val="001B3662"/>
    <w:rsid w:val="001B36CE"/>
    <w:rsid w:val="001B37F1"/>
    <w:rsid w:val="001B3ACC"/>
    <w:rsid w:val="001B3C23"/>
    <w:rsid w:val="001B4029"/>
    <w:rsid w:val="001B40C0"/>
    <w:rsid w:val="001B4140"/>
    <w:rsid w:val="001B427B"/>
    <w:rsid w:val="001B4309"/>
    <w:rsid w:val="001B4A24"/>
    <w:rsid w:val="001B4DA0"/>
    <w:rsid w:val="001B4FE9"/>
    <w:rsid w:val="001B50D0"/>
    <w:rsid w:val="001B50ED"/>
    <w:rsid w:val="001B510B"/>
    <w:rsid w:val="001B511F"/>
    <w:rsid w:val="001B5341"/>
    <w:rsid w:val="001B5A6A"/>
    <w:rsid w:val="001B5E4D"/>
    <w:rsid w:val="001B6315"/>
    <w:rsid w:val="001B65B2"/>
    <w:rsid w:val="001B6924"/>
    <w:rsid w:val="001B6B99"/>
    <w:rsid w:val="001B6BD4"/>
    <w:rsid w:val="001B6C3A"/>
    <w:rsid w:val="001B6D82"/>
    <w:rsid w:val="001B7234"/>
    <w:rsid w:val="001B7376"/>
    <w:rsid w:val="001B7652"/>
    <w:rsid w:val="001B7713"/>
    <w:rsid w:val="001B7913"/>
    <w:rsid w:val="001B7A2A"/>
    <w:rsid w:val="001B7A4C"/>
    <w:rsid w:val="001B7EFD"/>
    <w:rsid w:val="001C001F"/>
    <w:rsid w:val="001C012A"/>
    <w:rsid w:val="001C03D2"/>
    <w:rsid w:val="001C0409"/>
    <w:rsid w:val="001C06E0"/>
    <w:rsid w:val="001C08F9"/>
    <w:rsid w:val="001C0A99"/>
    <w:rsid w:val="001C0AC5"/>
    <w:rsid w:val="001C0D46"/>
    <w:rsid w:val="001C0D82"/>
    <w:rsid w:val="001C0E2E"/>
    <w:rsid w:val="001C0EFD"/>
    <w:rsid w:val="001C0F31"/>
    <w:rsid w:val="001C126A"/>
    <w:rsid w:val="001C12E6"/>
    <w:rsid w:val="001C1331"/>
    <w:rsid w:val="001C13DC"/>
    <w:rsid w:val="001C16CC"/>
    <w:rsid w:val="001C18BC"/>
    <w:rsid w:val="001C1926"/>
    <w:rsid w:val="001C1A37"/>
    <w:rsid w:val="001C204F"/>
    <w:rsid w:val="001C21BB"/>
    <w:rsid w:val="001C21BE"/>
    <w:rsid w:val="001C2305"/>
    <w:rsid w:val="001C2443"/>
    <w:rsid w:val="001C2499"/>
    <w:rsid w:val="001C2715"/>
    <w:rsid w:val="001C2907"/>
    <w:rsid w:val="001C2916"/>
    <w:rsid w:val="001C2B69"/>
    <w:rsid w:val="001C2D2D"/>
    <w:rsid w:val="001C2D45"/>
    <w:rsid w:val="001C2E57"/>
    <w:rsid w:val="001C2F20"/>
    <w:rsid w:val="001C31F4"/>
    <w:rsid w:val="001C3266"/>
    <w:rsid w:val="001C32AE"/>
    <w:rsid w:val="001C350A"/>
    <w:rsid w:val="001C3779"/>
    <w:rsid w:val="001C3847"/>
    <w:rsid w:val="001C385A"/>
    <w:rsid w:val="001C38DC"/>
    <w:rsid w:val="001C397F"/>
    <w:rsid w:val="001C3AFC"/>
    <w:rsid w:val="001C3B05"/>
    <w:rsid w:val="001C3C17"/>
    <w:rsid w:val="001C3D25"/>
    <w:rsid w:val="001C3EEF"/>
    <w:rsid w:val="001C3F0D"/>
    <w:rsid w:val="001C4454"/>
    <w:rsid w:val="001C44E5"/>
    <w:rsid w:val="001C4740"/>
    <w:rsid w:val="001C4946"/>
    <w:rsid w:val="001C4B18"/>
    <w:rsid w:val="001C4C87"/>
    <w:rsid w:val="001C4E05"/>
    <w:rsid w:val="001C4F46"/>
    <w:rsid w:val="001C5287"/>
    <w:rsid w:val="001C536C"/>
    <w:rsid w:val="001C538F"/>
    <w:rsid w:val="001C548C"/>
    <w:rsid w:val="001C557E"/>
    <w:rsid w:val="001C5594"/>
    <w:rsid w:val="001C5AA6"/>
    <w:rsid w:val="001C5D65"/>
    <w:rsid w:val="001C5E18"/>
    <w:rsid w:val="001C5E70"/>
    <w:rsid w:val="001C6060"/>
    <w:rsid w:val="001C6496"/>
    <w:rsid w:val="001C66BA"/>
    <w:rsid w:val="001C6958"/>
    <w:rsid w:val="001C6A93"/>
    <w:rsid w:val="001C7040"/>
    <w:rsid w:val="001C708D"/>
    <w:rsid w:val="001C70C9"/>
    <w:rsid w:val="001C73C5"/>
    <w:rsid w:val="001C747C"/>
    <w:rsid w:val="001C748A"/>
    <w:rsid w:val="001C7566"/>
    <w:rsid w:val="001C75CC"/>
    <w:rsid w:val="001C7706"/>
    <w:rsid w:val="001C7910"/>
    <w:rsid w:val="001C7A53"/>
    <w:rsid w:val="001C7A82"/>
    <w:rsid w:val="001C7B67"/>
    <w:rsid w:val="001C7D37"/>
    <w:rsid w:val="001C7D52"/>
    <w:rsid w:val="001C7DAF"/>
    <w:rsid w:val="001C7DEE"/>
    <w:rsid w:val="001C7DFA"/>
    <w:rsid w:val="001C7E57"/>
    <w:rsid w:val="001C7F6B"/>
    <w:rsid w:val="001D0083"/>
    <w:rsid w:val="001D009A"/>
    <w:rsid w:val="001D0163"/>
    <w:rsid w:val="001D0388"/>
    <w:rsid w:val="001D05A1"/>
    <w:rsid w:val="001D0987"/>
    <w:rsid w:val="001D0ACA"/>
    <w:rsid w:val="001D0CFC"/>
    <w:rsid w:val="001D0D47"/>
    <w:rsid w:val="001D0EC6"/>
    <w:rsid w:val="001D1091"/>
    <w:rsid w:val="001D11FF"/>
    <w:rsid w:val="001D14D5"/>
    <w:rsid w:val="001D155C"/>
    <w:rsid w:val="001D15D3"/>
    <w:rsid w:val="001D1784"/>
    <w:rsid w:val="001D1855"/>
    <w:rsid w:val="001D1A0E"/>
    <w:rsid w:val="001D1A95"/>
    <w:rsid w:val="001D20F5"/>
    <w:rsid w:val="001D2241"/>
    <w:rsid w:val="001D247D"/>
    <w:rsid w:val="001D27E0"/>
    <w:rsid w:val="001D292E"/>
    <w:rsid w:val="001D2A46"/>
    <w:rsid w:val="001D2BF3"/>
    <w:rsid w:val="001D2CBD"/>
    <w:rsid w:val="001D2E72"/>
    <w:rsid w:val="001D2EF5"/>
    <w:rsid w:val="001D3035"/>
    <w:rsid w:val="001D315B"/>
    <w:rsid w:val="001D3204"/>
    <w:rsid w:val="001D32D0"/>
    <w:rsid w:val="001D33E3"/>
    <w:rsid w:val="001D3631"/>
    <w:rsid w:val="001D3720"/>
    <w:rsid w:val="001D3968"/>
    <w:rsid w:val="001D3A63"/>
    <w:rsid w:val="001D3CE1"/>
    <w:rsid w:val="001D3E42"/>
    <w:rsid w:val="001D3EEF"/>
    <w:rsid w:val="001D3F33"/>
    <w:rsid w:val="001D4068"/>
    <w:rsid w:val="001D40C0"/>
    <w:rsid w:val="001D40EB"/>
    <w:rsid w:val="001D4118"/>
    <w:rsid w:val="001D4121"/>
    <w:rsid w:val="001D4218"/>
    <w:rsid w:val="001D4568"/>
    <w:rsid w:val="001D46DC"/>
    <w:rsid w:val="001D4931"/>
    <w:rsid w:val="001D4A0A"/>
    <w:rsid w:val="001D4ADD"/>
    <w:rsid w:val="001D4C29"/>
    <w:rsid w:val="001D4E15"/>
    <w:rsid w:val="001D516F"/>
    <w:rsid w:val="001D56C9"/>
    <w:rsid w:val="001D56E7"/>
    <w:rsid w:val="001D5876"/>
    <w:rsid w:val="001D5A8A"/>
    <w:rsid w:val="001D5B20"/>
    <w:rsid w:val="001D5BD5"/>
    <w:rsid w:val="001D5E6D"/>
    <w:rsid w:val="001D6120"/>
    <w:rsid w:val="001D62B3"/>
    <w:rsid w:val="001D631D"/>
    <w:rsid w:val="001D638C"/>
    <w:rsid w:val="001D63A4"/>
    <w:rsid w:val="001D63E5"/>
    <w:rsid w:val="001D649A"/>
    <w:rsid w:val="001D6536"/>
    <w:rsid w:val="001D659C"/>
    <w:rsid w:val="001D65C2"/>
    <w:rsid w:val="001D6902"/>
    <w:rsid w:val="001D6A52"/>
    <w:rsid w:val="001D6BBA"/>
    <w:rsid w:val="001D6D95"/>
    <w:rsid w:val="001D6DCE"/>
    <w:rsid w:val="001D705E"/>
    <w:rsid w:val="001D713C"/>
    <w:rsid w:val="001D7165"/>
    <w:rsid w:val="001D742D"/>
    <w:rsid w:val="001D754D"/>
    <w:rsid w:val="001D7B6F"/>
    <w:rsid w:val="001D7E67"/>
    <w:rsid w:val="001D7E83"/>
    <w:rsid w:val="001E0077"/>
    <w:rsid w:val="001E0114"/>
    <w:rsid w:val="001E0169"/>
    <w:rsid w:val="001E0237"/>
    <w:rsid w:val="001E0330"/>
    <w:rsid w:val="001E0581"/>
    <w:rsid w:val="001E06D6"/>
    <w:rsid w:val="001E0856"/>
    <w:rsid w:val="001E0B45"/>
    <w:rsid w:val="001E0B75"/>
    <w:rsid w:val="001E0CB9"/>
    <w:rsid w:val="001E0CFC"/>
    <w:rsid w:val="001E0F49"/>
    <w:rsid w:val="001E1039"/>
    <w:rsid w:val="001E107A"/>
    <w:rsid w:val="001E1118"/>
    <w:rsid w:val="001E1341"/>
    <w:rsid w:val="001E14F4"/>
    <w:rsid w:val="001E15D3"/>
    <w:rsid w:val="001E179F"/>
    <w:rsid w:val="001E17EB"/>
    <w:rsid w:val="001E1857"/>
    <w:rsid w:val="001E19B6"/>
    <w:rsid w:val="001E1A55"/>
    <w:rsid w:val="001E1A57"/>
    <w:rsid w:val="001E1AAE"/>
    <w:rsid w:val="001E1B0C"/>
    <w:rsid w:val="001E1F30"/>
    <w:rsid w:val="001E2046"/>
    <w:rsid w:val="001E22A9"/>
    <w:rsid w:val="001E233C"/>
    <w:rsid w:val="001E2361"/>
    <w:rsid w:val="001E2378"/>
    <w:rsid w:val="001E2A3B"/>
    <w:rsid w:val="001E2DDD"/>
    <w:rsid w:val="001E2E70"/>
    <w:rsid w:val="001E2E89"/>
    <w:rsid w:val="001E2F0F"/>
    <w:rsid w:val="001E2F9F"/>
    <w:rsid w:val="001E33C9"/>
    <w:rsid w:val="001E350D"/>
    <w:rsid w:val="001E3558"/>
    <w:rsid w:val="001E358B"/>
    <w:rsid w:val="001E36CF"/>
    <w:rsid w:val="001E370C"/>
    <w:rsid w:val="001E370F"/>
    <w:rsid w:val="001E385C"/>
    <w:rsid w:val="001E3A56"/>
    <w:rsid w:val="001E3B97"/>
    <w:rsid w:val="001E3CBD"/>
    <w:rsid w:val="001E3F9A"/>
    <w:rsid w:val="001E401B"/>
    <w:rsid w:val="001E407E"/>
    <w:rsid w:val="001E40A9"/>
    <w:rsid w:val="001E40C9"/>
    <w:rsid w:val="001E4180"/>
    <w:rsid w:val="001E4237"/>
    <w:rsid w:val="001E42A5"/>
    <w:rsid w:val="001E42FD"/>
    <w:rsid w:val="001E4B3D"/>
    <w:rsid w:val="001E5013"/>
    <w:rsid w:val="001E509C"/>
    <w:rsid w:val="001E51B5"/>
    <w:rsid w:val="001E51F1"/>
    <w:rsid w:val="001E5263"/>
    <w:rsid w:val="001E58CB"/>
    <w:rsid w:val="001E5ACC"/>
    <w:rsid w:val="001E5B5B"/>
    <w:rsid w:val="001E5C2D"/>
    <w:rsid w:val="001E5D60"/>
    <w:rsid w:val="001E5E38"/>
    <w:rsid w:val="001E61A7"/>
    <w:rsid w:val="001E62E8"/>
    <w:rsid w:val="001E65CD"/>
    <w:rsid w:val="001E67B7"/>
    <w:rsid w:val="001E6AFA"/>
    <w:rsid w:val="001E6B34"/>
    <w:rsid w:val="001E7045"/>
    <w:rsid w:val="001E70A7"/>
    <w:rsid w:val="001E7360"/>
    <w:rsid w:val="001E7392"/>
    <w:rsid w:val="001E74F3"/>
    <w:rsid w:val="001E7545"/>
    <w:rsid w:val="001E78A8"/>
    <w:rsid w:val="001E7976"/>
    <w:rsid w:val="001E7AD2"/>
    <w:rsid w:val="001E7BEA"/>
    <w:rsid w:val="001E7F81"/>
    <w:rsid w:val="001F01D0"/>
    <w:rsid w:val="001F0630"/>
    <w:rsid w:val="001F06F0"/>
    <w:rsid w:val="001F0771"/>
    <w:rsid w:val="001F0851"/>
    <w:rsid w:val="001F0A33"/>
    <w:rsid w:val="001F0AD0"/>
    <w:rsid w:val="001F0C56"/>
    <w:rsid w:val="001F0D8B"/>
    <w:rsid w:val="001F0DA7"/>
    <w:rsid w:val="001F0F8E"/>
    <w:rsid w:val="001F1008"/>
    <w:rsid w:val="001F1059"/>
    <w:rsid w:val="001F1183"/>
    <w:rsid w:val="001F1194"/>
    <w:rsid w:val="001F1219"/>
    <w:rsid w:val="001F128A"/>
    <w:rsid w:val="001F131F"/>
    <w:rsid w:val="001F172F"/>
    <w:rsid w:val="001F1981"/>
    <w:rsid w:val="001F1A06"/>
    <w:rsid w:val="001F1AC7"/>
    <w:rsid w:val="001F1C10"/>
    <w:rsid w:val="001F1C2E"/>
    <w:rsid w:val="001F1CBB"/>
    <w:rsid w:val="001F1CDC"/>
    <w:rsid w:val="001F1F0C"/>
    <w:rsid w:val="001F2045"/>
    <w:rsid w:val="001F23FC"/>
    <w:rsid w:val="001F2780"/>
    <w:rsid w:val="001F28FA"/>
    <w:rsid w:val="001F293A"/>
    <w:rsid w:val="001F2A88"/>
    <w:rsid w:val="001F2B05"/>
    <w:rsid w:val="001F2BA7"/>
    <w:rsid w:val="001F2BFF"/>
    <w:rsid w:val="001F2C60"/>
    <w:rsid w:val="001F2D2C"/>
    <w:rsid w:val="001F30EC"/>
    <w:rsid w:val="001F3443"/>
    <w:rsid w:val="001F3615"/>
    <w:rsid w:val="001F39BE"/>
    <w:rsid w:val="001F3AD4"/>
    <w:rsid w:val="001F3B4B"/>
    <w:rsid w:val="001F3BD4"/>
    <w:rsid w:val="001F3D3C"/>
    <w:rsid w:val="001F3EB5"/>
    <w:rsid w:val="001F40F0"/>
    <w:rsid w:val="001F41A4"/>
    <w:rsid w:val="001F41B1"/>
    <w:rsid w:val="001F443D"/>
    <w:rsid w:val="001F44AC"/>
    <w:rsid w:val="001F4534"/>
    <w:rsid w:val="001F45B2"/>
    <w:rsid w:val="001F4605"/>
    <w:rsid w:val="001F4752"/>
    <w:rsid w:val="001F475C"/>
    <w:rsid w:val="001F4B00"/>
    <w:rsid w:val="001F4D43"/>
    <w:rsid w:val="001F4E1C"/>
    <w:rsid w:val="001F4EA8"/>
    <w:rsid w:val="001F523F"/>
    <w:rsid w:val="001F559D"/>
    <w:rsid w:val="001F5608"/>
    <w:rsid w:val="001F56AC"/>
    <w:rsid w:val="001F586C"/>
    <w:rsid w:val="001F58B2"/>
    <w:rsid w:val="001F58EA"/>
    <w:rsid w:val="001F5ABF"/>
    <w:rsid w:val="001F5B43"/>
    <w:rsid w:val="001F5DC5"/>
    <w:rsid w:val="001F5E34"/>
    <w:rsid w:val="001F5ECD"/>
    <w:rsid w:val="001F62EC"/>
    <w:rsid w:val="001F647F"/>
    <w:rsid w:val="001F65A6"/>
    <w:rsid w:val="001F699E"/>
    <w:rsid w:val="001F6A2D"/>
    <w:rsid w:val="001F6A71"/>
    <w:rsid w:val="001F6AA2"/>
    <w:rsid w:val="001F6AEF"/>
    <w:rsid w:val="001F6C8D"/>
    <w:rsid w:val="001F72C6"/>
    <w:rsid w:val="001F7365"/>
    <w:rsid w:val="001F7A72"/>
    <w:rsid w:val="001F7B74"/>
    <w:rsid w:val="001F7C8A"/>
    <w:rsid w:val="001F7D52"/>
    <w:rsid w:val="0020048C"/>
    <w:rsid w:val="002004F4"/>
    <w:rsid w:val="0020050B"/>
    <w:rsid w:val="0020056A"/>
    <w:rsid w:val="0020081F"/>
    <w:rsid w:val="002008EC"/>
    <w:rsid w:val="00200A4F"/>
    <w:rsid w:val="00200C7C"/>
    <w:rsid w:val="00200DE0"/>
    <w:rsid w:val="00200F40"/>
    <w:rsid w:val="0020119F"/>
    <w:rsid w:val="002011BD"/>
    <w:rsid w:val="00201201"/>
    <w:rsid w:val="00201357"/>
    <w:rsid w:val="00201864"/>
    <w:rsid w:val="00201A7B"/>
    <w:rsid w:val="00201BAF"/>
    <w:rsid w:val="00201C00"/>
    <w:rsid w:val="00201CF3"/>
    <w:rsid w:val="00201EEE"/>
    <w:rsid w:val="00201EF6"/>
    <w:rsid w:val="00202005"/>
    <w:rsid w:val="00202060"/>
    <w:rsid w:val="00202162"/>
    <w:rsid w:val="002024E3"/>
    <w:rsid w:val="002029FD"/>
    <w:rsid w:val="00202BB9"/>
    <w:rsid w:val="00202DF6"/>
    <w:rsid w:val="00202F1A"/>
    <w:rsid w:val="00203120"/>
    <w:rsid w:val="00203171"/>
    <w:rsid w:val="00203690"/>
    <w:rsid w:val="002038E8"/>
    <w:rsid w:val="00203900"/>
    <w:rsid w:val="00203AD0"/>
    <w:rsid w:val="00203AEE"/>
    <w:rsid w:val="00203D57"/>
    <w:rsid w:val="00203DA8"/>
    <w:rsid w:val="0020403A"/>
    <w:rsid w:val="0020409C"/>
    <w:rsid w:val="002043B2"/>
    <w:rsid w:val="00204549"/>
    <w:rsid w:val="00204567"/>
    <w:rsid w:val="00204630"/>
    <w:rsid w:val="002046D9"/>
    <w:rsid w:val="0020471D"/>
    <w:rsid w:val="0020481D"/>
    <w:rsid w:val="002048AF"/>
    <w:rsid w:val="00204A9A"/>
    <w:rsid w:val="00204B3B"/>
    <w:rsid w:val="00204B4B"/>
    <w:rsid w:val="00204BC7"/>
    <w:rsid w:val="00204DAC"/>
    <w:rsid w:val="00204E81"/>
    <w:rsid w:val="00205077"/>
    <w:rsid w:val="00205087"/>
    <w:rsid w:val="00205616"/>
    <w:rsid w:val="00205891"/>
    <w:rsid w:val="00205A14"/>
    <w:rsid w:val="00205AB2"/>
    <w:rsid w:val="00205CCF"/>
    <w:rsid w:val="00205D1B"/>
    <w:rsid w:val="00205D26"/>
    <w:rsid w:val="00205E67"/>
    <w:rsid w:val="0020618D"/>
    <w:rsid w:val="002062B1"/>
    <w:rsid w:val="0020683A"/>
    <w:rsid w:val="002068BA"/>
    <w:rsid w:val="002068F4"/>
    <w:rsid w:val="00206951"/>
    <w:rsid w:val="0020697D"/>
    <w:rsid w:val="00206BDC"/>
    <w:rsid w:val="00206F14"/>
    <w:rsid w:val="00206FB3"/>
    <w:rsid w:val="0020736B"/>
    <w:rsid w:val="00207674"/>
    <w:rsid w:val="00207737"/>
    <w:rsid w:val="002077B2"/>
    <w:rsid w:val="002077C9"/>
    <w:rsid w:val="00207A05"/>
    <w:rsid w:val="00207A6B"/>
    <w:rsid w:val="00207A83"/>
    <w:rsid w:val="00207CFC"/>
    <w:rsid w:val="00210046"/>
    <w:rsid w:val="00210112"/>
    <w:rsid w:val="00210137"/>
    <w:rsid w:val="00210169"/>
    <w:rsid w:val="00210293"/>
    <w:rsid w:val="00210403"/>
    <w:rsid w:val="00210839"/>
    <w:rsid w:val="00210980"/>
    <w:rsid w:val="00210B0F"/>
    <w:rsid w:val="00210BA0"/>
    <w:rsid w:val="00210FDC"/>
    <w:rsid w:val="002112C8"/>
    <w:rsid w:val="002113BF"/>
    <w:rsid w:val="002113D9"/>
    <w:rsid w:val="00211690"/>
    <w:rsid w:val="00211754"/>
    <w:rsid w:val="0021187A"/>
    <w:rsid w:val="00211ABA"/>
    <w:rsid w:val="00211E36"/>
    <w:rsid w:val="0021299C"/>
    <w:rsid w:val="002129F7"/>
    <w:rsid w:val="00212A9D"/>
    <w:rsid w:val="00212CBE"/>
    <w:rsid w:val="00212CED"/>
    <w:rsid w:val="00212CFF"/>
    <w:rsid w:val="00212D1F"/>
    <w:rsid w:val="00212D21"/>
    <w:rsid w:val="002130EA"/>
    <w:rsid w:val="002132D6"/>
    <w:rsid w:val="002139B9"/>
    <w:rsid w:val="00213A01"/>
    <w:rsid w:val="00213ABB"/>
    <w:rsid w:val="00213BEC"/>
    <w:rsid w:val="00213EA9"/>
    <w:rsid w:val="00213EBF"/>
    <w:rsid w:val="00214067"/>
    <w:rsid w:val="00214155"/>
    <w:rsid w:val="0021457B"/>
    <w:rsid w:val="00214612"/>
    <w:rsid w:val="0021465A"/>
    <w:rsid w:val="00214838"/>
    <w:rsid w:val="00214989"/>
    <w:rsid w:val="002149EC"/>
    <w:rsid w:val="00214C7A"/>
    <w:rsid w:val="00214D49"/>
    <w:rsid w:val="002151AC"/>
    <w:rsid w:val="002151F5"/>
    <w:rsid w:val="0021550C"/>
    <w:rsid w:val="00215553"/>
    <w:rsid w:val="002156DC"/>
    <w:rsid w:val="0021594A"/>
    <w:rsid w:val="00215A54"/>
    <w:rsid w:val="00215DD5"/>
    <w:rsid w:val="00215F7E"/>
    <w:rsid w:val="00216012"/>
    <w:rsid w:val="00216068"/>
    <w:rsid w:val="002160F6"/>
    <w:rsid w:val="0021679A"/>
    <w:rsid w:val="0021693D"/>
    <w:rsid w:val="00216C35"/>
    <w:rsid w:val="00216E38"/>
    <w:rsid w:val="00217207"/>
    <w:rsid w:val="002173B9"/>
    <w:rsid w:val="00217821"/>
    <w:rsid w:val="002178F4"/>
    <w:rsid w:val="00217AAF"/>
    <w:rsid w:val="00217BE0"/>
    <w:rsid w:val="00217D2A"/>
    <w:rsid w:val="00217F1A"/>
    <w:rsid w:val="00220054"/>
    <w:rsid w:val="0022022A"/>
    <w:rsid w:val="00220399"/>
    <w:rsid w:val="00220438"/>
    <w:rsid w:val="002205F6"/>
    <w:rsid w:val="00220961"/>
    <w:rsid w:val="00220C37"/>
    <w:rsid w:val="00220C43"/>
    <w:rsid w:val="00220CFC"/>
    <w:rsid w:val="00220D27"/>
    <w:rsid w:val="00220D9D"/>
    <w:rsid w:val="00220DDE"/>
    <w:rsid w:val="00220F02"/>
    <w:rsid w:val="00221481"/>
    <w:rsid w:val="00221586"/>
    <w:rsid w:val="00221C68"/>
    <w:rsid w:val="00221DE5"/>
    <w:rsid w:val="00222015"/>
    <w:rsid w:val="0022216B"/>
    <w:rsid w:val="002221A0"/>
    <w:rsid w:val="002221E3"/>
    <w:rsid w:val="002222AB"/>
    <w:rsid w:val="00222495"/>
    <w:rsid w:val="00222660"/>
    <w:rsid w:val="00222839"/>
    <w:rsid w:val="00222B43"/>
    <w:rsid w:val="00223021"/>
    <w:rsid w:val="00223048"/>
    <w:rsid w:val="00223289"/>
    <w:rsid w:val="0022334C"/>
    <w:rsid w:val="0022349B"/>
    <w:rsid w:val="002236BE"/>
    <w:rsid w:val="00223B2C"/>
    <w:rsid w:val="002241A3"/>
    <w:rsid w:val="00224651"/>
    <w:rsid w:val="0022496F"/>
    <w:rsid w:val="002249FC"/>
    <w:rsid w:val="00224A74"/>
    <w:rsid w:val="00224E29"/>
    <w:rsid w:val="00224FF6"/>
    <w:rsid w:val="002251E9"/>
    <w:rsid w:val="002252BD"/>
    <w:rsid w:val="002257B3"/>
    <w:rsid w:val="0022584B"/>
    <w:rsid w:val="00225A84"/>
    <w:rsid w:val="00225B18"/>
    <w:rsid w:val="00225CE0"/>
    <w:rsid w:val="00225EB7"/>
    <w:rsid w:val="002260CF"/>
    <w:rsid w:val="002262D1"/>
    <w:rsid w:val="00226480"/>
    <w:rsid w:val="00226553"/>
    <w:rsid w:val="002266CF"/>
    <w:rsid w:val="00226805"/>
    <w:rsid w:val="002268A5"/>
    <w:rsid w:val="002269BB"/>
    <w:rsid w:val="00226B95"/>
    <w:rsid w:val="00226EDF"/>
    <w:rsid w:val="00226F37"/>
    <w:rsid w:val="0022742C"/>
    <w:rsid w:val="002275C1"/>
    <w:rsid w:val="00227924"/>
    <w:rsid w:val="00227BC7"/>
    <w:rsid w:val="00227D44"/>
    <w:rsid w:val="00227F5F"/>
    <w:rsid w:val="0023000B"/>
    <w:rsid w:val="002301FF"/>
    <w:rsid w:val="002304E0"/>
    <w:rsid w:val="002305FE"/>
    <w:rsid w:val="0023077F"/>
    <w:rsid w:val="00230809"/>
    <w:rsid w:val="00230A5F"/>
    <w:rsid w:val="00230F25"/>
    <w:rsid w:val="002312A7"/>
    <w:rsid w:val="0023142D"/>
    <w:rsid w:val="002315DB"/>
    <w:rsid w:val="00231684"/>
    <w:rsid w:val="002317C7"/>
    <w:rsid w:val="0023185D"/>
    <w:rsid w:val="002319B6"/>
    <w:rsid w:val="002319FF"/>
    <w:rsid w:val="00231A0B"/>
    <w:rsid w:val="00231A26"/>
    <w:rsid w:val="00231A84"/>
    <w:rsid w:val="00231C36"/>
    <w:rsid w:val="00231CFE"/>
    <w:rsid w:val="00231D70"/>
    <w:rsid w:val="002321A2"/>
    <w:rsid w:val="002323AA"/>
    <w:rsid w:val="002324C0"/>
    <w:rsid w:val="002324C1"/>
    <w:rsid w:val="00232631"/>
    <w:rsid w:val="00232741"/>
    <w:rsid w:val="002328C4"/>
    <w:rsid w:val="00232AD4"/>
    <w:rsid w:val="00232BFC"/>
    <w:rsid w:val="00232D09"/>
    <w:rsid w:val="00232E9B"/>
    <w:rsid w:val="00232ECD"/>
    <w:rsid w:val="00232F65"/>
    <w:rsid w:val="0023304B"/>
    <w:rsid w:val="00233096"/>
    <w:rsid w:val="00233185"/>
    <w:rsid w:val="002331AB"/>
    <w:rsid w:val="002331E1"/>
    <w:rsid w:val="002332AF"/>
    <w:rsid w:val="0023334F"/>
    <w:rsid w:val="002333A3"/>
    <w:rsid w:val="002333C0"/>
    <w:rsid w:val="00233449"/>
    <w:rsid w:val="002335C4"/>
    <w:rsid w:val="002338F2"/>
    <w:rsid w:val="00233A2A"/>
    <w:rsid w:val="00233A60"/>
    <w:rsid w:val="0023401A"/>
    <w:rsid w:val="00234253"/>
    <w:rsid w:val="0023425E"/>
    <w:rsid w:val="00234467"/>
    <w:rsid w:val="0023453E"/>
    <w:rsid w:val="00234A4D"/>
    <w:rsid w:val="00234E4C"/>
    <w:rsid w:val="00234FEF"/>
    <w:rsid w:val="00235021"/>
    <w:rsid w:val="0023502C"/>
    <w:rsid w:val="00235094"/>
    <w:rsid w:val="00235276"/>
    <w:rsid w:val="002352A1"/>
    <w:rsid w:val="0023545F"/>
    <w:rsid w:val="00235463"/>
    <w:rsid w:val="0023546C"/>
    <w:rsid w:val="002356D0"/>
    <w:rsid w:val="002357B4"/>
    <w:rsid w:val="002359D9"/>
    <w:rsid w:val="00235A20"/>
    <w:rsid w:val="00235AC3"/>
    <w:rsid w:val="00235B0B"/>
    <w:rsid w:val="00235D21"/>
    <w:rsid w:val="00235F66"/>
    <w:rsid w:val="00236003"/>
    <w:rsid w:val="00236188"/>
    <w:rsid w:val="002361C8"/>
    <w:rsid w:val="0023630E"/>
    <w:rsid w:val="00236428"/>
    <w:rsid w:val="00236692"/>
    <w:rsid w:val="0023676D"/>
    <w:rsid w:val="002367E6"/>
    <w:rsid w:val="00236883"/>
    <w:rsid w:val="0023689C"/>
    <w:rsid w:val="002369BE"/>
    <w:rsid w:val="00236AD7"/>
    <w:rsid w:val="00236AEB"/>
    <w:rsid w:val="00236B8E"/>
    <w:rsid w:val="00236C22"/>
    <w:rsid w:val="00236CFE"/>
    <w:rsid w:val="00236DD1"/>
    <w:rsid w:val="00237183"/>
    <w:rsid w:val="002372EC"/>
    <w:rsid w:val="00237417"/>
    <w:rsid w:val="0023753F"/>
    <w:rsid w:val="00237713"/>
    <w:rsid w:val="00237908"/>
    <w:rsid w:val="00237969"/>
    <w:rsid w:val="00237985"/>
    <w:rsid w:val="00237A11"/>
    <w:rsid w:val="00237A6E"/>
    <w:rsid w:val="00237AD7"/>
    <w:rsid w:val="00237C45"/>
    <w:rsid w:val="00237D62"/>
    <w:rsid w:val="00237F85"/>
    <w:rsid w:val="00240065"/>
    <w:rsid w:val="002403A8"/>
    <w:rsid w:val="002409F4"/>
    <w:rsid w:val="00240A1A"/>
    <w:rsid w:val="00240C03"/>
    <w:rsid w:val="00240CD2"/>
    <w:rsid w:val="00240D3D"/>
    <w:rsid w:val="00240EAC"/>
    <w:rsid w:val="002410D1"/>
    <w:rsid w:val="0024126A"/>
    <w:rsid w:val="00241283"/>
    <w:rsid w:val="0024139C"/>
    <w:rsid w:val="0024154A"/>
    <w:rsid w:val="00241796"/>
    <w:rsid w:val="0024181B"/>
    <w:rsid w:val="0024185A"/>
    <w:rsid w:val="00241888"/>
    <w:rsid w:val="00241944"/>
    <w:rsid w:val="002419BD"/>
    <w:rsid w:val="00241A3E"/>
    <w:rsid w:val="00241A89"/>
    <w:rsid w:val="00241DDB"/>
    <w:rsid w:val="00241E2A"/>
    <w:rsid w:val="00241F1A"/>
    <w:rsid w:val="00241F61"/>
    <w:rsid w:val="0024233C"/>
    <w:rsid w:val="002424C7"/>
    <w:rsid w:val="0024258D"/>
    <w:rsid w:val="002425EB"/>
    <w:rsid w:val="00242887"/>
    <w:rsid w:val="00242A18"/>
    <w:rsid w:val="00242A4E"/>
    <w:rsid w:val="00242A9B"/>
    <w:rsid w:val="00242AF7"/>
    <w:rsid w:val="00242BB1"/>
    <w:rsid w:val="00242C62"/>
    <w:rsid w:val="00242D50"/>
    <w:rsid w:val="00242DD1"/>
    <w:rsid w:val="00243131"/>
    <w:rsid w:val="002432C4"/>
    <w:rsid w:val="00243545"/>
    <w:rsid w:val="002436C3"/>
    <w:rsid w:val="00243724"/>
    <w:rsid w:val="00243790"/>
    <w:rsid w:val="00243864"/>
    <w:rsid w:val="002438B7"/>
    <w:rsid w:val="002439C5"/>
    <w:rsid w:val="00243A2A"/>
    <w:rsid w:val="00243B14"/>
    <w:rsid w:val="00243C7A"/>
    <w:rsid w:val="00243D9D"/>
    <w:rsid w:val="00243F27"/>
    <w:rsid w:val="00244085"/>
    <w:rsid w:val="002445B8"/>
    <w:rsid w:val="002446C0"/>
    <w:rsid w:val="00244891"/>
    <w:rsid w:val="00244915"/>
    <w:rsid w:val="00244A83"/>
    <w:rsid w:val="00244EC6"/>
    <w:rsid w:val="00244F42"/>
    <w:rsid w:val="0024546E"/>
    <w:rsid w:val="00245592"/>
    <w:rsid w:val="0024560F"/>
    <w:rsid w:val="0024562F"/>
    <w:rsid w:val="002456DC"/>
    <w:rsid w:val="0024598E"/>
    <w:rsid w:val="00245F2A"/>
    <w:rsid w:val="0024612B"/>
    <w:rsid w:val="0024630A"/>
    <w:rsid w:val="0024631A"/>
    <w:rsid w:val="00246565"/>
    <w:rsid w:val="002465CC"/>
    <w:rsid w:val="002467B3"/>
    <w:rsid w:val="002468B0"/>
    <w:rsid w:val="00246935"/>
    <w:rsid w:val="00246938"/>
    <w:rsid w:val="00246C74"/>
    <w:rsid w:val="00246CE0"/>
    <w:rsid w:val="00246D8E"/>
    <w:rsid w:val="00247074"/>
    <w:rsid w:val="0024723B"/>
    <w:rsid w:val="00247420"/>
    <w:rsid w:val="002478F4"/>
    <w:rsid w:val="00247C19"/>
    <w:rsid w:val="00247E49"/>
    <w:rsid w:val="00247E8B"/>
    <w:rsid w:val="00247EA2"/>
    <w:rsid w:val="00247F38"/>
    <w:rsid w:val="00250055"/>
    <w:rsid w:val="00250176"/>
    <w:rsid w:val="00250460"/>
    <w:rsid w:val="002508DE"/>
    <w:rsid w:val="00250A2F"/>
    <w:rsid w:val="00250C89"/>
    <w:rsid w:val="00250D69"/>
    <w:rsid w:val="00250EB0"/>
    <w:rsid w:val="00250FFE"/>
    <w:rsid w:val="00251276"/>
    <w:rsid w:val="00251282"/>
    <w:rsid w:val="00251420"/>
    <w:rsid w:val="00251605"/>
    <w:rsid w:val="002518AB"/>
    <w:rsid w:val="00251BA7"/>
    <w:rsid w:val="00251DC2"/>
    <w:rsid w:val="00252046"/>
    <w:rsid w:val="00252058"/>
    <w:rsid w:val="002520C4"/>
    <w:rsid w:val="002523A9"/>
    <w:rsid w:val="00252516"/>
    <w:rsid w:val="002525EE"/>
    <w:rsid w:val="0025275D"/>
    <w:rsid w:val="00252825"/>
    <w:rsid w:val="0025289A"/>
    <w:rsid w:val="002529C5"/>
    <w:rsid w:val="00252AD3"/>
    <w:rsid w:val="00252B66"/>
    <w:rsid w:val="00252BFF"/>
    <w:rsid w:val="00252E38"/>
    <w:rsid w:val="00252E59"/>
    <w:rsid w:val="002535ED"/>
    <w:rsid w:val="00253689"/>
    <w:rsid w:val="00253818"/>
    <w:rsid w:val="00253923"/>
    <w:rsid w:val="00253A29"/>
    <w:rsid w:val="00253AE2"/>
    <w:rsid w:val="00253BD2"/>
    <w:rsid w:val="00253D1B"/>
    <w:rsid w:val="00253F8B"/>
    <w:rsid w:val="002540CE"/>
    <w:rsid w:val="00254123"/>
    <w:rsid w:val="00254256"/>
    <w:rsid w:val="002543A0"/>
    <w:rsid w:val="002548D7"/>
    <w:rsid w:val="00254A7B"/>
    <w:rsid w:val="00254B33"/>
    <w:rsid w:val="00254CD9"/>
    <w:rsid w:val="00254D26"/>
    <w:rsid w:val="00254D5A"/>
    <w:rsid w:val="00254F22"/>
    <w:rsid w:val="00255261"/>
    <w:rsid w:val="0025531A"/>
    <w:rsid w:val="0025563B"/>
    <w:rsid w:val="002556C7"/>
    <w:rsid w:val="00255833"/>
    <w:rsid w:val="00255878"/>
    <w:rsid w:val="00255A04"/>
    <w:rsid w:val="00255B9D"/>
    <w:rsid w:val="00255BB8"/>
    <w:rsid w:val="00255C60"/>
    <w:rsid w:val="00255E1F"/>
    <w:rsid w:val="00255E4B"/>
    <w:rsid w:val="00255F29"/>
    <w:rsid w:val="0025625C"/>
    <w:rsid w:val="002562B1"/>
    <w:rsid w:val="0025638D"/>
    <w:rsid w:val="002563F2"/>
    <w:rsid w:val="002565B8"/>
    <w:rsid w:val="002565C3"/>
    <w:rsid w:val="0025676B"/>
    <w:rsid w:val="0025682C"/>
    <w:rsid w:val="00256B80"/>
    <w:rsid w:val="00256B9E"/>
    <w:rsid w:val="00256BEA"/>
    <w:rsid w:val="00256C5A"/>
    <w:rsid w:val="00256F16"/>
    <w:rsid w:val="00256F89"/>
    <w:rsid w:val="002571F0"/>
    <w:rsid w:val="002573C2"/>
    <w:rsid w:val="002578BC"/>
    <w:rsid w:val="002579D9"/>
    <w:rsid w:val="00257A8D"/>
    <w:rsid w:val="00257B2D"/>
    <w:rsid w:val="00257B76"/>
    <w:rsid w:val="00257D56"/>
    <w:rsid w:val="00257E09"/>
    <w:rsid w:val="00257E7B"/>
    <w:rsid w:val="00257FDD"/>
    <w:rsid w:val="002601CC"/>
    <w:rsid w:val="002603D3"/>
    <w:rsid w:val="0026087A"/>
    <w:rsid w:val="002608D8"/>
    <w:rsid w:val="00260FDD"/>
    <w:rsid w:val="00261030"/>
    <w:rsid w:val="00261369"/>
    <w:rsid w:val="00261A00"/>
    <w:rsid w:val="00261E5E"/>
    <w:rsid w:val="002622C6"/>
    <w:rsid w:val="00262552"/>
    <w:rsid w:val="00262624"/>
    <w:rsid w:val="00262658"/>
    <w:rsid w:val="002626D2"/>
    <w:rsid w:val="002627C5"/>
    <w:rsid w:val="0026281C"/>
    <w:rsid w:val="002628A3"/>
    <w:rsid w:val="0026290E"/>
    <w:rsid w:val="0026299C"/>
    <w:rsid w:val="002629C9"/>
    <w:rsid w:val="00262AE0"/>
    <w:rsid w:val="00262C88"/>
    <w:rsid w:val="00262CA6"/>
    <w:rsid w:val="00262D25"/>
    <w:rsid w:val="00262F5E"/>
    <w:rsid w:val="00263013"/>
    <w:rsid w:val="00263222"/>
    <w:rsid w:val="00263258"/>
    <w:rsid w:val="002633E5"/>
    <w:rsid w:val="00263571"/>
    <w:rsid w:val="00263904"/>
    <w:rsid w:val="00263B21"/>
    <w:rsid w:val="00263BDD"/>
    <w:rsid w:val="00263C33"/>
    <w:rsid w:val="00263C69"/>
    <w:rsid w:val="00263CDC"/>
    <w:rsid w:val="00263E31"/>
    <w:rsid w:val="00263E57"/>
    <w:rsid w:val="00263E73"/>
    <w:rsid w:val="00264031"/>
    <w:rsid w:val="0026451C"/>
    <w:rsid w:val="00264675"/>
    <w:rsid w:val="002647C7"/>
    <w:rsid w:val="002648D6"/>
    <w:rsid w:val="00264924"/>
    <w:rsid w:val="00264966"/>
    <w:rsid w:val="00264CD6"/>
    <w:rsid w:val="00264CE5"/>
    <w:rsid w:val="00264D4C"/>
    <w:rsid w:val="00264D98"/>
    <w:rsid w:val="00264DA7"/>
    <w:rsid w:val="0026504F"/>
    <w:rsid w:val="002655FE"/>
    <w:rsid w:val="002656B2"/>
    <w:rsid w:val="002656D7"/>
    <w:rsid w:val="002657BC"/>
    <w:rsid w:val="0026589E"/>
    <w:rsid w:val="00265A76"/>
    <w:rsid w:val="00265B3F"/>
    <w:rsid w:val="00265D06"/>
    <w:rsid w:val="0026603E"/>
    <w:rsid w:val="002661F3"/>
    <w:rsid w:val="00266233"/>
    <w:rsid w:val="0026628E"/>
    <w:rsid w:val="002663E9"/>
    <w:rsid w:val="002665CC"/>
    <w:rsid w:val="00266661"/>
    <w:rsid w:val="00266688"/>
    <w:rsid w:val="002668E5"/>
    <w:rsid w:val="00266945"/>
    <w:rsid w:val="00266C09"/>
    <w:rsid w:val="00266C67"/>
    <w:rsid w:val="00266F02"/>
    <w:rsid w:val="00266F2A"/>
    <w:rsid w:val="002673F0"/>
    <w:rsid w:val="0026745C"/>
    <w:rsid w:val="00267489"/>
    <w:rsid w:val="002674D7"/>
    <w:rsid w:val="00267650"/>
    <w:rsid w:val="002679CF"/>
    <w:rsid w:val="00267B94"/>
    <w:rsid w:val="00267D06"/>
    <w:rsid w:val="00267D8D"/>
    <w:rsid w:val="00270001"/>
    <w:rsid w:val="0027016B"/>
    <w:rsid w:val="00270242"/>
    <w:rsid w:val="00270381"/>
    <w:rsid w:val="002704E4"/>
    <w:rsid w:val="00270747"/>
    <w:rsid w:val="002708EF"/>
    <w:rsid w:val="00270AEB"/>
    <w:rsid w:val="00270D37"/>
    <w:rsid w:val="00270F90"/>
    <w:rsid w:val="0027112B"/>
    <w:rsid w:val="00271155"/>
    <w:rsid w:val="002712BB"/>
    <w:rsid w:val="002712E3"/>
    <w:rsid w:val="002718CF"/>
    <w:rsid w:val="002719F6"/>
    <w:rsid w:val="00271D42"/>
    <w:rsid w:val="00271E2F"/>
    <w:rsid w:val="00272064"/>
    <w:rsid w:val="00272113"/>
    <w:rsid w:val="00272303"/>
    <w:rsid w:val="0027233E"/>
    <w:rsid w:val="00272498"/>
    <w:rsid w:val="00272539"/>
    <w:rsid w:val="00272613"/>
    <w:rsid w:val="00272747"/>
    <w:rsid w:val="00272894"/>
    <w:rsid w:val="0027291C"/>
    <w:rsid w:val="002729A6"/>
    <w:rsid w:val="00272B23"/>
    <w:rsid w:val="00272DA1"/>
    <w:rsid w:val="00272F86"/>
    <w:rsid w:val="00272FB7"/>
    <w:rsid w:val="002732F5"/>
    <w:rsid w:val="0027353F"/>
    <w:rsid w:val="00273548"/>
    <w:rsid w:val="00273550"/>
    <w:rsid w:val="00273564"/>
    <w:rsid w:val="002735D9"/>
    <w:rsid w:val="00273637"/>
    <w:rsid w:val="00273672"/>
    <w:rsid w:val="0027387C"/>
    <w:rsid w:val="00273A0A"/>
    <w:rsid w:val="00273A97"/>
    <w:rsid w:val="00273B82"/>
    <w:rsid w:val="00273CA5"/>
    <w:rsid w:val="00273D95"/>
    <w:rsid w:val="00273E5D"/>
    <w:rsid w:val="00274044"/>
    <w:rsid w:val="0027409B"/>
    <w:rsid w:val="00274125"/>
    <w:rsid w:val="0027419C"/>
    <w:rsid w:val="00274268"/>
    <w:rsid w:val="00274286"/>
    <w:rsid w:val="0027448D"/>
    <w:rsid w:val="00274531"/>
    <w:rsid w:val="00274636"/>
    <w:rsid w:val="0027489C"/>
    <w:rsid w:val="00274B56"/>
    <w:rsid w:val="00274E1B"/>
    <w:rsid w:val="00274E20"/>
    <w:rsid w:val="0027516A"/>
    <w:rsid w:val="002751C0"/>
    <w:rsid w:val="00275359"/>
    <w:rsid w:val="002753A7"/>
    <w:rsid w:val="0027564A"/>
    <w:rsid w:val="002756F9"/>
    <w:rsid w:val="002758A0"/>
    <w:rsid w:val="00275912"/>
    <w:rsid w:val="00275A82"/>
    <w:rsid w:val="00275B2B"/>
    <w:rsid w:val="0027615C"/>
    <w:rsid w:val="0027628C"/>
    <w:rsid w:val="0027634C"/>
    <w:rsid w:val="0027641B"/>
    <w:rsid w:val="002766E6"/>
    <w:rsid w:val="002767A1"/>
    <w:rsid w:val="002767BB"/>
    <w:rsid w:val="0027685C"/>
    <w:rsid w:val="00276895"/>
    <w:rsid w:val="00276A7E"/>
    <w:rsid w:val="00276AF1"/>
    <w:rsid w:val="00276BD9"/>
    <w:rsid w:val="00276EF4"/>
    <w:rsid w:val="00276FD6"/>
    <w:rsid w:val="00276FE5"/>
    <w:rsid w:val="0027712C"/>
    <w:rsid w:val="002771B4"/>
    <w:rsid w:val="002772C0"/>
    <w:rsid w:val="002772CC"/>
    <w:rsid w:val="002774C9"/>
    <w:rsid w:val="00277575"/>
    <w:rsid w:val="002775F2"/>
    <w:rsid w:val="002777BF"/>
    <w:rsid w:val="00277A8B"/>
    <w:rsid w:val="00277C8D"/>
    <w:rsid w:val="00277CC7"/>
    <w:rsid w:val="00277D8B"/>
    <w:rsid w:val="00280233"/>
    <w:rsid w:val="00280235"/>
    <w:rsid w:val="002802DA"/>
    <w:rsid w:val="00280513"/>
    <w:rsid w:val="002805F1"/>
    <w:rsid w:val="00280706"/>
    <w:rsid w:val="00280788"/>
    <w:rsid w:val="00280835"/>
    <w:rsid w:val="00280AE6"/>
    <w:rsid w:val="00280BBA"/>
    <w:rsid w:val="00280C41"/>
    <w:rsid w:val="00280CF3"/>
    <w:rsid w:val="00280E21"/>
    <w:rsid w:val="0028105C"/>
    <w:rsid w:val="0028106A"/>
    <w:rsid w:val="002810A1"/>
    <w:rsid w:val="002811E1"/>
    <w:rsid w:val="002812AE"/>
    <w:rsid w:val="002814F1"/>
    <w:rsid w:val="00281532"/>
    <w:rsid w:val="0028176C"/>
    <w:rsid w:val="00281823"/>
    <w:rsid w:val="002818B6"/>
    <w:rsid w:val="002819E9"/>
    <w:rsid w:val="002819F3"/>
    <w:rsid w:val="00281B29"/>
    <w:rsid w:val="00281D8B"/>
    <w:rsid w:val="00281E9B"/>
    <w:rsid w:val="00282012"/>
    <w:rsid w:val="002821F5"/>
    <w:rsid w:val="0028222A"/>
    <w:rsid w:val="00282A91"/>
    <w:rsid w:val="00282EB2"/>
    <w:rsid w:val="00282FC7"/>
    <w:rsid w:val="00282FEF"/>
    <w:rsid w:val="00283886"/>
    <w:rsid w:val="002839FD"/>
    <w:rsid w:val="00283CF7"/>
    <w:rsid w:val="00283DD8"/>
    <w:rsid w:val="00283EB7"/>
    <w:rsid w:val="00283EC9"/>
    <w:rsid w:val="002840A5"/>
    <w:rsid w:val="0028410B"/>
    <w:rsid w:val="00284235"/>
    <w:rsid w:val="0028426A"/>
    <w:rsid w:val="002843A5"/>
    <w:rsid w:val="0028481C"/>
    <w:rsid w:val="00284BEE"/>
    <w:rsid w:val="0028533C"/>
    <w:rsid w:val="00285616"/>
    <w:rsid w:val="002856DB"/>
    <w:rsid w:val="00285C6F"/>
    <w:rsid w:val="00285D29"/>
    <w:rsid w:val="00285D41"/>
    <w:rsid w:val="00285FF6"/>
    <w:rsid w:val="002860E5"/>
    <w:rsid w:val="0028629C"/>
    <w:rsid w:val="00286357"/>
    <w:rsid w:val="00286415"/>
    <w:rsid w:val="00286453"/>
    <w:rsid w:val="0028699B"/>
    <w:rsid w:val="00286E17"/>
    <w:rsid w:val="00286E60"/>
    <w:rsid w:val="00286FA2"/>
    <w:rsid w:val="00287155"/>
    <w:rsid w:val="00287425"/>
    <w:rsid w:val="00287585"/>
    <w:rsid w:val="00287A57"/>
    <w:rsid w:val="00287B41"/>
    <w:rsid w:val="00287B8F"/>
    <w:rsid w:val="00287FAB"/>
    <w:rsid w:val="002901AB"/>
    <w:rsid w:val="00290201"/>
    <w:rsid w:val="00290248"/>
    <w:rsid w:val="0029032E"/>
    <w:rsid w:val="0029099B"/>
    <w:rsid w:val="00290B48"/>
    <w:rsid w:val="002910A6"/>
    <w:rsid w:val="002917F2"/>
    <w:rsid w:val="00291B59"/>
    <w:rsid w:val="00291BDB"/>
    <w:rsid w:val="00291E7D"/>
    <w:rsid w:val="00291F14"/>
    <w:rsid w:val="00292093"/>
    <w:rsid w:val="002926C0"/>
    <w:rsid w:val="00292716"/>
    <w:rsid w:val="002927C2"/>
    <w:rsid w:val="002928A3"/>
    <w:rsid w:val="00292B20"/>
    <w:rsid w:val="0029310D"/>
    <w:rsid w:val="0029341C"/>
    <w:rsid w:val="0029349C"/>
    <w:rsid w:val="00293577"/>
    <w:rsid w:val="002935CA"/>
    <w:rsid w:val="0029360A"/>
    <w:rsid w:val="00293615"/>
    <w:rsid w:val="00293F05"/>
    <w:rsid w:val="002940A8"/>
    <w:rsid w:val="00294484"/>
    <w:rsid w:val="002944B2"/>
    <w:rsid w:val="00294638"/>
    <w:rsid w:val="002946AF"/>
    <w:rsid w:val="00294958"/>
    <w:rsid w:val="00294A1F"/>
    <w:rsid w:val="00294A97"/>
    <w:rsid w:val="00294CE7"/>
    <w:rsid w:val="00294D7D"/>
    <w:rsid w:val="00294D7F"/>
    <w:rsid w:val="002950A9"/>
    <w:rsid w:val="00295380"/>
    <w:rsid w:val="002953E9"/>
    <w:rsid w:val="0029554B"/>
    <w:rsid w:val="002955E2"/>
    <w:rsid w:val="00295D3A"/>
    <w:rsid w:val="00295D54"/>
    <w:rsid w:val="00295EED"/>
    <w:rsid w:val="00296094"/>
    <w:rsid w:val="002963A9"/>
    <w:rsid w:val="00296510"/>
    <w:rsid w:val="00296690"/>
    <w:rsid w:val="00296B7D"/>
    <w:rsid w:val="00296BD9"/>
    <w:rsid w:val="00296D1A"/>
    <w:rsid w:val="00296E5D"/>
    <w:rsid w:val="00296EE1"/>
    <w:rsid w:val="002973B7"/>
    <w:rsid w:val="0029753B"/>
    <w:rsid w:val="002976F4"/>
    <w:rsid w:val="00297B09"/>
    <w:rsid w:val="00297C50"/>
    <w:rsid w:val="00297D3C"/>
    <w:rsid w:val="00297DEF"/>
    <w:rsid w:val="00297E76"/>
    <w:rsid w:val="00297EF3"/>
    <w:rsid w:val="00297EF9"/>
    <w:rsid w:val="002A0036"/>
    <w:rsid w:val="002A00BD"/>
    <w:rsid w:val="002A017F"/>
    <w:rsid w:val="002A03B0"/>
    <w:rsid w:val="002A0573"/>
    <w:rsid w:val="002A08B8"/>
    <w:rsid w:val="002A0B68"/>
    <w:rsid w:val="002A0D90"/>
    <w:rsid w:val="002A0FD6"/>
    <w:rsid w:val="002A1132"/>
    <w:rsid w:val="002A11B7"/>
    <w:rsid w:val="002A1356"/>
    <w:rsid w:val="002A16BF"/>
    <w:rsid w:val="002A17E9"/>
    <w:rsid w:val="002A1AB5"/>
    <w:rsid w:val="002A1ADA"/>
    <w:rsid w:val="002A1D4F"/>
    <w:rsid w:val="002A1F03"/>
    <w:rsid w:val="002A1F57"/>
    <w:rsid w:val="002A1FA1"/>
    <w:rsid w:val="002A2036"/>
    <w:rsid w:val="002A2187"/>
    <w:rsid w:val="002A23E3"/>
    <w:rsid w:val="002A2745"/>
    <w:rsid w:val="002A29DC"/>
    <w:rsid w:val="002A2A3D"/>
    <w:rsid w:val="002A2A97"/>
    <w:rsid w:val="002A2B10"/>
    <w:rsid w:val="002A2E0F"/>
    <w:rsid w:val="002A2EAC"/>
    <w:rsid w:val="002A2EF9"/>
    <w:rsid w:val="002A33DB"/>
    <w:rsid w:val="002A34D2"/>
    <w:rsid w:val="002A3792"/>
    <w:rsid w:val="002A3930"/>
    <w:rsid w:val="002A395C"/>
    <w:rsid w:val="002A3DD3"/>
    <w:rsid w:val="002A3E41"/>
    <w:rsid w:val="002A3FED"/>
    <w:rsid w:val="002A4110"/>
    <w:rsid w:val="002A454D"/>
    <w:rsid w:val="002A45B7"/>
    <w:rsid w:val="002A471D"/>
    <w:rsid w:val="002A4871"/>
    <w:rsid w:val="002A4982"/>
    <w:rsid w:val="002A4A53"/>
    <w:rsid w:val="002A4A65"/>
    <w:rsid w:val="002A4A89"/>
    <w:rsid w:val="002A4C7D"/>
    <w:rsid w:val="002A5230"/>
    <w:rsid w:val="002A53EA"/>
    <w:rsid w:val="002A59A1"/>
    <w:rsid w:val="002A5A96"/>
    <w:rsid w:val="002A5E78"/>
    <w:rsid w:val="002A5F74"/>
    <w:rsid w:val="002A5FA3"/>
    <w:rsid w:val="002A6009"/>
    <w:rsid w:val="002A62F1"/>
    <w:rsid w:val="002A6753"/>
    <w:rsid w:val="002A6A0E"/>
    <w:rsid w:val="002A6CB9"/>
    <w:rsid w:val="002A6DAF"/>
    <w:rsid w:val="002A6E5A"/>
    <w:rsid w:val="002A6F47"/>
    <w:rsid w:val="002A6FF0"/>
    <w:rsid w:val="002A718F"/>
    <w:rsid w:val="002A75E2"/>
    <w:rsid w:val="002A79DD"/>
    <w:rsid w:val="002A7B4B"/>
    <w:rsid w:val="002A7BDA"/>
    <w:rsid w:val="002A7D30"/>
    <w:rsid w:val="002B016E"/>
    <w:rsid w:val="002B024A"/>
    <w:rsid w:val="002B0273"/>
    <w:rsid w:val="002B051E"/>
    <w:rsid w:val="002B0919"/>
    <w:rsid w:val="002B0AC4"/>
    <w:rsid w:val="002B0AC8"/>
    <w:rsid w:val="002B0B16"/>
    <w:rsid w:val="002B0B87"/>
    <w:rsid w:val="002B0BE2"/>
    <w:rsid w:val="002B0BE8"/>
    <w:rsid w:val="002B0D19"/>
    <w:rsid w:val="002B0D9D"/>
    <w:rsid w:val="002B0EC8"/>
    <w:rsid w:val="002B1407"/>
    <w:rsid w:val="002B167C"/>
    <w:rsid w:val="002B188C"/>
    <w:rsid w:val="002B19D7"/>
    <w:rsid w:val="002B1AE7"/>
    <w:rsid w:val="002B1B41"/>
    <w:rsid w:val="002B1B70"/>
    <w:rsid w:val="002B1DC0"/>
    <w:rsid w:val="002B1E22"/>
    <w:rsid w:val="002B1E51"/>
    <w:rsid w:val="002B1E8D"/>
    <w:rsid w:val="002B1F63"/>
    <w:rsid w:val="002B1F76"/>
    <w:rsid w:val="002B2061"/>
    <w:rsid w:val="002B21BC"/>
    <w:rsid w:val="002B21DB"/>
    <w:rsid w:val="002B2434"/>
    <w:rsid w:val="002B2EA1"/>
    <w:rsid w:val="002B2F53"/>
    <w:rsid w:val="002B2F98"/>
    <w:rsid w:val="002B2F9A"/>
    <w:rsid w:val="002B3063"/>
    <w:rsid w:val="002B30B9"/>
    <w:rsid w:val="002B36D9"/>
    <w:rsid w:val="002B3A89"/>
    <w:rsid w:val="002B3B7D"/>
    <w:rsid w:val="002B3C8E"/>
    <w:rsid w:val="002B3D53"/>
    <w:rsid w:val="002B3F8B"/>
    <w:rsid w:val="002B4036"/>
    <w:rsid w:val="002B40A9"/>
    <w:rsid w:val="002B41A8"/>
    <w:rsid w:val="002B44DE"/>
    <w:rsid w:val="002B461D"/>
    <w:rsid w:val="002B48C4"/>
    <w:rsid w:val="002B48D6"/>
    <w:rsid w:val="002B4924"/>
    <w:rsid w:val="002B4B4A"/>
    <w:rsid w:val="002B4BF0"/>
    <w:rsid w:val="002B4C37"/>
    <w:rsid w:val="002B4F68"/>
    <w:rsid w:val="002B5064"/>
    <w:rsid w:val="002B5103"/>
    <w:rsid w:val="002B53BA"/>
    <w:rsid w:val="002B543A"/>
    <w:rsid w:val="002B549B"/>
    <w:rsid w:val="002B557D"/>
    <w:rsid w:val="002B58D7"/>
    <w:rsid w:val="002B5B61"/>
    <w:rsid w:val="002B5D0C"/>
    <w:rsid w:val="002B5D76"/>
    <w:rsid w:val="002B5DB6"/>
    <w:rsid w:val="002B5EF9"/>
    <w:rsid w:val="002B60F6"/>
    <w:rsid w:val="002B6211"/>
    <w:rsid w:val="002B623E"/>
    <w:rsid w:val="002B62B0"/>
    <w:rsid w:val="002B6328"/>
    <w:rsid w:val="002B64EA"/>
    <w:rsid w:val="002B655E"/>
    <w:rsid w:val="002B6587"/>
    <w:rsid w:val="002B66A1"/>
    <w:rsid w:val="002B6967"/>
    <w:rsid w:val="002B696A"/>
    <w:rsid w:val="002B6BA9"/>
    <w:rsid w:val="002B6DBD"/>
    <w:rsid w:val="002B6E48"/>
    <w:rsid w:val="002B6EE2"/>
    <w:rsid w:val="002B6F82"/>
    <w:rsid w:val="002B700C"/>
    <w:rsid w:val="002B702F"/>
    <w:rsid w:val="002B7187"/>
    <w:rsid w:val="002B73B7"/>
    <w:rsid w:val="002B76BA"/>
    <w:rsid w:val="002B7814"/>
    <w:rsid w:val="002B79FD"/>
    <w:rsid w:val="002B7C28"/>
    <w:rsid w:val="002B7E6C"/>
    <w:rsid w:val="002B7F44"/>
    <w:rsid w:val="002C012D"/>
    <w:rsid w:val="002C024C"/>
    <w:rsid w:val="002C02B7"/>
    <w:rsid w:val="002C0411"/>
    <w:rsid w:val="002C0628"/>
    <w:rsid w:val="002C0A86"/>
    <w:rsid w:val="002C0B4F"/>
    <w:rsid w:val="002C0C43"/>
    <w:rsid w:val="002C0C57"/>
    <w:rsid w:val="002C0D8D"/>
    <w:rsid w:val="002C0EAF"/>
    <w:rsid w:val="002C0FA6"/>
    <w:rsid w:val="002C1054"/>
    <w:rsid w:val="002C1064"/>
    <w:rsid w:val="002C1270"/>
    <w:rsid w:val="002C13DC"/>
    <w:rsid w:val="002C1795"/>
    <w:rsid w:val="002C17CE"/>
    <w:rsid w:val="002C1900"/>
    <w:rsid w:val="002C1D82"/>
    <w:rsid w:val="002C1E35"/>
    <w:rsid w:val="002C2172"/>
    <w:rsid w:val="002C2192"/>
    <w:rsid w:val="002C2259"/>
    <w:rsid w:val="002C22FC"/>
    <w:rsid w:val="002C2588"/>
    <w:rsid w:val="002C2681"/>
    <w:rsid w:val="002C270A"/>
    <w:rsid w:val="002C2A40"/>
    <w:rsid w:val="002C2DCF"/>
    <w:rsid w:val="002C2F25"/>
    <w:rsid w:val="002C3259"/>
    <w:rsid w:val="002C351A"/>
    <w:rsid w:val="002C3553"/>
    <w:rsid w:val="002C3665"/>
    <w:rsid w:val="002C3709"/>
    <w:rsid w:val="002C3A3B"/>
    <w:rsid w:val="002C3F11"/>
    <w:rsid w:val="002C4091"/>
    <w:rsid w:val="002C447B"/>
    <w:rsid w:val="002C4742"/>
    <w:rsid w:val="002C4AAD"/>
    <w:rsid w:val="002C4AD4"/>
    <w:rsid w:val="002C4B30"/>
    <w:rsid w:val="002C4BB0"/>
    <w:rsid w:val="002C4E61"/>
    <w:rsid w:val="002C51E0"/>
    <w:rsid w:val="002C5B58"/>
    <w:rsid w:val="002C5C5E"/>
    <w:rsid w:val="002C5C9B"/>
    <w:rsid w:val="002C5CBE"/>
    <w:rsid w:val="002C5E72"/>
    <w:rsid w:val="002C5E91"/>
    <w:rsid w:val="002C5FC9"/>
    <w:rsid w:val="002C6147"/>
    <w:rsid w:val="002C61E7"/>
    <w:rsid w:val="002C62FC"/>
    <w:rsid w:val="002C6831"/>
    <w:rsid w:val="002C6845"/>
    <w:rsid w:val="002C6A68"/>
    <w:rsid w:val="002C6F32"/>
    <w:rsid w:val="002C709B"/>
    <w:rsid w:val="002C710B"/>
    <w:rsid w:val="002C718A"/>
    <w:rsid w:val="002C719D"/>
    <w:rsid w:val="002C71C1"/>
    <w:rsid w:val="002C7435"/>
    <w:rsid w:val="002C744E"/>
    <w:rsid w:val="002C7510"/>
    <w:rsid w:val="002C7742"/>
    <w:rsid w:val="002C7762"/>
    <w:rsid w:val="002C7776"/>
    <w:rsid w:val="002C781D"/>
    <w:rsid w:val="002C782E"/>
    <w:rsid w:val="002C78A4"/>
    <w:rsid w:val="002C78BA"/>
    <w:rsid w:val="002C7ADE"/>
    <w:rsid w:val="002C7D34"/>
    <w:rsid w:val="002D0039"/>
    <w:rsid w:val="002D01C9"/>
    <w:rsid w:val="002D02C2"/>
    <w:rsid w:val="002D0365"/>
    <w:rsid w:val="002D04DE"/>
    <w:rsid w:val="002D05F5"/>
    <w:rsid w:val="002D089C"/>
    <w:rsid w:val="002D0A53"/>
    <w:rsid w:val="002D0B02"/>
    <w:rsid w:val="002D0BED"/>
    <w:rsid w:val="002D0D38"/>
    <w:rsid w:val="002D0E0F"/>
    <w:rsid w:val="002D0E7E"/>
    <w:rsid w:val="002D1115"/>
    <w:rsid w:val="002D1260"/>
    <w:rsid w:val="002D15B5"/>
    <w:rsid w:val="002D165A"/>
    <w:rsid w:val="002D16CA"/>
    <w:rsid w:val="002D173E"/>
    <w:rsid w:val="002D17F0"/>
    <w:rsid w:val="002D18B9"/>
    <w:rsid w:val="002D19C7"/>
    <w:rsid w:val="002D1E8D"/>
    <w:rsid w:val="002D1FD9"/>
    <w:rsid w:val="002D216F"/>
    <w:rsid w:val="002D2610"/>
    <w:rsid w:val="002D2714"/>
    <w:rsid w:val="002D2990"/>
    <w:rsid w:val="002D2D1C"/>
    <w:rsid w:val="002D2D98"/>
    <w:rsid w:val="002D3062"/>
    <w:rsid w:val="002D306B"/>
    <w:rsid w:val="002D3198"/>
    <w:rsid w:val="002D3384"/>
    <w:rsid w:val="002D33EC"/>
    <w:rsid w:val="002D344C"/>
    <w:rsid w:val="002D357B"/>
    <w:rsid w:val="002D37F0"/>
    <w:rsid w:val="002D38BF"/>
    <w:rsid w:val="002D395B"/>
    <w:rsid w:val="002D3C6F"/>
    <w:rsid w:val="002D3CC7"/>
    <w:rsid w:val="002D3CFF"/>
    <w:rsid w:val="002D4071"/>
    <w:rsid w:val="002D41C3"/>
    <w:rsid w:val="002D497D"/>
    <w:rsid w:val="002D4A3E"/>
    <w:rsid w:val="002D4A5A"/>
    <w:rsid w:val="002D4B71"/>
    <w:rsid w:val="002D4B82"/>
    <w:rsid w:val="002D4BCE"/>
    <w:rsid w:val="002D4DCE"/>
    <w:rsid w:val="002D4F9C"/>
    <w:rsid w:val="002D5047"/>
    <w:rsid w:val="002D50B3"/>
    <w:rsid w:val="002D53A4"/>
    <w:rsid w:val="002D5A81"/>
    <w:rsid w:val="002D5B17"/>
    <w:rsid w:val="002D5B84"/>
    <w:rsid w:val="002D5C86"/>
    <w:rsid w:val="002D5D12"/>
    <w:rsid w:val="002D5DBB"/>
    <w:rsid w:val="002D6314"/>
    <w:rsid w:val="002D63A5"/>
    <w:rsid w:val="002D63F8"/>
    <w:rsid w:val="002D679C"/>
    <w:rsid w:val="002D6823"/>
    <w:rsid w:val="002D6928"/>
    <w:rsid w:val="002D6ADE"/>
    <w:rsid w:val="002D6D42"/>
    <w:rsid w:val="002D6E27"/>
    <w:rsid w:val="002D6E67"/>
    <w:rsid w:val="002D6F21"/>
    <w:rsid w:val="002D70CF"/>
    <w:rsid w:val="002D711C"/>
    <w:rsid w:val="002D713E"/>
    <w:rsid w:val="002D735E"/>
    <w:rsid w:val="002D7544"/>
    <w:rsid w:val="002D7A38"/>
    <w:rsid w:val="002D7C70"/>
    <w:rsid w:val="002D7DBA"/>
    <w:rsid w:val="002D7E9D"/>
    <w:rsid w:val="002E0033"/>
    <w:rsid w:val="002E0140"/>
    <w:rsid w:val="002E02FA"/>
    <w:rsid w:val="002E037F"/>
    <w:rsid w:val="002E0698"/>
    <w:rsid w:val="002E0942"/>
    <w:rsid w:val="002E0971"/>
    <w:rsid w:val="002E0AB2"/>
    <w:rsid w:val="002E0C63"/>
    <w:rsid w:val="002E0D19"/>
    <w:rsid w:val="002E0F76"/>
    <w:rsid w:val="002E1033"/>
    <w:rsid w:val="002E1050"/>
    <w:rsid w:val="002E124D"/>
    <w:rsid w:val="002E12A5"/>
    <w:rsid w:val="002E139C"/>
    <w:rsid w:val="002E1438"/>
    <w:rsid w:val="002E1785"/>
    <w:rsid w:val="002E1A9E"/>
    <w:rsid w:val="002E1ACB"/>
    <w:rsid w:val="002E1D2B"/>
    <w:rsid w:val="002E1EEE"/>
    <w:rsid w:val="002E1F3A"/>
    <w:rsid w:val="002E209A"/>
    <w:rsid w:val="002E22B0"/>
    <w:rsid w:val="002E22BC"/>
    <w:rsid w:val="002E23A2"/>
    <w:rsid w:val="002E240A"/>
    <w:rsid w:val="002E26DE"/>
    <w:rsid w:val="002E26DF"/>
    <w:rsid w:val="002E271A"/>
    <w:rsid w:val="002E2B69"/>
    <w:rsid w:val="002E2BE1"/>
    <w:rsid w:val="002E2C2E"/>
    <w:rsid w:val="002E2C8B"/>
    <w:rsid w:val="002E2DB9"/>
    <w:rsid w:val="002E2E1A"/>
    <w:rsid w:val="002E2EC2"/>
    <w:rsid w:val="002E2F39"/>
    <w:rsid w:val="002E2F7E"/>
    <w:rsid w:val="002E3110"/>
    <w:rsid w:val="002E3117"/>
    <w:rsid w:val="002E3121"/>
    <w:rsid w:val="002E31A0"/>
    <w:rsid w:val="002E32B7"/>
    <w:rsid w:val="002E3309"/>
    <w:rsid w:val="002E3384"/>
    <w:rsid w:val="002E3676"/>
    <w:rsid w:val="002E36D0"/>
    <w:rsid w:val="002E36F9"/>
    <w:rsid w:val="002E37B1"/>
    <w:rsid w:val="002E37C7"/>
    <w:rsid w:val="002E3AAF"/>
    <w:rsid w:val="002E3B31"/>
    <w:rsid w:val="002E3D33"/>
    <w:rsid w:val="002E3DA0"/>
    <w:rsid w:val="002E4256"/>
    <w:rsid w:val="002E42CF"/>
    <w:rsid w:val="002E4308"/>
    <w:rsid w:val="002E455B"/>
    <w:rsid w:val="002E4734"/>
    <w:rsid w:val="002E49D8"/>
    <w:rsid w:val="002E49E3"/>
    <w:rsid w:val="002E4A49"/>
    <w:rsid w:val="002E4AEE"/>
    <w:rsid w:val="002E4B86"/>
    <w:rsid w:val="002E4E94"/>
    <w:rsid w:val="002E4FAF"/>
    <w:rsid w:val="002E504D"/>
    <w:rsid w:val="002E56E9"/>
    <w:rsid w:val="002E576B"/>
    <w:rsid w:val="002E57B8"/>
    <w:rsid w:val="002E592F"/>
    <w:rsid w:val="002E5CA0"/>
    <w:rsid w:val="002E5DA5"/>
    <w:rsid w:val="002E5E63"/>
    <w:rsid w:val="002E5F22"/>
    <w:rsid w:val="002E60F5"/>
    <w:rsid w:val="002E6121"/>
    <w:rsid w:val="002E614A"/>
    <w:rsid w:val="002E614E"/>
    <w:rsid w:val="002E620F"/>
    <w:rsid w:val="002E6361"/>
    <w:rsid w:val="002E639B"/>
    <w:rsid w:val="002E66A3"/>
    <w:rsid w:val="002E67DC"/>
    <w:rsid w:val="002E6D1F"/>
    <w:rsid w:val="002E6DB7"/>
    <w:rsid w:val="002E6DC2"/>
    <w:rsid w:val="002E6E7E"/>
    <w:rsid w:val="002E73A2"/>
    <w:rsid w:val="002E73F7"/>
    <w:rsid w:val="002E766F"/>
    <w:rsid w:val="002E77E5"/>
    <w:rsid w:val="002E7815"/>
    <w:rsid w:val="002E7838"/>
    <w:rsid w:val="002E7A28"/>
    <w:rsid w:val="002E7B64"/>
    <w:rsid w:val="002E7B7E"/>
    <w:rsid w:val="002E7F5F"/>
    <w:rsid w:val="002E7F78"/>
    <w:rsid w:val="002E7F7C"/>
    <w:rsid w:val="002F0474"/>
    <w:rsid w:val="002F056E"/>
    <w:rsid w:val="002F06BF"/>
    <w:rsid w:val="002F086E"/>
    <w:rsid w:val="002F0F86"/>
    <w:rsid w:val="002F1011"/>
    <w:rsid w:val="002F104E"/>
    <w:rsid w:val="002F1416"/>
    <w:rsid w:val="002F1744"/>
    <w:rsid w:val="002F1A78"/>
    <w:rsid w:val="002F1B0E"/>
    <w:rsid w:val="002F1B59"/>
    <w:rsid w:val="002F1C02"/>
    <w:rsid w:val="002F1C59"/>
    <w:rsid w:val="002F1CAE"/>
    <w:rsid w:val="002F21C8"/>
    <w:rsid w:val="002F2214"/>
    <w:rsid w:val="002F2327"/>
    <w:rsid w:val="002F26B6"/>
    <w:rsid w:val="002F2826"/>
    <w:rsid w:val="002F2835"/>
    <w:rsid w:val="002F298E"/>
    <w:rsid w:val="002F2A66"/>
    <w:rsid w:val="002F2C2E"/>
    <w:rsid w:val="002F2EB3"/>
    <w:rsid w:val="002F3009"/>
    <w:rsid w:val="002F3260"/>
    <w:rsid w:val="002F3785"/>
    <w:rsid w:val="002F3F8F"/>
    <w:rsid w:val="002F40A0"/>
    <w:rsid w:val="002F40EC"/>
    <w:rsid w:val="002F4237"/>
    <w:rsid w:val="002F42EF"/>
    <w:rsid w:val="002F43EC"/>
    <w:rsid w:val="002F442B"/>
    <w:rsid w:val="002F4818"/>
    <w:rsid w:val="002F499E"/>
    <w:rsid w:val="002F4A4A"/>
    <w:rsid w:val="002F4CD8"/>
    <w:rsid w:val="002F4EA5"/>
    <w:rsid w:val="002F4F4A"/>
    <w:rsid w:val="002F4F7C"/>
    <w:rsid w:val="002F4FED"/>
    <w:rsid w:val="002F50BA"/>
    <w:rsid w:val="002F511E"/>
    <w:rsid w:val="002F5133"/>
    <w:rsid w:val="002F525A"/>
    <w:rsid w:val="002F530E"/>
    <w:rsid w:val="002F5494"/>
    <w:rsid w:val="002F5582"/>
    <w:rsid w:val="002F563D"/>
    <w:rsid w:val="002F5958"/>
    <w:rsid w:val="002F5A08"/>
    <w:rsid w:val="002F5B72"/>
    <w:rsid w:val="002F5BEF"/>
    <w:rsid w:val="002F5D5F"/>
    <w:rsid w:val="002F5DB8"/>
    <w:rsid w:val="002F5E39"/>
    <w:rsid w:val="002F5EDF"/>
    <w:rsid w:val="002F62EB"/>
    <w:rsid w:val="002F63B0"/>
    <w:rsid w:val="002F6411"/>
    <w:rsid w:val="002F6535"/>
    <w:rsid w:val="002F66DC"/>
    <w:rsid w:val="002F6910"/>
    <w:rsid w:val="002F6A74"/>
    <w:rsid w:val="002F6B69"/>
    <w:rsid w:val="002F6B9E"/>
    <w:rsid w:val="002F6CA7"/>
    <w:rsid w:val="002F6CC9"/>
    <w:rsid w:val="002F6D52"/>
    <w:rsid w:val="002F6DFE"/>
    <w:rsid w:val="002F6F54"/>
    <w:rsid w:val="002F70DD"/>
    <w:rsid w:val="002F713C"/>
    <w:rsid w:val="002F7199"/>
    <w:rsid w:val="002F7494"/>
    <w:rsid w:val="002F776C"/>
    <w:rsid w:val="002F7792"/>
    <w:rsid w:val="002F77EE"/>
    <w:rsid w:val="002F78AC"/>
    <w:rsid w:val="002F7961"/>
    <w:rsid w:val="002F7A28"/>
    <w:rsid w:val="002F7A45"/>
    <w:rsid w:val="002F7A64"/>
    <w:rsid w:val="002F7BF6"/>
    <w:rsid w:val="002F7E0F"/>
    <w:rsid w:val="002F7E5B"/>
    <w:rsid w:val="00300148"/>
    <w:rsid w:val="00300173"/>
    <w:rsid w:val="00300424"/>
    <w:rsid w:val="00300464"/>
    <w:rsid w:val="00300488"/>
    <w:rsid w:val="00300870"/>
    <w:rsid w:val="003008D7"/>
    <w:rsid w:val="003009E5"/>
    <w:rsid w:val="00300A58"/>
    <w:rsid w:val="00300BD6"/>
    <w:rsid w:val="00300C1A"/>
    <w:rsid w:val="00300C2A"/>
    <w:rsid w:val="00300E0E"/>
    <w:rsid w:val="00300E75"/>
    <w:rsid w:val="0030126C"/>
    <w:rsid w:val="0030130E"/>
    <w:rsid w:val="0030138A"/>
    <w:rsid w:val="0030139E"/>
    <w:rsid w:val="0030167B"/>
    <w:rsid w:val="003018A7"/>
    <w:rsid w:val="00301914"/>
    <w:rsid w:val="00301A28"/>
    <w:rsid w:val="00301B75"/>
    <w:rsid w:val="00301E28"/>
    <w:rsid w:val="00301EAB"/>
    <w:rsid w:val="00301FDB"/>
    <w:rsid w:val="003021DC"/>
    <w:rsid w:val="0030230D"/>
    <w:rsid w:val="003026E5"/>
    <w:rsid w:val="0030271F"/>
    <w:rsid w:val="003027AF"/>
    <w:rsid w:val="0030289A"/>
    <w:rsid w:val="00302AB8"/>
    <w:rsid w:val="00302AE6"/>
    <w:rsid w:val="00302C32"/>
    <w:rsid w:val="00302C37"/>
    <w:rsid w:val="00302D16"/>
    <w:rsid w:val="00302D88"/>
    <w:rsid w:val="00302E91"/>
    <w:rsid w:val="00302E97"/>
    <w:rsid w:val="00302FB1"/>
    <w:rsid w:val="00303163"/>
    <w:rsid w:val="00303207"/>
    <w:rsid w:val="00303210"/>
    <w:rsid w:val="00303A38"/>
    <w:rsid w:val="00303C41"/>
    <w:rsid w:val="00303DF2"/>
    <w:rsid w:val="00303EF8"/>
    <w:rsid w:val="003041FA"/>
    <w:rsid w:val="0030420B"/>
    <w:rsid w:val="0030434D"/>
    <w:rsid w:val="003045D6"/>
    <w:rsid w:val="003046CA"/>
    <w:rsid w:val="003049C7"/>
    <w:rsid w:val="00304ABA"/>
    <w:rsid w:val="00304C95"/>
    <w:rsid w:val="00305433"/>
    <w:rsid w:val="00305AD5"/>
    <w:rsid w:val="00305F5D"/>
    <w:rsid w:val="00305F7D"/>
    <w:rsid w:val="003060FA"/>
    <w:rsid w:val="00306198"/>
    <w:rsid w:val="0030661C"/>
    <w:rsid w:val="003066A6"/>
    <w:rsid w:val="003066C1"/>
    <w:rsid w:val="00306791"/>
    <w:rsid w:val="00306AAF"/>
    <w:rsid w:val="00306D5B"/>
    <w:rsid w:val="00306D74"/>
    <w:rsid w:val="00306E01"/>
    <w:rsid w:val="00306E93"/>
    <w:rsid w:val="003071BB"/>
    <w:rsid w:val="003071F7"/>
    <w:rsid w:val="00307276"/>
    <w:rsid w:val="003072C3"/>
    <w:rsid w:val="0030734F"/>
    <w:rsid w:val="00307507"/>
    <w:rsid w:val="00307724"/>
    <w:rsid w:val="003077AC"/>
    <w:rsid w:val="00307BAF"/>
    <w:rsid w:val="00307D68"/>
    <w:rsid w:val="00307DB3"/>
    <w:rsid w:val="00307E3B"/>
    <w:rsid w:val="00307F37"/>
    <w:rsid w:val="003105B1"/>
    <w:rsid w:val="0031061B"/>
    <w:rsid w:val="0031062E"/>
    <w:rsid w:val="003106EA"/>
    <w:rsid w:val="003108D5"/>
    <w:rsid w:val="003108F6"/>
    <w:rsid w:val="00310CF6"/>
    <w:rsid w:val="00310D7C"/>
    <w:rsid w:val="00310E77"/>
    <w:rsid w:val="00310EF5"/>
    <w:rsid w:val="00310FB2"/>
    <w:rsid w:val="00311226"/>
    <w:rsid w:val="00311252"/>
    <w:rsid w:val="003113F1"/>
    <w:rsid w:val="00311574"/>
    <w:rsid w:val="00311B71"/>
    <w:rsid w:val="00311E3C"/>
    <w:rsid w:val="00311F07"/>
    <w:rsid w:val="00311F5B"/>
    <w:rsid w:val="00311F90"/>
    <w:rsid w:val="00311FED"/>
    <w:rsid w:val="003120B2"/>
    <w:rsid w:val="00312204"/>
    <w:rsid w:val="00312212"/>
    <w:rsid w:val="003123CF"/>
    <w:rsid w:val="003124F4"/>
    <w:rsid w:val="0031291D"/>
    <w:rsid w:val="00312E37"/>
    <w:rsid w:val="00312EF6"/>
    <w:rsid w:val="00313187"/>
    <w:rsid w:val="003134C0"/>
    <w:rsid w:val="0031356F"/>
    <w:rsid w:val="003135DE"/>
    <w:rsid w:val="003135E0"/>
    <w:rsid w:val="0031377A"/>
    <w:rsid w:val="003138DE"/>
    <w:rsid w:val="00313CED"/>
    <w:rsid w:val="00314075"/>
    <w:rsid w:val="00314357"/>
    <w:rsid w:val="00314401"/>
    <w:rsid w:val="0031454D"/>
    <w:rsid w:val="00314A4D"/>
    <w:rsid w:val="00314A58"/>
    <w:rsid w:val="00314A61"/>
    <w:rsid w:val="00314B34"/>
    <w:rsid w:val="00314B63"/>
    <w:rsid w:val="00314E14"/>
    <w:rsid w:val="00314E35"/>
    <w:rsid w:val="00314E3E"/>
    <w:rsid w:val="00314F98"/>
    <w:rsid w:val="00314FE1"/>
    <w:rsid w:val="0031553A"/>
    <w:rsid w:val="00315634"/>
    <w:rsid w:val="00315656"/>
    <w:rsid w:val="00315663"/>
    <w:rsid w:val="0031568F"/>
    <w:rsid w:val="003157D6"/>
    <w:rsid w:val="00315C91"/>
    <w:rsid w:val="00315D04"/>
    <w:rsid w:val="00316389"/>
    <w:rsid w:val="003163B5"/>
    <w:rsid w:val="0031653D"/>
    <w:rsid w:val="0031676A"/>
    <w:rsid w:val="00316790"/>
    <w:rsid w:val="00316D09"/>
    <w:rsid w:val="00317080"/>
    <w:rsid w:val="00317490"/>
    <w:rsid w:val="003175B3"/>
    <w:rsid w:val="003175CD"/>
    <w:rsid w:val="0031760A"/>
    <w:rsid w:val="0031793C"/>
    <w:rsid w:val="00317E55"/>
    <w:rsid w:val="0032018B"/>
    <w:rsid w:val="00320250"/>
    <w:rsid w:val="00320335"/>
    <w:rsid w:val="00320549"/>
    <w:rsid w:val="00320618"/>
    <w:rsid w:val="0032069B"/>
    <w:rsid w:val="00320815"/>
    <w:rsid w:val="0032087C"/>
    <w:rsid w:val="003208D9"/>
    <w:rsid w:val="00320ADD"/>
    <w:rsid w:val="00320C5F"/>
    <w:rsid w:val="00320D24"/>
    <w:rsid w:val="00320DB4"/>
    <w:rsid w:val="00320ECD"/>
    <w:rsid w:val="0032118D"/>
    <w:rsid w:val="003212F4"/>
    <w:rsid w:val="003213D9"/>
    <w:rsid w:val="00321936"/>
    <w:rsid w:val="003219EA"/>
    <w:rsid w:val="00321AAA"/>
    <w:rsid w:val="00322421"/>
    <w:rsid w:val="00322497"/>
    <w:rsid w:val="003225C6"/>
    <w:rsid w:val="00322685"/>
    <w:rsid w:val="00322758"/>
    <w:rsid w:val="00322874"/>
    <w:rsid w:val="00322A11"/>
    <w:rsid w:val="00322B2D"/>
    <w:rsid w:val="00322BB5"/>
    <w:rsid w:val="00322D6D"/>
    <w:rsid w:val="00322FD1"/>
    <w:rsid w:val="0032310E"/>
    <w:rsid w:val="003233B8"/>
    <w:rsid w:val="0032346B"/>
    <w:rsid w:val="003236AE"/>
    <w:rsid w:val="003238DE"/>
    <w:rsid w:val="003238E7"/>
    <w:rsid w:val="00323A78"/>
    <w:rsid w:val="00323CE5"/>
    <w:rsid w:val="00323E4B"/>
    <w:rsid w:val="00324085"/>
    <w:rsid w:val="00324088"/>
    <w:rsid w:val="00324127"/>
    <w:rsid w:val="00324132"/>
    <w:rsid w:val="00324644"/>
    <w:rsid w:val="003246E6"/>
    <w:rsid w:val="003248B0"/>
    <w:rsid w:val="003249AA"/>
    <w:rsid w:val="00324BFB"/>
    <w:rsid w:val="00324E9C"/>
    <w:rsid w:val="0032509C"/>
    <w:rsid w:val="00325395"/>
    <w:rsid w:val="0032540B"/>
    <w:rsid w:val="003255AC"/>
    <w:rsid w:val="003256DC"/>
    <w:rsid w:val="003258A9"/>
    <w:rsid w:val="003259A0"/>
    <w:rsid w:val="00325B23"/>
    <w:rsid w:val="00325EFE"/>
    <w:rsid w:val="00325F07"/>
    <w:rsid w:val="00325F4C"/>
    <w:rsid w:val="003260BA"/>
    <w:rsid w:val="0032629D"/>
    <w:rsid w:val="0032631B"/>
    <w:rsid w:val="003265AA"/>
    <w:rsid w:val="003265B8"/>
    <w:rsid w:val="003267B7"/>
    <w:rsid w:val="00326994"/>
    <w:rsid w:val="00326AFE"/>
    <w:rsid w:val="00326FA8"/>
    <w:rsid w:val="003276C3"/>
    <w:rsid w:val="003276FB"/>
    <w:rsid w:val="00327773"/>
    <w:rsid w:val="0032780D"/>
    <w:rsid w:val="003278DF"/>
    <w:rsid w:val="0032791B"/>
    <w:rsid w:val="003279AA"/>
    <w:rsid w:val="00327A95"/>
    <w:rsid w:val="00327C60"/>
    <w:rsid w:val="00327D28"/>
    <w:rsid w:val="00327D97"/>
    <w:rsid w:val="00327E55"/>
    <w:rsid w:val="00330343"/>
    <w:rsid w:val="0033056F"/>
    <w:rsid w:val="00330652"/>
    <w:rsid w:val="003306E6"/>
    <w:rsid w:val="0033075A"/>
    <w:rsid w:val="0033075E"/>
    <w:rsid w:val="00330904"/>
    <w:rsid w:val="00330D16"/>
    <w:rsid w:val="00330FD4"/>
    <w:rsid w:val="00330FFA"/>
    <w:rsid w:val="003312E5"/>
    <w:rsid w:val="0033131D"/>
    <w:rsid w:val="0033144B"/>
    <w:rsid w:val="0033168C"/>
    <w:rsid w:val="00331CAE"/>
    <w:rsid w:val="00331D3E"/>
    <w:rsid w:val="00331DA9"/>
    <w:rsid w:val="00332151"/>
    <w:rsid w:val="00332272"/>
    <w:rsid w:val="00332279"/>
    <w:rsid w:val="0033232B"/>
    <w:rsid w:val="00332438"/>
    <w:rsid w:val="00332508"/>
    <w:rsid w:val="0033255A"/>
    <w:rsid w:val="003326DA"/>
    <w:rsid w:val="003326ED"/>
    <w:rsid w:val="00332797"/>
    <w:rsid w:val="00332964"/>
    <w:rsid w:val="00332B5D"/>
    <w:rsid w:val="00332D38"/>
    <w:rsid w:val="00332D58"/>
    <w:rsid w:val="00332D9C"/>
    <w:rsid w:val="00332E3D"/>
    <w:rsid w:val="00333072"/>
    <w:rsid w:val="0033319B"/>
    <w:rsid w:val="003331D2"/>
    <w:rsid w:val="003332AF"/>
    <w:rsid w:val="0033336E"/>
    <w:rsid w:val="003333D0"/>
    <w:rsid w:val="00333496"/>
    <w:rsid w:val="00333890"/>
    <w:rsid w:val="00333D2D"/>
    <w:rsid w:val="00333DB5"/>
    <w:rsid w:val="00333FC4"/>
    <w:rsid w:val="003341EC"/>
    <w:rsid w:val="0033431B"/>
    <w:rsid w:val="003346E4"/>
    <w:rsid w:val="003349B1"/>
    <w:rsid w:val="00334ABC"/>
    <w:rsid w:val="00334CC6"/>
    <w:rsid w:val="00334FC0"/>
    <w:rsid w:val="00335153"/>
    <w:rsid w:val="00335341"/>
    <w:rsid w:val="003358FA"/>
    <w:rsid w:val="00335ABB"/>
    <w:rsid w:val="00335B5D"/>
    <w:rsid w:val="00335B71"/>
    <w:rsid w:val="00335C06"/>
    <w:rsid w:val="0033603B"/>
    <w:rsid w:val="003362B5"/>
    <w:rsid w:val="003362B6"/>
    <w:rsid w:val="003366CE"/>
    <w:rsid w:val="003369E1"/>
    <w:rsid w:val="00336D45"/>
    <w:rsid w:val="00337066"/>
    <w:rsid w:val="00337080"/>
    <w:rsid w:val="003370E3"/>
    <w:rsid w:val="00337239"/>
    <w:rsid w:val="00337367"/>
    <w:rsid w:val="003373BC"/>
    <w:rsid w:val="0033745B"/>
    <w:rsid w:val="00337524"/>
    <w:rsid w:val="0033754E"/>
    <w:rsid w:val="00337582"/>
    <w:rsid w:val="003376D1"/>
    <w:rsid w:val="00337784"/>
    <w:rsid w:val="003377DB"/>
    <w:rsid w:val="003379B2"/>
    <w:rsid w:val="00337AC9"/>
    <w:rsid w:val="00337FA9"/>
    <w:rsid w:val="0034009D"/>
    <w:rsid w:val="00340247"/>
    <w:rsid w:val="00340267"/>
    <w:rsid w:val="0034032F"/>
    <w:rsid w:val="003403FF"/>
    <w:rsid w:val="00340725"/>
    <w:rsid w:val="003407B2"/>
    <w:rsid w:val="00340969"/>
    <w:rsid w:val="00340B66"/>
    <w:rsid w:val="00340C64"/>
    <w:rsid w:val="00340E00"/>
    <w:rsid w:val="00340E15"/>
    <w:rsid w:val="0034144B"/>
    <w:rsid w:val="00341820"/>
    <w:rsid w:val="003418FC"/>
    <w:rsid w:val="00341963"/>
    <w:rsid w:val="0034198C"/>
    <w:rsid w:val="00341BE5"/>
    <w:rsid w:val="00341EF3"/>
    <w:rsid w:val="00341FE4"/>
    <w:rsid w:val="00342084"/>
    <w:rsid w:val="00342367"/>
    <w:rsid w:val="003423F4"/>
    <w:rsid w:val="00342457"/>
    <w:rsid w:val="0034257D"/>
    <w:rsid w:val="00342796"/>
    <w:rsid w:val="003427F1"/>
    <w:rsid w:val="00342CE0"/>
    <w:rsid w:val="00342D0A"/>
    <w:rsid w:val="00343299"/>
    <w:rsid w:val="0034359F"/>
    <w:rsid w:val="003436DF"/>
    <w:rsid w:val="0034379D"/>
    <w:rsid w:val="0034383F"/>
    <w:rsid w:val="00343A5D"/>
    <w:rsid w:val="00343D81"/>
    <w:rsid w:val="00343EE6"/>
    <w:rsid w:val="00343FD0"/>
    <w:rsid w:val="003442CC"/>
    <w:rsid w:val="00344583"/>
    <w:rsid w:val="00344759"/>
    <w:rsid w:val="0034494E"/>
    <w:rsid w:val="003449E3"/>
    <w:rsid w:val="00344B89"/>
    <w:rsid w:val="00344CAC"/>
    <w:rsid w:val="00344DB5"/>
    <w:rsid w:val="00344DFD"/>
    <w:rsid w:val="00344F7D"/>
    <w:rsid w:val="00345084"/>
    <w:rsid w:val="003450FC"/>
    <w:rsid w:val="00345176"/>
    <w:rsid w:val="00345314"/>
    <w:rsid w:val="0034548B"/>
    <w:rsid w:val="0034557D"/>
    <w:rsid w:val="0034560A"/>
    <w:rsid w:val="00345692"/>
    <w:rsid w:val="003459C0"/>
    <w:rsid w:val="00345BE6"/>
    <w:rsid w:val="00345D37"/>
    <w:rsid w:val="00345DE2"/>
    <w:rsid w:val="003463EA"/>
    <w:rsid w:val="0034649D"/>
    <w:rsid w:val="00346656"/>
    <w:rsid w:val="003468D8"/>
    <w:rsid w:val="003468F5"/>
    <w:rsid w:val="0034692A"/>
    <w:rsid w:val="003469FE"/>
    <w:rsid w:val="00346B20"/>
    <w:rsid w:val="00346B27"/>
    <w:rsid w:val="00346E3C"/>
    <w:rsid w:val="00346ECD"/>
    <w:rsid w:val="00346FBE"/>
    <w:rsid w:val="0034709F"/>
    <w:rsid w:val="0034724D"/>
    <w:rsid w:val="0034725B"/>
    <w:rsid w:val="0034736A"/>
    <w:rsid w:val="003474D5"/>
    <w:rsid w:val="003474F5"/>
    <w:rsid w:val="0034789E"/>
    <w:rsid w:val="00347DBC"/>
    <w:rsid w:val="00347DD0"/>
    <w:rsid w:val="00347E36"/>
    <w:rsid w:val="00350124"/>
    <w:rsid w:val="00350190"/>
    <w:rsid w:val="003502DA"/>
    <w:rsid w:val="00350443"/>
    <w:rsid w:val="00350448"/>
    <w:rsid w:val="0035066D"/>
    <w:rsid w:val="0035067F"/>
    <w:rsid w:val="003507BE"/>
    <w:rsid w:val="0035090C"/>
    <w:rsid w:val="0035098A"/>
    <w:rsid w:val="00350A92"/>
    <w:rsid w:val="00350C3E"/>
    <w:rsid w:val="00350F90"/>
    <w:rsid w:val="003510B4"/>
    <w:rsid w:val="0035115F"/>
    <w:rsid w:val="003515EF"/>
    <w:rsid w:val="00351611"/>
    <w:rsid w:val="00351666"/>
    <w:rsid w:val="0035167E"/>
    <w:rsid w:val="00351957"/>
    <w:rsid w:val="00351A89"/>
    <w:rsid w:val="00351B9F"/>
    <w:rsid w:val="00351DA5"/>
    <w:rsid w:val="00351DF0"/>
    <w:rsid w:val="0035233E"/>
    <w:rsid w:val="003523F0"/>
    <w:rsid w:val="003524A6"/>
    <w:rsid w:val="00352513"/>
    <w:rsid w:val="00352693"/>
    <w:rsid w:val="00352745"/>
    <w:rsid w:val="00352BA3"/>
    <w:rsid w:val="00352CD7"/>
    <w:rsid w:val="00352F8F"/>
    <w:rsid w:val="0035307C"/>
    <w:rsid w:val="0035312D"/>
    <w:rsid w:val="003531C0"/>
    <w:rsid w:val="00353499"/>
    <w:rsid w:val="003534C8"/>
    <w:rsid w:val="003535A7"/>
    <w:rsid w:val="00353642"/>
    <w:rsid w:val="003537E9"/>
    <w:rsid w:val="00353AF9"/>
    <w:rsid w:val="00353C0A"/>
    <w:rsid w:val="00353C3C"/>
    <w:rsid w:val="00353C52"/>
    <w:rsid w:val="00353D6A"/>
    <w:rsid w:val="00353E22"/>
    <w:rsid w:val="0035400C"/>
    <w:rsid w:val="0035404F"/>
    <w:rsid w:val="0035416B"/>
    <w:rsid w:val="003543EA"/>
    <w:rsid w:val="003545E0"/>
    <w:rsid w:val="0035460C"/>
    <w:rsid w:val="003546ED"/>
    <w:rsid w:val="00354702"/>
    <w:rsid w:val="003549EE"/>
    <w:rsid w:val="00354D8F"/>
    <w:rsid w:val="00354FE5"/>
    <w:rsid w:val="003550B2"/>
    <w:rsid w:val="00355370"/>
    <w:rsid w:val="00355400"/>
    <w:rsid w:val="0035548C"/>
    <w:rsid w:val="0035578E"/>
    <w:rsid w:val="00355922"/>
    <w:rsid w:val="00355A46"/>
    <w:rsid w:val="00355D87"/>
    <w:rsid w:val="00356261"/>
    <w:rsid w:val="00356435"/>
    <w:rsid w:val="0035645A"/>
    <w:rsid w:val="00356476"/>
    <w:rsid w:val="00356585"/>
    <w:rsid w:val="0035674F"/>
    <w:rsid w:val="00356783"/>
    <w:rsid w:val="0035680C"/>
    <w:rsid w:val="00356D76"/>
    <w:rsid w:val="00356E1F"/>
    <w:rsid w:val="0035728B"/>
    <w:rsid w:val="0035748B"/>
    <w:rsid w:val="003574AE"/>
    <w:rsid w:val="0035755C"/>
    <w:rsid w:val="0035764A"/>
    <w:rsid w:val="003576FA"/>
    <w:rsid w:val="0035771E"/>
    <w:rsid w:val="003578DD"/>
    <w:rsid w:val="00357BE8"/>
    <w:rsid w:val="00357CDC"/>
    <w:rsid w:val="00357CDF"/>
    <w:rsid w:val="0036028E"/>
    <w:rsid w:val="00360825"/>
    <w:rsid w:val="003608DA"/>
    <w:rsid w:val="0036090D"/>
    <w:rsid w:val="00360A39"/>
    <w:rsid w:val="00360A46"/>
    <w:rsid w:val="00360A79"/>
    <w:rsid w:val="00360BC3"/>
    <w:rsid w:val="00360E6E"/>
    <w:rsid w:val="003610B8"/>
    <w:rsid w:val="00361280"/>
    <w:rsid w:val="0036171A"/>
    <w:rsid w:val="003617DA"/>
    <w:rsid w:val="00361965"/>
    <w:rsid w:val="00361A73"/>
    <w:rsid w:val="00361BBC"/>
    <w:rsid w:val="00361F00"/>
    <w:rsid w:val="00361FE2"/>
    <w:rsid w:val="003625DF"/>
    <w:rsid w:val="0036266C"/>
    <w:rsid w:val="00362898"/>
    <w:rsid w:val="00362A36"/>
    <w:rsid w:val="00362AF3"/>
    <w:rsid w:val="00362B26"/>
    <w:rsid w:val="00362CB6"/>
    <w:rsid w:val="00362E69"/>
    <w:rsid w:val="00362F1A"/>
    <w:rsid w:val="00363048"/>
    <w:rsid w:val="0036307A"/>
    <w:rsid w:val="0036348F"/>
    <w:rsid w:val="003635BA"/>
    <w:rsid w:val="003635ED"/>
    <w:rsid w:val="00363A05"/>
    <w:rsid w:val="00363ACA"/>
    <w:rsid w:val="00363C14"/>
    <w:rsid w:val="00363CB8"/>
    <w:rsid w:val="00363CEA"/>
    <w:rsid w:val="00363FD4"/>
    <w:rsid w:val="003640BB"/>
    <w:rsid w:val="0036445C"/>
    <w:rsid w:val="003645F7"/>
    <w:rsid w:val="00364769"/>
    <w:rsid w:val="00364B83"/>
    <w:rsid w:val="00364BE3"/>
    <w:rsid w:val="00364F32"/>
    <w:rsid w:val="00364FCC"/>
    <w:rsid w:val="00364FF5"/>
    <w:rsid w:val="00365042"/>
    <w:rsid w:val="00365065"/>
    <w:rsid w:val="003650F3"/>
    <w:rsid w:val="00365109"/>
    <w:rsid w:val="00365427"/>
    <w:rsid w:val="00365437"/>
    <w:rsid w:val="00365A0A"/>
    <w:rsid w:val="00365C56"/>
    <w:rsid w:val="00365DD9"/>
    <w:rsid w:val="00365F5D"/>
    <w:rsid w:val="00366028"/>
    <w:rsid w:val="00366126"/>
    <w:rsid w:val="003661D0"/>
    <w:rsid w:val="00366296"/>
    <w:rsid w:val="003662F9"/>
    <w:rsid w:val="003665ED"/>
    <w:rsid w:val="003666B8"/>
    <w:rsid w:val="00366707"/>
    <w:rsid w:val="00366815"/>
    <w:rsid w:val="00366888"/>
    <w:rsid w:val="00366BB8"/>
    <w:rsid w:val="00366C15"/>
    <w:rsid w:val="00366C26"/>
    <w:rsid w:val="00366E84"/>
    <w:rsid w:val="00366F29"/>
    <w:rsid w:val="00367089"/>
    <w:rsid w:val="0036731D"/>
    <w:rsid w:val="003674CF"/>
    <w:rsid w:val="003674DC"/>
    <w:rsid w:val="003675AD"/>
    <w:rsid w:val="003675DD"/>
    <w:rsid w:val="0036761F"/>
    <w:rsid w:val="0036762B"/>
    <w:rsid w:val="003678B1"/>
    <w:rsid w:val="00367955"/>
    <w:rsid w:val="003679A7"/>
    <w:rsid w:val="00367A5D"/>
    <w:rsid w:val="00367BF4"/>
    <w:rsid w:val="00367E36"/>
    <w:rsid w:val="00367F27"/>
    <w:rsid w:val="00367F66"/>
    <w:rsid w:val="0037026B"/>
    <w:rsid w:val="00370393"/>
    <w:rsid w:val="00370588"/>
    <w:rsid w:val="003705E4"/>
    <w:rsid w:val="003706BF"/>
    <w:rsid w:val="003706D3"/>
    <w:rsid w:val="00370762"/>
    <w:rsid w:val="00370A41"/>
    <w:rsid w:val="00370B6A"/>
    <w:rsid w:val="00370B9B"/>
    <w:rsid w:val="00370DCC"/>
    <w:rsid w:val="00371117"/>
    <w:rsid w:val="003717BC"/>
    <w:rsid w:val="003718FE"/>
    <w:rsid w:val="00371A78"/>
    <w:rsid w:val="00371BAF"/>
    <w:rsid w:val="00371C3A"/>
    <w:rsid w:val="00372094"/>
    <w:rsid w:val="003720AA"/>
    <w:rsid w:val="00372487"/>
    <w:rsid w:val="0037265F"/>
    <w:rsid w:val="00372694"/>
    <w:rsid w:val="00372A07"/>
    <w:rsid w:val="00372BAB"/>
    <w:rsid w:val="00372C5B"/>
    <w:rsid w:val="00372F54"/>
    <w:rsid w:val="00372FEF"/>
    <w:rsid w:val="003731A9"/>
    <w:rsid w:val="0037325B"/>
    <w:rsid w:val="0037344B"/>
    <w:rsid w:val="003736E0"/>
    <w:rsid w:val="00373764"/>
    <w:rsid w:val="003737D3"/>
    <w:rsid w:val="00373865"/>
    <w:rsid w:val="0037387A"/>
    <w:rsid w:val="00373C30"/>
    <w:rsid w:val="00373CA2"/>
    <w:rsid w:val="00373D1D"/>
    <w:rsid w:val="003740A7"/>
    <w:rsid w:val="00374137"/>
    <w:rsid w:val="003741D5"/>
    <w:rsid w:val="0037437F"/>
    <w:rsid w:val="003746AD"/>
    <w:rsid w:val="00374812"/>
    <w:rsid w:val="00374867"/>
    <w:rsid w:val="00374999"/>
    <w:rsid w:val="00374A01"/>
    <w:rsid w:val="00374C37"/>
    <w:rsid w:val="00374E2C"/>
    <w:rsid w:val="00374E31"/>
    <w:rsid w:val="0037513C"/>
    <w:rsid w:val="00375161"/>
    <w:rsid w:val="00375178"/>
    <w:rsid w:val="00375185"/>
    <w:rsid w:val="0037548B"/>
    <w:rsid w:val="00375606"/>
    <w:rsid w:val="00375617"/>
    <w:rsid w:val="00375754"/>
    <w:rsid w:val="003757F3"/>
    <w:rsid w:val="003758DB"/>
    <w:rsid w:val="00375AE8"/>
    <w:rsid w:val="00375AFC"/>
    <w:rsid w:val="00375BD1"/>
    <w:rsid w:val="00375C75"/>
    <w:rsid w:val="00375D1F"/>
    <w:rsid w:val="00375D5B"/>
    <w:rsid w:val="00376186"/>
    <w:rsid w:val="00376472"/>
    <w:rsid w:val="0037664F"/>
    <w:rsid w:val="003766BE"/>
    <w:rsid w:val="0037675D"/>
    <w:rsid w:val="00376761"/>
    <w:rsid w:val="003769E4"/>
    <w:rsid w:val="00376E42"/>
    <w:rsid w:val="00376E87"/>
    <w:rsid w:val="00376F18"/>
    <w:rsid w:val="00376F20"/>
    <w:rsid w:val="00376F73"/>
    <w:rsid w:val="003770F8"/>
    <w:rsid w:val="003772F7"/>
    <w:rsid w:val="0037742D"/>
    <w:rsid w:val="00377730"/>
    <w:rsid w:val="00377856"/>
    <w:rsid w:val="003779D8"/>
    <w:rsid w:val="00377A5C"/>
    <w:rsid w:val="00377CB3"/>
    <w:rsid w:val="00377CD3"/>
    <w:rsid w:val="0038009E"/>
    <w:rsid w:val="003802BE"/>
    <w:rsid w:val="00380405"/>
    <w:rsid w:val="0038046F"/>
    <w:rsid w:val="0038047B"/>
    <w:rsid w:val="003806CC"/>
    <w:rsid w:val="0038091F"/>
    <w:rsid w:val="003809D4"/>
    <w:rsid w:val="00380A00"/>
    <w:rsid w:val="00380A8F"/>
    <w:rsid w:val="00380AE5"/>
    <w:rsid w:val="00380B1B"/>
    <w:rsid w:val="00380DEE"/>
    <w:rsid w:val="00380ED1"/>
    <w:rsid w:val="003815B8"/>
    <w:rsid w:val="0038198A"/>
    <w:rsid w:val="00381AEC"/>
    <w:rsid w:val="00381D20"/>
    <w:rsid w:val="003822C8"/>
    <w:rsid w:val="0038246F"/>
    <w:rsid w:val="00382476"/>
    <w:rsid w:val="003824C7"/>
    <w:rsid w:val="00382617"/>
    <w:rsid w:val="00382669"/>
    <w:rsid w:val="00382B6F"/>
    <w:rsid w:val="00382F8E"/>
    <w:rsid w:val="00383037"/>
    <w:rsid w:val="003834A4"/>
    <w:rsid w:val="0038382A"/>
    <w:rsid w:val="003839B8"/>
    <w:rsid w:val="00383A74"/>
    <w:rsid w:val="00383C2D"/>
    <w:rsid w:val="00383C87"/>
    <w:rsid w:val="00383D69"/>
    <w:rsid w:val="00383EC3"/>
    <w:rsid w:val="00383FF5"/>
    <w:rsid w:val="00384260"/>
    <w:rsid w:val="003843BA"/>
    <w:rsid w:val="00384650"/>
    <w:rsid w:val="003849A3"/>
    <w:rsid w:val="00384B1B"/>
    <w:rsid w:val="00384C5E"/>
    <w:rsid w:val="00384F85"/>
    <w:rsid w:val="003852C3"/>
    <w:rsid w:val="003856AE"/>
    <w:rsid w:val="00385A5C"/>
    <w:rsid w:val="00385B53"/>
    <w:rsid w:val="00385C49"/>
    <w:rsid w:val="00385E26"/>
    <w:rsid w:val="00385E5C"/>
    <w:rsid w:val="00385F5E"/>
    <w:rsid w:val="00385FA9"/>
    <w:rsid w:val="0038602A"/>
    <w:rsid w:val="00386143"/>
    <w:rsid w:val="003867DA"/>
    <w:rsid w:val="003867E2"/>
    <w:rsid w:val="0038698B"/>
    <w:rsid w:val="00386A35"/>
    <w:rsid w:val="00386A70"/>
    <w:rsid w:val="00386D74"/>
    <w:rsid w:val="00386E36"/>
    <w:rsid w:val="00386E98"/>
    <w:rsid w:val="003870B6"/>
    <w:rsid w:val="003874E7"/>
    <w:rsid w:val="00387923"/>
    <w:rsid w:val="00387A05"/>
    <w:rsid w:val="00387A75"/>
    <w:rsid w:val="00387AED"/>
    <w:rsid w:val="00387B5B"/>
    <w:rsid w:val="00387EED"/>
    <w:rsid w:val="00387EEE"/>
    <w:rsid w:val="00387F0D"/>
    <w:rsid w:val="003903F0"/>
    <w:rsid w:val="003906A9"/>
    <w:rsid w:val="003906E1"/>
    <w:rsid w:val="00390920"/>
    <w:rsid w:val="003909E1"/>
    <w:rsid w:val="00390B0A"/>
    <w:rsid w:val="003913A2"/>
    <w:rsid w:val="00391483"/>
    <w:rsid w:val="003915D4"/>
    <w:rsid w:val="0039168B"/>
    <w:rsid w:val="003916C2"/>
    <w:rsid w:val="003917B2"/>
    <w:rsid w:val="00391828"/>
    <w:rsid w:val="003919CE"/>
    <w:rsid w:val="00391C06"/>
    <w:rsid w:val="00391CEE"/>
    <w:rsid w:val="00391D5B"/>
    <w:rsid w:val="00391D68"/>
    <w:rsid w:val="00392251"/>
    <w:rsid w:val="00392491"/>
    <w:rsid w:val="00392504"/>
    <w:rsid w:val="00392548"/>
    <w:rsid w:val="003925AA"/>
    <w:rsid w:val="003926D1"/>
    <w:rsid w:val="00392803"/>
    <w:rsid w:val="0039288A"/>
    <w:rsid w:val="00392A15"/>
    <w:rsid w:val="00392A69"/>
    <w:rsid w:val="00392B96"/>
    <w:rsid w:val="00392BAD"/>
    <w:rsid w:val="00392C7A"/>
    <w:rsid w:val="00392DBE"/>
    <w:rsid w:val="00392E80"/>
    <w:rsid w:val="00392EB5"/>
    <w:rsid w:val="00393521"/>
    <w:rsid w:val="003936F2"/>
    <w:rsid w:val="00393D4C"/>
    <w:rsid w:val="00393D98"/>
    <w:rsid w:val="00393EF2"/>
    <w:rsid w:val="00393FA8"/>
    <w:rsid w:val="003941F5"/>
    <w:rsid w:val="00394380"/>
    <w:rsid w:val="003944A8"/>
    <w:rsid w:val="003944EA"/>
    <w:rsid w:val="003947B3"/>
    <w:rsid w:val="003947C3"/>
    <w:rsid w:val="00394873"/>
    <w:rsid w:val="003948BB"/>
    <w:rsid w:val="00394900"/>
    <w:rsid w:val="003949D6"/>
    <w:rsid w:val="00394A0B"/>
    <w:rsid w:val="00394AC7"/>
    <w:rsid w:val="00394C14"/>
    <w:rsid w:val="00394D97"/>
    <w:rsid w:val="00394E64"/>
    <w:rsid w:val="00395166"/>
    <w:rsid w:val="00395296"/>
    <w:rsid w:val="003955CC"/>
    <w:rsid w:val="00395625"/>
    <w:rsid w:val="003956F8"/>
    <w:rsid w:val="00395703"/>
    <w:rsid w:val="00395944"/>
    <w:rsid w:val="00395D4B"/>
    <w:rsid w:val="00395E1A"/>
    <w:rsid w:val="00395F8B"/>
    <w:rsid w:val="00395FE4"/>
    <w:rsid w:val="00395FEC"/>
    <w:rsid w:val="0039614B"/>
    <w:rsid w:val="00396339"/>
    <w:rsid w:val="003963FF"/>
    <w:rsid w:val="00396964"/>
    <w:rsid w:val="00396CDD"/>
    <w:rsid w:val="00396DCF"/>
    <w:rsid w:val="00396E8B"/>
    <w:rsid w:val="00396F39"/>
    <w:rsid w:val="00397023"/>
    <w:rsid w:val="00397124"/>
    <w:rsid w:val="003972FA"/>
    <w:rsid w:val="003973EE"/>
    <w:rsid w:val="00397590"/>
    <w:rsid w:val="0039760A"/>
    <w:rsid w:val="00397662"/>
    <w:rsid w:val="0039777F"/>
    <w:rsid w:val="00397C96"/>
    <w:rsid w:val="003A0070"/>
    <w:rsid w:val="003A01B7"/>
    <w:rsid w:val="003A0301"/>
    <w:rsid w:val="003A0655"/>
    <w:rsid w:val="003A085E"/>
    <w:rsid w:val="003A0F09"/>
    <w:rsid w:val="003A0F40"/>
    <w:rsid w:val="003A0FF8"/>
    <w:rsid w:val="003A123E"/>
    <w:rsid w:val="003A1357"/>
    <w:rsid w:val="003A13F8"/>
    <w:rsid w:val="003A1416"/>
    <w:rsid w:val="003A1528"/>
    <w:rsid w:val="003A163F"/>
    <w:rsid w:val="003A169E"/>
    <w:rsid w:val="003A18C1"/>
    <w:rsid w:val="003A1BA1"/>
    <w:rsid w:val="003A1C28"/>
    <w:rsid w:val="003A1FB9"/>
    <w:rsid w:val="003A218E"/>
    <w:rsid w:val="003A229F"/>
    <w:rsid w:val="003A2322"/>
    <w:rsid w:val="003A241F"/>
    <w:rsid w:val="003A265A"/>
    <w:rsid w:val="003A26F7"/>
    <w:rsid w:val="003A27A4"/>
    <w:rsid w:val="003A286B"/>
    <w:rsid w:val="003A2886"/>
    <w:rsid w:val="003A28D6"/>
    <w:rsid w:val="003A29EC"/>
    <w:rsid w:val="003A2BBD"/>
    <w:rsid w:val="003A2D66"/>
    <w:rsid w:val="003A2EA2"/>
    <w:rsid w:val="003A2F4E"/>
    <w:rsid w:val="003A309A"/>
    <w:rsid w:val="003A31B8"/>
    <w:rsid w:val="003A3208"/>
    <w:rsid w:val="003A32C7"/>
    <w:rsid w:val="003A35E6"/>
    <w:rsid w:val="003A3907"/>
    <w:rsid w:val="003A3AD1"/>
    <w:rsid w:val="003A3C9F"/>
    <w:rsid w:val="003A3D9C"/>
    <w:rsid w:val="003A3DFC"/>
    <w:rsid w:val="003A3F51"/>
    <w:rsid w:val="003A4309"/>
    <w:rsid w:val="003A43B8"/>
    <w:rsid w:val="003A4438"/>
    <w:rsid w:val="003A449B"/>
    <w:rsid w:val="003A4588"/>
    <w:rsid w:val="003A472C"/>
    <w:rsid w:val="003A4741"/>
    <w:rsid w:val="003A4ABE"/>
    <w:rsid w:val="003A4BE3"/>
    <w:rsid w:val="003A4DC3"/>
    <w:rsid w:val="003A4DFA"/>
    <w:rsid w:val="003A4F41"/>
    <w:rsid w:val="003A50E5"/>
    <w:rsid w:val="003A529E"/>
    <w:rsid w:val="003A529F"/>
    <w:rsid w:val="003A5423"/>
    <w:rsid w:val="003A54BA"/>
    <w:rsid w:val="003A5525"/>
    <w:rsid w:val="003A5658"/>
    <w:rsid w:val="003A5AFD"/>
    <w:rsid w:val="003A5CFE"/>
    <w:rsid w:val="003A5F1A"/>
    <w:rsid w:val="003A5F4C"/>
    <w:rsid w:val="003A62B4"/>
    <w:rsid w:val="003A6324"/>
    <w:rsid w:val="003A6342"/>
    <w:rsid w:val="003A6AF3"/>
    <w:rsid w:val="003A6BFD"/>
    <w:rsid w:val="003A6D7E"/>
    <w:rsid w:val="003A6F94"/>
    <w:rsid w:val="003A727F"/>
    <w:rsid w:val="003A748E"/>
    <w:rsid w:val="003A785D"/>
    <w:rsid w:val="003A788E"/>
    <w:rsid w:val="003A78D8"/>
    <w:rsid w:val="003A7DEF"/>
    <w:rsid w:val="003B00C0"/>
    <w:rsid w:val="003B0477"/>
    <w:rsid w:val="003B053D"/>
    <w:rsid w:val="003B07A0"/>
    <w:rsid w:val="003B0A00"/>
    <w:rsid w:val="003B0DAD"/>
    <w:rsid w:val="003B10C8"/>
    <w:rsid w:val="003B1169"/>
    <w:rsid w:val="003B13DE"/>
    <w:rsid w:val="003B1449"/>
    <w:rsid w:val="003B1502"/>
    <w:rsid w:val="003B16F6"/>
    <w:rsid w:val="003B19A3"/>
    <w:rsid w:val="003B1BDF"/>
    <w:rsid w:val="003B1DBC"/>
    <w:rsid w:val="003B1F7B"/>
    <w:rsid w:val="003B1FDE"/>
    <w:rsid w:val="003B20A6"/>
    <w:rsid w:val="003B2198"/>
    <w:rsid w:val="003B2359"/>
    <w:rsid w:val="003B2444"/>
    <w:rsid w:val="003B2493"/>
    <w:rsid w:val="003B2522"/>
    <w:rsid w:val="003B273F"/>
    <w:rsid w:val="003B2BF1"/>
    <w:rsid w:val="003B2C09"/>
    <w:rsid w:val="003B2C28"/>
    <w:rsid w:val="003B2C90"/>
    <w:rsid w:val="003B2E57"/>
    <w:rsid w:val="003B2E8E"/>
    <w:rsid w:val="003B309D"/>
    <w:rsid w:val="003B322E"/>
    <w:rsid w:val="003B365E"/>
    <w:rsid w:val="003B37D1"/>
    <w:rsid w:val="003B38B0"/>
    <w:rsid w:val="003B396F"/>
    <w:rsid w:val="003B3A27"/>
    <w:rsid w:val="003B3A28"/>
    <w:rsid w:val="003B3AE4"/>
    <w:rsid w:val="003B3AED"/>
    <w:rsid w:val="003B3B85"/>
    <w:rsid w:val="003B3E2A"/>
    <w:rsid w:val="003B3EBC"/>
    <w:rsid w:val="003B3F1F"/>
    <w:rsid w:val="003B40F8"/>
    <w:rsid w:val="003B421D"/>
    <w:rsid w:val="003B42F3"/>
    <w:rsid w:val="003B4421"/>
    <w:rsid w:val="003B464C"/>
    <w:rsid w:val="003B4819"/>
    <w:rsid w:val="003B4873"/>
    <w:rsid w:val="003B4973"/>
    <w:rsid w:val="003B497D"/>
    <w:rsid w:val="003B4A36"/>
    <w:rsid w:val="003B4C12"/>
    <w:rsid w:val="003B5137"/>
    <w:rsid w:val="003B54D3"/>
    <w:rsid w:val="003B5668"/>
    <w:rsid w:val="003B57C1"/>
    <w:rsid w:val="003B580E"/>
    <w:rsid w:val="003B5989"/>
    <w:rsid w:val="003B5B04"/>
    <w:rsid w:val="003B5B45"/>
    <w:rsid w:val="003B5E6F"/>
    <w:rsid w:val="003B63B7"/>
    <w:rsid w:val="003B640B"/>
    <w:rsid w:val="003B6504"/>
    <w:rsid w:val="003B652E"/>
    <w:rsid w:val="003B6693"/>
    <w:rsid w:val="003B670D"/>
    <w:rsid w:val="003B67B9"/>
    <w:rsid w:val="003B67DC"/>
    <w:rsid w:val="003B68FD"/>
    <w:rsid w:val="003B6995"/>
    <w:rsid w:val="003B6A30"/>
    <w:rsid w:val="003B6A31"/>
    <w:rsid w:val="003B6B79"/>
    <w:rsid w:val="003B6BC7"/>
    <w:rsid w:val="003B6C46"/>
    <w:rsid w:val="003B6CA0"/>
    <w:rsid w:val="003B6CD6"/>
    <w:rsid w:val="003B72D4"/>
    <w:rsid w:val="003B759B"/>
    <w:rsid w:val="003B774A"/>
    <w:rsid w:val="003B78EB"/>
    <w:rsid w:val="003B795A"/>
    <w:rsid w:val="003B7A01"/>
    <w:rsid w:val="003B7A94"/>
    <w:rsid w:val="003B7ACE"/>
    <w:rsid w:val="003B7DB9"/>
    <w:rsid w:val="003C00BE"/>
    <w:rsid w:val="003C03A6"/>
    <w:rsid w:val="003C0493"/>
    <w:rsid w:val="003C04A4"/>
    <w:rsid w:val="003C0981"/>
    <w:rsid w:val="003C0ADB"/>
    <w:rsid w:val="003C0FC6"/>
    <w:rsid w:val="003C107B"/>
    <w:rsid w:val="003C109B"/>
    <w:rsid w:val="003C1108"/>
    <w:rsid w:val="003C1169"/>
    <w:rsid w:val="003C1199"/>
    <w:rsid w:val="003C120A"/>
    <w:rsid w:val="003C12A7"/>
    <w:rsid w:val="003C135F"/>
    <w:rsid w:val="003C137C"/>
    <w:rsid w:val="003C15AD"/>
    <w:rsid w:val="003C1A3E"/>
    <w:rsid w:val="003C1ABD"/>
    <w:rsid w:val="003C1BF8"/>
    <w:rsid w:val="003C1CC9"/>
    <w:rsid w:val="003C1CCE"/>
    <w:rsid w:val="003C1CDD"/>
    <w:rsid w:val="003C1EDD"/>
    <w:rsid w:val="003C2004"/>
    <w:rsid w:val="003C2192"/>
    <w:rsid w:val="003C2389"/>
    <w:rsid w:val="003C24A3"/>
    <w:rsid w:val="003C262C"/>
    <w:rsid w:val="003C2A32"/>
    <w:rsid w:val="003C2B07"/>
    <w:rsid w:val="003C2B36"/>
    <w:rsid w:val="003C2D83"/>
    <w:rsid w:val="003C2E58"/>
    <w:rsid w:val="003C2F73"/>
    <w:rsid w:val="003C2F86"/>
    <w:rsid w:val="003C30B6"/>
    <w:rsid w:val="003C3453"/>
    <w:rsid w:val="003C360A"/>
    <w:rsid w:val="003C3652"/>
    <w:rsid w:val="003C3700"/>
    <w:rsid w:val="003C381E"/>
    <w:rsid w:val="003C38D9"/>
    <w:rsid w:val="003C39F5"/>
    <w:rsid w:val="003C3D5E"/>
    <w:rsid w:val="003C4011"/>
    <w:rsid w:val="003C4028"/>
    <w:rsid w:val="003C409F"/>
    <w:rsid w:val="003C4266"/>
    <w:rsid w:val="003C426D"/>
    <w:rsid w:val="003C48B4"/>
    <w:rsid w:val="003C4C63"/>
    <w:rsid w:val="003C5257"/>
    <w:rsid w:val="003C5491"/>
    <w:rsid w:val="003C5524"/>
    <w:rsid w:val="003C5674"/>
    <w:rsid w:val="003C56FC"/>
    <w:rsid w:val="003C57ED"/>
    <w:rsid w:val="003C583E"/>
    <w:rsid w:val="003C59A5"/>
    <w:rsid w:val="003C5AC1"/>
    <w:rsid w:val="003C5B26"/>
    <w:rsid w:val="003C5C5E"/>
    <w:rsid w:val="003C5CB4"/>
    <w:rsid w:val="003C61A2"/>
    <w:rsid w:val="003C626A"/>
    <w:rsid w:val="003C62E7"/>
    <w:rsid w:val="003C6756"/>
    <w:rsid w:val="003C6763"/>
    <w:rsid w:val="003C6856"/>
    <w:rsid w:val="003C6C20"/>
    <w:rsid w:val="003C6C28"/>
    <w:rsid w:val="003C6C9C"/>
    <w:rsid w:val="003C6D91"/>
    <w:rsid w:val="003C6F2F"/>
    <w:rsid w:val="003C7043"/>
    <w:rsid w:val="003C71E3"/>
    <w:rsid w:val="003C7328"/>
    <w:rsid w:val="003C73C0"/>
    <w:rsid w:val="003C750B"/>
    <w:rsid w:val="003C756E"/>
    <w:rsid w:val="003C782C"/>
    <w:rsid w:val="003C79E6"/>
    <w:rsid w:val="003C7C4D"/>
    <w:rsid w:val="003C7D34"/>
    <w:rsid w:val="003C7E96"/>
    <w:rsid w:val="003D0089"/>
    <w:rsid w:val="003D01FB"/>
    <w:rsid w:val="003D0241"/>
    <w:rsid w:val="003D04EE"/>
    <w:rsid w:val="003D05B5"/>
    <w:rsid w:val="003D079C"/>
    <w:rsid w:val="003D0829"/>
    <w:rsid w:val="003D0909"/>
    <w:rsid w:val="003D0944"/>
    <w:rsid w:val="003D0AB2"/>
    <w:rsid w:val="003D0B9B"/>
    <w:rsid w:val="003D0BE0"/>
    <w:rsid w:val="003D0E2A"/>
    <w:rsid w:val="003D0E5E"/>
    <w:rsid w:val="003D0FEF"/>
    <w:rsid w:val="003D1070"/>
    <w:rsid w:val="003D116A"/>
    <w:rsid w:val="003D119A"/>
    <w:rsid w:val="003D12DD"/>
    <w:rsid w:val="003D137C"/>
    <w:rsid w:val="003D13BA"/>
    <w:rsid w:val="003D168F"/>
    <w:rsid w:val="003D1A82"/>
    <w:rsid w:val="003D1B31"/>
    <w:rsid w:val="003D1BA2"/>
    <w:rsid w:val="003D1D2E"/>
    <w:rsid w:val="003D1EF4"/>
    <w:rsid w:val="003D1FA1"/>
    <w:rsid w:val="003D2183"/>
    <w:rsid w:val="003D228E"/>
    <w:rsid w:val="003D24D9"/>
    <w:rsid w:val="003D2B1C"/>
    <w:rsid w:val="003D317C"/>
    <w:rsid w:val="003D3196"/>
    <w:rsid w:val="003D324C"/>
    <w:rsid w:val="003D360F"/>
    <w:rsid w:val="003D37FD"/>
    <w:rsid w:val="003D3932"/>
    <w:rsid w:val="003D3B35"/>
    <w:rsid w:val="003D3C85"/>
    <w:rsid w:val="003D3D27"/>
    <w:rsid w:val="003D3D63"/>
    <w:rsid w:val="003D3DD2"/>
    <w:rsid w:val="003D4160"/>
    <w:rsid w:val="003D4189"/>
    <w:rsid w:val="003D426D"/>
    <w:rsid w:val="003D468C"/>
    <w:rsid w:val="003D47D7"/>
    <w:rsid w:val="003D4A09"/>
    <w:rsid w:val="003D4C0A"/>
    <w:rsid w:val="003D4C54"/>
    <w:rsid w:val="003D4D30"/>
    <w:rsid w:val="003D4DFC"/>
    <w:rsid w:val="003D52D2"/>
    <w:rsid w:val="003D5467"/>
    <w:rsid w:val="003D549F"/>
    <w:rsid w:val="003D57AF"/>
    <w:rsid w:val="003D5A03"/>
    <w:rsid w:val="003D5D5F"/>
    <w:rsid w:val="003D5E1F"/>
    <w:rsid w:val="003D6205"/>
    <w:rsid w:val="003D64F6"/>
    <w:rsid w:val="003D6512"/>
    <w:rsid w:val="003D68D5"/>
    <w:rsid w:val="003D68F4"/>
    <w:rsid w:val="003D69AF"/>
    <w:rsid w:val="003D6BD9"/>
    <w:rsid w:val="003D6DB3"/>
    <w:rsid w:val="003D7004"/>
    <w:rsid w:val="003D709F"/>
    <w:rsid w:val="003D70B8"/>
    <w:rsid w:val="003D70E6"/>
    <w:rsid w:val="003D7259"/>
    <w:rsid w:val="003D72BF"/>
    <w:rsid w:val="003D73E2"/>
    <w:rsid w:val="003D74AF"/>
    <w:rsid w:val="003D77CD"/>
    <w:rsid w:val="003D7A24"/>
    <w:rsid w:val="003D7AA9"/>
    <w:rsid w:val="003D7B75"/>
    <w:rsid w:val="003D7D49"/>
    <w:rsid w:val="003D7F23"/>
    <w:rsid w:val="003D7F6E"/>
    <w:rsid w:val="003E03AF"/>
    <w:rsid w:val="003E072E"/>
    <w:rsid w:val="003E094A"/>
    <w:rsid w:val="003E0983"/>
    <w:rsid w:val="003E0A07"/>
    <w:rsid w:val="003E0A6C"/>
    <w:rsid w:val="003E0B38"/>
    <w:rsid w:val="003E0B69"/>
    <w:rsid w:val="003E1259"/>
    <w:rsid w:val="003E15BD"/>
    <w:rsid w:val="003E1606"/>
    <w:rsid w:val="003E16C5"/>
    <w:rsid w:val="003E17BE"/>
    <w:rsid w:val="003E1A68"/>
    <w:rsid w:val="003E1B24"/>
    <w:rsid w:val="003E1B42"/>
    <w:rsid w:val="003E1B64"/>
    <w:rsid w:val="003E1C5A"/>
    <w:rsid w:val="003E1E27"/>
    <w:rsid w:val="003E1E7E"/>
    <w:rsid w:val="003E1F63"/>
    <w:rsid w:val="003E2154"/>
    <w:rsid w:val="003E21C4"/>
    <w:rsid w:val="003E239C"/>
    <w:rsid w:val="003E255C"/>
    <w:rsid w:val="003E25C2"/>
    <w:rsid w:val="003E268B"/>
    <w:rsid w:val="003E295A"/>
    <w:rsid w:val="003E2A37"/>
    <w:rsid w:val="003E2BC0"/>
    <w:rsid w:val="003E2C5E"/>
    <w:rsid w:val="003E2CD2"/>
    <w:rsid w:val="003E2DE4"/>
    <w:rsid w:val="003E2ECA"/>
    <w:rsid w:val="003E301D"/>
    <w:rsid w:val="003E311D"/>
    <w:rsid w:val="003E325E"/>
    <w:rsid w:val="003E32DD"/>
    <w:rsid w:val="003E3479"/>
    <w:rsid w:val="003E3605"/>
    <w:rsid w:val="003E38CE"/>
    <w:rsid w:val="003E38F5"/>
    <w:rsid w:val="003E3967"/>
    <w:rsid w:val="003E39BD"/>
    <w:rsid w:val="003E3C73"/>
    <w:rsid w:val="003E421E"/>
    <w:rsid w:val="003E42EA"/>
    <w:rsid w:val="003E4312"/>
    <w:rsid w:val="003E43B1"/>
    <w:rsid w:val="003E4415"/>
    <w:rsid w:val="003E44F9"/>
    <w:rsid w:val="003E454A"/>
    <w:rsid w:val="003E473C"/>
    <w:rsid w:val="003E48A8"/>
    <w:rsid w:val="003E495C"/>
    <w:rsid w:val="003E49F6"/>
    <w:rsid w:val="003E4AB4"/>
    <w:rsid w:val="003E4AF6"/>
    <w:rsid w:val="003E4C03"/>
    <w:rsid w:val="003E4C8A"/>
    <w:rsid w:val="003E5054"/>
    <w:rsid w:val="003E51FA"/>
    <w:rsid w:val="003E54E8"/>
    <w:rsid w:val="003E558E"/>
    <w:rsid w:val="003E55D5"/>
    <w:rsid w:val="003E5810"/>
    <w:rsid w:val="003E591C"/>
    <w:rsid w:val="003E5BB4"/>
    <w:rsid w:val="003E5D0C"/>
    <w:rsid w:val="003E5E5F"/>
    <w:rsid w:val="003E60B3"/>
    <w:rsid w:val="003E60D3"/>
    <w:rsid w:val="003E6270"/>
    <w:rsid w:val="003E6819"/>
    <w:rsid w:val="003E6B78"/>
    <w:rsid w:val="003E6BCD"/>
    <w:rsid w:val="003E6CB6"/>
    <w:rsid w:val="003E6CFB"/>
    <w:rsid w:val="003E6D8F"/>
    <w:rsid w:val="003E6E16"/>
    <w:rsid w:val="003E6E44"/>
    <w:rsid w:val="003E6EA5"/>
    <w:rsid w:val="003E7238"/>
    <w:rsid w:val="003E761F"/>
    <w:rsid w:val="003E7832"/>
    <w:rsid w:val="003E79DC"/>
    <w:rsid w:val="003E7BAA"/>
    <w:rsid w:val="003E7C46"/>
    <w:rsid w:val="003E7D49"/>
    <w:rsid w:val="003E7D4F"/>
    <w:rsid w:val="003E7E86"/>
    <w:rsid w:val="003E7F67"/>
    <w:rsid w:val="003F01A9"/>
    <w:rsid w:val="003F0209"/>
    <w:rsid w:val="003F0327"/>
    <w:rsid w:val="003F03BA"/>
    <w:rsid w:val="003F0790"/>
    <w:rsid w:val="003F099C"/>
    <w:rsid w:val="003F1037"/>
    <w:rsid w:val="003F1379"/>
    <w:rsid w:val="003F1526"/>
    <w:rsid w:val="003F1560"/>
    <w:rsid w:val="003F189E"/>
    <w:rsid w:val="003F1A07"/>
    <w:rsid w:val="003F1AD7"/>
    <w:rsid w:val="003F1B50"/>
    <w:rsid w:val="003F1DDF"/>
    <w:rsid w:val="003F1EC4"/>
    <w:rsid w:val="003F1EE6"/>
    <w:rsid w:val="003F1FBF"/>
    <w:rsid w:val="003F2173"/>
    <w:rsid w:val="003F2276"/>
    <w:rsid w:val="003F22E8"/>
    <w:rsid w:val="003F26DF"/>
    <w:rsid w:val="003F28D0"/>
    <w:rsid w:val="003F2CAB"/>
    <w:rsid w:val="003F2D7F"/>
    <w:rsid w:val="003F2E0E"/>
    <w:rsid w:val="003F2FE1"/>
    <w:rsid w:val="003F32BF"/>
    <w:rsid w:val="003F3407"/>
    <w:rsid w:val="003F3782"/>
    <w:rsid w:val="003F396F"/>
    <w:rsid w:val="003F3AEF"/>
    <w:rsid w:val="003F3B9D"/>
    <w:rsid w:val="003F3C8A"/>
    <w:rsid w:val="003F3CD1"/>
    <w:rsid w:val="003F3FE7"/>
    <w:rsid w:val="003F40C5"/>
    <w:rsid w:val="003F426E"/>
    <w:rsid w:val="003F4303"/>
    <w:rsid w:val="003F4350"/>
    <w:rsid w:val="003F4382"/>
    <w:rsid w:val="003F4553"/>
    <w:rsid w:val="003F4649"/>
    <w:rsid w:val="003F4661"/>
    <w:rsid w:val="003F4854"/>
    <w:rsid w:val="003F48D0"/>
    <w:rsid w:val="003F4AC8"/>
    <w:rsid w:val="003F4ACD"/>
    <w:rsid w:val="003F4EC5"/>
    <w:rsid w:val="003F4F81"/>
    <w:rsid w:val="003F55DE"/>
    <w:rsid w:val="003F5A84"/>
    <w:rsid w:val="003F5B7C"/>
    <w:rsid w:val="003F5E29"/>
    <w:rsid w:val="003F6166"/>
    <w:rsid w:val="003F62C1"/>
    <w:rsid w:val="003F644D"/>
    <w:rsid w:val="003F645F"/>
    <w:rsid w:val="003F64B3"/>
    <w:rsid w:val="003F6530"/>
    <w:rsid w:val="003F655F"/>
    <w:rsid w:val="003F6612"/>
    <w:rsid w:val="003F677B"/>
    <w:rsid w:val="003F679C"/>
    <w:rsid w:val="003F67B4"/>
    <w:rsid w:val="003F6955"/>
    <w:rsid w:val="003F6B7C"/>
    <w:rsid w:val="003F6BE5"/>
    <w:rsid w:val="003F6C52"/>
    <w:rsid w:val="003F6D59"/>
    <w:rsid w:val="003F6E0E"/>
    <w:rsid w:val="003F72A3"/>
    <w:rsid w:val="003F757A"/>
    <w:rsid w:val="003F758F"/>
    <w:rsid w:val="003F75B3"/>
    <w:rsid w:val="003F75C0"/>
    <w:rsid w:val="003F75FA"/>
    <w:rsid w:val="003F7685"/>
    <w:rsid w:val="003F7767"/>
    <w:rsid w:val="003F77FF"/>
    <w:rsid w:val="003F798F"/>
    <w:rsid w:val="003F79EA"/>
    <w:rsid w:val="003F7A6E"/>
    <w:rsid w:val="003F7C78"/>
    <w:rsid w:val="003F7D10"/>
    <w:rsid w:val="003F7D6D"/>
    <w:rsid w:val="003F7EC5"/>
    <w:rsid w:val="003F7F53"/>
    <w:rsid w:val="0040010C"/>
    <w:rsid w:val="00400186"/>
    <w:rsid w:val="0040019D"/>
    <w:rsid w:val="004003A2"/>
    <w:rsid w:val="004003A4"/>
    <w:rsid w:val="004003B5"/>
    <w:rsid w:val="00400469"/>
    <w:rsid w:val="00400534"/>
    <w:rsid w:val="0040057B"/>
    <w:rsid w:val="004005D0"/>
    <w:rsid w:val="00400601"/>
    <w:rsid w:val="00400745"/>
    <w:rsid w:val="00400782"/>
    <w:rsid w:val="00400901"/>
    <w:rsid w:val="00400936"/>
    <w:rsid w:val="00400A77"/>
    <w:rsid w:val="00400EDB"/>
    <w:rsid w:val="00401059"/>
    <w:rsid w:val="00401075"/>
    <w:rsid w:val="0040123F"/>
    <w:rsid w:val="00401968"/>
    <w:rsid w:val="00401B2F"/>
    <w:rsid w:val="00401EF3"/>
    <w:rsid w:val="004021EA"/>
    <w:rsid w:val="0040224F"/>
    <w:rsid w:val="00402531"/>
    <w:rsid w:val="004025E7"/>
    <w:rsid w:val="00402643"/>
    <w:rsid w:val="0040294B"/>
    <w:rsid w:val="00402AC6"/>
    <w:rsid w:val="00402ED7"/>
    <w:rsid w:val="00403166"/>
    <w:rsid w:val="004039A6"/>
    <w:rsid w:val="00403A60"/>
    <w:rsid w:val="00403E9E"/>
    <w:rsid w:val="00403F25"/>
    <w:rsid w:val="004040C1"/>
    <w:rsid w:val="00404154"/>
    <w:rsid w:val="00404213"/>
    <w:rsid w:val="00404818"/>
    <w:rsid w:val="00404834"/>
    <w:rsid w:val="004049AE"/>
    <w:rsid w:val="004049D4"/>
    <w:rsid w:val="00404C98"/>
    <w:rsid w:val="00404E22"/>
    <w:rsid w:val="00404E2F"/>
    <w:rsid w:val="00404FC6"/>
    <w:rsid w:val="004051D3"/>
    <w:rsid w:val="00405287"/>
    <w:rsid w:val="00405454"/>
    <w:rsid w:val="0040547D"/>
    <w:rsid w:val="004055A4"/>
    <w:rsid w:val="004055BE"/>
    <w:rsid w:val="00405708"/>
    <w:rsid w:val="004057AA"/>
    <w:rsid w:val="00405AC5"/>
    <w:rsid w:val="00405F79"/>
    <w:rsid w:val="00406159"/>
    <w:rsid w:val="00406181"/>
    <w:rsid w:val="0040620F"/>
    <w:rsid w:val="004063D0"/>
    <w:rsid w:val="004063DE"/>
    <w:rsid w:val="0040644C"/>
    <w:rsid w:val="0040650A"/>
    <w:rsid w:val="004066E6"/>
    <w:rsid w:val="0040687E"/>
    <w:rsid w:val="004068A6"/>
    <w:rsid w:val="00406944"/>
    <w:rsid w:val="00406ACA"/>
    <w:rsid w:val="00406EF9"/>
    <w:rsid w:val="00407225"/>
    <w:rsid w:val="00407256"/>
    <w:rsid w:val="00407415"/>
    <w:rsid w:val="0040774E"/>
    <w:rsid w:val="004079EC"/>
    <w:rsid w:val="00407B48"/>
    <w:rsid w:val="00407BFA"/>
    <w:rsid w:val="0041043B"/>
    <w:rsid w:val="00410579"/>
    <w:rsid w:val="00410876"/>
    <w:rsid w:val="004108C8"/>
    <w:rsid w:val="00410A13"/>
    <w:rsid w:val="00410A7B"/>
    <w:rsid w:val="00410C93"/>
    <w:rsid w:val="00410F53"/>
    <w:rsid w:val="00410FCF"/>
    <w:rsid w:val="00411259"/>
    <w:rsid w:val="00411821"/>
    <w:rsid w:val="004118F7"/>
    <w:rsid w:val="0041195F"/>
    <w:rsid w:val="004119CC"/>
    <w:rsid w:val="00411CEF"/>
    <w:rsid w:val="00411D82"/>
    <w:rsid w:val="00411E9D"/>
    <w:rsid w:val="00411ED4"/>
    <w:rsid w:val="00411FD5"/>
    <w:rsid w:val="00412187"/>
    <w:rsid w:val="00412236"/>
    <w:rsid w:val="004122C5"/>
    <w:rsid w:val="00412381"/>
    <w:rsid w:val="00412739"/>
    <w:rsid w:val="00412797"/>
    <w:rsid w:val="004127F5"/>
    <w:rsid w:val="00412B3B"/>
    <w:rsid w:val="00412DD7"/>
    <w:rsid w:val="00412FFE"/>
    <w:rsid w:val="00413212"/>
    <w:rsid w:val="00413558"/>
    <w:rsid w:val="00413795"/>
    <w:rsid w:val="00413A82"/>
    <w:rsid w:val="00413AA4"/>
    <w:rsid w:val="00413CCA"/>
    <w:rsid w:val="00413EE7"/>
    <w:rsid w:val="004140CE"/>
    <w:rsid w:val="00414528"/>
    <w:rsid w:val="004146CF"/>
    <w:rsid w:val="004146D7"/>
    <w:rsid w:val="004146EA"/>
    <w:rsid w:val="004146F8"/>
    <w:rsid w:val="00414CDA"/>
    <w:rsid w:val="00414DE2"/>
    <w:rsid w:val="00414EE4"/>
    <w:rsid w:val="00414F82"/>
    <w:rsid w:val="004156CA"/>
    <w:rsid w:val="00415887"/>
    <w:rsid w:val="004158B1"/>
    <w:rsid w:val="0041593F"/>
    <w:rsid w:val="004159CF"/>
    <w:rsid w:val="00415A20"/>
    <w:rsid w:val="00415A43"/>
    <w:rsid w:val="00415ACF"/>
    <w:rsid w:val="00415B53"/>
    <w:rsid w:val="00415BCC"/>
    <w:rsid w:val="00415DA2"/>
    <w:rsid w:val="00415E5B"/>
    <w:rsid w:val="00415F1B"/>
    <w:rsid w:val="0041622F"/>
    <w:rsid w:val="00416369"/>
    <w:rsid w:val="0041638B"/>
    <w:rsid w:val="004164F9"/>
    <w:rsid w:val="0041659A"/>
    <w:rsid w:val="0041672A"/>
    <w:rsid w:val="004168F7"/>
    <w:rsid w:val="00416A68"/>
    <w:rsid w:val="00416B47"/>
    <w:rsid w:val="00416B91"/>
    <w:rsid w:val="00416E5E"/>
    <w:rsid w:val="00416EF6"/>
    <w:rsid w:val="00416F23"/>
    <w:rsid w:val="00417077"/>
    <w:rsid w:val="004170B3"/>
    <w:rsid w:val="00417199"/>
    <w:rsid w:val="004172A6"/>
    <w:rsid w:val="004174AA"/>
    <w:rsid w:val="004174F2"/>
    <w:rsid w:val="0041753D"/>
    <w:rsid w:val="004178C1"/>
    <w:rsid w:val="00417AEF"/>
    <w:rsid w:val="00417B63"/>
    <w:rsid w:val="00417B83"/>
    <w:rsid w:val="00417C6D"/>
    <w:rsid w:val="0042015F"/>
    <w:rsid w:val="00420194"/>
    <w:rsid w:val="0042051C"/>
    <w:rsid w:val="0042082A"/>
    <w:rsid w:val="00420939"/>
    <w:rsid w:val="00420A08"/>
    <w:rsid w:val="00420B50"/>
    <w:rsid w:val="00420E2A"/>
    <w:rsid w:val="00420E67"/>
    <w:rsid w:val="00420E93"/>
    <w:rsid w:val="0042101A"/>
    <w:rsid w:val="00421027"/>
    <w:rsid w:val="0042158E"/>
    <w:rsid w:val="00421844"/>
    <w:rsid w:val="00421C23"/>
    <w:rsid w:val="00421DEF"/>
    <w:rsid w:val="00422510"/>
    <w:rsid w:val="00422988"/>
    <w:rsid w:val="00422C14"/>
    <w:rsid w:val="00422E93"/>
    <w:rsid w:val="0042332B"/>
    <w:rsid w:val="00423376"/>
    <w:rsid w:val="00423440"/>
    <w:rsid w:val="00423545"/>
    <w:rsid w:val="004235A2"/>
    <w:rsid w:val="00423677"/>
    <w:rsid w:val="004236F3"/>
    <w:rsid w:val="00423731"/>
    <w:rsid w:val="004237CE"/>
    <w:rsid w:val="0042383D"/>
    <w:rsid w:val="00423890"/>
    <w:rsid w:val="004238CC"/>
    <w:rsid w:val="00423927"/>
    <w:rsid w:val="00423AE2"/>
    <w:rsid w:val="00423B98"/>
    <w:rsid w:val="00423CB3"/>
    <w:rsid w:val="00424291"/>
    <w:rsid w:val="00424389"/>
    <w:rsid w:val="004243D1"/>
    <w:rsid w:val="0042443D"/>
    <w:rsid w:val="00424556"/>
    <w:rsid w:val="0042459F"/>
    <w:rsid w:val="0042487F"/>
    <w:rsid w:val="00424EB6"/>
    <w:rsid w:val="00424FF8"/>
    <w:rsid w:val="0042503F"/>
    <w:rsid w:val="00425054"/>
    <w:rsid w:val="004253C4"/>
    <w:rsid w:val="004253EC"/>
    <w:rsid w:val="00425486"/>
    <w:rsid w:val="004258D7"/>
    <w:rsid w:val="00425B72"/>
    <w:rsid w:val="00425BA0"/>
    <w:rsid w:val="00425BF1"/>
    <w:rsid w:val="00425D2C"/>
    <w:rsid w:val="00425D43"/>
    <w:rsid w:val="00425DAE"/>
    <w:rsid w:val="00425DEB"/>
    <w:rsid w:val="00425E0D"/>
    <w:rsid w:val="004265AD"/>
    <w:rsid w:val="004265AE"/>
    <w:rsid w:val="004266D4"/>
    <w:rsid w:val="00426829"/>
    <w:rsid w:val="00426D86"/>
    <w:rsid w:val="00426DFA"/>
    <w:rsid w:val="004270DC"/>
    <w:rsid w:val="0042719B"/>
    <w:rsid w:val="004271FF"/>
    <w:rsid w:val="0042740C"/>
    <w:rsid w:val="0042748A"/>
    <w:rsid w:val="004274DB"/>
    <w:rsid w:val="004274E1"/>
    <w:rsid w:val="00427659"/>
    <w:rsid w:val="004279F6"/>
    <w:rsid w:val="00427CF5"/>
    <w:rsid w:val="00427CF9"/>
    <w:rsid w:val="00427EF2"/>
    <w:rsid w:val="0043006B"/>
    <w:rsid w:val="00430289"/>
    <w:rsid w:val="004304A7"/>
    <w:rsid w:val="004305A7"/>
    <w:rsid w:val="00430C17"/>
    <w:rsid w:val="00430C41"/>
    <w:rsid w:val="00430E83"/>
    <w:rsid w:val="00431019"/>
    <w:rsid w:val="0043127F"/>
    <w:rsid w:val="00431441"/>
    <w:rsid w:val="00431547"/>
    <w:rsid w:val="00431627"/>
    <w:rsid w:val="00431A26"/>
    <w:rsid w:val="00431A5E"/>
    <w:rsid w:val="00431ADF"/>
    <w:rsid w:val="00431D7B"/>
    <w:rsid w:val="00431ED7"/>
    <w:rsid w:val="004320E8"/>
    <w:rsid w:val="0043210F"/>
    <w:rsid w:val="00432245"/>
    <w:rsid w:val="004325BA"/>
    <w:rsid w:val="004326A1"/>
    <w:rsid w:val="004326A6"/>
    <w:rsid w:val="00432867"/>
    <w:rsid w:val="0043294E"/>
    <w:rsid w:val="00432A2B"/>
    <w:rsid w:val="00432B40"/>
    <w:rsid w:val="00432CE5"/>
    <w:rsid w:val="0043300D"/>
    <w:rsid w:val="0043306D"/>
    <w:rsid w:val="00433143"/>
    <w:rsid w:val="0043315B"/>
    <w:rsid w:val="004333B9"/>
    <w:rsid w:val="00433419"/>
    <w:rsid w:val="004335D7"/>
    <w:rsid w:val="004335E5"/>
    <w:rsid w:val="00433A0F"/>
    <w:rsid w:val="00433A27"/>
    <w:rsid w:val="00433C72"/>
    <w:rsid w:val="00433C8B"/>
    <w:rsid w:val="00433E27"/>
    <w:rsid w:val="00433E56"/>
    <w:rsid w:val="00433EDF"/>
    <w:rsid w:val="00433F7C"/>
    <w:rsid w:val="00434039"/>
    <w:rsid w:val="00434206"/>
    <w:rsid w:val="004345F3"/>
    <w:rsid w:val="004349A6"/>
    <w:rsid w:val="00434A10"/>
    <w:rsid w:val="00434ACE"/>
    <w:rsid w:val="00434BA5"/>
    <w:rsid w:val="00434BD8"/>
    <w:rsid w:val="00434F2E"/>
    <w:rsid w:val="0043502C"/>
    <w:rsid w:val="004352A3"/>
    <w:rsid w:val="004352B2"/>
    <w:rsid w:val="004354D2"/>
    <w:rsid w:val="0043573C"/>
    <w:rsid w:val="004357A6"/>
    <w:rsid w:val="0043584A"/>
    <w:rsid w:val="004359D8"/>
    <w:rsid w:val="00435E82"/>
    <w:rsid w:val="00435F33"/>
    <w:rsid w:val="00435F6B"/>
    <w:rsid w:val="00435FF8"/>
    <w:rsid w:val="00436285"/>
    <w:rsid w:val="004363D8"/>
    <w:rsid w:val="00436667"/>
    <w:rsid w:val="004367DF"/>
    <w:rsid w:val="0043694B"/>
    <w:rsid w:val="004369C5"/>
    <w:rsid w:val="004369FE"/>
    <w:rsid w:val="00436AD4"/>
    <w:rsid w:val="00436AE6"/>
    <w:rsid w:val="00436B6E"/>
    <w:rsid w:val="00436E30"/>
    <w:rsid w:val="00436FDB"/>
    <w:rsid w:val="00437079"/>
    <w:rsid w:val="0043714A"/>
    <w:rsid w:val="00437330"/>
    <w:rsid w:val="00437452"/>
    <w:rsid w:val="0043766C"/>
    <w:rsid w:val="004377CD"/>
    <w:rsid w:val="0043784C"/>
    <w:rsid w:val="0043785D"/>
    <w:rsid w:val="00437987"/>
    <w:rsid w:val="00437B34"/>
    <w:rsid w:val="00437B47"/>
    <w:rsid w:val="00437BA9"/>
    <w:rsid w:val="00437CB7"/>
    <w:rsid w:val="00437CCA"/>
    <w:rsid w:val="00437D0C"/>
    <w:rsid w:val="00440318"/>
    <w:rsid w:val="00440380"/>
    <w:rsid w:val="00440496"/>
    <w:rsid w:val="00440658"/>
    <w:rsid w:val="004406CB"/>
    <w:rsid w:val="004406EC"/>
    <w:rsid w:val="00440788"/>
    <w:rsid w:val="00440809"/>
    <w:rsid w:val="00440852"/>
    <w:rsid w:val="004408BB"/>
    <w:rsid w:val="00440917"/>
    <w:rsid w:val="00440CEC"/>
    <w:rsid w:val="004413D6"/>
    <w:rsid w:val="004414E4"/>
    <w:rsid w:val="0044156E"/>
    <w:rsid w:val="004415D0"/>
    <w:rsid w:val="0044190A"/>
    <w:rsid w:val="00441A92"/>
    <w:rsid w:val="004421B6"/>
    <w:rsid w:val="004422AD"/>
    <w:rsid w:val="0044233A"/>
    <w:rsid w:val="00442398"/>
    <w:rsid w:val="00442449"/>
    <w:rsid w:val="004424D2"/>
    <w:rsid w:val="004429C5"/>
    <w:rsid w:val="00442B6F"/>
    <w:rsid w:val="00442D46"/>
    <w:rsid w:val="00442FF9"/>
    <w:rsid w:val="004431AE"/>
    <w:rsid w:val="0044342C"/>
    <w:rsid w:val="004435D1"/>
    <w:rsid w:val="00443644"/>
    <w:rsid w:val="00443707"/>
    <w:rsid w:val="004438A9"/>
    <w:rsid w:val="00443FD9"/>
    <w:rsid w:val="00444456"/>
    <w:rsid w:val="00444470"/>
    <w:rsid w:val="004446E5"/>
    <w:rsid w:val="00444738"/>
    <w:rsid w:val="0044475E"/>
    <w:rsid w:val="0044481A"/>
    <w:rsid w:val="0044482E"/>
    <w:rsid w:val="00444923"/>
    <w:rsid w:val="004449C7"/>
    <w:rsid w:val="00444D8A"/>
    <w:rsid w:val="00444F54"/>
    <w:rsid w:val="0044501A"/>
    <w:rsid w:val="00445020"/>
    <w:rsid w:val="00445319"/>
    <w:rsid w:val="00445384"/>
    <w:rsid w:val="004453D0"/>
    <w:rsid w:val="004455BA"/>
    <w:rsid w:val="004456FA"/>
    <w:rsid w:val="00445816"/>
    <w:rsid w:val="00445A73"/>
    <w:rsid w:val="00445C47"/>
    <w:rsid w:val="00446267"/>
    <w:rsid w:val="00446482"/>
    <w:rsid w:val="00446521"/>
    <w:rsid w:val="00446588"/>
    <w:rsid w:val="00446685"/>
    <w:rsid w:val="00446789"/>
    <w:rsid w:val="0044679E"/>
    <w:rsid w:val="0044690E"/>
    <w:rsid w:val="00446937"/>
    <w:rsid w:val="00446C2C"/>
    <w:rsid w:val="00446C39"/>
    <w:rsid w:val="00446DEF"/>
    <w:rsid w:val="00446EC2"/>
    <w:rsid w:val="00446F39"/>
    <w:rsid w:val="00446FA5"/>
    <w:rsid w:val="00447041"/>
    <w:rsid w:val="00447273"/>
    <w:rsid w:val="0044792D"/>
    <w:rsid w:val="0044796B"/>
    <w:rsid w:val="00447ADE"/>
    <w:rsid w:val="00447C6A"/>
    <w:rsid w:val="00447C99"/>
    <w:rsid w:val="0045003D"/>
    <w:rsid w:val="00450327"/>
    <w:rsid w:val="0045043A"/>
    <w:rsid w:val="004506D5"/>
    <w:rsid w:val="0045075F"/>
    <w:rsid w:val="00450794"/>
    <w:rsid w:val="00450983"/>
    <w:rsid w:val="00450B84"/>
    <w:rsid w:val="00450C56"/>
    <w:rsid w:val="00450CCF"/>
    <w:rsid w:val="00450DF2"/>
    <w:rsid w:val="00450E12"/>
    <w:rsid w:val="00450F5A"/>
    <w:rsid w:val="0045105E"/>
    <w:rsid w:val="0045112C"/>
    <w:rsid w:val="004513AC"/>
    <w:rsid w:val="004515BA"/>
    <w:rsid w:val="004516A5"/>
    <w:rsid w:val="004516EA"/>
    <w:rsid w:val="00451A0F"/>
    <w:rsid w:val="00451A82"/>
    <w:rsid w:val="00451D43"/>
    <w:rsid w:val="00451E51"/>
    <w:rsid w:val="00451F97"/>
    <w:rsid w:val="00452068"/>
    <w:rsid w:val="004521BF"/>
    <w:rsid w:val="00452245"/>
    <w:rsid w:val="00452345"/>
    <w:rsid w:val="004524C5"/>
    <w:rsid w:val="00452568"/>
    <w:rsid w:val="00452879"/>
    <w:rsid w:val="0045287C"/>
    <w:rsid w:val="00452A5D"/>
    <w:rsid w:val="00452A96"/>
    <w:rsid w:val="00452B7E"/>
    <w:rsid w:val="00452BF5"/>
    <w:rsid w:val="00452C10"/>
    <w:rsid w:val="00452C2F"/>
    <w:rsid w:val="00452DC0"/>
    <w:rsid w:val="00452F8F"/>
    <w:rsid w:val="00453243"/>
    <w:rsid w:val="0045328B"/>
    <w:rsid w:val="00453643"/>
    <w:rsid w:val="0045379B"/>
    <w:rsid w:val="004537A0"/>
    <w:rsid w:val="004538D5"/>
    <w:rsid w:val="00453927"/>
    <w:rsid w:val="00453A37"/>
    <w:rsid w:val="00453A8C"/>
    <w:rsid w:val="00453B20"/>
    <w:rsid w:val="00453BD0"/>
    <w:rsid w:val="00453DFA"/>
    <w:rsid w:val="00454164"/>
    <w:rsid w:val="0045429F"/>
    <w:rsid w:val="00454446"/>
    <w:rsid w:val="004547EA"/>
    <w:rsid w:val="00454B52"/>
    <w:rsid w:val="00454E47"/>
    <w:rsid w:val="00454F43"/>
    <w:rsid w:val="0045503D"/>
    <w:rsid w:val="004551A0"/>
    <w:rsid w:val="004551E3"/>
    <w:rsid w:val="004552C3"/>
    <w:rsid w:val="0045537C"/>
    <w:rsid w:val="004554D9"/>
    <w:rsid w:val="0045557B"/>
    <w:rsid w:val="004556E6"/>
    <w:rsid w:val="00455807"/>
    <w:rsid w:val="00455CC1"/>
    <w:rsid w:val="00455DBE"/>
    <w:rsid w:val="00455E0A"/>
    <w:rsid w:val="00455E44"/>
    <w:rsid w:val="0045610C"/>
    <w:rsid w:val="00456210"/>
    <w:rsid w:val="0045632F"/>
    <w:rsid w:val="0045652E"/>
    <w:rsid w:val="00456771"/>
    <w:rsid w:val="0045693D"/>
    <w:rsid w:val="00456AF8"/>
    <w:rsid w:val="00456C07"/>
    <w:rsid w:val="00456D45"/>
    <w:rsid w:val="004573B5"/>
    <w:rsid w:val="00457481"/>
    <w:rsid w:val="004575F8"/>
    <w:rsid w:val="00457663"/>
    <w:rsid w:val="00457753"/>
    <w:rsid w:val="00457A81"/>
    <w:rsid w:val="00457E55"/>
    <w:rsid w:val="00457EA0"/>
    <w:rsid w:val="00457F2E"/>
    <w:rsid w:val="0046051A"/>
    <w:rsid w:val="00460891"/>
    <w:rsid w:val="0046097C"/>
    <w:rsid w:val="004609D1"/>
    <w:rsid w:val="00460BC5"/>
    <w:rsid w:val="00460D30"/>
    <w:rsid w:val="00460FCB"/>
    <w:rsid w:val="004610D0"/>
    <w:rsid w:val="00461197"/>
    <w:rsid w:val="004611BC"/>
    <w:rsid w:val="00461350"/>
    <w:rsid w:val="004613B3"/>
    <w:rsid w:val="004614A0"/>
    <w:rsid w:val="0046153E"/>
    <w:rsid w:val="0046159E"/>
    <w:rsid w:val="00461A41"/>
    <w:rsid w:val="00461BEF"/>
    <w:rsid w:val="00461D10"/>
    <w:rsid w:val="00461F91"/>
    <w:rsid w:val="00462377"/>
    <w:rsid w:val="00462456"/>
    <w:rsid w:val="004624FF"/>
    <w:rsid w:val="00462683"/>
    <w:rsid w:val="00462805"/>
    <w:rsid w:val="00462851"/>
    <w:rsid w:val="0046286B"/>
    <w:rsid w:val="00462BBA"/>
    <w:rsid w:val="00462C1D"/>
    <w:rsid w:val="00462D26"/>
    <w:rsid w:val="004630AC"/>
    <w:rsid w:val="0046342B"/>
    <w:rsid w:val="00463458"/>
    <w:rsid w:val="00463A08"/>
    <w:rsid w:val="00463B56"/>
    <w:rsid w:val="00463BEA"/>
    <w:rsid w:val="00463C66"/>
    <w:rsid w:val="00463C7B"/>
    <w:rsid w:val="00463CD2"/>
    <w:rsid w:val="00463E06"/>
    <w:rsid w:val="00463ED6"/>
    <w:rsid w:val="00463F12"/>
    <w:rsid w:val="00463F5A"/>
    <w:rsid w:val="00463F5E"/>
    <w:rsid w:val="00463F77"/>
    <w:rsid w:val="00464047"/>
    <w:rsid w:val="004640B8"/>
    <w:rsid w:val="004649EB"/>
    <w:rsid w:val="00464A41"/>
    <w:rsid w:val="00464C14"/>
    <w:rsid w:val="00464CD3"/>
    <w:rsid w:val="00464D9A"/>
    <w:rsid w:val="00464DED"/>
    <w:rsid w:val="00464E3C"/>
    <w:rsid w:val="00465014"/>
    <w:rsid w:val="00465051"/>
    <w:rsid w:val="00465329"/>
    <w:rsid w:val="00465384"/>
    <w:rsid w:val="00465414"/>
    <w:rsid w:val="0046544E"/>
    <w:rsid w:val="00465609"/>
    <w:rsid w:val="0046580D"/>
    <w:rsid w:val="00465828"/>
    <w:rsid w:val="004659BC"/>
    <w:rsid w:val="00465BEC"/>
    <w:rsid w:val="00465C0F"/>
    <w:rsid w:val="00465C95"/>
    <w:rsid w:val="00465DCE"/>
    <w:rsid w:val="00466024"/>
    <w:rsid w:val="004662B8"/>
    <w:rsid w:val="004663E5"/>
    <w:rsid w:val="004665F9"/>
    <w:rsid w:val="0046666A"/>
    <w:rsid w:val="00466885"/>
    <w:rsid w:val="00466C96"/>
    <w:rsid w:val="00466D10"/>
    <w:rsid w:val="00466EB2"/>
    <w:rsid w:val="00466FDF"/>
    <w:rsid w:val="00467002"/>
    <w:rsid w:val="0046701A"/>
    <w:rsid w:val="00467186"/>
    <w:rsid w:val="00467264"/>
    <w:rsid w:val="0046734D"/>
    <w:rsid w:val="00467382"/>
    <w:rsid w:val="00467792"/>
    <w:rsid w:val="00467AF1"/>
    <w:rsid w:val="00467D9A"/>
    <w:rsid w:val="00467DAB"/>
    <w:rsid w:val="004700A0"/>
    <w:rsid w:val="00470163"/>
    <w:rsid w:val="004702D3"/>
    <w:rsid w:val="00470489"/>
    <w:rsid w:val="00470653"/>
    <w:rsid w:val="004706CD"/>
    <w:rsid w:val="004706DC"/>
    <w:rsid w:val="004709B5"/>
    <w:rsid w:val="004709EF"/>
    <w:rsid w:val="004709FE"/>
    <w:rsid w:val="00470A73"/>
    <w:rsid w:val="00470C71"/>
    <w:rsid w:val="00470D9E"/>
    <w:rsid w:val="00470ED0"/>
    <w:rsid w:val="00470FB8"/>
    <w:rsid w:val="00471185"/>
    <w:rsid w:val="004712FD"/>
    <w:rsid w:val="00471666"/>
    <w:rsid w:val="00471865"/>
    <w:rsid w:val="00471987"/>
    <w:rsid w:val="004719D9"/>
    <w:rsid w:val="00471AD4"/>
    <w:rsid w:val="0047205A"/>
    <w:rsid w:val="00472075"/>
    <w:rsid w:val="00472207"/>
    <w:rsid w:val="0047221A"/>
    <w:rsid w:val="004723B4"/>
    <w:rsid w:val="004723B5"/>
    <w:rsid w:val="0047244D"/>
    <w:rsid w:val="00472538"/>
    <w:rsid w:val="004729D1"/>
    <w:rsid w:val="00472ABA"/>
    <w:rsid w:val="00472B4E"/>
    <w:rsid w:val="00472B66"/>
    <w:rsid w:val="00472CC7"/>
    <w:rsid w:val="00472ED6"/>
    <w:rsid w:val="00472F44"/>
    <w:rsid w:val="00473256"/>
    <w:rsid w:val="0047354C"/>
    <w:rsid w:val="00473608"/>
    <w:rsid w:val="004736C0"/>
    <w:rsid w:val="0047380A"/>
    <w:rsid w:val="00473849"/>
    <w:rsid w:val="00473C0C"/>
    <w:rsid w:val="00473E1A"/>
    <w:rsid w:val="00473F87"/>
    <w:rsid w:val="00474005"/>
    <w:rsid w:val="0047404A"/>
    <w:rsid w:val="004741D5"/>
    <w:rsid w:val="004741DB"/>
    <w:rsid w:val="00474300"/>
    <w:rsid w:val="0047437C"/>
    <w:rsid w:val="0047457E"/>
    <w:rsid w:val="004749AD"/>
    <w:rsid w:val="004749D8"/>
    <w:rsid w:val="00474AEB"/>
    <w:rsid w:val="00474B3B"/>
    <w:rsid w:val="00474B7B"/>
    <w:rsid w:val="00474BF7"/>
    <w:rsid w:val="00474CD3"/>
    <w:rsid w:val="00474EA5"/>
    <w:rsid w:val="00474F43"/>
    <w:rsid w:val="0047524F"/>
    <w:rsid w:val="004754B3"/>
    <w:rsid w:val="00475574"/>
    <w:rsid w:val="004758EC"/>
    <w:rsid w:val="00475994"/>
    <w:rsid w:val="00475AD4"/>
    <w:rsid w:val="00475B88"/>
    <w:rsid w:val="00475C9B"/>
    <w:rsid w:val="00475CE1"/>
    <w:rsid w:val="00475D24"/>
    <w:rsid w:val="00475F0F"/>
    <w:rsid w:val="00476046"/>
    <w:rsid w:val="00476309"/>
    <w:rsid w:val="0047683A"/>
    <w:rsid w:val="0047688B"/>
    <w:rsid w:val="00476A78"/>
    <w:rsid w:val="00476CED"/>
    <w:rsid w:val="00476DB6"/>
    <w:rsid w:val="00477047"/>
    <w:rsid w:val="004772DB"/>
    <w:rsid w:val="004773C4"/>
    <w:rsid w:val="004775AD"/>
    <w:rsid w:val="0047760D"/>
    <w:rsid w:val="00477D46"/>
    <w:rsid w:val="00477D57"/>
    <w:rsid w:val="00477DFB"/>
    <w:rsid w:val="00477F88"/>
    <w:rsid w:val="00480156"/>
    <w:rsid w:val="0048036F"/>
    <w:rsid w:val="004804F5"/>
    <w:rsid w:val="0048058A"/>
    <w:rsid w:val="00480599"/>
    <w:rsid w:val="004805B5"/>
    <w:rsid w:val="004808AB"/>
    <w:rsid w:val="004808FB"/>
    <w:rsid w:val="00480A29"/>
    <w:rsid w:val="00480BD3"/>
    <w:rsid w:val="00480C5F"/>
    <w:rsid w:val="00480D1C"/>
    <w:rsid w:val="00480FBB"/>
    <w:rsid w:val="0048107F"/>
    <w:rsid w:val="004810D2"/>
    <w:rsid w:val="00481572"/>
    <w:rsid w:val="004815D2"/>
    <w:rsid w:val="0048179D"/>
    <w:rsid w:val="0048195D"/>
    <w:rsid w:val="00481C4A"/>
    <w:rsid w:val="00481E95"/>
    <w:rsid w:val="004821D1"/>
    <w:rsid w:val="0048287F"/>
    <w:rsid w:val="004829F2"/>
    <w:rsid w:val="00482B24"/>
    <w:rsid w:val="00482E59"/>
    <w:rsid w:val="0048313E"/>
    <w:rsid w:val="004832BF"/>
    <w:rsid w:val="00483929"/>
    <w:rsid w:val="00483985"/>
    <w:rsid w:val="004839D1"/>
    <w:rsid w:val="00483AEF"/>
    <w:rsid w:val="00483BDF"/>
    <w:rsid w:val="00483D6C"/>
    <w:rsid w:val="00483EE9"/>
    <w:rsid w:val="00484126"/>
    <w:rsid w:val="00484226"/>
    <w:rsid w:val="00484514"/>
    <w:rsid w:val="0048451F"/>
    <w:rsid w:val="00484549"/>
    <w:rsid w:val="0048467C"/>
    <w:rsid w:val="004846B0"/>
    <w:rsid w:val="00484985"/>
    <w:rsid w:val="00484FA9"/>
    <w:rsid w:val="0048513F"/>
    <w:rsid w:val="00485161"/>
    <w:rsid w:val="00485163"/>
    <w:rsid w:val="004852C1"/>
    <w:rsid w:val="004852D4"/>
    <w:rsid w:val="00485357"/>
    <w:rsid w:val="00485495"/>
    <w:rsid w:val="00485569"/>
    <w:rsid w:val="00485625"/>
    <w:rsid w:val="004856CB"/>
    <w:rsid w:val="004858BD"/>
    <w:rsid w:val="00485938"/>
    <w:rsid w:val="00485AE6"/>
    <w:rsid w:val="00485B46"/>
    <w:rsid w:val="00485BC4"/>
    <w:rsid w:val="00485FBF"/>
    <w:rsid w:val="0048658C"/>
    <w:rsid w:val="00486749"/>
    <w:rsid w:val="00486882"/>
    <w:rsid w:val="0048696D"/>
    <w:rsid w:val="00486A5F"/>
    <w:rsid w:val="00486C09"/>
    <w:rsid w:val="00486C2B"/>
    <w:rsid w:val="00486CD0"/>
    <w:rsid w:val="00486E3B"/>
    <w:rsid w:val="004871DF"/>
    <w:rsid w:val="00487513"/>
    <w:rsid w:val="004876C5"/>
    <w:rsid w:val="0048781B"/>
    <w:rsid w:val="00487DE4"/>
    <w:rsid w:val="00487EB1"/>
    <w:rsid w:val="0049024F"/>
    <w:rsid w:val="00490285"/>
    <w:rsid w:val="004903FB"/>
    <w:rsid w:val="004905E0"/>
    <w:rsid w:val="0049061E"/>
    <w:rsid w:val="00490741"/>
    <w:rsid w:val="00490757"/>
    <w:rsid w:val="0049078A"/>
    <w:rsid w:val="00490932"/>
    <w:rsid w:val="00490AA2"/>
    <w:rsid w:val="00490AFA"/>
    <w:rsid w:val="00490B53"/>
    <w:rsid w:val="00490C52"/>
    <w:rsid w:val="00490F90"/>
    <w:rsid w:val="0049108B"/>
    <w:rsid w:val="00491124"/>
    <w:rsid w:val="004913DB"/>
    <w:rsid w:val="0049151A"/>
    <w:rsid w:val="0049154F"/>
    <w:rsid w:val="0049173E"/>
    <w:rsid w:val="00491912"/>
    <w:rsid w:val="004919E0"/>
    <w:rsid w:val="00491CE9"/>
    <w:rsid w:val="00491F1D"/>
    <w:rsid w:val="00491FA2"/>
    <w:rsid w:val="0049207B"/>
    <w:rsid w:val="004921E6"/>
    <w:rsid w:val="00492329"/>
    <w:rsid w:val="0049234F"/>
    <w:rsid w:val="0049241E"/>
    <w:rsid w:val="00492664"/>
    <w:rsid w:val="00492741"/>
    <w:rsid w:val="0049283F"/>
    <w:rsid w:val="00492878"/>
    <w:rsid w:val="00492D08"/>
    <w:rsid w:val="004934DA"/>
    <w:rsid w:val="004935B1"/>
    <w:rsid w:val="004936E0"/>
    <w:rsid w:val="00493781"/>
    <w:rsid w:val="004937C4"/>
    <w:rsid w:val="0049387C"/>
    <w:rsid w:val="00493B8B"/>
    <w:rsid w:val="00493CC3"/>
    <w:rsid w:val="00494231"/>
    <w:rsid w:val="0049443E"/>
    <w:rsid w:val="00494700"/>
    <w:rsid w:val="0049470E"/>
    <w:rsid w:val="0049471D"/>
    <w:rsid w:val="0049479C"/>
    <w:rsid w:val="0049489B"/>
    <w:rsid w:val="004948BD"/>
    <w:rsid w:val="0049501C"/>
    <w:rsid w:val="00495032"/>
    <w:rsid w:val="0049520B"/>
    <w:rsid w:val="0049522A"/>
    <w:rsid w:val="00495233"/>
    <w:rsid w:val="004952FD"/>
    <w:rsid w:val="00495696"/>
    <w:rsid w:val="004958B9"/>
    <w:rsid w:val="00495A29"/>
    <w:rsid w:val="00495AAD"/>
    <w:rsid w:val="00495AB8"/>
    <w:rsid w:val="00495BAE"/>
    <w:rsid w:val="00495BF6"/>
    <w:rsid w:val="00495C53"/>
    <w:rsid w:val="00495E1D"/>
    <w:rsid w:val="00495F5E"/>
    <w:rsid w:val="00496156"/>
    <w:rsid w:val="0049615E"/>
    <w:rsid w:val="00496244"/>
    <w:rsid w:val="00496356"/>
    <w:rsid w:val="00496655"/>
    <w:rsid w:val="004969A8"/>
    <w:rsid w:val="00496B02"/>
    <w:rsid w:val="00496CCC"/>
    <w:rsid w:val="00496D3C"/>
    <w:rsid w:val="00496DE7"/>
    <w:rsid w:val="00496DFF"/>
    <w:rsid w:val="004970ED"/>
    <w:rsid w:val="004973E1"/>
    <w:rsid w:val="0049759F"/>
    <w:rsid w:val="004975FE"/>
    <w:rsid w:val="004976B8"/>
    <w:rsid w:val="004A0039"/>
    <w:rsid w:val="004A040F"/>
    <w:rsid w:val="004A05F2"/>
    <w:rsid w:val="004A05F9"/>
    <w:rsid w:val="004A0657"/>
    <w:rsid w:val="004A0693"/>
    <w:rsid w:val="004A092E"/>
    <w:rsid w:val="004A0950"/>
    <w:rsid w:val="004A0972"/>
    <w:rsid w:val="004A0BCF"/>
    <w:rsid w:val="004A0BE7"/>
    <w:rsid w:val="004A10BB"/>
    <w:rsid w:val="004A12D3"/>
    <w:rsid w:val="004A1543"/>
    <w:rsid w:val="004A15B5"/>
    <w:rsid w:val="004A1633"/>
    <w:rsid w:val="004A1865"/>
    <w:rsid w:val="004A193F"/>
    <w:rsid w:val="004A19C1"/>
    <w:rsid w:val="004A19CE"/>
    <w:rsid w:val="004A19F3"/>
    <w:rsid w:val="004A1D86"/>
    <w:rsid w:val="004A1D92"/>
    <w:rsid w:val="004A1E19"/>
    <w:rsid w:val="004A2279"/>
    <w:rsid w:val="004A23A7"/>
    <w:rsid w:val="004A24D7"/>
    <w:rsid w:val="004A28C3"/>
    <w:rsid w:val="004A293F"/>
    <w:rsid w:val="004A2A42"/>
    <w:rsid w:val="004A2B9A"/>
    <w:rsid w:val="004A2CEB"/>
    <w:rsid w:val="004A2E0B"/>
    <w:rsid w:val="004A2FD1"/>
    <w:rsid w:val="004A333B"/>
    <w:rsid w:val="004A3389"/>
    <w:rsid w:val="004A3999"/>
    <w:rsid w:val="004A399B"/>
    <w:rsid w:val="004A3DA3"/>
    <w:rsid w:val="004A3E8A"/>
    <w:rsid w:val="004A42BD"/>
    <w:rsid w:val="004A445C"/>
    <w:rsid w:val="004A4A16"/>
    <w:rsid w:val="004A4C71"/>
    <w:rsid w:val="004A4D4D"/>
    <w:rsid w:val="004A4E97"/>
    <w:rsid w:val="004A5259"/>
    <w:rsid w:val="004A5476"/>
    <w:rsid w:val="004A553E"/>
    <w:rsid w:val="004A563A"/>
    <w:rsid w:val="004A56EF"/>
    <w:rsid w:val="004A57A7"/>
    <w:rsid w:val="004A58DC"/>
    <w:rsid w:val="004A59DF"/>
    <w:rsid w:val="004A5BB9"/>
    <w:rsid w:val="004A5BCF"/>
    <w:rsid w:val="004A5D41"/>
    <w:rsid w:val="004A5E6B"/>
    <w:rsid w:val="004A5E79"/>
    <w:rsid w:val="004A5EFF"/>
    <w:rsid w:val="004A6852"/>
    <w:rsid w:val="004A6B2E"/>
    <w:rsid w:val="004A6B56"/>
    <w:rsid w:val="004A6CCE"/>
    <w:rsid w:val="004A6D94"/>
    <w:rsid w:val="004A6E5C"/>
    <w:rsid w:val="004A7128"/>
    <w:rsid w:val="004A73D5"/>
    <w:rsid w:val="004A73DC"/>
    <w:rsid w:val="004A73F0"/>
    <w:rsid w:val="004A7528"/>
    <w:rsid w:val="004A7C3B"/>
    <w:rsid w:val="004A7D1F"/>
    <w:rsid w:val="004A7E07"/>
    <w:rsid w:val="004A7F69"/>
    <w:rsid w:val="004A7F97"/>
    <w:rsid w:val="004A7FDF"/>
    <w:rsid w:val="004A7FE3"/>
    <w:rsid w:val="004B0233"/>
    <w:rsid w:val="004B08CA"/>
    <w:rsid w:val="004B0939"/>
    <w:rsid w:val="004B0E29"/>
    <w:rsid w:val="004B0FBD"/>
    <w:rsid w:val="004B0FFF"/>
    <w:rsid w:val="004B1170"/>
    <w:rsid w:val="004B1358"/>
    <w:rsid w:val="004B13CE"/>
    <w:rsid w:val="004B13DC"/>
    <w:rsid w:val="004B13EF"/>
    <w:rsid w:val="004B13FA"/>
    <w:rsid w:val="004B14C2"/>
    <w:rsid w:val="004B158C"/>
    <w:rsid w:val="004B1608"/>
    <w:rsid w:val="004B174B"/>
    <w:rsid w:val="004B17C3"/>
    <w:rsid w:val="004B17E8"/>
    <w:rsid w:val="004B17F1"/>
    <w:rsid w:val="004B1894"/>
    <w:rsid w:val="004B1A6E"/>
    <w:rsid w:val="004B1B8B"/>
    <w:rsid w:val="004B1F4C"/>
    <w:rsid w:val="004B1F78"/>
    <w:rsid w:val="004B200C"/>
    <w:rsid w:val="004B21AC"/>
    <w:rsid w:val="004B2238"/>
    <w:rsid w:val="004B26A7"/>
    <w:rsid w:val="004B28D7"/>
    <w:rsid w:val="004B29D8"/>
    <w:rsid w:val="004B2A5E"/>
    <w:rsid w:val="004B2BE1"/>
    <w:rsid w:val="004B2C93"/>
    <w:rsid w:val="004B3057"/>
    <w:rsid w:val="004B3097"/>
    <w:rsid w:val="004B3270"/>
    <w:rsid w:val="004B36C9"/>
    <w:rsid w:val="004B36E0"/>
    <w:rsid w:val="004B3905"/>
    <w:rsid w:val="004B3930"/>
    <w:rsid w:val="004B3AA6"/>
    <w:rsid w:val="004B3AF3"/>
    <w:rsid w:val="004B3F91"/>
    <w:rsid w:val="004B4283"/>
    <w:rsid w:val="004B478C"/>
    <w:rsid w:val="004B4794"/>
    <w:rsid w:val="004B483F"/>
    <w:rsid w:val="004B48E7"/>
    <w:rsid w:val="004B49D6"/>
    <w:rsid w:val="004B4A40"/>
    <w:rsid w:val="004B4AFE"/>
    <w:rsid w:val="004B4B13"/>
    <w:rsid w:val="004B4CCD"/>
    <w:rsid w:val="004B4D2B"/>
    <w:rsid w:val="004B4D54"/>
    <w:rsid w:val="004B4D91"/>
    <w:rsid w:val="004B4DDB"/>
    <w:rsid w:val="004B4E79"/>
    <w:rsid w:val="004B4FD4"/>
    <w:rsid w:val="004B5038"/>
    <w:rsid w:val="004B50B8"/>
    <w:rsid w:val="004B5295"/>
    <w:rsid w:val="004B55B9"/>
    <w:rsid w:val="004B55CC"/>
    <w:rsid w:val="004B560B"/>
    <w:rsid w:val="004B5653"/>
    <w:rsid w:val="004B5687"/>
    <w:rsid w:val="004B59F2"/>
    <w:rsid w:val="004B5A0E"/>
    <w:rsid w:val="004B5AEA"/>
    <w:rsid w:val="004B5E3B"/>
    <w:rsid w:val="004B5F92"/>
    <w:rsid w:val="004B601F"/>
    <w:rsid w:val="004B6186"/>
    <w:rsid w:val="004B6365"/>
    <w:rsid w:val="004B636D"/>
    <w:rsid w:val="004B64A3"/>
    <w:rsid w:val="004B677D"/>
    <w:rsid w:val="004B67FE"/>
    <w:rsid w:val="004B6991"/>
    <w:rsid w:val="004B69C0"/>
    <w:rsid w:val="004B6AD3"/>
    <w:rsid w:val="004B6B04"/>
    <w:rsid w:val="004B6E55"/>
    <w:rsid w:val="004B6FC8"/>
    <w:rsid w:val="004B71C6"/>
    <w:rsid w:val="004B72DF"/>
    <w:rsid w:val="004B735E"/>
    <w:rsid w:val="004B7428"/>
    <w:rsid w:val="004B776D"/>
    <w:rsid w:val="004B7BB0"/>
    <w:rsid w:val="004B7D17"/>
    <w:rsid w:val="004B7F79"/>
    <w:rsid w:val="004C0162"/>
    <w:rsid w:val="004C024E"/>
    <w:rsid w:val="004C04FD"/>
    <w:rsid w:val="004C0550"/>
    <w:rsid w:val="004C06EE"/>
    <w:rsid w:val="004C06F3"/>
    <w:rsid w:val="004C086F"/>
    <w:rsid w:val="004C08D4"/>
    <w:rsid w:val="004C0A6B"/>
    <w:rsid w:val="004C0CEC"/>
    <w:rsid w:val="004C0DE0"/>
    <w:rsid w:val="004C0F11"/>
    <w:rsid w:val="004C11AD"/>
    <w:rsid w:val="004C1230"/>
    <w:rsid w:val="004C162B"/>
    <w:rsid w:val="004C16AD"/>
    <w:rsid w:val="004C19C2"/>
    <w:rsid w:val="004C19CD"/>
    <w:rsid w:val="004C1A5A"/>
    <w:rsid w:val="004C1B14"/>
    <w:rsid w:val="004C1DBD"/>
    <w:rsid w:val="004C1E39"/>
    <w:rsid w:val="004C1E5A"/>
    <w:rsid w:val="004C22B5"/>
    <w:rsid w:val="004C26B5"/>
    <w:rsid w:val="004C29F7"/>
    <w:rsid w:val="004C2AD1"/>
    <w:rsid w:val="004C2B44"/>
    <w:rsid w:val="004C2DD9"/>
    <w:rsid w:val="004C2ED9"/>
    <w:rsid w:val="004C2FF5"/>
    <w:rsid w:val="004C3133"/>
    <w:rsid w:val="004C31AB"/>
    <w:rsid w:val="004C329E"/>
    <w:rsid w:val="004C33C0"/>
    <w:rsid w:val="004C33CF"/>
    <w:rsid w:val="004C34B0"/>
    <w:rsid w:val="004C3678"/>
    <w:rsid w:val="004C36B0"/>
    <w:rsid w:val="004C374E"/>
    <w:rsid w:val="004C3899"/>
    <w:rsid w:val="004C398A"/>
    <w:rsid w:val="004C39EC"/>
    <w:rsid w:val="004C3AE6"/>
    <w:rsid w:val="004C41C2"/>
    <w:rsid w:val="004C446E"/>
    <w:rsid w:val="004C4515"/>
    <w:rsid w:val="004C451E"/>
    <w:rsid w:val="004C4629"/>
    <w:rsid w:val="004C4748"/>
    <w:rsid w:val="004C47A3"/>
    <w:rsid w:val="004C47EE"/>
    <w:rsid w:val="004C4931"/>
    <w:rsid w:val="004C4A02"/>
    <w:rsid w:val="004C4B0F"/>
    <w:rsid w:val="004C4F2D"/>
    <w:rsid w:val="004C51E1"/>
    <w:rsid w:val="004C5260"/>
    <w:rsid w:val="004C538A"/>
    <w:rsid w:val="004C53B3"/>
    <w:rsid w:val="004C54CD"/>
    <w:rsid w:val="004C55A1"/>
    <w:rsid w:val="004C57EC"/>
    <w:rsid w:val="004C5828"/>
    <w:rsid w:val="004C5910"/>
    <w:rsid w:val="004C5990"/>
    <w:rsid w:val="004C59D9"/>
    <w:rsid w:val="004C5CBE"/>
    <w:rsid w:val="004C5D21"/>
    <w:rsid w:val="004C5F62"/>
    <w:rsid w:val="004C5F8B"/>
    <w:rsid w:val="004C6023"/>
    <w:rsid w:val="004C60AD"/>
    <w:rsid w:val="004C616D"/>
    <w:rsid w:val="004C6288"/>
    <w:rsid w:val="004C6535"/>
    <w:rsid w:val="004C66AA"/>
    <w:rsid w:val="004C679F"/>
    <w:rsid w:val="004C685D"/>
    <w:rsid w:val="004C6958"/>
    <w:rsid w:val="004C6999"/>
    <w:rsid w:val="004C6C25"/>
    <w:rsid w:val="004C6CF0"/>
    <w:rsid w:val="004C70C0"/>
    <w:rsid w:val="004C70C1"/>
    <w:rsid w:val="004C7146"/>
    <w:rsid w:val="004C7537"/>
    <w:rsid w:val="004C7734"/>
    <w:rsid w:val="004C79D8"/>
    <w:rsid w:val="004C7CEA"/>
    <w:rsid w:val="004C7E87"/>
    <w:rsid w:val="004C7F09"/>
    <w:rsid w:val="004D00D4"/>
    <w:rsid w:val="004D00E0"/>
    <w:rsid w:val="004D00E8"/>
    <w:rsid w:val="004D023B"/>
    <w:rsid w:val="004D06DA"/>
    <w:rsid w:val="004D07A2"/>
    <w:rsid w:val="004D09D0"/>
    <w:rsid w:val="004D0D2A"/>
    <w:rsid w:val="004D0D2C"/>
    <w:rsid w:val="004D0DC3"/>
    <w:rsid w:val="004D0E35"/>
    <w:rsid w:val="004D0E6F"/>
    <w:rsid w:val="004D0EEF"/>
    <w:rsid w:val="004D0F22"/>
    <w:rsid w:val="004D0F6E"/>
    <w:rsid w:val="004D1029"/>
    <w:rsid w:val="004D1031"/>
    <w:rsid w:val="004D104B"/>
    <w:rsid w:val="004D1137"/>
    <w:rsid w:val="004D1320"/>
    <w:rsid w:val="004D180E"/>
    <w:rsid w:val="004D1C6A"/>
    <w:rsid w:val="004D1EAD"/>
    <w:rsid w:val="004D21D1"/>
    <w:rsid w:val="004D22D8"/>
    <w:rsid w:val="004D2325"/>
    <w:rsid w:val="004D2582"/>
    <w:rsid w:val="004D2692"/>
    <w:rsid w:val="004D2830"/>
    <w:rsid w:val="004D2888"/>
    <w:rsid w:val="004D2ABB"/>
    <w:rsid w:val="004D2BDF"/>
    <w:rsid w:val="004D2C4B"/>
    <w:rsid w:val="004D2FC9"/>
    <w:rsid w:val="004D3019"/>
    <w:rsid w:val="004D3168"/>
    <w:rsid w:val="004D3208"/>
    <w:rsid w:val="004D3230"/>
    <w:rsid w:val="004D3278"/>
    <w:rsid w:val="004D32DB"/>
    <w:rsid w:val="004D34A1"/>
    <w:rsid w:val="004D3529"/>
    <w:rsid w:val="004D3542"/>
    <w:rsid w:val="004D3627"/>
    <w:rsid w:val="004D374D"/>
    <w:rsid w:val="004D3803"/>
    <w:rsid w:val="004D3AD5"/>
    <w:rsid w:val="004D3E52"/>
    <w:rsid w:val="004D400C"/>
    <w:rsid w:val="004D41CA"/>
    <w:rsid w:val="004D453E"/>
    <w:rsid w:val="004D45CB"/>
    <w:rsid w:val="004D45E7"/>
    <w:rsid w:val="004D4A15"/>
    <w:rsid w:val="004D4A8C"/>
    <w:rsid w:val="004D4B5A"/>
    <w:rsid w:val="004D4D68"/>
    <w:rsid w:val="004D5132"/>
    <w:rsid w:val="004D525E"/>
    <w:rsid w:val="004D54D8"/>
    <w:rsid w:val="004D551E"/>
    <w:rsid w:val="004D5655"/>
    <w:rsid w:val="004D58EE"/>
    <w:rsid w:val="004D594C"/>
    <w:rsid w:val="004D594F"/>
    <w:rsid w:val="004D5EE2"/>
    <w:rsid w:val="004D613D"/>
    <w:rsid w:val="004D61FC"/>
    <w:rsid w:val="004D628E"/>
    <w:rsid w:val="004D666A"/>
    <w:rsid w:val="004D6A51"/>
    <w:rsid w:val="004D6BF6"/>
    <w:rsid w:val="004D6D57"/>
    <w:rsid w:val="004D6F6F"/>
    <w:rsid w:val="004D7555"/>
    <w:rsid w:val="004D75B3"/>
    <w:rsid w:val="004D7632"/>
    <w:rsid w:val="004D773D"/>
    <w:rsid w:val="004D786B"/>
    <w:rsid w:val="004D791D"/>
    <w:rsid w:val="004D7A89"/>
    <w:rsid w:val="004D7DF5"/>
    <w:rsid w:val="004D7E49"/>
    <w:rsid w:val="004D7EB0"/>
    <w:rsid w:val="004D7EE3"/>
    <w:rsid w:val="004E0087"/>
    <w:rsid w:val="004E02D1"/>
    <w:rsid w:val="004E02E2"/>
    <w:rsid w:val="004E08E1"/>
    <w:rsid w:val="004E08E9"/>
    <w:rsid w:val="004E0E2A"/>
    <w:rsid w:val="004E121D"/>
    <w:rsid w:val="004E1282"/>
    <w:rsid w:val="004E139D"/>
    <w:rsid w:val="004E1414"/>
    <w:rsid w:val="004E1458"/>
    <w:rsid w:val="004E15AF"/>
    <w:rsid w:val="004E1720"/>
    <w:rsid w:val="004E18D2"/>
    <w:rsid w:val="004E1A04"/>
    <w:rsid w:val="004E1B77"/>
    <w:rsid w:val="004E1E4D"/>
    <w:rsid w:val="004E1EF7"/>
    <w:rsid w:val="004E1F74"/>
    <w:rsid w:val="004E209C"/>
    <w:rsid w:val="004E20DC"/>
    <w:rsid w:val="004E227D"/>
    <w:rsid w:val="004E22B8"/>
    <w:rsid w:val="004E2404"/>
    <w:rsid w:val="004E247E"/>
    <w:rsid w:val="004E259A"/>
    <w:rsid w:val="004E28E0"/>
    <w:rsid w:val="004E2984"/>
    <w:rsid w:val="004E2A8A"/>
    <w:rsid w:val="004E2C3D"/>
    <w:rsid w:val="004E2C61"/>
    <w:rsid w:val="004E2DFF"/>
    <w:rsid w:val="004E2FAD"/>
    <w:rsid w:val="004E2FD2"/>
    <w:rsid w:val="004E342D"/>
    <w:rsid w:val="004E3603"/>
    <w:rsid w:val="004E360F"/>
    <w:rsid w:val="004E36AA"/>
    <w:rsid w:val="004E397A"/>
    <w:rsid w:val="004E3A13"/>
    <w:rsid w:val="004E3A40"/>
    <w:rsid w:val="004E3C2A"/>
    <w:rsid w:val="004E3DAB"/>
    <w:rsid w:val="004E3F26"/>
    <w:rsid w:val="004E432A"/>
    <w:rsid w:val="004E4413"/>
    <w:rsid w:val="004E44B5"/>
    <w:rsid w:val="004E4554"/>
    <w:rsid w:val="004E472C"/>
    <w:rsid w:val="004E47A9"/>
    <w:rsid w:val="004E4843"/>
    <w:rsid w:val="004E53D4"/>
    <w:rsid w:val="004E596E"/>
    <w:rsid w:val="004E5ED3"/>
    <w:rsid w:val="004E5F2C"/>
    <w:rsid w:val="004E616C"/>
    <w:rsid w:val="004E6278"/>
    <w:rsid w:val="004E636A"/>
    <w:rsid w:val="004E6728"/>
    <w:rsid w:val="004E6971"/>
    <w:rsid w:val="004E6B54"/>
    <w:rsid w:val="004E6BEE"/>
    <w:rsid w:val="004E6C4D"/>
    <w:rsid w:val="004E6E64"/>
    <w:rsid w:val="004E6F6E"/>
    <w:rsid w:val="004E70E2"/>
    <w:rsid w:val="004E70EE"/>
    <w:rsid w:val="004E71E9"/>
    <w:rsid w:val="004E72B1"/>
    <w:rsid w:val="004E75C1"/>
    <w:rsid w:val="004E7833"/>
    <w:rsid w:val="004F079B"/>
    <w:rsid w:val="004F0D6A"/>
    <w:rsid w:val="004F0EBB"/>
    <w:rsid w:val="004F1102"/>
    <w:rsid w:val="004F12C5"/>
    <w:rsid w:val="004F12E3"/>
    <w:rsid w:val="004F131A"/>
    <w:rsid w:val="004F1541"/>
    <w:rsid w:val="004F1639"/>
    <w:rsid w:val="004F1872"/>
    <w:rsid w:val="004F1B76"/>
    <w:rsid w:val="004F1C50"/>
    <w:rsid w:val="004F1D95"/>
    <w:rsid w:val="004F1DA4"/>
    <w:rsid w:val="004F1E9B"/>
    <w:rsid w:val="004F1EA3"/>
    <w:rsid w:val="004F2068"/>
    <w:rsid w:val="004F21C6"/>
    <w:rsid w:val="004F23F9"/>
    <w:rsid w:val="004F27F0"/>
    <w:rsid w:val="004F2874"/>
    <w:rsid w:val="004F2976"/>
    <w:rsid w:val="004F2BC0"/>
    <w:rsid w:val="004F2BE9"/>
    <w:rsid w:val="004F2DE3"/>
    <w:rsid w:val="004F2E59"/>
    <w:rsid w:val="004F2FA5"/>
    <w:rsid w:val="004F30EE"/>
    <w:rsid w:val="004F32BA"/>
    <w:rsid w:val="004F33C5"/>
    <w:rsid w:val="004F3625"/>
    <w:rsid w:val="004F3991"/>
    <w:rsid w:val="004F411A"/>
    <w:rsid w:val="004F42ED"/>
    <w:rsid w:val="004F4424"/>
    <w:rsid w:val="004F44A4"/>
    <w:rsid w:val="004F47BD"/>
    <w:rsid w:val="004F47D8"/>
    <w:rsid w:val="004F4921"/>
    <w:rsid w:val="004F4C95"/>
    <w:rsid w:val="004F519C"/>
    <w:rsid w:val="004F5275"/>
    <w:rsid w:val="004F54E9"/>
    <w:rsid w:val="004F566E"/>
    <w:rsid w:val="004F5981"/>
    <w:rsid w:val="004F5C1B"/>
    <w:rsid w:val="004F5D6D"/>
    <w:rsid w:val="004F5E24"/>
    <w:rsid w:val="004F6332"/>
    <w:rsid w:val="004F63FF"/>
    <w:rsid w:val="004F65B8"/>
    <w:rsid w:val="004F6741"/>
    <w:rsid w:val="004F6858"/>
    <w:rsid w:val="004F6EBC"/>
    <w:rsid w:val="004F6FDB"/>
    <w:rsid w:val="004F7254"/>
    <w:rsid w:val="004F72D0"/>
    <w:rsid w:val="004F750F"/>
    <w:rsid w:val="004F756F"/>
    <w:rsid w:val="004F77F1"/>
    <w:rsid w:val="004F7948"/>
    <w:rsid w:val="004F798D"/>
    <w:rsid w:val="004F799C"/>
    <w:rsid w:val="004F7B62"/>
    <w:rsid w:val="004F7C7C"/>
    <w:rsid w:val="004F7C7D"/>
    <w:rsid w:val="004F7D9A"/>
    <w:rsid w:val="004F7E33"/>
    <w:rsid w:val="005000EC"/>
    <w:rsid w:val="00500113"/>
    <w:rsid w:val="005002F2"/>
    <w:rsid w:val="0050038C"/>
    <w:rsid w:val="00500595"/>
    <w:rsid w:val="00500806"/>
    <w:rsid w:val="00500857"/>
    <w:rsid w:val="0050086A"/>
    <w:rsid w:val="00500968"/>
    <w:rsid w:val="00500D9E"/>
    <w:rsid w:val="00500F15"/>
    <w:rsid w:val="005011EF"/>
    <w:rsid w:val="00501235"/>
    <w:rsid w:val="00501296"/>
    <w:rsid w:val="005012C7"/>
    <w:rsid w:val="005013C4"/>
    <w:rsid w:val="005014DE"/>
    <w:rsid w:val="005014F5"/>
    <w:rsid w:val="0050169E"/>
    <w:rsid w:val="00501735"/>
    <w:rsid w:val="00501919"/>
    <w:rsid w:val="00501BD1"/>
    <w:rsid w:val="00501E95"/>
    <w:rsid w:val="00501EFF"/>
    <w:rsid w:val="00501FE7"/>
    <w:rsid w:val="00502281"/>
    <w:rsid w:val="005022BF"/>
    <w:rsid w:val="0050236F"/>
    <w:rsid w:val="00502545"/>
    <w:rsid w:val="00502864"/>
    <w:rsid w:val="00502AAB"/>
    <w:rsid w:val="00502D42"/>
    <w:rsid w:val="00502E56"/>
    <w:rsid w:val="00502FFA"/>
    <w:rsid w:val="00503006"/>
    <w:rsid w:val="0050301F"/>
    <w:rsid w:val="005031CC"/>
    <w:rsid w:val="005031E6"/>
    <w:rsid w:val="005032F9"/>
    <w:rsid w:val="00503655"/>
    <w:rsid w:val="00503EEF"/>
    <w:rsid w:val="005042A2"/>
    <w:rsid w:val="0050445A"/>
    <w:rsid w:val="0050475D"/>
    <w:rsid w:val="00504BF2"/>
    <w:rsid w:val="00504E53"/>
    <w:rsid w:val="00504FB5"/>
    <w:rsid w:val="00505041"/>
    <w:rsid w:val="00505215"/>
    <w:rsid w:val="0050522F"/>
    <w:rsid w:val="005052EA"/>
    <w:rsid w:val="005056DA"/>
    <w:rsid w:val="005057C7"/>
    <w:rsid w:val="00505875"/>
    <w:rsid w:val="00505913"/>
    <w:rsid w:val="00505ECF"/>
    <w:rsid w:val="0050618F"/>
    <w:rsid w:val="005062E0"/>
    <w:rsid w:val="00506459"/>
    <w:rsid w:val="00506886"/>
    <w:rsid w:val="00506AD5"/>
    <w:rsid w:val="00506C4A"/>
    <w:rsid w:val="00506D9E"/>
    <w:rsid w:val="00506DC2"/>
    <w:rsid w:val="00506EC2"/>
    <w:rsid w:val="0050704C"/>
    <w:rsid w:val="005076BF"/>
    <w:rsid w:val="00507925"/>
    <w:rsid w:val="00507985"/>
    <w:rsid w:val="00507A0F"/>
    <w:rsid w:val="00507B69"/>
    <w:rsid w:val="00507DD1"/>
    <w:rsid w:val="00507F71"/>
    <w:rsid w:val="005100AA"/>
    <w:rsid w:val="0051028C"/>
    <w:rsid w:val="00510344"/>
    <w:rsid w:val="005103B3"/>
    <w:rsid w:val="005103F8"/>
    <w:rsid w:val="00510506"/>
    <w:rsid w:val="005105E8"/>
    <w:rsid w:val="0051077F"/>
    <w:rsid w:val="005107AB"/>
    <w:rsid w:val="00510834"/>
    <w:rsid w:val="005108BE"/>
    <w:rsid w:val="00510AE5"/>
    <w:rsid w:val="00510B6C"/>
    <w:rsid w:val="00510BDD"/>
    <w:rsid w:val="0051102E"/>
    <w:rsid w:val="0051117F"/>
    <w:rsid w:val="0051146E"/>
    <w:rsid w:val="005118F0"/>
    <w:rsid w:val="00511914"/>
    <w:rsid w:val="0051193D"/>
    <w:rsid w:val="00511B2E"/>
    <w:rsid w:val="00511B72"/>
    <w:rsid w:val="0051210C"/>
    <w:rsid w:val="00512120"/>
    <w:rsid w:val="0051228D"/>
    <w:rsid w:val="005123D3"/>
    <w:rsid w:val="00512496"/>
    <w:rsid w:val="00512626"/>
    <w:rsid w:val="005129A6"/>
    <w:rsid w:val="00512B59"/>
    <w:rsid w:val="00512BAC"/>
    <w:rsid w:val="00512C4C"/>
    <w:rsid w:val="00512C5C"/>
    <w:rsid w:val="00512CBF"/>
    <w:rsid w:val="00512EAD"/>
    <w:rsid w:val="005130C0"/>
    <w:rsid w:val="005131B6"/>
    <w:rsid w:val="00513332"/>
    <w:rsid w:val="005133B1"/>
    <w:rsid w:val="00513851"/>
    <w:rsid w:val="005139DC"/>
    <w:rsid w:val="00513A80"/>
    <w:rsid w:val="00513B79"/>
    <w:rsid w:val="00513B9E"/>
    <w:rsid w:val="00513C04"/>
    <w:rsid w:val="00513C41"/>
    <w:rsid w:val="00513D5D"/>
    <w:rsid w:val="00514028"/>
    <w:rsid w:val="00514394"/>
    <w:rsid w:val="005146AC"/>
    <w:rsid w:val="005147D4"/>
    <w:rsid w:val="005148CE"/>
    <w:rsid w:val="005149C1"/>
    <w:rsid w:val="00514C02"/>
    <w:rsid w:val="00514CB6"/>
    <w:rsid w:val="00514D71"/>
    <w:rsid w:val="00514F18"/>
    <w:rsid w:val="00514F2D"/>
    <w:rsid w:val="00515082"/>
    <w:rsid w:val="005153AA"/>
    <w:rsid w:val="00515577"/>
    <w:rsid w:val="005155B8"/>
    <w:rsid w:val="005155D5"/>
    <w:rsid w:val="005156ED"/>
    <w:rsid w:val="005157D6"/>
    <w:rsid w:val="005157E8"/>
    <w:rsid w:val="005157FF"/>
    <w:rsid w:val="005159AC"/>
    <w:rsid w:val="005159BD"/>
    <w:rsid w:val="00515DF3"/>
    <w:rsid w:val="00515E92"/>
    <w:rsid w:val="00515F36"/>
    <w:rsid w:val="00515FAA"/>
    <w:rsid w:val="00515FBA"/>
    <w:rsid w:val="005162A8"/>
    <w:rsid w:val="005162F1"/>
    <w:rsid w:val="0051642C"/>
    <w:rsid w:val="00516483"/>
    <w:rsid w:val="005164B3"/>
    <w:rsid w:val="0051658E"/>
    <w:rsid w:val="0051659E"/>
    <w:rsid w:val="005165BE"/>
    <w:rsid w:val="005166EA"/>
    <w:rsid w:val="0051688C"/>
    <w:rsid w:val="00516AC3"/>
    <w:rsid w:val="00516AF3"/>
    <w:rsid w:val="00516DC0"/>
    <w:rsid w:val="00516EE5"/>
    <w:rsid w:val="00517083"/>
    <w:rsid w:val="005170EE"/>
    <w:rsid w:val="00517251"/>
    <w:rsid w:val="00517337"/>
    <w:rsid w:val="0051756A"/>
    <w:rsid w:val="00517796"/>
    <w:rsid w:val="00517AED"/>
    <w:rsid w:val="00517CFF"/>
    <w:rsid w:val="00517E13"/>
    <w:rsid w:val="00517FA3"/>
    <w:rsid w:val="005202C5"/>
    <w:rsid w:val="005202EF"/>
    <w:rsid w:val="005203C2"/>
    <w:rsid w:val="00520403"/>
    <w:rsid w:val="00520705"/>
    <w:rsid w:val="00520B7A"/>
    <w:rsid w:val="00520BD5"/>
    <w:rsid w:val="00520D25"/>
    <w:rsid w:val="00520D4D"/>
    <w:rsid w:val="00520DEC"/>
    <w:rsid w:val="00520E7C"/>
    <w:rsid w:val="00520F83"/>
    <w:rsid w:val="005210F7"/>
    <w:rsid w:val="005211AC"/>
    <w:rsid w:val="00521302"/>
    <w:rsid w:val="00521405"/>
    <w:rsid w:val="00521666"/>
    <w:rsid w:val="00521670"/>
    <w:rsid w:val="00521A11"/>
    <w:rsid w:val="00522342"/>
    <w:rsid w:val="005228C3"/>
    <w:rsid w:val="00522933"/>
    <w:rsid w:val="00522941"/>
    <w:rsid w:val="00522E0D"/>
    <w:rsid w:val="00522EA6"/>
    <w:rsid w:val="00523064"/>
    <w:rsid w:val="0052306C"/>
    <w:rsid w:val="00523291"/>
    <w:rsid w:val="005233BF"/>
    <w:rsid w:val="005233EE"/>
    <w:rsid w:val="0052343E"/>
    <w:rsid w:val="005235C0"/>
    <w:rsid w:val="005237B2"/>
    <w:rsid w:val="0052399B"/>
    <w:rsid w:val="005239CE"/>
    <w:rsid w:val="00523BE6"/>
    <w:rsid w:val="00524252"/>
    <w:rsid w:val="005242DC"/>
    <w:rsid w:val="00524521"/>
    <w:rsid w:val="005248B5"/>
    <w:rsid w:val="005248C4"/>
    <w:rsid w:val="005249D7"/>
    <w:rsid w:val="00524A12"/>
    <w:rsid w:val="00524A66"/>
    <w:rsid w:val="00524F3A"/>
    <w:rsid w:val="0052513C"/>
    <w:rsid w:val="00525217"/>
    <w:rsid w:val="00525232"/>
    <w:rsid w:val="00525442"/>
    <w:rsid w:val="0052559A"/>
    <w:rsid w:val="00525770"/>
    <w:rsid w:val="00525855"/>
    <w:rsid w:val="00525B10"/>
    <w:rsid w:val="00525BA9"/>
    <w:rsid w:val="00525D84"/>
    <w:rsid w:val="00525E33"/>
    <w:rsid w:val="00525F66"/>
    <w:rsid w:val="00526057"/>
    <w:rsid w:val="005260D9"/>
    <w:rsid w:val="005264E9"/>
    <w:rsid w:val="005265E8"/>
    <w:rsid w:val="005267DE"/>
    <w:rsid w:val="00526A1D"/>
    <w:rsid w:val="00526BC4"/>
    <w:rsid w:val="00526EAD"/>
    <w:rsid w:val="00526EB7"/>
    <w:rsid w:val="00526ED1"/>
    <w:rsid w:val="00526EDE"/>
    <w:rsid w:val="00526EEC"/>
    <w:rsid w:val="00526FF3"/>
    <w:rsid w:val="00527469"/>
    <w:rsid w:val="005275AF"/>
    <w:rsid w:val="005275E6"/>
    <w:rsid w:val="005276B2"/>
    <w:rsid w:val="005278E7"/>
    <w:rsid w:val="0052796C"/>
    <w:rsid w:val="00527AC4"/>
    <w:rsid w:val="00527BCD"/>
    <w:rsid w:val="00527C53"/>
    <w:rsid w:val="00530199"/>
    <w:rsid w:val="00530206"/>
    <w:rsid w:val="00530275"/>
    <w:rsid w:val="005305FB"/>
    <w:rsid w:val="00530891"/>
    <w:rsid w:val="005308D5"/>
    <w:rsid w:val="00530A54"/>
    <w:rsid w:val="00530A99"/>
    <w:rsid w:val="00530D29"/>
    <w:rsid w:val="00530E1E"/>
    <w:rsid w:val="00530FCA"/>
    <w:rsid w:val="00531324"/>
    <w:rsid w:val="00531337"/>
    <w:rsid w:val="005313CB"/>
    <w:rsid w:val="005315C7"/>
    <w:rsid w:val="005315EC"/>
    <w:rsid w:val="005315F8"/>
    <w:rsid w:val="00531772"/>
    <w:rsid w:val="005318CA"/>
    <w:rsid w:val="005319DC"/>
    <w:rsid w:val="00531B8C"/>
    <w:rsid w:val="00531BCF"/>
    <w:rsid w:val="00531DE9"/>
    <w:rsid w:val="00531F79"/>
    <w:rsid w:val="005320EF"/>
    <w:rsid w:val="0053226D"/>
    <w:rsid w:val="0053232F"/>
    <w:rsid w:val="005325A8"/>
    <w:rsid w:val="00532721"/>
    <w:rsid w:val="00532AEE"/>
    <w:rsid w:val="00532DBA"/>
    <w:rsid w:val="00532E0E"/>
    <w:rsid w:val="005331FE"/>
    <w:rsid w:val="0053334E"/>
    <w:rsid w:val="00533574"/>
    <w:rsid w:val="0053357B"/>
    <w:rsid w:val="00533675"/>
    <w:rsid w:val="005337BE"/>
    <w:rsid w:val="00533A90"/>
    <w:rsid w:val="00533B9D"/>
    <w:rsid w:val="00533C00"/>
    <w:rsid w:val="00533C70"/>
    <w:rsid w:val="00533D8C"/>
    <w:rsid w:val="00533D9D"/>
    <w:rsid w:val="0053406A"/>
    <w:rsid w:val="0053409D"/>
    <w:rsid w:val="0053422D"/>
    <w:rsid w:val="005342DF"/>
    <w:rsid w:val="005345A9"/>
    <w:rsid w:val="00534807"/>
    <w:rsid w:val="005348B9"/>
    <w:rsid w:val="00534A2B"/>
    <w:rsid w:val="00534A6A"/>
    <w:rsid w:val="00534E65"/>
    <w:rsid w:val="00535043"/>
    <w:rsid w:val="00535308"/>
    <w:rsid w:val="005354D7"/>
    <w:rsid w:val="005355AE"/>
    <w:rsid w:val="00535717"/>
    <w:rsid w:val="005358C1"/>
    <w:rsid w:val="00535915"/>
    <w:rsid w:val="00535B74"/>
    <w:rsid w:val="00535DEE"/>
    <w:rsid w:val="00535F38"/>
    <w:rsid w:val="00536118"/>
    <w:rsid w:val="00536158"/>
    <w:rsid w:val="00536216"/>
    <w:rsid w:val="00536352"/>
    <w:rsid w:val="005363F9"/>
    <w:rsid w:val="00536592"/>
    <w:rsid w:val="005365C7"/>
    <w:rsid w:val="00536600"/>
    <w:rsid w:val="00536BE7"/>
    <w:rsid w:val="005377C4"/>
    <w:rsid w:val="0053780C"/>
    <w:rsid w:val="00537895"/>
    <w:rsid w:val="00537914"/>
    <w:rsid w:val="005379FF"/>
    <w:rsid w:val="00537ABB"/>
    <w:rsid w:val="00537C0C"/>
    <w:rsid w:val="00537D58"/>
    <w:rsid w:val="00537DE0"/>
    <w:rsid w:val="005403E3"/>
    <w:rsid w:val="0054058E"/>
    <w:rsid w:val="00540601"/>
    <w:rsid w:val="00540676"/>
    <w:rsid w:val="005406F6"/>
    <w:rsid w:val="00540810"/>
    <w:rsid w:val="0054082B"/>
    <w:rsid w:val="00540843"/>
    <w:rsid w:val="00540C78"/>
    <w:rsid w:val="00541158"/>
    <w:rsid w:val="005412D1"/>
    <w:rsid w:val="0054138A"/>
    <w:rsid w:val="00541572"/>
    <w:rsid w:val="0054171B"/>
    <w:rsid w:val="00541725"/>
    <w:rsid w:val="005417E2"/>
    <w:rsid w:val="005419EF"/>
    <w:rsid w:val="00541A4B"/>
    <w:rsid w:val="00541ADB"/>
    <w:rsid w:val="00541F8E"/>
    <w:rsid w:val="005421A5"/>
    <w:rsid w:val="00542434"/>
    <w:rsid w:val="005424A4"/>
    <w:rsid w:val="005424B4"/>
    <w:rsid w:val="00542790"/>
    <w:rsid w:val="00542799"/>
    <w:rsid w:val="005429B6"/>
    <w:rsid w:val="005429FB"/>
    <w:rsid w:val="00542A22"/>
    <w:rsid w:val="00542C6C"/>
    <w:rsid w:val="00542CAD"/>
    <w:rsid w:val="00542CD1"/>
    <w:rsid w:val="00542D45"/>
    <w:rsid w:val="00542E82"/>
    <w:rsid w:val="00542FD9"/>
    <w:rsid w:val="00543395"/>
    <w:rsid w:val="0054339E"/>
    <w:rsid w:val="005433B7"/>
    <w:rsid w:val="00543457"/>
    <w:rsid w:val="005435BC"/>
    <w:rsid w:val="0054393F"/>
    <w:rsid w:val="00543ABE"/>
    <w:rsid w:val="00543B4E"/>
    <w:rsid w:val="005440E6"/>
    <w:rsid w:val="00544450"/>
    <w:rsid w:val="005444A1"/>
    <w:rsid w:val="0054471B"/>
    <w:rsid w:val="005448F9"/>
    <w:rsid w:val="00544C6F"/>
    <w:rsid w:val="00544DB0"/>
    <w:rsid w:val="00544ED6"/>
    <w:rsid w:val="00544F9F"/>
    <w:rsid w:val="0054506A"/>
    <w:rsid w:val="005450C9"/>
    <w:rsid w:val="005452CB"/>
    <w:rsid w:val="0054543B"/>
    <w:rsid w:val="00545470"/>
    <w:rsid w:val="0054548C"/>
    <w:rsid w:val="0054558A"/>
    <w:rsid w:val="00545675"/>
    <w:rsid w:val="00545814"/>
    <w:rsid w:val="00545825"/>
    <w:rsid w:val="005459A0"/>
    <w:rsid w:val="005459EE"/>
    <w:rsid w:val="00545B3C"/>
    <w:rsid w:val="00545D92"/>
    <w:rsid w:val="00545D97"/>
    <w:rsid w:val="0054627B"/>
    <w:rsid w:val="00546988"/>
    <w:rsid w:val="00546A7F"/>
    <w:rsid w:val="00546D2B"/>
    <w:rsid w:val="00546DD0"/>
    <w:rsid w:val="00546EF4"/>
    <w:rsid w:val="005470A4"/>
    <w:rsid w:val="0054731F"/>
    <w:rsid w:val="00547439"/>
    <w:rsid w:val="0054757E"/>
    <w:rsid w:val="00547651"/>
    <w:rsid w:val="0054777F"/>
    <w:rsid w:val="0054787A"/>
    <w:rsid w:val="00547973"/>
    <w:rsid w:val="00547B31"/>
    <w:rsid w:val="00547B7C"/>
    <w:rsid w:val="00547FF0"/>
    <w:rsid w:val="005505B9"/>
    <w:rsid w:val="005505D7"/>
    <w:rsid w:val="00550B0A"/>
    <w:rsid w:val="00550BDF"/>
    <w:rsid w:val="00550EF5"/>
    <w:rsid w:val="00551014"/>
    <w:rsid w:val="00551122"/>
    <w:rsid w:val="0055137F"/>
    <w:rsid w:val="005513DD"/>
    <w:rsid w:val="005515B3"/>
    <w:rsid w:val="005517AA"/>
    <w:rsid w:val="005517D1"/>
    <w:rsid w:val="00551901"/>
    <w:rsid w:val="00551AF8"/>
    <w:rsid w:val="00551B6F"/>
    <w:rsid w:val="00551D0B"/>
    <w:rsid w:val="00551DB6"/>
    <w:rsid w:val="00551DC0"/>
    <w:rsid w:val="0055205D"/>
    <w:rsid w:val="005521B1"/>
    <w:rsid w:val="00552232"/>
    <w:rsid w:val="0055256F"/>
    <w:rsid w:val="005526A8"/>
    <w:rsid w:val="005526D3"/>
    <w:rsid w:val="005527DB"/>
    <w:rsid w:val="0055292F"/>
    <w:rsid w:val="0055294B"/>
    <w:rsid w:val="00552AD2"/>
    <w:rsid w:val="00552CE8"/>
    <w:rsid w:val="00552D13"/>
    <w:rsid w:val="00552F82"/>
    <w:rsid w:val="00552FB0"/>
    <w:rsid w:val="00553045"/>
    <w:rsid w:val="00553090"/>
    <w:rsid w:val="00553423"/>
    <w:rsid w:val="00553474"/>
    <w:rsid w:val="005534AC"/>
    <w:rsid w:val="0055357E"/>
    <w:rsid w:val="005536CB"/>
    <w:rsid w:val="005537B2"/>
    <w:rsid w:val="005537F3"/>
    <w:rsid w:val="00553807"/>
    <w:rsid w:val="00553989"/>
    <w:rsid w:val="00553F8A"/>
    <w:rsid w:val="00553FA5"/>
    <w:rsid w:val="00554266"/>
    <w:rsid w:val="0055427F"/>
    <w:rsid w:val="00554379"/>
    <w:rsid w:val="00554444"/>
    <w:rsid w:val="00554497"/>
    <w:rsid w:val="005546A6"/>
    <w:rsid w:val="00554ABF"/>
    <w:rsid w:val="00554CA2"/>
    <w:rsid w:val="00554CC4"/>
    <w:rsid w:val="0055527D"/>
    <w:rsid w:val="0055532B"/>
    <w:rsid w:val="0055542F"/>
    <w:rsid w:val="005554E1"/>
    <w:rsid w:val="0055550B"/>
    <w:rsid w:val="005556BA"/>
    <w:rsid w:val="0055571E"/>
    <w:rsid w:val="00555858"/>
    <w:rsid w:val="00555974"/>
    <w:rsid w:val="00555AA0"/>
    <w:rsid w:val="00555DAB"/>
    <w:rsid w:val="00555DE0"/>
    <w:rsid w:val="00555E04"/>
    <w:rsid w:val="00555ED2"/>
    <w:rsid w:val="00556119"/>
    <w:rsid w:val="005562F1"/>
    <w:rsid w:val="0055663F"/>
    <w:rsid w:val="005567A9"/>
    <w:rsid w:val="00556AAA"/>
    <w:rsid w:val="00556AB5"/>
    <w:rsid w:val="00556EC1"/>
    <w:rsid w:val="00556FE9"/>
    <w:rsid w:val="00557009"/>
    <w:rsid w:val="00557138"/>
    <w:rsid w:val="00557248"/>
    <w:rsid w:val="00557434"/>
    <w:rsid w:val="0055788D"/>
    <w:rsid w:val="005579F5"/>
    <w:rsid w:val="00557A8A"/>
    <w:rsid w:val="00557C51"/>
    <w:rsid w:val="00557CC6"/>
    <w:rsid w:val="00557CF4"/>
    <w:rsid w:val="00557DD7"/>
    <w:rsid w:val="00557E13"/>
    <w:rsid w:val="00557ED7"/>
    <w:rsid w:val="0056008F"/>
    <w:rsid w:val="0056018F"/>
    <w:rsid w:val="00560420"/>
    <w:rsid w:val="0056045A"/>
    <w:rsid w:val="00560644"/>
    <w:rsid w:val="00560739"/>
    <w:rsid w:val="00560C94"/>
    <w:rsid w:val="00560CF7"/>
    <w:rsid w:val="00560D47"/>
    <w:rsid w:val="00560DEE"/>
    <w:rsid w:val="00560E42"/>
    <w:rsid w:val="00560E63"/>
    <w:rsid w:val="00560FFD"/>
    <w:rsid w:val="00561091"/>
    <w:rsid w:val="005610FA"/>
    <w:rsid w:val="00561209"/>
    <w:rsid w:val="00561243"/>
    <w:rsid w:val="005614F9"/>
    <w:rsid w:val="005615FD"/>
    <w:rsid w:val="00561683"/>
    <w:rsid w:val="0056177A"/>
    <w:rsid w:val="00561A0E"/>
    <w:rsid w:val="00561A3C"/>
    <w:rsid w:val="00561B6A"/>
    <w:rsid w:val="00562037"/>
    <w:rsid w:val="005621FC"/>
    <w:rsid w:val="005622FB"/>
    <w:rsid w:val="005623F8"/>
    <w:rsid w:val="0056249A"/>
    <w:rsid w:val="0056253D"/>
    <w:rsid w:val="00562576"/>
    <w:rsid w:val="005625F9"/>
    <w:rsid w:val="00562666"/>
    <w:rsid w:val="0056299D"/>
    <w:rsid w:val="005629D1"/>
    <w:rsid w:val="005629EB"/>
    <w:rsid w:val="00562B92"/>
    <w:rsid w:val="00562CA0"/>
    <w:rsid w:val="00562D0B"/>
    <w:rsid w:val="00562D8E"/>
    <w:rsid w:val="00562FC1"/>
    <w:rsid w:val="0056312F"/>
    <w:rsid w:val="00563257"/>
    <w:rsid w:val="0056335A"/>
    <w:rsid w:val="00563497"/>
    <w:rsid w:val="00563737"/>
    <w:rsid w:val="00563AC6"/>
    <w:rsid w:val="00563AEB"/>
    <w:rsid w:val="00563D27"/>
    <w:rsid w:val="00563D2A"/>
    <w:rsid w:val="00563DE6"/>
    <w:rsid w:val="00563E1D"/>
    <w:rsid w:val="00563E57"/>
    <w:rsid w:val="00563F2D"/>
    <w:rsid w:val="0056400B"/>
    <w:rsid w:val="0056404A"/>
    <w:rsid w:val="005641A9"/>
    <w:rsid w:val="0056425B"/>
    <w:rsid w:val="005642CA"/>
    <w:rsid w:val="00564420"/>
    <w:rsid w:val="00564440"/>
    <w:rsid w:val="00564671"/>
    <w:rsid w:val="005646D1"/>
    <w:rsid w:val="005647B4"/>
    <w:rsid w:val="0056493D"/>
    <w:rsid w:val="00564A5B"/>
    <w:rsid w:val="00564C56"/>
    <w:rsid w:val="00564D05"/>
    <w:rsid w:val="00564F13"/>
    <w:rsid w:val="005652A4"/>
    <w:rsid w:val="0056547D"/>
    <w:rsid w:val="0056551A"/>
    <w:rsid w:val="00565578"/>
    <w:rsid w:val="00565581"/>
    <w:rsid w:val="005655BC"/>
    <w:rsid w:val="005659C5"/>
    <w:rsid w:val="00565B7B"/>
    <w:rsid w:val="00565E0F"/>
    <w:rsid w:val="005660DC"/>
    <w:rsid w:val="00566256"/>
    <w:rsid w:val="005662B3"/>
    <w:rsid w:val="005663BB"/>
    <w:rsid w:val="0056640C"/>
    <w:rsid w:val="0056654E"/>
    <w:rsid w:val="005665DC"/>
    <w:rsid w:val="00566813"/>
    <w:rsid w:val="0056686F"/>
    <w:rsid w:val="00566C73"/>
    <w:rsid w:val="00566E99"/>
    <w:rsid w:val="00566F3D"/>
    <w:rsid w:val="0056725D"/>
    <w:rsid w:val="0056748A"/>
    <w:rsid w:val="00567634"/>
    <w:rsid w:val="00567645"/>
    <w:rsid w:val="00567693"/>
    <w:rsid w:val="00567913"/>
    <w:rsid w:val="0056791B"/>
    <w:rsid w:val="005679DF"/>
    <w:rsid w:val="005679F3"/>
    <w:rsid w:val="00567A51"/>
    <w:rsid w:val="00567B0E"/>
    <w:rsid w:val="00567C1B"/>
    <w:rsid w:val="00567C9E"/>
    <w:rsid w:val="00567E6B"/>
    <w:rsid w:val="00567FC9"/>
    <w:rsid w:val="0057007E"/>
    <w:rsid w:val="00570247"/>
    <w:rsid w:val="0057025A"/>
    <w:rsid w:val="00570426"/>
    <w:rsid w:val="005706C7"/>
    <w:rsid w:val="00570798"/>
    <w:rsid w:val="00570876"/>
    <w:rsid w:val="005709AA"/>
    <w:rsid w:val="005709DB"/>
    <w:rsid w:val="00570B28"/>
    <w:rsid w:val="00570B46"/>
    <w:rsid w:val="00570CA0"/>
    <w:rsid w:val="00570E61"/>
    <w:rsid w:val="00570EFF"/>
    <w:rsid w:val="005710B6"/>
    <w:rsid w:val="00571244"/>
    <w:rsid w:val="00571311"/>
    <w:rsid w:val="00571526"/>
    <w:rsid w:val="00571718"/>
    <w:rsid w:val="0057180B"/>
    <w:rsid w:val="00571BF4"/>
    <w:rsid w:val="00571CD3"/>
    <w:rsid w:val="0057205B"/>
    <w:rsid w:val="005722A1"/>
    <w:rsid w:val="00572322"/>
    <w:rsid w:val="00572353"/>
    <w:rsid w:val="005723C8"/>
    <w:rsid w:val="00572434"/>
    <w:rsid w:val="005725DF"/>
    <w:rsid w:val="00572926"/>
    <w:rsid w:val="00572955"/>
    <w:rsid w:val="005729EF"/>
    <w:rsid w:val="005729F7"/>
    <w:rsid w:val="00572A97"/>
    <w:rsid w:val="00572B8E"/>
    <w:rsid w:val="00572BD2"/>
    <w:rsid w:val="00572BFC"/>
    <w:rsid w:val="0057310C"/>
    <w:rsid w:val="00573549"/>
    <w:rsid w:val="00573554"/>
    <w:rsid w:val="0057360D"/>
    <w:rsid w:val="005738EA"/>
    <w:rsid w:val="0057397A"/>
    <w:rsid w:val="00573A16"/>
    <w:rsid w:val="00573CB1"/>
    <w:rsid w:val="00573D0A"/>
    <w:rsid w:val="00573D7B"/>
    <w:rsid w:val="00573F18"/>
    <w:rsid w:val="0057422F"/>
    <w:rsid w:val="005742A5"/>
    <w:rsid w:val="0057431F"/>
    <w:rsid w:val="00574356"/>
    <w:rsid w:val="00574409"/>
    <w:rsid w:val="005749A7"/>
    <w:rsid w:val="00574BA1"/>
    <w:rsid w:val="00574FB9"/>
    <w:rsid w:val="005753CF"/>
    <w:rsid w:val="0057580D"/>
    <w:rsid w:val="00575C19"/>
    <w:rsid w:val="00575C7D"/>
    <w:rsid w:val="00575F13"/>
    <w:rsid w:val="005761D3"/>
    <w:rsid w:val="00576414"/>
    <w:rsid w:val="00576435"/>
    <w:rsid w:val="00576620"/>
    <w:rsid w:val="0057666D"/>
    <w:rsid w:val="005767A6"/>
    <w:rsid w:val="005767C2"/>
    <w:rsid w:val="00576EEA"/>
    <w:rsid w:val="00577039"/>
    <w:rsid w:val="005770D7"/>
    <w:rsid w:val="00577408"/>
    <w:rsid w:val="0057747F"/>
    <w:rsid w:val="0057760E"/>
    <w:rsid w:val="0057764C"/>
    <w:rsid w:val="00577748"/>
    <w:rsid w:val="00577944"/>
    <w:rsid w:val="0057794A"/>
    <w:rsid w:val="005779DF"/>
    <w:rsid w:val="00577A86"/>
    <w:rsid w:val="00577BD2"/>
    <w:rsid w:val="00577D62"/>
    <w:rsid w:val="00577F38"/>
    <w:rsid w:val="00577FCC"/>
    <w:rsid w:val="00580019"/>
    <w:rsid w:val="0058017F"/>
    <w:rsid w:val="005803CD"/>
    <w:rsid w:val="005807AE"/>
    <w:rsid w:val="005808C5"/>
    <w:rsid w:val="00580974"/>
    <w:rsid w:val="00580A1C"/>
    <w:rsid w:val="00580B0C"/>
    <w:rsid w:val="00580B58"/>
    <w:rsid w:val="00580C68"/>
    <w:rsid w:val="00580DE4"/>
    <w:rsid w:val="00581232"/>
    <w:rsid w:val="00581261"/>
    <w:rsid w:val="00581286"/>
    <w:rsid w:val="005812F7"/>
    <w:rsid w:val="00581619"/>
    <w:rsid w:val="00581833"/>
    <w:rsid w:val="00581E04"/>
    <w:rsid w:val="00581E94"/>
    <w:rsid w:val="00582017"/>
    <w:rsid w:val="00582028"/>
    <w:rsid w:val="005824D9"/>
    <w:rsid w:val="005825A3"/>
    <w:rsid w:val="005827A1"/>
    <w:rsid w:val="005827D2"/>
    <w:rsid w:val="00582841"/>
    <w:rsid w:val="005829FA"/>
    <w:rsid w:val="00582B79"/>
    <w:rsid w:val="00582BFD"/>
    <w:rsid w:val="00582C71"/>
    <w:rsid w:val="00582CB5"/>
    <w:rsid w:val="00582DEA"/>
    <w:rsid w:val="00582F90"/>
    <w:rsid w:val="00582FF2"/>
    <w:rsid w:val="00583298"/>
    <w:rsid w:val="0058331A"/>
    <w:rsid w:val="00583567"/>
    <w:rsid w:val="005838A6"/>
    <w:rsid w:val="00583F55"/>
    <w:rsid w:val="0058414B"/>
    <w:rsid w:val="005841A5"/>
    <w:rsid w:val="00584329"/>
    <w:rsid w:val="00584E05"/>
    <w:rsid w:val="00584E94"/>
    <w:rsid w:val="005851AB"/>
    <w:rsid w:val="00585500"/>
    <w:rsid w:val="005858C0"/>
    <w:rsid w:val="00585A87"/>
    <w:rsid w:val="00585BDE"/>
    <w:rsid w:val="00585CD2"/>
    <w:rsid w:val="00585FDA"/>
    <w:rsid w:val="00586078"/>
    <w:rsid w:val="00586299"/>
    <w:rsid w:val="0058635E"/>
    <w:rsid w:val="005864DA"/>
    <w:rsid w:val="005864F7"/>
    <w:rsid w:val="00586544"/>
    <w:rsid w:val="005868E5"/>
    <w:rsid w:val="00586992"/>
    <w:rsid w:val="00586C13"/>
    <w:rsid w:val="00586CC4"/>
    <w:rsid w:val="00586DAD"/>
    <w:rsid w:val="00586E5E"/>
    <w:rsid w:val="00586E87"/>
    <w:rsid w:val="005879E9"/>
    <w:rsid w:val="00587E35"/>
    <w:rsid w:val="00587FB5"/>
    <w:rsid w:val="0059005C"/>
    <w:rsid w:val="00590065"/>
    <w:rsid w:val="005904BF"/>
    <w:rsid w:val="005904D7"/>
    <w:rsid w:val="00590558"/>
    <w:rsid w:val="00590665"/>
    <w:rsid w:val="00590B52"/>
    <w:rsid w:val="00590EE7"/>
    <w:rsid w:val="00590FA0"/>
    <w:rsid w:val="005913DD"/>
    <w:rsid w:val="00591542"/>
    <w:rsid w:val="005916A3"/>
    <w:rsid w:val="00591A20"/>
    <w:rsid w:val="00591CC0"/>
    <w:rsid w:val="00591DA5"/>
    <w:rsid w:val="00592061"/>
    <w:rsid w:val="00592177"/>
    <w:rsid w:val="005921C3"/>
    <w:rsid w:val="00592281"/>
    <w:rsid w:val="005922E8"/>
    <w:rsid w:val="00592546"/>
    <w:rsid w:val="00592755"/>
    <w:rsid w:val="00592B79"/>
    <w:rsid w:val="00592D68"/>
    <w:rsid w:val="00592DE7"/>
    <w:rsid w:val="005931C9"/>
    <w:rsid w:val="00593210"/>
    <w:rsid w:val="00593440"/>
    <w:rsid w:val="0059367A"/>
    <w:rsid w:val="00593A4A"/>
    <w:rsid w:val="00593ADE"/>
    <w:rsid w:val="00594022"/>
    <w:rsid w:val="005940B4"/>
    <w:rsid w:val="0059474D"/>
    <w:rsid w:val="005948EA"/>
    <w:rsid w:val="005949A8"/>
    <w:rsid w:val="005949BE"/>
    <w:rsid w:val="00594C27"/>
    <w:rsid w:val="00594CA0"/>
    <w:rsid w:val="00594FA0"/>
    <w:rsid w:val="00594FE9"/>
    <w:rsid w:val="00595282"/>
    <w:rsid w:val="0059582F"/>
    <w:rsid w:val="00595B35"/>
    <w:rsid w:val="00595F2A"/>
    <w:rsid w:val="0059620D"/>
    <w:rsid w:val="005962A6"/>
    <w:rsid w:val="005963B2"/>
    <w:rsid w:val="00596573"/>
    <w:rsid w:val="00596957"/>
    <w:rsid w:val="00596A45"/>
    <w:rsid w:val="00596B81"/>
    <w:rsid w:val="00596EEF"/>
    <w:rsid w:val="00596F24"/>
    <w:rsid w:val="005970D5"/>
    <w:rsid w:val="00597141"/>
    <w:rsid w:val="00597364"/>
    <w:rsid w:val="00597B7F"/>
    <w:rsid w:val="00597D54"/>
    <w:rsid w:val="00597E3F"/>
    <w:rsid w:val="00597F1C"/>
    <w:rsid w:val="005A015F"/>
    <w:rsid w:val="005A0431"/>
    <w:rsid w:val="005A04C1"/>
    <w:rsid w:val="005A0579"/>
    <w:rsid w:val="005A07BF"/>
    <w:rsid w:val="005A07FE"/>
    <w:rsid w:val="005A0A98"/>
    <w:rsid w:val="005A0B2D"/>
    <w:rsid w:val="005A0B33"/>
    <w:rsid w:val="005A0C6B"/>
    <w:rsid w:val="005A0C9D"/>
    <w:rsid w:val="005A0EAE"/>
    <w:rsid w:val="005A0F24"/>
    <w:rsid w:val="005A108A"/>
    <w:rsid w:val="005A14E4"/>
    <w:rsid w:val="005A15AC"/>
    <w:rsid w:val="005A182C"/>
    <w:rsid w:val="005A18B5"/>
    <w:rsid w:val="005A1914"/>
    <w:rsid w:val="005A1945"/>
    <w:rsid w:val="005A1972"/>
    <w:rsid w:val="005A1AA3"/>
    <w:rsid w:val="005A1AE7"/>
    <w:rsid w:val="005A1AFC"/>
    <w:rsid w:val="005A1E55"/>
    <w:rsid w:val="005A1F20"/>
    <w:rsid w:val="005A1F94"/>
    <w:rsid w:val="005A2412"/>
    <w:rsid w:val="005A2428"/>
    <w:rsid w:val="005A255E"/>
    <w:rsid w:val="005A26BB"/>
    <w:rsid w:val="005A2D42"/>
    <w:rsid w:val="005A2DC7"/>
    <w:rsid w:val="005A2FC9"/>
    <w:rsid w:val="005A3032"/>
    <w:rsid w:val="005A3169"/>
    <w:rsid w:val="005A31B8"/>
    <w:rsid w:val="005A31D5"/>
    <w:rsid w:val="005A3582"/>
    <w:rsid w:val="005A3905"/>
    <w:rsid w:val="005A3BA9"/>
    <w:rsid w:val="005A3BC7"/>
    <w:rsid w:val="005A3CC9"/>
    <w:rsid w:val="005A4257"/>
    <w:rsid w:val="005A47E8"/>
    <w:rsid w:val="005A48E1"/>
    <w:rsid w:val="005A4ADA"/>
    <w:rsid w:val="005A4AFF"/>
    <w:rsid w:val="005A4BB6"/>
    <w:rsid w:val="005A4CE3"/>
    <w:rsid w:val="005A4D50"/>
    <w:rsid w:val="005A4D77"/>
    <w:rsid w:val="005A4E5C"/>
    <w:rsid w:val="005A5031"/>
    <w:rsid w:val="005A5077"/>
    <w:rsid w:val="005A53DB"/>
    <w:rsid w:val="005A58F7"/>
    <w:rsid w:val="005A5BFE"/>
    <w:rsid w:val="005A6107"/>
    <w:rsid w:val="005A62CC"/>
    <w:rsid w:val="005A634E"/>
    <w:rsid w:val="005A6602"/>
    <w:rsid w:val="005A683C"/>
    <w:rsid w:val="005A6A2A"/>
    <w:rsid w:val="005A7251"/>
    <w:rsid w:val="005A7336"/>
    <w:rsid w:val="005A746B"/>
    <w:rsid w:val="005A747C"/>
    <w:rsid w:val="005A74BC"/>
    <w:rsid w:val="005A7574"/>
    <w:rsid w:val="005A7692"/>
    <w:rsid w:val="005A771E"/>
    <w:rsid w:val="005A781D"/>
    <w:rsid w:val="005A7CD2"/>
    <w:rsid w:val="005A7D88"/>
    <w:rsid w:val="005A7EE3"/>
    <w:rsid w:val="005B004E"/>
    <w:rsid w:val="005B0174"/>
    <w:rsid w:val="005B0371"/>
    <w:rsid w:val="005B03EB"/>
    <w:rsid w:val="005B054A"/>
    <w:rsid w:val="005B067B"/>
    <w:rsid w:val="005B0BB3"/>
    <w:rsid w:val="005B0F40"/>
    <w:rsid w:val="005B102E"/>
    <w:rsid w:val="005B10D7"/>
    <w:rsid w:val="005B151C"/>
    <w:rsid w:val="005B1520"/>
    <w:rsid w:val="005B1578"/>
    <w:rsid w:val="005B1678"/>
    <w:rsid w:val="005B18B4"/>
    <w:rsid w:val="005B18E3"/>
    <w:rsid w:val="005B19AB"/>
    <w:rsid w:val="005B1A9D"/>
    <w:rsid w:val="005B1CF9"/>
    <w:rsid w:val="005B1DB4"/>
    <w:rsid w:val="005B21A2"/>
    <w:rsid w:val="005B2357"/>
    <w:rsid w:val="005B25AB"/>
    <w:rsid w:val="005B2630"/>
    <w:rsid w:val="005B2652"/>
    <w:rsid w:val="005B288B"/>
    <w:rsid w:val="005B28EB"/>
    <w:rsid w:val="005B2A0B"/>
    <w:rsid w:val="005B2A10"/>
    <w:rsid w:val="005B2C2C"/>
    <w:rsid w:val="005B2DC6"/>
    <w:rsid w:val="005B2EB5"/>
    <w:rsid w:val="005B2F64"/>
    <w:rsid w:val="005B3169"/>
    <w:rsid w:val="005B31B8"/>
    <w:rsid w:val="005B33CD"/>
    <w:rsid w:val="005B355A"/>
    <w:rsid w:val="005B3673"/>
    <w:rsid w:val="005B3CD1"/>
    <w:rsid w:val="005B3E31"/>
    <w:rsid w:val="005B3EA3"/>
    <w:rsid w:val="005B3EBE"/>
    <w:rsid w:val="005B3F4A"/>
    <w:rsid w:val="005B41DB"/>
    <w:rsid w:val="005B43B6"/>
    <w:rsid w:val="005B4533"/>
    <w:rsid w:val="005B461F"/>
    <w:rsid w:val="005B4642"/>
    <w:rsid w:val="005B48C1"/>
    <w:rsid w:val="005B48E8"/>
    <w:rsid w:val="005B4D54"/>
    <w:rsid w:val="005B5018"/>
    <w:rsid w:val="005B504E"/>
    <w:rsid w:val="005B5287"/>
    <w:rsid w:val="005B5302"/>
    <w:rsid w:val="005B55C5"/>
    <w:rsid w:val="005B568B"/>
    <w:rsid w:val="005B594D"/>
    <w:rsid w:val="005B59E1"/>
    <w:rsid w:val="005B5BAA"/>
    <w:rsid w:val="005B5C8F"/>
    <w:rsid w:val="005B5E06"/>
    <w:rsid w:val="005B5E87"/>
    <w:rsid w:val="005B5F85"/>
    <w:rsid w:val="005B5FF6"/>
    <w:rsid w:val="005B61E8"/>
    <w:rsid w:val="005B63AE"/>
    <w:rsid w:val="005B63AF"/>
    <w:rsid w:val="005B687E"/>
    <w:rsid w:val="005B69B4"/>
    <w:rsid w:val="005B6BCE"/>
    <w:rsid w:val="005B6BDA"/>
    <w:rsid w:val="005B6C13"/>
    <w:rsid w:val="005B6F34"/>
    <w:rsid w:val="005B6F68"/>
    <w:rsid w:val="005B7B0A"/>
    <w:rsid w:val="005B7BFD"/>
    <w:rsid w:val="005B7C7F"/>
    <w:rsid w:val="005B7DB3"/>
    <w:rsid w:val="005B7E1F"/>
    <w:rsid w:val="005B7F50"/>
    <w:rsid w:val="005B7FAA"/>
    <w:rsid w:val="005C031B"/>
    <w:rsid w:val="005C03C3"/>
    <w:rsid w:val="005C07A7"/>
    <w:rsid w:val="005C090D"/>
    <w:rsid w:val="005C0AAB"/>
    <w:rsid w:val="005C0CCE"/>
    <w:rsid w:val="005C0E67"/>
    <w:rsid w:val="005C0EB8"/>
    <w:rsid w:val="005C10AE"/>
    <w:rsid w:val="005C128C"/>
    <w:rsid w:val="005C15AE"/>
    <w:rsid w:val="005C1A47"/>
    <w:rsid w:val="005C1B1D"/>
    <w:rsid w:val="005C1DEA"/>
    <w:rsid w:val="005C21CE"/>
    <w:rsid w:val="005C227F"/>
    <w:rsid w:val="005C22BE"/>
    <w:rsid w:val="005C23D2"/>
    <w:rsid w:val="005C2428"/>
    <w:rsid w:val="005C2538"/>
    <w:rsid w:val="005C25DC"/>
    <w:rsid w:val="005C287C"/>
    <w:rsid w:val="005C2B84"/>
    <w:rsid w:val="005C2D7A"/>
    <w:rsid w:val="005C2E2C"/>
    <w:rsid w:val="005C2F78"/>
    <w:rsid w:val="005C2F7F"/>
    <w:rsid w:val="005C32E7"/>
    <w:rsid w:val="005C33B8"/>
    <w:rsid w:val="005C356A"/>
    <w:rsid w:val="005C3871"/>
    <w:rsid w:val="005C3884"/>
    <w:rsid w:val="005C38C9"/>
    <w:rsid w:val="005C398F"/>
    <w:rsid w:val="005C3D34"/>
    <w:rsid w:val="005C3E21"/>
    <w:rsid w:val="005C3EA4"/>
    <w:rsid w:val="005C3F76"/>
    <w:rsid w:val="005C4546"/>
    <w:rsid w:val="005C4780"/>
    <w:rsid w:val="005C48DE"/>
    <w:rsid w:val="005C4A43"/>
    <w:rsid w:val="005C4A4D"/>
    <w:rsid w:val="005C4B22"/>
    <w:rsid w:val="005C4D5C"/>
    <w:rsid w:val="005C4E42"/>
    <w:rsid w:val="005C4F9F"/>
    <w:rsid w:val="005C5665"/>
    <w:rsid w:val="005C58D5"/>
    <w:rsid w:val="005C5FAA"/>
    <w:rsid w:val="005C6071"/>
    <w:rsid w:val="005C6089"/>
    <w:rsid w:val="005C6284"/>
    <w:rsid w:val="005C63BE"/>
    <w:rsid w:val="005C64C8"/>
    <w:rsid w:val="005C64F3"/>
    <w:rsid w:val="005C66A5"/>
    <w:rsid w:val="005C67B3"/>
    <w:rsid w:val="005C6A8D"/>
    <w:rsid w:val="005C6ACF"/>
    <w:rsid w:val="005C6AF1"/>
    <w:rsid w:val="005C70DD"/>
    <w:rsid w:val="005C71A0"/>
    <w:rsid w:val="005C71A9"/>
    <w:rsid w:val="005C733A"/>
    <w:rsid w:val="005C77EE"/>
    <w:rsid w:val="005C7876"/>
    <w:rsid w:val="005C79D3"/>
    <w:rsid w:val="005C79F1"/>
    <w:rsid w:val="005C7B7F"/>
    <w:rsid w:val="005C7E52"/>
    <w:rsid w:val="005C7FE1"/>
    <w:rsid w:val="005D0095"/>
    <w:rsid w:val="005D0154"/>
    <w:rsid w:val="005D0504"/>
    <w:rsid w:val="005D070D"/>
    <w:rsid w:val="005D08BE"/>
    <w:rsid w:val="005D09E5"/>
    <w:rsid w:val="005D0E00"/>
    <w:rsid w:val="005D0E6B"/>
    <w:rsid w:val="005D0F43"/>
    <w:rsid w:val="005D0FB8"/>
    <w:rsid w:val="005D11D7"/>
    <w:rsid w:val="005D1318"/>
    <w:rsid w:val="005D137B"/>
    <w:rsid w:val="005D1398"/>
    <w:rsid w:val="005D15C9"/>
    <w:rsid w:val="005D19CE"/>
    <w:rsid w:val="005D1A23"/>
    <w:rsid w:val="005D1A41"/>
    <w:rsid w:val="005D1C7B"/>
    <w:rsid w:val="005D1CA4"/>
    <w:rsid w:val="005D1E14"/>
    <w:rsid w:val="005D1E19"/>
    <w:rsid w:val="005D1FEA"/>
    <w:rsid w:val="005D216C"/>
    <w:rsid w:val="005D2400"/>
    <w:rsid w:val="005D24D9"/>
    <w:rsid w:val="005D2653"/>
    <w:rsid w:val="005D26D1"/>
    <w:rsid w:val="005D26DC"/>
    <w:rsid w:val="005D26EF"/>
    <w:rsid w:val="005D2D56"/>
    <w:rsid w:val="005D2E5F"/>
    <w:rsid w:val="005D317A"/>
    <w:rsid w:val="005D33DE"/>
    <w:rsid w:val="005D350B"/>
    <w:rsid w:val="005D35C8"/>
    <w:rsid w:val="005D361C"/>
    <w:rsid w:val="005D3644"/>
    <w:rsid w:val="005D3A23"/>
    <w:rsid w:val="005D3A73"/>
    <w:rsid w:val="005D3D01"/>
    <w:rsid w:val="005D3EBF"/>
    <w:rsid w:val="005D40EF"/>
    <w:rsid w:val="005D42E8"/>
    <w:rsid w:val="005D442D"/>
    <w:rsid w:val="005D4755"/>
    <w:rsid w:val="005D4AA8"/>
    <w:rsid w:val="005D4CE3"/>
    <w:rsid w:val="005D4FDE"/>
    <w:rsid w:val="005D5101"/>
    <w:rsid w:val="005D54AE"/>
    <w:rsid w:val="005D5699"/>
    <w:rsid w:val="005D5791"/>
    <w:rsid w:val="005D5863"/>
    <w:rsid w:val="005D5929"/>
    <w:rsid w:val="005D5FC5"/>
    <w:rsid w:val="005D5FCF"/>
    <w:rsid w:val="005D60D8"/>
    <w:rsid w:val="005D619C"/>
    <w:rsid w:val="005D69A6"/>
    <w:rsid w:val="005D6A18"/>
    <w:rsid w:val="005D6A3A"/>
    <w:rsid w:val="005D6C1D"/>
    <w:rsid w:val="005D6DA4"/>
    <w:rsid w:val="005D6E76"/>
    <w:rsid w:val="005D7552"/>
    <w:rsid w:val="005D7580"/>
    <w:rsid w:val="005D75D3"/>
    <w:rsid w:val="005D762A"/>
    <w:rsid w:val="005D789D"/>
    <w:rsid w:val="005D7A41"/>
    <w:rsid w:val="005D7A5E"/>
    <w:rsid w:val="005D7B3F"/>
    <w:rsid w:val="005D7E4A"/>
    <w:rsid w:val="005D7E6C"/>
    <w:rsid w:val="005D7EB9"/>
    <w:rsid w:val="005D7F2D"/>
    <w:rsid w:val="005D7F5F"/>
    <w:rsid w:val="005D7FF5"/>
    <w:rsid w:val="005E016B"/>
    <w:rsid w:val="005E01E0"/>
    <w:rsid w:val="005E0211"/>
    <w:rsid w:val="005E033B"/>
    <w:rsid w:val="005E03E5"/>
    <w:rsid w:val="005E04C2"/>
    <w:rsid w:val="005E054A"/>
    <w:rsid w:val="005E0552"/>
    <w:rsid w:val="005E0719"/>
    <w:rsid w:val="005E0ACB"/>
    <w:rsid w:val="005E0CEC"/>
    <w:rsid w:val="005E0D35"/>
    <w:rsid w:val="005E0EA5"/>
    <w:rsid w:val="005E120C"/>
    <w:rsid w:val="005E154E"/>
    <w:rsid w:val="005E1567"/>
    <w:rsid w:val="005E1639"/>
    <w:rsid w:val="005E172F"/>
    <w:rsid w:val="005E1A3A"/>
    <w:rsid w:val="005E1B0D"/>
    <w:rsid w:val="005E1C7D"/>
    <w:rsid w:val="005E1D36"/>
    <w:rsid w:val="005E1F07"/>
    <w:rsid w:val="005E217D"/>
    <w:rsid w:val="005E221B"/>
    <w:rsid w:val="005E22A5"/>
    <w:rsid w:val="005E251F"/>
    <w:rsid w:val="005E2668"/>
    <w:rsid w:val="005E2A3A"/>
    <w:rsid w:val="005E30BE"/>
    <w:rsid w:val="005E318D"/>
    <w:rsid w:val="005E3450"/>
    <w:rsid w:val="005E34FA"/>
    <w:rsid w:val="005E3584"/>
    <w:rsid w:val="005E3751"/>
    <w:rsid w:val="005E37CE"/>
    <w:rsid w:val="005E3B1E"/>
    <w:rsid w:val="005E3E98"/>
    <w:rsid w:val="005E3FE2"/>
    <w:rsid w:val="005E4049"/>
    <w:rsid w:val="005E467D"/>
    <w:rsid w:val="005E47A5"/>
    <w:rsid w:val="005E47DC"/>
    <w:rsid w:val="005E47E6"/>
    <w:rsid w:val="005E47FE"/>
    <w:rsid w:val="005E4884"/>
    <w:rsid w:val="005E4BF9"/>
    <w:rsid w:val="005E4C45"/>
    <w:rsid w:val="005E512B"/>
    <w:rsid w:val="005E5385"/>
    <w:rsid w:val="005E54C4"/>
    <w:rsid w:val="005E5B8E"/>
    <w:rsid w:val="005E5FA5"/>
    <w:rsid w:val="005E5FEF"/>
    <w:rsid w:val="005E6006"/>
    <w:rsid w:val="005E603B"/>
    <w:rsid w:val="005E6110"/>
    <w:rsid w:val="005E613E"/>
    <w:rsid w:val="005E61A1"/>
    <w:rsid w:val="005E61EF"/>
    <w:rsid w:val="005E6678"/>
    <w:rsid w:val="005E66BE"/>
    <w:rsid w:val="005E66E1"/>
    <w:rsid w:val="005E683B"/>
    <w:rsid w:val="005E6950"/>
    <w:rsid w:val="005E69B6"/>
    <w:rsid w:val="005E6A3B"/>
    <w:rsid w:val="005E6CC2"/>
    <w:rsid w:val="005E6DEA"/>
    <w:rsid w:val="005E6E20"/>
    <w:rsid w:val="005E6ED3"/>
    <w:rsid w:val="005E72C9"/>
    <w:rsid w:val="005E7572"/>
    <w:rsid w:val="005E7849"/>
    <w:rsid w:val="005E7968"/>
    <w:rsid w:val="005E7A3B"/>
    <w:rsid w:val="005E7B79"/>
    <w:rsid w:val="005E7BB9"/>
    <w:rsid w:val="005E7D43"/>
    <w:rsid w:val="005E7E33"/>
    <w:rsid w:val="005E7F9D"/>
    <w:rsid w:val="005F03D0"/>
    <w:rsid w:val="005F0C53"/>
    <w:rsid w:val="005F0F52"/>
    <w:rsid w:val="005F0F59"/>
    <w:rsid w:val="005F0FB0"/>
    <w:rsid w:val="005F10A2"/>
    <w:rsid w:val="005F1366"/>
    <w:rsid w:val="005F1379"/>
    <w:rsid w:val="005F139D"/>
    <w:rsid w:val="005F144E"/>
    <w:rsid w:val="005F1489"/>
    <w:rsid w:val="005F158F"/>
    <w:rsid w:val="005F1742"/>
    <w:rsid w:val="005F17ED"/>
    <w:rsid w:val="005F1925"/>
    <w:rsid w:val="005F194C"/>
    <w:rsid w:val="005F1C14"/>
    <w:rsid w:val="005F1C85"/>
    <w:rsid w:val="005F1E43"/>
    <w:rsid w:val="005F1FAB"/>
    <w:rsid w:val="005F21E3"/>
    <w:rsid w:val="005F22B5"/>
    <w:rsid w:val="005F24A9"/>
    <w:rsid w:val="005F27E0"/>
    <w:rsid w:val="005F28BC"/>
    <w:rsid w:val="005F2ED9"/>
    <w:rsid w:val="005F352B"/>
    <w:rsid w:val="005F362D"/>
    <w:rsid w:val="005F3979"/>
    <w:rsid w:val="005F3B63"/>
    <w:rsid w:val="005F3BAE"/>
    <w:rsid w:val="005F3C4D"/>
    <w:rsid w:val="005F3C71"/>
    <w:rsid w:val="005F3C9B"/>
    <w:rsid w:val="005F3D85"/>
    <w:rsid w:val="005F3DC4"/>
    <w:rsid w:val="005F3EA5"/>
    <w:rsid w:val="005F3F45"/>
    <w:rsid w:val="005F40BD"/>
    <w:rsid w:val="005F4211"/>
    <w:rsid w:val="005F42D4"/>
    <w:rsid w:val="005F45BD"/>
    <w:rsid w:val="005F4D3B"/>
    <w:rsid w:val="005F4EAF"/>
    <w:rsid w:val="005F4EF5"/>
    <w:rsid w:val="005F4F3C"/>
    <w:rsid w:val="005F52EC"/>
    <w:rsid w:val="005F541A"/>
    <w:rsid w:val="005F585E"/>
    <w:rsid w:val="005F5A07"/>
    <w:rsid w:val="005F5ACF"/>
    <w:rsid w:val="005F5B3D"/>
    <w:rsid w:val="005F5C35"/>
    <w:rsid w:val="005F607A"/>
    <w:rsid w:val="005F632B"/>
    <w:rsid w:val="005F6366"/>
    <w:rsid w:val="005F63A4"/>
    <w:rsid w:val="005F63C0"/>
    <w:rsid w:val="005F640D"/>
    <w:rsid w:val="005F65C3"/>
    <w:rsid w:val="005F6B4B"/>
    <w:rsid w:val="005F6D4F"/>
    <w:rsid w:val="005F6E59"/>
    <w:rsid w:val="005F6EF2"/>
    <w:rsid w:val="005F7290"/>
    <w:rsid w:val="005F7316"/>
    <w:rsid w:val="005F7644"/>
    <w:rsid w:val="005F776D"/>
    <w:rsid w:val="005F77F4"/>
    <w:rsid w:val="005F78A5"/>
    <w:rsid w:val="005F7AB9"/>
    <w:rsid w:val="005F7AC7"/>
    <w:rsid w:val="005F7C01"/>
    <w:rsid w:val="005F7C48"/>
    <w:rsid w:val="005F7CBE"/>
    <w:rsid w:val="005F7CD0"/>
    <w:rsid w:val="005F7D04"/>
    <w:rsid w:val="005F7DBD"/>
    <w:rsid w:val="005F7E20"/>
    <w:rsid w:val="0060051E"/>
    <w:rsid w:val="006005B4"/>
    <w:rsid w:val="00600663"/>
    <w:rsid w:val="006006A0"/>
    <w:rsid w:val="00600751"/>
    <w:rsid w:val="006008B6"/>
    <w:rsid w:val="00600D4F"/>
    <w:rsid w:val="00600E33"/>
    <w:rsid w:val="00600F22"/>
    <w:rsid w:val="00600F75"/>
    <w:rsid w:val="00600F97"/>
    <w:rsid w:val="006010C6"/>
    <w:rsid w:val="00601309"/>
    <w:rsid w:val="006013CD"/>
    <w:rsid w:val="00601D94"/>
    <w:rsid w:val="00601DA3"/>
    <w:rsid w:val="006021FC"/>
    <w:rsid w:val="006025DC"/>
    <w:rsid w:val="006026E7"/>
    <w:rsid w:val="006026EB"/>
    <w:rsid w:val="006028BA"/>
    <w:rsid w:val="006029CE"/>
    <w:rsid w:val="00602B0B"/>
    <w:rsid w:val="00602B50"/>
    <w:rsid w:val="00602CC8"/>
    <w:rsid w:val="00602F0A"/>
    <w:rsid w:val="00602F1A"/>
    <w:rsid w:val="0060302F"/>
    <w:rsid w:val="00603083"/>
    <w:rsid w:val="00603303"/>
    <w:rsid w:val="00603307"/>
    <w:rsid w:val="006033E4"/>
    <w:rsid w:val="00603805"/>
    <w:rsid w:val="00603852"/>
    <w:rsid w:val="00603A49"/>
    <w:rsid w:val="00603D6E"/>
    <w:rsid w:val="00603EB4"/>
    <w:rsid w:val="006042E8"/>
    <w:rsid w:val="0060442D"/>
    <w:rsid w:val="00604434"/>
    <w:rsid w:val="00604548"/>
    <w:rsid w:val="0060489F"/>
    <w:rsid w:val="00604909"/>
    <w:rsid w:val="00604A77"/>
    <w:rsid w:val="00604B5E"/>
    <w:rsid w:val="00604F81"/>
    <w:rsid w:val="00605060"/>
    <w:rsid w:val="006050D5"/>
    <w:rsid w:val="006050D9"/>
    <w:rsid w:val="006050F0"/>
    <w:rsid w:val="00605178"/>
    <w:rsid w:val="006051A8"/>
    <w:rsid w:val="00605203"/>
    <w:rsid w:val="0060530F"/>
    <w:rsid w:val="00605327"/>
    <w:rsid w:val="00605454"/>
    <w:rsid w:val="0060580B"/>
    <w:rsid w:val="006058A2"/>
    <w:rsid w:val="006058FC"/>
    <w:rsid w:val="006059EC"/>
    <w:rsid w:val="00605AAA"/>
    <w:rsid w:val="00605B53"/>
    <w:rsid w:val="00605C59"/>
    <w:rsid w:val="00605E54"/>
    <w:rsid w:val="00605EDC"/>
    <w:rsid w:val="00606029"/>
    <w:rsid w:val="006060BC"/>
    <w:rsid w:val="0060611C"/>
    <w:rsid w:val="006061A5"/>
    <w:rsid w:val="00606261"/>
    <w:rsid w:val="006062A7"/>
    <w:rsid w:val="0060632A"/>
    <w:rsid w:val="00606551"/>
    <w:rsid w:val="00606746"/>
    <w:rsid w:val="0060699D"/>
    <w:rsid w:val="006069C0"/>
    <w:rsid w:val="00606A41"/>
    <w:rsid w:val="00606C36"/>
    <w:rsid w:val="00606EA7"/>
    <w:rsid w:val="0060704B"/>
    <w:rsid w:val="006070B1"/>
    <w:rsid w:val="00607141"/>
    <w:rsid w:val="006072FE"/>
    <w:rsid w:val="0060780F"/>
    <w:rsid w:val="006079FE"/>
    <w:rsid w:val="00607AB6"/>
    <w:rsid w:val="00607F39"/>
    <w:rsid w:val="00607F72"/>
    <w:rsid w:val="00610194"/>
    <w:rsid w:val="0061027E"/>
    <w:rsid w:val="00610570"/>
    <w:rsid w:val="006105A9"/>
    <w:rsid w:val="0061082B"/>
    <w:rsid w:val="0061083C"/>
    <w:rsid w:val="00610AA7"/>
    <w:rsid w:val="00610AF1"/>
    <w:rsid w:val="00610ED8"/>
    <w:rsid w:val="00611426"/>
    <w:rsid w:val="00611429"/>
    <w:rsid w:val="006114D6"/>
    <w:rsid w:val="00611875"/>
    <w:rsid w:val="006118DA"/>
    <w:rsid w:val="00611A2D"/>
    <w:rsid w:val="00611C5B"/>
    <w:rsid w:val="00611F8F"/>
    <w:rsid w:val="00611FFB"/>
    <w:rsid w:val="0061202A"/>
    <w:rsid w:val="00612103"/>
    <w:rsid w:val="006122A4"/>
    <w:rsid w:val="00612698"/>
    <w:rsid w:val="006128B5"/>
    <w:rsid w:val="00612D34"/>
    <w:rsid w:val="006130EC"/>
    <w:rsid w:val="006132E1"/>
    <w:rsid w:val="006132E7"/>
    <w:rsid w:val="00613325"/>
    <w:rsid w:val="0061337F"/>
    <w:rsid w:val="00613471"/>
    <w:rsid w:val="0061361C"/>
    <w:rsid w:val="00613657"/>
    <w:rsid w:val="006139B0"/>
    <w:rsid w:val="00613A98"/>
    <w:rsid w:val="00613C28"/>
    <w:rsid w:val="00613C6A"/>
    <w:rsid w:val="00613DEE"/>
    <w:rsid w:val="0061419E"/>
    <w:rsid w:val="0061441D"/>
    <w:rsid w:val="006144B3"/>
    <w:rsid w:val="006145D5"/>
    <w:rsid w:val="006149A0"/>
    <w:rsid w:val="00614B9A"/>
    <w:rsid w:val="00614D60"/>
    <w:rsid w:val="00614F13"/>
    <w:rsid w:val="00615216"/>
    <w:rsid w:val="006153A0"/>
    <w:rsid w:val="00615787"/>
    <w:rsid w:val="006157FE"/>
    <w:rsid w:val="00615865"/>
    <w:rsid w:val="00615905"/>
    <w:rsid w:val="00615AA4"/>
    <w:rsid w:val="00615FC4"/>
    <w:rsid w:val="00615FF0"/>
    <w:rsid w:val="006160C8"/>
    <w:rsid w:val="00616103"/>
    <w:rsid w:val="006161CE"/>
    <w:rsid w:val="0061630E"/>
    <w:rsid w:val="0061680B"/>
    <w:rsid w:val="00616A5F"/>
    <w:rsid w:val="00616B22"/>
    <w:rsid w:val="00616C2C"/>
    <w:rsid w:val="00616C42"/>
    <w:rsid w:val="00616CDB"/>
    <w:rsid w:val="00616D64"/>
    <w:rsid w:val="00616DE2"/>
    <w:rsid w:val="00616F92"/>
    <w:rsid w:val="0061705B"/>
    <w:rsid w:val="00617321"/>
    <w:rsid w:val="00617512"/>
    <w:rsid w:val="006175BD"/>
    <w:rsid w:val="006176EB"/>
    <w:rsid w:val="00617738"/>
    <w:rsid w:val="00617B70"/>
    <w:rsid w:val="00617C7C"/>
    <w:rsid w:val="00617CA7"/>
    <w:rsid w:val="00617EBB"/>
    <w:rsid w:val="006200B3"/>
    <w:rsid w:val="0062022C"/>
    <w:rsid w:val="00620381"/>
    <w:rsid w:val="00620BE5"/>
    <w:rsid w:val="00620C5D"/>
    <w:rsid w:val="00620C81"/>
    <w:rsid w:val="00620D09"/>
    <w:rsid w:val="00620D2F"/>
    <w:rsid w:val="00620E74"/>
    <w:rsid w:val="00621085"/>
    <w:rsid w:val="006210D4"/>
    <w:rsid w:val="0062138F"/>
    <w:rsid w:val="00621554"/>
    <w:rsid w:val="00621586"/>
    <w:rsid w:val="006218C4"/>
    <w:rsid w:val="006218EC"/>
    <w:rsid w:val="00621ABC"/>
    <w:rsid w:val="00621E19"/>
    <w:rsid w:val="00621FAE"/>
    <w:rsid w:val="006220C1"/>
    <w:rsid w:val="00622162"/>
    <w:rsid w:val="00622203"/>
    <w:rsid w:val="00622286"/>
    <w:rsid w:val="0062241D"/>
    <w:rsid w:val="00622465"/>
    <w:rsid w:val="006228EB"/>
    <w:rsid w:val="0062292A"/>
    <w:rsid w:val="006229CB"/>
    <w:rsid w:val="00622BE0"/>
    <w:rsid w:val="00622C36"/>
    <w:rsid w:val="00622D9B"/>
    <w:rsid w:val="00622E23"/>
    <w:rsid w:val="0062306C"/>
    <w:rsid w:val="0062320F"/>
    <w:rsid w:val="006232C1"/>
    <w:rsid w:val="00623410"/>
    <w:rsid w:val="00623580"/>
    <w:rsid w:val="006235A9"/>
    <w:rsid w:val="00623687"/>
    <w:rsid w:val="0062374F"/>
    <w:rsid w:val="0062381F"/>
    <w:rsid w:val="00623825"/>
    <w:rsid w:val="006239AC"/>
    <w:rsid w:val="00623AB5"/>
    <w:rsid w:val="00623C5C"/>
    <w:rsid w:val="00623D98"/>
    <w:rsid w:val="00623EEA"/>
    <w:rsid w:val="00624073"/>
    <w:rsid w:val="0062449E"/>
    <w:rsid w:val="006245E5"/>
    <w:rsid w:val="0062479E"/>
    <w:rsid w:val="0062497C"/>
    <w:rsid w:val="00624B1D"/>
    <w:rsid w:val="00624B3C"/>
    <w:rsid w:val="00624CD8"/>
    <w:rsid w:val="00624E66"/>
    <w:rsid w:val="0062504C"/>
    <w:rsid w:val="00625105"/>
    <w:rsid w:val="00625476"/>
    <w:rsid w:val="00625617"/>
    <w:rsid w:val="00625655"/>
    <w:rsid w:val="00625AA3"/>
    <w:rsid w:val="00625B42"/>
    <w:rsid w:val="00625C90"/>
    <w:rsid w:val="00625D15"/>
    <w:rsid w:val="00625D6C"/>
    <w:rsid w:val="006263F5"/>
    <w:rsid w:val="0062650F"/>
    <w:rsid w:val="00626605"/>
    <w:rsid w:val="0062661B"/>
    <w:rsid w:val="00626688"/>
    <w:rsid w:val="0062678F"/>
    <w:rsid w:val="006268E5"/>
    <w:rsid w:val="00626B29"/>
    <w:rsid w:val="00626C98"/>
    <w:rsid w:val="0062759A"/>
    <w:rsid w:val="006275FB"/>
    <w:rsid w:val="0062767C"/>
    <w:rsid w:val="006276B3"/>
    <w:rsid w:val="006277C2"/>
    <w:rsid w:val="0062787C"/>
    <w:rsid w:val="0062795D"/>
    <w:rsid w:val="006279DC"/>
    <w:rsid w:val="00627B14"/>
    <w:rsid w:val="00627F4A"/>
    <w:rsid w:val="006300E6"/>
    <w:rsid w:val="006302B0"/>
    <w:rsid w:val="00630405"/>
    <w:rsid w:val="0063061F"/>
    <w:rsid w:val="006306A0"/>
    <w:rsid w:val="006309C8"/>
    <w:rsid w:val="00630BB9"/>
    <w:rsid w:val="00630CE7"/>
    <w:rsid w:val="00630DBB"/>
    <w:rsid w:val="00630F35"/>
    <w:rsid w:val="00631080"/>
    <w:rsid w:val="00631211"/>
    <w:rsid w:val="006312AD"/>
    <w:rsid w:val="00631497"/>
    <w:rsid w:val="006314DF"/>
    <w:rsid w:val="006316B8"/>
    <w:rsid w:val="0063190C"/>
    <w:rsid w:val="00631CA8"/>
    <w:rsid w:val="00631D6E"/>
    <w:rsid w:val="00631DB5"/>
    <w:rsid w:val="0063216D"/>
    <w:rsid w:val="006322D0"/>
    <w:rsid w:val="00632320"/>
    <w:rsid w:val="006327C8"/>
    <w:rsid w:val="006328F1"/>
    <w:rsid w:val="0063291F"/>
    <w:rsid w:val="0063299F"/>
    <w:rsid w:val="00632B5D"/>
    <w:rsid w:val="00632BA5"/>
    <w:rsid w:val="00632CF5"/>
    <w:rsid w:val="00632E40"/>
    <w:rsid w:val="00632EB0"/>
    <w:rsid w:val="00633000"/>
    <w:rsid w:val="006330DB"/>
    <w:rsid w:val="006330DF"/>
    <w:rsid w:val="00633348"/>
    <w:rsid w:val="0063347A"/>
    <w:rsid w:val="00633658"/>
    <w:rsid w:val="006337B4"/>
    <w:rsid w:val="00633EA2"/>
    <w:rsid w:val="00633F7E"/>
    <w:rsid w:val="0063406F"/>
    <w:rsid w:val="006341E2"/>
    <w:rsid w:val="0063427D"/>
    <w:rsid w:val="006342D3"/>
    <w:rsid w:val="0063435E"/>
    <w:rsid w:val="006344B4"/>
    <w:rsid w:val="00634591"/>
    <w:rsid w:val="006348F7"/>
    <w:rsid w:val="00634B2A"/>
    <w:rsid w:val="00634BAD"/>
    <w:rsid w:val="00634CAC"/>
    <w:rsid w:val="00634E33"/>
    <w:rsid w:val="00634FCD"/>
    <w:rsid w:val="0063507F"/>
    <w:rsid w:val="006351B1"/>
    <w:rsid w:val="00635215"/>
    <w:rsid w:val="0063537E"/>
    <w:rsid w:val="00635510"/>
    <w:rsid w:val="00635949"/>
    <w:rsid w:val="0063594F"/>
    <w:rsid w:val="00635B6B"/>
    <w:rsid w:val="00635C78"/>
    <w:rsid w:val="00635CB3"/>
    <w:rsid w:val="00635CBC"/>
    <w:rsid w:val="00635EE1"/>
    <w:rsid w:val="00636171"/>
    <w:rsid w:val="006361F8"/>
    <w:rsid w:val="0063643F"/>
    <w:rsid w:val="0063649B"/>
    <w:rsid w:val="00636605"/>
    <w:rsid w:val="006366B7"/>
    <w:rsid w:val="0063678A"/>
    <w:rsid w:val="006367A6"/>
    <w:rsid w:val="0063687C"/>
    <w:rsid w:val="00636B28"/>
    <w:rsid w:val="00636B3F"/>
    <w:rsid w:val="00636BEF"/>
    <w:rsid w:val="00636C8B"/>
    <w:rsid w:val="00636C8F"/>
    <w:rsid w:val="00636F81"/>
    <w:rsid w:val="0063715F"/>
    <w:rsid w:val="0063718D"/>
    <w:rsid w:val="006374F8"/>
    <w:rsid w:val="00637703"/>
    <w:rsid w:val="006378A3"/>
    <w:rsid w:val="006379C9"/>
    <w:rsid w:val="00637A0A"/>
    <w:rsid w:val="00637F49"/>
    <w:rsid w:val="00640402"/>
    <w:rsid w:val="00640EF6"/>
    <w:rsid w:val="0064103B"/>
    <w:rsid w:val="006414DC"/>
    <w:rsid w:val="006414F7"/>
    <w:rsid w:val="00641639"/>
    <w:rsid w:val="006418E6"/>
    <w:rsid w:val="0064194A"/>
    <w:rsid w:val="00641A95"/>
    <w:rsid w:val="00641F13"/>
    <w:rsid w:val="00641FD0"/>
    <w:rsid w:val="0064203F"/>
    <w:rsid w:val="00642053"/>
    <w:rsid w:val="0064218D"/>
    <w:rsid w:val="0064223C"/>
    <w:rsid w:val="0064228D"/>
    <w:rsid w:val="006423A9"/>
    <w:rsid w:val="00642449"/>
    <w:rsid w:val="00642779"/>
    <w:rsid w:val="00642A13"/>
    <w:rsid w:val="00642D43"/>
    <w:rsid w:val="00642F19"/>
    <w:rsid w:val="00642F96"/>
    <w:rsid w:val="00643021"/>
    <w:rsid w:val="00643145"/>
    <w:rsid w:val="006435C3"/>
    <w:rsid w:val="00643746"/>
    <w:rsid w:val="006438BE"/>
    <w:rsid w:val="00643A81"/>
    <w:rsid w:val="00643C37"/>
    <w:rsid w:val="00643C8B"/>
    <w:rsid w:val="00643CF9"/>
    <w:rsid w:val="00643ED8"/>
    <w:rsid w:val="0064429B"/>
    <w:rsid w:val="0064442C"/>
    <w:rsid w:val="00644473"/>
    <w:rsid w:val="00644668"/>
    <w:rsid w:val="00644740"/>
    <w:rsid w:val="006447F6"/>
    <w:rsid w:val="00644898"/>
    <w:rsid w:val="006448AA"/>
    <w:rsid w:val="00644C29"/>
    <w:rsid w:val="00644F56"/>
    <w:rsid w:val="006450BE"/>
    <w:rsid w:val="00645186"/>
    <w:rsid w:val="006452F9"/>
    <w:rsid w:val="006453D3"/>
    <w:rsid w:val="00645494"/>
    <w:rsid w:val="0064582B"/>
    <w:rsid w:val="006459EF"/>
    <w:rsid w:val="00645A6A"/>
    <w:rsid w:val="00645AAF"/>
    <w:rsid w:val="00645E85"/>
    <w:rsid w:val="00645EDE"/>
    <w:rsid w:val="0064612D"/>
    <w:rsid w:val="00646165"/>
    <w:rsid w:val="006465E2"/>
    <w:rsid w:val="0064689C"/>
    <w:rsid w:val="006468B4"/>
    <w:rsid w:val="006468D7"/>
    <w:rsid w:val="006468F6"/>
    <w:rsid w:val="00646BF2"/>
    <w:rsid w:val="00646D30"/>
    <w:rsid w:val="00646FF9"/>
    <w:rsid w:val="0064721E"/>
    <w:rsid w:val="006474FE"/>
    <w:rsid w:val="00647550"/>
    <w:rsid w:val="00647595"/>
    <w:rsid w:val="00647604"/>
    <w:rsid w:val="0064780D"/>
    <w:rsid w:val="00647A5F"/>
    <w:rsid w:val="00647A61"/>
    <w:rsid w:val="00647AD2"/>
    <w:rsid w:val="00647C8F"/>
    <w:rsid w:val="006500C6"/>
    <w:rsid w:val="0065038F"/>
    <w:rsid w:val="00650463"/>
    <w:rsid w:val="00650467"/>
    <w:rsid w:val="00650C14"/>
    <w:rsid w:val="00650D9C"/>
    <w:rsid w:val="00650DC0"/>
    <w:rsid w:val="00650DDB"/>
    <w:rsid w:val="0065100F"/>
    <w:rsid w:val="0065101F"/>
    <w:rsid w:val="0065116D"/>
    <w:rsid w:val="0065132E"/>
    <w:rsid w:val="0065136C"/>
    <w:rsid w:val="00651492"/>
    <w:rsid w:val="006515A6"/>
    <w:rsid w:val="006516DE"/>
    <w:rsid w:val="00651770"/>
    <w:rsid w:val="006517B9"/>
    <w:rsid w:val="0065190A"/>
    <w:rsid w:val="00651A67"/>
    <w:rsid w:val="00651B22"/>
    <w:rsid w:val="00651D3E"/>
    <w:rsid w:val="00651F9E"/>
    <w:rsid w:val="00652125"/>
    <w:rsid w:val="006521BE"/>
    <w:rsid w:val="00652288"/>
    <w:rsid w:val="006523D5"/>
    <w:rsid w:val="006523EE"/>
    <w:rsid w:val="0065242B"/>
    <w:rsid w:val="006525D4"/>
    <w:rsid w:val="006525F2"/>
    <w:rsid w:val="0065277F"/>
    <w:rsid w:val="00652F29"/>
    <w:rsid w:val="00652FF7"/>
    <w:rsid w:val="0065304E"/>
    <w:rsid w:val="00653202"/>
    <w:rsid w:val="00653954"/>
    <w:rsid w:val="00653D88"/>
    <w:rsid w:val="00653DA7"/>
    <w:rsid w:val="00654117"/>
    <w:rsid w:val="00654337"/>
    <w:rsid w:val="0065440C"/>
    <w:rsid w:val="0065449C"/>
    <w:rsid w:val="00654574"/>
    <w:rsid w:val="00654707"/>
    <w:rsid w:val="0065470C"/>
    <w:rsid w:val="006548CD"/>
    <w:rsid w:val="00654CC8"/>
    <w:rsid w:val="00654D56"/>
    <w:rsid w:val="00655120"/>
    <w:rsid w:val="00655386"/>
    <w:rsid w:val="006554B9"/>
    <w:rsid w:val="00655562"/>
    <w:rsid w:val="00655897"/>
    <w:rsid w:val="0065599A"/>
    <w:rsid w:val="006559EC"/>
    <w:rsid w:val="00655A6C"/>
    <w:rsid w:val="00655B4E"/>
    <w:rsid w:val="00655F06"/>
    <w:rsid w:val="00655FD9"/>
    <w:rsid w:val="0065641B"/>
    <w:rsid w:val="0065641F"/>
    <w:rsid w:val="006564BA"/>
    <w:rsid w:val="00656A97"/>
    <w:rsid w:val="00656B7E"/>
    <w:rsid w:val="00656C70"/>
    <w:rsid w:val="00656D03"/>
    <w:rsid w:val="00656E94"/>
    <w:rsid w:val="00656EE8"/>
    <w:rsid w:val="00656F0A"/>
    <w:rsid w:val="00656F62"/>
    <w:rsid w:val="0065724B"/>
    <w:rsid w:val="006574B5"/>
    <w:rsid w:val="006579EC"/>
    <w:rsid w:val="00657D28"/>
    <w:rsid w:val="00657DCA"/>
    <w:rsid w:val="00657E7F"/>
    <w:rsid w:val="006600DE"/>
    <w:rsid w:val="006600F1"/>
    <w:rsid w:val="0066058E"/>
    <w:rsid w:val="006607E5"/>
    <w:rsid w:val="00660B47"/>
    <w:rsid w:val="00660F32"/>
    <w:rsid w:val="00661100"/>
    <w:rsid w:val="0066159A"/>
    <w:rsid w:val="0066165F"/>
    <w:rsid w:val="006617B7"/>
    <w:rsid w:val="006618BF"/>
    <w:rsid w:val="00661A73"/>
    <w:rsid w:val="00661DA0"/>
    <w:rsid w:val="00661DD2"/>
    <w:rsid w:val="00661DE2"/>
    <w:rsid w:val="00661EA5"/>
    <w:rsid w:val="00662310"/>
    <w:rsid w:val="006624F0"/>
    <w:rsid w:val="006626B1"/>
    <w:rsid w:val="00662724"/>
    <w:rsid w:val="0066279D"/>
    <w:rsid w:val="006628A7"/>
    <w:rsid w:val="00662AF2"/>
    <w:rsid w:val="00662B04"/>
    <w:rsid w:val="00662C97"/>
    <w:rsid w:val="00662D1B"/>
    <w:rsid w:val="00662F8B"/>
    <w:rsid w:val="00662FD9"/>
    <w:rsid w:val="006630CA"/>
    <w:rsid w:val="00663193"/>
    <w:rsid w:val="00663462"/>
    <w:rsid w:val="0066355C"/>
    <w:rsid w:val="00663623"/>
    <w:rsid w:val="006637F0"/>
    <w:rsid w:val="0066388D"/>
    <w:rsid w:val="006638A4"/>
    <w:rsid w:val="006638F2"/>
    <w:rsid w:val="0066393B"/>
    <w:rsid w:val="00663942"/>
    <w:rsid w:val="00663B4A"/>
    <w:rsid w:val="00663C62"/>
    <w:rsid w:val="00663CA3"/>
    <w:rsid w:val="0066402E"/>
    <w:rsid w:val="006640CE"/>
    <w:rsid w:val="006644DC"/>
    <w:rsid w:val="0066526A"/>
    <w:rsid w:val="0066544C"/>
    <w:rsid w:val="00665859"/>
    <w:rsid w:val="0066596B"/>
    <w:rsid w:val="006659B8"/>
    <w:rsid w:val="00665A02"/>
    <w:rsid w:val="00665A0B"/>
    <w:rsid w:val="00665E55"/>
    <w:rsid w:val="00665E75"/>
    <w:rsid w:val="00665F15"/>
    <w:rsid w:val="00665F33"/>
    <w:rsid w:val="0066602F"/>
    <w:rsid w:val="0066605A"/>
    <w:rsid w:val="00666191"/>
    <w:rsid w:val="006665CA"/>
    <w:rsid w:val="0066688E"/>
    <w:rsid w:val="00666B2D"/>
    <w:rsid w:val="00666E39"/>
    <w:rsid w:val="00666F99"/>
    <w:rsid w:val="006671C1"/>
    <w:rsid w:val="00667352"/>
    <w:rsid w:val="006674E2"/>
    <w:rsid w:val="00667680"/>
    <w:rsid w:val="006678F2"/>
    <w:rsid w:val="00670008"/>
    <w:rsid w:val="006702BA"/>
    <w:rsid w:val="006703FF"/>
    <w:rsid w:val="006704CC"/>
    <w:rsid w:val="006704E3"/>
    <w:rsid w:val="0067085E"/>
    <w:rsid w:val="00670CAB"/>
    <w:rsid w:val="00670D86"/>
    <w:rsid w:val="00670E6C"/>
    <w:rsid w:val="0067136D"/>
    <w:rsid w:val="00671375"/>
    <w:rsid w:val="00671472"/>
    <w:rsid w:val="00671822"/>
    <w:rsid w:val="0067190F"/>
    <w:rsid w:val="00671B42"/>
    <w:rsid w:val="00671BEB"/>
    <w:rsid w:val="00671C62"/>
    <w:rsid w:val="00671DF2"/>
    <w:rsid w:val="006720F3"/>
    <w:rsid w:val="006721A9"/>
    <w:rsid w:val="00672463"/>
    <w:rsid w:val="006724D9"/>
    <w:rsid w:val="006725E9"/>
    <w:rsid w:val="006725EF"/>
    <w:rsid w:val="0067284E"/>
    <w:rsid w:val="00672888"/>
    <w:rsid w:val="00672995"/>
    <w:rsid w:val="006729B3"/>
    <w:rsid w:val="00672B1C"/>
    <w:rsid w:val="00672BCC"/>
    <w:rsid w:val="00672D26"/>
    <w:rsid w:val="00672ED6"/>
    <w:rsid w:val="0067314B"/>
    <w:rsid w:val="0067349B"/>
    <w:rsid w:val="00673535"/>
    <w:rsid w:val="00673833"/>
    <w:rsid w:val="00673856"/>
    <w:rsid w:val="00673925"/>
    <w:rsid w:val="00673AAF"/>
    <w:rsid w:val="00673B36"/>
    <w:rsid w:val="00673CCE"/>
    <w:rsid w:val="00673D99"/>
    <w:rsid w:val="0067418C"/>
    <w:rsid w:val="0067437E"/>
    <w:rsid w:val="00674A49"/>
    <w:rsid w:val="00674B39"/>
    <w:rsid w:val="00674EDA"/>
    <w:rsid w:val="00674F22"/>
    <w:rsid w:val="00675260"/>
    <w:rsid w:val="00675490"/>
    <w:rsid w:val="00675492"/>
    <w:rsid w:val="006758F6"/>
    <w:rsid w:val="00675A26"/>
    <w:rsid w:val="00675B24"/>
    <w:rsid w:val="00675C45"/>
    <w:rsid w:val="00675C52"/>
    <w:rsid w:val="00675E7B"/>
    <w:rsid w:val="00675F63"/>
    <w:rsid w:val="0067616B"/>
    <w:rsid w:val="0067617F"/>
    <w:rsid w:val="006761D1"/>
    <w:rsid w:val="00676279"/>
    <w:rsid w:val="0067632B"/>
    <w:rsid w:val="006764B0"/>
    <w:rsid w:val="006764EF"/>
    <w:rsid w:val="0067670C"/>
    <w:rsid w:val="006769BC"/>
    <w:rsid w:val="00676BC6"/>
    <w:rsid w:val="00676CD4"/>
    <w:rsid w:val="00676FA2"/>
    <w:rsid w:val="006770B9"/>
    <w:rsid w:val="0067725F"/>
    <w:rsid w:val="00677271"/>
    <w:rsid w:val="006778E6"/>
    <w:rsid w:val="00677993"/>
    <w:rsid w:val="00677AB4"/>
    <w:rsid w:val="00677B50"/>
    <w:rsid w:val="00677B9D"/>
    <w:rsid w:val="00677C05"/>
    <w:rsid w:val="00677C7B"/>
    <w:rsid w:val="00677D3B"/>
    <w:rsid w:val="00677F5F"/>
    <w:rsid w:val="00680042"/>
    <w:rsid w:val="006804B9"/>
    <w:rsid w:val="0068091B"/>
    <w:rsid w:val="00680AD2"/>
    <w:rsid w:val="00680C73"/>
    <w:rsid w:val="00680CAB"/>
    <w:rsid w:val="00680E3C"/>
    <w:rsid w:val="006811FE"/>
    <w:rsid w:val="006814DB"/>
    <w:rsid w:val="006816CB"/>
    <w:rsid w:val="006817FD"/>
    <w:rsid w:val="006818F5"/>
    <w:rsid w:val="00681945"/>
    <w:rsid w:val="006819D7"/>
    <w:rsid w:val="00681BC4"/>
    <w:rsid w:val="00681D42"/>
    <w:rsid w:val="00681D7C"/>
    <w:rsid w:val="00681DDE"/>
    <w:rsid w:val="00681E82"/>
    <w:rsid w:val="00681F8B"/>
    <w:rsid w:val="0068219B"/>
    <w:rsid w:val="00682230"/>
    <w:rsid w:val="00682480"/>
    <w:rsid w:val="006824D3"/>
    <w:rsid w:val="0068265A"/>
    <w:rsid w:val="0068286A"/>
    <w:rsid w:val="00682906"/>
    <w:rsid w:val="006829D6"/>
    <w:rsid w:val="00682A69"/>
    <w:rsid w:val="00682C5F"/>
    <w:rsid w:val="00682CB2"/>
    <w:rsid w:val="00682F1E"/>
    <w:rsid w:val="00683087"/>
    <w:rsid w:val="0068342C"/>
    <w:rsid w:val="006834CD"/>
    <w:rsid w:val="006837C9"/>
    <w:rsid w:val="00683819"/>
    <w:rsid w:val="00683A39"/>
    <w:rsid w:val="00683C3E"/>
    <w:rsid w:val="00683D33"/>
    <w:rsid w:val="00683F58"/>
    <w:rsid w:val="00684172"/>
    <w:rsid w:val="0068420A"/>
    <w:rsid w:val="006845F2"/>
    <w:rsid w:val="006846BE"/>
    <w:rsid w:val="0068473A"/>
    <w:rsid w:val="0068476D"/>
    <w:rsid w:val="00684773"/>
    <w:rsid w:val="00684809"/>
    <w:rsid w:val="006848C3"/>
    <w:rsid w:val="006848F3"/>
    <w:rsid w:val="00684955"/>
    <w:rsid w:val="00684A1F"/>
    <w:rsid w:val="00684AA1"/>
    <w:rsid w:val="00684D8E"/>
    <w:rsid w:val="0068516E"/>
    <w:rsid w:val="00685191"/>
    <w:rsid w:val="006851AF"/>
    <w:rsid w:val="0068524D"/>
    <w:rsid w:val="0068530E"/>
    <w:rsid w:val="00685414"/>
    <w:rsid w:val="00685447"/>
    <w:rsid w:val="00685492"/>
    <w:rsid w:val="0068584B"/>
    <w:rsid w:val="0068597D"/>
    <w:rsid w:val="00685E29"/>
    <w:rsid w:val="006860BC"/>
    <w:rsid w:val="00686163"/>
    <w:rsid w:val="0068629A"/>
    <w:rsid w:val="006862DA"/>
    <w:rsid w:val="00686414"/>
    <w:rsid w:val="006864B2"/>
    <w:rsid w:val="006865CC"/>
    <w:rsid w:val="006865EF"/>
    <w:rsid w:val="00686AA7"/>
    <w:rsid w:val="00686B94"/>
    <w:rsid w:val="00686CA4"/>
    <w:rsid w:val="00686CBE"/>
    <w:rsid w:val="00687086"/>
    <w:rsid w:val="006870C3"/>
    <w:rsid w:val="00687289"/>
    <w:rsid w:val="00687679"/>
    <w:rsid w:val="00687711"/>
    <w:rsid w:val="0068779B"/>
    <w:rsid w:val="0068792C"/>
    <w:rsid w:val="00687FA0"/>
    <w:rsid w:val="0069009D"/>
    <w:rsid w:val="0069018B"/>
    <w:rsid w:val="00690461"/>
    <w:rsid w:val="00690560"/>
    <w:rsid w:val="006906FA"/>
    <w:rsid w:val="006907DE"/>
    <w:rsid w:val="00690ADD"/>
    <w:rsid w:val="00690B08"/>
    <w:rsid w:val="00690B41"/>
    <w:rsid w:val="00690D33"/>
    <w:rsid w:val="00690DB0"/>
    <w:rsid w:val="00690F05"/>
    <w:rsid w:val="006910A2"/>
    <w:rsid w:val="006910AC"/>
    <w:rsid w:val="00691160"/>
    <w:rsid w:val="006911DB"/>
    <w:rsid w:val="006913BC"/>
    <w:rsid w:val="006915D7"/>
    <w:rsid w:val="00691627"/>
    <w:rsid w:val="00691677"/>
    <w:rsid w:val="006916B6"/>
    <w:rsid w:val="00691740"/>
    <w:rsid w:val="0069179B"/>
    <w:rsid w:val="00691ADC"/>
    <w:rsid w:val="00691B51"/>
    <w:rsid w:val="00691BF3"/>
    <w:rsid w:val="00691C04"/>
    <w:rsid w:val="00691F0B"/>
    <w:rsid w:val="006921B2"/>
    <w:rsid w:val="006924B3"/>
    <w:rsid w:val="0069255A"/>
    <w:rsid w:val="00692C1B"/>
    <w:rsid w:val="00692D22"/>
    <w:rsid w:val="00692D3A"/>
    <w:rsid w:val="00692D8E"/>
    <w:rsid w:val="00692F6E"/>
    <w:rsid w:val="00692FBA"/>
    <w:rsid w:val="0069331C"/>
    <w:rsid w:val="0069369D"/>
    <w:rsid w:val="006938A8"/>
    <w:rsid w:val="006938F0"/>
    <w:rsid w:val="006939B5"/>
    <w:rsid w:val="006939E7"/>
    <w:rsid w:val="00693A10"/>
    <w:rsid w:val="00693B3D"/>
    <w:rsid w:val="00693BC8"/>
    <w:rsid w:val="00693C16"/>
    <w:rsid w:val="00693CF0"/>
    <w:rsid w:val="00693D1C"/>
    <w:rsid w:val="00693F76"/>
    <w:rsid w:val="006940F3"/>
    <w:rsid w:val="00694280"/>
    <w:rsid w:val="006944DA"/>
    <w:rsid w:val="006945A6"/>
    <w:rsid w:val="00694659"/>
    <w:rsid w:val="00694740"/>
    <w:rsid w:val="006949CC"/>
    <w:rsid w:val="00694AB2"/>
    <w:rsid w:val="00694B66"/>
    <w:rsid w:val="00694C31"/>
    <w:rsid w:val="00694D74"/>
    <w:rsid w:val="006950F6"/>
    <w:rsid w:val="00695104"/>
    <w:rsid w:val="00695360"/>
    <w:rsid w:val="00695625"/>
    <w:rsid w:val="00695645"/>
    <w:rsid w:val="00695687"/>
    <w:rsid w:val="006958B2"/>
    <w:rsid w:val="00695985"/>
    <w:rsid w:val="00695AA2"/>
    <w:rsid w:val="00695AEB"/>
    <w:rsid w:val="00695E05"/>
    <w:rsid w:val="00695E41"/>
    <w:rsid w:val="006960A3"/>
    <w:rsid w:val="0069633E"/>
    <w:rsid w:val="006963DD"/>
    <w:rsid w:val="00696472"/>
    <w:rsid w:val="00696525"/>
    <w:rsid w:val="006965E3"/>
    <w:rsid w:val="006966DD"/>
    <w:rsid w:val="00696812"/>
    <w:rsid w:val="00696BEF"/>
    <w:rsid w:val="00696BFC"/>
    <w:rsid w:val="00696D5F"/>
    <w:rsid w:val="006971DF"/>
    <w:rsid w:val="006972EC"/>
    <w:rsid w:val="006977C3"/>
    <w:rsid w:val="006979F7"/>
    <w:rsid w:val="00697D53"/>
    <w:rsid w:val="00697EA5"/>
    <w:rsid w:val="006A011C"/>
    <w:rsid w:val="006A017A"/>
    <w:rsid w:val="006A03C9"/>
    <w:rsid w:val="006A0695"/>
    <w:rsid w:val="006A073D"/>
    <w:rsid w:val="006A09DB"/>
    <w:rsid w:val="006A0BA5"/>
    <w:rsid w:val="006A0C9E"/>
    <w:rsid w:val="006A1071"/>
    <w:rsid w:val="006A10F6"/>
    <w:rsid w:val="006A1179"/>
    <w:rsid w:val="006A14B0"/>
    <w:rsid w:val="006A1718"/>
    <w:rsid w:val="006A187B"/>
    <w:rsid w:val="006A19EB"/>
    <w:rsid w:val="006A1A30"/>
    <w:rsid w:val="006A1B49"/>
    <w:rsid w:val="006A1EE5"/>
    <w:rsid w:val="006A1FF9"/>
    <w:rsid w:val="006A20F6"/>
    <w:rsid w:val="006A2192"/>
    <w:rsid w:val="006A226F"/>
    <w:rsid w:val="006A247E"/>
    <w:rsid w:val="006A24B0"/>
    <w:rsid w:val="006A2531"/>
    <w:rsid w:val="006A26CF"/>
    <w:rsid w:val="006A2935"/>
    <w:rsid w:val="006A296D"/>
    <w:rsid w:val="006A2991"/>
    <w:rsid w:val="006A2AB5"/>
    <w:rsid w:val="006A2D4E"/>
    <w:rsid w:val="006A30F5"/>
    <w:rsid w:val="006A3280"/>
    <w:rsid w:val="006A32AE"/>
    <w:rsid w:val="006A36EF"/>
    <w:rsid w:val="006A37F1"/>
    <w:rsid w:val="006A382E"/>
    <w:rsid w:val="006A389C"/>
    <w:rsid w:val="006A393B"/>
    <w:rsid w:val="006A3A48"/>
    <w:rsid w:val="006A3E24"/>
    <w:rsid w:val="006A3E30"/>
    <w:rsid w:val="006A3F70"/>
    <w:rsid w:val="006A3FCE"/>
    <w:rsid w:val="006A4044"/>
    <w:rsid w:val="006A4360"/>
    <w:rsid w:val="006A4448"/>
    <w:rsid w:val="006A48C3"/>
    <w:rsid w:val="006A50FE"/>
    <w:rsid w:val="006A5147"/>
    <w:rsid w:val="006A542B"/>
    <w:rsid w:val="006A5BFF"/>
    <w:rsid w:val="006A5CFE"/>
    <w:rsid w:val="006A5D43"/>
    <w:rsid w:val="006A5E92"/>
    <w:rsid w:val="006A5FA6"/>
    <w:rsid w:val="006A6428"/>
    <w:rsid w:val="006A6497"/>
    <w:rsid w:val="006A65A9"/>
    <w:rsid w:val="006A6985"/>
    <w:rsid w:val="006A69B8"/>
    <w:rsid w:val="006A6A57"/>
    <w:rsid w:val="006A6AD6"/>
    <w:rsid w:val="006A6E4F"/>
    <w:rsid w:val="006A6E62"/>
    <w:rsid w:val="006A6E8F"/>
    <w:rsid w:val="006A6FF7"/>
    <w:rsid w:val="006A70A5"/>
    <w:rsid w:val="006A7208"/>
    <w:rsid w:val="006A725D"/>
    <w:rsid w:val="006A7420"/>
    <w:rsid w:val="006A765B"/>
    <w:rsid w:val="006A7718"/>
    <w:rsid w:val="006A7AC0"/>
    <w:rsid w:val="006A7D29"/>
    <w:rsid w:val="006A7E99"/>
    <w:rsid w:val="006B033D"/>
    <w:rsid w:val="006B043B"/>
    <w:rsid w:val="006B07BD"/>
    <w:rsid w:val="006B083E"/>
    <w:rsid w:val="006B0A74"/>
    <w:rsid w:val="006B0E00"/>
    <w:rsid w:val="006B0E21"/>
    <w:rsid w:val="006B1023"/>
    <w:rsid w:val="006B1366"/>
    <w:rsid w:val="006B1524"/>
    <w:rsid w:val="006B15BC"/>
    <w:rsid w:val="006B1628"/>
    <w:rsid w:val="006B1801"/>
    <w:rsid w:val="006B1A0F"/>
    <w:rsid w:val="006B1AA5"/>
    <w:rsid w:val="006B1BBE"/>
    <w:rsid w:val="006B1C4A"/>
    <w:rsid w:val="006B1C9B"/>
    <w:rsid w:val="006B1D53"/>
    <w:rsid w:val="006B203E"/>
    <w:rsid w:val="006B2141"/>
    <w:rsid w:val="006B2260"/>
    <w:rsid w:val="006B23D7"/>
    <w:rsid w:val="006B23E3"/>
    <w:rsid w:val="006B24F7"/>
    <w:rsid w:val="006B25C1"/>
    <w:rsid w:val="006B26EB"/>
    <w:rsid w:val="006B26F5"/>
    <w:rsid w:val="006B27C2"/>
    <w:rsid w:val="006B2861"/>
    <w:rsid w:val="006B2863"/>
    <w:rsid w:val="006B2C0C"/>
    <w:rsid w:val="006B2F03"/>
    <w:rsid w:val="006B2F32"/>
    <w:rsid w:val="006B323E"/>
    <w:rsid w:val="006B34F5"/>
    <w:rsid w:val="006B3665"/>
    <w:rsid w:val="006B3712"/>
    <w:rsid w:val="006B37FB"/>
    <w:rsid w:val="006B393B"/>
    <w:rsid w:val="006B3B8E"/>
    <w:rsid w:val="006B3C2D"/>
    <w:rsid w:val="006B3EF1"/>
    <w:rsid w:val="006B3F7D"/>
    <w:rsid w:val="006B42F6"/>
    <w:rsid w:val="006B4511"/>
    <w:rsid w:val="006B4710"/>
    <w:rsid w:val="006B48D9"/>
    <w:rsid w:val="006B49E2"/>
    <w:rsid w:val="006B5072"/>
    <w:rsid w:val="006B5247"/>
    <w:rsid w:val="006B5302"/>
    <w:rsid w:val="006B53DD"/>
    <w:rsid w:val="006B540E"/>
    <w:rsid w:val="006B5453"/>
    <w:rsid w:val="006B56E5"/>
    <w:rsid w:val="006B58B8"/>
    <w:rsid w:val="006B5A1D"/>
    <w:rsid w:val="006B5A21"/>
    <w:rsid w:val="006B6059"/>
    <w:rsid w:val="006B6140"/>
    <w:rsid w:val="006B6151"/>
    <w:rsid w:val="006B6390"/>
    <w:rsid w:val="006B63AA"/>
    <w:rsid w:val="006B6459"/>
    <w:rsid w:val="006B65D0"/>
    <w:rsid w:val="006B66F9"/>
    <w:rsid w:val="006B6703"/>
    <w:rsid w:val="006B68B1"/>
    <w:rsid w:val="006B68EB"/>
    <w:rsid w:val="006B6BEE"/>
    <w:rsid w:val="006B6D63"/>
    <w:rsid w:val="006B6D8E"/>
    <w:rsid w:val="006B7124"/>
    <w:rsid w:val="006B717E"/>
    <w:rsid w:val="006B71E8"/>
    <w:rsid w:val="006B7234"/>
    <w:rsid w:val="006B72D9"/>
    <w:rsid w:val="006B76B9"/>
    <w:rsid w:val="006B78BB"/>
    <w:rsid w:val="006B78C9"/>
    <w:rsid w:val="006B7ABF"/>
    <w:rsid w:val="006B7BD5"/>
    <w:rsid w:val="006B7EBA"/>
    <w:rsid w:val="006C00B0"/>
    <w:rsid w:val="006C00C1"/>
    <w:rsid w:val="006C016A"/>
    <w:rsid w:val="006C01F9"/>
    <w:rsid w:val="006C027E"/>
    <w:rsid w:val="006C04E2"/>
    <w:rsid w:val="006C0C5A"/>
    <w:rsid w:val="006C0C8B"/>
    <w:rsid w:val="006C0CBA"/>
    <w:rsid w:val="006C0FC3"/>
    <w:rsid w:val="006C125D"/>
    <w:rsid w:val="006C131C"/>
    <w:rsid w:val="006C1454"/>
    <w:rsid w:val="006C15BB"/>
    <w:rsid w:val="006C1756"/>
    <w:rsid w:val="006C1A5A"/>
    <w:rsid w:val="006C1CB3"/>
    <w:rsid w:val="006C1D98"/>
    <w:rsid w:val="006C1E34"/>
    <w:rsid w:val="006C1E92"/>
    <w:rsid w:val="006C1F8D"/>
    <w:rsid w:val="006C2037"/>
    <w:rsid w:val="006C20E1"/>
    <w:rsid w:val="006C211A"/>
    <w:rsid w:val="006C2163"/>
    <w:rsid w:val="006C219B"/>
    <w:rsid w:val="006C2227"/>
    <w:rsid w:val="006C23F0"/>
    <w:rsid w:val="006C257E"/>
    <w:rsid w:val="006C2613"/>
    <w:rsid w:val="006C27B6"/>
    <w:rsid w:val="006C27D4"/>
    <w:rsid w:val="006C2912"/>
    <w:rsid w:val="006C2B15"/>
    <w:rsid w:val="006C2DC8"/>
    <w:rsid w:val="006C2FBD"/>
    <w:rsid w:val="006C2FC5"/>
    <w:rsid w:val="006C3246"/>
    <w:rsid w:val="006C35F3"/>
    <w:rsid w:val="006C36B9"/>
    <w:rsid w:val="006C37E1"/>
    <w:rsid w:val="006C38E3"/>
    <w:rsid w:val="006C39F4"/>
    <w:rsid w:val="006C3A16"/>
    <w:rsid w:val="006C3B7E"/>
    <w:rsid w:val="006C3D99"/>
    <w:rsid w:val="006C3EA9"/>
    <w:rsid w:val="006C400B"/>
    <w:rsid w:val="006C4044"/>
    <w:rsid w:val="006C4299"/>
    <w:rsid w:val="006C44E0"/>
    <w:rsid w:val="006C44EB"/>
    <w:rsid w:val="006C4DA5"/>
    <w:rsid w:val="006C513C"/>
    <w:rsid w:val="006C5535"/>
    <w:rsid w:val="006C556F"/>
    <w:rsid w:val="006C564F"/>
    <w:rsid w:val="006C581E"/>
    <w:rsid w:val="006C5B70"/>
    <w:rsid w:val="006C5C2B"/>
    <w:rsid w:val="006C5C39"/>
    <w:rsid w:val="006C6079"/>
    <w:rsid w:val="006C6226"/>
    <w:rsid w:val="006C6539"/>
    <w:rsid w:val="006C669F"/>
    <w:rsid w:val="006C679C"/>
    <w:rsid w:val="006C6A3C"/>
    <w:rsid w:val="006C6BF8"/>
    <w:rsid w:val="006C6CCA"/>
    <w:rsid w:val="006C6DE9"/>
    <w:rsid w:val="006C6E20"/>
    <w:rsid w:val="006C70C8"/>
    <w:rsid w:val="006C7106"/>
    <w:rsid w:val="006C7302"/>
    <w:rsid w:val="006C74B3"/>
    <w:rsid w:val="006C7613"/>
    <w:rsid w:val="006C7998"/>
    <w:rsid w:val="006C7C4F"/>
    <w:rsid w:val="006C7C53"/>
    <w:rsid w:val="006C7CC0"/>
    <w:rsid w:val="006D0260"/>
    <w:rsid w:val="006D0344"/>
    <w:rsid w:val="006D043E"/>
    <w:rsid w:val="006D04EA"/>
    <w:rsid w:val="006D059E"/>
    <w:rsid w:val="006D07CE"/>
    <w:rsid w:val="006D09CD"/>
    <w:rsid w:val="006D0A20"/>
    <w:rsid w:val="006D0BBD"/>
    <w:rsid w:val="006D0DF1"/>
    <w:rsid w:val="006D0E5C"/>
    <w:rsid w:val="006D0EEE"/>
    <w:rsid w:val="006D0F60"/>
    <w:rsid w:val="006D108C"/>
    <w:rsid w:val="006D10F6"/>
    <w:rsid w:val="006D11B5"/>
    <w:rsid w:val="006D1234"/>
    <w:rsid w:val="006D144A"/>
    <w:rsid w:val="006D14B3"/>
    <w:rsid w:val="006D15F8"/>
    <w:rsid w:val="006D18D9"/>
    <w:rsid w:val="006D1EB3"/>
    <w:rsid w:val="006D2264"/>
    <w:rsid w:val="006D2377"/>
    <w:rsid w:val="006D23B6"/>
    <w:rsid w:val="006D242B"/>
    <w:rsid w:val="006D24EE"/>
    <w:rsid w:val="006D25AD"/>
    <w:rsid w:val="006D2767"/>
    <w:rsid w:val="006D2780"/>
    <w:rsid w:val="006D27C9"/>
    <w:rsid w:val="006D27D3"/>
    <w:rsid w:val="006D28C2"/>
    <w:rsid w:val="006D2A55"/>
    <w:rsid w:val="006D2A69"/>
    <w:rsid w:val="006D2B04"/>
    <w:rsid w:val="006D3191"/>
    <w:rsid w:val="006D31C6"/>
    <w:rsid w:val="006D32D6"/>
    <w:rsid w:val="006D33E9"/>
    <w:rsid w:val="006D3BCD"/>
    <w:rsid w:val="006D3C7F"/>
    <w:rsid w:val="006D3C98"/>
    <w:rsid w:val="006D3D1C"/>
    <w:rsid w:val="006D3E1A"/>
    <w:rsid w:val="006D3E2E"/>
    <w:rsid w:val="006D41BC"/>
    <w:rsid w:val="006D4244"/>
    <w:rsid w:val="006D47DE"/>
    <w:rsid w:val="006D487D"/>
    <w:rsid w:val="006D499D"/>
    <w:rsid w:val="006D4BB5"/>
    <w:rsid w:val="006D4CBA"/>
    <w:rsid w:val="006D4D5C"/>
    <w:rsid w:val="006D4ED9"/>
    <w:rsid w:val="006D5045"/>
    <w:rsid w:val="006D53B8"/>
    <w:rsid w:val="006D5495"/>
    <w:rsid w:val="006D5718"/>
    <w:rsid w:val="006D5985"/>
    <w:rsid w:val="006D5AE1"/>
    <w:rsid w:val="006D5DCC"/>
    <w:rsid w:val="006D5F4A"/>
    <w:rsid w:val="006D605A"/>
    <w:rsid w:val="006D60CE"/>
    <w:rsid w:val="006D625F"/>
    <w:rsid w:val="006D6390"/>
    <w:rsid w:val="006D68DB"/>
    <w:rsid w:val="006D69BD"/>
    <w:rsid w:val="006D6A56"/>
    <w:rsid w:val="006D6AE1"/>
    <w:rsid w:val="006D6BBD"/>
    <w:rsid w:val="006D6C4B"/>
    <w:rsid w:val="006D6D05"/>
    <w:rsid w:val="006D6DDB"/>
    <w:rsid w:val="006D6FC8"/>
    <w:rsid w:val="006D70F8"/>
    <w:rsid w:val="006D71A1"/>
    <w:rsid w:val="006D735E"/>
    <w:rsid w:val="006D7ABB"/>
    <w:rsid w:val="006D7BA3"/>
    <w:rsid w:val="006D7C18"/>
    <w:rsid w:val="006D7D42"/>
    <w:rsid w:val="006E0081"/>
    <w:rsid w:val="006E03CA"/>
    <w:rsid w:val="006E0518"/>
    <w:rsid w:val="006E0632"/>
    <w:rsid w:val="006E0859"/>
    <w:rsid w:val="006E0905"/>
    <w:rsid w:val="006E096E"/>
    <w:rsid w:val="006E0A63"/>
    <w:rsid w:val="006E0E3D"/>
    <w:rsid w:val="006E0E6C"/>
    <w:rsid w:val="006E1126"/>
    <w:rsid w:val="006E151F"/>
    <w:rsid w:val="006E1800"/>
    <w:rsid w:val="006E1856"/>
    <w:rsid w:val="006E18F7"/>
    <w:rsid w:val="006E197E"/>
    <w:rsid w:val="006E1A44"/>
    <w:rsid w:val="006E1E18"/>
    <w:rsid w:val="006E2093"/>
    <w:rsid w:val="006E223D"/>
    <w:rsid w:val="006E22A0"/>
    <w:rsid w:val="006E231A"/>
    <w:rsid w:val="006E24C3"/>
    <w:rsid w:val="006E28DA"/>
    <w:rsid w:val="006E2E48"/>
    <w:rsid w:val="006E2F03"/>
    <w:rsid w:val="006E3402"/>
    <w:rsid w:val="006E372B"/>
    <w:rsid w:val="006E3770"/>
    <w:rsid w:val="006E3AC4"/>
    <w:rsid w:val="006E3C76"/>
    <w:rsid w:val="006E3D26"/>
    <w:rsid w:val="006E3FA0"/>
    <w:rsid w:val="006E40D0"/>
    <w:rsid w:val="006E4413"/>
    <w:rsid w:val="006E4474"/>
    <w:rsid w:val="006E468F"/>
    <w:rsid w:val="006E499B"/>
    <w:rsid w:val="006E49AC"/>
    <w:rsid w:val="006E49CF"/>
    <w:rsid w:val="006E4A41"/>
    <w:rsid w:val="006E4AFF"/>
    <w:rsid w:val="006E4DF0"/>
    <w:rsid w:val="006E4E24"/>
    <w:rsid w:val="006E4EE7"/>
    <w:rsid w:val="006E509C"/>
    <w:rsid w:val="006E51BA"/>
    <w:rsid w:val="006E5214"/>
    <w:rsid w:val="006E5231"/>
    <w:rsid w:val="006E5237"/>
    <w:rsid w:val="006E5303"/>
    <w:rsid w:val="006E532C"/>
    <w:rsid w:val="006E557D"/>
    <w:rsid w:val="006E578C"/>
    <w:rsid w:val="006E57A9"/>
    <w:rsid w:val="006E5B51"/>
    <w:rsid w:val="006E5C5B"/>
    <w:rsid w:val="006E5EBF"/>
    <w:rsid w:val="006E5F93"/>
    <w:rsid w:val="006E62B1"/>
    <w:rsid w:val="006E64D6"/>
    <w:rsid w:val="006E6785"/>
    <w:rsid w:val="006E6B5A"/>
    <w:rsid w:val="006E6C18"/>
    <w:rsid w:val="006E6C94"/>
    <w:rsid w:val="006E6EED"/>
    <w:rsid w:val="006E6F98"/>
    <w:rsid w:val="006E781C"/>
    <w:rsid w:val="006E7A37"/>
    <w:rsid w:val="006E7D68"/>
    <w:rsid w:val="006E7E32"/>
    <w:rsid w:val="006F029D"/>
    <w:rsid w:val="006F069D"/>
    <w:rsid w:val="006F06EA"/>
    <w:rsid w:val="006F0826"/>
    <w:rsid w:val="006F0B04"/>
    <w:rsid w:val="006F0B9D"/>
    <w:rsid w:val="006F0ED0"/>
    <w:rsid w:val="006F1026"/>
    <w:rsid w:val="006F12BF"/>
    <w:rsid w:val="006F1386"/>
    <w:rsid w:val="006F15EA"/>
    <w:rsid w:val="006F172E"/>
    <w:rsid w:val="006F1751"/>
    <w:rsid w:val="006F175A"/>
    <w:rsid w:val="006F17AE"/>
    <w:rsid w:val="006F18D2"/>
    <w:rsid w:val="006F1A0D"/>
    <w:rsid w:val="006F1A53"/>
    <w:rsid w:val="006F1ADB"/>
    <w:rsid w:val="006F1AE0"/>
    <w:rsid w:val="006F1BDE"/>
    <w:rsid w:val="006F1E6F"/>
    <w:rsid w:val="006F2364"/>
    <w:rsid w:val="006F246C"/>
    <w:rsid w:val="006F2597"/>
    <w:rsid w:val="006F26D4"/>
    <w:rsid w:val="006F294C"/>
    <w:rsid w:val="006F29E1"/>
    <w:rsid w:val="006F2A6F"/>
    <w:rsid w:val="006F2A78"/>
    <w:rsid w:val="006F2EAC"/>
    <w:rsid w:val="006F30AC"/>
    <w:rsid w:val="006F336F"/>
    <w:rsid w:val="006F3BFC"/>
    <w:rsid w:val="006F3E47"/>
    <w:rsid w:val="006F3EF4"/>
    <w:rsid w:val="006F4097"/>
    <w:rsid w:val="006F41B1"/>
    <w:rsid w:val="006F4248"/>
    <w:rsid w:val="006F4280"/>
    <w:rsid w:val="006F42DC"/>
    <w:rsid w:val="006F43A9"/>
    <w:rsid w:val="006F4450"/>
    <w:rsid w:val="006F48E8"/>
    <w:rsid w:val="006F4AF6"/>
    <w:rsid w:val="006F4B2B"/>
    <w:rsid w:val="006F4B9B"/>
    <w:rsid w:val="006F4D4A"/>
    <w:rsid w:val="006F4DB4"/>
    <w:rsid w:val="006F4F17"/>
    <w:rsid w:val="006F4FCA"/>
    <w:rsid w:val="006F530F"/>
    <w:rsid w:val="006F53E6"/>
    <w:rsid w:val="006F54E7"/>
    <w:rsid w:val="006F55AF"/>
    <w:rsid w:val="006F570B"/>
    <w:rsid w:val="006F571A"/>
    <w:rsid w:val="006F573D"/>
    <w:rsid w:val="006F578D"/>
    <w:rsid w:val="006F5945"/>
    <w:rsid w:val="006F5A7C"/>
    <w:rsid w:val="006F5B03"/>
    <w:rsid w:val="006F5C5C"/>
    <w:rsid w:val="006F5DC5"/>
    <w:rsid w:val="006F5E33"/>
    <w:rsid w:val="006F6214"/>
    <w:rsid w:val="006F6243"/>
    <w:rsid w:val="006F6417"/>
    <w:rsid w:val="006F67E5"/>
    <w:rsid w:val="006F6813"/>
    <w:rsid w:val="006F6D76"/>
    <w:rsid w:val="006F6E97"/>
    <w:rsid w:val="006F6ECD"/>
    <w:rsid w:val="006F6F9C"/>
    <w:rsid w:val="006F715B"/>
    <w:rsid w:val="006F716E"/>
    <w:rsid w:val="006F72FB"/>
    <w:rsid w:val="006F75EB"/>
    <w:rsid w:val="006F783F"/>
    <w:rsid w:val="006F7C04"/>
    <w:rsid w:val="006F7CD3"/>
    <w:rsid w:val="006F7E20"/>
    <w:rsid w:val="006F7E39"/>
    <w:rsid w:val="006F7F37"/>
    <w:rsid w:val="007000C7"/>
    <w:rsid w:val="007000FD"/>
    <w:rsid w:val="007001AC"/>
    <w:rsid w:val="00700233"/>
    <w:rsid w:val="00700389"/>
    <w:rsid w:val="0070046C"/>
    <w:rsid w:val="007004D5"/>
    <w:rsid w:val="0070067F"/>
    <w:rsid w:val="007008D0"/>
    <w:rsid w:val="00700D8A"/>
    <w:rsid w:val="00700DA4"/>
    <w:rsid w:val="007011B4"/>
    <w:rsid w:val="0070121B"/>
    <w:rsid w:val="0070153A"/>
    <w:rsid w:val="0070163E"/>
    <w:rsid w:val="0070164D"/>
    <w:rsid w:val="0070169B"/>
    <w:rsid w:val="007016C0"/>
    <w:rsid w:val="007019C7"/>
    <w:rsid w:val="00701A01"/>
    <w:rsid w:val="00701C5A"/>
    <w:rsid w:val="00701D58"/>
    <w:rsid w:val="00701E31"/>
    <w:rsid w:val="00701E72"/>
    <w:rsid w:val="00701FDD"/>
    <w:rsid w:val="0070241D"/>
    <w:rsid w:val="007024C0"/>
    <w:rsid w:val="007024C5"/>
    <w:rsid w:val="007026E8"/>
    <w:rsid w:val="0070283E"/>
    <w:rsid w:val="007028E3"/>
    <w:rsid w:val="0070294B"/>
    <w:rsid w:val="007029D6"/>
    <w:rsid w:val="00702CE0"/>
    <w:rsid w:val="00702EF1"/>
    <w:rsid w:val="0070305F"/>
    <w:rsid w:val="00703377"/>
    <w:rsid w:val="007033FB"/>
    <w:rsid w:val="00703F01"/>
    <w:rsid w:val="00703F9B"/>
    <w:rsid w:val="0070400B"/>
    <w:rsid w:val="007042D5"/>
    <w:rsid w:val="007043F1"/>
    <w:rsid w:val="0070451C"/>
    <w:rsid w:val="00704577"/>
    <w:rsid w:val="00704617"/>
    <w:rsid w:val="00704923"/>
    <w:rsid w:val="00704A7D"/>
    <w:rsid w:val="00704AE9"/>
    <w:rsid w:val="00704AF7"/>
    <w:rsid w:val="00704B87"/>
    <w:rsid w:val="007052F2"/>
    <w:rsid w:val="0070541D"/>
    <w:rsid w:val="007054C5"/>
    <w:rsid w:val="007057DC"/>
    <w:rsid w:val="0070586E"/>
    <w:rsid w:val="00705916"/>
    <w:rsid w:val="00705FE9"/>
    <w:rsid w:val="007060E9"/>
    <w:rsid w:val="007062F1"/>
    <w:rsid w:val="00706335"/>
    <w:rsid w:val="007063AB"/>
    <w:rsid w:val="007065E0"/>
    <w:rsid w:val="007065EF"/>
    <w:rsid w:val="007066FE"/>
    <w:rsid w:val="00706AC8"/>
    <w:rsid w:val="00706ADA"/>
    <w:rsid w:val="00706BCA"/>
    <w:rsid w:val="00706DDC"/>
    <w:rsid w:val="00706FF9"/>
    <w:rsid w:val="00707051"/>
    <w:rsid w:val="0070714F"/>
    <w:rsid w:val="00707223"/>
    <w:rsid w:val="00707BF8"/>
    <w:rsid w:val="00707DF2"/>
    <w:rsid w:val="00707EB5"/>
    <w:rsid w:val="00707FFC"/>
    <w:rsid w:val="007101C3"/>
    <w:rsid w:val="007102FE"/>
    <w:rsid w:val="00710335"/>
    <w:rsid w:val="00710361"/>
    <w:rsid w:val="007105BD"/>
    <w:rsid w:val="007107CD"/>
    <w:rsid w:val="0071097F"/>
    <w:rsid w:val="00710AD0"/>
    <w:rsid w:val="00710BD3"/>
    <w:rsid w:val="00710C36"/>
    <w:rsid w:val="00710C61"/>
    <w:rsid w:val="00710CCC"/>
    <w:rsid w:val="00710CDD"/>
    <w:rsid w:val="00710E14"/>
    <w:rsid w:val="00711308"/>
    <w:rsid w:val="0071135C"/>
    <w:rsid w:val="007114F6"/>
    <w:rsid w:val="00711846"/>
    <w:rsid w:val="0071184C"/>
    <w:rsid w:val="00711A17"/>
    <w:rsid w:val="00711A29"/>
    <w:rsid w:val="00711B6E"/>
    <w:rsid w:val="00712105"/>
    <w:rsid w:val="007121C6"/>
    <w:rsid w:val="0071267D"/>
    <w:rsid w:val="007128D3"/>
    <w:rsid w:val="00712960"/>
    <w:rsid w:val="00712B3D"/>
    <w:rsid w:val="00712D14"/>
    <w:rsid w:val="00712E40"/>
    <w:rsid w:val="00712F89"/>
    <w:rsid w:val="00713001"/>
    <w:rsid w:val="007134D2"/>
    <w:rsid w:val="00713691"/>
    <w:rsid w:val="007136B0"/>
    <w:rsid w:val="0071379D"/>
    <w:rsid w:val="00713806"/>
    <w:rsid w:val="00713A45"/>
    <w:rsid w:val="00713C93"/>
    <w:rsid w:val="00713CB4"/>
    <w:rsid w:val="0071412A"/>
    <w:rsid w:val="007141C2"/>
    <w:rsid w:val="0071424D"/>
    <w:rsid w:val="0071462B"/>
    <w:rsid w:val="00714668"/>
    <w:rsid w:val="007149E1"/>
    <w:rsid w:val="007149FB"/>
    <w:rsid w:val="00714B6D"/>
    <w:rsid w:val="00715044"/>
    <w:rsid w:val="00715127"/>
    <w:rsid w:val="00715217"/>
    <w:rsid w:val="007152E6"/>
    <w:rsid w:val="007156A9"/>
    <w:rsid w:val="007157E6"/>
    <w:rsid w:val="0071591F"/>
    <w:rsid w:val="00715A49"/>
    <w:rsid w:val="00715ACB"/>
    <w:rsid w:val="00715AD5"/>
    <w:rsid w:val="00715C59"/>
    <w:rsid w:val="00715DD8"/>
    <w:rsid w:val="00715F92"/>
    <w:rsid w:val="00716012"/>
    <w:rsid w:val="007160F1"/>
    <w:rsid w:val="007164DC"/>
    <w:rsid w:val="00716538"/>
    <w:rsid w:val="00716593"/>
    <w:rsid w:val="0071662E"/>
    <w:rsid w:val="0071666C"/>
    <w:rsid w:val="007169A8"/>
    <w:rsid w:val="007169DA"/>
    <w:rsid w:val="00716A61"/>
    <w:rsid w:val="00716DBD"/>
    <w:rsid w:val="00716EF0"/>
    <w:rsid w:val="00716F1E"/>
    <w:rsid w:val="007170E1"/>
    <w:rsid w:val="0071737D"/>
    <w:rsid w:val="007173E0"/>
    <w:rsid w:val="00717465"/>
    <w:rsid w:val="00717608"/>
    <w:rsid w:val="007177E5"/>
    <w:rsid w:val="0071793C"/>
    <w:rsid w:val="007179A0"/>
    <w:rsid w:val="007179CB"/>
    <w:rsid w:val="00717E80"/>
    <w:rsid w:val="00717EAF"/>
    <w:rsid w:val="00717F25"/>
    <w:rsid w:val="00717F9B"/>
    <w:rsid w:val="00720081"/>
    <w:rsid w:val="00720139"/>
    <w:rsid w:val="007203B4"/>
    <w:rsid w:val="0072041A"/>
    <w:rsid w:val="0072067A"/>
    <w:rsid w:val="00720705"/>
    <w:rsid w:val="00720706"/>
    <w:rsid w:val="0072087E"/>
    <w:rsid w:val="00720A47"/>
    <w:rsid w:val="00720D1C"/>
    <w:rsid w:val="00720DA2"/>
    <w:rsid w:val="0072113D"/>
    <w:rsid w:val="00721385"/>
    <w:rsid w:val="0072149C"/>
    <w:rsid w:val="007215BE"/>
    <w:rsid w:val="0072160D"/>
    <w:rsid w:val="00721BA4"/>
    <w:rsid w:val="007223DB"/>
    <w:rsid w:val="00722518"/>
    <w:rsid w:val="007226B3"/>
    <w:rsid w:val="00722766"/>
    <w:rsid w:val="0072299C"/>
    <w:rsid w:val="00722B63"/>
    <w:rsid w:val="00722BDA"/>
    <w:rsid w:val="00722D60"/>
    <w:rsid w:val="00723362"/>
    <w:rsid w:val="0072386E"/>
    <w:rsid w:val="00723ADD"/>
    <w:rsid w:val="00723AE6"/>
    <w:rsid w:val="00723BC0"/>
    <w:rsid w:val="007240AA"/>
    <w:rsid w:val="007243AC"/>
    <w:rsid w:val="007243C4"/>
    <w:rsid w:val="0072444C"/>
    <w:rsid w:val="007246E1"/>
    <w:rsid w:val="00724889"/>
    <w:rsid w:val="00724A7D"/>
    <w:rsid w:val="00724CC0"/>
    <w:rsid w:val="00724F5E"/>
    <w:rsid w:val="00724F7C"/>
    <w:rsid w:val="00724FFF"/>
    <w:rsid w:val="0072513B"/>
    <w:rsid w:val="00725232"/>
    <w:rsid w:val="00725417"/>
    <w:rsid w:val="0072550A"/>
    <w:rsid w:val="0072557D"/>
    <w:rsid w:val="007256B3"/>
    <w:rsid w:val="00725908"/>
    <w:rsid w:val="0072598F"/>
    <w:rsid w:val="007259AB"/>
    <w:rsid w:val="00725EB0"/>
    <w:rsid w:val="00726255"/>
    <w:rsid w:val="007262AB"/>
    <w:rsid w:val="0072644F"/>
    <w:rsid w:val="0072657A"/>
    <w:rsid w:val="007269C7"/>
    <w:rsid w:val="00726B13"/>
    <w:rsid w:val="00726F0F"/>
    <w:rsid w:val="00726F76"/>
    <w:rsid w:val="00727097"/>
    <w:rsid w:val="007270B4"/>
    <w:rsid w:val="007270BD"/>
    <w:rsid w:val="007272AE"/>
    <w:rsid w:val="00727620"/>
    <w:rsid w:val="0072774A"/>
    <w:rsid w:val="0072788D"/>
    <w:rsid w:val="007279F2"/>
    <w:rsid w:val="00727ACA"/>
    <w:rsid w:val="00727AD2"/>
    <w:rsid w:val="00727B6E"/>
    <w:rsid w:val="00727D1C"/>
    <w:rsid w:val="00727E31"/>
    <w:rsid w:val="007301F2"/>
    <w:rsid w:val="007304E1"/>
    <w:rsid w:val="00730803"/>
    <w:rsid w:val="00730903"/>
    <w:rsid w:val="00730918"/>
    <w:rsid w:val="00730970"/>
    <w:rsid w:val="00730A2A"/>
    <w:rsid w:val="00730AC7"/>
    <w:rsid w:val="00730E18"/>
    <w:rsid w:val="00730E31"/>
    <w:rsid w:val="00730E48"/>
    <w:rsid w:val="00730E75"/>
    <w:rsid w:val="007310F6"/>
    <w:rsid w:val="007311B2"/>
    <w:rsid w:val="007311F2"/>
    <w:rsid w:val="0073147B"/>
    <w:rsid w:val="0073175D"/>
    <w:rsid w:val="00731912"/>
    <w:rsid w:val="00731A21"/>
    <w:rsid w:val="00731AC7"/>
    <w:rsid w:val="00731CED"/>
    <w:rsid w:val="00731D9B"/>
    <w:rsid w:val="00731E24"/>
    <w:rsid w:val="00731F43"/>
    <w:rsid w:val="00731FF7"/>
    <w:rsid w:val="00731FFF"/>
    <w:rsid w:val="0073201B"/>
    <w:rsid w:val="007321C9"/>
    <w:rsid w:val="007325AF"/>
    <w:rsid w:val="0073271B"/>
    <w:rsid w:val="007327D3"/>
    <w:rsid w:val="00732834"/>
    <w:rsid w:val="00732863"/>
    <w:rsid w:val="00732A43"/>
    <w:rsid w:val="00732BF2"/>
    <w:rsid w:val="00732C15"/>
    <w:rsid w:val="00732DB5"/>
    <w:rsid w:val="00732EA3"/>
    <w:rsid w:val="00732EF7"/>
    <w:rsid w:val="007330B9"/>
    <w:rsid w:val="007330D8"/>
    <w:rsid w:val="007330F1"/>
    <w:rsid w:val="0073326E"/>
    <w:rsid w:val="007333BC"/>
    <w:rsid w:val="00733437"/>
    <w:rsid w:val="00733502"/>
    <w:rsid w:val="0073352C"/>
    <w:rsid w:val="00733A6C"/>
    <w:rsid w:val="00733AF7"/>
    <w:rsid w:val="00733BC7"/>
    <w:rsid w:val="00733F7F"/>
    <w:rsid w:val="00734275"/>
    <w:rsid w:val="0073455E"/>
    <w:rsid w:val="0073475E"/>
    <w:rsid w:val="007347C6"/>
    <w:rsid w:val="0073480A"/>
    <w:rsid w:val="00734859"/>
    <w:rsid w:val="00734983"/>
    <w:rsid w:val="00734B0C"/>
    <w:rsid w:val="00734C63"/>
    <w:rsid w:val="00734D7F"/>
    <w:rsid w:val="00734D8B"/>
    <w:rsid w:val="00734E3D"/>
    <w:rsid w:val="00734F42"/>
    <w:rsid w:val="00734FEA"/>
    <w:rsid w:val="007350CE"/>
    <w:rsid w:val="007351C1"/>
    <w:rsid w:val="007353A7"/>
    <w:rsid w:val="007353DD"/>
    <w:rsid w:val="00735403"/>
    <w:rsid w:val="00735478"/>
    <w:rsid w:val="0073555C"/>
    <w:rsid w:val="00735760"/>
    <w:rsid w:val="007357CB"/>
    <w:rsid w:val="007358FD"/>
    <w:rsid w:val="007359FF"/>
    <w:rsid w:val="00735A21"/>
    <w:rsid w:val="0073646C"/>
    <w:rsid w:val="0073659C"/>
    <w:rsid w:val="007366C4"/>
    <w:rsid w:val="00736A8A"/>
    <w:rsid w:val="00736D05"/>
    <w:rsid w:val="00736F7C"/>
    <w:rsid w:val="00736FBE"/>
    <w:rsid w:val="0073723D"/>
    <w:rsid w:val="007372C4"/>
    <w:rsid w:val="007374EC"/>
    <w:rsid w:val="00737549"/>
    <w:rsid w:val="007375F1"/>
    <w:rsid w:val="00737834"/>
    <w:rsid w:val="00737A0A"/>
    <w:rsid w:val="00737A24"/>
    <w:rsid w:val="00737F8F"/>
    <w:rsid w:val="00737F95"/>
    <w:rsid w:val="0074004C"/>
    <w:rsid w:val="007400B1"/>
    <w:rsid w:val="00740309"/>
    <w:rsid w:val="007409D5"/>
    <w:rsid w:val="007409E2"/>
    <w:rsid w:val="00740BBC"/>
    <w:rsid w:val="00740BD5"/>
    <w:rsid w:val="00740C04"/>
    <w:rsid w:val="00740E55"/>
    <w:rsid w:val="0074116A"/>
    <w:rsid w:val="0074117B"/>
    <w:rsid w:val="00741382"/>
    <w:rsid w:val="007413A9"/>
    <w:rsid w:val="007414D7"/>
    <w:rsid w:val="00741730"/>
    <w:rsid w:val="00741733"/>
    <w:rsid w:val="007417BE"/>
    <w:rsid w:val="0074180F"/>
    <w:rsid w:val="00741BD3"/>
    <w:rsid w:val="00741E59"/>
    <w:rsid w:val="00741F8B"/>
    <w:rsid w:val="00742395"/>
    <w:rsid w:val="00742430"/>
    <w:rsid w:val="007424FF"/>
    <w:rsid w:val="00742564"/>
    <w:rsid w:val="0074268C"/>
    <w:rsid w:val="0074270C"/>
    <w:rsid w:val="0074288E"/>
    <w:rsid w:val="00742C54"/>
    <w:rsid w:val="00742DEE"/>
    <w:rsid w:val="00742E18"/>
    <w:rsid w:val="00742F80"/>
    <w:rsid w:val="00742FA4"/>
    <w:rsid w:val="00743038"/>
    <w:rsid w:val="0074307B"/>
    <w:rsid w:val="00743235"/>
    <w:rsid w:val="00743327"/>
    <w:rsid w:val="00743355"/>
    <w:rsid w:val="007434C3"/>
    <w:rsid w:val="007435EB"/>
    <w:rsid w:val="007439AB"/>
    <w:rsid w:val="00743A83"/>
    <w:rsid w:val="00743C63"/>
    <w:rsid w:val="00744000"/>
    <w:rsid w:val="0074419A"/>
    <w:rsid w:val="00744215"/>
    <w:rsid w:val="0074422A"/>
    <w:rsid w:val="007442DC"/>
    <w:rsid w:val="00744335"/>
    <w:rsid w:val="0074435A"/>
    <w:rsid w:val="00744543"/>
    <w:rsid w:val="00744850"/>
    <w:rsid w:val="00744996"/>
    <w:rsid w:val="00744B5D"/>
    <w:rsid w:val="00744D2C"/>
    <w:rsid w:val="00744E2B"/>
    <w:rsid w:val="00744EDF"/>
    <w:rsid w:val="00744FF7"/>
    <w:rsid w:val="00745520"/>
    <w:rsid w:val="0074559E"/>
    <w:rsid w:val="00745643"/>
    <w:rsid w:val="00745986"/>
    <w:rsid w:val="00745AA3"/>
    <w:rsid w:val="00745B8D"/>
    <w:rsid w:val="00745FB3"/>
    <w:rsid w:val="0074606A"/>
    <w:rsid w:val="0074646E"/>
    <w:rsid w:val="0074662E"/>
    <w:rsid w:val="0074670F"/>
    <w:rsid w:val="007469FD"/>
    <w:rsid w:val="00746BB5"/>
    <w:rsid w:val="00746BE9"/>
    <w:rsid w:val="00746D76"/>
    <w:rsid w:val="00746E52"/>
    <w:rsid w:val="00746E6D"/>
    <w:rsid w:val="00746ECC"/>
    <w:rsid w:val="00746F18"/>
    <w:rsid w:val="00747005"/>
    <w:rsid w:val="007471DC"/>
    <w:rsid w:val="0074732A"/>
    <w:rsid w:val="00747600"/>
    <w:rsid w:val="00747BCE"/>
    <w:rsid w:val="00747CD1"/>
    <w:rsid w:val="00747D1B"/>
    <w:rsid w:val="00747E4A"/>
    <w:rsid w:val="00747F86"/>
    <w:rsid w:val="00747FE6"/>
    <w:rsid w:val="0075016B"/>
    <w:rsid w:val="0075037D"/>
    <w:rsid w:val="0075061E"/>
    <w:rsid w:val="007506DD"/>
    <w:rsid w:val="007509A4"/>
    <w:rsid w:val="007509A7"/>
    <w:rsid w:val="00750DDC"/>
    <w:rsid w:val="00750E20"/>
    <w:rsid w:val="00750F66"/>
    <w:rsid w:val="0075111B"/>
    <w:rsid w:val="00751185"/>
    <w:rsid w:val="007511B9"/>
    <w:rsid w:val="007516ED"/>
    <w:rsid w:val="00751A5B"/>
    <w:rsid w:val="00751D28"/>
    <w:rsid w:val="00751E3F"/>
    <w:rsid w:val="00751FA2"/>
    <w:rsid w:val="0075215A"/>
    <w:rsid w:val="007524DC"/>
    <w:rsid w:val="007526CB"/>
    <w:rsid w:val="0075272D"/>
    <w:rsid w:val="00752731"/>
    <w:rsid w:val="00752827"/>
    <w:rsid w:val="00752852"/>
    <w:rsid w:val="0075299C"/>
    <w:rsid w:val="00752A37"/>
    <w:rsid w:val="00752F94"/>
    <w:rsid w:val="0075301F"/>
    <w:rsid w:val="0075304D"/>
    <w:rsid w:val="00753069"/>
    <w:rsid w:val="00753341"/>
    <w:rsid w:val="0075382F"/>
    <w:rsid w:val="0075384E"/>
    <w:rsid w:val="00753DA6"/>
    <w:rsid w:val="007548D2"/>
    <w:rsid w:val="00754959"/>
    <w:rsid w:val="00754A63"/>
    <w:rsid w:val="00754B3E"/>
    <w:rsid w:val="00754C42"/>
    <w:rsid w:val="00755154"/>
    <w:rsid w:val="00755168"/>
    <w:rsid w:val="0075516F"/>
    <w:rsid w:val="0075517B"/>
    <w:rsid w:val="0075547F"/>
    <w:rsid w:val="0075551B"/>
    <w:rsid w:val="007558D5"/>
    <w:rsid w:val="007558FA"/>
    <w:rsid w:val="00755906"/>
    <w:rsid w:val="00755A32"/>
    <w:rsid w:val="00755D7C"/>
    <w:rsid w:val="00755F94"/>
    <w:rsid w:val="0075607F"/>
    <w:rsid w:val="007562A6"/>
    <w:rsid w:val="0075646E"/>
    <w:rsid w:val="007564C2"/>
    <w:rsid w:val="00756740"/>
    <w:rsid w:val="007569B8"/>
    <w:rsid w:val="00756ACB"/>
    <w:rsid w:val="00756C50"/>
    <w:rsid w:val="007575B9"/>
    <w:rsid w:val="007577F5"/>
    <w:rsid w:val="007578EF"/>
    <w:rsid w:val="00757BCF"/>
    <w:rsid w:val="00757CC4"/>
    <w:rsid w:val="00757CE0"/>
    <w:rsid w:val="00760052"/>
    <w:rsid w:val="007602B6"/>
    <w:rsid w:val="00760398"/>
    <w:rsid w:val="00760405"/>
    <w:rsid w:val="0076049D"/>
    <w:rsid w:val="0076053E"/>
    <w:rsid w:val="0076066E"/>
    <w:rsid w:val="0076073C"/>
    <w:rsid w:val="0076079D"/>
    <w:rsid w:val="007607C8"/>
    <w:rsid w:val="00760A1B"/>
    <w:rsid w:val="00760AAC"/>
    <w:rsid w:val="00760B6C"/>
    <w:rsid w:val="00760C18"/>
    <w:rsid w:val="007610F1"/>
    <w:rsid w:val="007611C2"/>
    <w:rsid w:val="00761381"/>
    <w:rsid w:val="00761455"/>
    <w:rsid w:val="00761500"/>
    <w:rsid w:val="00761519"/>
    <w:rsid w:val="007615B1"/>
    <w:rsid w:val="007616A4"/>
    <w:rsid w:val="00761C0E"/>
    <w:rsid w:val="00761E9D"/>
    <w:rsid w:val="0076228C"/>
    <w:rsid w:val="007623C9"/>
    <w:rsid w:val="007624E1"/>
    <w:rsid w:val="00762526"/>
    <w:rsid w:val="007628D1"/>
    <w:rsid w:val="007629DF"/>
    <w:rsid w:val="007629E2"/>
    <w:rsid w:val="00762CD6"/>
    <w:rsid w:val="00762D44"/>
    <w:rsid w:val="00762D98"/>
    <w:rsid w:val="00762DEE"/>
    <w:rsid w:val="00762F61"/>
    <w:rsid w:val="00762FF7"/>
    <w:rsid w:val="00763150"/>
    <w:rsid w:val="00763172"/>
    <w:rsid w:val="0076344B"/>
    <w:rsid w:val="00763599"/>
    <w:rsid w:val="007636F4"/>
    <w:rsid w:val="0076376B"/>
    <w:rsid w:val="007637DB"/>
    <w:rsid w:val="00763886"/>
    <w:rsid w:val="0076398B"/>
    <w:rsid w:val="00763C22"/>
    <w:rsid w:val="00763C96"/>
    <w:rsid w:val="00763D71"/>
    <w:rsid w:val="00763E8E"/>
    <w:rsid w:val="007642CD"/>
    <w:rsid w:val="0076439E"/>
    <w:rsid w:val="007647F4"/>
    <w:rsid w:val="0076481D"/>
    <w:rsid w:val="007648DF"/>
    <w:rsid w:val="00764907"/>
    <w:rsid w:val="00764A71"/>
    <w:rsid w:val="00764D82"/>
    <w:rsid w:val="00765142"/>
    <w:rsid w:val="00765304"/>
    <w:rsid w:val="0076531C"/>
    <w:rsid w:val="007653D9"/>
    <w:rsid w:val="007658D2"/>
    <w:rsid w:val="007658FC"/>
    <w:rsid w:val="00765912"/>
    <w:rsid w:val="0076596D"/>
    <w:rsid w:val="007659EF"/>
    <w:rsid w:val="00765D0A"/>
    <w:rsid w:val="0076652D"/>
    <w:rsid w:val="007666F8"/>
    <w:rsid w:val="007667F3"/>
    <w:rsid w:val="00766864"/>
    <w:rsid w:val="00766984"/>
    <w:rsid w:val="00766A6F"/>
    <w:rsid w:val="00766C49"/>
    <w:rsid w:val="00766FD5"/>
    <w:rsid w:val="00767009"/>
    <w:rsid w:val="00767090"/>
    <w:rsid w:val="0076709E"/>
    <w:rsid w:val="00767568"/>
    <w:rsid w:val="007678B1"/>
    <w:rsid w:val="007678F7"/>
    <w:rsid w:val="007678FD"/>
    <w:rsid w:val="00767919"/>
    <w:rsid w:val="00767B55"/>
    <w:rsid w:val="00767D58"/>
    <w:rsid w:val="00767EDC"/>
    <w:rsid w:val="00767FF5"/>
    <w:rsid w:val="007700B0"/>
    <w:rsid w:val="007701D9"/>
    <w:rsid w:val="007707C3"/>
    <w:rsid w:val="00770A7E"/>
    <w:rsid w:val="00770ABF"/>
    <w:rsid w:val="00770B88"/>
    <w:rsid w:val="00770C09"/>
    <w:rsid w:val="00770D6C"/>
    <w:rsid w:val="00770DB2"/>
    <w:rsid w:val="00770FD0"/>
    <w:rsid w:val="00771077"/>
    <w:rsid w:val="00771198"/>
    <w:rsid w:val="00771367"/>
    <w:rsid w:val="007715C7"/>
    <w:rsid w:val="00771A84"/>
    <w:rsid w:val="00771D7A"/>
    <w:rsid w:val="00771EE2"/>
    <w:rsid w:val="00771FA8"/>
    <w:rsid w:val="00771FD6"/>
    <w:rsid w:val="0077223C"/>
    <w:rsid w:val="00772292"/>
    <w:rsid w:val="007722C9"/>
    <w:rsid w:val="00772559"/>
    <w:rsid w:val="007726A8"/>
    <w:rsid w:val="0077276E"/>
    <w:rsid w:val="00772774"/>
    <w:rsid w:val="00772787"/>
    <w:rsid w:val="007727AF"/>
    <w:rsid w:val="00772821"/>
    <w:rsid w:val="0077289F"/>
    <w:rsid w:val="007728B2"/>
    <w:rsid w:val="00772912"/>
    <w:rsid w:val="00772A09"/>
    <w:rsid w:val="00772BC9"/>
    <w:rsid w:val="00772C65"/>
    <w:rsid w:val="00772E08"/>
    <w:rsid w:val="00772E12"/>
    <w:rsid w:val="00772ED6"/>
    <w:rsid w:val="007731BB"/>
    <w:rsid w:val="007732AE"/>
    <w:rsid w:val="0077372C"/>
    <w:rsid w:val="00773760"/>
    <w:rsid w:val="0077389C"/>
    <w:rsid w:val="0077399C"/>
    <w:rsid w:val="007739B7"/>
    <w:rsid w:val="00773A8C"/>
    <w:rsid w:val="00773D27"/>
    <w:rsid w:val="00773FF4"/>
    <w:rsid w:val="00774156"/>
    <w:rsid w:val="007743C3"/>
    <w:rsid w:val="00774465"/>
    <w:rsid w:val="0077466F"/>
    <w:rsid w:val="0077480E"/>
    <w:rsid w:val="007751A8"/>
    <w:rsid w:val="007751C3"/>
    <w:rsid w:val="0077555B"/>
    <w:rsid w:val="007755DB"/>
    <w:rsid w:val="0077584A"/>
    <w:rsid w:val="0077593B"/>
    <w:rsid w:val="007759A0"/>
    <w:rsid w:val="00775A11"/>
    <w:rsid w:val="00775A49"/>
    <w:rsid w:val="00775B69"/>
    <w:rsid w:val="00775B88"/>
    <w:rsid w:val="007764F3"/>
    <w:rsid w:val="00776566"/>
    <w:rsid w:val="007765E0"/>
    <w:rsid w:val="0077680D"/>
    <w:rsid w:val="00776884"/>
    <w:rsid w:val="007768E0"/>
    <w:rsid w:val="00776B3F"/>
    <w:rsid w:val="00776C92"/>
    <w:rsid w:val="00776CAD"/>
    <w:rsid w:val="00776ED2"/>
    <w:rsid w:val="007771E0"/>
    <w:rsid w:val="0077726B"/>
    <w:rsid w:val="007773CE"/>
    <w:rsid w:val="00777439"/>
    <w:rsid w:val="00777457"/>
    <w:rsid w:val="00777788"/>
    <w:rsid w:val="007777C0"/>
    <w:rsid w:val="007777E0"/>
    <w:rsid w:val="007800F9"/>
    <w:rsid w:val="00780151"/>
    <w:rsid w:val="00780175"/>
    <w:rsid w:val="007801F4"/>
    <w:rsid w:val="00780BA5"/>
    <w:rsid w:val="007811A6"/>
    <w:rsid w:val="007811CD"/>
    <w:rsid w:val="00781645"/>
    <w:rsid w:val="007816FE"/>
    <w:rsid w:val="0078171A"/>
    <w:rsid w:val="00781920"/>
    <w:rsid w:val="007819A8"/>
    <w:rsid w:val="00781A91"/>
    <w:rsid w:val="00781B3A"/>
    <w:rsid w:val="00781B4A"/>
    <w:rsid w:val="00781CF1"/>
    <w:rsid w:val="00781D8C"/>
    <w:rsid w:val="00781DB5"/>
    <w:rsid w:val="0078205A"/>
    <w:rsid w:val="00782152"/>
    <w:rsid w:val="0078216D"/>
    <w:rsid w:val="0078227D"/>
    <w:rsid w:val="00782534"/>
    <w:rsid w:val="0078254A"/>
    <w:rsid w:val="0078322A"/>
    <w:rsid w:val="00783230"/>
    <w:rsid w:val="00783556"/>
    <w:rsid w:val="00783618"/>
    <w:rsid w:val="00783C75"/>
    <w:rsid w:val="00783E7B"/>
    <w:rsid w:val="00783F6C"/>
    <w:rsid w:val="0078418F"/>
    <w:rsid w:val="00784273"/>
    <w:rsid w:val="0078436E"/>
    <w:rsid w:val="00784498"/>
    <w:rsid w:val="0078458A"/>
    <w:rsid w:val="007846E4"/>
    <w:rsid w:val="00784744"/>
    <w:rsid w:val="007848E1"/>
    <w:rsid w:val="00784D4A"/>
    <w:rsid w:val="00784DF1"/>
    <w:rsid w:val="00784F0A"/>
    <w:rsid w:val="00785156"/>
    <w:rsid w:val="00785172"/>
    <w:rsid w:val="00785370"/>
    <w:rsid w:val="00785431"/>
    <w:rsid w:val="0078552B"/>
    <w:rsid w:val="0078555B"/>
    <w:rsid w:val="00785660"/>
    <w:rsid w:val="007856F4"/>
    <w:rsid w:val="007857B1"/>
    <w:rsid w:val="0078580E"/>
    <w:rsid w:val="00785851"/>
    <w:rsid w:val="00785C4A"/>
    <w:rsid w:val="00785E48"/>
    <w:rsid w:val="00785EEF"/>
    <w:rsid w:val="0078605E"/>
    <w:rsid w:val="0078614E"/>
    <w:rsid w:val="00786195"/>
    <w:rsid w:val="007861EB"/>
    <w:rsid w:val="007863E1"/>
    <w:rsid w:val="007864D4"/>
    <w:rsid w:val="007865D0"/>
    <w:rsid w:val="0078663E"/>
    <w:rsid w:val="00786684"/>
    <w:rsid w:val="007866F0"/>
    <w:rsid w:val="00786B07"/>
    <w:rsid w:val="00786CFF"/>
    <w:rsid w:val="00786D0F"/>
    <w:rsid w:val="00786DBE"/>
    <w:rsid w:val="00786FB9"/>
    <w:rsid w:val="0078722F"/>
    <w:rsid w:val="00787231"/>
    <w:rsid w:val="00787536"/>
    <w:rsid w:val="00787607"/>
    <w:rsid w:val="0078774D"/>
    <w:rsid w:val="00787765"/>
    <w:rsid w:val="007877A2"/>
    <w:rsid w:val="007879D8"/>
    <w:rsid w:val="00787AA8"/>
    <w:rsid w:val="00787DBC"/>
    <w:rsid w:val="00787EF4"/>
    <w:rsid w:val="00790061"/>
    <w:rsid w:val="00790208"/>
    <w:rsid w:val="007903BA"/>
    <w:rsid w:val="0079059B"/>
    <w:rsid w:val="007906CF"/>
    <w:rsid w:val="007906DE"/>
    <w:rsid w:val="0079076F"/>
    <w:rsid w:val="00790A32"/>
    <w:rsid w:val="00790FAD"/>
    <w:rsid w:val="00791259"/>
    <w:rsid w:val="0079147D"/>
    <w:rsid w:val="00791566"/>
    <w:rsid w:val="00791998"/>
    <w:rsid w:val="007919C7"/>
    <w:rsid w:val="00791B34"/>
    <w:rsid w:val="00791BD4"/>
    <w:rsid w:val="00791BE3"/>
    <w:rsid w:val="00791C3A"/>
    <w:rsid w:val="00791F5F"/>
    <w:rsid w:val="00792178"/>
    <w:rsid w:val="00792420"/>
    <w:rsid w:val="007925F8"/>
    <w:rsid w:val="00792996"/>
    <w:rsid w:val="007929F6"/>
    <w:rsid w:val="00792B6C"/>
    <w:rsid w:val="00792B6F"/>
    <w:rsid w:val="00792C3D"/>
    <w:rsid w:val="00792EB1"/>
    <w:rsid w:val="00792FEB"/>
    <w:rsid w:val="0079325C"/>
    <w:rsid w:val="00793612"/>
    <w:rsid w:val="0079362B"/>
    <w:rsid w:val="007938C6"/>
    <w:rsid w:val="00793B89"/>
    <w:rsid w:val="00793E56"/>
    <w:rsid w:val="00794119"/>
    <w:rsid w:val="00794236"/>
    <w:rsid w:val="00794276"/>
    <w:rsid w:val="00794391"/>
    <w:rsid w:val="0079439E"/>
    <w:rsid w:val="00794616"/>
    <w:rsid w:val="007946DB"/>
    <w:rsid w:val="00794758"/>
    <w:rsid w:val="007948C8"/>
    <w:rsid w:val="00794D80"/>
    <w:rsid w:val="00794FE9"/>
    <w:rsid w:val="007950E1"/>
    <w:rsid w:val="0079525D"/>
    <w:rsid w:val="00795515"/>
    <w:rsid w:val="0079566D"/>
    <w:rsid w:val="007956BD"/>
    <w:rsid w:val="00795803"/>
    <w:rsid w:val="00795957"/>
    <w:rsid w:val="00795AF7"/>
    <w:rsid w:val="00795D4F"/>
    <w:rsid w:val="00795DA6"/>
    <w:rsid w:val="00795F8C"/>
    <w:rsid w:val="0079609B"/>
    <w:rsid w:val="00796114"/>
    <w:rsid w:val="00796245"/>
    <w:rsid w:val="00796344"/>
    <w:rsid w:val="0079640F"/>
    <w:rsid w:val="00796508"/>
    <w:rsid w:val="0079655D"/>
    <w:rsid w:val="00796599"/>
    <w:rsid w:val="007969DD"/>
    <w:rsid w:val="00796A2E"/>
    <w:rsid w:val="00796AAD"/>
    <w:rsid w:val="00796EB6"/>
    <w:rsid w:val="0079701A"/>
    <w:rsid w:val="007971D4"/>
    <w:rsid w:val="007976D4"/>
    <w:rsid w:val="00797878"/>
    <w:rsid w:val="00797A74"/>
    <w:rsid w:val="00797C7E"/>
    <w:rsid w:val="007A018F"/>
    <w:rsid w:val="007A0219"/>
    <w:rsid w:val="007A0405"/>
    <w:rsid w:val="007A0423"/>
    <w:rsid w:val="007A04B4"/>
    <w:rsid w:val="007A0505"/>
    <w:rsid w:val="007A0876"/>
    <w:rsid w:val="007A0949"/>
    <w:rsid w:val="007A0C87"/>
    <w:rsid w:val="007A0D10"/>
    <w:rsid w:val="007A0D9D"/>
    <w:rsid w:val="007A0E8A"/>
    <w:rsid w:val="007A116B"/>
    <w:rsid w:val="007A12B0"/>
    <w:rsid w:val="007A13A9"/>
    <w:rsid w:val="007A162B"/>
    <w:rsid w:val="007A189E"/>
    <w:rsid w:val="007A18F2"/>
    <w:rsid w:val="007A1951"/>
    <w:rsid w:val="007A1963"/>
    <w:rsid w:val="007A197E"/>
    <w:rsid w:val="007A19B5"/>
    <w:rsid w:val="007A1D42"/>
    <w:rsid w:val="007A201A"/>
    <w:rsid w:val="007A226F"/>
    <w:rsid w:val="007A2286"/>
    <w:rsid w:val="007A26CA"/>
    <w:rsid w:val="007A27A9"/>
    <w:rsid w:val="007A28CC"/>
    <w:rsid w:val="007A2B2E"/>
    <w:rsid w:val="007A2B35"/>
    <w:rsid w:val="007A2D70"/>
    <w:rsid w:val="007A2F07"/>
    <w:rsid w:val="007A3176"/>
    <w:rsid w:val="007A3228"/>
    <w:rsid w:val="007A3339"/>
    <w:rsid w:val="007A34E2"/>
    <w:rsid w:val="007A3794"/>
    <w:rsid w:val="007A3B25"/>
    <w:rsid w:val="007A3D4C"/>
    <w:rsid w:val="007A3EB9"/>
    <w:rsid w:val="007A3F23"/>
    <w:rsid w:val="007A40A3"/>
    <w:rsid w:val="007A43D2"/>
    <w:rsid w:val="007A442F"/>
    <w:rsid w:val="007A4566"/>
    <w:rsid w:val="007A474C"/>
    <w:rsid w:val="007A48C7"/>
    <w:rsid w:val="007A494E"/>
    <w:rsid w:val="007A4974"/>
    <w:rsid w:val="007A4C5C"/>
    <w:rsid w:val="007A4CCE"/>
    <w:rsid w:val="007A4CD0"/>
    <w:rsid w:val="007A4D7C"/>
    <w:rsid w:val="007A4DCD"/>
    <w:rsid w:val="007A4E56"/>
    <w:rsid w:val="007A507E"/>
    <w:rsid w:val="007A5253"/>
    <w:rsid w:val="007A52E1"/>
    <w:rsid w:val="007A532A"/>
    <w:rsid w:val="007A55F9"/>
    <w:rsid w:val="007A56F3"/>
    <w:rsid w:val="007A57A9"/>
    <w:rsid w:val="007A598C"/>
    <w:rsid w:val="007A5B60"/>
    <w:rsid w:val="007A5D63"/>
    <w:rsid w:val="007A5FE6"/>
    <w:rsid w:val="007A6178"/>
    <w:rsid w:val="007A638E"/>
    <w:rsid w:val="007A63C1"/>
    <w:rsid w:val="007A649A"/>
    <w:rsid w:val="007A64A2"/>
    <w:rsid w:val="007A6550"/>
    <w:rsid w:val="007A6A09"/>
    <w:rsid w:val="007A6AC2"/>
    <w:rsid w:val="007A6BAA"/>
    <w:rsid w:val="007A6D8C"/>
    <w:rsid w:val="007A7284"/>
    <w:rsid w:val="007A7374"/>
    <w:rsid w:val="007A748D"/>
    <w:rsid w:val="007A7643"/>
    <w:rsid w:val="007A765A"/>
    <w:rsid w:val="007A7670"/>
    <w:rsid w:val="007A77EB"/>
    <w:rsid w:val="007A7820"/>
    <w:rsid w:val="007A7951"/>
    <w:rsid w:val="007A7B94"/>
    <w:rsid w:val="007A7BAE"/>
    <w:rsid w:val="007A7D21"/>
    <w:rsid w:val="007A7D4B"/>
    <w:rsid w:val="007A7DC7"/>
    <w:rsid w:val="007A7EDC"/>
    <w:rsid w:val="007B006D"/>
    <w:rsid w:val="007B00B1"/>
    <w:rsid w:val="007B02F3"/>
    <w:rsid w:val="007B0380"/>
    <w:rsid w:val="007B03FA"/>
    <w:rsid w:val="007B04A4"/>
    <w:rsid w:val="007B055B"/>
    <w:rsid w:val="007B066B"/>
    <w:rsid w:val="007B091D"/>
    <w:rsid w:val="007B0A49"/>
    <w:rsid w:val="007B0A50"/>
    <w:rsid w:val="007B0CA9"/>
    <w:rsid w:val="007B0CC6"/>
    <w:rsid w:val="007B0DDD"/>
    <w:rsid w:val="007B0E5C"/>
    <w:rsid w:val="007B183C"/>
    <w:rsid w:val="007B1899"/>
    <w:rsid w:val="007B1A5A"/>
    <w:rsid w:val="007B1B93"/>
    <w:rsid w:val="007B1C02"/>
    <w:rsid w:val="007B2229"/>
    <w:rsid w:val="007B2238"/>
    <w:rsid w:val="007B24AA"/>
    <w:rsid w:val="007B25AE"/>
    <w:rsid w:val="007B25FB"/>
    <w:rsid w:val="007B260C"/>
    <w:rsid w:val="007B2691"/>
    <w:rsid w:val="007B27F6"/>
    <w:rsid w:val="007B2B31"/>
    <w:rsid w:val="007B2B41"/>
    <w:rsid w:val="007B2E62"/>
    <w:rsid w:val="007B3060"/>
    <w:rsid w:val="007B330D"/>
    <w:rsid w:val="007B34D6"/>
    <w:rsid w:val="007B3677"/>
    <w:rsid w:val="007B3A79"/>
    <w:rsid w:val="007B3B73"/>
    <w:rsid w:val="007B3C35"/>
    <w:rsid w:val="007B3F7A"/>
    <w:rsid w:val="007B3F7F"/>
    <w:rsid w:val="007B42AF"/>
    <w:rsid w:val="007B4350"/>
    <w:rsid w:val="007B461D"/>
    <w:rsid w:val="007B463F"/>
    <w:rsid w:val="007B49C0"/>
    <w:rsid w:val="007B4B3A"/>
    <w:rsid w:val="007B4FE8"/>
    <w:rsid w:val="007B505C"/>
    <w:rsid w:val="007B51CA"/>
    <w:rsid w:val="007B5696"/>
    <w:rsid w:val="007B5B96"/>
    <w:rsid w:val="007B5CC1"/>
    <w:rsid w:val="007B5CC2"/>
    <w:rsid w:val="007B5CF4"/>
    <w:rsid w:val="007B5FDB"/>
    <w:rsid w:val="007B60A4"/>
    <w:rsid w:val="007B60B7"/>
    <w:rsid w:val="007B61DF"/>
    <w:rsid w:val="007B621C"/>
    <w:rsid w:val="007B62CA"/>
    <w:rsid w:val="007B630A"/>
    <w:rsid w:val="007B6319"/>
    <w:rsid w:val="007B654D"/>
    <w:rsid w:val="007B656A"/>
    <w:rsid w:val="007B6B7D"/>
    <w:rsid w:val="007B6C5C"/>
    <w:rsid w:val="007B6D3C"/>
    <w:rsid w:val="007B6F78"/>
    <w:rsid w:val="007B73B5"/>
    <w:rsid w:val="007B73EA"/>
    <w:rsid w:val="007B7477"/>
    <w:rsid w:val="007B76B6"/>
    <w:rsid w:val="007B77FC"/>
    <w:rsid w:val="007B79B3"/>
    <w:rsid w:val="007B7D65"/>
    <w:rsid w:val="007B7F5E"/>
    <w:rsid w:val="007C004A"/>
    <w:rsid w:val="007C014F"/>
    <w:rsid w:val="007C0521"/>
    <w:rsid w:val="007C05A4"/>
    <w:rsid w:val="007C0759"/>
    <w:rsid w:val="007C08F1"/>
    <w:rsid w:val="007C0929"/>
    <w:rsid w:val="007C0ABC"/>
    <w:rsid w:val="007C0BD7"/>
    <w:rsid w:val="007C0CCD"/>
    <w:rsid w:val="007C0D43"/>
    <w:rsid w:val="007C0E87"/>
    <w:rsid w:val="007C0FF6"/>
    <w:rsid w:val="007C1215"/>
    <w:rsid w:val="007C15FD"/>
    <w:rsid w:val="007C1673"/>
    <w:rsid w:val="007C1858"/>
    <w:rsid w:val="007C1A00"/>
    <w:rsid w:val="007C1C1C"/>
    <w:rsid w:val="007C1CFF"/>
    <w:rsid w:val="007C1E6A"/>
    <w:rsid w:val="007C2130"/>
    <w:rsid w:val="007C2453"/>
    <w:rsid w:val="007C24AF"/>
    <w:rsid w:val="007C2619"/>
    <w:rsid w:val="007C26DB"/>
    <w:rsid w:val="007C26E7"/>
    <w:rsid w:val="007C2707"/>
    <w:rsid w:val="007C2826"/>
    <w:rsid w:val="007C2A93"/>
    <w:rsid w:val="007C2AEA"/>
    <w:rsid w:val="007C2DE3"/>
    <w:rsid w:val="007C2DFA"/>
    <w:rsid w:val="007C30C7"/>
    <w:rsid w:val="007C317A"/>
    <w:rsid w:val="007C3514"/>
    <w:rsid w:val="007C3634"/>
    <w:rsid w:val="007C3680"/>
    <w:rsid w:val="007C3A8E"/>
    <w:rsid w:val="007C3AEA"/>
    <w:rsid w:val="007C3CE6"/>
    <w:rsid w:val="007C3DEA"/>
    <w:rsid w:val="007C3E2B"/>
    <w:rsid w:val="007C4044"/>
    <w:rsid w:val="007C4081"/>
    <w:rsid w:val="007C4299"/>
    <w:rsid w:val="007C4A66"/>
    <w:rsid w:val="007C4E57"/>
    <w:rsid w:val="007C5030"/>
    <w:rsid w:val="007C504D"/>
    <w:rsid w:val="007C54A6"/>
    <w:rsid w:val="007C54AB"/>
    <w:rsid w:val="007C54D1"/>
    <w:rsid w:val="007C581B"/>
    <w:rsid w:val="007C5C25"/>
    <w:rsid w:val="007C5D76"/>
    <w:rsid w:val="007C5D87"/>
    <w:rsid w:val="007C5FDF"/>
    <w:rsid w:val="007C601E"/>
    <w:rsid w:val="007C6070"/>
    <w:rsid w:val="007C61B6"/>
    <w:rsid w:val="007C61C3"/>
    <w:rsid w:val="007C68F0"/>
    <w:rsid w:val="007C6BF2"/>
    <w:rsid w:val="007C6FB7"/>
    <w:rsid w:val="007C70BD"/>
    <w:rsid w:val="007C72E4"/>
    <w:rsid w:val="007C7561"/>
    <w:rsid w:val="007C7785"/>
    <w:rsid w:val="007C7A2A"/>
    <w:rsid w:val="007C7C35"/>
    <w:rsid w:val="007C7FBA"/>
    <w:rsid w:val="007D00D5"/>
    <w:rsid w:val="007D01EC"/>
    <w:rsid w:val="007D05D7"/>
    <w:rsid w:val="007D06D8"/>
    <w:rsid w:val="007D0733"/>
    <w:rsid w:val="007D0B0F"/>
    <w:rsid w:val="007D0B40"/>
    <w:rsid w:val="007D0B6A"/>
    <w:rsid w:val="007D0BCB"/>
    <w:rsid w:val="007D0C0C"/>
    <w:rsid w:val="007D1207"/>
    <w:rsid w:val="007D12FA"/>
    <w:rsid w:val="007D140E"/>
    <w:rsid w:val="007D17ED"/>
    <w:rsid w:val="007D1A9D"/>
    <w:rsid w:val="007D1C69"/>
    <w:rsid w:val="007D1CC4"/>
    <w:rsid w:val="007D1E67"/>
    <w:rsid w:val="007D216C"/>
    <w:rsid w:val="007D224F"/>
    <w:rsid w:val="007D25DD"/>
    <w:rsid w:val="007D269C"/>
    <w:rsid w:val="007D2977"/>
    <w:rsid w:val="007D2C97"/>
    <w:rsid w:val="007D2D2B"/>
    <w:rsid w:val="007D2D6C"/>
    <w:rsid w:val="007D2FD5"/>
    <w:rsid w:val="007D3022"/>
    <w:rsid w:val="007D3243"/>
    <w:rsid w:val="007D3310"/>
    <w:rsid w:val="007D3363"/>
    <w:rsid w:val="007D3702"/>
    <w:rsid w:val="007D394F"/>
    <w:rsid w:val="007D3AC4"/>
    <w:rsid w:val="007D3B49"/>
    <w:rsid w:val="007D3DFC"/>
    <w:rsid w:val="007D401D"/>
    <w:rsid w:val="007D4044"/>
    <w:rsid w:val="007D415B"/>
    <w:rsid w:val="007D4217"/>
    <w:rsid w:val="007D42D9"/>
    <w:rsid w:val="007D49AF"/>
    <w:rsid w:val="007D49CD"/>
    <w:rsid w:val="007D4A0E"/>
    <w:rsid w:val="007D508E"/>
    <w:rsid w:val="007D51D5"/>
    <w:rsid w:val="007D5318"/>
    <w:rsid w:val="007D53FA"/>
    <w:rsid w:val="007D563B"/>
    <w:rsid w:val="007D578C"/>
    <w:rsid w:val="007D5B2D"/>
    <w:rsid w:val="007D5CA1"/>
    <w:rsid w:val="007D64A7"/>
    <w:rsid w:val="007D6568"/>
    <w:rsid w:val="007D6575"/>
    <w:rsid w:val="007D65E7"/>
    <w:rsid w:val="007D68C8"/>
    <w:rsid w:val="007D68E8"/>
    <w:rsid w:val="007D6966"/>
    <w:rsid w:val="007D6AAB"/>
    <w:rsid w:val="007D6B36"/>
    <w:rsid w:val="007D6CB2"/>
    <w:rsid w:val="007D6DEA"/>
    <w:rsid w:val="007D6F2E"/>
    <w:rsid w:val="007D6F4D"/>
    <w:rsid w:val="007D7002"/>
    <w:rsid w:val="007D7090"/>
    <w:rsid w:val="007D70CD"/>
    <w:rsid w:val="007D7152"/>
    <w:rsid w:val="007D7458"/>
    <w:rsid w:val="007D74E3"/>
    <w:rsid w:val="007D76CC"/>
    <w:rsid w:val="007D77FC"/>
    <w:rsid w:val="007D79C4"/>
    <w:rsid w:val="007D7A82"/>
    <w:rsid w:val="007D7C60"/>
    <w:rsid w:val="007D7CDF"/>
    <w:rsid w:val="007D7D07"/>
    <w:rsid w:val="007D7E9A"/>
    <w:rsid w:val="007E0623"/>
    <w:rsid w:val="007E06D0"/>
    <w:rsid w:val="007E0817"/>
    <w:rsid w:val="007E09C3"/>
    <w:rsid w:val="007E0CAC"/>
    <w:rsid w:val="007E0DB5"/>
    <w:rsid w:val="007E0E2A"/>
    <w:rsid w:val="007E1479"/>
    <w:rsid w:val="007E148D"/>
    <w:rsid w:val="007E158B"/>
    <w:rsid w:val="007E15FE"/>
    <w:rsid w:val="007E18E9"/>
    <w:rsid w:val="007E1CA6"/>
    <w:rsid w:val="007E1F77"/>
    <w:rsid w:val="007E2295"/>
    <w:rsid w:val="007E2396"/>
    <w:rsid w:val="007E2403"/>
    <w:rsid w:val="007E253A"/>
    <w:rsid w:val="007E2C14"/>
    <w:rsid w:val="007E2EB7"/>
    <w:rsid w:val="007E2F6E"/>
    <w:rsid w:val="007E309A"/>
    <w:rsid w:val="007E31B7"/>
    <w:rsid w:val="007E32D1"/>
    <w:rsid w:val="007E3702"/>
    <w:rsid w:val="007E389C"/>
    <w:rsid w:val="007E3B27"/>
    <w:rsid w:val="007E3C24"/>
    <w:rsid w:val="007E3D8B"/>
    <w:rsid w:val="007E3F4C"/>
    <w:rsid w:val="007E4093"/>
    <w:rsid w:val="007E4302"/>
    <w:rsid w:val="007E441B"/>
    <w:rsid w:val="007E45B2"/>
    <w:rsid w:val="007E46B5"/>
    <w:rsid w:val="007E4890"/>
    <w:rsid w:val="007E48EA"/>
    <w:rsid w:val="007E49E2"/>
    <w:rsid w:val="007E4A58"/>
    <w:rsid w:val="007E4BF4"/>
    <w:rsid w:val="007E4C53"/>
    <w:rsid w:val="007E4F44"/>
    <w:rsid w:val="007E4F5E"/>
    <w:rsid w:val="007E518D"/>
    <w:rsid w:val="007E51B3"/>
    <w:rsid w:val="007E5269"/>
    <w:rsid w:val="007E5341"/>
    <w:rsid w:val="007E56E0"/>
    <w:rsid w:val="007E5896"/>
    <w:rsid w:val="007E59CB"/>
    <w:rsid w:val="007E5A81"/>
    <w:rsid w:val="007E5A87"/>
    <w:rsid w:val="007E5E10"/>
    <w:rsid w:val="007E5EB7"/>
    <w:rsid w:val="007E6195"/>
    <w:rsid w:val="007E61F7"/>
    <w:rsid w:val="007E639E"/>
    <w:rsid w:val="007E6645"/>
    <w:rsid w:val="007E6665"/>
    <w:rsid w:val="007E68F2"/>
    <w:rsid w:val="007E68F8"/>
    <w:rsid w:val="007E6A35"/>
    <w:rsid w:val="007E6A38"/>
    <w:rsid w:val="007E6AA8"/>
    <w:rsid w:val="007E6B1C"/>
    <w:rsid w:val="007E6BE6"/>
    <w:rsid w:val="007E6C92"/>
    <w:rsid w:val="007E70C8"/>
    <w:rsid w:val="007E7425"/>
    <w:rsid w:val="007E748C"/>
    <w:rsid w:val="007E74E5"/>
    <w:rsid w:val="007E7791"/>
    <w:rsid w:val="007E7B7C"/>
    <w:rsid w:val="007E7E49"/>
    <w:rsid w:val="007F0062"/>
    <w:rsid w:val="007F024E"/>
    <w:rsid w:val="007F02A9"/>
    <w:rsid w:val="007F03CA"/>
    <w:rsid w:val="007F0510"/>
    <w:rsid w:val="007F05DF"/>
    <w:rsid w:val="007F0C43"/>
    <w:rsid w:val="007F0CE2"/>
    <w:rsid w:val="007F0FB5"/>
    <w:rsid w:val="007F1007"/>
    <w:rsid w:val="007F104C"/>
    <w:rsid w:val="007F10A1"/>
    <w:rsid w:val="007F157A"/>
    <w:rsid w:val="007F1713"/>
    <w:rsid w:val="007F1950"/>
    <w:rsid w:val="007F1979"/>
    <w:rsid w:val="007F1BB0"/>
    <w:rsid w:val="007F1C69"/>
    <w:rsid w:val="007F1CC7"/>
    <w:rsid w:val="007F1E49"/>
    <w:rsid w:val="007F20A5"/>
    <w:rsid w:val="007F228F"/>
    <w:rsid w:val="007F25D9"/>
    <w:rsid w:val="007F2DDE"/>
    <w:rsid w:val="007F2E8A"/>
    <w:rsid w:val="007F306E"/>
    <w:rsid w:val="007F3214"/>
    <w:rsid w:val="007F32C9"/>
    <w:rsid w:val="007F33FF"/>
    <w:rsid w:val="007F367B"/>
    <w:rsid w:val="007F3726"/>
    <w:rsid w:val="007F3815"/>
    <w:rsid w:val="007F3B5B"/>
    <w:rsid w:val="007F3B7A"/>
    <w:rsid w:val="007F3BA7"/>
    <w:rsid w:val="007F3C8B"/>
    <w:rsid w:val="007F3F24"/>
    <w:rsid w:val="007F3F9A"/>
    <w:rsid w:val="007F3FD0"/>
    <w:rsid w:val="007F4197"/>
    <w:rsid w:val="007F41A3"/>
    <w:rsid w:val="007F42E2"/>
    <w:rsid w:val="007F43CE"/>
    <w:rsid w:val="007F44FA"/>
    <w:rsid w:val="007F4886"/>
    <w:rsid w:val="007F4B3B"/>
    <w:rsid w:val="007F4E37"/>
    <w:rsid w:val="007F4E61"/>
    <w:rsid w:val="007F4FCC"/>
    <w:rsid w:val="007F516A"/>
    <w:rsid w:val="007F564D"/>
    <w:rsid w:val="007F56E0"/>
    <w:rsid w:val="007F5CA2"/>
    <w:rsid w:val="007F5DBA"/>
    <w:rsid w:val="007F5F2E"/>
    <w:rsid w:val="007F5F98"/>
    <w:rsid w:val="007F5FAF"/>
    <w:rsid w:val="007F6071"/>
    <w:rsid w:val="007F6241"/>
    <w:rsid w:val="007F636D"/>
    <w:rsid w:val="007F65DB"/>
    <w:rsid w:val="007F66CA"/>
    <w:rsid w:val="007F6704"/>
    <w:rsid w:val="007F6B4A"/>
    <w:rsid w:val="007F6BC4"/>
    <w:rsid w:val="007F6D9A"/>
    <w:rsid w:val="007F6E21"/>
    <w:rsid w:val="007F7038"/>
    <w:rsid w:val="007F708D"/>
    <w:rsid w:val="007F7093"/>
    <w:rsid w:val="007F70A0"/>
    <w:rsid w:val="007F70AC"/>
    <w:rsid w:val="007F70E6"/>
    <w:rsid w:val="007F725A"/>
    <w:rsid w:val="007F7288"/>
    <w:rsid w:val="007F72E6"/>
    <w:rsid w:val="007F749C"/>
    <w:rsid w:val="007F761A"/>
    <w:rsid w:val="007F779A"/>
    <w:rsid w:val="007F77A8"/>
    <w:rsid w:val="007F784A"/>
    <w:rsid w:val="007F7880"/>
    <w:rsid w:val="007F78B9"/>
    <w:rsid w:val="007F79C1"/>
    <w:rsid w:val="007F7A20"/>
    <w:rsid w:val="007F7A71"/>
    <w:rsid w:val="007F7C82"/>
    <w:rsid w:val="007F7F0B"/>
    <w:rsid w:val="007F7FE2"/>
    <w:rsid w:val="008001C2"/>
    <w:rsid w:val="00800290"/>
    <w:rsid w:val="008002A3"/>
    <w:rsid w:val="008002B9"/>
    <w:rsid w:val="0080037F"/>
    <w:rsid w:val="008003A1"/>
    <w:rsid w:val="00800897"/>
    <w:rsid w:val="008008FE"/>
    <w:rsid w:val="00801126"/>
    <w:rsid w:val="008011AF"/>
    <w:rsid w:val="0080141C"/>
    <w:rsid w:val="00801515"/>
    <w:rsid w:val="008016F4"/>
    <w:rsid w:val="008017C4"/>
    <w:rsid w:val="008017CD"/>
    <w:rsid w:val="008017D5"/>
    <w:rsid w:val="008019B7"/>
    <w:rsid w:val="008019D8"/>
    <w:rsid w:val="00801D75"/>
    <w:rsid w:val="00801DB4"/>
    <w:rsid w:val="008020C1"/>
    <w:rsid w:val="00802218"/>
    <w:rsid w:val="00802303"/>
    <w:rsid w:val="00802582"/>
    <w:rsid w:val="008025C7"/>
    <w:rsid w:val="00802627"/>
    <w:rsid w:val="008026BF"/>
    <w:rsid w:val="0080286C"/>
    <w:rsid w:val="00802B45"/>
    <w:rsid w:val="00802DE5"/>
    <w:rsid w:val="008030CD"/>
    <w:rsid w:val="008034EE"/>
    <w:rsid w:val="00803571"/>
    <w:rsid w:val="00803721"/>
    <w:rsid w:val="00803790"/>
    <w:rsid w:val="00803A67"/>
    <w:rsid w:val="00803B5D"/>
    <w:rsid w:val="00803CA3"/>
    <w:rsid w:val="00803DCD"/>
    <w:rsid w:val="00803DE3"/>
    <w:rsid w:val="00803F53"/>
    <w:rsid w:val="008041F4"/>
    <w:rsid w:val="008042E2"/>
    <w:rsid w:val="00804352"/>
    <w:rsid w:val="00804361"/>
    <w:rsid w:val="0080442D"/>
    <w:rsid w:val="00804709"/>
    <w:rsid w:val="00804832"/>
    <w:rsid w:val="008048E3"/>
    <w:rsid w:val="00804959"/>
    <w:rsid w:val="00804AA6"/>
    <w:rsid w:val="00804AAE"/>
    <w:rsid w:val="00804C64"/>
    <w:rsid w:val="00804C9A"/>
    <w:rsid w:val="00804FE2"/>
    <w:rsid w:val="00805001"/>
    <w:rsid w:val="00805025"/>
    <w:rsid w:val="008051D9"/>
    <w:rsid w:val="00805290"/>
    <w:rsid w:val="00805A91"/>
    <w:rsid w:val="00805AA3"/>
    <w:rsid w:val="00805AF1"/>
    <w:rsid w:val="00805B67"/>
    <w:rsid w:val="00805BD1"/>
    <w:rsid w:val="00805D2D"/>
    <w:rsid w:val="00805E38"/>
    <w:rsid w:val="008060EC"/>
    <w:rsid w:val="00806207"/>
    <w:rsid w:val="0080623C"/>
    <w:rsid w:val="0080647A"/>
    <w:rsid w:val="00806606"/>
    <w:rsid w:val="00806702"/>
    <w:rsid w:val="00806905"/>
    <w:rsid w:val="00806A17"/>
    <w:rsid w:val="00806BA7"/>
    <w:rsid w:val="00806BEF"/>
    <w:rsid w:val="008071E0"/>
    <w:rsid w:val="00807458"/>
    <w:rsid w:val="00807481"/>
    <w:rsid w:val="00807681"/>
    <w:rsid w:val="0080787D"/>
    <w:rsid w:val="00807939"/>
    <w:rsid w:val="00807A89"/>
    <w:rsid w:val="00807AB6"/>
    <w:rsid w:val="00807ABE"/>
    <w:rsid w:val="00807BD2"/>
    <w:rsid w:val="00810201"/>
    <w:rsid w:val="00810390"/>
    <w:rsid w:val="008107EA"/>
    <w:rsid w:val="00810A4E"/>
    <w:rsid w:val="00810A8B"/>
    <w:rsid w:val="00810C5F"/>
    <w:rsid w:val="00810CD0"/>
    <w:rsid w:val="00810D04"/>
    <w:rsid w:val="00810E33"/>
    <w:rsid w:val="00810E52"/>
    <w:rsid w:val="00811071"/>
    <w:rsid w:val="008112CB"/>
    <w:rsid w:val="00811380"/>
    <w:rsid w:val="008117F1"/>
    <w:rsid w:val="00811879"/>
    <w:rsid w:val="00811933"/>
    <w:rsid w:val="00811CDB"/>
    <w:rsid w:val="00811D02"/>
    <w:rsid w:val="00811D65"/>
    <w:rsid w:val="008121B6"/>
    <w:rsid w:val="008123C0"/>
    <w:rsid w:val="00812611"/>
    <w:rsid w:val="00812687"/>
    <w:rsid w:val="00812734"/>
    <w:rsid w:val="008127A6"/>
    <w:rsid w:val="0081286E"/>
    <w:rsid w:val="008128A9"/>
    <w:rsid w:val="00812AC3"/>
    <w:rsid w:val="00812F2B"/>
    <w:rsid w:val="00812F4B"/>
    <w:rsid w:val="00813049"/>
    <w:rsid w:val="008130FA"/>
    <w:rsid w:val="0081311E"/>
    <w:rsid w:val="008131C1"/>
    <w:rsid w:val="00813260"/>
    <w:rsid w:val="008132AC"/>
    <w:rsid w:val="00813344"/>
    <w:rsid w:val="00813833"/>
    <w:rsid w:val="0081399B"/>
    <w:rsid w:val="00813B73"/>
    <w:rsid w:val="008142D2"/>
    <w:rsid w:val="00814403"/>
    <w:rsid w:val="0081445C"/>
    <w:rsid w:val="008144C5"/>
    <w:rsid w:val="00814546"/>
    <w:rsid w:val="0081470B"/>
    <w:rsid w:val="008149EC"/>
    <w:rsid w:val="00814A26"/>
    <w:rsid w:val="00814B83"/>
    <w:rsid w:val="00814C28"/>
    <w:rsid w:val="00814DBC"/>
    <w:rsid w:val="0081505E"/>
    <w:rsid w:val="00815096"/>
    <w:rsid w:val="008152A3"/>
    <w:rsid w:val="008153A5"/>
    <w:rsid w:val="00815595"/>
    <w:rsid w:val="008156A8"/>
    <w:rsid w:val="00815779"/>
    <w:rsid w:val="00815876"/>
    <w:rsid w:val="008158BF"/>
    <w:rsid w:val="00815A29"/>
    <w:rsid w:val="00815A3F"/>
    <w:rsid w:val="00815AD8"/>
    <w:rsid w:val="00815D70"/>
    <w:rsid w:val="00815E85"/>
    <w:rsid w:val="00815EC0"/>
    <w:rsid w:val="0081642D"/>
    <w:rsid w:val="00816445"/>
    <w:rsid w:val="008164D4"/>
    <w:rsid w:val="008165F3"/>
    <w:rsid w:val="00816946"/>
    <w:rsid w:val="00816AAE"/>
    <w:rsid w:val="00816B9A"/>
    <w:rsid w:val="00816C94"/>
    <w:rsid w:val="00816CA1"/>
    <w:rsid w:val="00816D9D"/>
    <w:rsid w:val="00816EB7"/>
    <w:rsid w:val="00816FEF"/>
    <w:rsid w:val="0081737C"/>
    <w:rsid w:val="00817F1C"/>
    <w:rsid w:val="00817F64"/>
    <w:rsid w:val="008200E9"/>
    <w:rsid w:val="008201C5"/>
    <w:rsid w:val="00820414"/>
    <w:rsid w:val="00820461"/>
    <w:rsid w:val="0082077B"/>
    <w:rsid w:val="00820BA3"/>
    <w:rsid w:val="00820BF2"/>
    <w:rsid w:val="00820D6C"/>
    <w:rsid w:val="00820F36"/>
    <w:rsid w:val="00820FF9"/>
    <w:rsid w:val="008210E3"/>
    <w:rsid w:val="008212FC"/>
    <w:rsid w:val="008214B0"/>
    <w:rsid w:val="00821957"/>
    <w:rsid w:val="0082197B"/>
    <w:rsid w:val="00821A05"/>
    <w:rsid w:val="00821A63"/>
    <w:rsid w:val="00821ACB"/>
    <w:rsid w:val="00821AE5"/>
    <w:rsid w:val="00821CC7"/>
    <w:rsid w:val="00821F75"/>
    <w:rsid w:val="00822568"/>
    <w:rsid w:val="0082286E"/>
    <w:rsid w:val="00822A85"/>
    <w:rsid w:val="00822B1A"/>
    <w:rsid w:val="00822B70"/>
    <w:rsid w:val="00822C88"/>
    <w:rsid w:val="008230B3"/>
    <w:rsid w:val="00823195"/>
    <w:rsid w:val="008231A6"/>
    <w:rsid w:val="008235EA"/>
    <w:rsid w:val="008237BC"/>
    <w:rsid w:val="00823821"/>
    <w:rsid w:val="008238A9"/>
    <w:rsid w:val="008239DF"/>
    <w:rsid w:val="00823B86"/>
    <w:rsid w:val="00823BA7"/>
    <w:rsid w:val="00823BFC"/>
    <w:rsid w:val="00823CE8"/>
    <w:rsid w:val="008240E6"/>
    <w:rsid w:val="00824316"/>
    <w:rsid w:val="00824567"/>
    <w:rsid w:val="008245D5"/>
    <w:rsid w:val="008245EC"/>
    <w:rsid w:val="0082470D"/>
    <w:rsid w:val="00824C27"/>
    <w:rsid w:val="00824C52"/>
    <w:rsid w:val="00824D9B"/>
    <w:rsid w:val="00824EED"/>
    <w:rsid w:val="00825199"/>
    <w:rsid w:val="00825738"/>
    <w:rsid w:val="00825AC1"/>
    <w:rsid w:val="0082615D"/>
    <w:rsid w:val="008261BA"/>
    <w:rsid w:val="0082665F"/>
    <w:rsid w:val="00826788"/>
    <w:rsid w:val="008267A0"/>
    <w:rsid w:val="00826D3B"/>
    <w:rsid w:val="00826DE7"/>
    <w:rsid w:val="00826EBE"/>
    <w:rsid w:val="00827475"/>
    <w:rsid w:val="008276EE"/>
    <w:rsid w:val="00827856"/>
    <w:rsid w:val="008278B0"/>
    <w:rsid w:val="00827A31"/>
    <w:rsid w:val="00827A5A"/>
    <w:rsid w:val="00827B44"/>
    <w:rsid w:val="00827B57"/>
    <w:rsid w:val="00827E3C"/>
    <w:rsid w:val="00827EEF"/>
    <w:rsid w:val="008301B3"/>
    <w:rsid w:val="00830225"/>
    <w:rsid w:val="008304BE"/>
    <w:rsid w:val="008305B6"/>
    <w:rsid w:val="008308E8"/>
    <w:rsid w:val="008309B4"/>
    <w:rsid w:val="008309BF"/>
    <w:rsid w:val="00830C1A"/>
    <w:rsid w:val="00830CC0"/>
    <w:rsid w:val="00830D77"/>
    <w:rsid w:val="00830DEB"/>
    <w:rsid w:val="0083107A"/>
    <w:rsid w:val="00831278"/>
    <w:rsid w:val="00831282"/>
    <w:rsid w:val="0083131E"/>
    <w:rsid w:val="008316CF"/>
    <w:rsid w:val="0083199E"/>
    <w:rsid w:val="00831A8E"/>
    <w:rsid w:val="00831AD2"/>
    <w:rsid w:val="00831DA1"/>
    <w:rsid w:val="00831F84"/>
    <w:rsid w:val="00831FDF"/>
    <w:rsid w:val="008321A8"/>
    <w:rsid w:val="0083246C"/>
    <w:rsid w:val="008324B7"/>
    <w:rsid w:val="00832740"/>
    <w:rsid w:val="008327AC"/>
    <w:rsid w:val="008329B6"/>
    <w:rsid w:val="00832BA2"/>
    <w:rsid w:val="00832BC9"/>
    <w:rsid w:val="00832E83"/>
    <w:rsid w:val="00832EC9"/>
    <w:rsid w:val="00832EE8"/>
    <w:rsid w:val="008331A7"/>
    <w:rsid w:val="00833594"/>
    <w:rsid w:val="008336C2"/>
    <w:rsid w:val="00833917"/>
    <w:rsid w:val="00833957"/>
    <w:rsid w:val="00833B09"/>
    <w:rsid w:val="00833E24"/>
    <w:rsid w:val="00833E37"/>
    <w:rsid w:val="00833ED4"/>
    <w:rsid w:val="00833F8C"/>
    <w:rsid w:val="0083412B"/>
    <w:rsid w:val="008344A7"/>
    <w:rsid w:val="00834651"/>
    <w:rsid w:val="00834A32"/>
    <w:rsid w:val="00834C17"/>
    <w:rsid w:val="00834CFD"/>
    <w:rsid w:val="00834DB4"/>
    <w:rsid w:val="00834E53"/>
    <w:rsid w:val="008351A0"/>
    <w:rsid w:val="00835342"/>
    <w:rsid w:val="008354F3"/>
    <w:rsid w:val="008355C9"/>
    <w:rsid w:val="008355CB"/>
    <w:rsid w:val="00835828"/>
    <w:rsid w:val="00835903"/>
    <w:rsid w:val="00835909"/>
    <w:rsid w:val="00835935"/>
    <w:rsid w:val="00835AF0"/>
    <w:rsid w:val="00835B38"/>
    <w:rsid w:val="00836127"/>
    <w:rsid w:val="00836182"/>
    <w:rsid w:val="00836465"/>
    <w:rsid w:val="00836474"/>
    <w:rsid w:val="00836574"/>
    <w:rsid w:val="0083661D"/>
    <w:rsid w:val="00836649"/>
    <w:rsid w:val="00836730"/>
    <w:rsid w:val="00836957"/>
    <w:rsid w:val="00836B11"/>
    <w:rsid w:val="00836C97"/>
    <w:rsid w:val="008371A1"/>
    <w:rsid w:val="00837315"/>
    <w:rsid w:val="008374B4"/>
    <w:rsid w:val="0083752F"/>
    <w:rsid w:val="008378B3"/>
    <w:rsid w:val="008379D9"/>
    <w:rsid w:val="00837F19"/>
    <w:rsid w:val="00840122"/>
    <w:rsid w:val="008401AD"/>
    <w:rsid w:val="00840255"/>
    <w:rsid w:val="0084029C"/>
    <w:rsid w:val="008402C6"/>
    <w:rsid w:val="00840385"/>
    <w:rsid w:val="00840783"/>
    <w:rsid w:val="008407B9"/>
    <w:rsid w:val="00840943"/>
    <w:rsid w:val="00840AF2"/>
    <w:rsid w:val="00841052"/>
    <w:rsid w:val="0084107B"/>
    <w:rsid w:val="008411A5"/>
    <w:rsid w:val="008411B0"/>
    <w:rsid w:val="00841340"/>
    <w:rsid w:val="0084136A"/>
    <w:rsid w:val="008413D7"/>
    <w:rsid w:val="008416E5"/>
    <w:rsid w:val="0084178A"/>
    <w:rsid w:val="00841936"/>
    <w:rsid w:val="00841943"/>
    <w:rsid w:val="00841966"/>
    <w:rsid w:val="00841BC9"/>
    <w:rsid w:val="00841BEF"/>
    <w:rsid w:val="00842040"/>
    <w:rsid w:val="008421BC"/>
    <w:rsid w:val="00842509"/>
    <w:rsid w:val="008425E7"/>
    <w:rsid w:val="008429DF"/>
    <w:rsid w:val="00842A86"/>
    <w:rsid w:val="00842B94"/>
    <w:rsid w:val="00842D2E"/>
    <w:rsid w:val="00842EEC"/>
    <w:rsid w:val="00842F32"/>
    <w:rsid w:val="008430C9"/>
    <w:rsid w:val="0084312B"/>
    <w:rsid w:val="008431A9"/>
    <w:rsid w:val="0084360F"/>
    <w:rsid w:val="0084374F"/>
    <w:rsid w:val="00843950"/>
    <w:rsid w:val="008439B2"/>
    <w:rsid w:val="00843A0A"/>
    <w:rsid w:val="008442B8"/>
    <w:rsid w:val="00844357"/>
    <w:rsid w:val="00844368"/>
    <w:rsid w:val="008444A1"/>
    <w:rsid w:val="0084474F"/>
    <w:rsid w:val="00844B4A"/>
    <w:rsid w:val="00844BC6"/>
    <w:rsid w:val="00844D04"/>
    <w:rsid w:val="00844FD4"/>
    <w:rsid w:val="008451C3"/>
    <w:rsid w:val="008452B1"/>
    <w:rsid w:val="008452F5"/>
    <w:rsid w:val="00845399"/>
    <w:rsid w:val="008453F5"/>
    <w:rsid w:val="00845407"/>
    <w:rsid w:val="0084548F"/>
    <w:rsid w:val="00845620"/>
    <w:rsid w:val="0084562D"/>
    <w:rsid w:val="008456E7"/>
    <w:rsid w:val="0084575C"/>
    <w:rsid w:val="0084588E"/>
    <w:rsid w:val="008458C3"/>
    <w:rsid w:val="008458E8"/>
    <w:rsid w:val="00845929"/>
    <w:rsid w:val="00845BE2"/>
    <w:rsid w:val="00845CCA"/>
    <w:rsid w:val="00845E7C"/>
    <w:rsid w:val="00845EE9"/>
    <w:rsid w:val="00845FC5"/>
    <w:rsid w:val="008460BE"/>
    <w:rsid w:val="0084621E"/>
    <w:rsid w:val="008462B3"/>
    <w:rsid w:val="00846571"/>
    <w:rsid w:val="00846712"/>
    <w:rsid w:val="00846758"/>
    <w:rsid w:val="008467F8"/>
    <w:rsid w:val="0084682A"/>
    <w:rsid w:val="00846908"/>
    <w:rsid w:val="00846972"/>
    <w:rsid w:val="00846ADC"/>
    <w:rsid w:val="00846C95"/>
    <w:rsid w:val="00846F7E"/>
    <w:rsid w:val="00847451"/>
    <w:rsid w:val="0084754B"/>
    <w:rsid w:val="00847587"/>
    <w:rsid w:val="0084780A"/>
    <w:rsid w:val="0084781E"/>
    <w:rsid w:val="00847CC1"/>
    <w:rsid w:val="0085003E"/>
    <w:rsid w:val="00850177"/>
    <w:rsid w:val="00850244"/>
    <w:rsid w:val="0085037C"/>
    <w:rsid w:val="00850406"/>
    <w:rsid w:val="008504AB"/>
    <w:rsid w:val="00850790"/>
    <w:rsid w:val="008508C8"/>
    <w:rsid w:val="00850902"/>
    <w:rsid w:val="00850909"/>
    <w:rsid w:val="00850A2C"/>
    <w:rsid w:val="00850AC4"/>
    <w:rsid w:val="00850B50"/>
    <w:rsid w:val="00850B6F"/>
    <w:rsid w:val="00850C0A"/>
    <w:rsid w:val="00850E2A"/>
    <w:rsid w:val="00851025"/>
    <w:rsid w:val="00851049"/>
    <w:rsid w:val="00851117"/>
    <w:rsid w:val="00851290"/>
    <w:rsid w:val="008513A5"/>
    <w:rsid w:val="00851748"/>
    <w:rsid w:val="00851817"/>
    <w:rsid w:val="00851BAD"/>
    <w:rsid w:val="00851C7A"/>
    <w:rsid w:val="00851E9C"/>
    <w:rsid w:val="00851F3C"/>
    <w:rsid w:val="008522F9"/>
    <w:rsid w:val="0085243C"/>
    <w:rsid w:val="0085271F"/>
    <w:rsid w:val="00852984"/>
    <w:rsid w:val="00852AF8"/>
    <w:rsid w:val="00852D36"/>
    <w:rsid w:val="00852D60"/>
    <w:rsid w:val="0085350D"/>
    <w:rsid w:val="008539B8"/>
    <w:rsid w:val="00853BB1"/>
    <w:rsid w:val="00853C27"/>
    <w:rsid w:val="00854096"/>
    <w:rsid w:val="0085409E"/>
    <w:rsid w:val="008542EA"/>
    <w:rsid w:val="00854577"/>
    <w:rsid w:val="00854680"/>
    <w:rsid w:val="00854725"/>
    <w:rsid w:val="00854E1C"/>
    <w:rsid w:val="00854E4B"/>
    <w:rsid w:val="00854E80"/>
    <w:rsid w:val="008550C3"/>
    <w:rsid w:val="0085514F"/>
    <w:rsid w:val="00855172"/>
    <w:rsid w:val="0085521A"/>
    <w:rsid w:val="00855381"/>
    <w:rsid w:val="008557B4"/>
    <w:rsid w:val="00855882"/>
    <w:rsid w:val="00855DB2"/>
    <w:rsid w:val="00856148"/>
    <w:rsid w:val="008561A2"/>
    <w:rsid w:val="00856229"/>
    <w:rsid w:val="008567ED"/>
    <w:rsid w:val="008568BB"/>
    <w:rsid w:val="00856CA7"/>
    <w:rsid w:val="00856D04"/>
    <w:rsid w:val="00856DDF"/>
    <w:rsid w:val="00856FAB"/>
    <w:rsid w:val="00857066"/>
    <w:rsid w:val="00857307"/>
    <w:rsid w:val="0085743A"/>
    <w:rsid w:val="00857574"/>
    <w:rsid w:val="008575DB"/>
    <w:rsid w:val="00857651"/>
    <w:rsid w:val="008576AB"/>
    <w:rsid w:val="00857BB6"/>
    <w:rsid w:val="00857CF9"/>
    <w:rsid w:val="00857DD4"/>
    <w:rsid w:val="00857FC9"/>
    <w:rsid w:val="00857FEA"/>
    <w:rsid w:val="008600F2"/>
    <w:rsid w:val="00860237"/>
    <w:rsid w:val="00860301"/>
    <w:rsid w:val="008603CF"/>
    <w:rsid w:val="008604B8"/>
    <w:rsid w:val="008607B1"/>
    <w:rsid w:val="00860CE6"/>
    <w:rsid w:val="00860E95"/>
    <w:rsid w:val="0086119E"/>
    <w:rsid w:val="008611B9"/>
    <w:rsid w:val="00861410"/>
    <w:rsid w:val="008614C9"/>
    <w:rsid w:val="008616D7"/>
    <w:rsid w:val="00861714"/>
    <w:rsid w:val="00861996"/>
    <w:rsid w:val="008619AE"/>
    <w:rsid w:val="00861A8E"/>
    <w:rsid w:val="00861BC3"/>
    <w:rsid w:val="0086232C"/>
    <w:rsid w:val="0086247A"/>
    <w:rsid w:val="00862583"/>
    <w:rsid w:val="008628AE"/>
    <w:rsid w:val="00862A12"/>
    <w:rsid w:val="00862B34"/>
    <w:rsid w:val="00862D64"/>
    <w:rsid w:val="00862E8F"/>
    <w:rsid w:val="00863173"/>
    <w:rsid w:val="00863273"/>
    <w:rsid w:val="008636DA"/>
    <w:rsid w:val="008639FF"/>
    <w:rsid w:val="00863B3D"/>
    <w:rsid w:val="00863E6B"/>
    <w:rsid w:val="008647D5"/>
    <w:rsid w:val="008647EC"/>
    <w:rsid w:val="0086497B"/>
    <w:rsid w:val="00864B60"/>
    <w:rsid w:val="00864BF2"/>
    <w:rsid w:val="00864C86"/>
    <w:rsid w:val="00864CA1"/>
    <w:rsid w:val="00864CBA"/>
    <w:rsid w:val="00864D06"/>
    <w:rsid w:val="00864E00"/>
    <w:rsid w:val="00864E0F"/>
    <w:rsid w:val="00864F8C"/>
    <w:rsid w:val="0086524D"/>
    <w:rsid w:val="00865303"/>
    <w:rsid w:val="00865522"/>
    <w:rsid w:val="00865614"/>
    <w:rsid w:val="00865637"/>
    <w:rsid w:val="00865778"/>
    <w:rsid w:val="00865871"/>
    <w:rsid w:val="0086596B"/>
    <w:rsid w:val="00865B29"/>
    <w:rsid w:val="00865BBA"/>
    <w:rsid w:val="00865E0A"/>
    <w:rsid w:val="00865FAC"/>
    <w:rsid w:val="008660A6"/>
    <w:rsid w:val="0086611B"/>
    <w:rsid w:val="008662F6"/>
    <w:rsid w:val="00866651"/>
    <w:rsid w:val="00866873"/>
    <w:rsid w:val="00866995"/>
    <w:rsid w:val="00866B6B"/>
    <w:rsid w:val="00866F02"/>
    <w:rsid w:val="00866F61"/>
    <w:rsid w:val="00867182"/>
    <w:rsid w:val="008671CF"/>
    <w:rsid w:val="008671D6"/>
    <w:rsid w:val="00867349"/>
    <w:rsid w:val="008673EE"/>
    <w:rsid w:val="008674D7"/>
    <w:rsid w:val="008678A6"/>
    <w:rsid w:val="00867962"/>
    <w:rsid w:val="00867B7B"/>
    <w:rsid w:val="008704E7"/>
    <w:rsid w:val="00870500"/>
    <w:rsid w:val="008706D5"/>
    <w:rsid w:val="00870BEB"/>
    <w:rsid w:val="00871015"/>
    <w:rsid w:val="00871054"/>
    <w:rsid w:val="00871111"/>
    <w:rsid w:val="008715C8"/>
    <w:rsid w:val="008716AD"/>
    <w:rsid w:val="00871ADD"/>
    <w:rsid w:val="00871D51"/>
    <w:rsid w:val="00871D5F"/>
    <w:rsid w:val="00871E3F"/>
    <w:rsid w:val="00871E5F"/>
    <w:rsid w:val="0087205E"/>
    <w:rsid w:val="0087210C"/>
    <w:rsid w:val="0087235B"/>
    <w:rsid w:val="0087252E"/>
    <w:rsid w:val="008729F6"/>
    <w:rsid w:val="00872B3F"/>
    <w:rsid w:val="00872E16"/>
    <w:rsid w:val="00872E22"/>
    <w:rsid w:val="00872F3D"/>
    <w:rsid w:val="00873102"/>
    <w:rsid w:val="00873183"/>
    <w:rsid w:val="0087332B"/>
    <w:rsid w:val="00873375"/>
    <w:rsid w:val="00873386"/>
    <w:rsid w:val="0087352D"/>
    <w:rsid w:val="008735FD"/>
    <w:rsid w:val="00873692"/>
    <w:rsid w:val="008736D7"/>
    <w:rsid w:val="00873740"/>
    <w:rsid w:val="008739CF"/>
    <w:rsid w:val="00873B91"/>
    <w:rsid w:val="00873C95"/>
    <w:rsid w:val="00873D44"/>
    <w:rsid w:val="00873FBB"/>
    <w:rsid w:val="00874007"/>
    <w:rsid w:val="008740B5"/>
    <w:rsid w:val="008740F1"/>
    <w:rsid w:val="0087414B"/>
    <w:rsid w:val="00874296"/>
    <w:rsid w:val="00874354"/>
    <w:rsid w:val="008743F3"/>
    <w:rsid w:val="0087460F"/>
    <w:rsid w:val="008746CC"/>
    <w:rsid w:val="008747DF"/>
    <w:rsid w:val="00874ACE"/>
    <w:rsid w:val="00874C03"/>
    <w:rsid w:val="00874EAA"/>
    <w:rsid w:val="00874F19"/>
    <w:rsid w:val="0087505A"/>
    <w:rsid w:val="00875115"/>
    <w:rsid w:val="0087522C"/>
    <w:rsid w:val="0087536B"/>
    <w:rsid w:val="00875464"/>
    <w:rsid w:val="00875E0C"/>
    <w:rsid w:val="00875E84"/>
    <w:rsid w:val="00876196"/>
    <w:rsid w:val="0087675B"/>
    <w:rsid w:val="008769BF"/>
    <w:rsid w:val="00876CDD"/>
    <w:rsid w:val="00876F7E"/>
    <w:rsid w:val="0087725E"/>
    <w:rsid w:val="008774F6"/>
    <w:rsid w:val="0087756E"/>
    <w:rsid w:val="00877653"/>
    <w:rsid w:val="008777A9"/>
    <w:rsid w:val="008777C8"/>
    <w:rsid w:val="00877927"/>
    <w:rsid w:val="008779C4"/>
    <w:rsid w:val="00877A34"/>
    <w:rsid w:val="008800AF"/>
    <w:rsid w:val="00880160"/>
    <w:rsid w:val="00880256"/>
    <w:rsid w:val="0088035C"/>
    <w:rsid w:val="008803FC"/>
    <w:rsid w:val="00880415"/>
    <w:rsid w:val="0088046B"/>
    <w:rsid w:val="008804F5"/>
    <w:rsid w:val="008806CE"/>
    <w:rsid w:val="00880819"/>
    <w:rsid w:val="0088091D"/>
    <w:rsid w:val="00880A5F"/>
    <w:rsid w:val="00880BDD"/>
    <w:rsid w:val="00880C08"/>
    <w:rsid w:val="00880CE8"/>
    <w:rsid w:val="008810EF"/>
    <w:rsid w:val="00881316"/>
    <w:rsid w:val="008814B2"/>
    <w:rsid w:val="008815E2"/>
    <w:rsid w:val="008816E8"/>
    <w:rsid w:val="0088178A"/>
    <w:rsid w:val="008817B1"/>
    <w:rsid w:val="008818C6"/>
    <w:rsid w:val="00881940"/>
    <w:rsid w:val="008819C9"/>
    <w:rsid w:val="00881CFE"/>
    <w:rsid w:val="00881E55"/>
    <w:rsid w:val="00881EB6"/>
    <w:rsid w:val="0088202E"/>
    <w:rsid w:val="00882184"/>
    <w:rsid w:val="008821D2"/>
    <w:rsid w:val="008823C3"/>
    <w:rsid w:val="008826C8"/>
    <w:rsid w:val="00882826"/>
    <w:rsid w:val="008828F2"/>
    <w:rsid w:val="00882D69"/>
    <w:rsid w:val="00882F6A"/>
    <w:rsid w:val="0088304B"/>
    <w:rsid w:val="008831DF"/>
    <w:rsid w:val="00883240"/>
    <w:rsid w:val="00883501"/>
    <w:rsid w:val="008835CB"/>
    <w:rsid w:val="0088389D"/>
    <w:rsid w:val="008838AA"/>
    <w:rsid w:val="008838B6"/>
    <w:rsid w:val="008839BC"/>
    <w:rsid w:val="008839C4"/>
    <w:rsid w:val="00883AB5"/>
    <w:rsid w:val="00883EA4"/>
    <w:rsid w:val="00883F48"/>
    <w:rsid w:val="00884009"/>
    <w:rsid w:val="00884939"/>
    <w:rsid w:val="00884C48"/>
    <w:rsid w:val="00884C64"/>
    <w:rsid w:val="00884E72"/>
    <w:rsid w:val="00884F76"/>
    <w:rsid w:val="00884FA9"/>
    <w:rsid w:val="00884FE7"/>
    <w:rsid w:val="00885076"/>
    <w:rsid w:val="00885261"/>
    <w:rsid w:val="00885318"/>
    <w:rsid w:val="008853F4"/>
    <w:rsid w:val="00885738"/>
    <w:rsid w:val="00885948"/>
    <w:rsid w:val="00885B02"/>
    <w:rsid w:val="00885CC0"/>
    <w:rsid w:val="00885DC9"/>
    <w:rsid w:val="0088622A"/>
    <w:rsid w:val="00886302"/>
    <w:rsid w:val="008865C1"/>
    <w:rsid w:val="00886656"/>
    <w:rsid w:val="008866FD"/>
    <w:rsid w:val="00886B25"/>
    <w:rsid w:val="00886B7C"/>
    <w:rsid w:val="00886DE4"/>
    <w:rsid w:val="00886FBD"/>
    <w:rsid w:val="00887169"/>
    <w:rsid w:val="0088718E"/>
    <w:rsid w:val="00887248"/>
    <w:rsid w:val="0088724C"/>
    <w:rsid w:val="008872B8"/>
    <w:rsid w:val="00887423"/>
    <w:rsid w:val="0088743A"/>
    <w:rsid w:val="0088790A"/>
    <w:rsid w:val="00887960"/>
    <w:rsid w:val="008879F8"/>
    <w:rsid w:val="00887A38"/>
    <w:rsid w:val="00887BB5"/>
    <w:rsid w:val="00890415"/>
    <w:rsid w:val="00890461"/>
    <w:rsid w:val="0089050B"/>
    <w:rsid w:val="00890618"/>
    <w:rsid w:val="008906D7"/>
    <w:rsid w:val="0089073E"/>
    <w:rsid w:val="008907D1"/>
    <w:rsid w:val="00890CD6"/>
    <w:rsid w:val="00890CFB"/>
    <w:rsid w:val="00890F80"/>
    <w:rsid w:val="00891082"/>
    <w:rsid w:val="008910CA"/>
    <w:rsid w:val="00891142"/>
    <w:rsid w:val="0089115D"/>
    <w:rsid w:val="00891188"/>
    <w:rsid w:val="008911E9"/>
    <w:rsid w:val="0089121B"/>
    <w:rsid w:val="008914C9"/>
    <w:rsid w:val="00891520"/>
    <w:rsid w:val="00891997"/>
    <w:rsid w:val="00891A0D"/>
    <w:rsid w:val="00891A3B"/>
    <w:rsid w:val="00891BAA"/>
    <w:rsid w:val="00891BBD"/>
    <w:rsid w:val="00891D27"/>
    <w:rsid w:val="00891DBD"/>
    <w:rsid w:val="008922B1"/>
    <w:rsid w:val="008923FA"/>
    <w:rsid w:val="008928EC"/>
    <w:rsid w:val="008929D3"/>
    <w:rsid w:val="00892A6B"/>
    <w:rsid w:val="00892D6F"/>
    <w:rsid w:val="00893003"/>
    <w:rsid w:val="00893188"/>
    <w:rsid w:val="008931E8"/>
    <w:rsid w:val="0089323F"/>
    <w:rsid w:val="008933BB"/>
    <w:rsid w:val="0089374D"/>
    <w:rsid w:val="00893763"/>
    <w:rsid w:val="008939AD"/>
    <w:rsid w:val="00893A4C"/>
    <w:rsid w:val="00893D85"/>
    <w:rsid w:val="00893E00"/>
    <w:rsid w:val="00893E7E"/>
    <w:rsid w:val="00893F23"/>
    <w:rsid w:val="00893F53"/>
    <w:rsid w:val="00893F5E"/>
    <w:rsid w:val="00893FF0"/>
    <w:rsid w:val="0089407A"/>
    <w:rsid w:val="0089419D"/>
    <w:rsid w:val="00894266"/>
    <w:rsid w:val="008942A2"/>
    <w:rsid w:val="00894323"/>
    <w:rsid w:val="0089434F"/>
    <w:rsid w:val="0089452F"/>
    <w:rsid w:val="0089453C"/>
    <w:rsid w:val="008945C5"/>
    <w:rsid w:val="008945E7"/>
    <w:rsid w:val="0089478F"/>
    <w:rsid w:val="0089496D"/>
    <w:rsid w:val="00894AB4"/>
    <w:rsid w:val="00894B54"/>
    <w:rsid w:val="00894D17"/>
    <w:rsid w:val="00894E8C"/>
    <w:rsid w:val="008952EC"/>
    <w:rsid w:val="008954CC"/>
    <w:rsid w:val="008955DB"/>
    <w:rsid w:val="00895747"/>
    <w:rsid w:val="00895883"/>
    <w:rsid w:val="00895B6F"/>
    <w:rsid w:val="00895C88"/>
    <w:rsid w:val="00895CCF"/>
    <w:rsid w:val="00895D40"/>
    <w:rsid w:val="0089616C"/>
    <w:rsid w:val="0089630F"/>
    <w:rsid w:val="00896356"/>
    <w:rsid w:val="00896389"/>
    <w:rsid w:val="00896425"/>
    <w:rsid w:val="00896551"/>
    <w:rsid w:val="00896635"/>
    <w:rsid w:val="008968AC"/>
    <w:rsid w:val="008968C1"/>
    <w:rsid w:val="00896A52"/>
    <w:rsid w:val="00896E4F"/>
    <w:rsid w:val="00897372"/>
    <w:rsid w:val="0089751E"/>
    <w:rsid w:val="00897795"/>
    <w:rsid w:val="008978D8"/>
    <w:rsid w:val="00897959"/>
    <w:rsid w:val="00897B90"/>
    <w:rsid w:val="00897C1F"/>
    <w:rsid w:val="00897CFB"/>
    <w:rsid w:val="008A05EB"/>
    <w:rsid w:val="008A0AC0"/>
    <w:rsid w:val="008A0B61"/>
    <w:rsid w:val="008A0C38"/>
    <w:rsid w:val="008A0D0A"/>
    <w:rsid w:val="008A0D0D"/>
    <w:rsid w:val="008A0ED4"/>
    <w:rsid w:val="008A0EF2"/>
    <w:rsid w:val="008A0FF1"/>
    <w:rsid w:val="008A1060"/>
    <w:rsid w:val="008A115D"/>
    <w:rsid w:val="008A1B6B"/>
    <w:rsid w:val="008A1D04"/>
    <w:rsid w:val="008A2402"/>
    <w:rsid w:val="008A2461"/>
    <w:rsid w:val="008A24DF"/>
    <w:rsid w:val="008A2588"/>
    <w:rsid w:val="008A261E"/>
    <w:rsid w:val="008A27A8"/>
    <w:rsid w:val="008A28A2"/>
    <w:rsid w:val="008A292E"/>
    <w:rsid w:val="008A2AA0"/>
    <w:rsid w:val="008A2F31"/>
    <w:rsid w:val="008A3037"/>
    <w:rsid w:val="008A3141"/>
    <w:rsid w:val="008A322C"/>
    <w:rsid w:val="008A334D"/>
    <w:rsid w:val="008A3531"/>
    <w:rsid w:val="008A3633"/>
    <w:rsid w:val="008A37D9"/>
    <w:rsid w:val="008A383F"/>
    <w:rsid w:val="008A3A90"/>
    <w:rsid w:val="008A3AC1"/>
    <w:rsid w:val="008A3BDD"/>
    <w:rsid w:val="008A40B2"/>
    <w:rsid w:val="008A444B"/>
    <w:rsid w:val="008A464F"/>
    <w:rsid w:val="008A4766"/>
    <w:rsid w:val="008A4857"/>
    <w:rsid w:val="008A4A14"/>
    <w:rsid w:val="008A4A18"/>
    <w:rsid w:val="008A4AB5"/>
    <w:rsid w:val="008A5137"/>
    <w:rsid w:val="008A53C6"/>
    <w:rsid w:val="008A546E"/>
    <w:rsid w:val="008A5610"/>
    <w:rsid w:val="008A57C3"/>
    <w:rsid w:val="008A592C"/>
    <w:rsid w:val="008A59A5"/>
    <w:rsid w:val="008A5BD1"/>
    <w:rsid w:val="008A5E84"/>
    <w:rsid w:val="008A5FCD"/>
    <w:rsid w:val="008A610C"/>
    <w:rsid w:val="008A6290"/>
    <w:rsid w:val="008A6322"/>
    <w:rsid w:val="008A685F"/>
    <w:rsid w:val="008A6897"/>
    <w:rsid w:val="008A69DE"/>
    <w:rsid w:val="008A6A85"/>
    <w:rsid w:val="008A6E23"/>
    <w:rsid w:val="008A70F7"/>
    <w:rsid w:val="008A70FD"/>
    <w:rsid w:val="008A7246"/>
    <w:rsid w:val="008A73E3"/>
    <w:rsid w:val="008A763F"/>
    <w:rsid w:val="008A7825"/>
    <w:rsid w:val="008A7A89"/>
    <w:rsid w:val="008A7B3D"/>
    <w:rsid w:val="008A7DC5"/>
    <w:rsid w:val="008B015E"/>
    <w:rsid w:val="008B0454"/>
    <w:rsid w:val="008B0551"/>
    <w:rsid w:val="008B060B"/>
    <w:rsid w:val="008B0694"/>
    <w:rsid w:val="008B0731"/>
    <w:rsid w:val="008B07F9"/>
    <w:rsid w:val="008B0931"/>
    <w:rsid w:val="008B0D1A"/>
    <w:rsid w:val="008B0EAC"/>
    <w:rsid w:val="008B1087"/>
    <w:rsid w:val="008B15A4"/>
    <w:rsid w:val="008B1803"/>
    <w:rsid w:val="008B1BCA"/>
    <w:rsid w:val="008B1F39"/>
    <w:rsid w:val="008B2120"/>
    <w:rsid w:val="008B23E0"/>
    <w:rsid w:val="008B2461"/>
    <w:rsid w:val="008B2777"/>
    <w:rsid w:val="008B2989"/>
    <w:rsid w:val="008B2E91"/>
    <w:rsid w:val="008B2FC3"/>
    <w:rsid w:val="008B3335"/>
    <w:rsid w:val="008B33E1"/>
    <w:rsid w:val="008B3403"/>
    <w:rsid w:val="008B341A"/>
    <w:rsid w:val="008B3465"/>
    <w:rsid w:val="008B3561"/>
    <w:rsid w:val="008B37E1"/>
    <w:rsid w:val="008B385E"/>
    <w:rsid w:val="008B38E5"/>
    <w:rsid w:val="008B3ABC"/>
    <w:rsid w:val="008B3ACD"/>
    <w:rsid w:val="008B3B29"/>
    <w:rsid w:val="008B3BDB"/>
    <w:rsid w:val="008B3C63"/>
    <w:rsid w:val="008B3CDB"/>
    <w:rsid w:val="008B3D41"/>
    <w:rsid w:val="008B3EC5"/>
    <w:rsid w:val="008B3F8A"/>
    <w:rsid w:val="008B3FE3"/>
    <w:rsid w:val="008B40F7"/>
    <w:rsid w:val="008B4138"/>
    <w:rsid w:val="008B43A1"/>
    <w:rsid w:val="008B4613"/>
    <w:rsid w:val="008B4BF4"/>
    <w:rsid w:val="008B4C7E"/>
    <w:rsid w:val="008B4D1F"/>
    <w:rsid w:val="008B4D72"/>
    <w:rsid w:val="008B4E13"/>
    <w:rsid w:val="008B4EBE"/>
    <w:rsid w:val="008B4EED"/>
    <w:rsid w:val="008B51E3"/>
    <w:rsid w:val="008B51F7"/>
    <w:rsid w:val="008B5263"/>
    <w:rsid w:val="008B52A7"/>
    <w:rsid w:val="008B534F"/>
    <w:rsid w:val="008B54C0"/>
    <w:rsid w:val="008B5590"/>
    <w:rsid w:val="008B56EF"/>
    <w:rsid w:val="008B57FD"/>
    <w:rsid w:val="008B588D"/>
    <w:rsid w:val="008B58EF"/>
    <w:rsid w:val="008B5A42"/>
    <w:rsid w:val="008B5CDB"/>
    <w:rsid w:val="008B5E51"/>
    <w:rsid w:val="008B6019"/>
    <w:rsid w:val="008B6318"/>
    <w:rsid w:val="008B63FD"/>
    <w:rsid w:val="008B6581"/>
    <w:rsid w:val="008B68A5"/>
    <w:rsid w:val="008B6BFE"/>
    <w:rsid w:val="008B6E4E"/>
    <w:rsid w:val="008B6FFD"/>
    <w:rsid w:val="008B7073"/>
    <w:rsid w:val="008B70B1"/>
    <w:rsid w:val="008B7239"/>
    <w:rsid w:val="008B729A"/>
    <w:rsid w:val="008B73F3"/>
    <w:rsid w:val="008B7467"/>
    <w:rsid w:val="008B746D"/>
    <w:rsid w:val="008B74A0"/>
    <w:rsid w:val="008B74E0"/>
    <w:rsid w:val="008B758D"/>
    <w:rsid w:val="008B75BE"/>
    <w:rsid w:val="008B76F8"/>
    <w:rsid w:val="008B7789"/>
    <w:rsid w:val="008B7C37"/>
    <w:rsid w:val="008B7D21"/>
    <w:rsid w:val="008B7E66"/>
    <w:rsid w:val="008B7F8C"/>
    <w:rsid w:val="008B7F9E"/>
    <w:rsid w:val="008C006E"/>
    <w:rsid w:val="008C01DC"/>
    <w:rsid w:val="008C053C"/>
    <w:rsid w:val="008C075A"/>
    <w:rsid w:val="008C0870"/>
    <w:rsid w:val="008C0A6B"/>
    <w:rsid w:val="008C0B93"/>
    <w:rsid w:val="008C106C"/>
    <w:rsid w:val="008C1108"/>
    <w:rsid w:val="008C1235"/>
    <w:rsid w:val="008C135A"/>
    <w:rsid w:val="008C1525"/>
    <w:rsid w:val="008C17B1"/>
    <w:rsid w:val="008C1AE2"/>
    <w:rsid w:val="008C1AFE"/>
    <w:rsid w:val="008C1B48"/>
    <w:rsid w:val="008C1D3B"/>
    <w:rsid w:val="008C1DC6"/>
    <w:rsid w:val="008C1FE2"/>
    <w:rsid w:val="008C2019"/>
    <w:rsid w:val="008C244A"/>
    <w:rsid w:val="008C2712"/>
    <w:rsid w:val="008C2BB4"/>
    <w:rsid w:val="008C2C68"/>
    <w:rsid w:val="008C2FF3"/>
    <w:rsid w:val="008C33AF"/>
    <w:rsid w:val="008C3457"/>
    <w:rsid w:val="008C34A4"/>
    <w:rsid w:val="008C3577"/>
    <w:rsid w:val="008C3A58"/>
    <w:rsid w:val="008C3AD6"/>
    <w:rsid w:val="008C3C0B"/>
    <w:rsid w:val="008C3C11"/>
    <w:rsid w:val="008C3C34"/>
    <w:rsid w:val="008C3DBF"/>
    <w:rsid w:val="008C3DF9"/>
    <w:rsid w:val="008C4475"/>
    <w:rsid w:val="008C458F"/>
    <w:rsid w:val="008C46E3"/>
    <w:rsid w:val="008C46FD"/>
    <w:rsid w:val="008C4923"/>
    <w:rsid w:val="008C4B29"/>
    <w:rsid w:val="008C4BFA"/>
    <w:rsid w:val="008C4F70"/>
    <w:rsid w:val="008C506D"/>
    <w:rsid w:val="008C517A"/>
    <w:rsid w:val="008C51AF"/>
    <w:rsid w:val="008C5219"/>
    <w:rsid w:val="008C5640"/>
    <w:rsid w:val="008C57A6"/>
    <w:rsid w:val="008C5ABD"/>
    <w:rsid w:val="008C5F03"/>
    <w:rsid w:val="008C5F31"/>
    <w:rsid w:val="008C5FA6"/>
    <w:rsid w:val="008C606E"/>
    <w:rsid w:val="008C617E"/>
    <w:rsid w:val="008C639A"/>
    <w:rsid w:val="008C6566"/>
    <w:rsid w:val="008C67AC"/>
    <w:rsid w:val="008C6827"/>
    <w:rsid w:val="008C6965"/>
    <w:rsid w:val="008C69D6"/>
    <w:rsid w:val="008C6C0E"/>
    <w:rsid w:val="008C6D22"/>
    <w:rsid w:val="008C6E62"/>
    <w:rsid w:val="008C731B"/>
    <w:rsid w:val="008C74C8"/>
    <w:rsid w:val="008C74EF"/>
    <w:rsid w:val="008C75B3"/>
    <w:rsid w:val="008C75B5"/>
    <w:rsid w:val="008C777E"/>
    <w:rsid w:val="008C77A8"/>
    <w:rsid w:val="008C7B13"/>
    <w:rsid w:val="008C7B1E"/>
    <w:rsid w:val="008C7FDC"/>
    <w:rsid w:val="008D0026"/>
    <w:rsid w:val="008D0181"/>
    <w:rsid w:val="008D01DC"/>
    <w:rsid w:val="008D07F8"/>
    <w:rsid w:val="008D0A16"/>
    <w:rsid w:val="008D0CAC"/>
    <w:rsid w:val="008D0E98"/>
    <w:rsid w:val="008D12C8"/>
    <w:rsid w:val="008D150F"/>
    <w:rsid w:val="008D173C"/>
    <w:rsid w:val="008D1972"/>
    <w:rsid w:val="008D1AA0"/>
    <w:rsid w:val="008D1AE4"/>
    <w:rsid w:val="008D1CED"/>
    <w:rsid w:val="008D1E06"/>
    <w:rsid w:val="008D1EFF"/>
    <w:rsid w:val="008D20A1"/>
    <w:rsid w:val="008D20CB"/>
    <w:rsid w:val="008D2128"/>
    <w:rsid w:val="008D227F"/>
    <w:rsid w:val="008D2484"/>
    <w:rsid w:val="008D2589"/>
    <w:rsid w:val="008D25BB"/>
    <w:rsid w:val="008D2936"/>
    <w:rsid w:val="008D2A1A"/>
    <w:rsid w:val="008D2A27"/>
    <w:rsid w:val="008D2BDD"/>
    <w:rsid w:val="008D2D4B"/>
    <w:rsid w:val="008D2D98"/>
    <w:rsid w:val="008D30D1"/>
    <w:rsid w:val="008D329B"/>
    <w:rsid w:val="008D32CF"/>
    <w:rsid w:val="008D33DA"/>
    <w:rsid w:val="008D368D"/>
    <w:rsid w:val="008D36D6"/>
    <w:rsid w:val="008D38C8"/>
    <w:rsid w:val="008D39A1"/>
    <w:rsid w:val="008D39D8"/>
    <w:rsid w:val="008D3AA7"/>
    <w:rsid w:val="008D3E5F"/>
    <w:rsid w:val="008D4320"/>
    <w:rsid w:val="008D4366"/>
    <w:rsid w:val="008D441B"/>
    <w:rsid w:val="008D4446"/>
    <w:rsid w:val="008D4572"/>
    <w:rsid w:val="008D47D6"/>
    <w:rsid w:val="008D49B5"/>
    <w:rsid w:val="008D4B35"/>
    <w:rsid w:val="008D4B67"/>
    <w:rsid w:val="008D4BAC"/>
    <w:rsid w:val="008D4CC2"/>
    <w:rsid w:val="008D4D1F"/>
    <w:rsid w:val="008D4D20"/>
    <w:rsid w:val="008D4D9C"/>
    <w:rsid w:val="008D4E75"/>
    <w:rsid w:val="008D4F6E"/>
    <w:rsid w:val="008D5085"/>
    <w:rsid w:val="008D50F8"/>
    <w:rsid w:val="008D524F"/>
    <w:rsid w:val="008D565A"/>
    <w:rsid w:val="008D5722"/>
    <w:rsid w:val="008D5C05"/>
    <w:rsid w:val="008D5E19"/>
    <w:rsid w:val="008D5F30"/>
    <w:rsid w:val="008D61AE"/>
    <w:rsid w:val="008D61B9"/>
    <w:rsid w:val="008D63A6"/>
    <w:rsid w:val="008D6780"/>
    <w:rsid w:val="008D68BB"/>
    <w:rsid w:val="008D699E"/>
    <w:rsid w:val="008D6AAE"/>
    <w:rsid w:val="008D6BE5"/>
    <w:rsid w:val="008D6FCE"/>
    <w:rsid w:val="008D6FD2"/>
    <w:rsid w:val="008D713B"/>
    <w:rsid w:val="008D7177"/>
    <w:rsid w:val="008D72DB"/>
    <w:rsid w:val="008D776D"/>
    <w:rsid w:val="008D78BE"/>
    <w:rsid w:val="008D78C9"/>
    <w:rsid w:val="008D7C74"/>
    <w:rsid w:val="008D7CBA"/>
    <w:rsid w:val="008E00FA"/>
    <w:rsid w:val="008E020D"/>
    <w:rsid w:val="008E04C3"/>
    <w:rsid w:val="008E06D0"/>
    <w:rsid w:val="008E0883"/>
    <w:rsid w:val="008E0904"/>
    <w:rsid w:val="008E09A8"/>
    <w:rsid w:val="008E0A45"/>
    <w:rsid w:val="008E0C6A"/>
    <w:rsid w:val="008E0CF6"/>
    <w:rsid w:val="008E0E75"/>
    <w:rsid w:val="008E0E79"/>
    <w:rsid w:val="008E0FA2"/>
    <w:rsid w:val="008E142B"/>
    <w:rsid w:val="008E14AE"/>
    <w:rsid w:val="008E16E4"/>
    <w:rsid w:val="008E1726"/>
    <w:rsid w:val="008E1790"/>
    <w:rsid w:val="008E17AB"/>
    <w:rsid w:val="008E1A23"/>
    <w:rsid w:val="008E1B64"/>
    <w:rsid w:val="008E1D09"/>
    <w:rsid w:val="008E20D8"/>
    <w:rsid w:val="008E23BC"/>
    <w:rsid w:val="008E2425"/>
    <w:rsid w:val="008E2532"/>
    <w:rsid w:val="008E29EC"/>
    <w:rsid w:val="008E31D1"/>
    <w:rsid w:val="008E34DF"/>
    <w:rsid w:val="008E3665"/>
    <w:rsid w:val="008E39C1"/>
    <w:rsid w:val="008E3CD2"/>
    <w:rsid w:val="008E3F1D"/>
    <w:rsid w:val="008E4218"/>
    <w:rsid w:val="008E44A9"/>
    <w:rsid w:val="008E44FF"/>
    <w:rsid w:val="008E4529"/>
    <w:rsid w:val="008E47B7"/>
    <w:rsid w:val="008E4E22"/>
    <w:rsid w:val="008E509F"/>
    <w:rsid w:val="008E52CD"/>
    <w:rsid w:val="008E534C"/>
    <w:rsid w:val="008E579B"/>
    <w:rsid w:val="008E59D0"/>
    <w:rsid w:val="008E5A43"/>
    <w:rsid w:val="008E5E6D"/>
    <w:rsid w:val="008E5EE7"/>
    <w:rsid w:val="008E5F39"/>
    <w:rsid w:val="008E6142"/>
    <w:rsid w:val="008E6729"/>
    <w:rsid w:val="008E6730"/>
    <w:rsid w:val="008E6D01"/>
    <w:rsid w:val="008E720C"/>
    <w:rsid w:val="008E722F"/>
    <w:rsid w:val="008E7269"/>
    <w:rsid w:val="008E727A"/>
    <w:rsid w:val="008E730A"/>
    <w:rsid w:val="008E731C"/>
    <w:rsid w:val="008E734B"/>
    <w:rsid w:val="008E7352"/>
    <w:rsid w:val="008E7404"/>
    <w:rsid w:val="008E7EB0"/>
    <w:rsid w:val="008E7FB1"/>
    <w:rsid w:val="008F020A"/>
    <w:rsid w:val="008F02E3"/>
    <w:rsid w:val="008F046A"/>
    <w:rsid w:val="008F047A"/>
    <w:rsid w:val="008F067E"/>
    <w:rsid w:val="008F0871"/>
    <w:rsid w:val="008F0C0E"/>
    <w:rsid w:val="008F0CC3"/>
    <w:rsid w:val="008F0E14"/>
    <w:rsid w:val="008F0E32"/>
    <w:rsid w:val="008F0E80"/>
    <w:rsid w:val="008F1183"/>
    <w:rsid w:val="008F12C4"/>
    <w:rsid w:val="008F14DB"/>
    <w:rsid w:val="008F1656"/>
    <w:rsid w:val="008F179E"/>
    <w:rsid w:val="008F17F5"/>
    <w:rsid w:val="008F1871"/>
    <w:rsid w:val="008F1939"/>
    <w:rsid w:val="008F1B1D"/>
    <w:rsid w:val="008F1D33"/>
    <w:rsid w:val="008F1DD9"/>
    <w:rsid w:val="008F1E96"/>
    <w:rsid w:val="008F1F77"/>
    <w:rsid w:val="008F2268"/>
    <w:rsid w:val="008F2B27"/>
    <w:rsid w:val="008F2E4B"/>
    <w:rsid w:val="008F2F79"/>
    <w:rsid w:val="008F300F"/>
    <w:rsid w:val="008F3317"/>
    <w:rsid w:val="008F36ED"/>
    <w:rsid w:val="008F3AD7"/>
    <w:rsid w:val="008F3D7C"/>
    <w:rsid w:val="008F3FAD"/>
    <w:rsid w:val="008F407E"/>
    <w:rsid w:val="008F41C6"/>
    <w:rsid w:val="008F42F1"/>
    <w:rsid w:val="008F4334"/>
    <w:rsid w:val="008F43A5"/>
    <w:rsid w:val="008F44F3"/>
    <w:rsid w:val="008F46DE"/>
    <w:rsid w:val="008F46E8"/>
    <w:rsid w:val="008F4811"/>
    <w:rsid w:val="008F4844"/>
    <w:rsid w:val="008F4C31"/>
    <w:rsid w:val="008F4C58"/>
    <w:rsid w:val="008F4C71"/>
    <w:rsid w:val="008F4D3C"/>
    <w:rsid w:val="008F4E0D"/>
    <w:rsid w:val="008F4EA4"/>
    <w:rsid w:val="008F4F2E"/>
    <w:rsid w:val="008F508C"/>
    <w:rsid w:val="008F50F7"/>
    <w:rsid w:val="008F54E8"/>
    <w:rsid w:val="008F55B5"/>
    <w:rsid w:val="008F5772"/>
    <w:rsid w:val="008F58DA"/>
    <w:rsid w:val="008F5955"/>
    <w:rsid w:val="008F5996"/>
    <w:rsid w:val="008F59B5"/>
    <w:rsid w:val="008F5CF0"/>
    <w:rsid w:val="008F6009"/>
    <w:rsid w:val="008F6130"/>
    <w:rsid w:val="008F61FE"/>
    <w:rsid w:val="008F6575"/>
    <w:rsid w:val="008F66AE"/>
    <w:rsid w:val="008F66F0"/>
    <w:rsid w:val="008F6801"/>
    <w:rsid w:val="008F6B04"/>
    <w:rsid w:val="008F6D0F"/>
    <w:rsid w:val="008F6DD2"/>
    <w:rsid w:val="008F6FB2"/>
    <w:rsid w:val="008F6FFD"/>
    <w:rsid w:val="008F7178"/>
    <w:rsid w:val="008F7508"/>
    <w:rsid w:val="008F7659"/>
    <w:rsid w:val="008F76D3"/>
    <w:rsid w:val="008F779C"/>
    <w:rsid w:val="008F7B7A"/>
    <w:rsid w:val="008F7CE6"/>
    <w:rsid w:val="008F7DE7"/>
    <w:rsid w:val="008F7F66"/>
    <w:rsid w:val="0090044B"/>
    <w:rsid w:val="009006F5"/>
    <w:rsid w:val="00900A69"/>
    <w:rsid w:val="00900AE4"/>
    <w:rsid w:val="00900B5E"/>
    <w:rsid w:val="00900F98"/>
    <w:rsid w:val="0090101E"/>
    <w:rsid w:val="0090102A"/>
    <w:rsid w:val="0090110B"/>
    <w:rsid w:val="009011DA"/>
    <w:rsid w:val="009012DA"/>
    <w:rsid w:val="00901387"/>
    <w:rsid w:val="0090144C"/>
    <w:rsid w:val="0090145B"/>
    <w:rsid w:val="00901639"/>
    <w:rsid w:val="00901763"/>
    <w:rsid w:val="0090183C"/>
    <w:rsid w:val="00901B63"/>
    <w:rsid w:val="00901B7B"/>
    <w:rsid w:val="00901D3B"/>
    <w:rsid w:val="00901FC9"/>
    <w:rsid w:val="0090232D"/>
    <w:rsid w:val="00902484"/>
    <w:rsid w:val="009025C0"/>
    <w:rsid w:val="00902695"/>
    <w:rsid w:val="0090276C"/>
    <w:rsid w:val="009027D1"/>
    <w:rsid w:val="009029B9"/>
    <w:rsid w:val="009029FC"/>
    <w:rsid w:val="00902CA0"/>
    <w:rsid w:val="00902FAC"/>
    <w:rsid w:val="0090303A"/>
    <w:rsid w:val="00903117"/>
    <w:rsid w:val="00903AEB"/>
    <w:rsid w:val="00903F7F"/>
    <w:rsid w:val="00903FA7"/>
    <w:rsid w:val="009040B2"/>
    <w:rsid w:val="00904333"/>
    <w:rsid w:val="00904375"/>
    <w:rsid w:val="0090447C"/>
    <w:rsid w:val="009044B8"/>
    <w:rsid w:val="00904738"/>
    <w:rsid w:val="00904878"/>
    <w:rsid w:val="00904B41"/>
    <w:rsid w:val="00904EE2"/>
    <w:rsid w:val="00904F3E"/>
    <w:rsid w:val="00905236"/>
    <w:rsid w:val="009054D5"/>
    <w:rsid w:val="00905621"/>
    <w:rsid w:val="00905979"/>
    <w:rsid w:val="00905AB6"/>
    <w:rsid w:val="00905CA6"/>
    <w:rsid w:val="00905D45"/>
    <w:rsid w:val="00905E07"/>
    <w:rsid w:val="00905F20"/>
    <w:rsid w:val="0090612A"/>
    <w:rsid w:val="009061ED"/>
    <w:rsid w:val="009062DB"/>
    <w:rsid w:val="00906848"/>
    <w:rsid w:val="00906AA6"/>
    <w:rsid w:val="00906CD2"/>
    <w:rsid w:val="00906D12"/>
    <w:rsid w:val="00906DC2"/>
    <w:rsid w:val="00906DDA"/>
    <w:rsid w:val="00906E5D"/>
    <w:rsid w:val="009070E9"/>
    <w:rsid w:val="009070FE"/>
    <w:rsid w:val="009072C1"/>
    <w:rsid w:val="009073B1"/>
    <w:rsid w:val="00907418"/>
    <w:rsid w:val="0090751B"/>
    <w:rsid w:val="00907734"/>
    <w:rsid w:val="0090783D"/>
    <w:rsid w:val="00907A93"/>
    <w:rsid w:val="00907B19"/>
    <w:rsid w:val="00907FD7"/>
    <w:rsid w:val="00910214"/>
    <w:rsid w:val="00910398"/>
    <w:rsid w:val="0091044E"/>
    <w:rsid w:val="009107DE"/>
    <w:rsid w:val="00910AA6"/>
    <w:rsid w:val="00910BAB"/>
    <w:rsid w:val="00910D9E"/>
    <w:rsid w:val="009110CF"/>
    <w:rsid w:val="0091115C"/>
    <w:rsid w:val="009112BD"/>
    <w:rsid w:val="009114C1"/>
    <w:rsid w:val="009114DE"/>
    <w:rsid w:val="0091167D"/>
    <w:rsid w:val="0091188B"/>
    <w:rsid w:val="0091196C"/>
    <w:rsid w:val="00911A05"/>
    <w:rsid w:val="00911A0F"/>
    <w:rsid w:val="00911CFC"/>
    <w:rsid w:val="00911D8E"/>
    <w:rsid w:val="00912134"/>
    <w:rsid w:val="00912135"/>
    <w:rsid w:val="009121D1"/>
    <w:rsid w:val="009123C5"/>
    <w:rsid w:val="00912648"/>
    <w:rsid w:val="00912680"/>
    <w:rsid w:val="009126EF"/>
    <w:rsid w:val="00912792"/>
    <w:rsid w:val="009127AE"/>
    <w:rsid w:val="009127B5"/>
    <w:rsid w:val="00912811"/>
    <w:rsid w:val="009129C1"/>
    <w:rsid w:val="00912A1A"/>
    <w:rsid w:val="00912BD1"/>
    <w:rsid w:val="009131BE"/>
    <w:rsid w:val="00913228"/>
    <w:rsid w:val="00913345"/>
    <w:rsid w:val="00913384"/>
    <w:rsid w:val="00913448"/>
    <w:rsid w:val="00913677"/>
    <w:rsid w:val="009138CD"/>
    <w:rsid w:val="00913906"/>
    <w:rsid w:val="00913A36"/>
    <w:rsid w:val="00913A42"/>
    <w:rsid w:val="00913ABF"/>
    <w:rsid w:val="0091409B"/>
    <w:rsid w:val="0091464D"/>
    <w:rsid w:val="009146A0"/>
    <w:rsid w:val="009146A9"/>
    <w:rsid w:val="009146B6"/>
    <w:rsid w:val="00914750"/>
    <w:rsid w:val="00914C6A"/>
    <w:rsid w:val="00914C72"/>
    <w:rsid w:val="00914D60"/>
    <w:rsid w:val="00914DE1"/>
    <w:rsid w:val="00914EA4"/>
    <w:rsid w:val="00914EDC"/>
    <w:rsid w:val="00914EE6"/>
    <w:rsid w:val="009150E2"/>
    <w:rsid w:val="0091545C"/>
    <w:rsid w:val="009156B8"/>
    <w:rsid w:val="0091575A"/>
    <w:rsid w:val="009157D7"/>
    <w:rsid w:val="00915A42"/>
    <w:rsid w:val="00915B0D"/>
    <w:rsid w:val="00915BAE"/>
    <w:rsid w:val="00915BCC"/>
    <w:rsid w:val="00915D93"/>
    <w:rsid w:val="00915E21"/>
    <w:rsid w:val="0091600F"/>
    <w:rsid w:val="0091631D"/>
    <w:rsid w:val="0091642C"/>
    <w:rsid w:val="009164BF"/>
    <w:rsid w:val="00916690"/>
    <w:rsid w:val="00916C8A"/>
    <w:rsid w:val="00916DA0"/>
    <w:rsid w:val="00916DC4"/>
    <w:rsid w:val="00916F2D"/>
    <w:rsid w:val="00917022"/>
    <w:rsid w:val="00917054"/>
    <w:rsid w:val="00917260"/>
    <w:rsid w:val="00917367"/>
    <w:rsid w:val="00917452"/>
    <w:rsid w:val="009174FE"/>
    <w:rsid w:val="0091756A"/>
    <w:rsid w:val="00917628"/>
    <w:rsid w:val="009176D0"/>
    <w:rsid w:val="00917A7A"/>
    <w:rsid w:val="00917AA5"/>
    <w:rsid w:val="00917B66"/>
    <w:rsid w:val="00917B67"/>
    <w:rsid w:val="00917EEE"/>
    <w:rsid w:val="00917FDE"/>
    <w:rsid w:val="00920060"/>
    <w:rsid w:val="009201B4"/>
    <w:rsid w:val="0092045A"/>
    <w:rsid w:val="00920560"/>
    <w:rsid w:val="0092068E"/>
    <w:rsid w:val="00920AA8"/>
    <w:rsid w:val="00920AB0"/>
    <w:rsid w:val="00920D58"/>
    <w:rsid w:val="00920DD7"/>
    <w:rsid w:val="00921228"/>
    <w:rsid w:val="00921264"/>
    <w:rsid w:val="009214B1"/>
    <w:rsid w:val="009216B4"/>
    <w:rsid w:val="0092171B"/>
    <w:rsid w:val="0092193C"/>
    <w:rsid w:val="00921BE6"/>
    <w:rsid w:val="00921E62"/>
    <w:rsid w:val="00921EA9"/>
    <w:rsid w:val="00921EEB"/>
    <w:rsid w:val="0092208D"/>
    <w:rsid w:val="009220FC"/>
    <w:rsid w:val="00922121"/>
    <w:rsid w:val="00922432"/>
    <w:rsid w:val="00922625"/>
    <w:rsid w:val="00922940"/>
    <w:rsid w:val="00922A83"/>
    <w:rsid w:val="00922BD3"/>
    <w:rsid w:val="00922CE0"/>
    <w:rsid w:val="00922E3B"/>
    <w:rsid w:val="00922FB1"/>
    <w:rsid w:val="00923039"/>
    <w:rsid w:val="0092321F"/>
    <w:rsid w:val="009232F5"/>
    <w:rsid w:val="009233F9"/>
    <w:rsid w:val="0092353A"/>
    <w:rsid w:val="00923A33"/>
    <w:rsid w:val="00923AB2"/>
    <w:rsid w:val="00923ABF"/>
    <w:rsid w:val="00923C96"/>
    <w:rsid w:val="00923D33"/>
    <w:rsid w:val="00923E0A"/>
    <w:rsid w:val="00923E8C"/>
    <w:rsid w:val="009240F0"/>
    <w:rsid w:val="0092438F"/>
    <w:rsid w:val="0092446E"/>
    <w:rsid w:val="0092467A"/>
    <w:rsid w:val="0092474C"/>
    <w:rsid w:val="009248F6"/>
    <w:rsid w:val="00924C86"/>
    <w:rsid w:val="00924E60"/>
    <w:rsid w:val="009251D7"/>
    <w:rsid w:val="0092530A"/>
    <w:rsid w:val="00925451"/>
    <w:rsid w:val="00925971"/>
    <w:rsid w:val="00925B3F"/>
    <w:rsid w:val="00925B94"/>
    <w:rsid w:val="00925C77"/>
    <w:rsid w:val="00925C80"/>
    <w:rsid w:val="00925CAA"/>
    <w:rsid w:val="009261E8"/>
    <w:rsid w:val="009262B1"/>
    <w:rsid w:val="009264C8"/>
    <w:rsid w:val="0092663C"/>
    <w:rsid w:val="00926863"/>
    <w:rsid w:val="00926AF9"/>
    <w:rsid w:val="00926CB0"/>
    <w:rsid w:val="00926D22"/>
    <w:rsid w:val="00927005"/>
    <w:rsid w:val="009272F6"/>
    <w:rsid w:val="009274F0"/>
    <w:rsid w:val="00927501"/>
    <w:rsid w:val="009276F9"/>
    <w:rsid w:val="0092787B"/>
    <w:rsid w:val="00927994"/>
    <w:rsid w:val="009279D7"/>
    <w:rsid w:val="009279F1"/>
    <w:rsid w:val="00927D85"/>
    <w:rsid w:val="00930344"/>
    <w:rsid w:val="00930485"/>
    <w:rsid w:val="009304A6"/>
    <w:rsid w:val="009304E1"/>
    <w:rsid w:val="0093053A"/>
    <w:rsid w:val="009307BA"/>
    <w:rsid w:val="009308CD"/>
    <w:rsid w:val="0093092B"/>
    <w:rsid w:val="00930A17"/>
    <w:rsid w:val="00930ECC"/>
    <w:rsid w:val="00930EDC"/>
    <w:rsid w:val="00930F73"/>
    <w:rsid w:val="00931022"/>
    <w:rsid w:val="0093105B"/>
    <w:rsid w:val="0093109D"/>
    <w:rsid w:val="00931180"/>
    <w:rsid w:val="00931308"/>
    <w:rsid w:val="009315B1"/>
    <w:rsid w:val="00931676"/>
    <w:rsid w:val="00931843"/>
    <w:rsid w:val="0093185E"/>
    <w:rsid w:val="00931AC9"/>
    <w:rsid w:val="00931CEB"/>
    <w:rsid w:val="0093221A"/>
    <w:rsid w:val="009323E2"/>
    <w:rsid w:val="00932410"/>
    <w:rsid w:val="009325ED"/>
    <w:rsid w:val="0093278F"/>
    <w:rsid w:val="009327E8"/>
    <w:rsid w:val="00932809"/>
    <w:rsid w:val="009328DB"/>
    <w:rsid w:val="00932A7D"/>
    <w:rsid w:val="00932D59"/>
    <w:rsid w:val="00932E2C"/>
    <w:rsid w:val="00932EF0"/>
    <w:rsid w:val="00932FBF"/>
    <w:rsid w:val="00933228"/>
    <w:rsid w:val="00933361"/>
    <w:rsid w:val="0093349F"/>
    <w:rsid w:val="0093365E"/>
    <w:rsid w:val="00933BCE"/>
    <w:rsid w:val="00933E6A"/>
    <w:rsid w:val="00933E6F"/>
    <w:rsid w:val="00933E7C"/>
    <w:rsid w:val="0093400C"/>
    <w:rsid w:val="00934112"/>
    <w:rsid w:val="0093420E"/>
    <w:rsid w:val="009344E6"/>
    <w:rsid w:val="00934621"/>
    <w:rsid w:val="00934675"/>
    <w:rsid w:val="009346BA"/>
    <w:rsid w:val="009347E7"/>
    <w:rsid w:val="009347F7"/>
    <w:rsid w:val="00934AB3"/>
    <w:rsid w:val="00934EDF"/>
    <w:rsid w:val="0093509B"/>
    <w:rsid w:val="009352E6"/>
    <w:rsid w:val="0093553A"/>
    <w:rsid w:val="00935693"/>
    <w:rsid w:val="009359E9"/>
    <w:rsid w:val="00935A5E"/>
    <w:rsid w:val="00935B40"/>
    <w:rsid w:val="00935D14"/>
    <w:rsid w:val="00935D3B"/>
    <w:rsid w:val="00935FD9"/>
    <w:rsid w:val="0093608B"/>
    <w:rsid w:val="00936246"/>
    <w:rsid w:val="009362B1"/>
    <w:rsid w:val="009365A3"/>
    <w:rsid w:val="009367DB"/>
    <w:rsid w:val="009368BD"/>
    <w:rsid w:val="009368D7"/>
    <w:rsid w:val="00936A21"/>
    <w:rsid w:val="00936A67"/>
    <w:rsid w:val="00936AFD"/>
    <w:rsid w:val="00936B99"/>
    <w:rsid w:val="00936BD4"/>
    <w:rsid w:val="00936C2A"/>
    <w:rsid w:val="00936D29"/>
    <w:rsid w:val="00936DE7"/>
    <w:rsid w:val="00936E3F"/>
    <w:rsid w:val="00936F41"/>
    <w:rsid w:val="00936F54"/>
    <w:rsid w:val="00937334"/>
    <w:rsid w:val="00937468"/>
    <w:rsid w:val="009376F3"/>
    <w:rsid w:val="0093796A"/>
    <w:rsid w:val="0093798C"/>
    <w:rsid w:val="00937F47"/>
    <w:rsid w:val="00940001"/>
    <w:rsid w:val="009403B6"/>
    <w:rsid w:val="00940E4D"/>
    <w:rsid w:val="00940F33"/>
    <w:rsid w:val="0094100D"/>
    <w:rsid w:val="009410B5"/>
    <w:rsid w:val="009410F3"/>
    <w:rsid w:val="009411D8"/>
    <w:rsid w:val="009411F6"/>
    <w:rsid w:val="00941554"/>
    <w:rsid w:val="00941664"/>
    <w:rsid w:val="00941705"/>
    <w:rsid w:val="0094171C"/>
    <w:rsid w:val="00941758"/>
    <w:rsid w:val="009418F5"/>
    <w:rsid w:val="00941927"/>
    <w:rsid w:val="00941B00"/>
    <w:rsid w:val="00941B6E"/>
    <w:rsid w:val="00941C86"/>
    <w:rsid w:val="00941F5B"/>
    <w:rsid w:val="00942177"/>
    <w:rsid w:val="0094229D"/>
    <w:rsid w:val="009426B7"/>
    <w:rsid w:val="00942711"/>
    <w:rsid w:val="00942720"/>
    <w:rsid w:val="00942C6A"/>
    <w:rsid w:val="00942CAF"/>
    <w:rsid w:val="00942CC1"/>
    <w:rsid w:val="00942D85"/>
    <w:rsid w:val="00943310"/>
    <w:rsid w:val="0094337D"/>
    <w:rsid w:val="009433AB"/>
    <w:rsid w:val="009435FF"/>
    <w:rsid w:val="0094363D"/>
    <w:rsid w:val="00943736"/>
    <w:rsid w:val="0094387B"/>
    <w:rsid w:val="009438A2"/>
    <w:rsid w:val="009438BD"/>
    <w:rsid w:val="00943997"/>
    <w:rsid w:val="00943B0D"/>
    <w:rsid w:val="00943B36"/>
    <w:rsid w:val="00943C8C"/>
    <w:rsid w:val="00943CD2"/>
    <w:rsid w:val="00943CEE"/>
    <w:rsid w:val="00943CFA"/>
    <w:rsid w:val="00943D3C"/>
    <w:rsid w:val="00943FC2"/>
    <w:rsid w:val="00943FC6"/>
    <w:rsid w:val="00943FE9"/>
    <w:rsid w:val="00944103"/>
    <w:rsid w:val="009442CB"/>
    <w:rsid w:val="009445CC"/>
    <w:rsid w:val="00944643"/>
    <w:rsid w:val="00944783"/>
    <w:rsid w:val="009447EF"/>
    <w:rsid w:val="009448AB"/>
    <w:rsid w:val="00944C9A"/>
    <w:rsid w:val="00944D03"/>
    <w:rsid w:val="0094522A"/>
    <w:rsid w:val="0094551C"/>
    <w:rsid w:val="00945542"/>
    <w:rsid w:val="009455EE"/>
    <w:rsid w:val="0094568B"/>
    <w:rsid w:val="009457B8"/>
    <w:rsid w:val="00945AF9"/>
    <w:rsid w:val="00946358"/>
    <w:rsid w:val="0094641C"/>
    <w:rsid w:val="0094645E"/>
    <w:rsid w:val="0094648F"/>
    <w:rsid w:val="009465E4"/>
    <w:rsid w:val="00946602"/>
    <w:rsid w:val="00946763"/>
    <w:rsid w:val="0094695B"/>
    <w:rsid w:val="00946AEF"/>
    <w:rsid w:val="00946BC2"/>
    <w:rsid w:val="00946CA0"/>
    <w:rsid w:val="00946D58"/>
    <w:rsid w:val="00946E78"/>
    <w:rsid w:val="00946FED"/>
    <w:rsid w:val="0094702D"/>
    <w:rsid w:val="0094708C"/>
    <w:rsid w:val="009470DD"/>
    <w:rsid w:val="009477E1"/>
    <w:rsid w:val="00947865"/>
    <w:rsid w:val="00947DC5"/>
    <w:rsid w:val="00947E1D"/>
    <w:rsid w:val="00950268"/>
    <w:rsid w:val="009504F9"/>
    <w:rsid w:val="00950594"/>
    <w:rsid w:val="009507BC"/>
    <w:rsid w:val="00950914"/>
    <w:rsid w:val="00950A90"/>
    <w:rsid w:val="00951175"/>
    <w:rsid w:val="0095144C"/>
    <w:rsid w:val="00951462"/>
    <w:rsid w:val="0095175D"/>
    <w:rsid w:val="009517F7"/>
    <w:rsid w:val="00951810"/>
    <w:rsid w:val="00951891"/>
    <w:rsid w:val="0095190E"/>
    <w:rsid w:val="009519F8"/>
    <w:rsid w:val="00951BB6"/>
    <w:rsid w:val="00951C4D"/>
    <w:rsid w:val="00951C82"/>
    <w:rsid w:val="00951E53"/>
    <w:rsid w:val="00951EE0"/>
    <w:rsid w:val="009521B8"/>
    <w:rsid w:val="0095220F"/>
    <w:rsid w:val="009523BE"/>
    <w:rsid w:val="00952C21"/>
    <w:rsid w:val="00952C5B"/>
    <w:rsid w:val="00952C6C"/>
    <w:rsid w:val="00952D70"/>
    <w:rsid w:val="00952F2B"/>
    <w:rsid w:val="00952FF2"/>
    <w:rsid w:val="009530AB"/>
    <w:rsid w:val="009530C0"/>
    <w:rsid w:val="00953210"/>
    <w:rsid w:val="00953484"/>
    <w:rsid w:val="00953728"/>
    <w:rsid w:val="00953774"/>
    <w:rsid w:val="0095395C"/>
    <w:rsid w:val="00953BAE"/>
    <w:rsid w:val="00953D02"/>
    <w:rsid w:val="00953D1C"/>
    <w:rsid w:val="00953D22"/>
    <w:rsid w:val="00953DDC"/>
    <w:rsid w:val="00953E18"/>
    <w:rsid w:val="00953F59"/>
    <w:rsid w:val="00953F6D"/>
    <w:rsid w:val="0095415D"/>
    <w:rsid w:val="0095466D"/>
    <w:rsid w:val="009546DE"/>
    <w:rsid w:val="00954985"/>
    <w:rsid w:val="00954B6E"/>
    <w:rsid w:val="00954C73"/>
    <w:rsid w:val="00954FD5"/>
    <w:rsid w:val="00955076"/>
    <w:rsid w:val="00955085"/>
    <w:rsid w:val="009551EB"/>
    <w:rsid w:val="00955204"/>
    <w:rsid w:val="00955244"/>
    <w:rsid w:val="009558B7"/>
    <w:rsid w:val="009558C2"/>
    <w:rsid w:val="00955BB2"/>
    <w:rsid w:val="00955BBD"/>
    <w:rsid w:val="00955C06"/>
    <w:rsid w:val="00955D6F"/>
    <w:rsid w:val="00955D75"/>
    <w:rsid w:val="00955DC7"/>
    <w:rsid w:val="00955DCD"/>
    <w:rsid w:val="00955EA8"/>
    <w:rsid w:val="009562D9"/>
    <w:rsid w:val="009563DB"/>
    <w:rsid w:val="00956576"/>
    <w:rsid w:val="0095678F"/>
    <w:rsid w:val="00956911"/>
    <w:rsid w:val="00956BF2"/>
    <w:rsid w:val="009570A6"/>
    <w:rsid w:val="00957144"/>
    <w:rsid w:val="00957232"/>
    <w:rsid w:val="00957A1B"/>
    <w:rsid w:val="00957A5B"/>
    <w:rsid w:val="00957AC1"/>
    <w:rsid w:val="00957B70"/>
    <w:rsid w:val="00957D0F"/>
    <w:rsid w:val="00957D6A"/>
    <w:rsid w:val="00957DA0"/>
    <w:rsid w:val="00957FC2"/>
    <w:rsid w:val="009601F9"/>
    <w:rsid w:val="009602AD"/>
    <w:rsid w:val="00960326"/>
    <w:rsid w:val="00960448"/>
    <w:rsid w:val="00960453"/>
    <w:rsid w:val="009604AB"/>
    <w:rsid w:val="00960566"/>
    <w:rsid w:val="0096059A"/>
    <w:rsid w:val="0096095B"/>
    <w:rsid w:val="009609D4"/>
    <w:rsid w:val="00960A72"/>
    <w:rsid w:val="00960BEE"/>
    <w:rsid w:val="00960F50"/>
    <w:rsid w:val="009610F5"/>
    <w:rsid w:val="00961187"/>
    <w:rsid w:val="009611E1"/>
    <w:rsid w:val="009616A7"/>
    <w:rsid w:val="009616E5"/>
    <w:rsid w:val="009617D8"/>
    <w:rsid w:val="009618EB"/>
    <w:rsid w:val="00961AD8"/>
    <w:rsid w:val="00961B27"/>
    <w:rsid w:val="00961BA2"/>
    <w:rsid w:val="00961D12"/>
    <w:rsid w:val="00961D3F"/>
    <w:rsid w:val="00961DB1"/>
    <w:rsid w:val="00961EC2"/>
    <w:rsid w:val="00961F14"/>
    <w:rsid w:val="009620AA"/>
    <w:rsid w:val="009620CF"/>
    <w:rsid w:val="0096212C"/>
    <w:rsid w:val="009621F3"/>
    <w:rsid w:val="00962417"/>
    <w:rsid w:val="0096247B"/>
    <w:rsid w:val="00962499"/>
    <w:rsid w:val="00962503"/>
    <w:rsid w:val="00962512"/>
    <w:rsid w:val="00962AF2"/>
    <w:rsid w:val="00962B85"/>
    <w:rsid w:val="00962E19"/>
    <w:rsid w:val="00962E1A"/>
    <w:rsid w:val="00962E4E"/>
    <w:rsid w:val="009630AC"/>
    <w:rsid w:val="00963118"/>
    <w:rsid w:val="009634D3"/>
    <w:rsid w:val="00963657"/>
    <w:rsid w:val="009636D3"/>
    <w:rsid w:val="00963720"/>
    <w:rsid w:val="0096380A"/>
    <w:rsid w:val="00963810"/>
    <w:rsid w:val="009638F9"/>
    <w:rsid w:val="00963B0B"/>
    <w:rsid w:val="00963BB6"/>
    <w:rsid w:val="00963D9E"/>
    <w:rsid w:val="009640F7"/>
    <w:rsid w:val="0096413F"/>
    <w:rsid w:val="00964171"/>
    <w:rsid w:val="009641DA"/>
    <w:rsid w:val="0096424D"/>
    <w:rsid w:val="009643AD"/>
    <w:rsid w:val="009644D5"/>
    <w:rsid w:val="00964884"/>
    <w:rsid w:val="00964B3D"/>
    <w:rsid w:val="00964E93"/>
    <w:rsid w:val="009650E2"/>
    <w:rsid w:val="00965120"/>
    <w:rsid w:val="00965164"/>
    <w:rsid w:val="009652D0"/>
    <w:rsid w:val="0096538B"/>
    <w:rsid w:val="009654C3"/>
    <w:rsid w:val="00965914"/>
    <w:rsid w:val="00965CA1"/>
    <w:rsid w:val="00965D2B"/>
    <w:rsid w:val="00965E5B"/>
    <w:rsid w:val="00965EC8"/>
    <w:rsid w:val="00965ED4"/>
    <w:rsid w:val="00965F67"/>
    <w:rsid w:val="00966021"/>
    <w:rsid w:val="00966913"/>
    <w:rsid w:val="00966934"/>
    <w:rsid w:val="00966AE2"/>
    <w:rsid w:val="00966BA1"/>
    <w:rsid w:val="00966C47"/>
    <w:rsid w:val="00966C53"/>
    <w:rsid w:val="00966CF6"/>
    <w:rsid w:val="00966FC9"/>
    <w:rsid w:val="009672F3"/>
    <w:rsid w:val="009675EC"/>
    <w:rsid w:val="00967810"/>
    <w:rsid w:val="00967B23"/>
    <w:rsid w:val="00967B8A"/>
    <w:rsid w:val="00967D17"/>
    <w:rsid w:val="00967D7B"/>
    <w:rsid w:val="00967F1E"/>
    <w:rsid w:val="00967F26"/>
    <w:rsid w:val="00967F69"/>
    <w:rsid w:val="0097031A"/>
    <w:rsid w:val="0097057B"/>
    <w:rsid w:val="0097057E"/>
    <w:rsid w:val="009706D7"/>
    <w:rsid w:val="00970AA7"/>
    <w:rsid w:val="009710AB"/>
    <w:rsid w:val="00971298"/>
    <w:rsid w:val="0097159C"/>
    <w:rsid w:val="009716AD"/>
    <w:rsid w:val="009716E1"/>
    <w:rsid w:val="009717C3"/>
    <w:rsid w:val="009719DE"/>
    <w:rsid w:val="009719FF"/>
    <w:rsid w:val="00971FB9"/>
    <w:rsid w:val="00972056"/>
    <w:rsid w:val="009723A3"/>
    <w:rsid w:val="0097250A"/>
    <w:rsid w:val="00972532"/>
    <w:rsid w:val="00972574"/>
    <w:rsid w:val="0097264C"/>
    <w:rsid w:val="00972760"/>
    <w:rsid w:val="0097276A"/>
    <w:rsid w:val="009727A6"/>
    <w:rsid w:val="0097293B"/>
    <w:rsid w:val="009729D4"/>
    <w:rsid w:val="00972B08"/>
    <w:rsid w:val="00972B0B"/>
    <w:rsid w:val="00972D83"/>
    <w:rsid w:val="00972ECD"/>
    <w:rsid w:val="00973281"/>
    <w:rsid w:val="0097331F"/>
    <w:rsid w:val="00973331"/>
    <w:rsid w:val="009735F0"/>
    <w:rsid w:val="009736D2"/>
    <w:rsid w:val="00973798"/>
    <w:rsid w:val="009739E6"/>
    <w:rsid w:val="00973AD7"/>
    <w:rsid w:val="00973E6D"/>
    <w:rsid w:val="00973EB4"/>
    <w:rsid w:val="00973F0C"/>
    <w:rsid w:val="00973F58"/>
    <w:rsid w:val="009740E2"/>
    <w:rsid w:val="0097414D"/>
    <w:rsid w:val="009742FF"/>
    <w:rsid w:val="0097450F"/>
    <w:rsid w:val="009748B4"/>
    <w:rsid w:val="00974E8E"/>
    <w:rsid w:val="009750E1"/>
    <w:rsid w:val="00975261"/>
    <w:rsid w:val="00975290"/>
    <w:rsid w:val="009754B7"/>
    <w:rsid w:val="009757A3"/>
    <w:rsid w:val="0097587D"/>
    <w:rsid w:val="00975A88"/>
    <w:rsid w:val="00975BB9"/>
    <w:rsid w:val="00975C8A"/>
    <w:rsid w:val="00975CAE"/>
    <w:rsid w:val="00975E2E"/>
    <w:rsid w:val="00975F65"/>
    <w:rsid w:val="00975FD8"/>
    <w:rsid w:val="009760B0"/>
    <w:rsid w:val="00976180"/>
    <w:rsid w:val="00976192"/>
    <w:rsid w:val="0097619C"/>
    <w:rsid w:val="009762BD"/>
    <w:rsid w:val="009764AA"/>
    <w:rsid w:val="0097680C"/>
    <w:rsid w:val="00976C15"/>
    <w:rsid w:val="00976C8B"/>
    <w:rsid w:val="00976DE7"/>
    <w:rsid w:val="00976E58"/>
    <w:rsid w:val="00976EBC"/>
    <w:rsid w:val="00977047"/>
    <w:rsid w:val="00977762"/>
    <w:rsid w:val="0097785F"/>
    <w:rsid w:val="009779A5"/>
    <w:rsid w:val="009779E2"/>
    <w:rsid w:val="00977AB5"/>
    <w:rsid w:val="00977B79"/>
    <w:rsid w:val="00977BEE"/>
    <w:rsid w:val="00977CE3"/>
    <w:rsid w:val="00977DD5"/>
    <w:rsid w:val="00980010"/>
    <w:rsid w:val="0098007C"/>
    <w:rsid w:val="009800F8"/>
    <w:rsid w:val="00980238"/>
    <w:rsid w:val="0098070D"/>
    <w:rsid w:val="009808B2"/>
    <w:rsid w:val="00980B61"/>
    <w:rsid w:val="00980C93"/>
    <w:rsid w:val="00980EAF"/>
    <w:rsid w:val="009811CF"/>
    <w:rsid w:val="009812EC"/>
    <w:rsid w:val="00981303"/>
    <w:rsid w:val="00981344"/>
    <w:rsid w:val="00981570"/>
    <w:rsid w:val="009817CA"/>
    <w:rsid w:val="0098198C"/>
    <w:rsid w:val="009819F0"/>
    <w:rsid w:val="00981CA6"/>
    <w:rsid w:val="00981D76"/>
    <w:rsid w:val="00981E7C"/>
    <w:rsid w:val="00982009"/>
    <w:rsid w:val="009822F7"/>
    <w:rsid w:val="009823C8"/>
    <w:rsid w:val="009825A2"/>
    <w:rsid w:val="0098292C"/>
    <w:rsid w:val="0098295E"/>
    <w:rsid w:val="00982AC1"/>
    <w:rsid w:val="00982CBC"/>
    <w:rsid w:val="00982CE3"/>
    <w:rsid w:val="00982DDA"/>
    <w:rsid w:val="00983068"/>
    <w:rsid w:val="00983191"/>
    <w:rsid w:val="009833EB"/>
    <w:rsid w:val="00983439"/>
    <w:rsid w:val="009836F3"/>
    <w:rsid w:val="009839C6"/>
    <w:rsid w:val="00983CB2"/>
    <w:rsid w:val="00983CF3"/>
    <w:rsid w:val="00983E25"/>
    <w:rsid w:val="00983E74"/>
    <w:rsid w:val="009840C5"/>
    <w:rsid w:val="00984181"/>
    <w:rsid w:val="0098441A"/>
    <w:rsid w:val="0098448A"/>
    <w:rsid w:val="0098482B"/>
    <w:rsid w:val="00984862"/>
    <w:rsid w:val="009848AB"/>
    <w:rsid w:val="00984B06"/>
    <w:rsid w:val="00984C09"/>
    <w:rsid w:val="0098522C"/>
    <w:rsid w:val="00985575"/>
    <w:rsid w:val="0098599F"/>
    <w:rsid w:val="00985BEA"/>
    <w:rsid w:val="00985CB1"/>
    <w:rsid w:val="00985D0B"/>
    <w:rsid w:val="00985DC2"/>
    <w:rsid w:val="00986013"/>
    <w:rsid w:val="00986198"/>
    <w:rsid w:val="009862A8"/>
    <w:rsid w:val="0098648D"/>
    <w:rsid w:val="0098689C"/>
    <w:rsid w:val="009869D8"/>
    <w:rsid w:val="00986B16"/>
    <w:rsid w:val="00986C70"/>
    <w:rsid w:val="00986EAA"/>
    <w:rsid w:val="0098701D"/>
    <w:rsid w:val="00987020"/>
    <w:rsid w:val="00987245"/>
    <w:rsid w:val="009875FA"/>
    <w:rsid w:val="00987E9C"/>
    <w:rsid w:val="00987ECA"/>
    <w:rsid w:val="0098AB41"/>
    <w:rsid w:val="0099007F"/>
    <w:rsid w:val="009900FE"/>
    <w:rsid w:val="0099050C"/>
    <w:rsid w:val="009905CE"/>
    <w:rsid w:val="0099063E"/>
    <w:rsid w:val="00990672"/>
    <w:rsid w:val="00990792"/>
    <w:rsid w:val="009908C5"/>
    <w:rsid w:val="00990E4F"/>
    <w:rsid w:val="00990E5E"/>
    <w:rsid w:val="00990FF8"/>
    <w:rsid w:val="009910E5"/>
    <w:rsid w:val="009912E4"/>
    <w:rsid w:val="009912FC"/>
    <w:rsid w:val="0099138C"/>
    <w:rsid w:val="0099188A"/>
    <w:rsid w:val="00991898"/>
    <w:rsid w:val="00991A1A"/>
    <w:rsid w:val="00991D64"/>
    <w:rsid w:val="009920F5"/>
    <w:rsid w:val="0099256A"/>
    <w:rsid w:val="00992892"/>
    <w:rsid w:val="009929A6"/>
    <w:rsid w:val="00992E6E"/>
    <w:rsid w:val="009930E2"/>
    <w:rsid w:val="009930E5"/>
    <w:rsid w:val="00993116"/>
    <w:rsid w:val="00993215"/>
    <w:rsid w:val="00993310"/>
    <w:rsid w:val="0099356F"/>
    <w:rsid w:val="009936E0"/>
    <w:rsid w:val="009938DF"/>
    <w:rsid w:val="00993E03"/>
    <w:rsid w:val="0099404F"/>
    <w:rsid w:val="00994111"/>
    <w:rsid w:val="0099422B"/>
    <w:rsid w:val="0099429E"/>
    <w:rsid w:val="00994421"/>
    <w:rsid w:val="00994575"/>
    <w:rsid w:val="00994621"/>
    <w:rsid w:val="00994629"/>
    <w:rsid w:val="009948E6"/>
    <w:rsid w:val="0099492F"/>
    <w:rsid w:val="00994BEB"/>
    <w:rsid w:val="00994D90"/>
    <w:rsid w:val="00994EF5"/>
    <w:rsid w:val="00995038"/>
    <w:rsid w:val="00995134"/>
    <w:rsid w:val="00995224"/>
    <w:rsid w:val="009952A8"/>
    <w:rsid w:val="009954FB"/>
    <w:rsid w:val="00995682"/>
    <w:rsid w:val="009957F8"/>
    <w:rsid w:val="0099585B"/>
    <w:rsid w:val="00995861"/>
    <w:rsid w:val="00995A23"/>
    <w:rsid w:val="00995BE3"/>
    <w:rsid w:val="00995DBC"/>
    <w:rsid w:val="00995E52"/>
    <w:rsid w:val="00995EE7"/>
    <w:rsid w:val="00995F0E"/>
    <w:rsid w:val="009961B1"/>
    <w:rsid w:val="009964D2"/>
    <w:rsid w:val="0099688E"/>
    <w:rsid w:val="00996CBA"/>
    <w:rsid w:val="0099703B"/>
    <w:rsid w:val="009970C4"/>
    <w:rsid w:val="0099712C"/>
    <w:rsid w:val="0099740E"/>
    <w:rsid w:val="0099752B"/>
    <w:rsid w:val="00997535"/>
    <w:rsid w:val="00997656"/>
    <w:rsid w:val="009977B0"/>
    <w:rsid w:val="00997907"/>
    <w:rsid w:val="0099791A"/>
    <w:rsid w:val="00997EC4"/>
    <w:rsid w:val="00997FA7"/>
    <w:rsid w:val="009A0274"/>
    <w:rsid w:val="009A029E"/>
    <w:rsid w:val="009A0463"/>
    <w:rsid w:val="009A0601"/>
    <w:rsid w:val="009A06ED"/>
    <w:rsid w:val="009A088C"/>
    <w:rsid w:val="009A0F55"/>
    <w:rsid w:val="009A12BA"/>
    <w:rsid w:val="009A1455"/>
    <w:rsid w:val="009A156D"/>
    <w:rsid w:val="009A1594"/>
    <w:rsid w:val="009A1621"/>
    <w:rsid w:val="009A1B1E"/>
    <w:rsid w:val="009A1D3F"/>
    <w:rsid w:val="009A1DD5"/>
    <w:rsid w:val="009A1EA5"/>
    <w:rsid w:val="009A2295"/>
    <w:rsid w:val="009A2605"/>
    <w:rsid w:val="009A28B4"/>
    <w:rsid w:val="009A29A4"/>
    <w:rsid w:val="009A29E1"/>
    <w:rsid w:val="009A2BC9"/>
    <w:rsid w:val="009A2C92"/>
    <w:rsid w:val="009A2CBD"/>
    <w:rsid w:val="009A2F16"/>
    <w:rsid w:val="009A310F"/>
    <w:rsid w:val="009A3124"/>
    <w:rsid w:val="009A3183"/>
    <w:rsid w:val="009A330C"/>
    <w:rsid w:val="009A332A"/>
    <w:rsid w:val="009A3759"/>
    <w:rsid w:val="009A3811"/>
    <w:rsid w:val="009A3BD5"/>
    <w:rsid w:val="009A422C"/>
    <w:rsid w:val="009A42C8"/>
    <w:rsid w:val="009A4325"/>
    <w:rsid w:val="009A43EF"/>
    <w:rsid w:val="009A4482"/>
    <w:rsid w:val="009A46F0"/>
    <w:rsid w:val="009A48C6"/>
    <w:rsid w:val="009A48ED"/>
    <w:rsid w:val="009A492A"/>
    <w:rsid w:val="009A49DF"/>
    <w:rsid w:val="009A4D3B"/>
    <w:rsid w:val="009A521F"/>
    <w:rsid w:val="009A5289"/>
    <w:rsid w:val="009A5349"/>
    <w:rsid w:val="009A56D3"/>
    <w:rsid w:val="009A5757"/>
    <w:rsid w:val="009A58B5"/>
    <w:rsid w:val="009A6214"/>
    <w:rsid w:val="009A6968"/>
    <w:rsid w:val="009A6B20"/>
    <w:rsid w:val="009A6BBF"/>
    <w:rsid w:val="009A6FE1"/>
    <w:rsid w:val="009A7171"/>
    <w:rsid w:val="009A7209"/>
    <w:rsid w:val="009A729D"/>
    <w:rsid w:val="009A7404"/>
    <w:rsid w:val="009A7466"/>
    <w:rsid w:val="009A76A8"/>
    <w:rsid w:val="009A7A4A"/>
    <w:rsid w:val="009A7AA4"/>
    <w:rsid w:val="009A7D81"/>
    <w:rsid w:val="009A7FC2"/>
    <w:rsid w:val="009B011C"/>
    <w:rsid w:val="009B0164"/>
    <w:rsid w:val="009B021B"/>
    <w:rsid w:val="009B072E"/>
    <w:rsid w:val="009B0818"/>
    <w:rsid w:val="009B0891"/>
    <w:rsid w:val="009B0A45"/>
    <w:rsid w:val="009B0C04"/>
    <w:rsid w:val="009B0ED4"/>
    <w:rsid w:val="009B0FB6"/>
    <w:rsid w:val="009B10BC"/>
    <w:rsid w:val="009B124E"/>
    <w:rsid w:val="009B153D"/>
    <w:rsid w:val="009B1587"/>
    <w:rsid w:val="009B18A2"/>
    <w:rsid w:val="009B1BA5"/>
    <w:rsid w:val="009B1F99"/>
    <w:rsid w:val="009B1FDB"/>
    <w:rsid w:val="009B20D8"/>
    <w:rsid w:val="009B254F"/>
    <w:rsid w:val="009B2B1B"/>
    <w:rsid w:val="009B2B58"/>
    <w:rsid w:val="009B2CD8"/>
    <w:rsid w:val="009B2CFA"/>
    <w:rsid w:val="009B2EC1"/>
    <w:rsid w:val="009B2F7F"/>
    <w:rsid w:val="009B306B"/>
    <w:rsid w:val="009B3141"/>
    <w:rsid w:val="009B325F"/>
    <w:rsid w:val="009B360E"/>
    <w:rsid w:val="009B366B"/>
    <w:rsid w:val="009B3B88"/>
    <w:rsid w:val="009B44C2"/>
    <w:rsid w:val="009B47D7"/>
    <w:rsid w:val="009B4BE8"/>
    <w:rsid w:val="009B4F81"/>
    <w:rsid w:val="009B4FAA"/>
    <w:rsid w:val="009B519E"/>
    <w:rsid w:val="009B53F9"/>
    <w:rsid w:val="009B5434"/>
    <w:rsid w:val="009B5519"/>
    <w:rsid w:val="009B5586"/>
    <w:rsid w:val="009B5612"/>
    <w:rsid w:val="009B5661"/>
    <w:rsid w:val="009B58AA"/>
    <w:rsid w:val="009B5980"/>
    <w:rsid w:val="009B609D"/>
    <w:rsid w:val="009B61F1"/>
    <w:rsid w:val="009B65A3"/>
    <w:rsid w:val="009B68B0"/>
    <w:rsid w:val="009B6C4B"/>
    <w:rsid w:val="009B6CDC"/>
    <w:rsid w:val="009B6D9A"/>
    <w:rsid w:val="009B6DF8"/>
    <w:rsid w:val="009B6F0B"/>
    <w:rsid w:val="009B7359"/>
    <w:rsid w:val="009B7449"/>
    <w:rsid w:val="009B75A7"/>
    <w:rsid w:val="009B78F1"/>
    <w:rsid w:val="009B7A56"/>
    <w:rsid w:val="009B7AB7"/>
    <w:rsid w:val="009B7CEE"/>
    <w:rsid w:val="009B7D6F"/>
    <w:rsid w:val="009B7E58"/>
    <w:rsid w:val="009C00C3"/>
    <w:rsid w:val="009C0138"/>
    <w:rsid w:val="009C035A"/>
    <w:rsid w:val="009C036C"/>
    <w:rsid w:val="009C046A"/>
    <w:rsid w:val="009C051E"/>
    <w:rsid w:val="009C06C9"/>
    <w:rsid w:val="009C079F"/>
    <w:rsid w:val="009C09A9"/>
    <w:rsid w:val="009C0AA2"/>
    <w:rsid w:val="009C0D21"/>
    <w:rsid w:val="009C1155"/>
    <w:rsid w:val="009C12F7"/>
    <w:rsid w:val="009C133A"/>
    <w:rsid w:val="009C13C3"/>
    <w:rsid w:val="009C1487"/>
    <w:rsid w:val="009C154E"/>
    <w:rsid w:val="009C1763"/>
    <w:rsid w:val="009C1784"/>
    <w:rsid w:val="009C17DA"/>
    <w:rsid w:val="009C1D61"/>
    <w:rsid w:val="009C2221"/>
    <w:rsid w:val="009C22BD"/>
    <w:rsid w:val="009C2372"/>
    <w:rsid w:val="009C2413"/>
    <w:rsid w:val="009C2441"/>
    <w:rsid w:val="009C27BE"/>
    <w:rsid w:val="009C2A26"/>
    <w:rsid w:val="009C2A88"/>
    <w:rsid w:val="009C2AD2"/>
    <w:rsid w:val="009C2C08"/>
    <w:rsid w:val="009C2EA9"/>
    <w:rsid w:val="009C311D"/>
    <w:rsid w:val="009C31D5"/>
    <w:rsid w:val="009C3309"/>
    <w:rsid w:val="009C3692"/>
    <w:rsid w:val="009C3694"/>
    <w:rsid w:val="009C37D5"/>
    <w:rsid w:val="009C382E"/>
    <w:rsid w:val="009C3AD5"/>
    <w:rsid w:val="009C3B3C"/>
    <w:rsid w:val="009C3EBC"/>
    <w:rsid w:val="009C3F13"/>
    <w:rsid w:val="009C3FAA"/>
    <w:rsid w:val="009C4073"/>
    <w:rsid w:val="009C420B"/>
    <w:rsid w:val="009C4255"/>
    <w:rsid w:val="009C4283"/>
    <w:rsid w:val="009C4439"/>
    <w:rsid w:val="009C45D0"/>
    <w:rsid w:val="009C4724"/>
    <w:rsid w:val="009C4782"/>
    <w:rsid w:val="009C49F8"/>
    <w:rsid w:val="009C4B2C"/>
    <w:rsid w:val="009C4BF6"/>
    <w:rsid w:val="009C4C17"/>
    <w:rsid w:val="009C4DD0"/>
    <w:rsid w:val="009C4F07"/>
    <w:rsid w:val="009C4F2D"/>
    <w:rsid w:val="009C51E0"/>
    <w:rsid w:val="009C5363"/>
    <w:rsid w:val="009C542C"/>
    <w:rsid w:val="009C5577"/>
    <w:rsid w:val="009C5601"/>
    <w:rsid w:val="009C5ED1"/>
    <w:rsid w:val="009C65A5"/>
    <w:rsid w:val="009C665F"/>
    <w:rsid w:val="009C66B3"/>
    <w:rsid w:val="009C678E"/>
    <w:rsid w:val="009C692A"/>
    <w:rsid w:val="009C6A3B"/>
    <w:rsid w:val="009C6A57"/>
    <w:rsid w:val="009C6AB5"/>
    <w:rsid w:val="009C6AFF"/>
    <w:rsid w:val="009C6E9E"/>
    <w:rsid w:val="009C6EA9"/>
    <w:rsid w:val="009C7032"/>
    <w:rsid w:val="009C70B6"/>
    <w:rsid w:val="009C71D3"/>
    <w:rsid w:val="009C752D"/>
    <w:rsid w:val="009C7565"/>
    <w:rsid w:val="009C75B8"/>
    <w:rsid w:val="009C7631"/>
    <w:rsid w:val="009C7676"/>
    <w:rsid w:val="009C76A1"/>
    <w:rsid w:val="009C773B"/>
    <w:rsid w:val="009C7C3A"/>
    <w:rsid w:val="009C8EA1"/>
    <w:rsid w:val="009D0004"/>
    <w:rsid w:val="009D029F"/>
    <w:rsid w:val="009D0482"/>
    <w:rsid w:val="009D0497"/>
    <w:rsid w:val="009D054C"/>
    <w:rsid w:val="009D05BE"/>
    <w:rsid w:val="009D05C9"/>
    <w:rsid w:val="009D06E9"/>
    <w:rsid w:val="009D08A1"/>
    <w:rsid w:val="009D09F7"/>
    <w:rsid w:val="009D0C9B"/>
    <w:rsid w:val="009D0F8D"/>
    <w:rsid w:val="009D0F8F"/>
    <w:rsid w:val="009D1024"/>
    <w:rsid w:val="009D102C"/>
    <w:rsid w:val="009D10F2"/>
    <w:rsid w:val="009D1209"/>
    <w:rsid w:val="009D14C4"/>
    <w:rsid w:val="009D16B7"/>
    <w:rsid w:val="009D1710"/>
    <w:rsid w:val="009D17BD"/>
    <w:rsid w:val="009D1893"/>
    <w:rsid w:val="009D1C1E"/>
    <w:rsid w:val="009D1C79"/>
    <w:rsid w:val="009D1E63"/>
    <w:rsid w:val="009D2078"/>
    <w:rsid w:val="009D219E"/>
    <w:rsid w:val="009D2313"/>
    <w:rsid w:val="009D24CE"/>
    <w:rsid w:val="009D24FA"/>
    <w:rsid w:val="009D259F"/>
    <w:rsid w:val="009D2775"/>
    <w:rsid w:val="009D278E"/>
    <w:rsid w:val="009D2A72"/>
    <w:rsid w:val="009D2AB3"/>
    <w:rsid w:val="009D2AFC"/>
    <w:rsid w:val="009D2DF4"/>
    <w:rsid w:val="009D2EED"/>
    <w:rsid w:val="009D2F2C"/>
    <w:rsid w:val="009D3059"/>
    <w:rsid w:val="009D30D0"/>
    <w:rsid w:val="009D33D7"/>
    <w:rsid w:val="009D33DC"/>
    <w:rsid w:val="009D348D"/>
    <w:rsid w:val="009D34FC"/>
    <w:rsid w:val="009D3865"/>
    <w:rsid w:val="009D38B9"/>
    <w:rsid w:val="009D3C10"/>
    <w:rsid w:val="009D3D35"/>
    <w:rsid w:val="009D407C"/>
    <w:rsid w:val="009D4377"/>
    <w:rsid w:val="009D48F4"/>
    <w:rsid w:val="009D4C06"/>
    <w:rsid w:val="009D4D20"/>
    <w:rsid w:val="009D50A8"/>
    <w:rsid w:val="009D544A"/>
    <w:rsid w:val="009D5709"/>
    <w:rsid w:val="009D57AF"/>
    <w:rsid w:val="009D57B9"/>
    <w:rsid w:val="009D587E"/>
    <w:rsid w:val="009D59A6"/>
    <w:rsid w:val="009D5A62"/>
    <w:rsid w:val="009D5D76"/>
    <w:rsid w:val="009D5E9B"/>
    <w:rsid w:val="009D5F39"/>
    <w:rsid w:val="009D62AB"/>
    <w:rsid w:val="009D636A"/>
    <w:rsid w:val="009D6621"/>
    <w:rsid w:val="009D693B"/>
    <w:rsid w:val="009D6B60"/>
    <w:rsid w:val="009D6CFB"/>
    <w:rsid w:val="009D6DBD"/>
    <w:rsid w:val="009D71A4"/>
    <w:rsid w:val="009D7286"/>
    <w:rsid w:val="009D72C4"/>
    <w:rsid w:val="009D72CF"/>
    <w:rsid w:val="009D7551"/>
    <w:rsid w:val="009D75F5"/>
    <w:rsid w:val="009D76F4"/>
    <w:rsid w:val="009D787D"/>
    <w:rsid w:val="009D790C"/>
    <w:rsid w:val="009D7A23"/>
    <w:rsid w:val="009D7C87"/>
    <w:rsid w:val="009D7CE1"/>
    <w:rsid w:val="009D7D1D"/>
    <w:rsid w:val="009D7F02"/>
    <w:rsid w:val="009D7F9A"/>
    <w:rsid w:val="009E00AC"/>
    <w:rsid w:val="009E0239"/>
    <w:rsid w:val="009E03A3"/>
    <w:rsid w:val="009E0786"/>
    <w:rsid w:val="009E0828"/>
    <w:rsid w:val="009E09EE"/>
    <w:rsid w:val="009E0BDF"/>
    <w:rsid w:val="009E0CE5"/>
    <w:rsid w:val="009E0CEB"/>
    <w:rsid w:val="009E0D9F"/>
    <w:rsid w:val="009E1057"/>
    <w:rsid w:val="009E16CB"/>
    <w:rsid w:val="009E1714"/>
    <w:rsid w:val="009E17F5"/>
    <w:rsid w:val="009E1849"/>
    <w:rsid w:val="009E19D2"/>
    <w:rsid w:val="009E1AE6"/>
    <w:rsid w:val="009E1B4C"/>
    <w:rsid w:val="009E1CAB"/>
    <w:rsid w:val="009E1F32"/>
    <w:rsid w:val="009E2047"/>
    <w:rsid w:val="009E2127"/>
    <w:rsid w:val="009E2152"/>
    <w:rsid w:val="009E2602"/>
    <w:rsid w:val="009E264B"/>
    <w:rsid w:val="009E2794"/>
    <w:rsid w:val="009E2976"/>
    <w:rsid w:val="009E2ED4"/>
    <w:rsid w:val="009E2F45"/>
    <w:rsid w:val="009E3030"/>
    <w:rsid w:val="009E32AB"/>
    <w:rsid w:val="009E344C"/>
    <w:rsid w:val="009E3482"/>
    <w:rsid w:val="009E34CD"/>
    <w:rsid w:val="009E35EE"/>
    <w:rsid w:val="009E3823"/>
    <w:rsid w:val="009E3856"/>
    <w:rsid w:val="009E3B8A"/>
    <w:rsid w:val="009E3DFC"/>
    <w:rsid w:val="009E3F4F"/>
    <w:rsid w:val="009E404B"/>
    <w:rsid w:val="009E422A"/>
    <w:rsid w:val="009E4430"/>
    <w:rsid w:val="009E4479"/>
    <w:rsid w:val="009E44B0"/>
    <w:rsid w:val="009E486D"/>
    <w:rsid w:val="009E4A16"/>
    <w:rsid w:val="009E4D5A"/>
    <w:rsid w:val="009E4DF4"/>
    <w:rsid w:val="009E4E43"/>
    <w:rsid w:val="009E4F7A"/>
    <w:rsid w:val="009E5068"/>
    <w:rsid w:val="009E50B8"/>
    <w:rsid w:val="009E51BE"/>
    <w:rsid w:val="009E53DC"/>
    <w:rsid w:val="009E54EE"/>
    <w:rsid w:val="009E5529"/>
    <w:rsid w:val="009E5BDF"/>
    <w:rsid w:val="009E5E3E"/>
    <w:rsid w:val="009E5F47"/>
    <w:rsid w:val="009E600F"/>
    <w:rsid w:val="009E604A"/>
    <w:rsid w:val="009E6051"/>
    <w:rsid w:val="009E616C"/>
    <w:rsid w:val="009E635D"/>
    <w:rsid w:val="009E643A"/>
    <w:rsid w:val="009E65BB"/>
    <w:rsid w:val="009E66A6"/>
    <w:rsid w:val="009E682D"/>
    <w:rsid w:val="009E69BF"/>
    <w:rsid w:val="009E6A9C"/>
    <w:rsid w:val="009E6BF0"/>
    <w:rsid w:val="009E6EBB"/>
    <w:rsid w:val="009E6FF4"/>
    <w:rsid w:val="009E70FD"/>
    <w:rsid w:val="009E7360"/>
    <w:rsid w:val="009E742A"/>
    <w:rsid w:val="009E7648"/>
    <w:rsid w:val="009E790E"/>
    <w:rsid w:val="009E7B9A"/>
    <w:rsid w:val="009E7C4B"/>
    <w:rsid w:val="009E7CC2"/>
    <w:rsid w:val="009E7E35"/>
    <w:rsid w:val="009E7F43"/>
    <w:rsid w:val="009F0069"/>
    <w:rsid w:val="009F0145"/>
    <w:rsid w:val="009F0194"/>
    <w:rsid w:val="009F05A6"/>
    <w:rsid w:val="009F06BD"/>
    <w:rsid w:val="009F076B"/>
    <w:rsid w:val="009F0BD3"/>
    <w:rsid w:val="009F0BE9"/>
    <w:rsid w:val="009F0C85"/>
    <w:rsid w:val="009F0CE1"/>
    <w:rsid w:val="009F0CE2"/>
    <w:rsid w:val="009F0F14"/>
    <w:rsid w:val="009F133C"/>
    <w:rsid w:val="009F1353"/>
    <w:rsid w:val="009F1688"/>
    <w:rsid w:val="009F188C"/>
    <w:rsid w:val="009F1A14"/>
    <w:rsid w:val="009F1A9D"/>
    <w:rsid w:val="009F1C38"/>
    <w:rsid w:val="009F1CDF"/>
    <w:rsid w:val="009F2243"/>
    <w:rsid w:val="009F22C6"/>
    <w:rsid w:val="009F2383"/>
    <w:rsid w:val="009F26FB"/>
    <w:rsid w:val="009F28FC"/>
    <w:rsid w:val="009F29F6"/>
    <w:rsid w:val="009F2A11"/>
    <w:rsid w:val="009F2C73"/>
    <w:rsid w:val="009F2C9C"/>
    <w:rsid w:val="009F2D82"/>
    <w:rsid w:val="009F300D"/>
    <w:rsid w:val="009F339C"/>
    <w:rsid w:val="009F341C"/>
    <w:rsid w:val="009F36AD"/>
    <w:rsid w:val="009F37C3"/>
    <w:rsid w:val="009F3A91"/>
    <w:rsid w:val="009F3B68"/>
    <w:rsid w:val="009F3C6E"/>
    <w:rsid w:val="009F3D76"/>
    <w:rsid w:val="009F3E7C"/>
    <w:rsid w:val="009F3FE9"/>
    <w:rsid w:val="009F4208"/>
    <w:rsid w:val="009F441B"/>
    <w:rsid w:val="009F44B8"/>
    <w:rsid w:val="009F466B"/>
    <w:rsid w:val="009F47D9"/>
    <w:rsid w:val="009F4BA3"/>
    <w:rsid w:val="009F4C70"/>
    <w:rsid w:val="009F4CE6"/>
    <w:rsid w:val="009F4D0C"/>
    <w:rsid w:val="009F4DDF"/>
    <w:rsid w:val="009F4F56"/>
    <w:rsid w:val="009F5142"/>
    <w:rsid w:val="009F546A"/>
    <w:rsid w:val="009F54C8"/>
    <w:rsid w:val="009F569C"/>
    <w:rsid w:val="009F56DC"/>
    <w:rsid w:val="009F57CA"/>
    <w:rsid w:val="009F5A0E"/>
    <w:rsid w:val="009F5C4C"/>
    <w:rsid w:val="009F5C6C"/>
    <w:rsid w:val="009F5CBA"/>
    <w:rsid w:val="009F5CE3"/>
    <w:rsid w:val="009F5D98"/>
    <w:rsid w:val="009F5EB9"/>
    <w:rsid w:val="009F61E3"/>
    <w:rsid w:val="009F631D"/>
    <w:rsid w:val="009F63A4"/>
    <w:rsid w:val="009F660C"/>
    <w:rsid w:val="009F668E"/>
    <w:rsid w:val="009F6E70"/>
    <w:rsid w:val="009F6F5A"/>
    <w:rsid w:val="009F700E"/>
    <w:rsid w:val="009F718C"/>
    <w:rsid w:val="009F71B7"/>
    <w:rsid w:val="009F7279"/>
    <w:rsid w:val="009F7A87"/>
    <w:rsid w:val="009F7AB5"/>
    <w:rsid w:val="009F7AC2"/>
    <w:rsid w:val="009F7E2F"/>
    <w:rsid w:val="00A00022"/>
    <w:rsid w:val="00A002CA"/>
    <w:rsid w:val="00A003DC"/>
    <w:rsid w:val="00A003F1"/>
    <w:rsid w:val="00A00442"/>
    <w:rsid w:val="00A0097F"/>
    <w:rsid w:val="00A00999"/>
    <w:rsid w:val="00A009B3"/>
    <w:rsid w:val="00A00AD0"/>
    <w:rsid w:val="00A00C99"/>
    <w:rsid w:val="00A00E42"/>
    <w:rsid w:val="00A00ED2"/>
    <w:rsid w:val="00A00FAB"/>
    <w:rsid w:val="00A01135"/>
    <w:rsid w:val="00A0149D"/>
    <w:rsid w:val="00A018FD"/>
    <w:rsid w:val="00A01A6E"/>
    <w:rsid w:val="00A01DCA"/>
    <w:rsid w:val="00A01EA5"/>
    <w:rsid w:val="00A01F2C"/>
    <w:rsid w:val="00A0218A"/>
    <w:rsid w:val="00A022C9"/>
    <w:rsid w:val="00A0234C"/>
    <w:rsid w:val="00A0237C"/>
    <w:rsid w:val="00A027D0"/>
    <w:rsid w:val="00A0282A"/>
    <w:rsid w:val="00A02976"/>
    <w:rsid w:val="00A02A7E"/>
    <w:rsid w:val="00A02AB3"/>
    <w:rsid w:val="00A02BE0"/>
    <w:rsid w:val="00A02E43"/>
    <w:rsid w:val="00A02F96"/>
    <w:rsid w:val="00A02FC1"/>
    <w:rsid w:val="00A03087"/>
    <w:rsid w:val="00A03670"/>
    <w:rsid w:val="00A0377C"/>
    <w:rsid w:val="00A03825"/>
    <w:rsid w:val="00A03968"/>
    <w:rsid w:val="00A039D5"/>
    <w:rsid w:val="00A03B88"/>
    <w:rsid w:val="00A03DBA"/>
    <w:rsid w:val="00A040D9"/>
    <w:rsid w:val="00A0423A"/>
    <w:rsid w:val="00A0436E"/>
    <w:rsid w:val="00A04387"/>
    <w:rsid w:val="00A043D5"/>
    <w:rsid w:val="00A045E5"/>
    <w:rsid w:val="00A04658"/>
    <w:rsid w:val="00A04867"/>
    <w:rsid w:val="00A049E1"/>
    <w:rsid w:val="00A04FAD"/>
    <w:rsid w:val="00A05035"/>
    <w:rsid w:val="00A050A7"/>
    <w:rsid w:val="00A050E2"/>
    <w:rsid w:val="00A0524D"/>
    <w:rsid w:val="00A052A3"/>
    <w:rsid w:val="00A054DC"/>
    <w:rsid w:val="00A05698"/>
    <w:rsid w:val="00A056B0"/>
    <w:rsid w:val="00A057C7"/>
    <w:rsid w:val="00A05A0B"/>
    <w:rsid w:val="00A05CEF"/>
    <w:rsid w:val="00A05D67"/>
    <w:rsid w:val="00A05E13"/>
    <w:rsid w:val="00A0601D"/>
    <w:rsid w:val="00A06073"/>
    <w:rsid w:val="00A064F7"/>
    <w:rsid w:val="00A06555"/>
    <w:rsid w:val="00A066C9"/>
    <w:rsid w:val="00A0671A"/>
    <w:rsid w:val="00A0678D"/>
    <w:rsid w:val="00A068E4"/>
    <w:rsid w:val="00A0690E"/>
    <w:rsid w:val="00A06955"/>
    <w:rsid w:val="00A06970"/>
    <w:rsid w:val="00A06AFB"/>
    <w:rsid w:val="00A06B5B"/>
    <w:rsid w:val="00A06C57"/>
    <w:rsid w:val="00A06D2B"/>
    <w:rsid w:val="00A06F9B"/>
    <w:rsid w:val="00A071B2"/>
    <w:rsid w:val="00A0758D"/>
    <w:rsid w:val="00A076E0"/>
    <w:rsid w:val="00A077A2"/>
    <w:rsid w:val="00A07853"/>
    <w:rsid w:val="00A079A4"/>
    <w:rsid w:val="00A07A5C"/>
    <w:rsid w:val="00A07C39"/>
    <w:rsid w:val="00A07D97"/>
    <w:rsid w:val="00A07E13"/>
    <w:rsid w:val="00A10133"/>
    <w:rsid w:val="00A10161"/>
    <w:rsid w:val="00A10383"/>
    <w:rsid w:val="00A104B3"/>
    <w:rsid w:val="00A105D7"/>
    <w:rsid w:val="00A10694"/>
    <w:rsid w:val="00A10772"/>
    <w:rsid w:val="00A108A5"/>
    <w:rsid w:val="00A10A4E"/>
    <w:rsid w:val="00A10D66"/>
    <w:rsid w:val="00A10E7F"/>
    <w:rsid w:val="00A10FE3"/>
    <w:rsid w:val="00A1106C"/>
    <w:rsid w:val="00A11203"/>
    <w:rsid w:val="00A11615"/>
    <w:rsid w:val="00A116A1"/>
    <w:rsid w:val="00A116F4"/>
    <w:rsid w:val="00A11B03"/>
    <w:rsid w:val="00A11D9E"/>
    <w:rsid w:val="00A11E8F"/>
    <w:rsid w:val="00A11F1B"/>
    <w:rsid w:val="00A12146"/>
    <w:rsid w:val="00A1227E"/>
    <w:rsid w:val="00A12334"/>
    <w:rsid w:val="00A123A4"/>
    <w:rsid w:val="00A124B0"/>
    <w:rsid w:val="00A126C3"/>
    <w:rsid w:val="00A12742"/>
    <w:rsid w:val="00A129AE"/>
    <w:rsid w:val="00A12B27"/>
    <w:rsid w:val="00A12BD2"/>
    <w:rsid w:val="00A12C49"/>
    <w:rsid w:val="00A12C6A"/>
    <w:rsid w:val="00A12C72"/>
    <w:rsid w:val="00A12D58"/>
    <w:rsid w:val="00A12FFE"/>
    <w:rsid w:val="00A130E4"/>
    <w:rsid w:val="00A13466"/>
    <w:rsid w:val="00A1372F"/>
    <w:rsid w:val="00A137BB"/>
    <w:rsid w:val="00A13B75"/>
    <w:rsid w:val="00A13EFD"/>
    <w:rsid w:val="00A140C2"/>
    <w:rsid w:val="00A1415B"/>
    <w:rsid w:val="00A14179"/>
    <w:rsid w:val="00A14496"/>
    <w:rsid w:val="00A14988"/>
    <w:rsid w:val="00A149F1"/>
    <w:rsid w:val="00A14AB1"/>
    <w:rsid w:val="00A14BFA"/>
    <w:rsid w:val="00A14BFF"/>
    <w:rsid w:val="00A14C64"/>
    <w:rsid w:val="00A14FB6"/>
    <w:rsid w:val="00A15264"/>
    <w:rsid w:val="00A15288"/>
    <w:rsid w:val="00A1535E"/>
    <w:rsid w:val="00A15404"/>
    <w:rsid w:val="00A15670"/>
    <w:rsid w:val="00A15804"/>
    <w:rsid w:val="00A159C3"/>
    <w:rsid w:val="00A15B57"/>
    <w:rsid w:val="00A15DC2"/>
    <w:rsid w:val="00A15DCB"/>
    <w:rsid w:val="00A163BF"/>
    <w:rsid w:val="00A1642C"/>
    <w:rsid w:val="00A16638"/>
    <w:rsid w:val="00A166CB"/>
    <w:rsid w:val="00A1683D"/>
    <w:rsid w:val="00A169FC"/>
    <w:rsid w:val="00A16A08"/>
    <w:rsid w:val="00A16B0F"/>
    <w:rsid w:val="00A16B59"/>
    <w:rsid w:val="00A16D26"/>
    <w:rsid w:val="00A1700E"/>
    <w:rsid w:val="00A17039"/>
    <w:rsid w:val="00A17089"/>
    <w:rsid w:val="00A170F0"/>
    <w:rsid w:val="00A172B2"/>
    <w:rsid w:val="00A17366"/>
    <w:rsid w:val="00A17508"/>
    <w:rsid w:val="00A17566"/>
    <w:rsid w:val="00A17909"/>
    <w:rsid w:val="00A17BD4"/>
    <w:rsid w:val="00A2014D"/>
    <w:rsid w:val="00A202D2"/>
    <w:rsid w:val="00A2052C"/>
    <w:rsid w:val="00A20639"/>
    <w:rsid w:val="00A20673"/>
    <w:rsid w:val="00A20729"/>
    <w:rsid w:val="00A2073E"/>
    <w:rsid w:val="00A20999"/>
    <w:rsid w:val="00A20B97"/>
    <w:rsid w:val="00A20BCD"/>
    <w:rsid w:val="00A21002"/>
    <w:rsid w:val="00A212E0"/>
    <w:rsid w:val="00A2135F"/>
    <w:rsid w:val="00A2151E"/>
    <w:rsid w:val="00A2176B"/>
    <w:rsid w:val="00A217EA"/>
    <w:rsid w:val="00A21A74"/>
    <w:rsid w:val="00A21ABB"/>
    <w:rsid w:val="00A21AEA"/>
    <w:rsid w:val="00A21C80"/>
    <w:rsid w:val="00A21D9B"/>
    <w:rsid w:val="00A21ED5"/>
    <w:rsid w:val="00A21F5C"/>
    <w:rsid w:val="00A22558"/>
    <w:rsid w:val="00A22687"/>
    <w:rsid w:val="00A22869"/>
    <w:rsid w:val="00A22C7D"/>
    <w:rsid w:val="00A22DD0"/>
    <w:rsid w:val="00A22F9B"/>
    <w:rsid w:val="00A23267"/>
    <w:rsid w:val="00A233AE"/>
    <w:rsid w:val="00A23501"/>
    <w:rsid w:val="00A23874"/>
    <w:rsid w:val="00A23964"/>
    <w:rsid w:val="00A239E5"/>
    <w:rsid w:val="00A23A44"/>
    <w:rsid w:val="00A24018"/>
    <w:rsid w:val="00A241B5"/>
    <w:rsid w:val="00A24245"/>
    <w:rsid w:val="00A24271"/>
    <w:rsid w:val="00A24992"/>
    <w:rsid w:val="00A24A44"/>
    <w:rsid w:val="00A24B31"/>
    <w:rsid w:val="00A24C60"/>
    <w:rsid w:val="00A25038"/>
    <w:rsid w:val="00A25091"/>
    <w:rsid w:val="00A254E8"/>
    <w:rsid w:val="00A2561F"/>
    <w:rsid w:val="00A2589A"/>
    <w:rsid w:val="00A259E4"/>
    <w:rsid w:val="00A25C3A"/>
    <w:rsid w:val="00A25CBE"/>
    <w:rsid w:val="00A25E34"/>
    <w:rsid w:val="00A25EC7"/>
    <w:rsid w:val="00A262E2"/>
    <w:rsid w:val="00A26437"/>
    <w:rsid w:val="00A2669B"/>
    <w:rsid w:val="00A26716"/>
    <w:rsid w:val="00A26844"/>
    <w:rsid w:val="00A26939"/>
    <w:rsid w:val="00A26A1D"/>
    <w:rsid w:val="00A26AB2"/>
    <w:rsid w:val="00A26AD7"/>
    <w:rsid w:val="00A26F25"/>
    <w:rsid w:val="00A27071"/>
    <w:rsid w:val="00A271CD"/>
    <w:rsid w:val="00A2723A"/>
    <w:rsid w:val="00A274DB"/>
    <w:rsid w:val="00A275E0"/>
    <w:rsid w:val="00A27902"/>
    <w:rsid w:val="00A27A3D"/>
    <w:rsid w:val="00A27B53"/>
    <w:rsid w:val="00A27B5A"/>
    <w:rsid w:val="00A27D3A"/>
    <w:rsid w:val="00A27D96"/>
    <w:rsid w:val="00A27FAE"/>
    <w:rsid w:val="00A30288"/>
    <w:rsid w:val="00A30443"/>
    <w:rsid w:val="00A305A9"/>
    <w:rsid w:val="00A30A0E"/>
    <w:rsid w:val="00A30C39"/>
    <w:rsid w:val="00A30D60"/>
    <w:rsid w:val="00A30F17"/>
    <w:rsid w:val="00A30F7E"/>
    <w:rsid w:val="00A311A4"/>
    <w:rsid w:val="00A313B2"/>
    <w:rsid w:val="00A315AB"/>
    <w:rsid w:val="00A31765"/>
    <w:rsid w:val="00A318BE"/>
    <w:rsid w:val="00A31B6F"/>
    <w:rsid w:val="00A31D63"/>
    <w:rsid w:val="00A31FB0"/>
    <w:rsid w:val="00A32677"/>
    <w:rsid w:val="00A327C4"/>
    <w:rsid w:val="00A32A47"/>
    <w:rsid w:val="00A32B9C"/>
    <w:rsid w:val="00A32CE1"/>
    <w:rsid w:val="00A32D00"/>
    <w:rsid w:val="00A32E63"/>
    <w:rsid w:val="00A33245"/>
    <w:rsid w:val="00A33252"/>
    <w:rsid w:val="00A3330B"/>
    <w:rsid w:val="00A3356D"/>
    <w:rsid w:val="00A33624"/>
    <w:rsid w:val="00A33707"/>
    <w:rsid w:val="00A33C34"/>
    <w:rsid w:val="00A33E17"/>
    <w:rsid w:val="00A34089"/>
    <w:rsid w:val="00A341CE"/>
    <w:rsid w:val="00A34354"/>
    <w:rsid w:val="00A34498"/>
    <w:rsid w:val="00A34516"/>
    <w:rsid w:val="00A346AB"/>
    <w:rsid w:val="00A348B1"/>
    <w:rsid w:val="00A35097"/>
    <w:rsid w:val="00A35134"/>
    <w:rsid w:val="00A35225"/>
    <w:rsid w:val="00A35251"/>
    <w:rsid w:val="00A3539A"/>
    <w:rsid w:val="00A35660"/>
    <w:rsid w:val="00A35774"/>
    <w:rsid w:val="00A358E8"/>
    <w:rsid w:val="00A359FC"/>
    <w:rsid w:val="00A35A2F"/>
    <w:rsid w:val="00A35B1D"/>
    <w:rsid w:val="00A35B3F"/>
    <w:rsid w:val="00A35C86"/>
    <w:rsid w:val="00A36045"/>
    <w:rsid w:val="00A3640E"/>
    <w:rsid w:val="00A3656C"/>
    <w:rsid w:val="00A366D7"/>
    <w:rsid w:val="00A36701"/>
    <w:rsid w:val="00A36AD3"/>
    <w:rsid w:val="00A36D85"/>
    <w:rsid w:val="00A36EC1"/>
    <w:rsid w:val="00A36F4D"/>
    <w:rsid w:val="00A37188"/>
    <w:rsid w:val="00A371BD"/>
    <w:rsid w:val="00A37647"/>
    <w:rsid w:val="00A3770A"/>
    <w:rsid w:val="00A3791E"/>
    <w:rsid w:val="00A37DCB"/>
    <w:rsid w:val="00A37ECB"/>
    <w:rsid w:val="00A37F0D"/>
    <w:rsid w:val="00A37F74"/>
    <w:rsid w:val="00A402F5"/>
    <w:rsid w:val="00A40311"/>
    <w:rsid w:val="00A404F3"/>
    <w:rsid w:val="00A40599"/>
    <w:rsid w:val="00A409A2"/>
    <w:rsid w:val="00A40B15"/>
    <w:rsid w:val="00A40F48"/>
    <w:rsid w:val="00A41043"/>
    <w:rsid w:val="00A411C9"/>
    <w:rsid w:val="00A4131E"/>
    <w:rsid w:val="00A41511"/>
    <w:rsid w:val="00A417FE"/>
    <w:rsid w:val="00A4181B"/>
    <w:rsid w:val="00A4196B"/>
    <w:rsid w:val="00A41ED4"/>
    <w:rsid w:val="00A41F3A"/>
    <w:rsid w:val="00A41FC1"/>
    <w:rsid w:val="00A42240"/>
    <w:rsid w:val="00A423B9"/>
    <w:rsid w:val="00A4245B"/>
    <w:rsid w:val="00A4280F"/>
    <w:rsid w:val="00A42B0B"/>
    <w:rsid w:val="00A42D44"/>
    <w:rsid w:val="00A42E22"/>
    <w:rsid w:val="00A42E82"/>
    <w:rsid w:val="00A42FE1"/>
    <w:rsid w:val="00A43002"/>
    <w:rsid w:val="00A430ED"/>
    <w:rsid w:val="00A433BD"/>
    <w:rsid w:val="00A435E5"/>
    <w:rsid w:val="00A436BF"/>
    <w:rsid w:val="00A437F2"/>
    <w:rsid w:val="00A43CC9"/>
    <w:rsid w:val="00A43DE8"/>
    <w:rsid w:val="00A43F65"/>
    <w:rsid w:val="00A43F75"/>
    <w:rsid w:val="00A441A0"/>
    <w:rsid w:val="00A44211"/>
    <w:rsid w:val="00A44290"/>
    <w:rsid w:val="00A443D5"/>
    <w:rsid w:val="00A446D0"/>
    <w:rsid w:val="00A447C8"/>
    <w:rsid w:val="00A44AF6"/>
    <w:rsid w:val="00A44D5E"/>
    <w:rsid w:val="00A44EBE"/>
    <w:rsid w:val="00A450FE"/>
    <w:rsid w:val="00A4582B"/>
    <w:rsid w:val="00A4585F"/>
    <w:rsid w:val="00A45A71"/>
    <w:rsid w:val="00A45AB0"/>
    <w:rsid w:val="00A45CFB"/>
    <w:rsid w:val="00A45EEB"/>
    <w:rsid w:val="00A461FD"/>
    <w:rsid w:val="00A46262"/>
    <w:rsid w:val="00A46466"/>
    <w:rsid w:val="00A46627"/>
    <w:rsid w:val="00A4675C"/>
    <w:rsid w:val="00A46852"/>
    <w:rsid w:val="00A46B0C"/>
    <w:rsid w:val="00A46E7F"/>
    <w:rsid w:val="00A46EC0"/>
    <w:rsid w:val="00A470A9"/>
    <w:rsid w:val="00A4712A"/>
    <w:rsid w:val="00A47239"/>
    <w:rsid w:val="00A4728B"/>
    <w:rsid w:val="00A47442"/>
    <w:rsid w:val="00A4748A"/>
    <w:rsid w:val="00A475AE"/>
    <w:rsid w:val="00A47ABE"/>
    <w:rsid w:val="00A47CE3"/>
    <w:rsid w:val="00A47D1A"/>
    <w:rsid w:val="00A47F1A"/>
    <w:rsid w:val="00A47F35"/>
    <w:rsid w:val="00A501BA"/>
    <w:rsid w:val="00A502D0"/>
    <w:rsid w:val="00A50765"/>
    <w:rsid w:val="00A5084E"/>
    <w:rsid w:val="00A50BF8"/>
    <w:rsid w:val="00A50EB8"/>
    <w:rsid w:val="00A50EF4"/>
    <w:rsid w:val="00A5117A"/>
    <w:rsid w:val="00A512CB"/>
    <w:rsid w:val="00A5145C"/>
    <w:rsid w:val="00A5199A"/>
    <w:rsid w:val="00A51A0E"/>
    <w:rsid w:val="00A51A83"/>
    <w:rsid w:val="00A51FD9"/>
    <w:rsid w:val="00A521B6"/>
    <w:rsid w:val="00A521E3"/>
    <w:rsid w:val="00A523E7"/>
    <w:rsid w:val="00A52558"/>
    <w:rsid w:val="00A525D5"/>
    <w:rsid w:val="00A527F6"/>
    <w:rsid w:val="00A52A6A"/>
    <w:rsid w:val="00A52AB1"/>
    <w:rsid w:val="00A52C17"/>
    <w:rsid w:val="00A52C79"/>
    <w:rsid w:val="00A52D2B"/>
    <w:rsid w:val="00A52DD7"/>
    <w:rsid w:val="00A5301E"/>
    <w:rsid w:val="00A532C1"/>
    <w:rsid w:val="00A53326"/>
    <w:rsid w:val="00A53339"/>
    <w:rsid w:val="00A533E5"/>
    <w:rsid w:val="00A53462"/>
    <w:rsid w:val="00A534BF"/>
    <w:rsid w:val="00A535E0"/>
    <w:rsid w:val="00A536A4"/>
    <w:rsid w:val="00A536FC"/>
    <w:rsid w:val="00A5387C"/>
    <w:rsid w:val="00A5389D"/>
    <w:rsid w:val="00A53A85"/>
    <w:rsid w:val="00A53ABD"/>
    <w:rsid w:val="00A53B2B"/>
    <w:rsid w:val="00A53BE3"/>
    <w:rsid w:val="00A53F25"/>
    <w:rsid w:val="00A53FC9"/>
    <w:rsid w:val="00A5404B"/>
    <w:rsid w:val="00A540E3"/>
    <w:rsid w:val="00A54353"/>
    <w:rsid w:val="00A54464"/>
    <w:rsid w:val="00A544F4"/>
    <w:rsid w:val="00A5455B"/>
    <w:rsid w:val="00A546B6"/>
    <w:rsid w:val="00A54B86"/>
    <w:rsid w:val="00A55021"/>
    <w:rsid w:val="00A550F1"/>
    <w:rsid w:val="00A55367"/>
    <w:rsid w:val="00A55489"/>
    <w:rsid w:val="00A555E5"/>
    <w:rsid w:val="00A55815"/>
    <w:rsid w:val="00A55C4C"/>
    <w:rsid w:val="00A5626E"/>
    <w:rsid w:val="00A562CF"/>
    <w:rsid w:val="00A56546"/>
    <w:rsid w:val="00A56567"/>
    <w:rsid w:val="00A56654"/>
    <w:rsid w:val="00A566E2"/>
    <w:rsid w:val="00A568D6"/>
    <w:rsid w:val="00A56975"/>
    <w:rsid w:val="00A570C4"/>
    <w:rsid w:val="00A57266"/>
    <w:rsid w:val="00A5749D"/>
    <w:rsid w:val="00A5772D"/>
    <w:rsid w:val="00A5775D"/>
    <w:rsid w:val="00A577F8"/>
    <w:rsid w:val="00A57C03"/>
    <w:rsid w:val="00A57CD4"/>
    <w:rsid w:val="00A57EEC"/>
    <w:rsid w:val="00A57F29"/>
    <w:rsid w:val="00A6002A"/>
    <w:rsid w:val="00A60037"/>
    <w:rsid w:val="00A6029F"/>
    <w:rsid w:val="00A602A6"/>
    <w:rsid w:val="00A60449"/>
    <w:rsid w:val="00A606C9"/>
    <w:rsid w:val="00A60A63"/>
    <w:rsid w:val="00A60BDB"/>
    <w:rsid w:val="00A60D3D"/>
    <w:rsid w:val="00A60ED5"/>
    <w:rsid w:val="00A61364"/>
    <w:rsid w:val="00A616CA"/>
    <w:rsid w:val="00A616DB"/>
    <w:rsid w:val="00A61729"/>
    <w:rsid w:val="00A61768"/>
    <w:rsid w:val="00A61776"/>
    <w:rsid w:val="00A617BA"/>
    <w:rsid w:val="00A619FA"/>
    <w:rsid w:val="00A61EF1"/>
    <w:rsid w:val="00A62032"/>
    <w:rsid w:val="00A6206B"/>
    <w:rsid w:val="00A62332"/>
    <w:rsid w:val="00A6247C"/>
    <w:rsid w:val="00A6248D"/>
    <w:rsid w:val="00A6282A"/>
    <w:rsid w:val="00A6294D"/>
    <w:rsid w:val="00A62A6C"/>
    <w:rsid w:val="00A62E79"/>
    <w:rsid w:val="00A62F67"/>
    <w:rsid w:val="00A630D9"/>
    <w:rsid w:val="00A63D25"/>
    <w:rsid w:val="00A63D67"/>
    <w:rsid w:val="00A64347"/>
    <w:rsid w:val="00A644FC"/>
    <w:rsid w:val="00A645B9"/>
    <w:rsid w:val="00A6477D"/>
    <w:rsid w:val="00A6499F"/>
    <w:rsid w:val="00A64D90"/>
    <w:rsid w:val="00A64DA0"/>
    <w:rsid w:val="00A64FFE"/>
    <w:rsid w:val="00A65056"/>
    <w:rsid w:val="00A6526F"/>
    <w:rsid w:val="00A656A3"/>
    <w:rsid w:val="00A658C0"/>
    <w:rsid w:val="00A65ABE"/>
    <w:rsid w:val="00A65BF9"/>
    <w:rsid w:val="00A65DBF"/>
    <w:rsid w:val="00A6605E"/>
    <w:rsid w:val="00A660D6"/>
    <w:rsid w:val="00A661B9"/>
    <w:rsid w:val="00A6628E"/>
    <w:rsid w:val="00A662E6"/>
    <w:rsid w:val="00A663D7"/>
    <w:rsid w:val="00A66555"/>
    <w:rsid w:val="00A6656C"/>
    <w:rsid w:val="00A66571"/>
    <w:rsid w:val="00A668F6"/>
    <w:rsid w:val="00A6690B"/>
    <w:rsid w:val="00A669F3"/>
    <w:rsid w:val="00A66A50"/>
    <w:rsid w:val="00A66AD7"/>
    <w:rsid w:val="00A66CDD"/>
    <w:rsid w:val="00A66E6F"/>
    <w:rsid w:val="00A6708C"/>
    <w:rsid w:val="00A6765A"/>
    <w:rsid w:val="00A676BD"/>
    <w:rsid w:val="00A679A2"/>
    <w:rsid w:val="00A67CCC"/>
    <w:rsid w:val="00A67FAC"/>
    <w:rsid w:val="00A70221"/>
    <w:rsid w:val="00A70299"/>
    <w:rsid w:val="00A705C8"/>
    <w:rsid w:val="00A70710"/>
    <w:rsid w:val="00A7072B"/>
    <w:rsid w:val="00A70843"/>
    <w:rsid w:val="00A70A5D"/>
    <w:rsid w:val="00A70EB1"/>
    <w:rsid w:val="00A70F51"/>
    <w:rsid w:val="00A71152"/>
    <w:rsid w:val="00A71375"/>
    <w:rsid w:val="00A71424"/>
    <w:rsid w:val="00A714E7"/>
    <w:rsid w:val="00A717B4"/>
    <w:rsid w:val="00A71806"/>
    <w:rsid w:val="00A718F7"/>
    <w:rsid w:val="00A719BC"/>
    <w:rsid w:val="00A71B68"/>
    <w:rsid w:val="00A71C2D"/>
    <w:rsid w:val="00A71E47"/>
    <w:rsid w:val="00A71FDF"/>
    <w:rsid w:val="00A71FE0"/>
    <w:rsid w:val="00A72243"/>
    <w:rsid w:val="00A7229D"/>
    <w:rsid w:val="00A72366"/>
    <w:rsid w:val="00A723AA"/>
    <w:rsid w:val="00A7263A"/>
    <w:rsid w:val="00A726DB"/>
    <w:rsid w:val="00A727C7"/>
    <w:rsid w:val="00A728C1"/>
    <w:rsid w:val="00A728E0"/>
    <w:rsid w:val="00A728F3"/>
    <w:rsid w:val="00A72A7F"/>
    <w:rsid w:val="00A72BF3"/>
    <w:rsid w:val="00A72CF8"/>
    <w:rsid w:val="00A72D26"/>
    <w:rsid w:val="00A72F7D"/>
    <w:rsid w:val="00A7313D"/>
    <w:rsid w:val="00A73156"/>
    <w:rsid w:val="00A73350"/>
    <w:rsid w:val="00A73481"/>
    <w:rsid w:val="00A73531"/>
    <w:rsid w:val="00A73664"/>
    <w:rsid w:val="00A73673"/>
    <w:rsid w:val="00A73A18"/>
    <w:rsid w:val="00A73B25"/>
    <w:rsid w:val="00A73B9A"/>
    <w:rsid w:val="00A73D2A"/>
    <w:rsid w:val="00A73E8E"/>
    <w:rsid w:val="00A73EAD"/>
    <w:rsid w:val="00A74230"/>
    <w:rsid w:val="00A7449A"/>
    <w:rsid w:val="00A74603"/>
    <w:rsid w:val="00A7467C"/>
    <w:rsid w:val="00A7468C"/>
    <w:rsid w:val="00A74849"/>
    <w:rsid w:val="00A74C1E"/>
    <w:rsid w:val="00A74E5C"/>
    <w:rsid w:val="00A7508C"/>
    <w:rsid w:val="00A75399"/>
    <w:rsid w:val="00A75443"/>
    <w:rsid w:val="00A755E5"/>
    <w:rsid w:val="00A758CA"/>
    <w:rsid w:val="00A75BEA"/>
    <w:rsid w:val="00A75D5F"/>
    <w:rsid w:val="00A75F03"/>
    <w:rsid w:val="00A75F7B"/>
    <w:rsid w:val="00A760A4"/>
    <w:rsid w:val="00A7618A"/>
    <w:rsid w:val="00A7633D"/>
    <w:rsid w:val="00A7636E"/>
    <w:rsid w:val="00A76376"/>
    <w:rsid w:val="00A764F3"/>
    <w:rsid w:val="00A76572"/>
    <w:rsid w:val="00A7692C"/>
    <w:rsid w:val="00A76A69"/>
    <w:rsid w:val="00A76B50"/>
    <w:rsid w:val="00A76B8C"/>
    <w:rsid w:val="00A76C10"/>
    <w:rsid w:val="00A76C24"/>
    <w:rsid w:val="00A76CEC"/>
    <w:rsid w:val="00A77045"/>
    <w:rsid w:val="00A770D7"/>
    <w:rsid w:val="00A77384"/>
    <w:rsid w:val="00A7741E"/>
    <w:rsid w:val="00A77480"/>
    <w:rsid w:val="00A7749F"/>
    <w:rsid w:val="00A8014D"/>
    <w:rsid w:val="00A8031D"/>
    <w:rsid w:val="00A80659"/>
    <w:rsid w:val="00A807A7"/>
    <w:rsid w:val="00A807C3"/>
    <w:rsid w:val="00A807D8"/>
    <w:rsid w:val="00A80813"/>
    <w:rsid w:val="00A80898"/>
    <w:rsid w:val="00A80912"/>
    <w:rsid w:val="00A8097F"/>
    <w:rsid w:val="00A80B4F"/>
    <w:rsid w:val="00A80C74"/>
    <w:rsid w:val="00A80EF7"/>
    <w:rsid w:val="00A80F59"/>
    <w:rsid w:val="00A8117F"/>
    <w:rsid w:val="00A811E1"/>
    <w:rsid w:val="00A81331"/>
    <w:rsid w:val="00A81879"/>
    <w:rsid w:val="00A8191C"/>
    <w:rsid w:val="00A81D50"/>
    <w:rsid w:val="00A81E6F"/>
    <w:rsid w:val="00A81EA2"/>
    <w:rsid w:val="00A821BE"/>
    <w:rsid w:val="00A821D8"/>
    <w:rsid w:val="00A822D2"/>
    <w:rsid w:val="00A8242D"/>
    <w:rsid w:val="00A82726"/>
    <w:rsid w:val="00A82D3B"/>
    <w:rsid w:val="00A82D60"/>
    <w:rsid w:val="00A82E27"/>
    <w:rsid w:val="00A82EF2"/>
    <w:rsid w:val="00A83263"/>
    <w:rsid w:val="00A838A4"/>
    <w:rsid w:val="00A839F2"/>
    <w:rsid w:val="00A83CE4"/>
    <w:rsid w:val="00A83F2D"/>
    <w:rsid w:val="00A83FFB"/>
    <w:rsid w:val="00A84025"/>
    <w:rsid w:val="00A840CA"/>
    <w:rsid w:val="00A8417C"/>
    <w:rsid w:val="00A844E7"/>
    <w:rsid w:val="00A8464F"/>
    <w:rsid w:val="00A8473E"/>
    <w:rsid w:val="00A84973"/>
    <w:rsid w:val="00A84A5A"/>
    <w:rsid w:val="00A84BFC"/>
    <w:rsid w:val="00A84C75"/>
    <w:rsid w:val="00A84CE8"/>
    <w:rsid w:val="00A84D9C"/>
    <w:rsid w:val="00A851E1"/>
    <w:rsid w:val="00A8527B"/>
    <w:rsid w:val="00A856E7"/>
    <w:rsid w:val="00A85829"/>
    <w:rsid w:val="00A8593E"/>
    <w:rsid w:val="00A85951"/>
    <w:rsid w:val="00A860F7"/>
    <w:rsid w:val="00A86107"/>
    <w:rsid w:val="00A861D2"/>
    <w:rsid w:val="00A8632A"/>
    <w:rsid w:val="00A86367"/>
    <w:rsid w:val="00A8649A"/>
    <w:rsid w:val="00A864E6"/>
    <w:rsid w:val="00A86D86"/>
    <w:rsid w:val="00A86E66"/>
    <w:rsid w:val="00A86E8C"/>
    <w:rsid w:val="00A872B0"/>
    <w:rsid w:val="00A87662"/>
    <w:rsid w:val="00A876D1"/>
    <w:rsid w:val="00A87966"/>
    <w:rsid w:val="00A87DE4"/>
    <w:rsid w:val="00A87F70"/>
    <w:rsid w:val="00A90000"/>
    <w:rsid w:val="00A90225"/>
    <w:rsid w:val="00A9023F"/>
    <w:rsid w:val="00A905D5"/>
    <w:rsid w:val="00A906D5"/>
    <w:rsid w:val="00A909BD"/>
    <w:rsid w:val="00A90DB9"/>
    <w:rsid w:val="00A90E25"/>
    <w:rsid w:val="00A90F17"/>
    <w:rsid w:val="00A90FB8"/>
    <w:rsid w:val="00A9112E"/>
    <w:rsid w:val="00A916AC"/>
    <w:rsid w:val="00A916FD"/>
    <w:rsid w:val="00A91A02"/>
    <w:rsid w:val="00A91ABC"/>
    <w:rsid w:val="00A91B2E"/>
    <w:rsid w:val="00A91C53"/>
    <w:rsid w:val="00A91DB8"/>
    <w:rsid w:val="00A91EA7"/>
    <w:rsid w:val="00A91FAE"/>
    <w:rsid w:val="00A91FC5"/>
    <w:rsid w:val="00A92383"/>
    <w:rsid w:val="00A926E3"/>
    <w:rsid w:val="00A92834"/>
    <w:rsid w:val="00A92909"/>
    <w:rsid w:val="00A92AC0"/>
    <w:rsid w:val="00A92AF8"/>
    <w:rsid w:val="00A92C86"/>
    <w:rsid w:val="00A92E11"/>
    <w:rsid w:val="00A92E50"/>
    <w:rsid w:val="00A92EB7"/>
    <w:rsid w:val="00A92F12"/>
    <w:rsid w:val="00A92FDB"/>
    <w:rsid w:val="00A93088"/>
    <w:rsid w:val="00A93356"/>
    <w:rsid w:val="00A93379"/>
    <w:rsid w:val="00A933CC"/>
    <w:rsid w:val="00A93413"/>
    <w:rsid w:val="00A93567"/>
    <w:rsid w:val="00A93584"/>
    <w:rsid w:val="00A93799"/>
    <w:rsid w:val="00A938A1"/>
    <w:rsid w:val="00A938CD"/>
    <w:rsid w:val="00A93A84"/>
    <w:rsid w:val="00A93D6F"/>
    <w:rsid w:val="00A93D75"/>
    <w:rsid w:val="00A93DE2"/>
    <w:rsid w:val="00A93E85"/>
    <w:rsid w:val="00A93ECF"/>
    <w:rsid w:val="00A93FA9"/>
    <w:rsid w:val="00A940BE"/>
    <w:rsid w:val="00A94246"/>
    <w:rsid w:val="00A949EA"/>
    <w:rsid w:val="00A94BE4"/>
    <w:rsid w:val="00A950AC"/>
    <w:rsid w:val="00A954BE"/>
    <w:rsid w:val="00A9561E"/>
    <w:rsid w:val="00A9574A"/>
    <w:rsid w:val="00A95842"/>
    <w:rsid w:val="00A95D24"/>
    <w:rsid w:val="00A960CD"/>
    <w:rsid w:val="00A9611C"/>
    <w:rsid w:val="00A961F4"/>
    <w:rsid w:val="00A962AD"/>
    <w:rsid w:val="00A962C9"/>
    <w:rsid w:val="00A96427"/>
    <w:rsid w:val="00A9685C"/>
    <w:rsid w:val="00A96FBC"/>
    <w:rsid w:val="00A97320"/>
    <w:rsid w:val="00A97378"/>
    <w:rsid w:val="00A9737D"/>
    <w:rsid w:val="00A9769F"/>
    <w:rsid w:val="00A976B6"/>
    <w:rsid w:val="00A97817"/>
    <w:rsid w:val="00A97C10"/>
    <w:rsid w:val="00A97FB5"/>
    <w:rsid w:val="00AA0020"/>
    <w:rsid w:val="00AA0470"/>
    <w:rsid w:val="00AA0508"/>
    <w:rsid w:val="00AA05F6"/>
    <w:rsid w:val="00AA0D18"/>
    <w:rsid w:val="00AA0FFB"/>
    <w:rsid w:val="00AA1304"/>
    <w:rsid w:val="00AA131C"/>
    <w:rsid w:val="00AA13BD"/>
    <w:rsid w:val="00AA13C3"/>
    <w:rsid w:val="00AA1653"/>
    <w:rsid w:val="00AA1868"/>
    <w:rsid w:val="00AA1962"/>
    <w:rsid w:val="00AA1B98"/>
    <w:rsid w:val="00AA1D62"/>
    <w:rsid w:val="00AA1DD1"/>
    <w:rsid w:val="00AA1DF5"/>
    <w:rsid w:val="00AA1E4C"/>
    <w:rsid w:val="00AA1F66"/>
    <w:rsid w:val="00AA22EB"/>
    <w:rsid w:val="00AA2398"/>
    <w:rsid w:val="00AA23AE"/>
    <w:rsid w:val="00AA2483"/>
    <w:rsid w:val="00AA24F2"/>
    <w:rsid w:val="00AA2648"/>
    <w:rsid w:val="00AA281E"/>
    <w:rsid w:val="00AA2A2F"/>
    <w:rsid w:val="00AA2B8E"/>
    <w:rsid w:val="00AA2D43"/>
    <w:rsid w:val="00AA3043"/>
    <w:rsid w:val="00AA3182"/>
    <w:rsid w:val="00AA3230"/>
    <w:rsid w:val="00AA33E2"/>
    <w:rsid w:val="00AA3485"/>
    <w:rsid w:val="00AA354E"/>
    <w:rsid w:val="00AA357B"/>
    <w:rsid w:val="00AA36F4"/>
    <w:rsid w:val="00AA3847"/>
    <w:rsid w:val="00AA397F"/>
    <w:rsid w:val="00AA3998"/>
    <w:rsid w:val="00AA3BF9"/>
    <w:rsid w:val="00AA40A0"/>
    <w:rsid w:val="00AA42B5"/>
    <w:rsid w:val="00AA44AD"/>
    <w:rsid w:val="00AA488C"/>
    <w:rsid w:val="00AA4A17"/>
    <w:rsid w:val="00AA4ABA"/>
    <w:rsid w:val="00AA4D25"/>
    <w:rsid w:val="00AA4D5B"/>
    <w:rsid w:val="00AA4EC8"/>
    <w:rsid w:val="00AA5309"/>
    <w:rsid w:val="00AA5453"/>
    <w:rsid w:val="00AA5583"/>
    <w:rsid w:val="00AA562D"/>
    <w:rsid w:val="00AA574E"/>
    <w:rsid w:val="00AA5811"/>
    <w:rsid w:val="00AA59C0"/>
    <w:rsid w:val="00AA5B3B"/>
    <w:rsid w:val="00AA5D9E"/>
    <w:rsid w:val="00AA5DF9"/>
    <w:rsid w:val="00AA5EA6"/>
    <w:rsid w:val="00AA6156"/>
    <w:rsid w:val="00AA61ED"/>
    <w:rsid w:val="00AA6241"/>
    <w:rsid w:val="00AA6417"/>
    <w:rsid w:val="00AA642E"/>
    <w:rsid w:val="00AA6450"/>
    <w:rsid w:val="00AA662F"/>
    <w:rsid w:val="00AA6A31"/>
    <w:rsid w:val="00AA6AB9"/>
    <w:rsid w:val="00AA6BA7"/>
    <w:rsid w:val="00AA6BAB"/>
    <w:rsid w:val="00AA6F2F"/>
    <w:rsid w:val="00AA744D"/>
    <w:rsid w:val="00AA74C2"/>
    <w:rsid w:val="00AA754D"/>
    <w:rsid w:val="00AA7681"/>
    <w:rsid w:val="00AA7A35"/>
    <w:rsid w:val="00AA7AD3"/>
    <w:rsid w:val="00AA7E9A"/>
    <w:rsid w:val="00AB016A"/>
    <w:rsid w:val="00AB057D"/>
    <w:rsid w:val="00AB05A4"/>
    <w:rsid w:val="00AB0AFF"/>
    <w:rsid w:val="00AB0C10"/>
    <w:rsid w:val="00AB0D99"/>
    <w:rsid w:val="00AB0F9D"/>
    <w:rsid w:val="00AB10D0"/>
    <w:rsid w:val="00AB1265"/>
    <w:rsid w:val="00AB13C8"/>
    <w:rsid w:val="00AB1515"/>
    <w:rsid w:val="00AB19AA"/>
    <w:rsid w:val="00AB19C8"/>
    <w:rsid w:val="00AB1A59"/>
    <w:rsid w:val="00AB1B09"/>
    <w:rsid w:val="00AB1B28"/>
    <w:rsid w:val="00AB1C25"/>
    <w:rsid w:val="00AB1D4B"/>
    <w:rsid w:val="00AB1EDF"/>
    <w:rsid w:val="00AB1F9D"/>
    <w:rsid w:val="00AB1FAD"/>
    <w:rsid w:val="00AB21E2"/>
    <w:rsid w:val="00AB23C6"/>
    <w:rsid w:val="00AB23E9"/>
    <w:rsid w:val="00AB242D"/>
    <w:rsid w:val="00AB2469"/>
    <w:rsid w:val="00AB2694"/>
    <w:rsid w:val="00AB276A"/>
    <w:rsid w:val="00AB2815"/>
    <w:rsid w:val="00AB2861"/>
    <w:rsid w:val="00AB28EF"/>
    <w:rsid w:val="00AB2B80"/>
    <w:rsid w:val="00AB2C38"/>
    <w:rsid w:val="00AB2E76"/>
    <w:rsid w:val="00AB2ED1"/>
    <w:rsid w:val="00AB302A"/>
    <w:rsid w:val="00AB3093"/>
    <w:rsid w:val="00AB32C1"/>
    <w:rsid w:val="00AB32DF"/>
    <w:rsid w:val="00AB343C"/>
    <w:rsid w:val="00AB3768"/>
    <w:rsid w:val="00AB37D3"/>
    <w:rsid w:val="00AB3936"/>
    <w:rsid w:val="00AB3AD6"/>
    <w:rsid w:val="00AB3BE0"/>
    <w:rsid w:val="00AB3C5F"/>
    <w:rsid w:val="00AB42C8"/>
    <w:rsid w:val="00AB45CF"/>
    <w:rsid w:val="00AB467C"/>
    <w:rsid w:val="00AB46A5"/>
    <w:rsid w:val="00AB46D4"/>
    <w:rsid w:val="00AB474E"/>
    <w:rsid w:val="00AB4897"/>
    <w:rsid w:val="00AB48C8"/>
    <w:rsid w:val="00AB4953"/>
    <w:rsid w:val="00AB4B8E"/>
    <w:rsid w:val="00AB4BA1"/>
    <w:rsid w:val="00AB4D61"/>
    <w:rsid w:val="00AB4DC0"/>
    <w:rsid w:val="00AB4EA8"/>
    <w:rsid w:val="00AB5037"/>
    <w:rsid w:val="00AB50B1"/>
    <w:rsid w:val="00AB5110"/>
    <w:rsid w:val="00AB51DA"/>
    <w:rsid w:val="00AB55A9"/>
    <w:rsid w:val="00AB563F"/>
    <w:rsid w:val="00AB5960"/>
    <w:rsid w:val="00AB59A1"/>
    <w:rsid w:val="00AB5ACE"/>
    <w:rsid w:val="00AB5B7D"/>
    <w:rsid w:val="00AB5CDA"/>
    <w:rsid w:val="00AB604B"/>
    <w:rsid w:val="00AB6132"/>
    <w:rsid w:val="00AB63A7"/>
    <w:rsid w:val="00AB6449"/>
    <w:rsid w:val="00AB6924"/>
    <w:rsid w:val="00AB6934"/>
    <w:rsid w:val="00AB6A75"/>
    <w:rsid w:val="00AB6B81"/>
    <w:rsid w:val="00AB6C37"/>
    <w:rsid w:val="00AB6F83"/>
    <w:rsid w:val="00AB7101"/>
    <w:rsid w:val="00AB7473"/>
    <w:rsid w:val="00AB757E"/>
    <w:rsid w:val="00AB7785"/>
    <w:rsid w:val="00AB78C6"/>
    <w:rsid w:val="00AB7960"/>
    <w:rsid w:val="00AB7A99"/>
    <w:rsid w:val="00AB7BB2"/>
    <w:rsid w:val="00AB7C8D"/>
    <w:rsid w:val="00AB7E92"/>
    <w:rsid w:val="00AB7F82"/>
    <w:rsid w:val="00AC0454"/>
    <w:rsid w:val="00AC0487"/>
    <w:rsid w:val="00AC0503"/>
    <w:rsid w:val="00AC054B"/>
    <w:rsid w:val="00AC0761"/>
    <w:rsid w:val="00AC081C"/>
    <w:rsid w:val="00AC0877"/>
    <w:rsid w:val="00AC09DC"/>
    <w:rsid w:val="00AC0A25"/>
    <w:rsid w:val="00AC0AA4"/>
    <w:rsid w:val="00AC0CCF"/>
    <w:rsid w:val="00AC0D1B"/>
    <w:rsid w:val="00AC0F9B"/>
    <w:rsid w:val="00AC10C0"/>
    <w:rsid w:val="00AC118E"/>
    <w:rsid w:val="00AC12BC"/>
    <w:rsid w:val="00AC12D2"/>
    <w:rsid w:val="00AC16F1"/>
    <w:rsid w:val="00AC1742"/>
    <w:rsid w:val="00AC1781"/>
    <w:rsid w:val="00AC19EA"/>
    <w:rsid w:val="00AC19FF"/>
    <w:rsid w:val="00AC1ACF"/>
    <w:rsid w:val="00AC1C35"/>
    <w:rsid w:val="00AC1CC5"/>
    <w:rsid w:val="00AC1DF7"/>
    <w:rsid w:val="00AC1E8D"/>
    <w:rsid w:val="00AC201E"/>
    <w:rsid w:val="00AC20E2"/>
    <w:rsid w:val="00AC2132"/>
    <w:rsid w:val="00AC2157"/>
    <w:rsid w:val="00AC2245"/>
    <w:rsid w:val="00AC22BD"/>
    <w:rsid w:val="00AC2339"/>
    <w:rsid w:val="00AC265A"/>
    <w:rsid w:val="00AC2817"/>
    <w:rsid w:val="00AC28A8"/>
    <w:rsid w:val="00AC2DE1"/>
    <w:rsid w:val="00AC2EB1"/>
    <w:rsid w:val="00AC305D"/>
    <w:rsid w:val="00AC30F0"/>
    <w:rsid w:val="00AC328E"/>
    <w:rsid w:val="00AC3582"/>
    <w:rsid w:val="00AC35B9"/>
    <w:rsid w:val="00AC3988"/>
    <w:rsid w:val="00AC3B24"/>
    <w:rsid w:val="00AC3B74"/>
    <w:rsid w:val="00AC3C24"/>
    <w:rsid w:val="00AC3E61"/>
    <w:rsid w:val="00AC40DD"/>
    <w:rsid w:val="00AC43DF"/>
    <w:rsid w:val="00AC46BC"/>
    <w:rsid w:val="00AC4717"/>
    <w:rsid w:val="00AC47C9"/>
    <w:rsid w:val="00AC4C17"/>
    <w:rsid w:val="00AC4F9B"/>
    <w:rsid w:val="00AC5039"/>
    <w:rsid w:val="00AC50FF"/>
    <w:rsid w:val="00AC5450"/>
    <w:rsid w:val="00AC54DB"/>
    <w:rsid w:val="00AC5724"/>
    <w:rsid w:val="00AC58A4"/>
    <w:rsid w:val="00AC58D6"/>
    <w:rsid w:val="00AC5BB1"/>
    <w:rsid w:val="00AC5DE1"/>
    <w:rsid w:val="00AC5E92"/>
    <w:rsid w:val="00AC5F58"/>
    <w:rsid w:val="00AC6093"/>
    <w:rsid w:val="00AC627A"/>
    <w:rsid w:val="00AC63FB"/>
    <w:rsid w:val="00AC664C"/>
    <w:rsid w:val="00AC68C2"/>
    <w:rsid w:val="00AC6B38"/>
    <w:rsid w:val="00AC6C6A"/>
    <w:rsid w:val="00AC6D7C"/>
    <w:rsid w:val="00AC72B5"/>
    <w:rsid w:val="00AC7518"/>
    <w:rsid w:val="00AC771E"/>
    <w:rsid w:val="00AC773D"/>
    <w:rsid w:val="00AC7AAD"/>
    <w:rsid w:val="00AC7B7A"/>
    <w:rsid w:val="00AC7BB4"/>
    <w:rsid w:val="00AC7BCA"/>
    <w:rsid w:val="00AC7C22"/>
    <w:rsid w:val="00AC7C37"/>
    <w:rsid w:val="00AC7D5F"/>
    <w:rsid w:val="00AD00E7"/>
    <w:rsid w:val="00AD0209"/>
    <w:rsid w:val="00AD0D98"/>
    <w:rsid w:val="00AD0DE6"/>
    <w:rsid w:val="00AD0FAF"/>
    <w:rsid w:val="00AD1349"/>
    <w:rsid w:val="00AD14AB"/>
    <w:rsid w:val="00AD15C7"/>
    <w:rsid w:val="00AD170C"/>
    <w:rsid w:val="00AD1B86"/>
    <w:rsid w:val="00AD1CB1"/>
    <w:rsid w:val="00AD1EB4"/>
    <w:rsid w:val="00AD1EE4"/>
    <w:rsid w:val="00AD2269"/>
    <w:rsid w:val="00AD2282"/>
    <w:rsid w:val="00AD2A24"/>
    <w:rsid w:val="00AD2EA1"/>
    <w:rsid w:val="00AD2F0A"/>
    <w:rsid w:val="00AD30FC"/>
    <w:rsid w:val="00AD312D"/>
    <w:rsid w:val="00AD32AF"/>
    <w:rsid w:val="00AD3954"/>
    <w:rsid w:val="00AD3ABB"/>
    <w:rsid w:val="00AD3CE4"/>
    <w:rsid w:val="00AD3F23"/>
    <w:rsid w:val="00AD3FF9"/>
    <w:rsid w:val="00AD429D"/>
    <w:rsid w:val="00AD42F7"/>
    <w:rsid w:val="00AD4434"/>
    <w:rsid w:val="00AD4506"/>
    <w:rsid w:val="00AD45C1"/>
    <w:rsid w:val="00AD46BE"/>
    <w:rsid w:val="00AD482F"/>
    <w:rsid w:val="00AD4863"/>
    <w:rsid w:val="00AD48CB"/>
    <w:rsid w:val="00AD4AEE"/>
    <w:rsid w:val="00AD4B5B"/>
    <w:rsid w:val="00AD4DD2"/>
    <w:rsid w:val="00AD4FA8"/>
    <w:rsid w:val="00AD504B"/>
    <w:rsid w:val="00AD5104"/>
    <w:rsid w:val="00AD52BA"/>
    <w:rsid w:val="00AD536E"/>
    <w:rsid w:val="00AD55C9"/>
    <w:rsid w:val="00AD57F5"/>
    <w:rsid w:val="00AD57F7"/>
    <w:rsid w:val="00AD588F"/>
    <w:rsid w:val="00AD58AA"/>
    <w:rsid w:val="00AD5B9B"/>
    <w:rsid w:val="00AD5BBA"/>
    <w:rsid w:val="00AD5C9B"/>
    <w:rsid w:val="00AD5D70"/>
    <w:rsid w:val="00AD5FC9"/>
    <w:rsid w:val="00AD62C3"/>
    <w:rsid w:val="00AD635A"/>
    <w:rsid w:val="00AD6478"/>
    <w:rsid w:val="00AD64EA"/>
    <w:rsid w:val="00AD6591"/>
    <w:rsid w:val="00AD6BED"/>
    <w:rsid w:val="00AD6EAC"/>
    <w:rsid w:val="00AD71D0"/>
    <w:rsid w:val="00AD71EB"/>
    <w:rsid w:val="00AD71F8"/>
    <w:rsid w:val="00AD72D3"/>
    <w:rsid w:val="00AD762E"/>
    <w:rsid w:val="00AD77D6"/>
    <w:rsid w:val="00AD7862"/>
    <w:rsid w:val="00AD7BE3"/>
    <w:rsid w:val="00AD7D31"/>
    <w:rsid w:val="00AD7E41"/>
    <w:rsid w:val="00AD7FA3"/>
    <w:rsid w:val="00AD7FBC"/>
    <w:rsid w:val="00AE00DE"/>
    <w:rsid w:val="00AE0147"/>
    <w:rsid w:val="00AE0637"/>
    <w:rsid w:val="00AE07F1"/>
    <w:rsid w:val="00AE08BA"/>
    <w:rsid w:val="00AE09CD"/>
    <w:rsid w:val="00AE0B21"/>
    <w:rsid w:val="00AE0B2D"/>
    <w:rsid w:val="00AE0FEC"/>
    <w:rsid w:val="00AE10ED"/>
    <w:rsid w:val="00AE12B5"/>
    <w:rsid w:val="00AE142C"/>
    <w:rsid w:val="00AE189E"/>
    <w:rsid w:val="00AE18BA"/>
    <w:rsid w:val="00AE1A48"/>
    <w:rsid w:val="00AE1D5A"/>
    <w:rsid w:val="00AE2194"/>
    <w:rsid w:val="00AE21F5"/>
    <w:rsid w:val="00AE2238"/>
    <w:rsid w:val="00AE22EC"/>
    <w:rsid w:val="00AE2489"/>
    <w:rsid w:val="00AE2739"/>
    <w:rsid w:val="00AE283F"/>
    <w:rsid w:val="00AE2931"/>
    <w:rsid w:val="00AE297D"/>
    <w:rsid w:val="00AE2A73"/>
    <w:rsid w:val="00AE2AD5"/>
    <w:rsid w:val="00AE2DBE"/>
    <w:rsid w:val="00AE2EE0"/>
    <w:rsid w:val="00AE3163"/>
    <w:rsid w:val="00AE3206"/>
    <w:rsid w:val="00AE3489"/>
    <w:rsid w:val="00AE370B"/>
    <w:rsid w:val="00AE3E17"/>
    <w:rsid w:val="00AE3E4F"/>
    <w:rsid w:val="00AE411E"/>
    <w:rsid w:val="00AE419B"/>
    <w:rsid w:val="00AE4422"/>
    <w:rsid w:val="00AE4425"/>
    <w:rsid w:val="00AE45B2"/>
    <w:rsid w:val="00AE462C"/>
    <w:rsid w:val="00AE466E"/>
    <w:rsid w:val="00AE4746"/>
    <w:rsid w:val="00AE47C8"/>
    <w:rsid w:val="00AE47F0"/>
    <w:rsid w:val="00AE4815"/>
    <w:rsid w:val="00AE486E"/>
    <w:rsid w:val="00AE4883"/>
    <w:rsid w:val="00AE4C7B"/>
    <w:rsid w:val="00AE4CB0"/>
    <w:rsid w:val="00AE4EFB"/>
    <w:rsid w:val="00AE5022"/>
    <w:rsid w:val="00AE504E"/>
    <w:rsid w:val="00AE50E4"/>
    <w:rsid w:val="00AE51F1"/>
    <w:rsid w:val="00AE54D5"/>
    <w:rsid w:val="00AE551C"/>
    <w:rsid w:val="00AE608B"/>
    <w:rsid w:val="00AE609F"/>
    <w:rsid w:val="00AE618F"/>
    <w:rsid w:val="00AE619B"/>
    <w:rsid w:val="00AE61E0"/>
    <w:rsid w:val="00AE62E1"/>
    <w:rsid w:val="00AE6408"/>
    <w:rsid w:val="00AE6586"/>
    <w:rsid w:val="00AE6881"/>
    <w:rsid w:val="00AE6AC5"/>
    <w:rsid w:val="00AE6EEE"/>
    <w:rsid w:val="00AE6F53"/>
    <w:rsid w:val="00AE7012"/>
    <w:rsid w:val="00AE7036"/>
    <w:rsid w:val="00AE7109"/>
    <w:rsid w:val="00AE71C9"/>
    <w:rsid w:val="00AE723F"/>
    <w:rsid w:val="00AE73AE"/>
    <w:rsid w:val="00AE7468"/>
    <w:rsid w:val="00AE74E2"/>
    <w:rsid w:val="00AE77B6"/>
    <w:rsid w:val="00AE781C"/>
    <w:rsid w:val="00AE794B"/>
    <w:rsid w:val="00AE7D27"/>
    <w:rsid w:val="00AE7E50"/>
    <w:rsid w:val="00AF0024"/>
    <w:rsid w:val="00AF0189"/>
    <w:rsid w:val="00AF0211"/>
    <w:rsid w:val="00AF0237"/>
    <w:rsid w:val="00AF038F"/>
    <w:rsid w:val="00AF053B"/>
    <w:rsid w:val="00AF08A2"/>
    <w:rsid w:val="00AF090F"/>
    <w:rsid w:val="00AF0C4A"/>
    <w:rsid w:val="00AF0CE8"/>
    <w:rsid w:val="00AF0E1B"/>
    <w:rsid w:val="00AF0FCA"/>
    <w:rsid w:val="00AF1536"/>
    <w:rsid w:val="00AF160E"/>
    <w:rsid w:val="00AF165C"/>
    <w:rsid w:val="00AF2057"/>
    <w:rsid w:val="00AF22C1"/>
    <w:rsid w:val="00AF2359"/>
    <w:rsid w:val="00AF277C"/>
    <w:rsid w:val="00AF2A71"/>
    <w:rsid w:val="00AF2B0D"/>
    <w:rsid w:val="00AF2B45"/>
    <w:rsid w:val="00AF2D4C"/>
    <w:rsid w:val="00AF2ECB"/>
    <w:rsid w:val="00AF2F53"/>
    <w:rsid w:val="00AF3122"/>
    <w:rsid w:val="00AF3163"/>
    <w:rsid w:val="00AF31EA"/>
    <w:rsid w:val="00AF33AF"/>
    <w:rsid w:val="00AF34D4"/>
    <w:rsid w:val="00AF3504"/>
    <w:rsid w:val="00AF3807"/>
    <w:rsid w:val="00AF3D0F"/>
    <w:rsid w:val="00AF3D25"/>
    <w:rsid w:val="00AF3E1B"/>
    <w:rsid w:val="00AF400F"/>
    <w:rsid w:val="00AF4097"/>
    <w:rsid w:val="00AF44EF"/>
    <w:rsid w:val="00AF45D3"/>
    <w:rsid w:val="00AF4AFE"/>
    <w:rsid w:val="00AF4B0A"/>
    <w:rsid w:val="00AF4E45"/>
    <w:rsid w:val="00AF4E89"/>
    <w:rsid w:val="00AF4F93"/>
    <w:rsid w:val="00AF5190"/>
    <w:rsid w:val="00AF56E7"/>
    <w:rsid w:val="00AF5A37"/>
    <w:rsid w:val="00AF5ACF"/>
    <w:rsid w:val="00AF5E62"/>
    <w:rsid w:val="00AF5E76"/>
    <w:rsid w:val="00AF6214"/>
    <w:rsid w:val="00AF62B7"/>
    <w:rsid w:val="00AF6330"/>
    <w:rsid w:val="00AF66DC"/>
    <w:rsid w:val="00AF678D"/>
    <w:rsid w:val="00AF686F"/>
    <w:rsid w:val="00AF6AD4"/>
    <w:rsid w:val="00AF705B"/>
    <w:rsid w:val="00AF70F2"/>
    <w:rsid w:val="00AF77DA"/>
    <w:rsid w:val="00AF783E"/>
    <w:rsid w:val="00AF7C12"/>
    <w:rsid w:val="00AF7C59"/>
    <w:rsid w:val="00AF7CCE"/>
    <w:rsid w:val="00AF7E58"/>
    <w:rsid w:val="00AF7F12"/>
    <w:rsid w:val="00B00021"/>
    <w:rsid w:val="00B00282"/>
    <w:rsid w:val="00B002EB"/>
    <w:rsid w:val="00B005E2"/>
    <w:rsid w:val="00B00A6E"/>
    <w:rsid w:val="00B00AAD"/>
    <w:rsid w:val="00B00AD2"/>
    <w:rsid w:val="00B00B3D"/>
    <w:rsid w:val="00B00D31"/>
    <w:rsid w:val="00B00DC3"/>
    <w:rsid w:val="00B00FB8"/>
    <w:rsid w:val="00B011AE"/>
    <w:rsid w:val="00B011D3"/>
    <w:rsid w:val="00B01231"/>
    <w:rsid w:val="00B0135B"/>
    <w:rsid w:val="00B0135F"/>
    <w:rsid w:val="00B0159C"/>
    <w:rsid w:val="00B016B1"/>
    <w:rsid w:val="00B017D5"/>
    <w:rsid w:val="00B018A3"/>
    <w:rsid w:val="00B018C9"/>
    <w:rsid w:val="00B01A99"/>
    <w:rsid w:val="00B01B53"/>
    <w:rsid w:val="00B01C80"/>
    <w:rsid w:val="00B01F62"/>
    <w:rsid w:val="00B01FF7"/>
    <w:rsid w:val="00B02232"/>
    <w:rsid w:val="00B0250F"/>
    <w:rsid w:val="00B025D8"/>
    <w:rsid w:val="00B02691"/>
    <w:rsid w:val="00B0275D"/>
    <w:rsid w:val="00B02998"/>
    <w:rsid w:val="00B02A12"/>
    <w:rsid w:val="00B02E2B"/>
    <w:rsid w:val="00B02F4F"/>
    <w:rsid w:val="00B03086"/>
    <w:rsid w:val="00B0312D"/>
    <w:rsid w:val="00B03423"/>
    <w:rsid w:val="00B035F0"/>
    <w:rsid w:val="00B037E4"/>
    <w:rsid w:val="00B03AEC"/>
    <w:rsid w:val="00B03C08"/>
    <w:rsid w:val="00B03C78"/>
    <w:rsid w:val="00B03CDD"/>
    <w:rsid w:val="00B03D09"/>
    <w:rsid w:val="00B03E2C"/>
    <w:rsid w:val="00B040DA"/>
    <w:rsid w:val="00B041BC"/>
    <w:rsid w:val="00B04271"/>
    <w:rsid w:val="00B045B2"/>
    <w:rsid w:val="00B047CD"/>
    <w:rsid w:val="00B04910"/>
    <w:rsid w:val="00B04F36"/>
    <w:rsid w:val="00B04F91"/>
    <w:rsid w:val="00B05299"/>
    <w:rsid w:val="00B053EB"/>
    <w:rsid w:val="00B0548B"/>
    <w:rsid w:val="00B0564E"/>
    <w:rsid w:val="00B0574E"/>
    <w:rsid w:val="00B05764"/>
    <w:rsid w:val="00B05787"/>
    <w:rsid w:val="00B05912"/>
    <w:rsid w:val="00B05B14"/>
    <w:rsid w:val="00B05B35"/>
    <w:rsid w:val="00B05CA2"/>
    <w:rsid w:val="00B05F85"/>
    <w:rsid w:val="00B06406"/>
    <w:rsid w:val="00B065AD"/>
    <w:rsid w:val="00B06AD8"/>
    <w:rsid w:val="00B06BC0"/>
    <w:rsid w:val="00B06C7C"/>
    <w:rsid w:val="00B07166"/>
    <w:rsid w:val="00B07538"/>
    <w:rsid w:val="00B0754D"/>
    <w:rsid w:val="00B075C7"/>
    <w:rsid w:val="00B078A7"/>
    <w:rsid w:val="00B0795B"/>
    <w:rsid w:val="00B07E36"/>
    <w:rsid w:val="00B07EE2"/>
    <w:rsid w:val="00B103EE"/>
    <w:rsid w:val="00B107AD"/>
    <w:rsid w:val="00B109FB"/>
    <w:rsid w:val="00B10A21"/>
    <w:rsid w:val="00B10B1D"/>
    <w:rsid w:val="00B10CB9"/>
    <w:rsid w:val="00B11082"/>
    <w:rsid w:val="00B1180E"/>
    <w:rsid w:val="00B1196C"/>
    <w:rsid w:val="00B11CC0"/>
    <w:rsid w:val="00B120C1"/>
    <w:rsid w:val="00B129A2"/>
    <w:rsid w:val="00B12B32"/>
    <w:rsid w:val="00B130C2"/>
    <w:rsid w:val="00B13255"/>
    <w:rsid w:val="00B135A4"/>
    <w:rsid w:val="00B135CB"/>
    <w:rsid w:val="00B13604"/>
    <w:rsid w:val="00B1361D"/>
    <w:rsid w:val="00B13955"/>
    <w:rsid w:val="00B139EA"/>
    <w:rsid w:val="00B13CFF"/>
    <w:rsid w:val="00B13DED"/>
    <w:rsid w:val="00B141D3"/>
    <w:rsid w:val="00B14715"/>
    <w:rsid w:val="00B147A2"/>
    <w:rsid w:val="00B147FF"/>
    <w:rsid w:val="00B14A70"/>
    <w:rsid w:val="00B14AE6"/>
    <w:rsid w:val="00B14B3E"/>
    <w:rsid w:val="00B14B95"/>
    <w:rsid w:val="00B14BB6"/>
    <w:rsid w:val="00B14CDB"/>
    <w:rsid w:val="00B14D61"/>
    <w:rsid w:val="00B14EB9"/>
    <w:rsid w:val="00B14EED"/>
    <w:rsid w:val="00B14EEE"/>
    <w:rsid w:val="00B150F8"/>
    <w:rsid w:val="00B15117"/>
    <w:rsid w:val="00B1538E"/>
    <w:rsid w:val="00B15647"/>
    <w:rsid w:val="00B156D3"/>
    <w:rsid w:val="00B15AA6"/>
    <w:rsid w:val="00B15BC4"/>
    <w:rsid w:val="00B15D2D"/>
    <w:rsid w:val="00B15EA4"/>
    <w:rsid w:val="00B16295"/>
    <w:rsid w:val="00B16419"/>
    <w:rsid w:val="00B16431"/>
    <w:rsid w:val="00B164BA"/>
    <w:rsid w:val="00B164ED"/>
    <w:rsid w:val="00B16BB3"/>
    <w:rsid w:val="00B17034"/>
    <w:rsid w:val="00B177F6"/>
    <w:rsid w:val="00B17811"/>
    <w:rsid w:val="00B17AC6"/>
    <w:rsid w:val="00B17B13"/>
    <w:rsid w:val="00B17D22"/>
    <w:rsid w:val="00B200F8"/>
    <w:rsid w:val="00B2028D"/>
    <w:rsid w:val="00B2041A"/>
    <w:rsid w:val="00B2042C"/>
    <w:rsid w:val="00B20487"/>
    <w:rsid w:val="00B20594"/>
    <w:rsid w:val="00B20B4F"/>
    <w:rsid w:val="00B20BB1"/>
    <w:rsid w:val="00B20CBB"/>
    <w:rsid w:val="00B20E92"/>
    <w:rsid w:val="00B20F17"/>
    <w:rsid w:val="00B20F67"/>
    <w:rsid w:val="00B20FF1"/>
    <w:rsid w:val="00B21045"/>
    <w:rsid w:val="00B2129C"/>
    <w:rsid w:val="00B21359"/>
    <w:rsid w:val="00B21582"/>
    <w:rsid w:val="00B21624"/>
    <w:rsid w:val="00B2177A"/>
    <w:rsid w:val="00B217CF"/>
    <w:rsid w:val="00B21840"/>
    <w:rsid w:val="00B2189A"/>
    <w:rsid w:val="00B21BDE"/>
    <w:rsid w:val="00B21C02"/>
    <w:rsid w:val="00B21C4D"/>
    <w:rsid w:val="00B21E3C"/>
    <w:rsid w:val="00B21EB6"/>
    <w:rsid w:val="00B21FDB"/>
    <w:rsid w:val="00B220BD"/>
    <w:rsid w:val="00B22194"/>
    <w:rsid w:val="00B223D9"/>
    <w:rsid w:val="00B22481"/>
    <w:rsid w:val="00B225EA"/>
    <w:rsid w:val="00B225FF"/>
    <w:rsid w:val="00B22665"/>
    <w:rsid w:val="00B2280B"/>
    <w:rsid w:val="00B22996"/>
    <w:rsid w:val="00B22BCE"/>
    <w:rsid w:val="00B22C2A"/>
    <w:rsid w:val="00B22C94"/>
    <w:rsid w:val="00B22D10"/>
    <w:rsid w:val="00B22E61"/>
    <w:rsid w:val="00B22F14"/>
    <w:rsid w:val="00B22FCE"/>
    <w:rsid w:val="00B23048"/>
    <w:rsid w:val="00B2304D"/>
    <w:rsid w:val="00B230E0"/>
    <w:rsid w:val="00B23138"/>
    <w:rsid w:val="00B231D1"/>
    <w:rsid w:val="00B2336E"/>
    <w:rsid w:val="00B2376B"/>
    <w:rsid w:val="00B237C1"/>
    <w:rsid w:val="00B23CD8"/>
    <w:rsid w:val="00B23D47"/>
    <w:rsid w:val="00B2415E"/>
    <w:rsid w:val="00B2435D"/>
    <w:rsid w:val="00B24490"/>
    <w:rsid w:val="00B24557"/>
    <w:rsid w:val="00B24A47"/>
    <w:rsid w:val="00B24AD4"/>
    <w:rsid w:val="00B24BE9"/>
    <w:rsid w:val="00B24DD1"/>
    <w:rsid w:val="00B25142"/>
    <w:rsid w:val="00B251A4"/>
    <w:rsid w:val="00B252BF"/>
    <w:rsid w:val="00B25312"/>
    <w:rsid w:val="00B25350"/>
    <w:rsid w:val="00B25363"/>
    <w:rsid w:val="00B25385"/>
    <w:rsid w:val="00B253A5"/>
    <w:rsid w:val="00B253BE"/>
    <w:rsid w:val="00B2548D"/>
    <w:rsid w:val="00B25491"/>
    <w:rsid w:val="00B254BB"/>
    <w:rsid w:val="00B255BE"/>
    <w:rsid w:val="00B25838"/>
    <w:rsid w:val="00B258B6"/>
    <w:rsid w:val="00B25A99"/>
    <w:rsid w:val="00B25BEF"/>
    <w:rsid w:val="00B25C18"/>
    <w:rsid w:val="00B25C62"/>
    <w:rsid w:val="00B25C70"/>
    <w:rsid w:val="00B26128"/>
    <w:rsid w:val="00B26495"/>
    <w:rsid w:val="00B265F6"/>
    <w:rsid w:val="00B2673D"/>
    <w:rsid w:val="00B26755"/>
    <w:rsid w:val="00B267AD"/>
    <w:rsid w:val="00B2698B"/>
    <w:rsid w:val="00B26AE0"/>
    <w:rsid w:val="00B26D3D"/>
    <w:rsid w:val="00B26D92"/>
    <w:rsid w:val="00B26FE0"/>
    <w:rsid w:val="00B27017"/>
    <w:rsid w:val="00B27197"/>
    <w:rsid w:val="00B2720C"/>
    <w:rsid w:val="00B2721B"/>
    <w:rsid w:val="00B27430"/>
    <w:rsid w:val="00B274AD"/>
    <w:rsid w:val="00B275A3"/>
    <w:rsid w:val="00B27820"/>
    <w:rsid w:val="00B27822"/>
    <w:rsid w:val="00B279DC"/>
    <w:rsid w:val="00B27D65"/>
    <w:rsid w:val="00B27DE1"/>
    <w:rsid w:val="00B27F18"/>
    <w:rsid w:val="00B300A9"/>
    <w:rsid w:val="00B3011E"/>
    <w:rsid w:val="00B3021A"/>
    <w:rsid w:val="00B302EF"/>
    <w:rsid w:val="00B30526"/>
    <w:rsid w:val="00B30631"/>
    <w:rsid w:val="00B30908"/>
    <w:rsid w:val="00B309D6"/>
    <w:rsid w:val="00B3131E"/>
    <w:rsid w:val="00B31571"/>
    <w:rsid w:val="00B317D4"/>
    <w:rsid w:val="00B317EE"/>
    <w:rsid w:val="00B31B23"/>
    <w:rsid w:val="00B31B9D"/>
    <w:rsid w:val="00B31D54"/>
    <w:rsid w:val="00B31FFE"/>
    <w:rsid w:val="00B32001"/>
    <w:rsid w:val="00B320D7"/>
    <w:rsid w:val="00B32113"/>
    <w:rsid w:val="00B321D1"/>
    <w:rsid w:val="00B3224B"/>
    <w:rsid w:val="00B323B1"/>
    <w:rsid w:val="00B3259E"/>
    <w:rsid w:val="00B32725"/>
    <w:rsid w:val="00B32812"/>
    <w:rsid w:val="00B328B2"/>
    <w:rsid w:val="00B328F8"/>
    <w:rsid w:val="00B3299F"/>
    <w:rsid w:val="00B32CB5"/>
    <w:rsid w:val="00B32EDC"/>
    <w:rsid w:val="00B330B4"/>
    <w:rsid w:val="00B33254"/>
    <w:rsid w:val="00B339B9"/>
    <w:rsid w:val="00B33C36"/>
    <w:rsid w:val="00B33F83"/>
    <w:rsid w:val="00B33FE8"/>
    <w:rsid w:val="00B34069"/>
    <w:rsid w:val="00B345C0"/>
    <w:rsid w:val="00B34A08"/>
    <w:rsid w:val="00B34A35"/>
    <w:rsid w:val="00B34A97"/>
    <w:rsid w:val="00B34CCA"/>
    <w:rsid w:val="00B34D2C"/>
    <w:rsid w:val="00B35009"/>
    <w:rsid w:val="00B35098"/>
    <w:rsid w:val="00B35208"/>
    <w:rsid w:val="00B352EE"/>
    <w:rsid w:val="00B35319"/>
    <w:rsid w:val="00B35336"/>
    <w:rsid w:val="00B3542E"/>
    <w:rsid w:val="00B35449"/>
    <w:rsid w:val="00B3555E"/>
    <w:rsid w:val="00B359C5"/>
    <w:rsid w:val="00B35A03"/>
    <w:rsid w:val="00B35A24"/>
    <w:rsid w:val="00B35A97"/>
    <w:rsid w:val="00B35B1C"/>
    <w:rsid w:val="00B35B7D"/>
    <w:rsid w:val="00B35CAA"/>
    <w:rsid w:val="00B35CC9"/>
    <w:rsid w:val="00B35E7E"/>
    <w:rsid w:val="00B35FD7"/>
    <w:rsid w:val="00B36116"/>
    <w:rsid w:val="00B3677B"/>
    <w:rsid w:val="00B36AD9"/>
    <w:rsid w:val="00B36B2E"/>
    <w:rsid w:val="00B36FF2"/>
    <w:rsid w:val="00B37289"/>
    <w:rsid w:val="00B3738E"/>
    <w:rsid w:val="00B373B9"/>
    <w:rsid w:val="00B375E3"/>
    <w:rsid w:val="00B3785C"/>
    <w:rsid w:val="00B379FE"/>
    <w:rsid w:val="00B37A2A"/>
    <w:rsid w:val="00B37A57"/>
    <w:rsid w:val="00B37D5E"/>
    <w:rsid w:val="00B37E96"/>
    <w:rsid w:val="00B403EF"/>
    <w:rsid w:val="00B40629"/>
    <w:rsid w:val="00B4077E"/>
    <w:rsid w:val="00B409DE"/>
    <w:rsid w:val="00B40C86"/>
    <w:rsid w:val="00B40CFF"/>
    <w:rsid w:val="00B40F6F"/>
    <w:rsid w:val="00B40FC9"/>
    <w:rsid w:val="00B4114E"/>
    <w:rsid w:val="00B411D0"/>
    <w:rsid w:val="00B41346"/>
    <w:rsid w:val="00B416A3"/>
    <w:rsid w:val="00B417B1"/>
    <w:rsid w:val="00B4187A"/>
    <w:rsid w:val="00B41918"/>
    <w:rsid w:val="00B41ABC"/>
    <w:rsid w:val="00B41CF8"/>
    <w:rsid w:val="00B41D6F"/>
    <w:rsid w:val="00B41F94"/>
    <w:rsid w:val="00B4209D"/>
    <w:rsid w:val="00B4248B"/>
    <w:rsid w:val="00B42828"/>
    <w:rsid w:val="00B42849"/>
    <w:rsid w:val="00B42C27"/>
    <w:rsid w:val="00B43361"/>
    <w:rsid w:val="00B43363"/>
    <w:rsid w:val="00B433D1"/>
    <w:rsid w:val="00B4367C"/>
    <w:rsid w:val="00B4384F"/>
    <w:rsid w:val="00B438B0"/>
    <w:rsid w:val="00B438B3"/>
    <w:rsid w:val="00B439E0"/>
    <w:rsid w:val="00B43C3C"/>
    <w:rsid w:val="00B43E53"/>
    <w:rsid w:val="00B43F45"/>
    <w:rsid w:val="00B440F6"/>
    <w:rsid w:val="00B4417C"/>
    <w:rsid w:val="00B4424C"/>
    <w:rsid w:val="00B44317"/>
    <w:rsid w:val="00B44634"/>
    <w:rsid w:val="00B44744"/>
    <w:rsid w:val="00B448F8"/>
    <w:rsid w:val="00B44993"/>
    <w:rsid w:val="00B449BD"/>
    <w:rsid w:val="00B449DD"/>
    <w:rsid w:val="00B44A2C"/>
    <w:rsid w:val="00B44B15"/>
    <w:rsid w:val="00B44C9E"/>
    <w:rsid w:val="00B450B4"/>
    <w:rsid w:val="00B450E7"/>
    <w:rsid w:val="00B4516F"/>
    <w:rsid w:val="00B45181"/>
    <w:rsid w:val="00B453CE"/>
    <w:rsid w:val="00B4562E"/>
    <w:rsid w:val="00B45CC2"/>
    <w:rsid w:val="00B45F8B"/>
    <w:rsid w:val="00B460BE"/>
    <w:rsid w:val="00B46B92"/>
    <w:rsid w:val="00B46D7D"/>
    <w:rsid w:val="00B46DF0"/>
    <w:rsid w:val="00B47083"/>
    <w:rsid w:val="00B470C9"/>
    <w:rsid w:val="00B47155"/>
    <w:rsid w:val="00B47936"/>
    <w:rsid w:val="00B479B7"/>
    <w:rsid w:val="00B47C39"/>
    <w:rsid w:val="00B47F7F"/>
    <w:rsid w:val="00B50094"/>
    <w:rsid w:val="00B500A0"/>
    <w:rsid w:val="00B502AC"/>
    <w:rsid w:val="00B502DC"/>
    <w:rsid w:val="00B50A9D"/>
    <w:rsid w:val="00B50CCC"/>
    <w:rsid w:val="00B50CEF"/>
    <w:rsid w:val="00B50CF5"/>
    <w:rsid w:val="00B50D91"/>
    <w:rsid w:val="00B50E65"/>
    <w:rsid w:val="00B50EA1"/>
    <w:rsid w:val="00B50EA8"/>
    <w:rsid w:val="00B50FC0"/>
    <w:rsid w:val="00B510EF"/>
    <w:rsid w:val="00B5160D"/>
    <w:rsid w:val="00B5166C"/>
    <w:rsid w:val="00B51756"/>
    <w:rsid w:val="00B5274A"/>
    <w:rsid w:val="00B529BE"/>
    <w:rsid w:val="00B52A75"/>
    <w:rsid w:val="00B52B1C"/>
    <w:rsid w:val="00B52B61"/>
    <w:rsid w:val="00B52C43"/>
    <w:rsid w:val="00B53170"/>
    <w:rsid w:val="00B5318C"/>
    <w:rsid w:val="00B531A3"/>
    <w:rsid w:val="00B534F7"/>
    <w:rsid w:val="00B5351B"/>
    <w:rsid w:val="00B53601"/>
    <w:rsid w:val="00B53BE4"/>
    <w:rsid w:val="00B53C5B"/>
    <w:rsid w:val="00B542DA"/>
    <w:rsid w:val="00B54343"/>
    <w:rsid w:val="00B546B8"/>
    <w:rsid w:val="00B54761"/>
    <w:rsid w:val="00B5493D"/>
    <w:rsid w:val="00B5498E"/>
    <w:rsid w:val="00B54A9D"/>
    <w:rsid w:val="00B54B04"/>
    <w:rsid w:val="00B54C5D"/>
    <w:rsid w:val="00B54D56"/>
    <w:rsid w:val="00B54E63"/>
    <w:rsid w:val="00B54F81"/>
    <w:rsid w:val="00B5532F"/>
    <w:rsid w:val="00B5541A"/>
    <w:rsid w:val="00B55454"/>
    <w:rsid w:val="00B55534"/>
    <w:rsid w:val="00B55613"/>
    <w:rsid w:val="00B55755"/>
    <w:rsid w:val="00B55D02"/>
    <w:rsid w:val="00B55FA1"/>
    <w:rsid w:val="00B560D2"/>
    <w:rsid w:val="00B56120"/>
    <w:rsid w:val="00B565BF"/>
    <w:rsid w:val="00B5662A"/>
    <w:rsid w:val="00B568A5"/>
    <w:rsid w:val="00B56C8C"/>
    <w:rsid w:val="00B5727C"/>
    <w:rsid w:val="00B573AA"/>
    <w:rsid w:val="00B57448"/>
    <w:rsid w:val="00B57450"/>
    <w:rsid w:val="00B574B0"/>
    <w:rsid w:val="00B5768B"/>
    <w:rsid w:val="00B576F7"/>
    <w:rsid w:val="00B57758"/>
    <w:rsid w:val="00B578A2"/>
    <w:rsid w:val="00B57A78"/>
    <w:rsid w:val="00B57A8A"/>
    <w:rsid w:val="00B57B1C"/>
    <w:rsid w:val="00B57D6F"/>
    <w:rsid w:val="00B57EE7"/>
    <w:rsid w:val="00B60343"/>
    <w:rsid w:val="00B6048C"/>
    <w:rsid w:val="00B604CB"/>
    <w:rsid w:val="00B60635"/>
    <w:rsid w:val="00B6071A"/>
    <w:rsid w:val="00B60804"/>
    <w:rsid w:val="00B60846"/>
    <w:rsid w:val="00B60A32"/>
    <w:rsid w:val="00B60BBA"/>
    <w:rsid w:val="00B60C34"/>
    <w:rsid w:val="00B60D78"/>
    <w:rsid w:val="00B60F74"/>
    <w:rsid w:val="00B610EB"/>
    <w:rsid w:val="00B61362"/>
    <w:rsid w:val="00B613BE"/>
    <w:rsid w:val="00B614C8"/>
    <w:rsid w:val="00B6167D"/>
    <w:rsid w:val="00B616DB"/>
    <w:rsid w:val="00B61713"/>
    <w:rsid w:val="00B617AF"/>
    <w:rsid w:val="00B619AC"/>
    <w:rsid w:val="00B61B0F"/>
    <w:rsid w:val="00B61C43"/>
    <w:rsid w:val="00B61C45"/>
    <w:rsid w:val="00B61CCD"/>
    <w:rsid w:val="00B61E77"/>
    <w:rsid w:val="00B61FE1"/>
    <w:rsid w:val="00B622E7"/>
    <w:rsid w:val="00B6239B"/>
    <w:rsid w:val="00B6239E"/>
    <w:rsid w:val="00B62430"/>
    <w:rsid w:val="00B625B2"/>
    <w:rsid w:val="00B626C2"/>
    <w:rsid w:val="00B6273A"/>
    <w:rsid w:val="00B62834"/>
    <w:rsid w:val="00B62976"/>
    <w:rsid w:val="00B62998"/>
    <w:rsid w:val="00B629E5"/>
    <w:rsid w:val="00B62B9C"/>
    <w:rsid w:val="00B630AB"/>
    <w:rsid w:val="00B634DE"/>
    <w:rsid w:val="00B63584"/>
    <w:rsid w:val="00B637DB"/>
    <w:rsid w:val="00B638B8"/>
    <w:rsid w:val="00B63CD1"/>
    <w:rsid w:val="00B63F28"/>
    <w:rsid w:val="00B645F5"/>
    <w:rsid w:val="00B64A81"/>
    <w:rsid w:val="00B64B54"/>
    <w:rsid w:val="00B64E71"/>
    <w:rsid w:val="00B64F61"/>
    <w:rsid w:val="00B64F68"/>
    <w:rsid w:val="00B65238"/>
    <w:rsid w:val="00B65303"/>
    <w:rsid w:val="00B655D1"/>
    <w:rsid w:val="00B657A2"/>
    <w:rsid w:val="00B65BDE"/>
    <w:rsid w:val="00B65C67"/>
    <w:rsid w:val="00B65E9F"/>
    <w:rsid w:val="00B6609A"/>
    <w:rsid w:val="00B660A4"/>
    <w:rsid w:val="00B661C1"/>
    <w:rsid w:val="00B664BB"/>
    <w:rsid w:val="00B66558"/>
    <w:rsid w:val="00B66818"/>
    <w:rsid w:val="00B6686F"/>
    <w:rsid w:val="00B668FC"/>
    <w:rsid w:val="00B66CDA"/>
    <w:rsid w:val="00B66FCA"/>
    <w:rsid w:val="00B67320"/>
    <w:rsid w:val="00B673ED"/>
    <w:rsid w:val="00B6766B"/>
    <w:rsid w:val="00B67800"/>
    <w:rsid w:val="00B67B34"/>
    <w:rsid w:val="00B67C3B"/>
    <w:rsid w:val="00B67D80"/>
    <w:rsid w:val="00B67E8B"/>
    <w:rsid w:val="00B67ED7"/>
    <w:rsid w:val="00B700A5"/>
    <w:rsid w:val="00B70121"/>
    <w:rsid w:val="00B70241"/>
    <w:rsid w:val="00B70408"/>
    <w:rsid w:val="00B7093C"/>
    <w:rsid w:val="00B70946"/>
    <w:rsid w:val="00B70973"/>
    <w:rsid w:val="00B70A2E"/>
    <w:rsid w:val="00B70E33"/>
    <w:rsid w:val="00B70E3E"/>
    <w:rsid w:val="00B70F5D"/>
    <w:rsid w:val="00B70F73"/>
    <w:rsid w:val="00B70FCC"/>
    <w:rsid w:val="00B711D0"/>
    <w:rsid w:val="00B71478"/>
    <w:rsid w:val="00B71546"/>
    <w:rsid w:val="00B7162A"/>
    <w:rsid w:val="00B7166D"/>
    <w:rsid w:val="00B716F4"/>
    <w:rsid w:val="00B717B8"/>
    <w:rsid w:val="00B719C9"/>
    <w:rsid w:val="00B71A47"/>
    <w:rsid w:val="00B71A81"/>
    <w:rsid w:val="00B71A94"/>
    <w:rsid w:val="00B71D15"/>
    <w:rsid w:val="00B7209E"/>
    <w:rsid w:val="00B7212D"/>
    <w:rsid w:val="00B72902"/>
    <w:rsid w:val="00B72978"/>
    <w:rsid w:val="00B72C03"/>
    <w:rsid w:val="00B72C8F"/>
    <w:rsid w:val="00B73080"/>
    <w:rsid w:val="00B733AE"/>
    <w:rsid w:val="00B733FC"/>
    <w:rsid w:val="00B73524"/>
    <w:rsid w:val="00B7358F"/>
    <w:rsid w:val="00B73A51"/>
    <w:rsid w:val="00B73A8E"/>
    <w:rsid w:val="00B73BD2"/>
    <w:rsid w:val="00B73F17"/>
    <w:rsid w:val="00B73FFE"/>
    <w:rsid w:val="00B7414B"/>
    <w:rsid w:val="00B742DC"/>
    <w:rsid w:val="00B744E6"/>
    <w:rsid w:val="00B745DB"/>
    <w:rsid w:val="00B74785"/>
    <w:rsid w:val="00B7482B"/>
    <w:rsid w:val="00B74860"/>
    <w:rsid w:val="00B749C5"/>
    <w:rsid w:val="00B74BE8"/>
    <w:rsid w:val="00B74C88"/>
    <w:rsid w:val="00B74CD3"/>
    <w:rsid w:val="00B74DCC"/>
    <w:rsid w:val="00B75065"/>
    <w:rsid w:val="00B751D0"/>
    <w:rsid w:val="00B755B7"/>
    <w:rsid w:val="00B7569F"/>
    <w:rsid w:val="00B757CC"/>
    <w:rsid w:val="00B75882"/>
    <w:rsid w:val="00B75F55"/>
    <w:rsid w:val="00B75F6D"/>
    <w:rsid w:val="00B75F92"/>
    <w:rsid w:val="00B76523"/>
    <w:rsid w:val="00B76646"/>
    <w:rsid w:val="00B76698"/>
    <w:rsid w:val="00B76988"/>
    <w:rsid w:val="00B76C22"/>
    <w:rsid w:val="00B76C38"/>
    <w:rsid w:val="00B76E5B"/>
    <w:rsid w:val="00B76EF7"/>
    <w:rsid w:val="00B7709F"/>
    <w:rsid w:val="00B77432"/>
    <w:rsid w:val="00B77470"/>
    <w:rsid w:val="00B774A2"/>
    <w:rsid w:val="00B775B5"/>
    <w:rsid w:val="00B77DBD"/>
    <w:rsid w:val="00B77E4D"/>
    <w:rsid w:val="00B80132"/>
    <w:rsid w:val="00B80144"/>
    <w:rsid w:val="00B80497"/>
    <w:rsid w:val="00B8057E"/>
    <w:rsid w:val="00B807A4"/>
    <w:rsid w:val="00B807DB"/>
    <w:rsid w:val="00B80850"/>
    <w:rsid w:val="00B808DC"/>
    <w:rsid w:val="00B80BC0"/>
    <w:rsid w:val="00B80DA2"/>
    <w:rsid w:val="00B80F53"/>
    <w:rsid w:val="00B81522"/>
    <w:rsid w:val="00B8163F"/>
    <w:rsid w:val="00B81889"/>
    <w:rsid w:val="00B81A98"/>
    <w:rsid w:val="00B81B47"/>
    <w:rsid w:val="00B82100"/>
    <w:rsid w:val="00B82249"/>
    <w:rsid w:val="00B823E3"/>
    <w:rsid w:val="00B82643"/>
    <w:rsid w:val="00B828B9"/>
    <w:rsid w:val="00B8292D"/>
    <w:rsid w:val="00B82AB4"/>
    <w:rsid w:val="00B82B0F"/>
    <w:rsid w:val="00B82B3A"/>
    <w:rsid w:val="00B82C69"/>
    <w:rsid w:val="00B82D44"/>
    <w:rsid w:val="00B82EDB"/>
    <w:rsid w:val="00B82F36"/>
    <w:rsid w:val="00B83431"/>
    <w:rsid w:val="00B834EC"/>
    <w:rsid w:val="00B83578"/>
    <w:rsid w:val="00B8363B"/>
    <w:rsid w:val="00B83858"/>
    <w:rsid w:val="00B83B79"/>
    <w:rsid w:val="00B83BA0"/>
    <w:rsid w:val="00B83D99"/>
    <w:rsid w:val="00B83E23"/>
    <w:rsid w:val="00B83E7C"/>
    <w:rsid w:val="00B83EAE"/>
    <w:rsid w:val="00B83F32"/>
    <w:rsid w:val="00B83F42"/>
    <w:rsid w:val="00B84073"/>
    <w:rsid w:val="00B840ED"/>
    <w:rsid w:val="00B8435D"/>
    <w:rsid w:val="00B8438C"/>
    <w:rsid w:val="00B844B6"/>
    <w:rsid w:val="00B8481A"/>
    <w:rsid w:val="00B84827"/>
    <w:rsid w:val="00B848A3"/>
    <w:rsid w:val="00B84FBB"/>
    <w:rsid w:val="00B8502A"/>
    <w:rsid w:val="00B85036"/>
    <w:rsid w:val="00B8525C"/>
    <w:rsid w:val="00B853F2"/>
    <w:rsid w:val="00B85859"/>
    <w:rsid w:val="00B858C1"/>
    <w:rsid w:val="00B85C28"/>
    <w:rsid w:val="00B85CB0"/>
    <w:rsid w:val="00B85D37"/>
    <w:rsid w:val="00B86101"/>
    <w:rsid w:val="00B865B3"/>
    <w:rsid w:val="00B865C5"/>
    <w:rsid w:val="00B865CB"/>
    <w:rsid w:val="00B865F7"/>
    <w:rsid w:val="00B868D6"/>
    <w:rsid w:val="00B86A43"/>
    <w:rsid w:val="00B86D9A"/>
    <w:rsid w:val="00B86DEE"/>
    <w:rsid w:val="00B86EF7"/>
    <w:rsid w:val="00B870CE"/>
    <w:rsid w:val="00B871FB"/>
    <w:rsid w:val="00B87335"/>
    <w:rsid w:val="00B87455"/>
    <w:rsid w:val="00B8756F"/>
    <w:rsid w:val="00B875D4"/>
    <w:rsid w:val="00B8782E"/>
    <w:rsid w:val="00B879B3"/>
    <w:rsid w:val="00B87A25"/>
    <w:rsid w:val="00B87B43"/>
    <w:rsid w:val="00B87D91"/>
    <w:rsid w:val="00B87DB8"/>
    <w:rsid w:val="00B87DF9"/>
    <w:rsid w:val="00B87F18"/>
    <w:rsid w:val="00B90022"/>
    <w:rsid w:val="00B9032E"/>
    <w:rsid w:val="00B90335"/>
    <w:rsid w:val="00B903FD"/>
    <w:rsid w:val="00B9046D"/>
    <w:rsid w:val="00B905AC"/>
    <w:rsid w:val="00B90D1B"/>
    <w:rsid w:val="00B90F79"/>
    <w:rsid w:val="00B9107E"/>
    <w:rsid w:val="00B91189"/>
    <w:rsid w:val="00B9124D"/>
    <w:rsid w:val="00B9142F"/>
    <w:rsid w:val="00B9161C"/>
    <w:rsid w:val="00B9199E"/>
    <w:rsid w:val="00B91A2A"/>
    <w:rsid w:val="00B91C1E"/>
    <w:rsid w:val="00B91D02"/>
    <w:rsid w:val="00B91E35"/>
    <w:rsid w:val="00B91E36"/>
    <w:rsid w:val="00B91F79"/>
    <w:rsid w:val="00B91F92"/>
    <w:rsid w:val="00B92071"/>
    <w:rsid w:val="00B92146"/>
    <w:rsid w:val="00B9253D"/>
    <w:rsid w:val="00B92714"/>
    <w:rsid w:val="00B92785"/>
    <w:rsid w:val="00B928E2"/>
    <w:rsid w:val="00B92B75"/>
    <w:rsid w:val="00B92F3E"/>
    <w:rsid w:val="00B9304B"/>
    <w:rsid w:val="00B930FB"/>
    <w:rsid w:val="00B93190"/>
    <w:rsid w:val="00B932C7"/>
    <w:rsid w:val="00B9332D"/>
    <w:rsid w:val="00B9337F"/>
    <w:rsid w:val="00B93686"/>
    <w:rsid w:val="00B9371B"/>
    <w:rsid w:val="00B937C1"/>
    <w:rsid w:val="00B93A0F"/>
    <w:rsid w:val="00B93FC2"/>
    <w:rsid w:val="00B94014"/>
    <w:rsid w:val="00B94307"/>
    <w:rsid w:val="00B946FE"/>
    <w:rsid w:val="00B947CF"/>
    <w:rsid w:val="00B94877"/>
    <w:rsid w:val="00B94943"/>
    <w:rsid w:val="00B94CD9"/>
    <w:rsid w:val="00B94FC2"/>
    <w:rsid w:val="00B95143"/>
    <w:rsid w:val="00B95248"/>
    <w:rsid w:val="00B953B4"/>
    <w:rsid w:val="00B9546E"/>
    <w:rsid w:val="00B955F9"/>
    <w:rsid w:val="00B95626"/>
    <w:rsid w:val="00B95636"/>
    <w:rsid w:val="00B9569E"/>
    <w:rsid w:val="00B95734"/>
    <w:rsid w:val="00B9591C"/>
    <w:rsid w:val="00B95AA7"/>
    <w:rsid w:val="00B95ED0"/>
    <w:rsid w:val="00B95F94"/>
    <w:rsid w:val="00B96125"/>
    <w:rsid w:val="00B9614E"/>
    <w:rsid w:val="00B961CA"/>
    <w:rsid w:val="00B9626C"/>
    <w:rsid w:val="00B96405"/>
    <w:rsid w:val="00B967BC"/>
    <w:rsid w:val="00B9696C"/>
    <w:rsid w:val="00B96B7A"/>
    <w:rsid w:val="00B96C13"/>
    <w:rsid w:val="00B96DBC"/>
    <w:rsid w:val="00B96E75"/>
    <w:rsid w:val="00B96F15"/>
    <w:rsid w:val="00B96F2B"/>
    <w:rsid w:val="00B96F94"/>
    <w:rsid w:val="00B96FA2"/>
    <w:rsid w:val="00B9711F"/>
    <w:rsid w:val="00B97295"/>
    <w:rsid w:val="00B972FC"/>
    <w:rsid w:val="00B9730A"/>
    <w:rsid w:val="00B9753A"/>
    <w:rsid w:val="00B97662"/>
    <w:rsid w:val="00B97663"/>
    <w:rsid w:val="00B97A6B"/>
    <w:rsid w:val="00B97B97"/>
    <w:rsid w:val="00BA0250"/>
    <w:rsid w:val="00BA0395"/>
    <w:rsid w:val="00BA03BB"/>
    <w:rsid w:val="00BA0452"/>
    <w:rsid w:val="00BA0825"/>
    <w:rsid w:val="00BA08B1"/>
    <w:rsid w:val="00BA08D9"/>
    <w:rsid w:val="00BA0BB5"/>
    <w:rsid w:val="00BA0F51"/>
    <w:rsid w:val="00BA0F77"/>
    <w:rsid w:val="00BA0FA8"/>
    <w:rsid w:val="00BA102F"/>
    <w:rsid w:val="00BA1038"/>
    <w:rsid w:val="00BA10B8"/>
    <w:rsid w:val="00BA10D9"/>
    <w:rsid w:val="00BA1129"/>
    <w:rsid w:val="00BA11A2"/>
    <w:rsid w:val="00BA157A"/>
    <w:rsid w:val="00BA16C9"/>
    <w:rsid w:val="00BA1821"/>
    <w:rsid w:val="00BA19AB"/>
    <w:rsid w:val="00BA1B16"/>
    <w:rsid w:val="00BA1C30"/>
    <w:rsid w:val="00BA1F99"/>
    <w:rsid w:val="00BA204D"/>
    <w:rsid w:val="00BA2219"/>
    <w:rsid w:val="00BA251D"/>
    <w:rsid w:val="00BA2683"/>
    <w:rsid w:val="00BA27E3"/>
    <w:rsid w:val="00BA2897"/>
    <w:rsid w:val="00BA2AD8"/>
    <w:rsid w:val="00BA2C49"/>
    <w:rsid w:val="00BA309F"/>
    <w:rsid w:val="00BA3113"/>
    <w:rsid w:val="00BA347E"/>
    <w:rsid w:val="00BA3512"/>
    <w:rsid w:val="00BA38E0"/>
    <w:rsid w:val="00BA3B84"/>
    <w:rsid w:val="00BA3BFC"/>
    <w:rsid w:val="00BA3E77"/>
    <w:rsid w:val="00BA3EFE"/>
    <w:rsid w:val="00BA41A2"/>
    <w:rsid w:val="00BA41FB"/>
    <w:rsid w:val="00BA432A"/>
    <w:rsid w:val="00BA465E"/>
    <w:rsid w:val="00BA4A86"/>
    <w:rsid w:val="00BA4B89"/>
    <w:rsid w:val="00BA4EDA"/>
    <w:rsid w:val="00BA5143"/>
    <w:rsid w:val="00BA514E"/>
    <w:rsid w:val="00BA531F"/>
    <w:rsid w:val="00BA533D"/>
    <w:rsid w:val="00BA53A1"/>
    <w:rsid w:val="00BA541C"/>
    <w:rsid w:val="00BA565A"/>
    <w:rsid w:val="00BA5788"/>
    <w:rsid w:val="00BA5944"/>
    <w:rsid w:val="00BA59EA"/>
    <w:rsid w:val="00BA5BC5"/>
    <w:rsid w:val="00BA5D95"/>
    <w:rsid w:val="00BA5FE8"/>
    <w:rsid w:val="00BA602E"/>
    <w:rsid w:val="00BA621C"/>
    <w:rsid w:val="00BA662D"/>
    <w:rsid w:val="00BA669B"/>
    <w:rsid w:val="00BA66A0"/>
    <w:rsid w:val="00BA66EB"/>
    <w:rsid w:val="00BA674E"/>
    <w:rsid w:val="00BA679B"/>
    <w:rsid w:val="00BA689E"/>
    <w:rsid w:val="00BA6B84"/>
    <w:rsid w:val="00BA6DBF"/>
    <w:rsid w:val="00BA7344"/>
    <w:rsid w:val="00BA74C4"/>
    <w:rsid w:val="00BA75D3"/>
    <w:rsid w:val="00BA75F8"/>
    <w:rsid w:val="00BA7657"/>
    <w:rsid w:val="00BA76F5"/>
    <w:rsid w:val="00BA77C9"/>
    <w:rsid w:val="00BA7A39"/>
    <w:rsid w:val="00BA7AAD"/>
    <w:rsid w:val="00BA7AC0"/>
    <w:rsid w:val="00BA7AC8"/>
    <w:rsid w:val="00BA7E07"/>
    <w:rsid w:val="00BA7ECA"/>
    <w:rsid w:val="00BA7F1E"/>
    <w:rsid w:val="00BB0157"/>
    <w:rsid w:val="00BB0213"/>
    <w:rsid w:val="00BB03D8"/>
    <w:rsid w:val="00BB0553"/>
    <w:rsid w:val="00BB0575"/>
    <w:rsid w:val="00BB064D"/>
    <w:rsid w:val="00BB088B"/>
    <w:rsid w:val="00BB09AD"/>
    <w:rsid w:val="00BB09B8"/>
    <w:rsid w:val="00BB0A6E"/>
    <w:rsid w:val="00BB0BF3"/>
    <w:rsid w:val="00BB0CAC"/>
    <w:rsid w:val="00BB0DBC"/>
    <w:rsid w:val="00BB0DDC"/>
    <w:rsid w:val="00BB0EEE"/>
    <w:rsid w:val="00BB126D"/>
    <w:rsid w:val="00BB15F8"/>
    <w:rsid w:val="00BB168F"/>
    <w:rsid w:val="00BB18A5"/>
    <w:rsid w:val="00BB1928"/>
    <w:rsid w:val="00BB195F"/>
    <w:rsid w:val="00BB1B4D"/>
    <w:rsid w:val="00BB1CB1"/>
    <w:rsid w:val="00BB1F40"/>
    <w:rsid w:val="00BB1F93"/>
    <w:rsid w:val="00BB2176"/>
    <w:rsid w:val="00BB24A9"/>
    <w:rsid w:val="00BB24CD"/>
    <w:rsid w:val="00BB24E4"/>
    <w:rsid w:val="00BB2658"/>
    <w:rsid w:val="00BB2689"/>
    <w:rsid w:val="00BB28A4"/>
    <w:rsid w:val="00BB2ADD"/>
    <w:rsid w:val="00BB2AF6"/>
    <w:rsid w:val="00BB2B82"/>
    <w:rsid w:val="00BB2EFE"/>
    <w:rsid w:val="00BB2F09"/>
    <w:rsid w:val="00BB2F12"/>
    <w:rsid w:val="00BB30CB"/>
    <w:rsid w:val="00BB311E"/>
    <w:rsid w:val="00BB3E17"/>
    <w:rsid w:val="00BB3E57"/>
    <w:rsid w:val="00BB403A"/>
    <w:rsid w:val="00BB42CA"/>
    <w:rsid w:val="00BB458A"/>
    <w:rsid w:val="00BB468D"/>
    <w:rsid w:val="00BB46FC"/>
    <w:rsid w:val="00BB4748"/>
    <w:rsid w:val="00BB48D3"/>
    <w:rsid w:val="00BB49A1"/>
    <w:rsid w:val="00BB4B25"/>
    <w:rsid w:val="00BB4EC5"/>
    <w:rsid w:val="00BB4F58"/>
    <w:rsid w:val="00BB4F9B"/>
    <w:rsid w:val="00BB4FF6"/>
    <w:rsid w:val="00BB5027"/>
    <w:rsid w:val="00BB50CA"/>
    <w:rsid w:val="00BB51F8"/>
    <w:rsid w:val="00BB5396"/>
    <w:rsid w:val="00BB57BE"/>
    <w:rsid w:val="00BB5912"/>
    <w:rsid w:val="00BB5B31"/>
    <w:rsid w:val="00BB5C39"/>
    <w:rsid w:val="00BB5CBD"/>
    <w:rsid w:val="00BB5D82"/>
    <w:rsid w:val="00BB5EE3"/>
    <w:rsid w:val="00BB6113"/>
    <w:rsid w:val="00BB66FE"/>
    <w:rsid w:val="00BB6864"/>
    <w:rsid w:val="00BB6D82"/>
    <w:rsid w:val="00BB6DB0"/>
    <w:rsid w:val="00BB7009"/>
    <w:rsid w:val="00BB701D"/>
    <w:rsid w:val="00BB75D3"/>
    <w:rsid w:val="00BB7D08"/>
    <w:rsid w:val="00BB7E97"/>
    <w:rsid w:val="00BC016F"/>
    <w:rsid w:val="00BC040B"/>
    <w:rsid w:val="00BC04C4"/>
    <w:rsid w:val="00BC051E"/>
    <w:rsid w:val="00BC0631"/>
    <w:rsid w:val="00BC0E01"/>
    <w:rsid w:val="00BC104C"/>
    <w:rsid w:val="00BC1212"/>
    <w:rsid w:val="00BC1271"/>
    <w:rsid w:val="00BC12AC"/>
    <w:rsid w:val="00BC1337"/>
    <w:rsid w:val="00BC1367"/>
    <w:rsid w:val="00BC19E7"/>
    <w:rsid w:val="00BC1BCE"/>
    <w:rsid w:val="00BC1BD1"/>
    <w:rsid w:val="00BC1BF3"/>
    <w:rsid w:val="00BC1D4A"/>
    <w:rsid w:val="00BC2286"/>
    <w:rsid w:val="00BC23A3"/>
    <w:rsid w:val="00BC26DE"/>
    <w:rsid w:val="00BC27F5"/>
    <w:rsid w:val="00BC2941"/>
    <w:rsid w:val="00BC2B65"/>
    <w:rsid w:val="00BC2CDA"/>
    <w:rsid w:val="00BC2CF0"/>
    <w:rsid w:val="00BC2DFA"/>
    <w:rsid w:val="00BC2E18"/>
    <w:rsid w:val="00BC2E27"/>
    <w:rsid w:val="00BC3023"/>
    <w:rsid w:val="00BC3052"/>
    <w:rsid w:val="00BC3594"/>
    <w:rsid w:val="00BC361E"/>
    <w:rsid w:val="00BC367A"/>
    <w:rsid w:val="00BC37CF"/>
    <w:rsid w:val="00BC3880"/>
    <w:rsid w:val="00BC3A78"/>
    <w:rsid w:val="00BC3B61"/>
    <w:rsid w:val="00BC3CC2"/>
    <w:rsid w:val="00BC3CF3"/>
    <w:rsid w:val="00BC3EC3"/>
    <w:rsid w:val="00BC3F72"/>
    <w:rsid w:val="00BC3FA6"/>
    <w:rsid w:val="00BC40D5"/>
    <w:rsid w:val="00BC411D"/>
    <w:rsid w:val="00BC415F"/>
    <w:rsid w:val="00BC4217"/>
    <w:rsid w:val="00BC4266"/>
    <w:rsid w:val="00BC42B1"/>
    <w:rsid w:val="00BC430F"/>
    <w:rsid w:val="00BC448E"/>
    <w:rsid w:val="00BC460F"/>
    <w:rsid w:val="00BC4647"/>
    <w:rsid w:val="00BC488E"/>
    <w:rsid w:val="00BC49CC"/>
    <w:rsid w:val="00BC49E7"/>
    <w:rsid w:val="00BC4C25"/>
    <w:rsid w:val="00BC5123"/>
    <w:rsid w:val="00BC51DC"/>
    <w:rsid w:val="00BC521F"/>
    <w:rsid w:val="00BC5800"/>
    <w:rsid w:val="00BC59EE"/>
    <w:rsid w:val="00BC5AA5"/>
    <w:rsid w:val="00BC5BA0"/>
    <w:rsid w:val="00BC5D28"/>
    <w:rsid w:val="00BC5D2A"/>
    <w:rsid w:val="00BC5D88"/>
    <w:rsid w:val="00BC5DE2"/>
    <w:rsid w:val="00BC64B2"/>
    <w:rsid w:val="00BC64B8"/>
    <w:rsid w:val="00BC65AF"/>
    <w:rsid w:val="00BC6A12"/>
    <w:rsid w:val="00BC6AC7"/>
    <w:rsid w:val="00BC6B77"/>
    <w:rsid w:val="00BC6CFB"/>
    <w:rsid w:val="00BC6E1C"/>
    <w:rsid w:val="00BC6E97"/>
    <w:rsid w:val="00BC6FE4"/>
    <w:rsid w:val="00BC71AA"/>
    <w:rsid w:val="00BC734D"/>
    <w:rsid w:val="00BC74D4"/>
    <w:rsid w:val="00BC7AF0"/>
    <w:rsid w:val="00BC7BFF"/>
    <w:rsid w:val="00BC7E6F"/>
    <w:rsid w:val="00BC7EFE"/>
    <w:rsid w:val="00BD05E8"/>
    <w:rsid w:val="00BD06B9"/>
    <w:rsid w:val="00BD07D2"/>
    <w:rsid w:val="00BD0840"/>
    <w:rsid w:val="00BD0C1A"/>
    <w:rsid w:val="00BD105B"/>
    <w:rsid w:val="00BD108B"/>
    <w:rsid w:val="00BD10A0"/>
    <w:rsid w:val="00BD10F8"/>
    <w:rsid w:val="00BD10FE"/>
    <w:rsid w:val="00BD11D2"/>
    <w:rsid w:val="00BD1268"/>
    <w:rsid w:val="00BD1320"/>
    <w:rsid w:val="00BD1485"/>
    <w:rsid w:val="00BD1ABA"/>
    <w:rsid w:val="00BD1B45"/>
    <w:rsid w:val="00BD1DED"/>
    <w:rsid w:val="00BD1E7E"/>
    <w:rsid w:val="00BD24A5"/>
    <w:rsid w:val="00BD27AE"/>
    <w:rsid w:val="00BD28EA"/>
    <w:rsid w:val="00BD2928"/>
    <w:rsid w:val="00BD2BF6"/>
    <w:rsid w:val="00BD2C07"/>
    <w:rsid w:val="00BD30B0"/>
    <w:rsid w:val="00BD31E6"/>
    <w:rsid w:val="00BD33B7"/>
    <w:rsid w:val="00BD379C"/>
    <w:rsid w:val="00BD39EC"/>
    <w:rsid w:val="00BD3A01"/>
    <w:rsid w:val="00BD3EEF"/>
    <w:rsid w:val="00BD3F4E"/>
    <w:rsid w:val="00BD403F"/>
    <w:rsid w:val="00BD44DE"/>
    <w:rsid w:val="00BD471B"/>
    <w:rsid w:val="00BD4B35"/>
    <w:rsid w:val="00BD4C6B"/>
    <w:rsid w:val="00BD4CA3"/>
    <w:rsid w:val="00BD4E6A"/>
    <w:rsid w:val="00BD5136"/>
    <w:rsid w:val="00BD515F"/>
    <w:rsid w:val="00BD532A"/>
    <w:rsid w:val="00BD532E"/>
    <w:rsid w:val="00BD53DE"/>
    <w:rsid w:val="00BD5614"/>
    <w:rsid w:val="00BD56DC"/>
    <w:rsid w:val="00BD58BE"/>
    <w:rsid w:val="00BD5D53"/>
    <w:rsid w:val="00BD5FD8"/>
    <w:rsid w:val="00BD60B9"/>
    <w:rsid w:val="00BD60EA"/>
    <w:rsid w:val="00BD6140"/>
    <w:rsid w:val="00BD62BD"/>
    <w:rsid w:val="00BD6407"/>
    <w:rsid w:val="00BD64B7"/>
    <w:rsid w:val="00BD64DB"/>
    <w:rsid w:val="00BD6718"/>
    <w:rsid w:val="00BD67AC"/>
    <w:rsid w:val="00BD68D6"/>
    <w:rsid w:val="00BD69FF"/>
    <w:rsid w:val="00BD6AC7"/>
    <w:rsid w:val="00BD6AD2"/>
    <w:rsid w:val="00BD6BCE"/>
    <w:rsid w:val="00BD6BF2"/>
    <w:rsid w:val="00BD6C7B"/>
    <w:rsid w:val="00BD6F59"/>
    <w:rsid w:val="00BD71E7"/>
    <w:rsid w:val="00BD7202"/>
    <w:rsid w:val="00BD7274"/>
    <w:rsid w:val="00BD7279"/>
    <w:rsid w:val="00BD7458"/>
    <w:rsid w:val="00BD755A"/>
    <w:rsid w:val="00BD76DB"/>
    <w:rsid w:val="00BD77A4"/>
    <w:rsid w:val="00BD78C3"/>
    <w:rsid w:val="00BD7953"/>
    <w:rsid w:val="00BD7CA5"/>
    <w:rsid w:val="00BE007B"/>
    <w:rsid w:val="00BE0251"/>
    <w:rsid w:val="00BE05A1"/>
    <w:rsid w:val="00BE0758"/>
    <w:rsid w:val="00BE0798"/>
    <w:rsid w:val="00BE07DD"/>
    <w:rsid w:val="00BE0A4B"/>
    <w:rsid w:val="00BE0A8B"/>
    <w:rsid w:val="00BE0BC4"/>
    <w:rsid w:val="00BE0FA5"/>
    <w:rsid w:val="00BE124A"/>
    <w:rsid w:val="00BE1337"/>
    <w:rsid w:val="00BE14A5"/>
    <w:rsid w:val="00BE160C"/>
    <w:rsid w:val="00BE173F"/>
    <w:rsid w:val="00BE1926"/>
    <w:rsid w:val="00BE1FFE"/>
    <w:rsid w:val="00BE2474"/>
    <w:rsid w:val="00BE252B"/>
    <w:rsid w:val="00BE26BB"/>
    <w:rsid w:val="00BE26DD"/>
    <w:rsid w:val="00BE2A23"/>
    <w:rsid w:val="00BE2A81"/>
    <w:rsid w:val="00BE2B33"/>
    <w:rsid w:val="00BE2B82"/>
    <w:rsid w:val="00BE2D60"/>
    <w:rsid w:val="00BE2DA7"/>
    <w:rsid w:val="00BE2DAF"/>
    <w:rsid w:val="00BE2EB7"/>
    <w:rsid w:val="00BE2EC8"/>
    <w:rsid w:val="00BE3022"/>
    <w:rsid w:val="00BE31CA"/>
    <w:rsid w:val="00BE31DC"/>
    <w:rsid w:val="00BE330A"/>
    <w:rsid w:val="00BE3454"/>
    <w:rsid w:val="00BE3675"/>
    <w:rsid w:val="00BE3687"/>
    <w:rsid w:val="00BE36D5"/>
    <w:rsid w:val="00BE37EF"/>
    <w:rsid w:val="00BE389B"/>
    <w:rsid w:val="00BE3AE5"/>
    <w:rsid w:val="00BE3E5E"/>
    <w:rsid w:val="00BE3E69"/>
    <w:rsid w:val="00BE40F7"/>
    <w:rsid w:val="00BE4302"/>
    <w:rsid w:val="00BE44E9"/>
    <w:rsid w:val="00BE46CF"/>
    <w:rsid w:val="00BE4814"/>
    <w:rsid w:val="00BE4B6A"/>
    <w:rsid w:val="00BE4E86"/>
    <w:rsid w:val="00BE4EE2"/>
    <w:rsid w:val="00BE4F31"/>
    <w:rsid w:val="00BE5086"/>
    <w:rsid w:val="00BE509F"/>
    <w:rsid w:val="00BE5133"/>
    <w:rsid w:val="00BE5443"/>
    <w:rsid w:val="00BE588D"/>
    <w:rsid w:val="00BE59A5"/>
    <w:rsid w:val="00BE5ACC"/>
    <w:rsid w:val="00BE5C6F"/>
    <w:rsid w:val="00BE5E77"/>
    <w:rsid w:val="00BE6442"/>
    <w:rsid w:val="00BE67B4"/>
    <w:rsid w:val="00BE6899"/>
    <w:rsid w:val="00BE6AE2"/>
    <w:rsid w:val="00BE6C50"/>
    <w:rsid w:val="00BE6D6C"/>
    <w:rsid w:val="00BE6D86"/>
    <w:rsid w:val="00BE6E42"/>
    <w:rsid w:val="00BE7007"/>
    <w:rsid w:val="00BE701D"/>
    <w:rsid w:val="00BE726F"/>
    <w:rsid w:val="00BE7356"/>
    <w:rsid w:val="00BE73C1"/>
    <w:rsid w:val="00BE7780"/>
    <w:rsid w:val="00BE77E2"/>
    <w:rsid w:val="00BE77FD"/>
    <w:rsid w:val="00BE78A3"/>
    <w:rsid w:val="00BE78A6"/>
    <w:rsid w:val="00BE78AE"/>
    <w:rsid w:val="00BE7B71"/>
    <w:rsid w:val="00BE7DF7"/>
    <w:rsid w:val="00BE7E52"/>
    <w:rsid w:val="00BF00A0"/>
    <w:rsid w:val="00BF00ED"/>
    <w:rsid w:val="00BF0198"/>
    <w:rsid w:val="00BF01AB"/>
    <w:rsid w:val="00BF0200"/>
    <w:rsid w:val="00BF03FC"/>
    <w:rsid w:val="00BF05FA"/>
    <w:rsid w:val="00BF07EE"/>
    <w:rsid w:val="00BF08ED"/>
    <w:rsid w:val="00BF09F3"/>
    <w:rsid w:val="00BF0B93"/>
    <w:rsid w:val="00BF0C64"/>
    <w:rsid w:val="00BF0CFD"/>
    <w:rsid w:val="00BF0D93"/>
    <w:rsid w:val="00BF0DE8"/>
    <w:rsid w:val="00BF136F"/>
    <w:rsid w:val="00BF1469"/>
    <w:rsid w:val="00BF1753"/>
    <w:rsid w:val="00BF1A6F"/>
    <w:rsid w:val="00BF1A98"/>
    <w:rsid w:val="00BF1B79"/>
    <w:rsid w:val="00BF1BF2"/>
    <w:rsid w:val="00BF1E08"/>
    <w:rsid w:val="00BF1E6D"/>
    <w:rsid w:val="00BF206F"/>
    <w:rsid w:val="00BF20C0"/>
    <w:rsid w:val="00BF22DF"/>
    <w:rsid w:val="00BF2457"/>
    <w:rsid w:val="00BF24BB"/>
    <w:rsid w:val="00BF2817"/>
    <w:rsid w:val="00BF2964"/>
    <w:rsid w:val="00BF2A06"/>
    <w:rsid w:val="00BF2A3B"/>
    <w:rsid w:val="00BF2B48"/>
    <w:rsid w:val="00BF30BA"/>
    <w:rsid w:val="00BF344C"/>
    <w:rsid w:val="00BF3546"/>
    <w:rsid w:val="00BF35B5"/>
    <w:rsid w:val="00BF3753"/>
    <w:rsid w:val="00BF395A"/>
    <w:rsid w:val="00BF3F45"/>
    <w:rsid w:val="00BF40B9"/>
    <w:rsid w:val="00BF4693"/>
    <w:rsid w:val="00BF489A"/>
    <w:rsid w:val="00BF4AF3"/>
    <w:rsid w:val="00BF4B1A"/>
    <w:rsid w:val="00BF4C64"/>
    <w:rsid w:val="00BF4D25"/>
    <w:rsid w:val="00BF4EB7"/>
    <w:rsid w:val="00BF508F"/>
    <w:rsid w:val="00BF50F4"/>
    <w:rsid w:val="00BF51C9"/>
    <w:rsid w:val="00BF55DF"/>
    <w:rsid w:val="00BF594D"/>
    <w:rsid w:val="00BF5B3C"/>
    <w:rsid w:val="00BF5CBC"/>
    <w:rsid w:val="00BF5F34"/>
    <w:rsid w:val="00BF5F52"/>
    <w:rsid w:val="00BF633D"/>
    <w:rsid w:val="00BF64B9"/>
    <w:rsid w:val="00BF6787"/>
    <w:rsid w:val="00BF689C"/>
    <w:rsid w:val="00BF6927"/>
    <w:rsid w:val="00BF6BAB"/>
    <w:rsid w:val="00BF6BE1"/>
    <w:rsid w:val="00BF6D6E"/>
    <w:rsid w:val="00BF6E2F"/>
    <w:rsid w:val="00BF7455"/>
    <w:rsid w:val="00BF763A"/>
    <w:rsid w:val="00BF7687"/>
    <w:rsid w:val="00BF788B"/>
    <w:rsid w:val="00BF7984"/>
    <w:rsid w:val="00BF7F8A"/>
    <w:rsid w:val="00C001A8"/>
    <w:rsid w:val="00C00211"/>
    <w:rsid w:val="00C00689"/>
    <w:rsid w:val="00C007B9"/>
    <w:rsid w:val="00C0098B"/>
    <w:rsid w:val="00C00A04"/>
    <w:rsid w:val="00C00B38"/>
    <w:rsid w:val="00C00BF2"/>
    <w:rsid w:val="00C00CFE"/>
    <w:rsid w:val="00C00D4A"/>
    <w:rsid w:val="00C00ECB"/>
    <w:rsid w:val="00C00EFB"/>
    <w:rsid w:val="00C01002"/>
    <w:rsid w:val="00C0130C"/>
    <w:rsid w:val="00C01543"/>
    <w:rsid w:val="00C015E0"/>
    <w:rsid w:val="00C01608"/>
    <w:rsid w:val="00C01699"/>
    <w:rsid w:val="00C016C8"/>
    <w:rsid w:val="00C0187C"/>
    <w:rsid w:val="00C018C1"/>
    <w:rsid w:val="00C019E6"/>
    <w:rsid w:val="00C01E2A"/>
    <w:rsid w:val="00C01FBB"/>
    <w:rsid w:val="00C02079"/>
    <w:rsid w:val="00C02321"/>
    <w:rsid w:val="00C0251F"/>
    <w:rsid w:val="00C02570"/>
    <w:rsid w:val="00C02BC0"/>
    <w:rsid w:val="00C02C30"/>
    <w:rsid w:val="00C03209"/>
    <w:rsid w:val="00C03261"/>
    <w:rsid w:val="00C0326B"/>
    <w:rsid w:val="00C03270"/>
    <w:rsid w:val="00C03297"/>
    <w:rsid w:val="00C036B0"/>
    <w:rsid w:val="00C03745"/>
    <w:rsid w:val="00C03776"/>
    <w:rsid w:val="00C03904"/>
    <w:rsid w:val="00C0390F"/>
    <w:rsid w:val="00C03CD3"/>
    <w:rsid w:val="00C03D1F"/>
    <w:rsid w:val="00C03DC2"/>
    <w:rsid w:val="00C03E42"/>
    <w:rsid w:val="00C03EE4"/>
    <w:rsid w:val="00C03FF3"/>
    <w:rsid w:val="00C04070"/>
    <w:rsid w:val="00C040D1"/>
    <w:rsid w:val="00C0421B"/>
    <w:rsid w:val="00C0434E"/>
    <w:rsid w:val="00C044A3"/>
    <w:rsid w:val="00C044F2"/>
    <w:rsid w:val="00C047A6"/>
    <w:rsid w:val="00C04C80"/>
    <w:rsid w:val="00C04D16"/>
    <w:rsid w:val="00C04DBE"/>
    <w:rsid w:val="00C04F86"/>
    <w:rsid w:val="00C04FEB"/>
    <w:rsid w:val="00C0534B"/>
    <w:rsid w:val="00C0534E"/>
    <w:rsid w:val="00C055D2"/>
    <w:rsid w:val="00C059E1"/>
    <w:rsid w:val="00C05DB1"/>
    <w:rsid w:val="00C05FBB"/>
    <w:rsid w:val="00C06113"/>
    <w:rsid w:val="00C062D2"/>
    <w:rsid w:val="00C06369"/>
    <w:rsid w:val="00C063A9"/>
    <w:rsid w:val="00C064A6"/>
    <w:rsid w:val="00C067B6"/>
    <w:rsid w:val="00C06899"/>
    <w:rsid w:val="00C068D7"/>
    <w:rsid w:val="00C069DF"/>
    <w:rsid w:val="00C06D77"/>
    <w:rsid w:val="00C06E4A"/>
    <w:rsid w:val="00C06E4D"/>
    <w:rsid w:val="00C06F5B"/>
    <w:rsid w:val="00C072A0"/>
    <w:rsid w:val="00C072C7"/>
    <w:rsid w:val="00C073AE"/>
    <w:rsid w:val="00C0746E"/>
    <w:rsid w:val="00C077D0"/>
    <w:rsid w:val="00C0797D"/>
    <w:rsid w:val="00C07A69"/>
    <w:rsid w:val="00C07E93"/>
    <w:rsid w:val="00C10107"/>
    <w:rsid w:val="00C10478"/>
    <w:rsid w:val="00C104E3"/>
    <w:rsid w:val="00C10523"/>
    <w:rsid w:val="00C105BC"/>
    <w:rsid w:val="00C10A0E"/>
    <w:rsid w:val="00C10B1F"/>
    <w:rsid w:val="00C10C56"/>
    <w:rsid w:val="00C10C5C"/>
    <w:rsid w:val="00C10CA6"/>
    <w:rsid w:val="00C10D51"/>
    <w:rsid w:val="00C10D6D"/>
    <w:rsid w:val="00C10E25"/>
    <w:rsid w:val="00C110AB"/>
    <w:rsid w:val="00C110FF"/>
    <w:rsid w:val="00C11177"/>
    <w:rsid w:val="00C11329"/>
    <w:rsid w:val="00C113A3"/>
    <w:rsid w:val="00C11563"/>
    <w:rsid w:val="00C1193C"/>
    <w:rsid w:val="00C11AF0"/>
    <w:rsid w:val="00C11BCF"/>
    <w:rsid w:val="00C11BDE"/>
    <w:rsid w:val="00C11DC5"/>
    <w:rsid w:val="00C1208F"/>
    <w:rsid w:val="00C1235F"/>
    <w:rsid w:val="00C1248D"/>
    <w:rsid w:val="00C1250D"/>
    <w:rsid w:val="00C1277F"/>
    <w:rsid w:val="00C12C29"/>
    <w:rsid w:val="00C12D59"/>
    <w:rsid w:val="00C12E70"/>
    <w:rsid w:val="00C12ED5"/>
    <w:rsid w:val="00C136E4"/>
    <w:rsid w:val="00C138D9"/>
    <w:rsid w:val="00C13986"/>
    <w:rsid w:val="00C13ABC"/>
    <w:rsid w:val="00C13C9F"/>
    <w:rsid w:val="00C13D2A"/>
    <w:rsid w:val="00C13DBA"/>
    <w:rsid w:val="00C13E40"/>
    <w:rsid w:val="00C13EC6"/>
    <w:rsid w:val="00C14028"/>
    <w:rsid w:val="00C14132"/>
    <w:rsid w:val="00C14365"/>
    <w:rsid w:val="00C1447F"/>
    <w:rsid w:val="00C144C0"/>
    <w:rsid w:val="00C145D1"/>
    <w:rsid w:val="00C146D3"/>
    <w:rsid w:val="00C14B41"/>
    <w:rsid w:val="00C14DE5"/>
    <w:rsid w:val="00C14F69"/>
    <w:rsid w:val="00C15016"/>
    <w:rsid w:val="00C15457"/>
    <w:rsid w:val="00C15458"/>
    <w:rsid w:val="00C15464"/>
    <w:rsid w:val="00C156B3"/>
    <w:rsid w:val="00C156CC"/>
    <w:rsid w:val="00C1577A"/>
    <w:rsid w:val="00C157EC"/>
    <w:rsid w:val="00C158B2"/>
    <w:rsid w:val="00C1592A"/>
    <w:rsid w:val="00C1598A"/>
    <w:rsid w:val="00C15AF2"/>
    <w:rsid w:val="00C15D8C"/>
    <w:rsid w:val="00C15E67"/>
    <w:rsid w:val="00C15EA5"/>
    <w:rsid w:val="00C15EB1"/>
    <w:rsid w:val="00C15F2C"/>
    <w:rsid w:val="00C1609D"/>
    <w:rsid w:val="00C162F2"/>
    <w:rsid w:val="00C1641C"/>
    <w:rsid w:val="00C16509"/>
    <w:rsid w:val="00C1671C"/>
    <w:rsid w:val="00C16903"/>
    <w:rsid w:val="00C1715D"/>
    <w:rsid w:val="00C172D0"/>
    <w:rsid w:val="00C1747E"/>
    <w:rsid w:val="00C176F0"/>
    <w:rsid w:val="00C17803"/>
    <w:rsid w:val="00C17805"/>
    <w:rsid w:val="00C178BF"/>
    <w:rsid w:val="00C17A9A"/>
    <w:rsid w:val="00C17C6F"/>
    <w:rsid w:val="00C17EE0"/>
    <w:rsid w:val="00C2001C"/>
    <w:rsid w:val="00C200A3"/>
    <w:rsid w:val="00C2010E"/>
    <w:rsid w:val="00C2016E"/>
    <w:rsid w:val="00C20BF1"/>
    <w:rsid w:val="00C20D16"/>
    <w:rsid w:val="00C20DA7"/>
    <w:rsid w:val="00C20F44"/>
    <w:rsid w:val="00C2110C"/>
    <w:rsid w:val="00C21331"/>
    <w:rsid w:val="00C214E4"/>
    <w:rsid w:val="00C216D4"/>
    <w:rsid w:val="00C216EC"/>
    <w:rsid w:val="00C21768"/>
    <w:rsid w:val="00C217E8"/>
    <w:rsid w:val="00C21868"/>
    <w:rsid w:val="00C219D4"/>
    <w:rsid w:val="00C21AC9"/>
    <w:rsid w:val="00C22057"/>
    <w:rsid w:val="00C22078"/>
    <w:rsid w:val="00C2241E"/>
    <w:rsid w:val="00C2248A"/>
    <w:rsid w:val="00C226C0"/>
    <w:rsid w:val="00C227FC"/>
    <w:rsid w:val="00C228A5"/>
    <w:rsid w:val="00C229D3"/>
    <w:rsid w:val="00C229D7"/>
    <w:rsid w:val="00C22D63"/>
    <w:rsid w:val="00C22D6C"/>
    <w:rsid w:val="00C22FFF"/>
    <w:rsid w:val="00C230CB"/>
    <w:rsid w:val="00C2316B"/>
    <w:rsid w:val="00C233EF"/>
    <w:rsid w:val="00C2344F"/>
    <w:rsid w:val="00C2367A"/>
    <w:rsid w:val="00C2386D"/>
    <w:rsid w:val="00C23A46"/>
    <w:rsid w:val="00C23E42"/>
    <w:rsid w:val="00C23F4A"/>
    <w:rsid w:val="00C24138"/>
    <w:rsid w:val="00C24285"/>
    <w:rsid w:val="00C245A3"/>
    <w:rsid w:val="00C246F1"/>
    <w:rsid w:val="00C24716"/>
    <w:rsid w:val="00C2471A"/>
    <w:rsid w:val="00C2476A"/>
    <w:rsid w:val="00C24B80"/>
    <w:rsid w:val="00C24CC5"/>
    <w:rsid w:val="00C24D10"/>
    <w:rsid w:val="00C2505E"/>
    <w:rsid w:val="00C25063"/>
    <w:rsid w:val="00C25147"/>
    <w:rsid w:val="00C2552B"/>
    <w:rsid w:val="00C2552E"/>
    <w:rsid w:val="00C25559"/>
    <w:rsid w:val="00C25B18"/>
    <w:rsid w:val="00C25B35"/>
    <w:rsid w:val="00C26115"/>
    <w:rsid w:val="00C262B8"/>
    <w:rsid w:val="00C263DD"/>
    <w:rsid w:val="00C264EC"/>
    <w:rsid w:val="00C267E2"/>
    <w:rsid w:val="00C267FB"/>
    <w:rsid w:val="00C26896"/>
    <w:rsid w:val="00C26A98"/>
    <w:rsid w:val="00C26AB1"/>
    <w:rsid w:val="00C26C3B"/>
    <w:rsid w:val="00C26CE7"/>
    <w:rsid w:val="00C27016"/>
    <w:rsid w:val="00C2708B"/>
    <w:rsid w:val="00C270D4"/>
    <w:rsid w:val="00C272B9"/>
    <w:rsid w:val="00C272DA"/>
    <w:rsid w:val="00C27424"/>
    <w:rsid w:val="00C27501"/>
    <w:rsid w:val="00C2751C"/>
    <w:rsid w:val="00C27DFC"/>
    <w:rsid w:val="00C27EE3"/>
    <w:rsid w:val="00C30115"/>
    <w:rsid w:val="00C30306"/>
    <w:rsid w:val="00C303AF"/>
    <w:rsid w:val="00C30455"/>
    <w:rsid w:val="00C3063E"/>
    <w:rsid w:val="00C3081A"/>
    <w:rsid w:val="00C30A77"/>
    <w:rsid w:val="00C30DC9"/>
    <w:rsid w:val="00C3107B"/>
    <w:rsid w:val="00C314C6"/>
    <w:rsid w:val="00C31505"/>
    <w:rsid w:val="00C31684"/>
    <w:rsid w:val="00C3169C"/>
    <w:rsid w:val="00C31984"/>
    <w:rsid w:val="00C31B1F"/>
    <w:rsid w:val="00C31DF7"/>
    <w:rsid w:val="00C31F3D"/>
    <w:rsid w:val="00C32057"/>
    <w:rsid w:val="00C326CD"/>
    <w:rsid w:val="00C327A2"/>
    <w:rsid w:val="00C328CE"/>
    <w:rsid w:val="00C32903"/>
    <w:rsid w:val="00C32AC7"/>
    <w:rsid w:val="00C32B86"/>
    <w:rsid w:val="00C32C53"/>
    <w:rsid w:val="00C32C9A"/>
    <w:rsid w:val="00C32D74"/>
    <w:rsid w:val="00C32DE3"/>
    <w:rsid w:val="00C32E1E"/>
    <w:rsid w:val="00C32EA9"/>
    <w:rsid w:val="00C32EAE"/>
    <w:rsid w:val="00C331D8"/>
    <w:rsid w:val="00C33357"/>
    <w:rsid w:val="00C33600"/>
    <w:rsid w:val="00C33653"/>
    <w:rsid w:val="00C3365E"/>
    <w:rsid w:val="00C3371B"/>
    <w:rsid w:val="00C33753"/>
    <w:rsid w:val="00C3385D"/>
    <w:rsid w:val="00C33902"/>
    <w:rsid w:val="00C33A02"/>
    <w:rsid w:val="00C33A74"/>
    <w:rsid w:val="00C33BDC"/>
    <w:rsid w:val="00C33C81"/>
    <w:rsid w:val="00C33D62"/>
    <w:rsid w:val="00C33F9C"/>
    <w:rsid w:val="00C34044"/>
    <w:rsid w:val="00C344C5"/>
    <w:rsid w:val="00C34519"/>
    <w:rsid w:val="00C34572"/>
    <w:rsid w:val="00C34936"/>
    <w:rsid w:val="00C34969"/>
    <w:rsid w:val="00C34985"/>
    <w:rsid w:val="00C34A63"/>
    <w:rsid w:val="00C34AFA"/>
    <w:rsid w:val="00C34B34"/>
    <w:rsid w:val="00C34BB3"/>
    <w:rsid w:val="00C34C6F"/>
    <w:rsid w:val="00C34D8E"/>
    <w:rsid w:val="00C34EBF"/>
    <w:rsid w:val="00C34F5C"/>
    <w:rsid w:val="00C35223"/>
    <w:rsid w:val="00C352B4"/>
    <w:rsid w:val="00C352BA"/>
    <w:rsid w:val="00C3535D"/>
    <w:rsid w:val="00C35567"/>
    <w:rsid w:val="00C358C0"/>
    <w:rsid w:val="00C35A5D"/>
    <w:rsid w:val="00C35CC6"/>
    <w:rsid w:val="00C35E20"/>
    <w:rsid w:val="00C3603A"/>
    <w:rsid w:val="00C36466"/>
    <w:rsid w:val="00C3656B"/>
    <w:rsid w:val="00C36688"/>
    <w:rsid w:val="00C366CF"/>
    <w:rsid w:val="00C36A4D"/>
    <w:rsid w:val="00C36B03"/>
    <w:rsid w:val="00C36D45"/>
    <w:rsid w:val="00C37100"/>
    <w:rsid w:val="00C371B2"/>
    <w:rsid w:val="00C371D1"/>
    <w:rsid w:val="00C371E0"/>
    <w:rsid w:val="00C37258"/>
    <w:rsid w:val="00C3770C"/>
    <w:rsid w:val="00C37AB8"/>
    <w:rsid w:val="00C37D38"/>
    <w:rsid w:val="00C37D9C"/>
    <w:rsid w:val="00C37FBB"/>
    <w:rsid w:val="00C401F6"/>
    <w:rsid w:val="00C40432"/>
    <w:rsid w:val="00C40661"/>
    <w:rsid w:val="00C407B6"/>
    <w:rsid w:val="00C40838"/>
    <w:rsid w:val="00C40A35"/>
    <w:rsid w:val="00C40AB8"/>
    <w:rsid w:val="00C40B41"/>
    <w:rsid w:val="00C41389"/>
    <w:rsid w:val="00C41648"/>
    <w:rsid w:val="00C418D9"/>
    <w:rsid w:val="00C41A69"/>
    <w:rsid w:val="00C41BA6"/>
    <w:rsid w:val="00C41D5C"/>
    <w:rsid w:val="00C41F64"/>
    <w:rsid w:val="00C41FE7"/>
    <w:rsid w:val="00C424CC"/>
    <w:rsid w:val="00C42533"/>
    <w:rsid w:val="00C428BB"/>
    <w:rsid w:val="00C42B12"/>
    <w:rsid w:val="00C42B14"/>
    <w:rsid w:val="00C42BA1"/>
    <w:rsid w:val="00C42BB0"/>
    <w:rsid w:val="00C42C51"/>
    <w:rsid w:val="00C42E6F"/>
    <w:rsid w:val="00C42EAC"/>
    <w:rsid w:val="00C42F1B"/>
    <w:rsid w:val="00C42FF1"/>
    <w:rsid w:val="00C43023"/>
    <w:rsid w:val="00C43079"/>
    <w:rsid w:val="00C43096"/>
    <w:rsid w:val="00C43099"/>
    <w:rsid w:val="00C4318A"/>
    <w:rsid w:val="00C43478"/>
    <w:rsid w:val="00C4350A"/>
    <w:rsid w:val="00C43544"/>
    <w:rsid w:val="00C43551"/>
    <w:rsid w:val="00C43576"/>
    <w:rsid w:val="00C43593"/>
    <w:rsid w:val="00C437D2"/>
    <w:rsid w:val="00C43846"/>
    <w:rsid w:val="00C4385E"/>
    <w:rsid w:val="00C43AB2"/>
    <w:rsid w:val="00C43BAC"/>
    <w:rsid w:val="00C43D68"/>
    <w:rsid w:val="00C4404D"/>
    <w:rsid w:val="00C442AE"/>
    <w:rsid w:val="00C4443E"/>
    <w:rsid w:val="00C44460"/>
    <w:rsid w:val="00C4452A"/>
    <w:rsid w:val="00C445D5"/>
    <w:rsid w:val="00C44731"/>
    <w:rsid w:val="00C44788"/>
    <w:rsid w:val="00C4478F"/>
    <w:rsid w:val="00C4497C"/>
    <w:rsid w:val="00C44A07"/>
    <w:rsid w:val="00C44A0E"/>
    <w:rsid w:val="00C44B74"/>
    <w:rsid w:val="00C44DC1"/>
    <w:rsid w:val="00C44EA4"/>
    <w:rsid w:val="00C44FF9"/>
    <w:rsid w:val="00C450A8"/>
    <w:rsid w:val="00C450AA"/>
    <w:rsid w:val="00C453C8"/>
    <w:rsid w:val="00C45446"/>
    <w:rsid w:val="00C456DB"/>
    <w:rsid w:val="00C457FE"/>
    <w:rsid w:val="00C45CBD"/>
    <w:rsid w:val="00C45D37"/>
    <w:rsid w:val="00C45DF6"/>
    <w:rsid w:val="00C45FAE"/>
    <w:rsid w:val="00C46079"/>
    <w:rsid w:val="00C46350"/>
    <w:rsid w:val="00C463DE"/>
    <w:rsid w:val="00C4640D"/>
    <w:rsid w:val="00C46448"/>
    <w:rsid w:val="00C46509"/>
    <w:rsid w:val="00C466A8"/>
    <w:rsid w:val="00C46702"/>
    <w:rsid w:val="00C46909"/>
    <w:rsid w:val="00C46C18"/>
    <w:rsid w:val="00C46D56"/>
    <w:rsid w:val="00C46FD7"/>
    <w:rsid w:val="00C47035"/>
    <w:rsid w:val="00C4712D"/>
    <w:rsid w:val="00C471D8"/>
    <w:rsid w:val="00C47332"/>
    <w:rsid w:val="00C47476"/>
    <w:rsid w:val="00C474D8"/>
    <w:rsid w:val="00C475E3"/>
    <w:rsid w:val="00C477FE"/>
    <w:rsid w:val="00C4780B"/>
    <w:rsid w:val="00C4788D"/>
    <w:rsid w:val="00C47976"/>
    <w:rsid w:val="00C4798E"/>
    <w:rsid w:val="00C479EC"/>
    <w:rsid w:val="00C47AE4"/>
    <w:rsid w:val="00C47AFB"/>
    <w:rsid w:val="00C47CBB"/>
    <w:rsid w:val="00C47E35"/>
    <w:rsid w:val="00C47E49"/>
    <w:rsid w:val="00C50030"/>
    <w:rsid w:val="00C507C6"/>
    <w:rsid w:val="00C5083F"/>
    <w:rsid w:val="00C508CF"/>
    <w:rsid w:val="00C509E8"/>
    <w:rsid w:val="00C50A11"/>
    <w:rsid w:val="00C50A53"/>
    <w:rsid w:val="00C50AB2"/>
    <w:rsid w:val="00C50B16"/>
    <w:rsid w:val="00C50B1A"/>
    <w:rsid w:val="00C50C3C"/>
    <w:rsid w:val="00C50CB1"/>
    <w:rsid w:val="00C50FE2"/>
    <w:rsid w:val="00C5100E"/>
    <w:rsid w:val="00C5107A"/>
    <w:rsid w:val="00C51146"/>
    <w:rsid w:val="00C513EC"/>
    <w:rsid w:val="00C5145B"/>
    <w:rsid w:val="00C518B6"/>
    <w:rsid w:val="00C518EC"/>
    <w:rsid w:val="00C519F6"/>
    <w:rsid w:val="00C51BF2"/>
    <w:rsid w:val="00C51C81"/>
    <w:rsid w:val="00C51D94"/>
    <w:rsid w:val="00C5206B"/>
    <w:rsid w:val="00C520BE"/>
    <w:rsid w:val="00C520DC"/>
    <w:rsid w:val="00C52810"/>
    <w:rsid w:val="00C52865"/>
    <w:rsid w:val="00C52A50"/>
    <w:rsid w:val="00C52B55"/>
    <w:rsid w:val="00C52C67"/>
    <w:rsid w:val="00C52C9A"/>
    <w:rsid w:val="00C52CB9"/>
    <w:rsid w:val="00C52ECE"/>
    <w:rsid w:val="00C52FFC"/>
    <w:rsid w:val="00C5300D"/>
    <w:rsid w:val="00C53284"/>
    <w:rsid w:val="00C53573"/>
    <w:rsid w:val="00C53737"/>
    <w:rsid w:val="00C53756"/>
    <w:rsid w:val="00C53965"/>
    <w:rsid w:val="00C539DA"/>
    <w:rsid w:val="00C53A84"/>
    <w:rsid w:val="00C53D56"/>
    <w:rsid w:val="00C53F6D"/>
    <w:rsid w:val="00C5422A"/>
    <w:rsid w:val="00C542C5"/>
    <w:rsid w:val="00C54353"/>
    <w:rsid w:val="00C543BD"/>
    <w:rsid w:val="00C54423"/>
    <w:rsid w:val="00C54A1F"/>
    <w:rsid w:val="00C54AA2"/>
    <w:rsid w:val="00C54AAF"/>
    <w:rsid w:val="00C54EF1"/>
    <w:rsid w:val="00C54F5F"/>
    <w:rsid w:val="00C54FB3"/>
    <w:rsid w:val="00C550F7"/>
    <w:rsid w:val="00C5519B"/>
    <w:rsid w:val="00C5520B"/>
    <w:rsid w:val="00C55257"/>
    <w:rsid w:val="00C554B6"/>
    <w:rsid w:val="00C5576A"/>
    <w:rsid w:val="00C557C0"/>
    <w:rsid w:val="00C559AE"/>
    <w:rsid w:val="00C55DE9"/>
    <w:rsid w:val="00C55FF0"/>
    <w:rsid w:val="00C56350"/>
    <w:rsid w:val="00C56440"/>
    <w:rsid w:val="00C565E7"/>
    <w:rsid w:val="00C5665C"/>
    <w:rsid w:val="00C567F1"/>
    <w:rsid w:val="00C56B00"/>
    <w:rsid w:val="00C56B86"/>
    <w:rsid w:val="00C56BC9"/>
    <w:rsid w:val="00C56D15"/>
    <w:rsid w:val="00C56DAD"/>
    <w:rsid w:val="00C56DCF"/>
    <w:rsid w:val="00C56E81"/>
    <w:rsid w:val="00C57084"/>
    <w:rsid w:val="00C571BF"/>
    <w:rsid w:val="00C57720"/>
    <w:rsid w:val="00C57885"/>
    <w:rsid w:val="00C5788C"/>
    <w:rsid w:val="00C57896"/>
    <w:rsid w:val="00C57A57"/>
    <w:rsid w:val="00C57C65"/>
    <w:rsid w:val="00C57C90"/>
    <w:rsid w:val="00C57CD2"/>
    <w:rsid w:val="00C60681"/>
    <w:rsid w:val="00C6070B"/>
    <w:rsid w:val="00C60913"/>
    <w:rsid w:val="00C6092F"/>
    <w:rsid w:val="00C60A4A"/>
    <w:rsid w:val="00C60A53"/>
    <w:rsid w:val="00C60DB8"/>
    <w:rsid w:val="00C61377"/>
    <w:rsid w:val="00C613B4"/>
    <w:rsid w:val="00C6156E"/>
    <w:rsid w:val="00C615BB"/>
    <w:rsid w:val="00C61665"/>
    <w:rsid w:val="00C618A0"/>
    <w:rsid w:val="00C61CA2"/>
    <w:rsid w:val="00C61D4B"/>
    <w:rsid w:val="00C61DC9"/>
    <w:rsid w:val="00C61E4E"/>
    <w:rsid w:val="00C61E66"/>
    <w:rsid w:val="00C61EF3"/>
    <w:rsid w:val="00C623D9"/>
    <w:rsid w:val="00C623FD"/>
    <w:rsid w:val="00C62495"/>
    <w:rsid w:val="00C624D5"/>
    <w:rsid w:val="00C62567"/>
    <w:rsid w:val="00C62923"/>
    <w:rsid w:val="00C62A0B"/>
    <w:rsid w:val="00C62BF6"/>
    <w:rsid w:val="00C63029"/>
    <w:rsid w:val="00C63282"/>
    <w:rsid w:val="00C63522"/>
    <w:rsid w:val="00C63545"/>
    <w:rsid w:val="00C6362F"/>
    <w:rsid w:val="00C638F4"/>
    <w:rsid w:val="00C63D04"/>
    <w:rsid w:val="00C63F6B"/>
    <w:rsid w:val="00C641AE"/>
    <w:rsid w:val="00C641D4"/>
    <w:rsid w:val="00C641F4"/>
    <w:rsid w:val="00C64411"/>
    <w:rsid w:val="00C64C10"/>
    <w:rsid w:val="00C64CFB"/>
    <w:rsid w:val="00C64EC1"/>
    <w:rsid w:val="00C650E9"/>
    <w:rsid w:val="00C651D5"/>
    <w:rsid w:val="00C6520C"/>
    <w:rsid w:val="00C65246"/>
    <w:rsid w:val="00C65466"/>
    <w:rsid w:val="00C6553D"/>
    <w:rsid w:val="00C6559B"/>
    <w:rsid w:val="00C655EE"/>
    <w:rsid w:val="00C6570B"/>
    <w:rsid w:val="00C659B4"/>
    <w:rsid w:val="00C65A5A"/>
    <w:rsid w:val="00C661B8"/>
    <w:rsid w:val="00C6633D"/>
    <w:rsid w:val="00C6637B"/>
    <w:rsid w:val="00C663CC"/>
    <w:rsid w:val="00C6650D"/>
    <w:rsid w:val="00C66776"/>
    <w:rsid w:val="00C66E19"/>
    <w:rsid w:val="00C66E3B"/>
    <w:rsid w:val="00C66EAA"/>
    <w:rsid w:val="00C66F85"/>
    <w:rsid w:val="00C67240"/>
    <w:rsid w:val="00C677D6"/>
    <w:rsid w:val="00C677E4"/>
    <w:rsid w:val="00C67A07"/>
    <w:rsid w:val="00C67B8C"/>
    <w:rsid w:val="00C67D10"/>
    <w:rsid w:val="00C70158"/>
    <w:rsid w:val="00C703BB"/>
    <w:rsid w:val="00C703C5"/>
    <w:rsid w:val="00C7057B"/>
    <w:rsid w:val="00C705BF"/>
    <w:rsid w:val="00C705C2"/>
    <w:rsid w:val="00C7084B"/>
    <w:rsid w:val="00C70897"/>
    <w:rsid w:val="00C70A67"/>
    <w:rsid w:val="00C70C11"/>
    <w:rsid w:val="00C70CF5"/>
    <w:rsid w:val="00C71155"/>
    <w:rsid w:val="00C71163"/>
    <w:rsid w:val="00C71180"/>
    <w:rsid w:val="00C712C5"/>
    <w:rsid w:val="00C71802"/>
    <w:rsid w:val="00C71A27"/>
    <w:rsid w:val="00C71B2D"/>
    <w:rsid w:val="00C71B6F"/>
    <w:rsid w:val="00C71D6B"/>
    <w:rsid w:val="00C71ECD"/>
    <w:rsid w:val="00C723F7"/>
    <w:rsid w:val="00C72923"/>
    <w:rsid w:val="00C72960"/>
    <w:rsid w:val="00C72B22"/>
    <w:rsid w:val="00C72CFF"/>
    <w:rsid w:val="00C7311A"/>
    <w:rsid w:val="00C73253"/>
    <w:rsid w:val="00C735A9"/>
    <w:rsid w:val="00C735EB"/>
    <w:rsid w:val="00C73628"/>
    <w:rsid w:val="00C73659"/>
    <w:rsid w:val="00C73722"/>
    <w:rsid w:val="00C737BB"/>
    <w:rsid w:val="00C738BA"/>
    <w:rsid w:val="00C73902"/>
    <w:rsid w:val="00C73B99"/>
    <w:rsid w:val="00C73BFB"/>
    <w:rsid w:val="00C73C4B"/>
    <w:rsid w:val="00C73DAE"/>
    <w:rsid w:val="00C73DF3"/>
    <w:rsid w:val="00C73E7A"/>
    <w:rsid w:val="00C74622"/>
    <w:rsid w:val="00C746EA"/>
    <w:rsid w:val="00C74788"/>
    <w:rsid w:val="00C74AC3"/>
    <w:rsid w:val="00C74BC0"/>
    <w:rsid w:val="00C74DBE"/>
    <w:rsid w:val="00C75126"/>
    <w:rsid w:val="00C75210"/>
    <w:rsid w:val="00C75322"/>
    <w:rsid w:val="00C7543D"/>
    <w:rsid w:val="00C75476"/>
    <w:rsid w:val="00C75520"/>
    <w:rsid w:val="00C75822"/>
    <w:rsid w:val="00C75B66"/>
    <w:rsid w:val="00C75BB6"/>
    <w:rsid w:val="00C75BC0"/>
    <w:rsid w:val="00C75D99"/>
    <w:rsid w:val="00C75EC5"/>
    <w:rsid w:val="00C75FD2"/>
    <w:rsid w:val="00C760AD"/>
    <w:rsid w:val="00C760C7"/>
    <w:rsid w:val="00C76645"/>
    <w:rsid w:val="00C76726"/>
    <w:rsid w:val="00C76BBF"/>
    <w:rsid w:val="00C76BE5"/>
    <w:rsid w:val="00C76EA4"/>
    <w:rsid w:val="00C770FD"/>
    <w:rsid w:val="00C77352"/>
    <w:rsid w:val="00C77362"/>
    <w:rsid w:val="00C77519"/>
    <w:rsid w:val="00C7768A"/>
    <w:rsid w:val="00C776AD"/>
    <w:rsid w:val="00C778A7"/>
    <w:rsid w:val="00C77B8E"/>
    <w:rsid w:val="00C77C54"/>
    <w:rsid w:val="00C77CBB"/>
    <w:rsid w:val="00C77CBD"/>
    <w:rsid w:val="00C77EDA"/>
    <w:rsid w:val="00C80236"/>
    <w:rsid w:val="00C80487"/>
    <w:rsid w:val="00C80BF0"/>
    <w:rsid w:val="00C80CD7"/>
    <w:rsid w:val="00C80DAE"/>
    <w:rsid w:val="00C80F40"/>
    <w:rsid w:val="00C81043"/>
    <w:rsid w:val="00C81059"/>
    <w:rsid w:val="00C81146"/>
    <w:rsid w:val="00C811F3"/>
    <w:rsid w:val="00C8135F"/>
    <w:rsid w:val="00C813A4"/>
    <w:rsid w:val="00C814FD"/>
    <w:rsid w:val="00C8167D"/>
    <w:rsid w:val="00C81681"/>
    <w:rsid w:val="00C816A5"/>
    <w:rsid w:val="00C8179A"/>
    <w:rsid w:val="00C8197A"/>
    <w:rsid w:val="00C81A30"/>
    <w:rsid w:val="00C81C0E"/>
    <w:rsid w:val="00C81CB8"/>
    <w:rsid w:val="00C81F2C"/>
    <w:rsid w:val="00C82033"/>
    <w:rsid w:val="00C82116"/>
    <w:rsid w:val="00C82209"/>
    <w:rsid w:val="00C8242D"/>
    <w:rsid w:val="00C8254B"/>
    <w:rsid w:val="00C825B8"/>
    <w:rsid w:val="00C827DD"/>
    <w:rsid w:val="00C829FD"/>
    <w:rsid w:val="00C82BD4"/>
    <w:rsid w:val="00C82BE2"/>
    <w:rsid w:val="00C82EAC"/>
    <w:rsid w:val="00C8327F"/>
    <w:rsid w:val="00C83734"/>
    <w:rsid w:val="00C837DE"/>
    <w:rsid w:val="00C838EA"/>
    <w:rsid w:val="00C83C29"/>
    <w:rsid w:val="00C83C60"/>
    <w:rsid w:val="00C83DC2"/>
    <w:rsid w:val="00C83EC1"/>
    <w:rsid w:val="00C84124"/>
    <w:rsid w:val="00C8458C"/>
    <w:rsid w:val="00C848C8"/>
    <w:rsid w:val="00C84C0E"/>
    <w:rsid w:val="00C84D26"/>
    <w:rsid w:val="00C851E7"/>
    <w:rsid w:val="00C8547E"/>
    <w:rsid w:val="00C856DD"/>
    <w:rsid w:val="00C857DE"/>
    <w:rsid w:val="00C859CE"/>
    <w:rsid w:val="00C85A4A"/>
    <w:rsid w:val="00C85C38"/>
    <w:rsid w:val="00C85C9D"/>
    <w:rsid w:val="00C86007"/>
    <w:rsid w:val="00C86053"/>
    <w:rsid w:val="00C86125"/>
    <w:rsid w:val="00C861D3"/>
    <w:rsid w:val="00C862A6"/>
    <w:rsid w:val="00C863AB"/>
    <w:rsid w:val="00C863EF"/>
    <w:rsid w:val="00C86421"/>
    <w:rsid w:val="00C86529"/>
    <w:rsid w:val="00C86583"/>
    <w:rsid w:val="00C86660"/>
    <w:rsid w:val="00C866E5"/>
    <w:rsid w:val="00C86735"/>
    <w:rsid w:val="00C867ED"/>
    <w:rsid w:val="00C86813"/>
    <w:rsid w:val="00C86BA6"/>
    <w:rsid w:val="00C86C66"/>
    <w:rsid w:val="00C86D20"/>
    <w:rsid w:val="00C86EDE"/>
    <w:rsid w:val="00C87166"/>
    <w:rsid w:val="00C872A2"/>
    <w:rsid w:val="00C873E5"/>
    <w:rsid w:val="00C8748D"/>
    <w:rsid w:val="00C87673"/>
    <w:rsid w:val="00C87BBF"/>
    <w:rsid w:val="00C87C21"/>
    <w:rsid w:val="00C87C3F"/>
    <w:rsid w:val="00C87CEC"/>
    <w:rsid w:val="00C87D41"/>
    <w:rsid w:val="00C87D72"/>
    <w:rsid w:val="00C87F6F"/>
    <w:rsid w:val="00C87F9C"/>
    <w:rsid w:val="00C9031B"/>
    <w:rsid w:val="00C903DD"/>
    <w:rsid w:val="00C90433"/>
    <w:rsid w:val="00C90573"/>
    <w:rsid w:val="00C906B0"/>
    <w:rsid w:val="00C908A7"/>
    <w:rsid w:val="00C90BF0"/>
    <w:rsid w:val="00C90CC6"/>
    <w:rsid w:val="00C90CFE"/>
    <w:rsid w:val="00C90D1F"/>
    <w:rsid w:val="00C90E47"/>
    <w:rsid w:val="00C91113"/>
    <w:rsid w:val="00C91483"/>
    <w:rsid w:val="00C916E3"/>
    <w:rsid w:val="00C916F6"/>
    <w:rsid w:val="00C91862"/>
    <w:rsid w:val="00C91A71"/>
    <w:rsid w:val="00C91AC5"/>
    <w:rsid w:val="00C91C2E"/>
    <w:rsid w:val="00C91DED"/>
    <w:rsid w:val="00C91E92"/>
    <w:rsid w:val="00C920C4"/>
    <w:rsid w:val="00C9309B"/>
    <w:rsid w:val="00C93175"/>
    <w:rsid w:val="00C93337"/>
    <w:rsid w:val="00C93379"/>
    <w:rsid w:val="00C93428"/>
    <w:rsid w:val="00C936A8"/>
    <w:rsid w:val="00C939AF"/>
    <w:rsid w:val="00C939FC"/>
    <w:rsid w:val="00C93A05"/>
    <w:rsid w:val="00C93BBC"/>
    <w:rsid w:val="00C93D87"/>
    <w:rsid w:val="00C940FE"/>
    <w:rsid w:val="00C94203"/>
    <w:rsid w:val="00C94338"/>
    <w:rsid w:val="00C94356"/>
    <w:rsid w:val="00C944BC"/>
    <w:rsid w:val="00C9464B"/>
    <w:rsid w:val="00C94723"/>
    <w:rsid w:val="00C947A1"/>
    <w:rsid w:val="00C94AA8"/>
    <w:rsid w:val="00C94E1A"/>
    <w:rsid w:val="00C94E31"/>
    <w:rsid w:val="00C9514E"/>
    <w:rsid w:val="00C95157"/>
    <w:rsid w:val="00C95412"/>
    <w:rsid w:val="00C95821"/>
    <w:rsid w:val="00C958F3"/>
    <w:rsid w:val="00C959E6"/>
    <w:rsid w:val="00C95B46"/>
    <w:rsid w:val="00C95C33"/>
    <w:rsid w:val="00C95C60"/>
    <w:rsid w:val="00C95C6B"/>
    <w:rsid w:val="00C95ECB"/>
    <w:rsid w:val="00C95F05"/>
    <w:rsid w:val="00C95FEF"/>
    <w:rsid w:val="00C95FF2"/>
    <w:rsid w:val="00C96002"/>
    <w:rsid w:val="00C96599"/>
    <w:rsid w:val="00C965B4"/>
    <w:rsid w:val="00C968C0"/>
    <w:rsid w:val="00C96927"/>
    <w:rsid w:val="00C96A44"/>
    <w:rsid w:val="00C96FB2"/>
    <w:rsid w:val="00C971F8"/>
    <w:rsid w:val="00C97444"/>
    <w:rsid w:val="00C97662"/>
    <w:rsid w:val="00C97A88"/>
    <w:rsid w:val="00C97DCA"/>
    <w:rsid w:val="00C97E7C"/>
    <w:rsid w:val="00CA000C"/>
    <w:rsid w:val="00CA0172"/>
    <w:rsid w:val="00CA038D"/>
    <w:rsid w:val="00CA04AF"/>
    <w:rsid w:val="00CA04E6"/>
    <w:rsid w:val="00CA05E7"/>
    <w:rsid w:val="00CA0772"/>
    <w:rsid w:val="00CA08FA"/>
    <w:rsid w:val="00CA0AB3"/>
    <w:rsid w:val="00CA0BE5"/>
    <w:rsid w:val="00CA0D38"/>
    <w:rsid w:val="00CA0DF9"/>
    <w:rsid w:val="00CA0F21"/>
    <w:rsid w:val="00CA0F33"/>
    <w:rsid w:val="00CA0FD0"/>
    <w:rsid w:val="00CA10A8"/>
    <w:rsid w:val="00CA12CC"/>
    <w:rsid w:val="00CA13BD"/>
    <w:rsid w:val="00CA166F"/>
    <w:rsid w:val="00CA16EC"/>
    <w:rsid w:val="00CA170D"/>
    <w:rsid w:val="00CA184F"/>
    <w:rsid w:val="00CA19BA"/>
    <w:rsid w:val="00CA19BE"/>
    <w:rsid w:val="00CA19CC"/>
    <w:rsid w:val="00CA1A35"/>
    <w:rsid w:val="00CA1D0B"/>
    <w:rsid w:val="00CA1E34"/>
    <w:rsid w:val="00CA1FA4"/>
    <w:rsid w:val="00CA212C"/>
    <w:rsid w:val="00CA222D"/>
    <w:rsid w:val="00CA230B"/>
    <w:rsid w:val="00CA235A"/>
    <w:rsid w:val="00CA25B7"/>
    <w:rsid w:val="00CA271E"/>
    <w:rsid w:val="00CA2910"/>
    <w:rsid w:val="00CA2A18"/>
    <w:rsid w:val="00CA2AD9"/>
    <w:rsid w:val="00CA2B7E"/>
    <w:rsid w:val="00CA2CD8"/>
    <w:rsid w:val="00CA2D0B"/>
    <w:rsid w:val="00CA2F4D"/>
    <w:rsid w:val="00CA31B5"/>
    <w:rsid w:val="00CA358F"/>
    <w:rsid w:val="00CA38A7"/>
    <w:rsid w:val="00CA38CE"/>
    <w:rsid w:val="00CA3909"/>
    <w:rsid w:val="00CA3933"/>
    <w:rsid w:val="00CA39FE"/>
    <w:rsid w:val="00CA3CB0"/>
    <w:rsid w:val="00CA3D65"/>
    <w:rsid w:val="00CA3DAA"/>
    <w:rsid w:val="00CA3E62"/>
    <w:rsid w:val="00CA3F76"/>
    <w:rsid w:val="00CA3FF2"/>
    <w:rsid w:val="00CA4024"/>
    <w:rsid w:val="00CA42F5"/>
    <w:rsid w:val="00CA433C"/>
    <w:rsid w:val="00CA4479"/>
    <w:rsid w:val="00CA45CC"/>
    <w:rsid w:val="00CA471D"/>
    <w:rsid w:val="00CA4A82"/>
    <w:rsid w:val="00CA4B5A"/>
    <w:rsid w:val="00CA4BED"/>
    <w:rsid w:val="00CA4D60"/>
    <w:rsid w:val="00CA5204"/>
    <w:rsid w:val="00CA5300"/>
    <w:rsid w:val="00CA54ED"/>
    <w:rsid w:val="00CA5673"/>
    <w:rsid w:val="00CA57F6"/>
    <w:rsid w:val="00CA5E0B"/>
    <w:rsid w:val="00CA5FAA"/>
    <w:rsid w:val="00CA618B"/>
    <w:rsid w:val="00CA6259"/>
    <w:rsid w:val="00CA6717"/>
    <w:rsid w:val="00CA6788"/>
    <w:rsid w:val="00CA6883"/>
    <w:rsid w:val="00CA68D5"/>
    <w:rsid w:val="00CA6E53"/>
    <w:rsid w:val="00CA6F35"/>
    <w:rsid w:val="00CA7013"/>
    <w:rsid w:val="00CA70D0"/>
    <w:rsid w:val="00CA7436"/>
    <w:rsid w:val="00CA7501"/>
    <w:rsid w:val="00CA75F2"/>
    <w:rsid w:val="00CA7601"/>
    <w:rsid w:val="00CA7814"/>
    <w:rsid w:val="00CB0597"/>
    <w:rsid w:val="00CB0831"/>
    <w:rsid w:val="00CB096B"/>
    <w:rsid w:val="00CB0F71"/>
    <w:rsid w:val="00CB10DD"/>
    <w:rsid w:val="00CB121E"/>
    <w:rsid w:val="00CB1226"/>
    <w:rsid w:val="00CB154A"/>
    <w:rsid w:val="00CB177B"/>
    <w:rsid w:val="00CB195E"/>
    <w:rsid w:val="00CB1BB9"/>
    <w:rsid w:val="00CB1CDF"/>
    <w:rsid w:val="00CB1EBA"/>
    <w:rsid w:val="00CB1F71"/>
    <w:rsid w:val="00CB1F78"/>
    <w:rsid w:val="00CB1F81"/>
    <w:rsid w:val="00CB1F83"/>
    <w:rsid w:val="00CB2138"/>
    <w:rsid w:val="00CB23EB"/>
    <w:rsid w:val="00CB2A21"/>
    <w:rsid w:val="00CB2AD6"/>
    <w:rsid w:val="00CB2BBE"/>
    <w:rsid w:val="00CB2C72"/>
    <w:rsid w:val="00CB2D0A"/>
    <w:rsid w:val="00CB2DFB"/>
    <w:rsid w:val="00CB2E05"/>
    <w:rsid w:val="00CB2E1E"/>
    <w:rsid w:val="00CB381F"/>
    <w:rsid w:val="00CB387D"/>
    <w:rsid w:val="00CB389F"/>
    <w:rsid w:val="00CB393C"/>
    <w:rsid w:val="00CB39F8"/>
    <w:rsid w:val="00CB3F15"/>
    <w:rsid w:val="00CB3F6D"/>
    <w:rsid w:val="00CB3F8C"/>
    <w:rsid w:val="00CB3F9D"/>
    <w:rsid w:val="00CB40B8"/>
    <w:rsid w:val="00CB4418"/>
    <w:rsid w:val="00CB472C"/>
    <w:rsid w:val="00CB47E3"/>
    <w:rsid w:val="00CB489F"/>
    <w:rsid w:val="00CB4EB3"/>
    <w:rsid w:val="00CB500B"/>
    <w:rsid w:val="00CB5377"/>
    <w:rsid w:val="00CB556B"/>
    <w:rsid w:val="00CB5774"/>
    <w:rsid w:val="00CB5804"/>
    <w:rsid w:val="00CB5811"/>
    <w:rsid w:val="00CB5915"/>
    <w:rsid w:val="00CB6138"/>
    <w:rsid w:val="00CB6697"/>
    <w:rsid w:val="00CB6796"/>
    <w:rsid w:val="00CB68B7"/>
    <w:rsid w:val="00CB6913"/>
    <w:rsid w:val="00CB6931"/>
    <w:rsid w:val="00CB6A3F"/>
    <w:rsid w:val="00CB6EFF"/>
    <w:rsid w:val="00CB7461"/>
    <w:rsid w:val="00CB74E1"/>
    <w:rsid w:val="00CB7617"/>
    <w:rsid w:val="00CB76E9"/>
    <w:rsid w:val="00CB78C8"/>
    <w:rsid w:val="00CB7B41"/>
    <w:rsid w:val="00CB7B8F"/>
    <w:rsid w:val="00CB7C26"/>
    <w:rsid w:val="00CB7C7E"/>
    <w:rsid w:val="00CB7E36"/>
    <w:rsid w:val="00CB7FAE"/>
    <w:rsid w:val="00CC0214"/>
    <w:rsid w:val="00CC04BE"/>
    <w:rsid w:val="00CC0584"/>
    <w:rsid w:val="00CC0B8F"/>
    <w:rsid w:val="00CC0BD1"/>
    <w:rsid w:val="00CC0D72"/>
    <w:rsid w:val="00CC0DA8"/>
    <w:rsid w:val="00CC0DB0"/>
    <w:rsid w:val="00CC1136"/>
    <w:rsid w:val="00CC1194"/>
    <w:rsid w:val="00CC11CE"/>
    <w:rsid w:val="00CC122C"/>
    <w:rsid w:val="00CC1352"/>
    <w:rsid w:val="00CC1364"/>
    <w:rsid w:val="00CC1395"/>
    <w:rsid w:val="00CC13A7"/>
    <w:rsid w:val="00CC187F"/>
    <w:rsid w:val="00CC194A"/>
    <w:rsid w:val="00CC196C"/>
    <w:rsid w:val="00CC1994"/>
    <w:rsid w:val="00CC1A1F"/>
    <w:rsid w:val="00CC1CD8"/>
    <w:rsid w:val="00CC1E60"/>
    <w:rsid w:val="00CC208D"/>
    <w:rsid w:val="00CC213B"/>
    <w:rsid w:val="00CC219A"/>
    <w:rsid w:val="00CC226E"/>
    <w:rsid w:val="00CC238A"/>
    <w:rsid w:val="00CC262B"/>
    <w:rsid w:val="00CC2650"/>
    <w:rsid w:val="00CC2745"/>
    <w:rsid w:val="00CC2865"/>
    <w:rsid w:val="00CC299A"/>
    <w:rsid w:val="00CC2A5E"/>
    <w:rsid w:val="00CC2B24"/>
    <w:rsid w:val="00CC2FEE"/>
    <w:rsid w:val="00CC320B"/>
    <w:rsid w:val="00CC32D4"/>
    <w:rsid w:val="00CC335F"/>
    <w:rsid w:val="00CC357E"/>
    <w:rsid w:val="00CC35D9"/>
    <w:rsid w:val="00CC35FB"/>
    <w:rsid w:val="00CC3888"/>
    <w:rsid w:val="00CC3A0B"/>
    <w:rsid w:val="00CC3C02"/>
    <w:rsid w:val="00CC3C5F"/>
    <w:rsid w:val="00CC4036"/>
    <w:rsid w:val="00CC4455"/>
    <w:rsid w:val="00CC475D"/>
    <w:rsid w:val="00CC4895"/>
    <w:rsid w:val="00CC4950"/>
    <w:rsid w:val="00CC4AB4"/>
    <w:rsid w:val="00CC4F58"/>
    <w:rsid w:val="00CC4FA6"/>
    <w:rsid w:val="00CC4FCE"/>
    <w:rsid w:val="00CC5042"/>
    <w:rsid w:val="00CC5091"/>
    <w:rsid w:val="00CC5220"/>
    <w:rsid w:val="00CC53BF"/>
    <w:rsid w:val="00CC5415"/>
    <w:rsid w:val="00CC5D95"/>
    <w:rsid w:val="00CC6282"/>
    <w:rsid w:val="00CC64F9"/>
    <w:rsid w:val="00CC6745"/>
    <w:rsid w:val="00CC6755"/>
    <w:rsid w:val="00CC6794"/>
    <w:rsid w:val="00CC68DF"/>
    <w:rsid w:val="00CC6CAD"/>
    <w:rsid w:val="00CC6D2E"/>
    <w:rsid w:val="00CC6D84"/>
    <w:rsid w:val="00CC6FDC"/>
    <w:rsid w:val="00CC71B4"/>
    <w:rsid w:val="00CC7269"/>
    <w:rsid w:val="00CC75A6"/>
    <w:rsid w:val="00CC7C8C"/>
    <w:rsid w:val="00CC7FF3"/>
    <w:rsid w:val="00CD0263"/>
    <w:rsid w:val="00CD03C7"/>
    <w:rsid w:val="00CD04C3"/>
    <w:rsid w:val="00CD05D5"/>
    <w:rsid w:val="00CD0736"/>
    <w:rsid w:val="00CD08D8"/>
    <w:rsid w:val="00CD0A1F"/>
    <w:rsid w:val="00CD0EA5"/>
    <w:rsid w:val="00CD0F7A"/>
    <w:rsid w:val="00CD106C"/>
    <w:rsid w:val="00CD1162"/>
    <w:rsid w:val="00CD15BA"/>
    <w:rsid w:val="00CD1945"/>
    <w:rsid w:val="00CD1A2B"/>
    <w:rsid w:val="00CD1F1E"/>
    <w:rsid w:val="00CD24C1"/>
    <w:rsid w:val="00CD26B3"/>
    <w:rsid w:val="00CD2B4D"/>
    <w:rsid w:val="00CD2BF3"/>
    <w:rsid w:val="00CD2D99"/>
    <w:rsid w:val="00CD2DAC"/>
    <w:rsid w:val="00CD2F04"/>
    <w:rsid w:val="00CD3397"/>
    <w:rsid w:val="00CD3430"/>
    <w:rsid w:val="00CD373E"/>
    <w:rsid w:val="00CD3772"/>
    <w:rsid w:val="00CD39EC"/>
    <w:rsid w:val="00CD3BD2"/>
    <w:rsid w:val="00CD3EA7"/>
    <w:rsid w:val="00CD3EBC"/>
    <w:rsid w:val="00CD3ED3"/>
    <w:rsid w:val="00CD3F7D"/>
    <w:rsid w:val="00CD408D"/>
    <w:rsid w:val="00CD4123"/>
    <w:rsid w:val="00CD41BF"/>
    <w:rsid w:val="00CD4520"/>
    <w:rsid w:val="00CD476A"/>
    <w:rsid w:val="00CD4933"/>
    <w:rsid w:val="00CD4B2F"/>
    <w:rsid w:val="00CD4C2A"/>
    <w:rsid w:val="00CD4F41"/>
    <w:rsid w:val="00CD4FAC"/>
    <w:rsid w:val="00CD5038"/>
    <w:rsid w:val="00CD51AC"/>
    <w:rsid w:val="00CD5599"/>
    <w:rsid w:val="00CD5601"/>
    <w:rsid w:val="00CD58BC"/>
    <w:rsid w:val="00CD595D"/>
    <w:rsid w:val="00CD599E"/>
    <w:rsid w:val="00CD59FB"/>
    <w:rsid w:val="00CD5C3E"/>
    <w:rsid w:val="00CD5C99"/>
    <w:rsid w:val="00CD5E62"/>
    <w:rsid w:val="00CD5E76"/>
    <w:rsid w:val="00CD5E7E"/>
    <w:rsid w:val="00CD6260"/>
    <w:rsid w:val="00CD6300"/>
    <w:rsid w:val="00CD63AE"/>
    <w:rsid w:val="00CD6413"/>
    <w:rsid w:val="00CD661E"/>
    <w:rsid w:val="00CD685A"/>
    <w:rsid w:val="00CD68FD"/>
    <w:rsid w:val="00CD697F"/>
    <w:rsid w:val="00CD6AE0"/>
    <w:rsid w:val="00CD6F50"/>
    <w:rsid w:val="00CD71ED"/>
    <w:rsid w:val="00CD74BB"/>
    <w:rsid w:val="00CD74C4"/>
    <w:rsid w:val="00CD7513"/>
    <w:rsid w:val="00CD7575"/>
    <w:rsid w:val="00CD794C"/>
    <w:rsid w:val="00CD79C3"/>
    <w:rsid w:val="00CD7A75"/>
    <w:rsid w:val="00CD7E22"/>
    <w:rsid w:val="00CD7E29"/>
    <w:rsid w:val="00CD7F63"/>
    <w:rsid w:val="00CD7FE8"/>
    <w:rsid w:val="00CE008C"/>
    <w:rsid w:val="00CE031D"/>
    <w:rsid w:val="00CE04EB"/>
    <w:rsid w:val="00CE059E"/>
    <w:rsid w:val="00CE05B3"/>
    <w:rsid w:val="00CE072C"/>
    <w:rsid w:val="00CE079E"/>
    <w:rsid w:val="00CE0875"/>
    <w:rsid w:val="00CE0877"/>
    <w:rsid w:val="00CE09BB"/>
    <w:rsid w:val="00CE09FC"/>
    <w:rsid w:val="00CE0BF8"/>
    <w:rsid w:val="00CE0C73"/>
    <w:rsid w:val="00CE0CA0"/>
    <w:rsid w:val="00CE0E2E"/>
    <w:rsid w:val="00CE0FD0"/>
    <w:rsid w:val="00CE1107"/>
    <w:rsid w:val="00CE114A"/>
    <w:rsid w:val="00CE1175"/>
    <w:rsid w:val="00CE119A"/>
    <w:rsid w:val="00CE13B7"/>
    <w:rsid w:val="00CE14E4"/>
    <w:rsid w:val="00CE2361"/>
    <w:rsid w:val="00CE2423"/>
    <w:rsid w:val="00CE24D2"/>
    <w:rsid w:val="00CE2544"/>
    <w:rsid w:val="00CE2673"/>
    <w:rsid w:val="00CE2791"/>
    <w:rsid w:val="00CE30BC"/>
    <w:rsid w:val="00CE3194"/>
    <w:rsid w:val="00CE3226"/>
    <w:rsid w:val="00CE33AB"/>
    <w:rsid w:val="00CE33EE"/>
    <w:rsid w:val="00CE3420"/>
    <w:rsid w:val="00CE350E"/>
    <w:rsid w:val="00CE35B8"/>
    <w:rsid w:val="00CE360F"/>
    <w:rsid w:val="00CE36C0"/>
    <w:rsid w:val="00CE36CF"/>
    <w:rsid w:val="00CE3841"/>
    <w:rsid w:val="00CE3895"/>
    <w:rsid w:val="00CE393C"/>
    <w:rsid w:val="00CE3B18"/>
    <w:rsid w:val="00CE4347"/>
    <w:rsid w:val="00CE434E"/>
    <w:rsid w:val="00CE4392"/>
    <w:rsid w:val="00CE4400"/>
    <w:rsid w:val="00CE44AC"/>
    <w:rsid w:val="00CE4502"/>
    <w:rsid w:val="00CE4584"/>
    <w:rsid w:val="00CE4715"/>
    <w:rsid w:val="00CE48AF"/>
    <w:rsid w:val="00CE48E2"/>
    <w:rsid w:val="00CE4B50"/>
    <w:rsid w:val="00CE4C50"/>
    <w:rsid w:val="00CE4DED"/>
    <w:rsid w:val="00CE4F94"/>
    <w:rsid w:val="00CE51FE"/>
    <w:rsid w:val="00CE547D"/>
    <w:rsid w:val="00CE54EE"/>
    <w:rsid w:val="00CE54F9"/>
    <w:rsid w:val="00CE55B9"/>
    <w:rsid w:val="00CE5681"/>
    <w:rsid w:val="00CE5A12"/>
    <w:rsid w:val="00CE5D13"/>
    <w:rsid w:val="00CE5DCC"/>
    <w:rsid w:val="00CE5EAE"/>
    <w:rsid w:val="00CE61D5"/>
    <w:rsid w:val="00CE66D2"/>
    <w:rsid w:val="00CE67DC"/>
    <w:rsid w:val="00CE69B4"/>
    <w:rsid w:val="00CE6AB1"/>
    <w:rsid w:val="00CE6C1B"/>
    <w:rsid w:val="00CE6C7D"/>
    <w:rsid w:val="00CE6D10"/>
    <w:rsid w:val="00CE6D24"/>
    <w:rsid w:val="00CE70CF"/>
    <w:rsid w:val="00CE724D"/>
    <w:rsid w:val="00CE74DE"/>
    <w:rsid w:val="00CE7622"/>
    <w:rsid w:val="00CE7F9C"/>
    <w:rsid w:val="00CF0126"/>
    <w:rsid w:val="00CF0402"/>
    <w:rsid w:val="00CF043D"/>
    <w:rsid w:val="00CF0595"/>
    <w:rsid w:val="00CF0737"/>
    <w:rsid w:val="00CF0776"/>
    <w:rsid w:val="00CF08E7"/>
    <w:rsid w:val="00CF0A12"/>
    <w:rsid w:val="00CF0F78"/>
    <w:rsid w:val="00CF1211"/>
    <w:rsid w:val="00CF138C"/>
    <w:rsid w:val="00CF1446"/>
    <w:rsid w:val="00CF1470"/>
    <w:rsid w:val="00CF1496"/>
    <w:rsid w:val="00CF1936"/>
    <w:rsid w:val="00CF1AEF"/>
    <w:rsid w:val="00CF1CA0"/>
    <w:rsid w:val="00CF1E12"/>
    <w:rsid w:val="00CF1F90"/>
    <w:rsid w:val="00CF2412"/>
    <w:rsid w:val="00CF259D"/>
    <w:rsid w:val="00CF2607"/>
    <w:rsid w:val="00CF2762"/>
    <w:rsid w:val="00CF2840"/>
    <w:rsid w:val="00CF2841"/>
    <w:rsid w:val="00CF2A3D"/>
    <w:rsid w:val="00CF2B9D"/>
    <w:rsid w:val="00CF2C45"/>
    <w:rsid w:val="00CF2FB8"/>
    <w:rsid w:val="00CF2FDE"/>
    <w:rsid w:val="00CF3212"/>
    <w:rsid w:val="00CF321D"/>
    <w:rsid w:val="00CF32FC"/>
    <w:rsid w:val="00CF331E"/>
    <w:rsid w:val="00CF3457"/>
    <w:rsid w:val="00CF374B"/>
    <w:rsid w:val="00CF395D"/>
    <w:rsid w:val="00CF39C2"/>
    <w:rsid w:val="00CF3A82"/>
    <w:rsid w:val="00CF3DAF"/>
    <w:rsid w:val="00CF4307"/>
    <w:rsid w:val="00CF434C"/>
    <w:rsid w:val="00CF440B"/>
    <w:rsid w:val="00CF446E"/>
    <w:rsid w:val="00CF44FF"/>
    <w:rsid w:val="00CF4712"/>
    <w:rsid w:val="00CF4AD4"/>
    <w:rsid w:val="00CF4AE3"/>
    <w:rsid w:val="00CF4BED"/>
    <w:rsid w:val="00CF4BF2"/>
    <w:rsid w:val="00CF4C4A"/>
    <w:rsid w:val="00CF4E4E"/>
    <w:rsid w:val="00CF4F86"/>
    <w:rsid w:val="00CF515B"/>
    <w:rsid w:val="00CF524A"/>
    <w:rsid w:val="00CF533C"/>
    <w:rsid w:val="00CF54B9"/>
    <w:rsid w:val="00CF57BE"/>
    <w:rsid w:val="00CF5871"/>
    <w:rsid w:val="00CF5C77"/>
    <w:rsid w:val="00CF5CAC"/>
    <w:rsid w:val="00CF5F5A"/>
    <w:rsid w:val="00CF6093"/>
    <w:rsid w:val="00CF6224"/>
    <w:rsid w:val="00CF6298"/>
    <w:rsid w:val="00CF634E"/>
    <w:rsid w:val="00CF63A8"/>
    <w:rsid w:val="00CF6464"/>
    <w:rsid w:val="00CF6962"/>
    <w:rsid w:val="00CF6D74"/>
    <w:rsid w:val="00CF6F29"/>
    <w:rsid w:val="00CF7102"/>
    <w:rsid w:val="00CF710A"/>
    <w:rsid w:val="00CF7160"/>
    <w:rsid w:val="00CF72D1"/>
    <w:rsid w:val="00CF73C3"/>
    <w:rsid w:val="00CF7535"/>
    <w:rsid w:val="00CF79A3"/>
    <w:rsid w:val="00CF7A6E"/>
    <w:rsid w:val="00CF7A91"/>
    <w:rsid w:val="00CF7EBD"/>
    <w:rsid w:val="00D00330"/>
    <w:rsid w:val="00D004B6"/>
    <w:rsid w:val="00D005FE"/>
    <w:rsid w:val="00D00607"/>
    <w:rsid w:val="00D0074C"/>
    <w:rsid w:val="00D00938"/>
    <w:rsid w:val="00D00AC9"/>
    <w:rsid w:val="00D00BC4"/>
    <w:rsid w:val="00D00EB4"/>
    <w:rsid w:val="00D00EC2"/>
    <w:rsid w:val="00D010B4"/>
    <w:rsid w:val="00D013AD"/>
    <w:rsid w:val="00D014B4"/>
    <w:rsid w:val="00D0174F"/>
    <w:rsid w:val="00D018E8"/>
    <w:rsid w:val="00D01919"/>
    <w:rsid w:val="00D01BC5"/>
    <w:rsid w:val="00D01DC3"/>
    <w:rsid w:val="00D01EAE"/>
    <w:rsid w:val="00D02144"/>
    <w:rsid w:val="00D022F8"/>
    <w:rsid w:val="00D02374"/>
    <w:rsid w:val="00D0263C"/>
    <w:rsid w:val="00D0292E"/>
    <w:rsid w:val="00D02B1B"/>
    <w:rsid w:val="00D02B87"/>
    <w:rsid w:val="00D02C3B"/>
    <w:rsid w:val="00D02CBE"/>
    <w:rsid w:val="00D02F80"/>
    <w:rsid w:val="00D030CF"/>
    <w:rsid w:val="00D03532"/>
    <w:rsid w:val="00D03859"/>
    <w:rsid w:val="00D03EF1"/>
    <w:rsid w:val="00D03FDC"/>
    <w:rsid w:val="00D03FF2"/>
    <w:rsid w:val="00D0411E"/>
    <w:rsid w:val="00D0439B"/>
    <w:rsid w:val="00D0443D"/>
    <w:rsid w:val="00D045A9"/>
    <w:rsid w:val="00D047F4"/>
    <w:rsid w:val="00D04849"/>
    <w:rsid w:val="00D04C74"/>
    <w:rsid w:val="00D04D6A"/>
    <w:rsid w:val="00D05063"/>
    <w:rsid w:val="00D05163"/>
    <w:rsid w:val="00D051FE"/>
    <w:rsid w:val="00D053D7"/>
    <w:rsid w:val="00D0565A"/>
    <w:rsid w:val="00D05983"/>
    <w:rsid w:val="00D05A23"/>
    <w:rsid w:val="00D05A35"/>
    <w:rsid w:val="00D05C63"/>
    <w:rsid w:val="00D05CF0"/>
    <w:rsid w:val="00D05D8A"/>
    <w:rsid w:val="00D05E1D"/>
    <w:rsid w:val="00D063D0"/>
    <w:rsid w:val="00D06541"/>
    <w:rsid w:val="00D066A3"/>
    <w:rsid w:val="00D06717"/>
    <w:rsid w:val="00D06769"/>
    <w:rsid w:val="00D068B0"/>
    <w:rsid w:val="00D068C6"/>
    <w:rsid w:val="00D068FF"/>
    <w:rsid w:val="00D06918"/>
    <w:rsid w:val="00D0697F"/>
    <w:rsid w:val="00D06B9B"/>
    <w:rsid w:val="00D06BA3"/>
    <w:rsid w:val="00D0747F"/>
    <w:rsid w:val="00D0754C"/>
    <w:rsid w:val="00D07765"/>
    <w:rsid w:val="00D07AAE"/>
    <w:rsid w:val="00D07FAF"/>
    <w:rsid w:val="00D0A341"/>
    <w:rsid w:val="00D100A1"/>
    <w:rsid w:val="00D10342"/>
    <w:rsid w:val="00D1049E"/>
    <w:rsid w:val="00D108E8"/>
    <w:rsid w:val="00D10909"/>
    <w:rsid w:val="00D1090D"/>
    <w:rsid w:val="00D10AD2"/>
    <w:rsid w:val="00D10C2B"/>
    <w:rsid w:val="00D10CE8"/>
    <w:rsid w:val="00D10D86"/>
    <w:rsid w:val="00D10FDC"/>
    <w:rsid w:val="00D1113C"/>
    <w:rsid w:val="00D11207"/>
    <w:rsid w:val="00D11544"/>
    <w:rsid w:val="00D1197C"/>
    <w:rsid w:val="00D11B2E"/>
    <w:rsid w:val="00D11DD3"/>
    <w:rsid w:val="00D120B6"/>
    <w:rsid w:val="00D12340"/>
    <w:rsid w:val="00D123B0"/>
    <w:rsid w:val="00D12472"/>
    <w:rsid w:val="00D1271C"/>
    <w:rsid w:val="00D12872"/>
    <w:rsid w:val="00D12ACD"/>
    <w:rsid w:val="00D12B31"/>
    <w:rsid w:val="00D12B8A"/>
    <w:rsid w:val="00D12F46"/>
    <w:rsid w:val="00D1303B"/>
    <w:rsid w:val="00D13174"/>
    <w:rsid w:val="00D134E5"/>
    <w:rsid w:val="00D135B2"/>
    <w:rsid w:val="00D1364E"/>
    <w:rsid w:val="00D1370A"/>
    <w:rsid w:val="00D1374B"/>
    <w:rsid w:val="00D13798"/>
    <w:rsid w:val="00D13B05"/>
    <w:rsid w:val="00D13BC9"/>
    <w:rsid w:val="00D13D98"/>
    <w:rsid w:val="00D13DE7"/>
    <w:rsid w:val="00D13E33"/>
    <w:rsid w:val="00D14244"/>
    <w:rsid w:val="00D144B0"/>
    <w:rsid w:val="00D1454F"/>
    <w:rsid w:val="00D14613"/>
    <w:rsid w:val="00D1470A"/>
    <w:rsid w:val="00D1478A"/>
    <w:rsid w:val="00D147B3"/>
    <w:rsid w:val="00D148C7"/>
    <w:rsid w:val="00D149C9"/>
    <w:rsid w:val="00D14AF4"/>
    <w:rsid w:val="00D14BCA"/>
    <w:rsid w:val="00D14CD6"/>
    <w:rsid w:val="00D14CED"/>
    <w:rsid w:val="00D14E3E"/>
    <w:rsid w:val="00D14EF7"/>
    <w:rsid w:val="00D151F1"/>
    <w:rsid w:val="00D1521A"/>
    <w:rsid w:val="00D153F1"/>
    <w:rsid w:val="00D15412"/>
    <w:rsid w:val="00D154A5"/>
    <w:rsid w:val="00D15694"/>
    <w:rsid w:val="00D15E4D"/>
    <w:rsid w:val="00D15E87"/>
    <w:rsid w:val="00D16069"/>
    <w:rsid w:val="00D160EB"/>
    <w:rsid w:val="00D16544"/>
    <w:rsid w:val="00D1655B"/>
    <w:rsid w:val="00D16BD2"/>
    <w:rsid w:val="00D16D0C"/>
    <w:rsid w:val="00D16DDB"/>
    <w:rsid w:val="00D16E58"/>
    <w:rsid w:val="00D17092"/>
    <w:rsid w:val="00D170BE"/>
    <w:rsid w:val="00D17300"/>
    <w:rsid w:val="00D173FA"/>
    <w:rsid w:val="00D17471"/>
    <w:rsid w:val="00D177BC"/>
    <w:rsid w:val="00D17B43"/>
    <w:rsid w:val="00D17BCE"/>
    <w:rsid w:val="00D17BD6"/>
    <w:rsid w:val="00D17E63"/>
    <w:rsid w:val="00D17F2D"/>
    <w:rsid w:val="00D2030C"/>
    <w:rsid w:val="00D20897"/>
    <w:rsid w:val="00D20A99"/>
    <w:rsid w:val="00D20B1C"/>
    <w:rsid w:val="00D20F7F"/>
    <w:rsid w:val="00D20FFE"/>
    <w:rsid w:val="00D2127D"/>
    <w:rsid w:val="00D21390"/>
    <w:rsid w:val="00D21467"/>
    <w:rsid w:val="00D21551"/>
    <w:rsid w:val="00D2162A"/>
    <w:rsid w:val="00D216CF"/>
    <w:rsid w:val="00D21728"/>
    <w:rsid w:val="00D21833"/>
    <w:rsid w:val="00D21D84"/>
    <w:rsid w:val="00D21D99"/>
    <w:rsid w:val="00D21E50"/>
    <w:rsid w:val="00D21F02"/>
    <w:rsid w:val="00D220D3"/>
    <w:rsid w:val="00D22854"/>
    <w:rsid w:val="00D22A6C"/>
    <w:rsid w:val="00D22AAC"/>
    <w:rsid w:val="00D22B02"/>
    <w:rsid w:val="00D22DEA"/>
    <w:rsid w:val="00D22F30"/>
    <w:rsid w:val="00D22F37"/>
    <w:rsid w:val="00D22FEE"/>
    <w:rsid w:val="00D231BB"/>
    <w:rsid w:val="00D234AB"/>
    <w:rsid w:val="00D2378D"/>
    <w:rsid w:val="00D2380D"/>
    <w:rsid w:val="00D238E0"/>
    <w:rsid w:val="00D23E54"/>
    <w:rsid w:val="00D23F49"/>
    <w:rsid w:val="00D24246"/>
    <w:rsid w:val="00D242AA"/>
    <w:rsid w:val="00D244A5"/>
    <w:rsid w:val="00D2457A"/>
    <w:rsid w:val="00D248C2"/>
    <w:rsid w:val="00D2490C"/>
    <w:rsid w:val="00D24AFC"/>
    <w:rsid w:val="00D24BF0"/>
    <w:rsid w:val="00D24C99"/>
    <w:rsid w:val="00D24CE3"/>
    <w:rsid w:val="00D24CFE"/>
    <w:rsid w:val="00D24E18"/>
    <w:rsid w:val="00D24E7A"/>
    <w:rsid w:val="00D24F0E"/>
    <w:rsid w:val="00D24F37"/>
    <w:rsid w:val="00D250BB"/>
    <w:rsid w:val="00D25164"/>
    <w:rsid w:val="00D2550A"/>
    <w:rsid w:val="00D2553D"/>
    <w:rsid w:val="00D25653"/>
    <w:rsid w:val="00D256FF"/>
    <w:rsid w:val="00D25848"/>
    <w:rsid w:val="00D25AD2"/>
    <w:rsid w:val="00D25B98"/>
    <w:rsid w:val="00D25C05"/>
    <w:rsid w:val="00D25DA0"/>
    <w:rsid w:val="00D2615C"/>
    <w:rsid w:val="00D26373"/>
    <w:rsid w:val="00D26394"/>
    <w:rsid w:val="00D26657"/>
    <w:rsid w:val="00D26767"/>
    <w:rsid w:val="00D26773"/>
    <w:rsid w:val="00D269FB"/>
    <w:rsid w:val="00D26BB8"/>
    <w:rsid w:val="00D26C64"/>
    <w:rsid w:val="00D26D16"/>
    <w:rsid w:val="00D26E1E"/>
    <w:rsid w:val="00D26EE0"/>
    <w:rsid w:val="00D2741A"/>
    <w:rsid w:val="00D27490"/>
    <w:rsid w:val="00D274D4"/>
    <w:rsid w:val="00D2779A"/>
    <w:rsid w:val="00D27B94"/>
    <w:rsid w:val="00D27FDA"/>
    <w:rsid w:val="00D30040"/>
    <w:rsid w:val="00D300F2"/>
    <w:rsid w:val="00D30407"/>
    <w:rsid w:val="00D30453"/>
    <w:rsid w:val="00D304D4"/>
    <w:rsid w:val="00D30AA1"/>
    <w:rsid w:val="00D30CE0"/>
    <w:rsid w:val="00D30DBB"/>
    <w:rsid w:val="00D3146D"/>
    <w:rsid w:val="00D3152F"/>
    <w:rsid w:val="00D31703"/>
    <w:rsid w:val="00D31AEE"/>
    <w:rsid w:val="00D31C78"/>
    <w:rsid w:val="00D31CB2"/>
    <w:rsid w:val="00D31F8B"/>
    <w:rsid w:val="00D31F9D"/>
    <w:rsid w:val="00D31FCC"/>
    <w:rsid w:val="00D32044"/>
    <w:rsid w:val="00D32237"/>
    <w:rsid w:val="00D322C1"/>
    <w:rsid w:val="00D32375"/>
    <w:rsid w:val="00D323B8"/>
    <w:rsid w:val="00D32626"/>
    <w:rsid w:val="00D3265B"/>
    <w:rsid w:val="00D326D1"/>
    <w:rsid w:val="00D327A7"/>
    <w:rsid w:val="00D327EC"/>
    <w:rsid w:val="00D32822"/>
    <w:rsid w:val="00D3282D"/>
    <w:rsid w:val="00D328DB"/>
    <w:rsid w:val="00D32987"/>
    <w:rsid w:val="00D329C6"/>
    <w:rsid w:val="00D32BB7"/>
    <w:rsid w:val="00D32D4D"/>
    <w:rsid w:val="00D32E50"/>
    <w:rsid w:val="00D32ED8"/>
    <w:rsid w:val="00D3317F"/>
    <w:rsid w:val="00D33281"/>
    <w:rsid w:val="00D3334B"/>
    <w:rsid w:val="00D333F4"/>
    <w:rsid w:val="00D3343A"/>
    <w:rsid w:val="00D33484"/>
    <w:rsid w:val="00D334C1"/>
    <w:rsid w:val="00D334E1"/>
    <w:rsid w:val="00D33681"/>
    <w:rsid w:val="00D3371D"/>
    <w:rsid w:val="00D338DD"/>
    <w:rsid w:val="00D33AF9"/>
    <w:rsid w:val="00D33BF3"/>
    <w:rsid w:val="00D33C06"/>
    <w:rsid w:val="00D33E04"/>
    <w:rsid w:val="00D33EE2"/>
    <w:rsid w:val="00D33FD2"/>
    <w:rsid w:val="00D3404E"/>
    <w:rsid w:val="00D34102"/>
    <w:rsid w:val="00D3410F"/>
    <w:rsid w:val="00D343A5"/>
    <w:rsid w:val="00D34596"/>
    <w:rsid w:val="00D345EB"/>
    <w:rsid w:val="00D346C6"/>
    <w:rsid w:val="00D34BF9"/>
    <w:rsid w:val="00D34E5E"/>
    <w:rsid w:val="00D34E84"/>
    <w:rsid w:val="00D34EAC"/>
    <w:rsid w:val="00D34EC7"/>
    <w:rsid w:val="00D35409"/>
    <w:rsid w:val="00D35464"/>
    <w:rsid w:val="00D35621"/>
    <w:rsid w:val="00D35852"/>
    <w:rsid w:val="00D35A75"/>
    <w:rsid w:val="00D35AC0"/>
    <w:rsid w:val="00D35B1F"/>
    <w:rsid w:val="00D35C40"/>
    <w:rsid w:val="00D35DE0"/>
    <w:rsid w:val="00D35E36"/>
    <w:rsid w:val="00D35F73"/>
    <w:rsid w:val="00D3634E"/>
    <w:rsid w:val="00D365E0"/>
    <w:rsid w:val="00D368BE"/>
    <w:rsid w:val="00D368CC"/>
    <w:rsid w:val="00D36902"/>
    <w:rsid w:val="00D36A07"/>
    <w:rsid w:val="00D36B0F"/>
    <w:rsid w:val="00D36DB1"/>
    <w:rsid w:val="00D36E7C"/>
    <w:rsid w:val="00D36F62"/>
    <w:rsid w:val="00D36FC0"/>
    <w:rsid w:val="00D371BC"/>
    <w:rsid w:val="00D37270"/>
    <w:rsid w:val="00D373AE"/>
    <w:rsid w:val="00D373B7"/>
    <w:rsid w:val="00D375AB"/>
    <w:rsid w:val="00D3763B"/>
    <w:rsid w:val="00D376FB"/>
    <w:rsid w:val="00D37954"/>
    <w:rsid w:val="00D37B00"/>
    <w:rsid w:val="00D37B6D"/>
    <w:rsid w:val="00D37BE7"/>
    <w:rsid w:val="00D37E4A"/>
    <w:rsid w:val="00D37FD1"/>
    <w:rsid w:val="00D401B2"/>
    <w:rsid w:val="00D401FF"/>
    <w:rsid w:val="00D4028B"/>
    <w:rsid w:val="00D40394"/>
    <w:rsid w:val="00D409ED"/>
    <w:rsid w:val="00D40A17"/>
    <w:rsid w:val="00D40ACF"/>
    <w:rsid w:val="00D40ADE"/>
    <w:rsid w:val="00D4138C"/>
    <w:rsid w:val="00D41598"/>
    <w:rsid w:val="00D41670"/>
    <w:rsid w:val="00D416B7"/>
    <w:rsid w:val="00D41913"/>
    <w:rsid w:val="00D41B2E"/>
    <w:rsid w:val="00D41D1E"/>
    <w:rsid w:val="00D41E2F"/>
    <w:rsid w:val="00D42003"/>
    <w:rsid w:val="00D42284"/>
    <w:rsid w:val="00D422BB"/>
    <w:rsid w:val="00D42417"/>
    <w:rsid w:val="00D42847"/>
    <w:rsid w:val="00D428CB"/>
    <w:rsid w:val="00D42EEC"/>
    <w:rsid w:val="00D43115"/>
    <w:rsid w:val="00D4314D"/>
    <w:rsid w:val="00D4355C"/>
    <w:rsid w:val="00D435A8"/>
    <w:rsid w:val="00D4374D"/>
    <w:rsid w:val="00D43979"/>
    <w:rsid w:val="00D43BF0"/>
    <w:rsid w:val="00D44113"/>
    <w:rsid w:val="00D44314"/>
    <w:rsid w:val="00D44364"/>
    <w:rsid w:val="00D44554"/>
    <w:rsid w:val="00D4470C"/>
    <w:rsid w:val="00D44721"/>
    <w:rsid w:val="00D44759"/>
    <w:rsid w:val="00D44768"/>
    <w:rsid w:val="00D44825"/>
    <w:rsid w:val="00D4490A"/>
    <w:rsid w:val="00D44925"/>
    <w:rsid w:val="00D44A44"/>
    <w:rsid w:val="00D44DB1"/>
    <w:rsid w:val="00D44E00"/>
    <w:rsid w:val="00D44E24"/>
    <w:rsid w:val="00D45002"/>
    <w:rsid w:val="00D450BF"/>
    <w:rsid w:val="00D45118"/>
    <w:rsid w:val="00D451E1"/>
    <w:rsid w:val="00D4551D"/>
    <w:rsid w:val="00D4559B"/>
    <w:rsid w:val="00D45619"/>
    <w:rsid w:val="00D457EB"/>
    <w:rsid w:val="00D45850"/>
    <w:rsid w:val="00D45A02"/>
    <w:rsid w:val="00D45CE6"/>
    <w:rsid w:val="00D45DE5"/>
    <w:rsid w:val="00D460EA"/>
    <w:rsid w:val="00D462C8"/>
    <w:rsid w:val="00D4658B"/>
    <w:rsid w:val="00D46758"/>
    <w:rsid w:val="00D468F8"/>
    <w:rsid w:val="00D46B50"/>
    <w:rsid w:val="00D470B0"/>
    <w:rsid w:val="00D4735E"/>
    <w:rsid w:val="00D47385"/>
    <w:rsid w:val="00D47435"/>
    <w:rsid w:val="00D4751D"/>
    <w:rsid w:val="00D475AB"/>
    <w:rsid w:val="00D4778D"/>
    <w:rsid w:val="00D477E6"/>
    <w:rsid w:val="00D47ABF"/>
    <w:rsid w:val="00D47FF6"/>
    <w:rsid w:val="00D500F6"/>
    <w:rsid w:val="00D501AD"/>
    <w:rsid w:val="00D50440"/>
    <w:rsid w:val="00D5051C"/>
    <w:rsid w:val="00D5064B"/>
    <w:rsid w:val="00D50ACC"/>
    <w:rsid w:val="00D50CDB"/>
    <w:rsid w:val="00D51050"/>
    <w:rsid w:val="00D513C3"/>
    <w:rsid w:val="00D51492"/>
    <w:rsid w:val="00D514AB"/>
    <w:rsid w:val="00D515E1"/>
    <w:rsid w:val="00D51712"/>
    <w:rsid w:val="00D517A0"/>
    <w:rsid w:val="00D517F6"/>
    <w:rsid w:val="00D51859"/>
    <w:rsid w:val="00D5185B"/>
    <w:rsid w:val="00D51873"/>
    <w:rsid w:val="00D518D4"/>
    <w:rsid w:val="00D51941"/>
    <w:rsid w:val="00D51D5A"/>
    <w:rsid w:val="00D51EB8"/>
    <w:rsid w:val="00D51F3D"/>
    <w:rsid w:val="00D5207E"/>
    <w:rsid w:val="00D520F0"/>
    <w:rsid w:val="00D523D0"/>
    <w:rsid w:val="00D52486"/>
    <w:rsid w:val="00D524E2"/>
    <w:rsid w:val="00D5264E"/>
    <w:rsid w:val="00D5270F"/>
    <w:rsid w:val="00D528DC"/>
    <w:rsid w:val="00D52978"/>
    <w:rsid w:val="00D52B04"/>
    <w:rsid w:val="00D52F7A"/>
    <w:rsid w:val="00D52F96"/>
    <w:rsid w:val="00D5337F"/>
    <w:rsid w:val="00D533FB"/>
    <w:rsid w:val="00D535C2"/>
    <w:rsid w:val="00D5377C"/>
    <w:rsid w:val="00D53965"/>
    <w:rsid w:val="00D53B82"/>
    <w:rsid w:val="00D53DEC"/>
    <w:rsid w:val="00D541EE"/>
    <w:rsid w:val="00D54360"/>
    <w:rsid w:val="00D54561"/>
    <w:rsid w:val="00D546BB"/>
    <w:rsid w:val="00D54821"/>
    <w:rsid w:val="00D5485C"/>
    <w:rsid w:val="00D54986"/>
    <w:rsid w:val="00D54B00"/>
    <w:rsid w:val="00D54B6C"/>
    <w:rsid w:val="00D54CC0"/>
    <w:rsid w:val="00D54DF7"/>
    <w:rsid w:val="00D55580"/>
    <w:rsid w:val="00D55667"/>
    <w:rsid w:val="00D557CC"/>
    <w:rsid w:val="00D558C0"/>
    <w:rsid w:val="00D559D5"/>
    <w:rsid w:val="00D55A1D"/>
    <w:rsid w:val="00D55BA6"/>
    <w:rsid w:val="00D55F70"/>
    <w:rsid w:val="00D55FF9"/>
    <w:rsid w:val="00D560C1"/>
    <w:rsid w:val="00D561AD"/>
    <w:rsid w:val="00D5624B"/>
    <w:rsid w:val="00D563EF"/>
    <w:rsid w:val="00D564D2"/>
    <w:rsid w:val="00D565C4"/>
    <w:rsid w:val="00D567CB"/>
    <w:rsid w:val="00D56B57"/>
    <w:rsid w:val="00D56C18"/>
    <w:rsid w:val="00D56D2C"/>
    <w:rsid w:val="00D56D5C"/>
    <w:rsid w:val="00D56DE1"/>
    <w:rsid w:val="00D56E87"/>
    <w:rsid w:val="00D56FEE"/>
    <w:rsid w:val="00D57256"/>
    <w:rsid w:val="00D5731E"/>
    <w:rsid w:val="00D57460"/>
    <w:rsid w:val="00D5775B"/>
    <w:rsid w:val="00D578D5"/>
    <w:rsid w:val="00D578EC"/>
    <w:rsid w:val="00D579DF"/>
    <w:rsid w:val="00D57A50"/>
    <w:rsid w:val="00D57CE9"/>
    <w:rsid w:val="00D57F3C"/>
    <w:rsid w:val="00D57F5E"/>
    <w:rsid w:val="00D6001D"/>
    <w:rsid w:val="00D6029C"/>
    <w:rsid w:val="00D6037A"/>
    <w:rsid w:val="00D6048D"/>
    <w:rsid w:val="00D605B0"/>
    <w:rsid w:val="00D605E1"/>
    <w:rsid w:val="00D60685"/>
    <w:rsid w:val="00D60726"/>
    <w:rsid w:val="00D60779"/>
    <w:rsid w:val="00D60911"/>
    <w:rsid w:val="00D60A25"/>
    <w:rsid w:val="00D60B26"/>
    <w:rsid w:val="00D60BCC"/>
    <w:rsid w:val="00D60C6C"/>
    <w:rsid w:val="00D60DD4"/>
    <w:rsid w:val="00D60E67"/>
    <w:rsid w:val="00D61114"/>
    <w:rsid w:val="00D6118E"/>
    <w:rsid w:val="00D611D0"/>
    <w:rsid w:val="00D6128E"/>
    <w:rsid w:val="00D617F3"/>
    <w:rsid w:val="00D61839"/>
    <w:rsid w:val="00D61891"/>
    <w:rsid w:val="00D618E5"/>
    <w:rsid w:val="00D619FC"/>
    <w:rsid w:val="00D61D58"/>
    <w:rsid w:val="00D61D5C"/>
    <w:rsid w:val="00D61F52"/>
    <w:rsid w:val="00D623BA"/>
    <w:rsid w:val="00D624CD"/>
    <w:rsid w:val="00D6251F"/>
    <w:rsid w:val="00D62639"/>
    <w:rsid w:val="00D626A0"/>
    <w:rsid w:val="00D62740"/>
    <w:rsid w:val="00D62DB2"/>
    <w:rsid w:val="00D62E9A"/>
    <w:rsid w:val="00D62F0A"/>
    <w:rsid w:val="00D634DC"/>
    <w:rsid w:val="00D63707"/>
    <w:rsid w:val="00D638BC"/>
    <w:rsid w:val="00D638F8"/>
    <w:rsid w:val="00D63B4D"/>
    <w:rsid w:val="00D63B7F"/>
    <w:rsid w:val="00D63BC5"/>
    <w:rsid w:val="00D63D9A"/>
    <w:rsid w:val="00D63E45"/>
    <w:rsid w:val="00D63EAE"/>
    <w:rsid w:val="00D6403F"/>
    <w:rsid w:val="00D64062"/>
    <w:rsid w:val="00D642A2"/>
    <w:rsid w:val="00D645D8"/>
    <w:rsid w:val="00D648D5"/>
    <w:rsid w:val="00D64910"/>
    <w:rsid w:val="00D64BB6"/>
    <w:rsid w:val="00D64C4D"/>
    <w:rsid w:val="00D64CDF"/>
    <w:rsid w:val="00D64DE6"/>
    <w:rsid w:val="00D65057"/>
    <w:rsid w:val="00D6510E"/>
    <w:rsid w:val="00D65347"/>
    <w:rsid w:val="00D654B5"/>
    <w:rsid w:val="00D657D4"/>
    <w:rsid w:val="00D6598D"/>
    <w:rsid w:val="00D659B6"/>
    <w:rsid w:val="00D659CC"/>
    <w:rsid w:val="00D65A6B"/>
    <w:rsid w:val="00D65B06"/>
    <w:rsid w:val="00D65B53"/>
    <w:rsid w:val="00D65C54"/>
    <w:rsid w:val="00D65D93"/>
    <w:rsid w:val="00D65E69"/>
    <w:rsid w:val="00D65F3A"/>
    <w:rsid w:val="00D65F94"/>
    <w:rsid w:val="00D65FFE"/>
    <w:rsid w:val="00D66115"/>
    <w:rsid w:val="00D66181"/>
    <w:rsid w:val="00D6623E"/>
    <w:rsid w:val="00D662CA"/>
    <w:rsid w:val="00D662F7"/>
    <w:rsid w:val="00D663B9"/>
    <w:rsid w:val="00D663CE"/>
    <w:rsid w:val="00D66618"/>
    <w:rsid w:val="00D66A07"/>
    <w:rsid w:val="00D66BDB"/>
    <w:rsid w:val="00D66EDD"/>
    <w:rsid w:val="00D66F36"/>
    <w:rsid w:val="00D67372"/>
    <w:rsid w:val="00D6743B"/>
    <w:rsid w:val="00D6746C"/>
    <w:rsid w:val="00D6759A"/>
    <w:rsid w:val="00D6784B"/>
    <w:rsid w:val="00D6793C"/>
    <w:rsid w:val="00D67BFC"/>
    <w:rsid w:val="00D67D65"/>
    <w:rsid w:val="00D67F21"/>
    <w:rsid w:val="00D701BF"/>
    <w:rsid w:val="00D701D7"/>
    <w:rsid w:val="00D70420"/>
    <w:rsid w:val="00D704C6"/>
    <w:rsid w:val="00D70642"/>
    <w:rsid w:val="00D70C5C"/>
    <w:rsid w:val="00D70CB4"/>
    <w:rsid w:val="00D70D37"/>
    <w:rsid w:val="00D70D45"/>
    <w:rsid w:val="00D71146"/>
    <w:rsid w:val="00D71199"/>
    <w:rsid w:val="00D71307"/>
    <w:rsid w:val="00D71680"/>
    <w:rsid w:val="00D7171E"/>
    <w:rsid w:val="00D71C37"/>
    <w:rsid w:val="00D71EEB"/>
    <w:rsid w:val="00D72218"/>
    <w:rsid w:val="00D72253"/>
    <w:rsid w:val="00D72359"/>
    <w:rsid w:val="00D72818"/>
    <w:rsid w:val="00D729BC"/>
    <w:rsid w:val="00D72AB3"/>
    <w:rsid w:val="00D72B3B"/>
    <w:rsid w:val="00D72BBD"/>
    <w:rsid w:val="00D72E57"/>
    <w:rsid w:val="00D7310A"/>
    <w:rsid w:val="00D731E2"/>
    <w:rsid w:val="00D73296"/>
    <w:rsid w:val="00D734A1"/>
    <w:rsid w:val="00D736EC"/>
    <w:rsid w:val="00D736F1"/>
    <w:rsid w:val="00D73A0E"/>
    <w:rsid w:val="00D73B59"/>
    <w:rsid w:val="00D73C39"/>
    <w:rsid w:val="00D73CAE"/>
    <w:rsid w:val="00D73F66"/>
    <w:rsid w:val="00D74038"/>
    <w:rsid w:val="00D740B8"/>
    <w:rsid w:val="00D74597"/>
    <w:rsid w:val="00D746BA"/>
    <w:rsid w:val="00D74A0C"/>
    <w:rsid w:val="00D74E61"/>
    <w:rsid w:val="00D74F83"/>
    <w:rsid w:val="00D750B6"/>
    <w:rsid w:val="00D75235"/>
    <w:rsid w:val="00D75242"/>
    <w:rsid w:val="00D75263"/>
    <w:rsid w:val="00D752CF"/>
    <w:rsid w:val="00D7537A"/>
    <w:rsid w:val="00D7589F"/>
    <w:rsid w:val="00D759C7"/>
    <w:rsid w:val="00D75B22"/>
    <w:rsid w:val="00D75D7D"/>
    <w:rsid w:val="00D766C0"/>
    <w:rsid w:val="00D76B74"/>
    <w:rsid w:val="00D76D63"/>
    <w:rsid w:val="00D76EA5"/>
    <w:rsid w:val="00D76FEE"/>
    <w:rsid w:val="00D7701D"/>
    <w:rsid w:val="00D77103"/>
    <w:rsid w:val="00D77359"/>
    <w:rsid w:val="00D773C4"/>
    <w:rsid w:val="00D77742"/>
    <w:rsid w:val="00D777D2"/>
    <w:rsid w:val="00D77AA9"/>
    <w:rsid w:val="00D77AB7"/>
    <w:rsid w:val="00D77B6C"/>
    <w:rsid w:val="00D77BDE"/>
    <w:rsid w:val="00D77D7D"/>
    <w:rsid w:val="00D77F1A"/>
    <w:rsid w:val="00D77FC6"/>
    <w:rsid w:val="00D80303"/>
    <w:rsid w:val="00D80443"/>
    <w:rsid w:val="00D804A7"/>
    <w:rsid w:val="00D8052F"/>
    <w:rsid w:val="00D805E5"/>
    <w:rsid w:val="00D80666"/>
    <w:rsid w:val="00D806BE"/>
    <w:rsid w:val="00D80898"/>
    <w:rsid w:val="00D808FB"/>
    <w:rsid w:val="00D80A47"/>
    <w:rsid w:val="00D80AB1"/>
    <w:rsid w:val="00D80DAC"/>
    <w:rsid w:val="00D80E97"/>
    <w:rsid w:val="00D80F27"/>
    <w:rsid w:val="00D80F2C"/>
    <w:rsid w:val="00D81035"/>
    <w:rsid w:val="00D810F7"/>
    <w:rsid w:val="00D811B5"/>
    <w:rsid w:val="00D8135C"/>
    <w:rsid w:val="00D8150C"/>
    <w:rsid w:val="00D8157D"/>
    <w:rsid w:val="00D81611"/>
    <w:rsid w:val="00D81788"/>
    <w:rsid w:val="00D81936"/>
    <w:rsid w:val="00D81A1D"/>
    <w:rsid w:val="00D81D83"/>
    <w:rsid w:val="00D81F1E"/>
    <w:rsid w:val="00D82093"/>
    <w:rsid w:val="00D82163"/>
    <w:rsid w:val="00D82329"/>
    <w:rsid w:val="00D82354"/>
    <w:rsid w:val="00D82AB4"/>
    <w:rsid w:val="00D82C5D"/>
    <w:rsid w:val="00D82F7C"/>
    <w:rsid w:val="00D83155"/>
    <w:rsid w:val="00D832B2"/>
    <w:rsid w:val="00D83313"/>
    <w:rsid w:val="00D83366"/>
    <w:rsid w:val="00D83415"/>
    <w:rsid w:val="00D83863"/>
    <w:rsid w:val="00D83B4E"/>
    <w:rsid w:val="00D83BE3"/>
    <w:rsid w:val="00D83C09"/>
    <w:rsid w:val="00D83E11"/>
    <w:rsid w:val="00D83E93"/>
    <w:rsid w:val="00D8418E"/>
    <w:rsid w:val="00D842D7"/>
    <w:rsid w:val="00D8447E"/>
    <w:rsid w:val="00D844CB"/>
    <w:rsid w:val="00D846FF"/>
    <w:rsid w:val="00D84764"/>
    <w:rsid w:val="00D847FB"/>
    <w:rsid w:val="00D848ED"/>
    <w:rsid w:val="00D84A10"/>
    <w:rsid w:val="00D84D66"/>
    <w:rsid w:val="00D84ED5"/>
    <w:rsid w:val="00D84EDB"/>
    <w:rsid w:val="00D84F9A"/>
    <w:rsid w:val="00D8500D"/>
    <w:rsid w:val="00D852AA"/>
    <w:rsid w:val="00D8536D"/>
    <w:rsid w:val="00D855C4"/>
    <w:rsid w:val="00D85660"/>
    <w:rsid w:val="00D857DA"/>
    <w:rsid w:val="00D85BFA"/>
    <w:rsid w:val="00D85D60"/>
    <w:rsid w:val="00D8604C"/>
    <w:rsid w:val="00D86116"/>
    <w:rsid w:val="00D86345"/>
    <w:rsid w:val="00D86651"/>
    <w:rsid w:val="00D86721"/>
    <w:rsid w:val="00D8673B"/>
    <w:rsid w:val="00D867A4"/>
    <w:rsid w:val="00D86A7D"/>
    <w:rsid w:val="00D86B51"/>
    <w:rsid w:val="00D86D46"/>
    <w:rsid w:val="00D86EF1"/>
    <w:rsid w:val="00D86FC3"/>
    <w:rsid w:val="00D87011"/>
    <w:rsid w:val="00D87179"/>
    <w:rsid w:val="00D87237"/>
    <w:rsid w:val="00D87284"/>
    <w:rsid w:val="00D87351"/>
    <w:rsid w:val="00D873AA"/>
    <w:rsid w:val="00D873B5"/>
    <w:rsid w:val="00D87482"/>
    <w:rsid w:val="00D875F1"/>
    <w:rsid w:val="00D8767A"/>
    <w:rsid w:val="00D876E6"/>
    <w:rsid w:val="00D877DD"/>
    <w:rsid w:val="00D87E47"/>
    <w:rsid w:val="00D901E1"/>
    <w:rsid w:val="00D9027A"/>
    <w:rsid w:val="00D90291"/>
    <w:rsid w:val="00D9058C"/>
    <w:rsid w:val="00D909E2"/>
    <w:rsid w:val="00D91082"/>
    <w:rsid w:val="00D9124A"/>
    <w:rsid w:val="00D9167C"/>
    <w:rsid w:val="00D91838"/>
    <w:rsid w:val="00D91841"/>
    <w:rsid w:val="00D91863"/>
    <w:rsid w:val="00D91C20"/>
    <w:rsid w:val="00D91C5C"/>
    <w:rsid w:val="00D91CA1"/>
    <w:rsid w:val="00D91D49"/>
    <w:rsid w:val="00D91F66"/>
    <w:rsid w:val="00D92169"/>
    <w:rsid w:val="00D9261A"/>
    <w:rsid w:val="00D92737"/>
    <w:rsid w:val="00D92A63"/>
    <w:rsid w:val="00D92E5C"/>
    <w:rsid w:val="00D92F79"/>
    <w:rsid w:val="00D93008"/>
    <w:rsid w:val="00D932FA"/>
    <w:rsid w:val="00D9354E"/>
    <w:rsid w:val="00D938D3"/>
    <w:rsid w:val="00D9396D"/>
    <w:rsid w:val="00D939F8"/>
    <w:rsid w:val="00D93B4C"/>
    <w:rsid w:val="00D93BEC"/>
    <w:rsid w:val="00D93C1E"/>
    <w:rsid w:val="00D94461"/>
    <w:rsid w:val="00D94478"/>
    <w:rsid w:val="00D94661"/>
    <w:rsid w:val="00D94692"/>
    <w:rsid w:val="00D94ACD"/>
    <w:rsid w:val="00D94CAE"/>
    <w:rsid w:val="00D94D89"/>
    <w:rsid w:val="00D95050"/>
    <w:rsid w:val="00D9518F"/>
    <w:rsid w:val="00D95213"/>
    <w:rsid w:val="00D95517"/>
    <w:rsid w:val="00D958AC"/>
    <w:rsid w:val="00D95958"/>
    <w:rsid w:val="00D9598F"/>
    <w:rsid w:val="00D95BBE"/>
    <w:rsid w:val="00D95D46"/>
    <w:rsid w:val="00D961A8"/>
    <w:rsid w:val="00D96267"/>
    <w:rsid w:val="00D96321"/>
    <w:rsid w:val="00D9636A"/>
    <w:rsid w:val="00D963B1"/>
    <w:rsid w:val="00D9650F"/>
    <w:rsid w:val="00D969D3"/>
    <w:rsid w:val="00D96CE2"/>
    <w:rsid w:val="00D96D47"/>
    <w:rsid w:val="00D971F2"/>
    <w:rsid w:val="00D97429"/>
    <w:rsid w:val="00D975A0"/>
    <w:rsid w:val="00D977EC"/>
    <w:rsid w:val="00D97858"/>
    <w:rsid w:val="00D9789B"/>
    <w:rsid w:val="00D978A8"/>
    <w:rsid w:val="00D978C4"/>
    <w:rsid w:val="00D9797F"/>
    <w:rsid w:val="00D97B6F"/>
    <w:rsid w:val="00D97C98"/>
    <w:rsid w:val="00D97F4C"/>
    <w:rsid w:val="00DA0018"/>
    <w:rsid w:val="00DA0071"/>
    <w:rsid w:val="00DA01F5"/>
    <w:rsid w:val="00DA0385"/>
    <w:rsid w:val="00DA0429"/>
    <w:rsid w:val="00DA0597"/>
    <w:rsid w:val="00DA0797"/>
    <w:rsid w:val="00DA08DF"/>
    <w:rsid w:val="00DA0959"/>
    <w:rsid w:val="00DA0A5A"/>
    <w:rsid w:val="00DA0D9B"/>
    <w:rsid w:val="00DA11E1"/>
    <w:rsid w:val="00DA13A8"/>
    <w:rsid w:val="00DA16A2"/>
    <w:rsid w:val="00DA16F6"/>
    <w:rsid w:val="00DA1714"/>
    <w:rsid w:val="00DA18DD"/>
    <w:rsid w:val="00DA1B12"/>
    <w:rsid w:val="00DA1D01"/>
    <w:rsid w:val="00DA1E53"/>
    <w:rsid w:val="00DA20DB"/>
    <w:rsid w:val="00DA2227"/>
    <w:rsid w:val="00DA247F"/>
    <w:rsid w:val="00DA2507"/>
    <w:rsid w:val="00DA2896"/>
    <w:rsid w:val="00DA2922"/>
    <w:rsid w:val="00DA2946"/>
    <w:rsid w:val="00DA29D2"/>
    <w:rsid w:val="00DA29FB"/>
    <w:rsid w:val="00DA2B4A"/>
    <w:rsid w:val="00DA2C25"/>
    <w:rsid w:val="00DA2CB0"/>
    <w:rsid w:val="00DA2D4A"/>
    <w:rsid w:val="00DA2DC3"/>
    <w:rsid w:val="00DA2F2E"/>
    <w:rsid w:val="00DA3233"/>
    <w:rsid w:val="00DA339C"/>
    <w:rsid w:val="00DA33A2"/>
    <w:rsid w:val="00DA33F5"/>
    <w:rsid w:val="00DA35F1"/>
    <w:rsid w:val="00DA36F2"/>
    <w:rsid w:val="00DA378D"/>
    <w:rsid w:val="00DA37FA"/>
    <w:rsid w:val="00DA380E"/>
    <w:rsid w:val="00DA3977"/>
    <w:rsid w:val="00DA3988"/>
    <w:rsid w:val="00DA3DBF"/>
    <w:rsid w:val="00DA3E14"/>
    <w:rsid w:val="00DA3EC8"/>
    <w:rsid w:val="00DA3F71"/>
    <w:rsid w:val="00DA40EA"/>
    <w:rsid w:val="00DA4691"/>
    <w:rsid w:val="00DA49C8"/>
    <w:rsid w:val="00DA4B11"/>
    <w:rsid w:val="00DA4B28"/>
    <w:rsid w:val="00DA4BEE"/>
    <w:rsid w:val="00DA4E2A"/>
    <w:rsid w:val="00DA5099"/>
    <w:rsid w:val="00DA535B"/>
    <w:rsid w:val="00DA5476"/>
    <w:rsid w:val="00DA54E1"/>
    <w:rsid w:val="00DA57BD"/>
    <w:rsid w:val="00DA5835"/>
    <w:rsid w:val="00DA586F"/>
    <w:rsid w:val="00DA5B09"/>
    <w:rsid w:val="00DA5B54"/>
    <w:rsid w:val="00DA5E26"/>
    <w:rsid w:val="00DA6022"/>
    <w:rsid w:val="00DA6039"/>
    <w:rsid w:val="00DA60B8"/>
    <w:rsid w:val="00DA6175"/>
    <w:rsid w:val="00DA631F"/>
    <w:rsid w:val="00DA64E3"/>
    <w:rsid w:val="00DA678E"/>
    <w:rsid w:val="00DA680E"/>
    <w:rsid w:val="00DA6B6A"/>
    <w:rsid w:val="00DA6D1F"/>
    <w:rsid w:val="00DA6D9C"/>
    <w:rsid w:val="00DA6DB4"/>
    <w:rsid w:val="00DA6E3F"/>
    <w:rsid w:val="00DA6E8F"/>
    <w:rsid w:val="00DA704B"/>
    <w:rsid w:val="00DA7183"/>
    <w:rsid w:val="00DA71A7"/>
    <w:rsid w:val="00DA775B"/>
    <w:rsid w:val="00DA7783"/>
    <w:rsid w:val="00DA7FD4"/>
    <w:rsid w:val="00DB01BB"/>
    <w:rsid w:val="00DB0467"/>
    <w:rsid w:val="00DB057F"/>
    <w:rsid w:val="00DB0663"/>
    <w:rsid w:val="00DB0956"/>
    <w:rsid w:val="00DB0B17"/>
    <w:rsid w:val="00DB0CF4"/>
    <w:rsid w:val="00DB0DDF"/>
    <w:rsid w:val="00DB0E2C"/>
    <w:rsid w:val="00DB0EC3"/>
    <w:rsid w:val="00DB0ED1"/>
    <w:rsid w:val="00DB10B6"/>
    <w:rsid w:val="00DB10EE"/>
    <w:rsid w:val="00DB11B4"/>
    <w:rsid w:val="00DB120E"/>
    <w:rsid w:val="00DB1759"/>
    <w:rsid w:val="00DB1855"/>
    <w:rsid w:val="00DB19DA"/>
    <w:rsid w:val="00DB1B10"/>
    <w:rsid w:val="00DB1CA1"/>
    <w:rsid w:val="00DB2251"/>
    <w:rsid w:val="00DB2291"/>
    <w:rsid w:val="00DB22F4"/>
    <w:rsid w:val="00DB2333"/>
    <w:rsid w:val="00DB236F"/>
    <w:rsid w:val="00DB25AE"/>
    <w:rsid w:val="00DB2671"/>
    <w:rsid w:val="00DB2878"/>
    <w:rsid w:val="00DB294A"/>
    <w:rsid w:val="00DB29CB"/>
    <w:rsid w:val="00DB2B2E"/>
    <w:rsid w:val="00DB2EA1"/>
    <w:rsid w:val="00DB2F2F"/>
    <w:rsid w:val="00DB30A0"/>
    <w:rsid w:val="00DB3103"/>
    <w:rsid w:val="00DB3197"/>
    <w:rsid w:val="00DB31C5"/>
    <w:rsid w:val="00DB31E1"/>
    <w:rsid w:val="00DB3239"/>
    <w:rsid w:val="00DB3807"/>
    <w:rsid w:val="00DB39FA"/>
    <w:rsid w:val="00DB3BF8"/>
    <w:rsid w:val="00DB3EA5"/>
    <w:rsid w:val="00DB3F22"/>
    <w:rsid w:val="00DB414A"/>
    <w:rsid w:val="00DB4445"/>
    <w:rsid w:val="00DB447C"/>
    <w:rsid w:val="00DB4631"/>
    <w:rsid w:val="00DB47C2"/>
    <w:rsid w:val="00DB48C9"/>
    <w:rsid w:val="00DB4AD6"/>
    <w:rsid w:val="00DB4BA6"/>
    <w:rsid w:val="00DB4BD7"/>
    <w:rsid w:val="00DB4BFD"/>
    <w:rsid w:val="00DB4EC0"/>
    <w:rsid w:val="00DB4F77"/>
    <w:rsid w:val="00DB5033"/>
    <w:rsid w:val="00DB507C"/>
    <w:rsid w:val="00DB50CF"/>
    <w:rsid w:val="00DB50FD"/>
    <w:rsid w:val="00DB511D"/>
    <w:rsid w:val="00DB51B0"/>
    <w:rsid w:val="00DB541E"/>
    <w:rsid w:val="00DB5638"/>
    <w:rsid w:val="00DB5B9E"/>
    <w:rsid w:val="00DB5D29"/>
    <w:rsid w:val="00DB5E7B"/>
    <w:rsid w:val="00DB6057"/>
    <w:rsid w:val="00DB60E5"/>
    <w:rsid w:val="00DB6155"/>
    <w:rsid w:val="00DB675D"/>
    <w:rsid w:val="00DB6780"/>
    <w:rsid w:val="00DB692E"/>
    <w:rsid w:val="00DB6C46"/>
    <w:rsid w:val="00DB6F97"/>
    <w:rsid w:val="00DB71BE"/>
    <w:rsid w:val="00DB721D"/>
    <w:rsid w:val="00DB7223"/>
    <w:rsid w:val="00DB7383"/>
    <w:rsid w:val="00DB73B6"/>
    <w:rsid w:val="00DB7479"/>
    <w:rsid w:val="00DB74B4"/>
    <w:rsid w:val="00DB751E"/>
    <w:rsid w:val="00DB753C"/>
    <w:rsid w:val="00DB7562"/>
    <w:rsid w:val="00DB7682"/>
    <w:rsid w:val="00DB7723"/>
    <w:rsid w:val="00DB78A4"/>
    <w:rsid w:val="00DB78B2"/>
    <w:rsid w:val="00DB7F50"/>
    <w:rsid w:val="00DB7F54"/>
    <w:rsid w:val="00DC0355"/>
    <w:rsid w:val="00DC0AA6"/>
    <w:rsid w:val="00DC0EF2"/>
    <w:rsid w:val="00DC136F"/>
    <w:rsid w:val="00DC1389"/>
    <w:rsid w:val="00DC145F"/>
    <w:rsid w:val="00DC1467"/>
    <w:rsid w:val="00DC154D"/>
    <w:rsid w:val="00DC15A1"/>
    <w:rsid w:val="00DC16F5"/>
    <w:rsid w:val="00DC1771"/>
    <w:rsid w:val="00DC1816"/>
    <w:rsid w:val="00DC1E0C"/>
    <w:rsid w:val="00DC1FF1"/>
    <w:rsid w:val="00DC20B2"/>
    <w:rsid w:val="00DC219E"/>
    <w:rsid w:val="00DC22C7"/>
    <w:rsid w:val="00DC26D5"/>
    <w:rsid w:val="00DC276A"/>
    <w:rsid w:val="00DC2895"/>
    <w:rsid w:val="00DC28CF"/>
    <w:rsid w:val="00DC2956"/>
    <w:rsid w:val="00DC2AD1"/>
    <w:rsid w:val="00DC2ED6"/>
    <w:rsid w:val="00DC31CB"/>
    <w:rsid w:val="00DC327E"/>
    <w:rsid w:val="00DC32AE"/>
    <w:rsid w:val="00DC330A"/>
    <w:rsid w:val="00DC37FE"/>
    <w:rsid w:val="00DC3897"/>
    <w:rsid w:val="00DC3AB5"/>
    <w:rsid w:val="00DC3B3A"/>
    <w:rsid w:val="00DC3BB7"/>
    <w:rsid w:val="00DC3BC0"/>
    <w:rsid w:val="00DC3CF5"/>
    <w:rsid w:val="00DC3D9E"/>
    <w:rsid w:val="00DC3DBD"/>
    <w:rsid w:val="00DC3EF0"/>
    <w:rsid w:val="00DC3F92"/>
    <w:rsid w:val="00DC4044"/>
    <w:rsid w:val="00DC4517"/>
    <w:rsid w:val="00DC457D"/>
    <w:rsid w:val="00DC4675"/>
    <w:rsid w:val="00DC4682"/>
    <w:rsid w:val="00DC47BF"/>
    <w:rsid w:val="00DC4993"/>
    <w:rsid w:val="00DC4AFB"/>
    <w:rsid w:val="00DC4B1D"/>
    <w:rsid w:val="00DC4B8A"/>
    <w:rsid w:val="00DC4C27"/>
    <w:rsid w:val="00DC5096"/>
    <w:rsid w:val="00DC50D0"/>
    <w:rsid w:val="00DC5400"/>
    <w:rsid w:val="00DC571C"/>
    <w:rsid w:val="00DC5984"/>
    <w:rsid w:val="00DC5BF9"/>
    <w:rsid w:val="00DC5E7D"/>
    <w:rsid w:val="00DC5FC1"/>
    <w:rsid w:val="00DC6348"/>
    <w:rsid w:val="00DC637E"/>
    <w:rsid w:val="00DC6750"/>
    <w:rsid w:val="00DC678B"/>
    <w:rsid w:val="00DC6847"/>
    <w:rsid w:val="00DC69D4"/>
    <w:rsid w:val="00DC6A51"/>
    <w:rsid w:val="00DC6A61"/>
    <w:rsid w:val="00DC6B6A"/>
    <w:rsid w:val="00DC6D7A"/>
    <w:rsid w:val="00DC6F97"/>
    <w:rsid w:val="00DC73AE"/>
    <w:rsid w:val="00DC7406"/>
    <w:rsid w:val="00DC7707"/>
    <w:rsid w:val="00DC796B"/>
    <w:rsid w:val="00DC79AA"/>
    <w:rsid w:val="00DD0051"/>
    <w:rsid w:val="00DD0133"/>
    <w:rsid w:val="00DD016E"/>
    <w:rsid w:val="00DD01CC"/>
    <w:rsid w:val="00DD02C7"/>
    <w:rsid w:val="00DD036F"/>
    <w:rsid w:val="00DD03B7"/>
    <w:rsid w:val="00DD07F5"/>
    <w:rsid w:val="00DD0919"/>
    <w:rsid w:val="00DD0C3D"/>
    <w:rsid w:val="00DD0DD5"/>
    <w:rsid w:val="00DD0E0C"/>
    <w:rsid w:val="00DD0EAF"/>
    <w:rsid w:val="00DD0FD3"/>
    <w:rsid w:val="00DD1194"/>
    <w:rsid w:val="00DD11FE"/>
    <w:rsid w:val="00DD1242"/>
    <w:rsid w:val="00DD14EF"/>
    <w:rsid w:val="00DD1526"/>
    <w:rsid w:val="00DD15C5"/>
    <w:rsid w:val="00DD1969"/>
    <w:rsid w:val="00DD1C73"/>
    <w:rsid w:val="00DD1F04"/>
    <w:rsid w:val="00DD211F"/>
    <w:rsid w:val="00DD21B4"/>
    <w:rsid w:val="00DD2418"/>
    <w:rsid w:val="00DD2490"/>
    <w:rsid w:val="00DD2619"/>
    <w:rsid w:val="00DD2711"/>
    <w:rsid w:val="00DD2843"/>
    <w:rsid w:val="00DD2904"/>
    <w:rsid w:val="00DD2B7C"/>
    <w:rsid w:val="00DD2C17"/>
    <w:rsid w:val="00DD3153"/>
    <w:rsid w:val="00DD318C"/>
    <w:rsid w:val="00DD3688"/>
    <w:rsid w:val="00DD37BD"/>
    <w:rsid w:val="00DD3848"/>
    <w:rsid w:val="00DD3969"/>
    <w:rsid w:val="00DD39A9"/>
    <w:rsid w:val="00DD3A97"/>
    <w:rsid w:val="00DD3B0B"/>
    <w:rsid w:val="00DD4321"/>
    <w:rsid w:val="00DD4404"/>
    <w:rsid w:val="00DD47B1"/>
    <w:rsid w:val="00DD48EB"/>
    <w:rsid w:val="00DD49A8"/>
    <w:rsid w:val="00DD4E88"/>
    <w:rsid w:val="00DD50E1"/>
    <w:rsid w:val="00DD5416"/>
    <w:rsid w:val="00DD5659"/>
    <w:rsid w:val="00DD59A9"/>
    <w:rsid w:val="00DD5A9D"/>
    <w:rsid w:val="00DD5AD8"/>
    <w:rsid w:val="00DD5B30"/>
    <w:rsid w:val="00DD5EE6"/>
    <w:rsid w:val="00DD663D"/>
    <w:rsid w:val="00DD6D45"/>
    <w:rsid w:val="00DD72C9"/>
    <w:rsid w:val="00DD7765"/>
    <w:rsid w:val="00DD7B36"/>
    <w:rsid w:val="00DD7B9A"/>
    <w:rsid w:val="00DD7BD6"/>
    <w:rsid w:val="00DD7BE8"/>
    <w:rsid w:val="00DD7E29"/>
    <w:rsid w:val="00DE0216"/>
    <w:rsid w:val="00DE0375"/>
    <w:rsid w:val="00DE03D8"/>
    <w:rsid w:val="00DE03DD"/>
    <w:rsid w:val="00DE0420"/>
    <w:rsid w:val="00DE04A8"/>
    <w:rsid w:val="00DE04C8"/>
    <w:rsid w:val="00DE05C9"/>
    <w:rsid w:val="00DE0858"/>
    <w:rsid w:val="00DE0A14"/>
    <w:rsid w:val="00DE0AC4"/>
    <w:rsid w:val="00DE0BD3"/>
    <w:rsid w:val="00DE0C39"/>
    <w:rsid w:val="00DE0F80"/>
    <w:rsid w:val="00DE1138"/>
    <w:rsid w:val="00DE128F"/>
    <w:rsid w:val="00DE1605"/>
    <w:rsid w:val="00DE171A"/>
    <w:rsid w:val="00DE1CFC"/>
    <w:rsid w:val="00DE1D0F"/>
    <w:rsid w:val="00DE1D59"/>
    <w:rsid w:val="00DE1E5F"/>
    <w:rsid w:val="00DE2234"/>
    <w:rsid w:val="00DE2266"/>
    <w:rsid w:val="00DE2298"/>
    <w:rsid w:val="00DE2412"/>
    <w:rsid w:val="00DE26A3"/>
    <w:rsid w:val="00DE27A9"/>
    <w:rsid w:val="00DE2851"/>
    <w:rsid w:val="00DE2CF8"/>
    <w:rsid w:val="00DE2E2B"/>
    <w:rsid w:val="00DE2E50"/>
    <w:rsid w:val="00DE2F70"/>
    <w:rsid w:val="00DE31CE"/>
    <w:rsid w:val="00DE33C0"/>
    <w:rsid w:val="00DE33CC"/>
    <w:rsid w:val="00DE35CB"/>
    <w:rsid w:val="00DE377C"/>
    <w:rsid w:val="00DE378B"/>
    <w:rsid w:val="00DE3B2C"/>
    <w:rsid w:val="00DE3E5D"/>
    <w:rsid w:val="00DE3EE8"/>
    <w:rsid w:val="00DE410B"/>
    <w:rsid w:val="00DE410E"/>
    <w:rsid w:val="00DE4299"/>
    <w:rsid w:val="00DE43D0"/>
    <w:rsid w:val="00DE46EC"/>
    <w:rsid w:val="00DE476D"/>
    <w:rsid w:val="00DE49D8"/>
    <w:rsid w:val="00DE4B5B"/>
    <w:rsid w:val="00DE4C6C"/>
    <w:rsid w:val="00DE4E52"/>
    <w:rsid w:val="00DE4F1C"/>
    <w:rsid w:val="00DE5265"/>
    <w:rsid w:val="00DE5484"/>
    <w:rsid w:val="00DE5689"/>
    <w:rsid w:val="00DE57CB"/>
    <w:rsid w:val="00DE57CC"/>
    <w:rsid w:val="00DE57FB"/>
    <w:rsid w:val="00DE5883"/>
    <w:rsid w:val="00DE5884"/>
    <w:rsid w:val="00DE5E07"/>
    <w:rsid w:val="00DE5FB8"/>
    <w:rsid w:val="00DE6032"/>
    <w:rsid w:val="00DE61C8"/>
    <w:rsid w:val="00DE63A3"/>
    <w:rsid w:val="00DE63BF"/>
    <w:rsid w:val="00DE66D9"/>
    <w:rsid w:val="00DE67F2"/>
    <w:rsid w:val="00DE6DAB"/>
    <w:rsid w:val="00DE6EFE"/>
    <w:rsid w:val="00DE712B"/>
    <w:rsid w:val="00DE71F2"/>
    <w:rsid w:val="00DE743D"/>
    <w:rsid w:val="00DE752E"/>
    <w:rsid w:val="00DE775B"/>
    <w:rsid w:val="00DE7853"/>
    <w:rsid w:val="00DE7878"/>
    <w:rsid w:val="00DE7939"/>
    <w:rsid w:val="00DE7A1A"/>
    <w:rsid w:val="00DE7AE5"/>
    <w:rsid w:val="00DE7B74"/>
    <w:rsid w:val="00DE7CA6"/>
    <w:rsid w:val="00DE7E8F"/>
    <w:rsid w:val="00DE7F33"/>
    <w:rsid w:val="00DE7F45"/>
    <w:rsid w:val="00DF0032"/>
    <w:rsid w:val="00DF03C5"/>
    <w:rsid w:val="00DF03CB"/>
    <w:rsid w:val="00DF07F4"/>
    <w:rsid w:val="00DF0ED7"/>
    <w:rsid w:val="00DF1203"/>
    <w:rsid w:val="00DF127F"/>
    <w:rsid w:val="00DF12B7"/>
    <w:rsid w:val="00DF16F4"/>
    <w:rsid w:val="00DF1710"/>
    <w:rsid w:val="00DF1715"/>
    <w:rsid w:val="00DF18AB"/>
    <w:rsid w:val="00DF1CAC"/>
    <w:rsid w:val="00DF1EDB"/>
    <w:rsid w:val="00DF1F96"/>
    <w:rsid w:val="00DF2067"/>
    <w:rsid w:val="00DF2098"/>
    <w:rsid w:val="00DF2256"/>
    <w:rsid w:val="00DF22CF"/>
    <w:rsid w:val="00DF230F"/>
    <w:rsid w:val="00DF2382"/>
    <w:rsid w:val="00DF23E9"/>
    <w:rsid w:val="00DF24D2"/>
    <w:rsid w:val="00DF261F"/>
    <w:rsid w:val="00DF26BD"/>
    <w:rsid w:val="00DF298F"/>
    <w:rsid w:val="00DF2A2D"/>
    <w:rsid w:val="00DF2AB4"/>
    <w:rsid w:val="00DF2CCB"/>
    <w:rsid w:val="00DF2D55"/>
    <w:rsid w:val="00DF321B"/>
    <w:rsid w:val="00DF32F0"/>
    <w:rsid w:val="00DF3304"/>
    <w:rsid w:val="00DF34FF"/>
    <w:rsid w:val="00DF35F5"/>
    <w:rsid w:val="00DF378B"/>
    <w:rsid w:val="00DF38CF"/>
    <w:rsid w:val="00DF3984"/>
    <w:rsid w:val="00DF39AE"/>
    <w:rsid w:val="00DF39E6"/>
    <w:rsid w:val="00DF3EBB"/>
    <w:rsid w:val="00DF3F11"/>
    <w:rsid w:val="00DF3F9B"/>
    <w:rsid w:val="00DF3FE2"/>
    <w:rsid w:val="00DF3FE9"/>
    <w:rsid w:val="00DF404F"/>
    <w:rsid w:val="00DF409A"/>
    <w:rsid w:val="00DF4281"/>
    <w:rsid w:val="00DF47D8"/>
    <w:rsid w:val="00DF4A12"/>
    <w:rsid w:val="00DF4AA5"/>
    <w:rsid w:val="00DF4BB5"/>
    <w:rsid w:val="00DF4DA2"/>
    <w:rsid w:val="00DF4E55"/>
    <w:rsid w:val="00DF4E9C"/>
    <w:rsid w:val="00DF50C6"/>
    <w:rsid w:val="00DF5341"/>
    <w:rsid w:val="00DF5416"/>
    <w:rsid w:val="00DF5425"/>
    <w:rsid w:val="00DF550F"/>
    <w:rsid w:val="00DF5603"/>
    <w:rsid w:val="00DF562A"/>
    <w:rsid w:val="00DF578D"/>
    <w:rsid w:val="00DF57FE"/>
    <w:rsid w:val="00DF5DB9"/>
    <w:rsid w:val="00DF5DE7"/>
    <w:rsid w:val="00DF6139"/>
    <w:rsid w:val="00DF66A3"/>
    <w:rsid w:val="00DF6911"/>
    <w:rsid w:val="00DF6D77"/>
    <w:rsid w:val="00DF6D8D"/>
    <w:rsid w:val="00DF6FE7"/>
    <w:rsid w:val="00DF7183"/>
    <w:rsid w:val="00DF71B3"/>
    <w:rsid w:val="00DF7211"/>
    <w:rsid w:val="00DF753B"/>
    <w:rsid w:val="00DF7C09"/>
    <w:rsid w:val="00DF7C0D"/>
    <w:rsid w:val="00DF7C85"/>
    <w:rsid w:val="00DF7CD2"/>
    <w:rsid w:val="00DF7DE6"/>
    <w:rsid w:val="00E0006E"/>
    <w:rsid w:val="00E0010D"/>
    <w:rsid w:val="00E003C7"/>
    <w:rsid w:val="00E0043F"/>
    <w:rsid w:val="00E0065C"/>
    <w:rsid w:val="00E007A4"/>
    <w:rsid w:val="00E007C0"/>
    <w:rsid w:val="00E00CF0"/>
    <w:rsid w:val="00E00FB8"/>
    <w:rsid w:val="00E010DA"/>
    <w:rsid w:val="00E0150A"/>
    <w:rsid w:val="00E0150C"/>
    <w:rsid w:val="00E01569"/>
    <w:rsid w:val="00E01683"/>
    <w:rsid w:val="00E01692"/>
    <w:rsid w:val="00E017A1"/>
    <w:rsid w:val="00E018C5"/>
    <w:rsid w:val="00E01933"/>
    <w:rsid w:val="00E019BB"/>
    <w:rsid w:val="00E019F7"/>
    <w:rsid w:val="00E01A21"/>
    <w:rsid w:val="00E01A69"/>
    <w:rsid w:val="00E01A9A"/>
    <w:rsid w:val="00E01D7E"/>
    <w:rsid w:val="00E01DEC"/>
    <w:rsid w:val="00E01F6A"/>
    <w:rsid w:val="00E0225B"/>
    <w:rsid w:val="00E02328"/>
    <w:rsid w:val="00E02389"/>
    <w:rsid w:val="00E023AC"/>
    <w:rsid w:val="00E0254C"/>
    <w:rsid w:val="00E02566"/>
    <w:rsid w:val="00E02641"/>
    <w:rsid w:val="00E0278C"/>
    <w:rsid w:val="00E02999"/>
    <w:rsid w:val="00E02A05"/>
    <w:rsid w:val="00E02ACD"/>
    <w:rsid w:val="00E02BD8"/>
    <w:rsid w:val="00E02C31"/>
    <w:rsid w:val="00E02C7C"/>
    <w:rsid w:val="00E02E44"/>
    <w:rsid w:val="00E03039"/>
    <w:rsid w:val="00E03280"/>
    <w:rsid w:val="00E032EB"/>
    <w:rsid w:val="00E03416"/>
    <w:rsid w:val="00E03532"/>
    <w:rsid w:val="00E035B2"/>
    <w:rsid w:val="00E03654"/>
    <w:rsid w:val="00E03867"/>
    <w:rsid w:val="00E03B8A"/>
    <w:rsid w:val="00E03B8F"/>
    <w:rsid w:val="00E03EFB"/>
    <w:rsid w:val="00E03FDD"/>
    <w:rsid w:val="00E042BE"/>
    <w:rsid w:val="00E04381"/>
    <w:rsid w:val="00E0442F"/>
    <w:rsid w:val="00E046FA"/>
    <w:rsid w:val="00E047B2"/>
    <w:rsid w:val="00E04967"/>
    <w:rsid w:val="00E04AF1"/>
    <w:rsid w:val="00E04E40"/>
    <w:rsid w:val="00E050A0"/>
    <w:rsid w:val="00E051C8"/>
    <w:rsid w:val="00E05320"/>
    <w:rsid w:val="00E05402"/>
    <w:rsid w:val="00E0562C"/>
    <w:rsid w:val="00E05667"/>
    <w:rsid w:val="00E05A14"/>
    <w:rsid w:val="00E05B25"/>
    <w:rsid w:val="00E05C1A"/>
    <w:rsid w:val="00E05C5B"/>
    <w:rsid w:val="00E05E60"/>
    <w:rsid w:val="00E06043"/>
    <w:rsid w:val="00E0631C"/>
    <w:rsid w:val="00E063DE"/>
    <w:rsid w:val="00E0640A"/>
    <w:rsid w:val="00E064F2"/>
    <w:rsid w:val="00E065DB"/>
    <w:rsid w:val="00E06675"/>
    <w:rsid w:val="00E06700"/>
    <w:rsid w:val="00E06804"/>
    <w:rsid w:val="00E06D7D"/>
    <w:rsid w:val="00E06EDB"/>
    <w:rsid w:val="00E07434"/>
    <w:rsid w:val="00E07474"/>
    <w:rsid w:val="00E0763B"/>
    <w:rsid w:val="00E0766E"/>
    <w:rsid w:val="00E0769B"/>
    <w:rsid w:val="00E07A42"/>
    <w:rsid w:val="00E07A59"/>
    <w:rsid w:val="00E07BCF"/>
    <w:rsid w:val="00E07DCB"/>
    <w:rsid w:val="00E07F88"/>
    <w:rsid w:val="00E101DD"/>
    <w:rsid w:val="00E101E8"/>
    <w:rsid w:val="00E1031C"/>
    <w:rsid w:val="00E104C7"/>
    <w:rsid w:val="00E10743"/>
    <w:rsid w:val="00E10748"/>
    <w:rsid w:val="00E107CB"/>
    <w:rsid w:val="00E108AF"/>
    <w:rsid w:val="00E10A85"/>
    <w:rsid w:val="00E10B49"/>
    <w:rsid w:val="00E10C2C"/>
    <w:rsid w:val="00E10D0C"/>
    <w:rsid w:val="00E10E6B"/>
    <w:rsid w:val="00E10EC6"/>
    <w:rsid w:val="00E10F92"/>
    <w:rsid w:val="00E110AD"/>
    <w:rsid w:val="00E110FA"/>
    <w:rsid w:val="00E111D4"/>
    <w:rsid w:val="00E1144A"/>
    <w:rsid w:val="00E115A4"/>
    <w:rsid w:val="00E116BE"/>
    <w:rsid w:val="00E1197E"/>
    <w:rsid w:val="00E11E28"/>
    <w:rsid w:val="00E11F23"/>
    <w:rsid w:val="00E11F35"/>
    <w:rsid w:val="00E121BD"/>
    <w:rsid w:val="00E12350"/>
    <w:rsid w:val="00E12884"/>
    <w:rsid w:val="00E12B24"/>
    <w:rsid w:val="00E12D7F"/>
    <w:rsid w:val="00E12D88"/>
    <w:rsid w:val="00E130A1"/>
    <w:rsid w:val="00E130C9"/>
    <w:rsid w:val="00E13193"/>
    <w:rsid w:val="00E13704"/>
    <w:rsid w:val="00E13995"/>
    <w:rsid w:val="00E13A8C"/>
    <w:rsid w:val="00E13B78"/>
    <w:rsid w:val="00E13C0F"/>
    <w:rsid w:val="00E13CBF"/>
    <w:rsid w:val="00E13E63"/>
    <w:rsid w:val="00E13F3D"/>
    <w:rsid w:val="00E13F6E"/>
    <w:rsid w:val="00E13F8D"/>
    <w:rsid w:val="00E14101"/>
    <w:rsid w:val="00E14102"/>
    <w:rsid w:val="00E14136"/>
    <w:rsid w:val="00E14162"/>
    <w:rsid w:val="00E142B9"/>
    <w:rsid w:val="00E14319"/>
    <w:rsid w:val="00E145A6"/>
    <w:rsid w:val="00E146DE"/>
    <w:rsid w:val="00E1487D"/>
    <w:rsid w:val="00E1493C"/>
    <w:rsid w:val="00E14A4E"/>
    <w:rsid w:val="00E14BD3"/>
    <w:rsid w:val="00E14EDB"/>
    <w:rsid w:val="00E15163"/>
    <w:rsid w:val="00E1518D"/>
    <w:rsid w:val="00E15340"/>
    <w:rsid w:val="00E1549C"/>
    <w:rsid w:val="00E154B6"/>
    <w:rsid w:val="00E1591F"/>
    <w:rsid w:val="00E15A09"/>
    <w:rsid w:val="00E15ABB"/>
    <w:rsid w:val="00E15CC4"/>
    <w:rsid w:val="00E16480"/>
    <w:rsid w:val="00E1670A"/>
    <w:rsid w:val="00E16779"/>
    <w:rsid w:val="00E168A9"/>
    <w:rsid w:val="00E16925"/>
    <w:rsid w:val="00E1703E"/>
    <w:rsid w:val="00E17193"/>
    <w:rsid w:val="00E171E9"/>
    <w:rsid w:val="00E173CF"/>
    <w:rsid w:val="00E178AE"/>
    <w:rsid w:val="00E17924"/>
    <w:rsid w:val="00E17970"/>
    <w:rsid w:val="00E17989"/>
    <w:rsid w:val="00E17BF9"/>
    <w:rsid w:val="00E17D8C"/>
    <w:rsid w:val="00E17DD3"/>
    <w:rsid w:val="00E17F7F"/>
    <w:rsid w:val="00E20516"/>
    <w:rsid w:val="00E20521"/>
    <w:rsid w:val="00E20571"/>
    <w:rsid w:val="00E205BD"/>
    <w:rsid w:val="00E209B0"/>
    <w:rsid w:val="00E20A70"/>
    <w:rsid w:val="00E20AEF"/>
    <w:rsid w:val="00E20DCE"/>
    <w:rsid w:val="00E20F88"/>
    <w:rsid w:val="00E20FE3"/>
    <w:rsid w:val="00E210C7"/>
    <w:rsid w:val="00E21158"/>
    <w:rsid w:val="00E21167"/>
    <w:rsid w:val="00E2141C"/>
    <w:rsid w:val="00E21449"/>
    <w:rsid w:val="00E21485"/>
    <w:rsid w:val="00E215FE"/>
    <w:rsid w:val="00E2191F"/>
    <w:rsid w:val="00E21AAF"/>
    <w:rsid w:val="00E21B4C"/>
    <w:rsid w:val="00E21BC7"/>
    <w:rsid w:val="00E21C48"/>
    <w:rsid w:val="00E21D5B"/>
    <w:rsid w:val="00E21F1D"/>
    <w:rsid w:val="00E21F26"/>
    <w:rsid w:val="00E21FBD"/>
    <w:rsid w:val="00E2240E"/>
    <w:rsid w:val="00E22625"/>
    <w:rsid w:val="00E22A9E"/>
    <w:rsid w:val="00E22D6E"/>
    <w:rsid w:val="00E22FB6"/>
    <w:rsid w:val="00E23022"/>
    <w:rsid w:val="00E2326F"/>
    <w:rsid w:val="00E23345"/>
    <w:rsid w:val="00E236FC"/>
    <w:rsid w:val="00E23B77"/>
    <w:rsid w:val="00E23CA0"/>
    <w:rsid w:val="00E23D37"/>
    <w:rsid w:val="00E23D9A"/>
    <w:rsid w:val="00E23E55"/>
    <w:rsid w:val="00E24010"/>
    <w:rsid w:val="00E24141"/>
    <w:rsid w:val="00E241EC"/>
    <w:rsid w:val="00E2462F"/>
    <w:rsid w:val="00E2489F"/>
    <w:rsid w:val="00E2495B"/>
    <w:rsid w:val="00E2496B"/>
    <w:rsid w:val="00E24B94"/>
    <w:rsid w:val="00E24D20"/>
    <w:rsid w:val="00E24D7F"/>
    <w:rsid w:val="00E24F02"/>
    <w:rsid w:val="00E25028"/>
    <w:rsid w:val="00E25085"/>
    <w:rsid w:val="00E250E4"/>
    <w:rsid w:val="00E25275"/>
    <w:rsid w:val="00E2560B"/>
    <w:rsid w:val="00E257C0"/>
    <w:rsid w:val="00E2586A"/>
    <w:rsid w:val="00E25D0F"/>
    <w:rsid w:val="00E25D47"/>
    <w:rsid w:val="00E25D6D"/>
    <w:rsid w:val="00E26330"/>
    <w:rsid w:val="00E2637F"/>
    <w:rsid w:val="00E26472"/>
    <w:rsid w:val="00E2647E"/>
    <w:rsid w:val="00E26A2C"/>
    <w:rsid w:val="00E26B38"/>
    <w:rsid w:val="00E2706E"/>
    <w:rsid w:val="00E276D1"/>
    <w:rsid w:val="00E27761"/>
    <w:rsid w:val="00E27853"/>
    <w:rsid w:val="00E279E7"/>
    <w:rsid w:val="00E3011F"/>
    <w:rsid w:val="00E304AC"/>
    <w:rsid w:val="00E3050E"/>
    <w:rsid w:val="00E3059A"/>
    <w:rsid w:val="00E30611"/>
    <w:rsid w:val="00E306B7"/>
    <w:rsid w:val="00E3077E"/>
    <w:rsid w:val="00E30847"/>
    <w:rsid w:val="00E30A66"/>
    <w:rsid w:val="00E30C00"/>
    <w:rsid w:val="00E30C37"/>
    <w:rsid w:val="00E30C5F"/>
    <w:rsid w:val="00E30C88"/>
    <w:rsid w:val="00E30EC6"/>
    <w:rsid w:val="00E3137E"/>
    <w:rsid w:val="00E31506"/>
    <w:rsid w:val="00E315DB"/>
    <w:rsid w:val="00E31702"/>
    <w:rsid w:val="00E31726"/>
    <w:rsid w:val="00E31797"/>
    <w:rsid w:val="00E317E8"/>
    <w:rsid w:val="00E31A2D"/>
    <w:rsid w:val="00E31B59"/>
    <w:rsid w:val="00E31E9C"/>
    <w:rsid w:val="00E32196"/>
    <w:rsid w:val="00E3234C"/>
    <w:rsid w:val="00E324E9"/>
    <w:rsid w:val="00E3252D"/>
    <w:rsid w:val="00E32764"/>
    <w:rsid w:val="00E32AB2"/>
    <w:rsid w:val="00E32E0B"/>
    <w:rsid w:val="00E32F01"/>
    <w:rsid w:val="00E3303F"/>
    <w:rsid w:val="00E33199"/>
    <w:rsid w:val="00E3341F"/>
    <w:rsid w:val="00E3346E"/>
    <w:rsid w:val="00E3350F"/>
    <w:rsid w:val="00E335B8"/>
    <w:rsid w:val="00E335D5"/>
    <w:rsid w:val="00E337D7"/>
    <w:rsid w:val="00E3395C"/>
    <w:rsid w:val="00E3399E"/>
    <w:rsid w:val="00E33EED"/>
    <w:rsid w:val="00E3411E"/>
    <w:rsid w:val="00E3444C"/>
    <w:rsid w:val="00E34577"/>
    <w:rsid w:val="00E345FE"/>
    <w:rsid w:val="00E3467F"/>
    <w:rsid w:val="00E3478E"/>
    <w:rsid w:val="00E347B1"/>
    <w:rsid w:val="00E34892"/>
    <w:rsid w:val="00E34985"/>
    <w:rsid w:val="00E3498B"/>
    <w:rsid w:val="00E34C10"/>
    <w:rsid w:val="00E34C4B"/>
    <w:rsid w:val="00E34CF6"/>
    <w:rsid w:val="00E3515F"/>
    <w:rsid w:val="00E35464"/>
    <w:rsid w:val="00E3570F"/>
    <w:rsid w:val="00E35724"/>
    <w:rsid w:val="00E35814"/>
    <w:rsid w:val="00E3598B"/>
    <w:rsid w:val="00E35DA7"/>
    <w:rsid w:val="00E35DC5"/>
    <w:rsid w:val="00E35E59"/>
    <w:rsid w:val="00E3608A"/>
    <w:rsid w:val="00E360C1"/>
    <w:rsid w:val="00E36501"/>
    <w:rsid w:val="00E366BE"/>
    <w:rsid w:val="00E367B1"/>
    <w:rsid w:val="00E369A4"/>
    <w:rsid w:val="00E3702A"/>
    <w:rsid w:val="00E3708B"/>
    <w:rsid w:val="00E37146"/>
    <w:rsid w:val="00E37516"/>
    <w:rsid w:val="00E37CA1"/>
    <w:rsid w:val="00E37CF5"/>
    <w:rsid w:val="00E37D20"/>
    <w:rsid w:val="00E37D4D"/>
    <w:rsid w:val="00E37D63"/>
    <w:rsid w:val="00E37FDE"/>
    <w:rsid w:val="00E4002D"/>
    <w:rsid w:val="00E40341"/>
    <w:rsid w:val="00E4040E"/>
    <w:rsid w:val="00E40740"/>
    <w:rsid w:val="00E407E8"/>
    <w:rsid w:val="00E4094A"/>
    <w:rsid w:val="00E40D13"/>
    <w:rsid w:val="00E40DB8"/>
    <w:rsid w:val="00E40DC0"/>
    <w:rsid w:val="00E40E40"/>
    <w:rsid w:val="00E40F3C"/>
    <w:rsid w:val="00E40F47"/>
    <w:rsid w:val="00E4111A"/>
    <w:rsid w:val="00E4113F"/>
    <w:rsid w:val="00E41195"/>
    <w:rsid w:val="00E41400"/>
    <w:rsid w:val="00E41501"/>
    <w:rsid w:val="00E4150E"/>
    <w:rsid w:val="00E41747"/>
    <w:rsid w:val="00E41815"/>
    <w:rsid w:val="00E418BC"/>
    <w:rsid w:val="00E41D29"/>
    <w:rsid w:val="00E42069"/>
    <w:rsid w:val="00E421A6"/>
    <w:rsid w:val="00E424D5"/>
    <w:rsid w:val="00E42605"/>
    <w:rsid w:val="00E42626"/>
    <w:rsid w:val="00E427BE"/>
    <w:rsid w:val="00E427C9"/>
    <w:rsid w:val="00E42874"/>
    <w:rsid w:val="00E428A7"/>
    <w:rsid w:val="00E42BA8"/>
    <w:rsid w:val="00E42C2F"/>
    <w:rsid w:val="00E42D98"/>
    <w:rsid w:val="00E430BD"/>
    <w:rsid w:val="00E430F7"/>
    <w:rsid w:val="00E433EE"/>
    <w:rsid w:val="00E434A2"/>
    <w:rsid w:val="00E43656"/>
    <w:rsid w:val="00E4365E"/>
    <w:rsid w:val="00E4374F"/>
    <w:rsid w:val="00E43B78"/>
    <w:rsid w:val="00E44111"/>
    <w:rsid w:val="00E4413A"/>
    <w:rsid w:val="00E441C7"/>
    <w:rsid w:val="00E4433A"/>
    <w:rsid w:val="00E445A8"/>
    <w:rsid w:val="00E4460A"/>
    <w:rsid w:val="00E446A2"/>
    <w:rsid w:val="00E448DE"/>
    <w:rsid w:val="00E44C64"/>
    <w:rsid w:val="00E44C9E"/>
    <w:rsid w:val="00E44D44"/>
    <w:rsid w:val="00E45104"/>
    <w:rsid w:val="00E4515D"/>
    <w:rsid w:val="00E4523D"/>
    <w:rsid w:val="00E455E5"/>
    <w:rsid w:val="00E457EE"/>
    <w:rsid w:val="00E45AEF"/>
    <w:rsid w:val="00E45CF8"/>
    <w:rsid w:val="00E45F11"/>
    <w:rsid w:val="00E45F34"/>
    <w:rsid w:val="00E46213"/>
    <w:rsid w:val="00E46304"/>
    <w:rsid w:val="00E46334"/>
    <w:rsid w:val="00E46661"/>
    <w:rsid w:val="00E46B65"/>
    <w:rsid w:val="00E46DFB"/>
    <w:rsid w:val="00E46F26"/>
    <w:rsid w:val="00E46FB3"/>
    <w:rsid w:val="00E47278"/>
    <w:rsid w:val="00E474EC"/>
    <w:rsid w:val="00E47653"/>
    <w:rsid w:val="00E479DA"/>
    <w:rsid w:val="00E47C7D"/>
    <w:rsid w:val="00E503A9"/>
    <w:rsid w:val="00E504A5"/>
    <w:rsid w:val="00E5054D"/>
    <w:rsid w:val="00E506DD"/>
    <w:rsid w:val="00E50CD4"/>
    <w:rsid w:val="00E50E3A"/>
    <w:rsid w:val="00E5107F"/>
    <w:rsid w:val="00E510B7"/>
    <w:rsid w:val="00E511AA"/>
    <w:rsid w:val="00E51234"/>
    <w:rsid w:val="00E51290"/>
    <w:rsid w:val="00E512C6"/>
    <w:rsid w:val="00E513B6"/>
    <w:rsid w:val="00E51459"/>
    <w:rsid w:val="00E5161F"/>
    <w:rsid w:val="00E51830"/>
    <w:rsid w:val="00E518FB"/>
    <w:rsid w:val="00E51913"/>
    <w:rsid w:val="00E519B2"/>
    <w:rsid w:val="00E51ADE"/>
    <w:rsid w:val="00E51B84"/>
    <w:rsid w:val="00E51DAF"/>
    <w:rsid w:val="00E52227"/>
    <w:rsid w:val="00E52797"/>
    <w:rsid w:val="00E52BB5"/>
    <w:rsid w:val="00E52CD4"/>
    <w:rsid w:val="00E52D93"/>
    <w:rsid w:val="00E53154"/>
    <w:rsid w:val="00E5348D"/>
    <w:rsid w:val="00E5394D"/>
    <w:rsid w:val="00E53A77"/>
    <w:rsid w:val="00E53AE0"/>
    <w:rsid w:val="00E53BCA"/>
    <w:rsid w:val="00E53D9E"/>
    <w:rsid w:val="00E53DBD"/>
    <w:rsid w:val="00E53E02"/>
    <w:rsid w:val="00E53F2B"/>
    <w:rsid w:val="00E53FF5"/>
    <w:rsid w:val="00E54001"/>
    <w:rsid w:val="00E544A7"/>
    <w:rsid w:val="00E54672"/>
    <w:rsid w:val="00E547FF"/>
    <w:rsid w:val="00E54899"/>
    <w:rsid w:val="00E54A33"/>
    <w:rsid w:val="00E54C50"/>
    <w:rsid w:val="00E54D70"/>
    <w:rsid w:val="00E55167"/>
    <w:rsid w:val="00E551BA"/>
    <w:rsid w:val="00E551FA"/>
    <w:rsid w:val="00E5530C"/>
    <w:rsid w:val="00E5538D"/>
    <w:rsid w:val="00E55436"/>
    <w:rsid w:val="00E55ADF"/>
    <w:rsid w:val="00E55B77"/>
    <w:rsid w:val="00E55D09"/>
    <w:rsid w:val="00E55E8C"/>
    <w:rsid w:val="00E55E95"/>
    <w:rsid w:val="00E55F78"/>
    <w:rsid w:val="00E56083"/>
    <w:rsid w:val="00E5611E"/>
    <w:rsid w:val="00E56200"/>
    <w:rsid w:val="00E5638F"/>
    <w:rsid w:val="00E5641D"/>
    <w:rsid w:val="00E567BF"/>
    <w:rsid w:val="00E56846"/>
    <w:rsid w:val="00E56917"/>
    <w:rsid w:val="00E56BBA"/>
    <w:rsid w:val="00E56CD7"/>
    <w:rsid w:val="00E56D7D"/>
    <w:rsid w:val="00E56E88"/>
    <w:rsid w:val="00E56E90"/>
    <w:rsid w:val="00E572FB"/>
    <w:rsid w:val="00E5742B"/>
    <w:rsid w:val="00E575FF"/>
    <w:rsid w:val="00E57952"/>
    <w:rsid w:val="00E57994"/>
    <w:rsid w:val="00E57B48"/>
    <w:rsid w:val="00E57C83"/>
    <w:rsid w:val="00E57CBA"/>
    <w:rsid w:val="00E57DEE"/>
    <w:rsid w:val="00E600AB"/>
    <w:rsid w:val="00E60274"/>
    <w:rsid w:val="00E60483"/>
    <w:rsid w:val="00E6052A"/>
    <w:rsid w:val="00E605F5"/>
    <w:rsid w:val="00E6072F"/>
    <w:rsid w:val="00E60744"/>
    <w:rsid w:val="00E61099"/>
    <w:rsid w:val="00E612EE"/>
    <w:rsid w:val="00E61335"/>
    <w:rsid w:val="00E6139F"/>
    <w:rsid w:val="00E6147A"/>
    <w:rsid w:val="00E61546"/>
    <w:rsid w:val="00E6178B"/>
    <w:rsid w:val="00E61790"/>
    <w:rsid w:val="00E618A0"/>
    <w:rsid w:val="00E6197B"/>
    <w:rsid w:val="00E61ADB"/>
    <w:rsid w:val="00E61C01"/>
    <w:rsid w:val="00E61C0F"/>
    <w:rsid w:val="00E61CC8"/>
    <w:rsid w:val="00E61D04"/>
    <w:rsid w:val="00E61F5C"/>
    <w:rsid w:val="00E61FA9"/>
    <w:rsid w:val="00E625DA"/>
    <w:rsid w:val="00E627C4"/>
    <w:rsid w:val="00E629BE"/>
    <w:rsid w:val="00E62C04"/>
    <w:rsid w:val="00E62C62"/>
    <w:rsid w:val="00E62D9F"/>
    <w:rsid w:val="00E62F4D"/>
    <w:rsid w:val="00E62F6A"/>
    <w:rsid w:val="00E62F81"/>
    <w:rsid w:val="00E632CF"/>
    <w:rsid w:val="00E632F4"/>
    <w:rsid w:val="00E63595"/>
    <w:rsid w:val="00E636D2"/>
    <w:rsid w:val="00E638FE"/>
    <w:rsid w:val="00E63B19"/>
    <w:rsid w:val="00E63C17"/>
    <w:rsid w:val="00E63F25"/>
    <w:rsid w:val="00E640A1"/>
    <w:rsid w:val="00E640F4"/>
    <w:rsid w:val="00E64709"/>
    <w:rsid w:val="00E64FB1"/>
    <w:rsid w:val="00E64FBB"/>
    <w:rsid w:val="00E65301"/>
    <w:rsid w:val="00E653A7"/>
    <w:rsid w:val="00E657F0"/>
    <w:rsid w:val="00E659F9"/>
    <w:rsid w:val="00E65AFE"/>
    <w:rsid w:val="00E65B37"/>
    <w:rsid w:val="00E65B56"/>
    <w:rsid w:val="00E65D91"/>
    <w:rsid w:val="00E65F75"/>
    <w:rsid w:val="00E660AC"/>
    <w:rsid w:val="00E66595"/>
    <w:rsid w:val="00E667B2"/>
    <w:rsid w:val="00E66C69"/>
    <w:rsid w:val="00E66D1D"/>
    <w:rsid w:val="00E66E0B"/>
    <w:rsid w:val="00E67012"/>
    <w:rsid w:val="00E670B3"/>
    <w:rsid w:val="00E67248"/>
    <w:rsid w:val="00E67457"/>
    <w:rsid w:val="00E675D2"/>
    <w:rsid w:val="00E676DA"/>
    <w:rsid w:val="00E67957"/>
    <w:rsid w:val="00E679BB"/>
    <w:rsid w:val="00E67BD0"/>
    <w:rsid w:val="00E67CBA"/>
    <w:rsid w:val="00E67D9E"/>
    <w:rsid w:val="00E7015B"/>
    <w:rsid w:val="00E701EB"/>
    <w:rsid w:val="00E7027C"/>
    <w:rsid w:val="00E702BC"/>
    <w:rsid w:val="00E70447"/>
    <w:rsid w:val="00E7046B"/>
    <w:rsid w:val="00E705E2"/>
    <w:rsid w:val="00E70610"/>
    <w:rsid w:val="00E706F4"/>
    <w:rsid w:val="00E707E0"/>
    <w:rsid w:val="00E70C10"/>
    <w:rsid w:val="00E70E37"/>
    <w:rsid w:val="00E70E43"/>
    <w:rsid w:val="00E70E61"/>
    <w:rsid w:val="00E71050"/>
    <w:rsid w:val="00E7146D"/>
    <w:rsid w:val="00E71574"/>
    <w:rsid w:val="00E71773"/>
    <w:rsid w:val="00E7187C"/>
    <w:rsid w:val="00E719A2"/>
    <w:rsid w:val="00E719F0"/>
    <w:rsid w:val="00E72127"/>
    <w:rsid w:val="00E7248E"/>
    <w:rsid w:val="00E72881"/>
    <w:rsid w:val="00E72A83"/>
    <w:rsid w:val="00E72BFE"/>
    <w:rsid w:val="00E72DFA"/>
    <w:rsid w:val="00E72E3D"/>
    <w:rsid w:val="00E7303D"/>
    <w:rsid w:val="00E731A5"/>
    <w:rsid w:val="00E73D69"/>
    <w:rsid w:val="00E74285"/>
    <w:rsid w:val="00E745CD"/>
    <w:rsid w:val="00E74680"/>
    <w:rsid w:val="00E749A2"/>
    <w:rsid w:val="00E749D8"/>
    <w:rsid w:val="00E74A8F"/>
    <w:rsid w:val="00E74AFD"/>
    <w:rsid w:val="00E74FE4"/>
    <w:rsid w:val="00E750D3"/>
    <w:rsid w:val="00E7539C"/>
    <w:rsid w:val="00E75635"/>
    <w:rsid w:val="00E756ED"/>
    <w:rsid w:val="00E75881"/>
    <w:rsid w:val="00E759E5"/>
    <w:rsid w:val="00E75A59"/>
    <w:rsid w:val="00E75B01"/>
    <w:rsid w:val="00E75B4A"/>
    <w:rsid w:val="00E75BB0"/>
    <w:rsid w:val="00E75BBC"/>
    <w:rsid w:val="00E76151"/>
    <w:rsid w:val="00E761E9"/>
    <w:rsid w:val="00E76283"/>
    <w:rsid w:val="00E76324"/>
    <w:rsid w:val="00E7646A"/>
    <w:rsid w:val="00E76621"/>
    <w:rsid w:val="00E76745"/>
    <w:rsid w:val="00E76788"/>
    <w:rsid w:val="00E76858"/>
    <w:rsid w:val="00E76AAB"/>
    <w:rsid w:val="00E76B01"/>
    <w:rsid w:val="00E76BBC"/>
    <w:rsid w:val="00E76F4F"/>
    <w:rsid w:val="00E76FAE"/>
    <w:rsid w:val="00E77679"/>
    <w:rsid w:val="00E776AC"/>
    <w:rsid w:val="00E776D4"/>
    <w:rsid w:val="00E77860"/>
    <w:rsid w:val="00E77944"/>
    <w:rsid w:val="00E77E1A"/>
    <w:rsid w:val="00E77F89"/>
    <w:rsid w:val="00E77FFD"/>
    <w:rsid w:val="00E8002B"/>
    <w:rsid w:val="00E800CE"/>
    <w:rsid w:val="00E800DE"/>
    <w:rsid w:val="00E801B7"/>
    <w:rsid w:val="00E8034B"/>
    <w:rsid w:val="00E8044A"/>
    <w:rsid w:val="00E8050D"/>
    <w:rsid w:val="00E80515"/>
    <w:rsid w:val="00E80855"/>
    <w:rsid w:val="00E80907"/>
    <w:rsid w:val="00E8092D"/>
    <w:rsid w:val="00E809BA"/>
    <w:rsid w:val="00E80B88"/>
    <w:rsid w:val="00E810AC"/>
    <w:rsid w:val="00E81449"/>
    <w:rsid w:val="00E814E1"/>
    <w:rsid w:val="00E815B5"/>
    <w:rsid w:val="00E81798"/>
    <w:rsid w:val="00E819E0"/>
    <w:rsid w:val="00E81BAC"/>
    <w:rsid w:val="00E81CDE"/>
    <w:rsid w:val="00E81F66"/>
    <w:rsid w:val="00E820FD"/>
    <w:rsid w:val="00E82514"/>
    <w:rsid w:val="00E82704"/>
    <w:rsid w:val="00E8292B"/>
    <w:rsid w:val="00E82B4F"/>
    <w:rsid w:val="00E82C4B"/>
    <w:rsid w:val="00E82E4C"/>
    <w:rsid w:val="00E82F2B"/>
    <w:rsid w:val="00E8317B"/>
    <w:rsid w:val="00E831AB"/>
    <w:rsid w:val="00E832A7"/>
    <w:rsid w:val="00E8335F"/>
    <w:rsid w:val="00E83487"/>
    <w:rsid w:val="00E8348D"/>
    <w:rsid w:val="00E835A8"/>
    <w:rsid w:val="00E83A75"/>
    <w:rsid w:val="00E83D37"/>
    <w:rsid w:val="00E83EA3"/>
    <w:rsid w:val="00E83F3F"/>
    <w:rsid w:val="00E84131"/>
    <w:rsid w:val="00E846F6"/>
    <w:rsid w:val="00E84A8E"/>
    <w:rsid w:val="00E84B5C"/>
    <w:rsid w:val="00E84D5B"/>
    <w:rsid w:val="00E84D76"/>
    <w:rsid w:val="00E84F25"/>
    <w:rsid w:val="00E84F69"/>
    <w:rsid w:val="00E8504E"/>
    <w:rsid w:val="00E850BD"/>
    <w:rsid w:val="00E85263"/>
    <w:rsid w:val="00E854E4"/>
    <w:rsid w:val="00E855B2"/>
    <w:rsid w:val="00E857E3"/>
    <w:rsid w:val="00E85A18"/>
    <w:rsid w:val="00E85AC9"/>
    <w:rsid w:val="00E85BEE"/>
    <w:rsid w:val="00E85CA5"/>
    <w:rsid w:val="00E85D65"/>
    <w:rsid w:val="00E85E0C"/>
    <w:rsid w:val="00E85E98"/>
    <w:rsid w:val="00E85EC7"/>
    <w:rsid w:val="00E863E9"/>
    <w:rsid w:val="00E86491"/>
    <w:rsid w:val="00E864A1"/>
    <w:rsid w:val="00E864B0"/>
    <w:rsid w:val="00E86684"/>
    <w:rsid w:val="00E8676C"/>
    <w:rsid w:val="00E869FC"/>
    <w:rsid w:val="00E86BC2"/>
    <w:rsid w:val="00E86C2D"/>
    <w:rsid w:val="00E86DB9"/>
    <w:rsid w:val="00E86E14"/>
    <w:rsid w:val="00E86E90"/>
    <w:rsid w:val="00E86EA4"/>
    <w:rsid w:val="00E871EF"/>
    <w:rsid w:val="00E8729C"/>
    <w:rsid w:val="00E87368"/>
    <w:rsid w:val="00E87375"/>
    <w:rsid w:val="00E8737D"/>
    <w:rsid w:val="00E87444"/>
    <w:rsid w:val="00E87456"/>
    <w:rsid w:val="00E877EB"/>
    <w:rsid w:val="00E87836"/>
    <w:rsid w:val="00E878EE"/>
    <w:rsid w:val="00E879C7"/>
    <w:rsid w:val="00E87B12"/>
    <w:rsid w:val="00E87B61"/>
    <w:rsid w:val="00E87D0D"/>
    <w:rsid w:val="00E87D5E"/>
    <w:rsid w:val="00E90165"/>
    <w:rsid w:val="00E9028A"/>
    <w:rsid w:val="00E907AF"/>
    <w:rsid w:val="00E90813"/>
    <w:rsid w:val="00E908FB"/>
    <w:rsid w:val="00E909A3"/>
    <w:rsid w:val="00E90D23"/>
    <w:rsid w:val="00E90EE9"/>
    <w:rsid w:val="00E91338"/>
    <w:rsid w:val="00E91345"/>
    <w:rsid w:val="00E91420"/>
    <w:rsid w:val="00E91443"/>
    <w:rsid w:val="00E914C1"/>
    <w:rsid w:val="00E9174D"/>
    <w:rsid w:val="00E917ED"/>
    <w:rsid w:val="00E918E4"/>
    <w:rsid w:val="00E918FF"/>
    <w:rsid w:val="00E91A67"/>
    <w:rsid w:val="00E91B08"/>
    <w:rsid w:val="00E91CF3"/>
    <w:rsid w:val="00E91DF8"/>
    <w:rsid w:val="00E91E8F"/>
    <w:rsid w:val="00E91F41"/>
    <w:rsid w:val="00E92157"/>
    <w:rsid w:val="00E92163"/>
    <w:rsid w:val="00E922DE"/>
    <w:rsid w:val="00E92623"/>
    <w:rsid w:val="00E92832"/>
    <w:rsid w:val="00E928B7"/>
    <w:rsid w:val="00E92B0D"/>
    <w:rsid w:val="00E92B8F"/>
    <w:rsid w:val="00E92BC2"/>
    <w:rsid w:val="00E92C02"/>
    <w:rsid w:val="00E93056"/>
    <w:rsid w:val="00E9311E"/>
    <w:rsid w:val="00E9328E"/>
    <w:rsid w:val="00E93370"/>
    <w:rsid w:val="00E933A7"/>
    <w:rsid w:val="00E934B0"/>
    <w:rsid w:val="00E93DDE"/>
    <w:rsid w:val="00E93E51"/>
    <w:rsid w:val="00E93E8A"/>
    <w:rsid w:val="00E93F03"/>
    <w:rsid w:val="00E93F27"/>
    <w:rsid w:val="00E94317"/>
    <w:rsid w:val="00E9434A"/>
    <w:rsid w:val="00E94668"/>
    <w:rsid w:val="00E946D6"/>
    <w:rsid w:val="00E946F3"/>
    <w:rsid w:val="00E949C3"/>
    <w:rsid w:val="00E94A21"/>
    <w:rsid w:val="00E94B0B"/>
    <w:rsid w:val="00E94B1F"/>
    <w:rsid w:val="00E94CFC"/>
    <w:rsid w:val="00E94F3C"/>
    <w:rsid w:val="00E94FFB"/>
    <w:rsid w:val="00E95031"/>
    <w:rsid w:val="00E9515D"/>
    <w:rsid w:val="00E95354"/>
    <w:rsid w:val="00E95695"/>
    <w:rsid w:val="00E956B8"/>
    <w:rsid w:val="00E95856"/>
    <w:rsid w:val="00E9585F"/>
    <w:rsid w:val="00E95A3E"/>
    <w:rsid w:val="00E95CBC"/>
    <w:rsid w:val="00E95CF9"/>
    <w:rsid w:val="00E95D28"/>
    <w:rsid w:val="00E95EDE"/>
    <w:rsid w:val="00E9612F"/>
    <w:rsid w:val="00E96408"/>
    <w:rsid w:val="00E96552"/>
    <w:rsid w:val="00E9687A"/>
    <w:rsid w:val="00E9698E"/>
    <w:rsid w:val="00E96A93"/>
    <w:rsid w:val="00E96BF1"/>
    <w:rsid w:val="00E96CF4"/>
    <w:rsid w:val="00E96E6A"/>
    <w:rsid w:val="00E96EC6"/>
    <w:rsid w:val="00E96ED3"/>
    <w:rsid w:val="00E9717B"/>
    <w:rsid w:val="00E97184"/>
    <w:rsid w:val="00E971AD"/>
    <w:rsid w:val="00E97348"/>
    <w:rsid w:val="00E9751E"/>
    <w:rsid w:val="00E978AA"/>
    <w:rsid w:val="00E97A5C"/>
    <w:rsid w:val="00E97AB9"/>
    <w:rsid w:val="00E97C6F"/>
    <w:rsid w:val="00EA0050"/>
    <w:rsid w:val="00EA0384"/>
    <w:rsid w:val="00EA0436"/>
    <w:rsid w:val="00EA04A6"/>
    <w:rsid w:val="00EA04CD"/>
    <w:rsid w:val="00EA0544"/>
    <w:rsid w:val="00EA0556"/>
    <w:rsid w:val="00EA07B7"/>
    <w:rsid w:val="00EA08A6"/>
    <w:rsid w:val="00EA0AF6"/>
    <w:rsid w:val="00EA0B43"/>
    <w:rsid w:val="00EA0C75"/>
    <w:rsid w:val="00EA0DB2"/>
    <w:rsid w:val="00EA0DD5"/>
    <w:rsid w:val="00EA0DF5"/>
    <w:rsid w:val="00EA0E00"/>
    <w:rsid w:val="00EA0F5E"/>
    <w:rsid w:val="00EA1054"/>
    <w:rsid w:val="00EA18EE"/>
    <w:rsid w:val="00EA1B29"/>
    <w:rsid w:val="00EA1C98"/>
    <w:rsid w:val="00EA1CFE"/>
    <w:rsid w:val="00EA1DB9"/>
    <w:rsid w:val="00EA1F64"/>
    <w:rsid w:val="00EA249C"/>
    <w:rsid w:val="00EA255A"/>
    <w:rsid w:val="00EA29C7"/>
    <w:rsid w:val="00EA2B63"/>
    <w:rsid w:val="00EA305D"/>
    <w:rsid w:val="00EA3176"/>
    <w:rsid w:val="00EA31A8"/>
    <w:rsid w:val="00EA3305"/>
    <w:rsid w:val="00EA353D"/>
    <w:rsid w:val="00EA3757"/>
    <w:rsid w:val="00EA3924"/>
    <w:rsid w:val="00EA3A36"/>
    <w:rsid w:val="00EA3AD2"/>
    <w:rsid w:val="00EA3BB9"/>
    <w:rsid w:val="00EA3E3D"/>
    <w:rsid w:val="00EA401B"/>
    <w:rsid w:val="00EA403A"/>
    <w:rsid w:val="00EA403E"/>
    <w:rsid w:val="00EA4319"/>
    <w:rsid w:val="00EA431E"/>
    <w:rsid w:val="00EA45B5"/>
    <w:rsid w:val="00EA461C"/>
    <w:rsid w:val="00EA4758"/>
    <w:rsid w:val="00EA4846"/>
    <w:rsid w:val="00EA493B"/>
    <w:rsid w:val="00EA4BAB"/>
    <w:rsid w:val="00EA4E5A"/>
    <w:rsid w:val="00EA4F32"/>
    <w:rsid w:val="00EA5294"/>
    <w:rsid w:val="00EA52B9"/>
    <w:rsid w:val="00EA55EC"/>
    <w:rsid w:val="00EA58AC"/>
    <w:rsid w:val="00EA5B66"/>
    <w:rsid w:val="00EA5B84"/>
    <w:rsid w:val="00EA5D44"/>
    <w:rsid w:val="00EA5EAA"/>
    <w:rsid w:val="00EA635C"/>
    <w:rsid w:val="00EA647B"/>
    <w:rsid w:val="00EA6699"/>
    <w:rsid w:val="00EA6790"/>
    <w:rsid w:val="00EA69A1"/>
    <w:rsid w:val="00EA6CCA"/>
    <w:rsid w:val="00EA6D49"/>
    <w:rsid w:val="00EA6F8D"/>
    <w:rsid w:val="00EA70C6"/>
    <w:rsid w:val="00EA7273"/>
    <w:rsid w:val="00EA72D7"/>
    <w:rsid w:val="00EA73AD"/>
    <w:rsid w:val="00EA76AD"/>
    <w:rsid w:val="00EA76C8"/>
    <w:rsid w:val="00EA77B8"/>
    <w:rsid w:val="00EA7C30"/>
    <w:rsid w:val="00EB000A"/>
    <w:rsid w:val="00EB0171"/>
    <w:rsid w:val="00EB0404"/>
    <w:rsid w:val="00EB0542"/>
    <w:rsid w:val="00EB09F0"/>
    <w:rsid w:val="00EB0C8A"/>
    <w:rsid w:val="00EB0CB7"/>
    <w:rsid w:val="00EB0DBD"/>
    <w:rsid w:val="00EB0DD5"/>
    <w:rsid w:val="00EB0E65"/>
    <w:rsid w:val="00EB0F02"/>
    <w:rsid w:val="00EB10D2"/>
    <w:rsid w:val="00EB1156"/>
    <w:rsid w:val="00EB1363"/>
    <w:rsid w:val="00EB164F"/>
    <w:rsid w:val="00EB172A"/>
    <w:rsid w:val="00EB18A9"/>
    <w:rsid w:val="00EB1C87"/>
    <w:rsid w:val="00EB1DF8"/>
    <w:rsid w:val="00EB2143"/>
    <w:rsid w:val="00EB2412"/>
    <w:rsid w:val="00EB2711"/>
    <w:rsid w:val="00EB282B"/>
    <w:rsid w:val="00EB284E"/>
    <w:rsid w:val="00EB2AA6"/>
    <w:rsid w:val="00EB2B3E"/>
    <w:rsid w:val="00EB2E77"/>
    <w:rsid w:val="00EB2EB2"/>
    <w:rsid w:val="00EB30EE"/>
    <w:rsid w:val="00EB3217"/>
    <w:rsid w:val="00EB365C"/>
    <w:rsid w:val="00EB3977"/>
    <w:rsid w:val="00EB3D16"/>
    <w:rsid w:val="00EB3E8F"/>
    <w:rsid w:val="00EB3F07"/>
    <w:rsid w:val="00EB3F24"/>
    <w:rsid w:val="00EB3F2A"/>
    <w:rsid w:val="00EB450A"/>
    <w:rsid w:val="00EB4601"/>
    <w:rsid w:val="00EB482F"/>
    <w:rsid w:val="00EB494E"/>
    <w:rsid w:val="00EB4A11"/>
    <w:rsid w:val="00EB4D1C"/>
    <w:rsid w:val="00EB5061"/>
    <w:rsid w:val="00EB5068"/>
    <w:rsid w:val="00EB522E"/>
    <w:rsid w:val="00EB524B"/>
    <w:rsid w:val="00EB5354"/>
    <w:rsid w:val="00EB545C"/>
    <w:rsid w:val="00EB54C9"/>
    <w:rsid w:val="00EB55FE"/>
    <w:rsid w:val="00EB592E"/>
    <w:rsid w:val="00EB5956"/>
    <w:rsid w:val="00EB59E9"/>
    <w:rsid w:val="00EB5B9F"/>
    <w:rsid w:val="00EB6057"/>
    <w:rsid w:val="00EB6068"/>
    <w:rsid w:val="00EB6286"/>
    <w:rsid w:val="00EB6336"/>
    <w:rsid w:val="00EB67CE"/>
    <w:rsid w:val="00EB67DB"/>
    <w:rsid w:val="00EB68F8"/>
    <w:rsid w:val="00EB6C37"/>
    <w:rsid w:val="00EB6C69"/>
    <w:rsid w:val="00EB6ECC"/>
    <w:rsid w:val="00EB6FA3"/>
    <w:rsid w:val="00EB728F"/>
    <w:rsid w:val="00EB75C0"/>
    <w:rsid w:val="00EB7765"/>
    <w:rsid w:val="00EB794C"/>
    <w:rsid w:val="00EB7992"/>
    <w:rsid w:val="00EB7A28"/>
    <w:rsid w:val="00EB7B61"/>
    <w:rsid w:val="00EB7D32"/>
    <w:rsid w:val="00EC0103"/>
    <w:rsid w:val="00EC0222"/>
    <w:rsid w:val="00EC0248"/>
    <w:rsid w:val="00EC02D5"/>
    <w:rsid w:val="00EC04C4"/>
    <w:rsid w:val="00EC051A"/>
    <w:rsid w:val="00EC066D"/>
    <w:rsid w:val="00EC0962"/>
    <w:rsid w:val="00EC0AA2"/>
    <w:rsid w:val="00EC0BDC"/>
    <w:rsid w:val="00EC0D1B"/>
    <w:rsid w:val="00EC0DE0"/>
    <w:rsid w:val="00EC0E46"/>
    <w:rsid w:val="00EC0E57"/>
    <w:rsid w:val="00EC1008"/>
    <w:rsid w:val="00EC1081"/>
    <w:rsid w:val="00EC1086"/>
    <w:rsid w:val="00EC1966"/>
    <w:rsid w:val="00EC19E8"/>
    <w:rsid w:val="00EC1AF0"/>
    <w:rsid w:val="00EC1DB4"/>
    <w:rsid w:val="00EC1EB7"/>
    <w:rsid w:val="00EC1EE0"/>
    <w:rsid w:val="00EC1EFB"/>
    <w:rsid w:val="00EC2086"/>
    <w:rsid w:val="00EC2097"/>
    <w:rsid w:val="00EC21AD"/>
    <w:rsid w:val="00EC2288"/>
    <w:rsid w:val="00EC24B5"/>
    <w:rsid w:val="00EC24EF"/>
    <w:rsid w:val="00EC2542"/>
    <w:rsid w:val="00EC2558"/>
    <w:rsid w:val="00EC25AA"/>
    <w:rsid w:val="00EC2613"/>
    <w:rsid w:val="00EC2654"/>
    <w:rsid w:val="00EC2784"/>
    <w:rsid w:val="00EC27AE"/>
    <w:rsid w:val="00EC27EC"/>
    <w:rsid w:val="00EC2838"/>
    <w:rsid w:val="00EC2A74"/>
    <w:rsid w:val="00EC2BB9"/>
    <w:rsid w:val="00EC2E83"/>
    <w:rsid w:val="00EC2E9A"/>
    <w:rsid w:val="00EC2FB0"/>
    <w:rsid w:val="00EC32AD"/>
    <w:rsid w:val="00EC3A2F"/>
    <w:rsid w:val="00EC3AF2"/>
    <w:rsid w:val="00EC3B21"/>
    <w:rsid w:val="00EC3DBE"/>
    <w:rsid w:val="00EC3F16"/>
    <w:rsid w:val="00EC3F67"/>
    <w:rsid w:val="00EC41D7"/>
    <w:rsid w:val="00EC4297"/>
    <w:rsid w:val="00EC42C4"/>
    <w:rsid w:val="00EC43AF"/>
    <w:rsid w:val="00EC4450"/>
    <w:rsid w:val="00EC445A"/>
    <w:rsid w:val="00EC450C"/>
    <w:rsid w:val="00EC469D"/>
    <w:rsid w:val="00EC4A0F"/>
    <w:rsid w:val="00EC4A44"/>
    <w:rsid w:val="00EC4A67"/>
    <w:rsid w:val="00EC4ACD"/>
    <w:rsid w:val="00EC4CB8"/>
    <w:rsid w:val="00EC4D16"/>
    <w:rsid w:val="00EC4FAD"/>
    <w:rsid w:val="00EC4FB9"/>
    <w:rsid w:val="00EC5133"/>
    <w:rsid w:val="00EC5592"/>
    <w:rsid w:val="00EC565B"/>
    <w:rsid w:val="00EC5A69"/>
    <w:rsid w:val="00EC5B43"/>
    <w:rsid w:val="00EC5E60"/>
    <w:rsid w:val="00EC60E5"/>
    <w:rsid w:val="00EC60E6"/>
    <w:rsid w:val="00EC624A"/>
    <w:rsid w:val="00EC6301"/>
    <w:rsid w:val="00EC648E"/>
    <w:rsid w:val="00EC664F"/>
    <w:rsid w:val="00EC67BF"/>
    <w:rsid w:val="00EC68CB"/>
    <w:rsid w:val="00EC6DB2"/>
    <w:rsid w:val="00EC70FD"/>
    <w:rsid w:val="00EC7221"/>
    <w:rsid w:val="00EC7391"/>
    <w:rsid w:val="00EC74B4"/>
    <w:rsid w:val="00EC752C"/>
    <w:rsid w:val="00EC75B1"/>
    <w:rsid w:val="00EC76F2"/>
    <w:rsid w:val="00EC76F9"/>
    <w:rsid w:val="00EC7A8E"/>
    <w:rsid w:val="00EC7B6B"/>
    <w:rsid w:val="00EC7EC1"/>
    <w:rsid w:val="00ED0004"/>
    <w:rsid w:val="00ED04BA"/>
    <w:rsid w:val="00ED0770"/>
    <w:rsid w:val="00ED085D"/>
    <w:rsid w:val="00ED0A86"/>
    <w:rsid w:val="00ED0CE5"/>
    <w:rsid w:val="00ED0CF7"/>
    <w:rsid w:val="00ED0EC4"/>
    <w:rsid w:val="00ED1149"/>
    <w:rsid w:val="00ED11F6"/>
    <w:rsid w:val="00ED1289"/>
    <w:rsid w:val="00ED133F"/>
    <w:rsid w:val="00ED17AA"/>
    <w:rsid w:val="00ED17F5"/>
    <w:rsid w:val="00ED19D9"/>
    <w:rsid w:val="00ED1B4A"/>
    <w:rsid w:val="00ED1BA5"/>
    <w:rsid w:val="00ED1BD0"/>
    <w:rsid w:val="00ED1C4F"/>
    <w:rsid w:val="00ED1D0F"/>
    <w:rsid w:val="00ED211C"/>
    <w:rsid w:val="00ED2273"/>
    <w:rsid w:val="00ED24F1"/>
    <w:rsid w:val="00ED286F"/>
    <w:rsid w:val="00ED2A12"/>
    <w:rsid w:val="00ED3223"/>
    <w:rsid w:val="00ED35A1"/>
    <w:rsid w:val="00ED35AF"/>
    <w:rsid w:val="00ED36DD"/>
    <w:rsid w:val="00ED378D"/>
    <w:rsid w:val="00ED3BC1"/>
    <w:rsid w:val="00ED3C13"/>
    <w:rsid w:val="00ED3CDE"/>
    <w:rsid w:val="00ED3CEE"/>
    <w:rsid w:val="00ED3E84"/>
    <w:rsid w:val="00ED3F22"/>
    <w:rsid w:val="00ED3F2B"/>
    <w:rsid w:val="00ED3FFF"/>
    <w:rsid w:val="00ED4046"/>
    <w:rsid w:val="00ED405C"/>
    <w:rsid w:val="00ED45A5"/>
    <w:rsid w:val="00ED4629"/>
    <w:rsid w:val="00ED4782"/>
    <w:rsid w:val="00ED492E"/>
    <w:rsid w:val="00ED49E8"/>
    <w:rsid w:val="00ED4AF9"/>
    <w:rsid w:val="00ED4B14"/>
    <w:rsid w:val="00ED4D5E"/>
    <w:rsid w:val="00ED4E75"/>
    <w:rsid w:val="00ED504D"/>
    <w:rsid w:val="00ED54A2"/>
    <w:rsid w:val="00ED5823"/>
    <w:rsid w:val="00ED58B1"/>
    <w:rsid w:val="00ED5A25"/>
    <w:rsid w:val="00ED5ABA"/>
    <w:rsid w:val="00ED5E39"/>
    <w:rsid w:val="00ED61E2"/>
    <w:rsid w:val="00ED6363"/>
    <w:rsid w:val="00ED6365"/>
    <w:rsid w:val="00ED63E9"/>
    <w:rsid w:val="00ED6415"/>
    <w:rsid w:val="00ED66B5"/>
    <w:rsid w:val="00ED66C5"/>
    <w:rsid w:val="00ED6A90"/>
    <w:rsid w:val="00ED6C6C"/>
    <w:rsid w:val="00ED6C8E"/>
    <w:rsid w:val="00ED6CA4"/>
    <w:rsid w:val="00ED6D0B"/>
    <w:rsid w:val="00ED6D56"/>
    <w:rsid w:val="00ED6DA9"/>
    <w:rsid w:val="00ED6EE9"/>
    <w:rsid w:val="00ED6FBF"/>
    <w:rsid w:val="00ED7495"/>
    <w:rsid w:val="00ED75A7"/>
    <w:rsid w:val="00ED761E"/>
    <w:rsid w:val="00ED7734"/>
    <w:rsid w:val="00ED784D"/>
    <w:rsid w:val="00ED78C6"/>
    <w:rsid w:val="00ED7BE7"/>
    <w:rsid w:val="00ED7E75"/>
    <w:rsid w:val="00ED7FCB"/>
    <w:rsid w:val="00EE0198"/>
    <w:rsid w:val="00EE0319"/>
    <w:rsid w:val="00EE0364"/>
    <w:rsid w:val="00EE04C3"/>
    <w:rsid w:val="00EE0650"/>
    <w:rsid w:val="00EE068B"/>
    <w:rsid w:val="00EE089E"/>
    <w:rsid w:val="00EE08AA"/>
    <w:rsid w:val="00EE098D"/>
    <w:rsid w:val="00EE0AB6"/>
    <w:rsid w:val="00EE0F52"/>
    <w:rsid w:val="00EE10FD"/>
    <w:rsid w:val="00EE1435"/>
    <w:rsid w:val="00EE147E"/>
    <w:rsid w:val="00EE14B6"/>
    <w:rsid w:val="00EE1521"/>
    <w:rsid w:val="00EE1629"/>
    <w:rsid w:val="00EE1848"/>
    <w:rsid w:val="00EE1B0D"/>
    <w:rsid w:val="00EE1BC7"/>
    <w:rsid w:val="00EE1E17"/>
    <w:rsid w:val="00EE1EB1"/>
    <w:rsid w:val="00EE1F68"/>
    <w:rsid w:val="00EE1FE0"/>
    <w:rsid w:val="00EE2165"/>
    <w:rsid w:val="00EE235E"/>
    <w:rsid w:val="00EE267E"/>
    <w:rsid w:val="00EE2B66"/>
    <w:rsid w:val="00EE2EA7"/>
    <w:rsid w:val="00EE3196"/>
    <w:rsid w:val="00EE32CA"/>
    <w:rsid w:val="00EE3350"/>
    <w:rsid w:val="00EE3389"/>
    <w:rsid w:val="00EE36AF"/>
    <w:rsid w:val="00EE3966"/>
    <w:rsid w:val="00EE3CB4"/>
    <w:rsid w:val="00EE3DA3"/>
    <w:rsid w:val="00EE411E"/>
    <w:rsid w:val="00EE4339"/>
    <w:rsid w:val="00EE4346"/>
    <w:rsid w:val="00EE44FD"/>
    <w:rsid w:val="00EE4558"/>
    <w:rsid w:val="00EE459E"/>
    <w:rsid w:val="00EE4643"/>
    <w:rsid w:val="00EE469F"/>
    <w:rsid w:val="00EE4792"/>
    <w:rsid w:val="00EE4902"/>
    <w:rsid w:val="00EE49A0"/>
    <w:rsid w:val="00EE4B52"/>
    <w:rsid w:val="00EE4CBD"/>
    <w:rsid w:val="00EE4D0F"/>
    <w:rsid w:val="00EE504C"/>
    <w:rsid w:val="00EE5054"/>
    <w:rsid w:val="00EE5062"/>
    <w:rsid w:val="00EE5191"/>
    <w:rsid w:val="00EE5300"/>
    <w:rsid w:val="00EE5621"/>
    <w:rsid w:val="00EE59A8"/>
    <w:rsid w:val="00EE5ADE"/>
    <w:rsid w:val="00EE5B8B"/>
    <w:rsid w:val="00EE6035"/>
    <w:rsid w:val="00EE6155"/>
    <w:rsid w:val="00EE6271"/>
    <w:rsid w:val="00EE62CF"/>
    <w:rsid w:val="00EE62F0"/>
    <w:rsid w:val="00EE642D"/>
    <w:rsid w:val="00EE6639"/>
    <w:rsid w:val="00EE6723"/>
    <w:rsid w:val="00EE6794"/>
    <w:rsid w:val="00EE67BA"/>
    <w:rsid w:val="00EE68CD"/>
    <w:rsid w:val="00EE693C"/>
    <w:rsid w:val="00EE6BA3"/>
    <w:rsid w:val="00EE6F09"/>
    <w:rsid w:val="00EE7939"/>
    <w:rsid w:val="00EE7D7D"/>
    <w:rsid w:val="00EF00D5"/>
    <w:rsid w:val="00EF02C0"/>
    <w:rsid w:val="00EF053F"/>
    <w:rsid w:val="00EF069D"/>
    <w:rsid w:val="00EF0912"/>
    <w:rsid w:val="00EF0A80"/>
    <w:rsid w:val="00EF0ACD"/>
    <w:rsid w:val="00EF0CC5"/>
    <w:rsid w:val="00EF0E80"/>
    <w:rsid w:val="00EF12EE"/>
    <w:rsid w:val="00EF1351"/>
    <w:rsid w:val="00EF13FC"/>
    <w:rsid w:val="00EF159E"/>
    <w:rsid w:val="00EF15DF"/>
    <w:rsid w:val="00EF1899"/>
    <w:rsid w:val="00EF18AB"/>
    <w:rsid w:val="00EF190D"/>
    <w:rsid w:val="00EF1D52"/>
    <w:rsid w:val="00EF1D6D"/>
    <w:rsid w:val="00EF1F4F"/>
    <w:rsid w:val="00EF1F9F"/>
    <w:rsid w:val="00EF20AD"/>
    <w:rsid w:val="00EF21F8"/>
    <w:rsid w:val="00EF2252"/>
    <w:rsid w:val="00EF23FD"/>
    <w:rsid w:val="00EF2660"/>
    <w:rsid w:val="00EF2699"/>
    <w:rsid w:val="00EF26A5"/>
    <w:rsid w:val="00EF275F"/>
    <w:rsid w:val="00EF2A0C"/>
    <w:rsid w:val="00EF2B1E"/>
    <w:rsid w:val="00EF2B59"/>
    <w:rsid w:val="00EF2F84"/>
    <w:rsid w:val="00EF308B"/>
    <w:rsid w:val="00EF3123"/>
    <w:rsid w:val="00EF31E6"/>
    <w:rsid w:val="00EF3273"/>
    <w:rsid w:val="00EF3379"/>
    <w:rsid w:val="00EF3471"/>
    <w:rsid w:val="00EF35CA"/>
    <w:rsid w:val="00EF35E9"/>
    <w:rsid w:val="00EF3658"/>
    <w:rsid w:val="00EF37D8"/>
    <w:rsid w:val="00EF39C9"/>
    <w:rsid w:val="00EF3AE9"/>
    <w:rsid w:val="00EF3DB8"/>
    <w:rsid w:val="00EF40BE"/>
    <w:rsid w:val="00EF4120"/>
    <w:rsid w:val="00EF41F0"/>
    <w:rsid w:val="00EF4450"/>
    <w:rsid w:val="00EF44A5"/>
    <w:rsid w:val="00EF4B12"/>
    <w:rsid w:val="00EF4BDB"/>
    <w:rsid w:val="00EF4E23"/>
    <w:rsid w:val="00EF4E83"/>
    <w:rsid w:val="00EF5003"/>
    <w:rsid w:val="00EF527D"/>
    <w:rsid w:val="00EF5428"/>
    <w:rsid w:val="00EF54E6"/>
    <w:rsid w:val="00EF55AE"/>
    <w:rsid w:val="00EF55DC"/>
    <w:rsid w:val="00EF56AA"/>
    <w:rsid w:val="00EF5895"/>
    <w:rsid w:val="00EF5952"/>
    <w:rsid w:val="00EF597F"/>
    <w:rsid w:val="00EF5998"/>
    <w:rsid w:val="00EF59D5"/>
    <w:rsid w:val="00EF5CA3"/>
    <w:rsid w:val="00EF5DFE"/>
    <w:rsid w:val="00EF5F8D"/>
    <w:rsid w:val="00EF6145"/>
    <w:rsid w:val="00EF6708"/>
    <w:rsid w:val="00EF6A73"/>
    <w:rsid w:val="00EF6BF4"/>
    <w:rsid w:val="00EF6E85"/>
    <w:rsid w:val="00EF700D"/>
    <w:rsid w:val="00EF74BC"/>
    <w:rsid w:val="00EF75D1"/>
    <w:rsid w:val="00EF7835"/>
    <w:rsid w:val="00EF795A"/>
    <w:rsid w:val="00EF796F"/>
    <w:rsid w:val="00EF799E"/>
    <w:rsid w:val="00EF7A8A"/>
    <w:rsid w:val="00EF7A94"/>
    <w:rsid w:val="00EF7BC4"/>
    <w:rsid w:val="00EF7E55"/>
    <w:rsid w:val="00F00094"/>
    <w:rsid w:val="00F004AF"/>
    <w:rsid w:val="00F00936"/>
    <w:rsid w:val="00F009CF"/>
    <w:rsid w:val="00F00A62"/>
    <w:rsid w:val="00F00A76"/>
    <w:rsid w:val="00F00AF0"/>
    <w:rsid w:val="00F00B48"/>
    <w:rsid w:val="00F00DE8"/>
    <w:rsid w:val="00F01664"/>
    <w:rsid w:val="00F01952"/>
    <w:rsid w:val="00F019B3"/>
    <w:rsid w:val="00F019FE"/>
    <w:rsid w:val="00F01B17"/>
    <w:rsid w:val="00F01B77"/>
    <w:rsid w:val="00F01E57"/>
    <w:rsid w:val="00F02417"/>
    <w:rsid w:val="00F027BA"/>
    <w:rsid w:val="00F02A07"/>
    <w:rsid w:val="00F02AEB"/>
    <w:rsid w:val="00F02C20"/>
    <w:rsid w:val="00F02DC6"/>
    <w:rsid w:val="00F02FBA"/>
    <w:rsid w:val="00F0303D"/>
    <w:rsid w:val="00F03058"/>
    <w:rsid w:val="00F031E5"/>
    <w:rsid w:val="00F031E6"/>
    <w:rsid w:val="00F0332A"/>
    <w:rsid w:val="00F0333B"/>
    <w:rsid w:val="00F0338D"/>
    <w:rsid w:val="00F036F5"/>
    <w:rsid w:val="00F039B8"/>
    <w:rsid w:val="00F03A35"/>
    <w:rsid w:val="00F03C53"/>
    <w:rsid w:val="00F03E75"/>
    <w:rsid w:val="00F04107"/>
    <w:rsid w:val="00F04190"/>
    <w:rsid w:val="00F04233"/>
    <w:rsid w:val="00F042D6"/>
    <w:rsid w:val="00F045C6"/>
    <w:rsid w:val="00F045E5"/>
    <w:rsid w:val="00F04603"/>
    <w:rsid w:val="00F046FD"/>
    <w:rsid w:val="00F04759"/>
    <w:rsid w:val="00F04798"/>
    <w:rsid w:val="00F04878"/>
    <w:rsid w:val="00F04A9D"/>
    <w:rsid w:val="00F04C6B"/>
    <w:rsid w:val="00F04C73"/>
    <w:rsid w:val="00F04CFA"/>
    <w:rsid w:val="00F04F74"/>
    <w:rsid w:val="00F04F84"/>
    <w:rsid w:val="00F0536E"/>
    <w:rsid w:val="00F05446"/>
    <w:rsid w:val="00F05567"/>
    <w:rsid w:val="00F055FC"/>
    <w:rsid w:val="00F05699"/>
    <w:rsid w:val="00F05785"/>
    <w:rsid w:val="00F057A6"/>
    <w:rsid w:val="00F057F6"/>
    <w:rsid w:val="00F05854"/>
    <w:rsid w:val="00F0590C"/>
    <w:rsid w:val="00F05B74"/>
    <w:rsid w:val="00F05C43"/>
    <w:rsid w:val="00F05CCC"/>
    <w:rsid w:val="00F05D5C"/>
    <w:rsid w:val="00F05E9A"/>
    <w:rsid w:val="00F06209"/>
    <w:rsid w:val="00F062B4"/>
    <w:rsid w:val="00F06606"/>
    <w:rsid w:val="00F0684C"/>
    <w:rsid w:val="00F0686F"/>
    <w:rsid w:val="00F06AC4"/>
    <w:rsid w:val="00F06C9F"/>
    <w:rsid w:val="00F070A9"/>
    <w:rsid w:val="00F0714F"/>
    <w:rsid w:val="00F0719A"/>
    <w:rsid w:val="00F0730D"/>
    <w:rsid w:val="00F073F7"/>
    <w:rsid w:val="00F0747C"/>
    <w:rsid w:val="00F074CA"/>
    <w:rsid w:val="00F074F8"/>
    <w:rsid w:val="00F0757F"/>
    <w:rsid w:val="00F0767A"/>
    <w:rsid w:val="00F076A3"/>
    <w:rsid w:val="00F0778B"/>
    <w:rsid w:val="00F0787E"/>
    <w:rsid w:val="00F0796F"/>
    <w:rsid w:val="00F07E44"/>
    <w:rsid w:val="00F07EE8"/>
    <w:rsid w:val="00F07F51"/>
    <w:rsid w:val="00F101DF"/>
    <w:rsid w:val="00F10252"/>
    <w:rsid w:val="00F10333"/>
    <w:rsid w:val="00F10372"/>
    <w:rsid w:val="00F104A2"/>
    <w:rsid w:val="00F10566"/>
    <w:rsid w:val="00F10567"/>
    <w:rsid w:val="00F10605"/>
    <w:rsid w:val="00F10758"/>
    <w:rsid w:val="00F10777"/>
    <w:rsid w:val="00F10875"/>
    <w:rsid w:val="00F10A14"/>
    <w:rsid w:val="00F10A30"/>
    <w:rsid w:val="00F10A31"/>
    <w:rsid w:val="00F10B22"/>
    <w:rsid w:val="00F10D79"/>
    <w:rsid w:val="00F10EAC"/>
    <w:rsid w:val="00F10FE2"/>
    <w:rsid w:val="00F110CA"/>
    <w:rsid w:val="00F115A4"/>
    <w:rsid w:val="00F11724"/>
    <w:rsid w:val="00F117F5"/>
    <w:rsid w:val="00F1181E"/>
    <w:rsid w:val="00F11A25"/>
    <w:rsid w:val="00F11A5B"/>
    <w:rsid w:val="00F11B29"/>
    <w:rsid w:val="00F11B3E"/>
    <w:rsid w:val="00F11C48"/>
    <w:rsid w:val="00F11DA0"/>
    <w:rsid w:val="00F11F5E"/>
    <w:rsid w:val="00F1201B"/>
    <w:rsid w:val="00F12077"/>
    <w:rsid w:val="00F1212C"/>
    <w:rsid w:val="00F12155"/>
    <w:rsid w:val="00F1232A"/>
    <w:rsid w:val="00F123BC"/>
    <w:rsid w:val="00F123EC"/>
    <w:rsid w:val="00F1254F"/>
    <w:rsid w:val="00F125B7"/>
    <w:rsid w:val="00F125D9"/>
    <w:rsid w:val="00F12608"/>
    <w:rsid w:val="00F12615"/>
    <w:rsid w:val="00F12804"/>
    <w:rsid w:val="00F12892"/>
    <w:rsid w:val="00F12BE7"/>
    <w:rsid w:val="00F12DF6"/>
    <w:rsid w:val="00F130A0"/>
    <w:rsid w:val="00F13451"/>
    <w:rsid w:val="00F13470"/>
    <w:rsid w:val="00F13479"/>
    <w:rsid w:val="00F135A8"/>
    <w:rsid w:val="00F13641"/>
    <w:rsid w:val="00F138DA"/>
    <w:rsid w:val="00F138FD"/>
    <w:rsid w:val="00F13ADC"/>
    <w:rsid w:val="00F13BEF"/>
    <w:rsid w:val="00F1403B"/>
    <w:rsid w:val="00F1429A"/>
    <w:rsid w:val="00F14314"/>
    <w:rsid w:val="00F143DE"/>
    <w:rsid w:val="00F147FF"/>
    <w:rsid w:val="00F14A9D"/>
    <w:rsid w:val="00F14D57"/>
    <w:rsid w:val="00F14E77"/>
    <w:rsid w:val="00F151AB"/>
    <w:rsid w:val="00F151F8"/>
    <w:rsid w:val="00F15302"/>
    <w:rsid w:val="00F153F6"/>
    <w:rsid w:val="00F1592E"/>
    <w:rsid w:val="00F15ACB"/>
    <w:rsid w:val="00F15B06"/>
    <w:rsid w:val="00F15C29"/>
    <w:rsid w:val="00F15D75"/>
    <w:rsid w:val="00F15E6D"/>
    <w:rsid w:val="00F15EDB"/>
    <w:rsid w:val="00F1606A"/>
    <w:rsid w:val="00F16203"/>
    <w:rsid w:val="00F162B0"/>
    <w:rsid w:val="00F162C3"/>
    <w:rsid w:val="00F16729"/>
    <w:rsid w:val="00F1698A"/>
    <w:rsid w:val="00F16C8A"/>
    <w:rsid w:val="00F16CE0"/>
    <w:rsid w:val="00F16D6C"/>
    <w:rsid w:val="00F17257"/>
    <w:rsid w:val="00F17452"/>
    <w:rsid w:val="00F1748D"/>
    <w:rsid w:val="00F174A0"/>
    <w:rsid w:val="00F17593"/>
    <w:rsid w:val="00F177CA"/>
    <w:rsid w:val="00F1782E"/>
    <w:rsid w:val="00F178F9"/>
    <w:rsid w:val="00F1793F"/>
    <w:rsid w:val="00F1794D"/>
    <w:rsid w:val="00F1795D"/>
    <w:rsid w:val="00F17C0C"/>
    <w:rsid w:val="00F17E96"/>
    <w:rsid w:val="00F20146"/>
    <w:rsid w:val="00F20159"/>
    <w:rsid w:val="00F20196"/>
    <w:rsid w:val="00F201F2"/>
    <w:rsid w:val="00F203FD"/>
    <w:rsid w:val="00F2046B"/>
    <w:rsid w:val="00F20731"/>
    <w:rsid w:val="00F20736"/>
    <w:rsid w:val="00F2089A"/>
    <w:rsid w:val="00F20B1D"/>
    <w:rsid w:val="00F20B42"/>
    <w:rsid w:val="00F20BCD"/>
    <w:rsid w:val="00F20D0D"/>
    <w:rsid w:val="00F20E3B"/>
    <w:rsid w:val="00F20F4B"/>
    <w:rsid w:val="00F20F90"/>
    <w:rsid w:val="00F210DF"/>
    <w:rsid w:val="00F21433"/>
    <w:rsid w:val="00F214BC"/>
    <w:rsid w:val="00F215B6"/>
    <w:rsid w:val="00F215F4"/>
    <w:rsid w:val="00F21629"/>
    <w:rsid w:val="00F216EC"/>
    <w:rsid w:val="00F217BA"/>
    <w:rsid w:val="00F217FF"/>
    <w:rsid w:val="00F21A8E"/>
    <w:rsid w:val="00F21BDF"/>
    <w:rsid w:val="00F21D52"/>
    <w:rsid w:val="00F22161"/>
    <w:rsid w:val="00F223EF"/>
    <w:rsid w:val="00F22452"/>
    <w:rsid w:val="00F225B5"/>
    <w:rsid w:val="00F226A1"/>
    <w:rsid w:val="00F22717"/>
    <w:rsid w:val="00F227F5"/>
    <w:rsid w:val="00F228A0"/>
    <w:rsid w:val="00F23019"/>
    <w:rsid w:val="00F23160"/>
    <w:rsid w:val="00F23329"/>
    <w:rsid w:val="00F2340C"/>
    <w:rsid w:val="00F237E6"/>
    <w:rsid w:val="00F23836"/>
    <w:rsid w:val="00F23B7F"/>
    <w:rsid w:val="00F23BB3"/>
    <w:rsid w:val="00F23DBF"/>
    <w:rsid w:val="00F23E3F"/>
    <w:rsid w:val="00F23F07"/>
    <w:rsid w:val="00F24021"/>
    <w:rsid w:val="00F2413A"/>
    <w:rsid w:val="00F24263"/>
    <w:rsid w:val="00F242E1"/>
    <w:rsid w:val="00F2472D"/>
    <w:rsid w:val="00F24930"/>
    <w:rsid w:val="00F24A04"/>
    <w:rsid w:val="00F24A51"/>
    <w:rsid w:val="00F24D18"/>
    <w:rsid w:val="00F24E53"/>
    <w:rsid w:val="00F24EF6"/>
    <w:rsid w:val="00F250F1"/>
    <w:rsid w:val="00F25101"/>
    <w:rsid w:val="00F258F0"/>
    <w:rsid w:val="00F25922"/>
    <w:rsid w:val="00F259F9"/>
    <w:rsid w:val="00F260B5"/>
    <w:rsid w:val="00F261AA"/>
    <w:rsid w:val="00F261EB"/>
    <w:rsid w:val="00F26341"/>
    <w:rsid w:val="00F264E9"/>
    <w:rsid w:val="00F26575"/>
    <w:rsid w:val="00F26620"/>
    <w:rsid w:val="00F266A8"/>
    <w:rsid w:val="00F266B8"/>
    <w:rsid w:val="00F267BC"/>
    <w:rsid w:val="00F26800"/>
    <w:rsid w:val="00F268F6"/>
    <w:rsid w:val="00F26901"/>
    <w:rsid w:val="00F269A0"/>
    <w:rsid w:val="00F2720C"/>
    <w:rsid w:val="00F2731B"/>
    <w:rsid w:val="00F2750E"/>
    <w:rsid w:val="00F27840"/>
    <w:rsid w:val="00F27843"/>
    <w:rsid w:val="00F27DA5"/>
    <w:rsid w:val="00F27DA6"/>
    <w:rsid w:val="00F3002B"/>
    <w:rsid w:val="00F30290"/>
    <w:rsid w:val="00F3034C"/>
    <w:rsid w:val="00F30387"/>
    <w:rsid w:val="00F303FF"/>
    <w:rsid w:val="00F30753"/>
    <w:rsid w:val="00F307A7"/>
    <w:rsid w:val="00F3091E"/>
    <w:rsid w:val="00F30AB8"/>
    <w:rsid w:val="00F30D1F"/>
    <w:rsid w:val="00F3105B"/>
    <w:rsid w:val="00F310A0"/>
    <w:rsid w:val="00F310B5"/>
    <w:rsid w:val="00F310B9"/>
    <w:rsid w:val="00F3136B"/>
    <w:rsid w:val="00F3150C"/>
    <w:rsid w:val="00F31A06"/>
    <w:rsid w:val="00F31B5F"/>
    <w:rsid w:val="00F31D41"/>
    <w:rsid w:val="00F32339"/>
    <w:rsid w:val="00F32360"/>
    <w:rsid w:val="00F32A8C"/>
    <w:rsid w:val="00F32AB1"/>
    <w:rsid w:val="00F32CA2"/>
    <w:rsid w:val="00F32CC0"/>
    <w:rsid w:val="00F32DCA"/>
    <w:rsid w:val="00F33100"/>
    <w:rsid w:val="00F3311F"/>
    <w:rsid w:val="00F33121"/>
    <w:rsid w:val="00F33149"/>
    <w:rsid w:val="00F331E9"/>
    <w:rsid w:val="00F332B9"/>
    <w:rsid w:val="00F33410"/>
    <w:rsid w:val="00F334CA"/>
    <w:rsid w:val="00F33724"/>
    <w:rsid w:val="00F33817"/>
    <w:rsid w:val="00F3388B"/>
    <w:rsid w:val="00F33AA1"/>
    <w:rsid w:val="00F33BB1"/>
    <w:rsid w:val="00F33C42"/>
    <w:rsid w:val="00F33C4C"/>
    <w:rsid w:val="00F33C75"/>
    <w:rsid w:val="00F33F2B"/>
    <w:rsid w:val="00F34157"/>
    <w:rsid w:val="00F345A2"/>
    <w:rsid w:val="00F347BB"/>
    <w:rsid w:val="00F347E7"/>
    <w:rsid w:val="00F348E7"/>
    <w:rsid w:val="00F348F6"/>
    <w:rsid w:val="00F34CC6"/>
    <w:rsid w:val="00F34CFD"/>
    <w:rsid w:val="00F35019"/>
    <w:rsid w:val="00F35193"/>
    <w:rsid w:val="00F353D8"/>
    <w:rsid w:val="00F3543E"/>
    <w:rsid w:val="00F3553F"/>
    <w:rsid w:val="00F3560E"/>
    <w:rsid w:val="00F357A3"/>
    <w:rsid w:val="00F35A06"/>
    <w:rsid w:val="00F35B1A"/>
    <w:rsid w:val="00F35BC7"/>
    <w:rsid w:val="00F35E35"/>
    <w:rsid w:val="00F3604B"/>
    <w:rsid w:val="00F3616D"/>
    <w:rsid w:val="00F36432"/>
    <w:rsid w:val="00F36891"/>
    <w:rsid w:val="00F36E74"/>
    <w:rsid w:val="00F37146"/>
    <w:rsid w:val="00F371A0"/>
    <w:rsid w:val="00F371EC"/>
    <w:rsid w:val="00F372BA"/>
    <w:rsid w:val="00F375BB"/>
    <w:rsid w:val="00F37744"/>
    <w:rsid w:val="00F377B8"/>
    <w:rsid w:val="00F377F7"/>
    <w:rsid w:val="00F3798B"/>
    <w:rsid w:val="00F379CB"/>
    <w:rsid w:val="00F37B57"/>
    <w:rsid w:val="00F37BA9"/>
    <w:rsid w:val="00F37DB8"/>
    <w:rsid w:val="00F37E56"/>
    <w:rsid w:val="00F404AF"/>
    <w:rsid w:val="00F40568"/>
    <w:rsid w:val="00F407C2"/>
    <w:rsid w:val="00F408AA"/>
    <w:rsid w:val="00F408D8"/>
    <w:rsid w:val="00F4098A"/>
    <w:rsid w:val="00F409DF"/>
    <w:rsid w:val="00F40B7A"/>
    <w:rsid w:val="00F40B96"/>
    <w:rsid w:val="00F40BE4"/>
    <w:rsid w:val="00F40D42"/>
    <w:rsid w:val="00F410C8"/>
    <w:rsid w:val="00F413B9"/>
    <w:rsid w:val="00F41416"/>
    <w:rsid w:val="00F4223F"/>
    <w:rsid w:val="00F4288A"/>
    <w:rsid w:val="00F429CF"/>
    <w:rsid w:val="00F42A36"/>
    <w:rsid w:val="00F42EEE"/>
    <w:rsid w:val="00F431A5"/>
    <w:rsid w:val="00F43398"/>
    <w:rsid w:val="00F4354F"/>
    <w:rsid w:val="00F43B72"/>
    <w:rsid w:val="00F43C90"/>
    <w:rsid w:val="00F43C99"/>
    <w:rsid w:val="00F43F92"/>
    <w:rsid w:val="00F441A4"/>
    <w:rsid w:val="00F442DB"/>
    <w:rsid w:val="00F44377"/>
    <w:rsid w:val="00F44412"/>
    <w:rsid w:val="00F44C03"/>
    <w:rsid w:val="00F44C36"/>
    <w:rsid w:val="00F44C5E"/>
    <w:rsid w:val="00F44D57"/>
    <w:rsid w:val="00F452E6"/>
    <w:rsid w:val="00F453FA"/>
    <w:rsid w:val="00F455DA"/>
    <w:rsid w:val="00F45779"/>
    <w:rsid w:val="00F458EA"/>
    <w:rsid w:val="00F45B7E"/>
    <w:rsid w:val="00F45C3B"/>
    <w:rsid w:val="00F45E6F"/>
    <w:rsid w:val="00F46004"/>
    <w:rsid w:val="00F46168"/>
    <w:rsid w:val="00F461C9"/>
    <w:rsid w:val="00F463A1"/>
    <w:rsid w:val="00F46435"/>
    <w:rsid w:val="00F4651A"/>
    <w:rsid w:val="00F46588"/>
    <w:rsid w:val="00F466E3"/>
    <w:rsid w:val="00F46755"/>
    <w:rsid w:val="00F46A65"/>
    <w:rsid w:val="00F46B64"/>
    <w:rsid w:val="00F46BE9"/>
    <w:rsid w:val="00F46FA9"/>
    <w:rsid w:val="00F4704A"/>
    <w:rsid w:val="00F47057"/>
    <w:rsid w:val="00F4728C"/>
    <w:rsid w:val="00F4744E"/>
    <w:rsid w:val="00F476E6"/>
    <w:rsid w:val="00F47739"/>
    <w:rsid w:val="00F47877"/>
    <w:rsid w:val="00F478F5"/>
    <w:rsid w:val="00F47B4A"/>
    <w:rsid w:val="00F5007C"/>
    <w:rsid w:val="00F500A6"/>
    <w:rsid w:val="00F50108"/>
    <w:rsid w:val="00F50494"/>
    <w:rsid w:val="00F50727"/>
    <w:rsid w:val="00F50786"/>
    <w:rsid w:val="00F50AC7"/>
    <w:rsid w:val="00F50B33"/>
    <w:rsid w:val="00F50CAD"/>
    <w:rsid w:val="00F50E5F"/>
    <w:rsid w:val="00F510CD"/>
    <w:rsid w:val="00F510DC"/>
    <w:rsid w:val="00F51220"/>
    <w:rsid w:val="00F5127E"/>
    <w:rsid w:val="00F5130A"/>
    <w:rsid w:val="00F513AE"/>
    <w:rsid w:val="00F51507"/>
    <w:rsid w:val="00F5168F"/>
    <w:rsid w:val="00F518BB"/>
    <w:rsid w:val="00F519BB"/>
    <w:rsid w:val="00F519C0"/>
    <w:rsid w:val="00F51D98"/>
    <w:rsid w:val="00F51FF3"/>
    <w:rsid w:val="00F5200F"/>
    <w:rsid w:val="00F5209D"/>
    <w:rsid w:val="00F52BC0"/>
    <w:rsid w:val="00F52E51"/>
    <w:rsid w:val="00F53215"/>
    <w:rsid w:val="00F53235"/>
    <w:rsid w:val="00F5364C"/>
    <w:rsid w:val="00F5379C"/>
    <w:rsid w:val="00F53885"/>
    <w:rsid w:val="00F53A43"/>
    <w:rsid w:val="00F53B07"/>
    <w:rsid w:val="00F53BC5"/>
    <w:rsid w:val="00F53D43"/>
    <w:rsid w:val="00F53D54"/>
    <w:rsid w:val="00F53DF8"/>
    <w:rsid w:val="00F53F32"/>
    <w:rsid w:val="00F5421F"/>
    <w:rsid w:val="00F54288"/>
    <w:rsid w:val="00F5444F"/>
    <w:rsid w:val="00F545FF"/>
    <w:rsid w:val="00F54A8D"/>
    <w:rsid w:val="00F54DD7"/>
    <w:rsid w:val="00F54E94"/>
    <w:rsid w:val="00F55374"/>
    <w:rsid w:val="00F55385"/>
    <w:rsid w:val="00F555AB"/>
    <w:rsid w:val="00F55731"/>
    <w:rsid w:val="00F5596F"/>
    <w:rsid w:val="00F55B6E"/>
    <w:rsid w:val="00F55C63"/>
    <w:rsid w:val="00F55CF3"/>
    <w:rsid w:val="00F55EAB"/>
    <w:rsid w:val="00F560F0"/>
    <w:rsid w:val="00F563ED"/>
    <w:rsid w:val="00F56453"/>
    <w:rsid w:val="00F56496"/>
    <w:rsid w:val="00F564C5"/>
    <w:rsid w:val="00F5653F"/>
    <w:rsid w:val="00F5694F"/>
    <w:rsid w:val="00F56A4D"/>
    <w:rsid w:val="00F56B98"/>
    <w:rsid w:val="00F56BDA"/>
    <w:rsid w:val="00F56C6F"/>
    <w:rsid w:val="00F56CF5"/>
    <w:rsid w:val="00F56DE5"/>
    <w:rsid w:val="00F570AD"/>
    <w:rsid w:val="00F5711E"/>
    <w:rsid w:val="00F5712B"/>
    <w:rsid w:val="00F57375"/>
    <w:rsid w:val="00F575A0"/>
    <w:rsid w:val="00F57631"/>
    <w:rsid w:val="00F576EF"/>
    <w:rsid w:val="00F577DD"/>
    <w:rsid w:val="00F577F4"/>
    <w:rsid w:val="00F5794C"/>
    <w:rsid w:val="00F57B6F"/>
    <w:rsid w:val="00F57D5F"/>
    <w:rsid w:val="00F57EE0"/>
    <w:rsid w:val="00F57F12"/>
    <w:rsid w:val="00F601F3"/>
    <w:rsid w:val="00F60244"/>
    <w:rsid w:val="00F60312"/>
    <w:rsid w:val="00F60433"/>
    <w:rsid w:val="00F60506"/>
    <w:rsid w:val="00F6059A"/>
    <w:rsid w:val="00F60647"/>
    <w:rsid w:val="00F6068B"/>
    <w:rsid w:val="00F60690"/>
    <w:rsid w:val="00F606CC"/>
    <w:rsid w:val="00F606D5"/>
    <w:rsid w:val="00F60895"/>
    <w:rsid w:val="00F60950"/>
    <w:rsid w:val="00F60B9D"/>
    <w:rsid w:val="00F60BE0"/>
    <w:rsid w:val="00F60CBD"/>
    <w:rsid w:val="00F60D39"/>
    <w:rsid w:val="00F60F2A"/>
    <w:rsid w:val="00F60F58"/>
    <w:rsid w:val="00F6149D"/>
    <w:rsid w:val="00F614DA"/>
    <w:rsid w:val="00F6168C"/>
    <w:rsid w:val="00F61A20"/>
    <w:rsid w:val="00F61A97"/>
    <w:rsid w:val="00F61B1E"/>
    <w:rsid w:val="00F61C01"/>
    <w:rsid w:val="00F61DEA"/>
    <w:rsid w:val="00F61DFF"/>
    <w:rsid w:val="00F61EA3"/>
    <w:rsid w:val="00F61F55"/>
    <w:rsid w:val="00F622B0"/>
    <w:rsid w:val="00F62316"/>
    <w:rsid w:val="00F6233A"/>
    <w:rsid w:val="00F62476"/>
    <w:rsid w:val="00F628E4"/>
    <w:rsid w:val="00F62ACF"/>
    <w:rsid w:val="00F62B93"/>
    <w:rsid w:val="00F62C28"/>
    <w:rsid w:val="00F62D32"/>
    <w:rsid w:val="00F62FEC"/>
    <w:rsid w:val="00F63108"/>
    <w:rsid w:val="00F63170"/>
    <w:rsid w:val="00F63203"/>
    <w:rsid w:val="00F63439"/>
    <w:rsid w:val="00F6348F"/>
    <w:rsid w:val="00F63606"/>
    <w:rsid w:val="00F63709"/>
    <w:rsid w:val="00F6389E"/>
    <w:rsid w:val="00F639FA"/>
    <w:rsid w:val="00F63A61"/>
    <w:rsid w:val="00F63A70"/>
    <w:rsid w:val="00F63B29"/>
    <w:rsid w:val="00F63DFA"/>
    <w:rsid w:val="00F63E07"/>
    <w:rsid w:val="00F63F36"/>
    <w:rsid w:val="00F63F44"/>
    <w:rsid w:val="00F6440E"/>
    <w:rsid w:val="00F64432"/>
    <w:rsid w:val="00F646A9"/>
    <w:rsid w:val="00F64A55"/>
    <w:rsid w:val="00F64AC6"/>
    <w:rsid w:val="00F64D57"/>
    <w:rsid w:val="00F64E1B"/>
    <w:rsid w:val="00F650B4"/>
    <w:rsid w:val="00F6515B"/>
    <w:rsid w:val="00F651F0"/>
    <w:rsid w:val="00F653BD"/>
    <w:rsid w:val="00F65608"/>
    <w:rsid w:val="00F6578F"/>
    <w:rsid w:val="00F65973"/>
    <w:rsid w:val="00F65CB0"/>
    <w:rsid w:val="00F65D65"/>
    <w:rsid w:val="00F65EC7"/>
    <w:rsid w:val="00F6600B"/>
    <w:rsid w:val="00F6606A"/>
    <w:rsid w:val="00F66220"/>
    <w:rsid w:val="00F663FF"/>
    <w:rsid w:val="00F66454"/>
    <w:rsid w:val="00F665AC"/>
    <w:rsid w:val="00F66764"/>
    <w:rsid w:val="00F667E5"/>
    <w:rsid w:val="00F668C3"/>
    <w:rsid w:val="00F6692E"/>
    <w:rsid w:val="00F66F8D"/>
    <w:rsid w:val="00F6729A"/>
    <w:rsid w:val="00F673B3"/>
    <w:rsid w:val="00F6745C"/>
    <w:rsid w:val="00F67930"/>
    <w:rsid w:val="00F67AE8"/>
    <w:rsid w:val="00F67CF0"/>
    <w:rsid w:val="00F702DD"/>
    <w:rsid w:val="00F70340"/>
    <w:rsid w:val="00F705EB"/>
    <w:rsid w:val="00F7061D"/>
    <w:rsid w:val="00F7089C"/>
    <w:rsid w:val="00F709D2"/>
    <w:rsid w:val="00F70A01"/>
    <w:rsid w:val="00F70B79"/>
    <w:rsid w:val="00F70DB5"/>
    <w:rsid w:val="00F70FBE"/>
    <w:rsid w:val="00F71338"/>
    <w:rsid w:val="00F7151C"/>
    <w:rsid w:val="00F71731"/>
    <w:rsid w:val="00F71863"/>
    <w:rsid w:val="00F71951"/>
    <w:rsid w:val="00F71B8C"/>
    <w:rsid w:val="00F71B9A"/>
    <w:rsid w:val="00F71E04"/>
    <w:rsid w:val="00F72214"/>
    <w:rsid w:val="00F72452"/>
    <w:rsid w:val="00F72469"/>
    <w:rsid w:val="00F724F9"/>
    <w:rsid w:val="00F72DB0"/>
    <w:rsid w:val="00F72DD9"/>
    <w:rsid w:val="00F72EFB"/>
    <w:rsid w:val="00F7338B"/>
    <w:rsid w:val="00F733F5"/>
    <w:rsid w:val="00F736BC"/>
    <w:rsid w:val="00F7394E"/>
    <w:rsid w:val="00F739D4"/>
    <w:rsid w:val="00F73BC8"/>
    <w:rsid w:val="00F73FD9"/>
    <w:rsid w:val="00F7415B"/>
    <w:rsid w:val="00F74424"/>
    <w:rsid w:val="00F745F0"/>
    <w:rsid w:val="00F7462E"/>
    <w:rsid w:val="00F7466B"/>
    <w:rsid w:val="00F74724"/>
    <w:rsid w:val="00F74A01"/>
    <w:rsid w:val="00F74C9F"/>
    <w:rsid w:val="00F74CC5"/>
    <w:rsid w:val="00F74DC9"/>
    <w:rsid w:val="00F74F54"/>
    <w:rsid w:val="00F750F2"/>
    <w:rsid w:val="00F751E1"/>
    <w:rsid w:val="00F75247"/>
    <w:rsid w:val="00F753B9"/>
    <w:rsid w:val="00F7543C"/>
    <w:rsid w:val="00F75489"/>
    <w:rsid w:val="00F757A2"/>
    <w:rsid w:val="00F7583D"/>
    <w:rsid w:val="00F75B77"/>
    <w:rsid w:val="00F75C0D"/>
    <w:rsid w:val="00F75DAD"/>
    <w:rsid w:val="00F75E1E"/>
    <w:rsid w:val="00F75EF2"/>
    <w:rsid w:val="00F761F4"/>
    <w:rsid w:val="00F7639C"/>
    <w:rsid w:val="00F76402"/>
    <w:rsid w:val="00F7649D"/>
    <w:rsid w:val="00F764AE"/>
    <w:rsid w:val="00F764F9"/>
    <w:rsid w:val="00F768D9"/>
    <w:rsid w:val="00F76996"/>
    <w:rsid w:val="00F76AA3"/>
    <w:rsid w:val="00F76E41"/>
    <w:rsid w:val="00F76E46"/>
    <w:rsid w:val="00F76E67"/>
    <w:rsid w:val="00F7710C"/>
    <w:rsid w:val="00F77136"/>
    <w:rsid w:val="00F77159"/>
    <w:rsid w:val="00F77186"/>
    <w:rsid w:val="00F772FB"/>
    <w:rsid w:val="00F77448"/>
    <w:rsid w:val="00F774CB"/>
    <w:rsid w:val="00F774D8"/>
    <w:rsid w:val="00F77550"/>
    <w:rsid w:val="00F776C2"/>
    <w:rsid w:val="00F7783F"/>
    <w:rsid w:val="00F7784A"/>
    <w:rsid w:val="00F7789B"/>
    <w:rsid w:val="00F77915"/>
    <w:rsid w:val="00F77D2B"/>
    <w:rsid w:val="00F77EC3"/>
    <w:rsid w:val="00F77EE6"/>
    <w:rsid w:val="00F80026"/>
    <w:rsid w:val="00F80039"/>
    <w:rsid w:val="00F800E6"/>
    <w:rsid w:val="00F802D2"/>
    <w:rsid w:val="00F8055B"/>
    <w:rsid w:val="00F80607"/>
    <w:rsid w:val="00F80838"/>
    <w:rsid w:val="00F808B1"/>
    <w:rsid w:val="00F8090A"/>
    <w:rsid w:val="00F80A2B"/>
    <w:rsid w:val="00F80A80"/>
    <w:rsid w:val="00F80F90"/>
    <w:rsid w:val="00F80FA9"/>
    <w:rsid w:val="00F81157"/>
    <w:rsid w:val="00F8121E"/>
    <w:rsid w:val="00F81288"/>
    <w:rsid w:val="00F815BF"/>
    <w:rsid w:val="00F8170A"/>
    <w:rsid w:val="00F81894"/>
    <w:rsid w:val="00F8195E"/>
    <w:rsid w:val="00F81C7C"/>
    <w:rsid w:val="00F81D91"/>
    <w:rsid w:val="00F81F87"/>
    <w:rsid w:val="00F8200D"/>
    <w:rsid w:val="00F8225E"/>
    <w:rsid w:val="00F8240F"/>
    <w:rsid w:val="00F82531"/>
    <w:rsid w:val="00F82541"/>
    <w:rsid w:val="00F82565"/>
    <w:rsid w:val="00F8267C"/>
    <w:rsid w:val="00F827C5"/>
    <w:rsid w:val="00F82848"/>
    <w:rsid w:val="00F82B06"/>
    <w:rsid w:val="00F82B08"/>
    <w:rsid w:val="00F82B8C"/>
    <w:rsid w:val="00F82E17"/>
    <w:rsid w:val="00F82F26"/>
    <w:rsid w:val="00F8320E"/>
    <w:rsid w:val="00F83306"/>
    <w:rsid w:val="00F833EA"/>
    <w:rsid w:val="00F833FB"/>
    <w:rsid w:val="00F83496"/>
    <w:rsid w:val="00F8352F"/>
    <w:rsid w:val="00F835B0"/>
    <w:rsid w:val="00F835C3"/>
    <w:rsid w:val="00F8387E"/>
    <w:rsid w:val="00F83888"/>
    <w:rsid w:val="00F8397F"/>
    <w:rsid w:val="00F83E38"/>
    <w:rsid w:val="00F840E6"/>
    <w:rsid w:val="00F84579"/>
    <w:rsid w:val="00F84620"/>
    <w:rsid w:val="00F84679"/>
    <w:rsid w:val="00F846A0"/>
    <w:rsid w:val="00F847E7"/>
    <w:rsid w:val="00F8480A"/>
    <w:rsid w:val="00F8491F"/>
    <w:rsid w:val="00F84A88"/>
    <w:rsid w:val="00F84B7D"/>
    <w:rsid w:val="00F84BA9"/>
    <w:rsid w:val="00F84BFC"/>
    <w:rsid w:val="00F84C46"/>
    <w:rsid w:val="00F84F31"/>
    <w:rsid w:val="00F853FB"/>
    <w:rsid w:val="00F85586"/>
    <w:rsid w:val="00F857FF"/>
    <w:rsid w:val="00F85812"/>
    <w:rsid w:val="00F85842"/>
    <w:rsid w:val="00F85857"/>
    <w:rsid w:val="00F85C6B"/>
    <w:rsid w:val="00F85D6D"/>
    <w:rsid w:val="00F85E17"/>
    <w:rsid w:val="00F85E44"/>
    <w:rsid w:val="00F85E67"/>
    <w:rsid w:val="00F86701"/>
    <w:rsid w:val="00F86741"/>
    <w:rsid w:val="00F8675B"/>
    <w:rsid w:val="00F86A48"/>
    <w:rsid w:val="00F86B2B"/>
    <w:rsid w:val="00F86DAC"/>
    <w:rsid w:val="00F86F83"/>
    <w:rsid w:val="00F86FD1"/>
    <w:rsid w:val="00F87133"/>
    <w:rsid w:val="00F87173"/>
    <w:rsid w:val="00F876B0"/>
    <w:rsid w:val="00F879CE"/>
    <w:rsid w:val="00F879D9"/>
    <w:rsid w:val="00F87A3D"/>
    <w:rsid w:val="00F87BB8"/>
    <w:rsid w:val="00F90589"/>
    <w:rsid w:val="00F9062F"/>
    <w:rsid w:val="00F907DF"/>
    <w:rsid w:val="00F90860"/>
    <w:rsid w:val="00F90862"/>
    <w:rsid w:val="00F908DE"/>
    <w:rsid w:val="00F909F1"/>
    <w:rsid w:val="00F90C0A"/>
    <w:rsid w:val="00F90CBC"/>
    <w:rsid w:val="00F90FFF"/>
    <w:rsid w:val="00F91215"/>
    <w:rsid w:val="00F915C0"/>
    <w:rsid w:val="00F916F4"/>
    <w:rsid w:val="00F91860"/>
    <w:rsid w:val="00F9187B"/>
    <w:rsid w:val="00F91894"/>
    <w:rsid w:val="00F91955"/>
    <w:rsid w:val="00F919D3"/>
    <w:rsid w:val="00F91A01"/>
    <w:rsid w:val="00F91BBE"/>
    <w:rsid w:val="00F9215C"/>
    <w:rsid w:val="00F9229E"/>
    <w:rsid w:val="00F9250D"/>
    <w:rsid w:val="00F926D7"/>
    <w:rsid w:val="00F927B2"/>
    <w:rsid w:val="00F92A47"/>
    <w:rsid w:val="00F92B58"/>
    <w:rsid w:val="00F92BC2"/>
    <w:rsid w:val="00F92BD7"/>
    <w:rsid w:val="00F92FB7"/>
    <w:rsid w:val="00F932E7"/>
    <w:rsid w:val="00F93310"/>
    <w:rsid w:val="00F93408"/>
    <w:rsid w:val="00F9369D"/>
    <w:rsid w:val="00F93761"/>
    <w:rsid w:val="00F93774"/>
    <w:rsid w:val="00F93803"/>
    <w:rsid w:val="00F9392C"/>
    <w:rsid w:val="00F93C78"/>
    <w:rsid w:val="00F93E56"/>
    <w:rsid w:val="00F943D5"/>
    <w:rsid w:val="00F9478E"/>
    <w:rsid w:val="00F94B96"/>
    <w:rsid w:val="00F94DC0"/>
    <w:rsid w:val="00F94F0A"/>
    <w:rsid w:val="00F9505E"/>
    <w:rsid w:val="00F95140"/>
    <w:rsid w:val="00F9524E"/>
    <w:rsid w:val="00F9564E"/>
    <w:rsid w:val="00F9589D"/>
    <w:rsid w:val="00F958EC"/>
    <w:rsid w:val="00F959EE"/>
    <w:rsid w:val="00F95B3E"/>
    <w:rsid w:val="00F95DA8"/>
    <w:rsid w:val="00F96005"/>
    <w:rsid w:val="00F96015"/>
    <w:rsid w:val="00F960F4"/>
    <w:rsid w:val="00F96436"/>
    <w:rsid w:val="00F96441"/>
    <w:rsid w:val="00F96711"/>
    <w:rsid w:val="00F96749"/>
    <w:rsid w:val="00F967B1"/>
    <w:rsid w:val="00F9688E"/>
    <w:rsid w:val="00F96A93"/>
    <w:rsid w:val="00F96BF4"/>
    <w:rsid w:val="00F96D58"/>
    <w:rsid w:val="00F96E4A"/>
    <w:rsid w:val="00F97166"/>
    <w:rsid w:val="00F971A5"/>
    <w:rsid w:val="00F975CD"/>
    <w:rsid w:val="00F97810"/>
    <w:rsid w:val="00F979D5"/>
    <w:rsid w:val="00F97A8C"/>
    <w:rsid w:val="00F97BA4"/>
    <w:rsid w:val="00F97F58"/>
    <w:rsid w:val="00FA005A"/>
    <w:rsid w:val="00FA027A"/>
    <w:rsid w:val="00FA0499"/>
    <w:rsid w:val="00FA07D9"/>
    <w:rsid w:val="00FA09C6"/>
    <w:rsid w:val="00FA09DC"/>
    <w:rsid w:val="00FA0A74"/>
    <w:rsid w:val="00FA0C4A"/>
    <w:rsid w:val="00FA0EC8"/>
    <w:rsid w:val="00FA0ED4"/>
    <w:rsid w:val="00FA11B8"/>
    <w:rsid w:val="00FA18D8"/>
    <w:rsid w:val="00FA1912"/>
    <w:rsid w:val="00FA1A74"/>
    <w:rsid w:val="00FA1BB9"/>
    <w:rsid w:val="00FA1E37"/>
    <w:rsid w:val="00FA1FCC"/>
    <w:rsid w:val="00FA21F8"/>
    <w:rsid w:val="00FA2246"/>
    <w:rsid w:val="00FA2385"/>
    <w:rsid w:val="00FA2490"/>
    <w:rsid w:val="00FA24A7"/>
    <w:rsid w:val="00FA24D7"/>
    <w:rsid w:val="00FA278C"/>
    <w:rsid w:val="00FA2D0A"/>
    <w:rsid w:val="00FA2E2E"/>
    <w:rsid w:val="00FA2E61"/>
    <w:rsid w:val="00FA2F26"/>
    <w:rsid w:val="00FA3054"/>
    <w:rsid w:val="00FA307C"/>
    <w:rsid w:val="00FA30F1"/>
    <w:rsid w:val="00FA3594"/>
    <w:rsid w:val="00FA36E4"/>
    <w:rsid w:val="00FA37E3"/>
    <w:rsid w:val="00FA3A85"/>
    <w:rsid w:val="00FA3C55"/>
    <w:rsid w:val="00FA3D9E"/>
    <w:rsid w:val="00FA3EA3"/>
    <w:rsid w:val="00FA3FD2"/>
    <w:rsid w:val="00FA4077"/>
    <w:rsid w:val="00FA40F6"/>
    <w:rsid w:val="00FA42EC"/>
    <w:rsid w:val="00FA4409"/>
    <w:rsid w:val="00FA4436"/>
    <w:rsid w:val="00FA49F4"/>
    <w:rsid w:val="00FA4B2D"/>
    <w:rsid w:val="00FA4E1D"/>
    <w:rsid w:val="00FA4ED3"/>
    <w:rsid w:val="00FA5175"/>
    <w:rsid w:val="00FA5536"/>
    <w:rsid w:val="00FA557C"/>
    <w:rsid w:val="00FA570B"/>
    <w:rsid w:val="00FA5790"/>
    <w:rsid w:val="00FA57CE"/>
    <w:rsid w:val="00FA5BA2"/>
    <w:rsid w:val="00FA5BD1"/>
    <w:rsid w:val="00FA5DCD"/>
    <w:rsid w:val="00FA61B5"/>
    <w:rsid w:val="00FA61F8"/>
    <w:rsid w:val="00FA6271"/>
    <w:rsid w:val="00FA6956"/>
    <w:rsid w:val="00FA6A4D"/>
    <w:rsid w:val="00FA6B52"/>
    <w:rsid w:val="00FA6B7D"/>
    <w:rsid w:val="00FA6C5D"/>
    <w:rsid w:val="00FA6CF2"/>
    <w:rsid w:val="00FA6D33"/>
    <w:rsid w:val="00FA6E9F"/>
    <w:rsid w:val="00FA6F9D"/>
    <w:rsid w:val="00FA7164"/>
    <w:rsid w:val="00FA7680"/>
    <w:rsid w:val="00FA78E4"/>
    <w:rsid w:val="00FA7980"/>
    <w:rsid w:val="00FA7B43"/>
    <w:rsid w:val="00FA7D80"/>
    <w:rsid w:val="00FB03E5"/>
    <w:rsid w:val="00FB04B6"/>
    <w:rsid w:val="00FB04CA"/>
    <w:rsid w:val="00FB055F"/>
    <w:rsid w:val="00FB0626"/>
    <w:rsid w:val="00FB0846"/>
    <w:rsid w:val="00FB0A3C"/>
    <w:rsid w:val="00FB0B4E"/>
    <w:rsid w:val="00FB0D35"/>
    <w:rsid w:val="00FB0DA0"/>
    <w:rsid w:val="00FB1012"/>
    <w:rsid w:val="00FB135B"/>
    <w:rsid w:val="00FB1595"/>
    <w:rsid w:val="00FB17C8"/>
    <w:rsid w:val="00FB18A8"/>
    <w:rsid w:val="00FB19BC"/>
    <w:rsid w:val="00FB1CCC"/>
    <w:rsid w:val="00FB1F81"/>
    <w:rsid w:val="00FB2335"/>
    <w:rsid w:val="00FB24EB"/>
    <w:rsid w:val="00FB25DA"/>
    <w:rsid w:val="00FB2605"/>
    <w:rsid w:val="00FB26E9"/>
    <w:rsid w:val="00FB27B2"/>
    <w:rsid w:val="00FB27CC"/>
    <w:rsid w:val="00FB27F2"/>
    <w:rsid w:val="00FB2881"/>
    <w:rsid w:val="00FB2908"/>
    <w:rsid w:val="00FB2B75"/>
    <w:rsid w:val="00FB2E95"/>
    <w:rsid w:val="00FB3122"/>
    <w:rsid w:val="00FB33B8"/>
    <w:rsid w:val="00FB33CB"/>
    <w:rsid w:val="00FB35B0"/>
    <w:rsid w:val="00FB3A75"/>
    <w:rsid w:val="00FB3C88"/>
    <w:rsid w:val="00FB3E8E"/>
    <w:rsid w:val="00FB3EC1"/>
    <w:rsid w:val="00FB40A7"/>
    <w:rsid w:val="00FB41A9"/>
    <w:rsid w:val="00FB41E6"/>
    <w:rsid w:val="00FB4216"/>
    <w:rsid w:val="00FB43CF"/>
    <w:rsid w:val="00FB4416"/>
    <w:rsid w:val="00FB45A0"/>
    <w:rsid w:val="00FB46EF"/>
    <w:rsid w:val="00FB47B6"/>
    <w:rsid w:val="00FB484B"/>
    <w:rsid w:val="00FB4D3A"/>
    <w:rsid w:val="00FB4DCA"/>
    <w:rsid w:val="00FB4DDD"/>
    <w:rsid w:val="00FB5024"/>
    <w:rsid w:val="00FB51AF"/>
    <w:rsid w:val="00FB57AE"/>
    <w:rsid w:val="00FB57D2"/>
    <w:rsid w:val="00FB58E0"/>
    <w:rsid w:val="00FB5946"/>
    <w:rsid w:val="00FB5A17"/>
    <w:rsid w:val="00FB5B9E"/>
    <w:rsid w:val="00FB6076"/>
    <w:rsid w:val="00FB6083"/>
    <w:rsid w:val="00FB612D"/>
    <w:rsid w:val="00FB6293"/>
    <w:rsid w:val="00FB6301"/>
    <w:rsid w:val="00FB6364"/>
    <w:rsid w:val="00FB64E4"/>
    <w:rsid w:val="00FB6670"/>
    <w:rsid w:val="00FB6987"/>
    <w:rsid w:val="00FB6A77"/>
    <w:rsid w:val="00FB6AAB"/>
    <w:rsid w:val="00FB6AD9"/>
    <w:rsid w:val="00FB6BCE"/>
    <w:rsid w:val="00FB6CE7"/>
    <w:rsid w:val="00FB6ED5"/>
    <w:rsid w:val="00FB6F45"/>
    <w:rsid w:val="00FB6FAD"/>
    <w:rsid w:val="00FB7176"/>
    <w:rsid w:val="00FB72A2"/>
    <w:rsid w:val="00FB7411"/>
    <w:rsid w:val="00FB74AD"/>
    <w:rsid w:val="00FB7645"/>
    <w:rsid w:val="00FB7EF4"/>
    <w:rsid w:val="00FC0161"/>
    <w:rsid w:val="00FC0293"/>
    <w:rsid w:val="00FC0529"/>
    <w:rsid w:val="00FC0621"/>
    <w:rsid w:val="00FC0641"/>
    <w:rsid w:val="00FC0739"/>
    <w:rsid w:val="00FC0B25"/>
    <w:rsid w:val="00FC0CD8"/>
    <w:rsid w:val="00FC0DC3"/>
    <w:rsid w:val="00FC0DDC"/>
    <w:rsid w:val="00FC0FCD"/>
    <w:rsid w:val="00FC1172"/>
    <w:rsid w:val="00FC129D"/>
    <w:rsid w:val="00FC1320"/>
    <w:rsid w:val="00FC176D"/>
    <w:rsid w:val="00FC1776"/>
    <w:rsid w:val="00FC1795"/>
    <w:rsid w:val="00FC17A5"/>
    <w:rsid w:val="00FC18E2"/>
    <w:rsid w:val="00FC1970"/>
    <w:rsid w:val="00FC1991"/>
    <w:rsid w:val="00FC19FD"/>
    <w:rsid w:val="00FC1E6F"/>
    <w:rsid w:val="00FC2281"/>
    <w:rsid w:val="00FC2379"/>
    <w:rsid w:val="00FC266B"/>
    <w:rsid w:val="00FC2782"/>
    <w:rsid w:val="00FC27BF"/>
    <w:rsid w:val="00FC2BE8"/>
    <w:rsid w:val="00FC2C58"/>
    <w:rsid w:val="00FC2DD6"/>
    <w:rsid w:val="00FC2DF2"/>
    <w:rsid w:val="00FC2F1D"/>
    <w:rsid w:val="00FC3004"/>
    <w:rsid w:val="00FC30BD"/>
    <w:rsid w:val="00FC3207"/>
    <w:rsid w:val="00FC335C"/>
    <w:rsid w:val="00FC33CF"/>
    <w:rsid w:val="00FC3756"/>
    <w:rsid w:val="00FC3856"/>
    <w:rsid w:val="00FC3AD3"/>
    <w:rsid w:val="00FC3B0F"/>
    <w:rsid w:val="00FC3DA6"/>
    <w:rsid w:val="00FC3DA7"/>
    <w:rsid w:val="00FC3E2D"/>
    <w:rsid w:val="00FC3E9A"/>
    <w:rsid w:val="00FC3F43"/>
    <w:rsid w:val="00FC3F6F"/>
    <w:rsid w:val="00FC3FEE"/>
    <w:rsid w:val="00FC4596"/>
    <w:rsid w:val="00FC4788"/>
    <w:rsid w:val="00FC47A6"/>
    <w:rsid w:val="00FC47A8"/>
    <w:rsid w:val="00FC48BE"/>
    <w:rsid w:val="00FC49CE"/>
    <w:rsid w:val="00FC4AEA"/>
    <w:rsid w:val="00FC4B59"/>
    <w:rsid w:val="00FC4B72"/>
    <w:rsid w:val="00FC4B86"/>
    <w:rsid w:val="00FC4CE9"/>
    <w:rsid w:val="00FC4F59"/>
    <w:rsid w:val="00FC5078"/>
    <w:rsid w:val="00FC508C"/>
    <w:rsid w:val="00FC50E6"/>
    <w:rsid w:val="00FC51DB"/>
    <w:rsid w:val="00FC5360"/>
    <w:rsid w:val="00FC53AF"/>
    <w:rsid w:val="00FC5670"/>
    <w:rsid w:val="00FC57EF"/>
    <w:rsid w:val="00FC59C8"/>
    <w:rsid w:val="00FC5A98"/>
    <w:rsid w:val="00FC5ADD"/>
    <w:rsid w:val="00FC5B22"/>
    <w:rsid w:val="00FC5F0E"/>
    <w:rsid w:val="00FC6406"/>
    <w:rsid w:val="00FC640B"/>
    <w:rsid w:val="00FC6612"/>
    <w:rsid w:val="00FC6798"/>
    <w:rsid w:val="00FC694C"/>
    <w:rsid w:val="00FC6F2E"/>
    <w:rsid w:val="00FC6FD9"/>
    <w:rsid w:val="00FC730F"/>
    <w:rsid w:val="00FC7455"/>
    <w:rsid w:val="00FC7A1D"/>
    <w:rsid w:val="00FC7D52"/>
    <w:rsid w:val="00FC7F1D"/>
    <w:rsid w:val="00FD00D5"/>
    <w:rsid w:val="00FD04AF"/>
    <w:rsid w:val="00FD060D"/>
    <w:rsid w:val="00FD0D42"/>
    <w:rsid w:val="00FD0E84"/>
    <w:rsid w:val="00FD0EB3"/>
    <w:rsid w:val="00FD0FBD"/>
    <w:rsid w:val="00FD10D4"/>
    <w:rsid w:val="00FD1329"/>
    <w:rsid w:val="00FD156F"/>
    <w:rsid w:val="00FD1647"/>
    <w:rsid w:val="00FD18F2"/>
    <w:rsid w:val="00FD1927"/>
    <w:rsid w:val="00FD19B7"/>
    <w:rsid w:val="00FD1B56"/>
    <w:rsid w:val="00FD1F26"/>
    <w:rsid w:val="00FD1F8A"/>
    <w:rsid w:val="00FD2102"/>
    <w:rsid w:val="00FD21FF"/>
    <w:rsid w:val="00FD2960"/>
    <w:rsid w:val="00FD2CC4"/>
    <w:rsid w:val="00FD2E6F"/>
    <w:rsid w:val="00FD2F5C"/>
    <w:rsid w:val="00FD30BA"/>
    <w:rsid w:val="00FD362E"/>
    <w:rsid w:val="00FD372B"/>
    <w:rsid w:val="00FD3BDC"/>
    <w:rsid w:val="00FD3C53"/>
    <w:rsid w:val="00FD3CDC"/>
    <w:rsid w:val="00FD3F8C"/>
    <w:rsid w:val="00FD42F1"/>
    <w:rsid w:val="00FD4454"/>
    <w:rsid w:val="00FD44E8"/>
    <w:rsid w:val="00FD4603"/>
    <w:rsid w:val="00FD479E"/>
    <w:rsid w:val="00FD47BA"/>
    <w:rsid w:val="00FD47C4"/>
    <w:rsid w:val="00FD488C"/>
    <w:rsid w:val="00FD48AF"/>
    <w:rsid w:val="00FD499E"/>
    <w:rsid w:val="00FD4D90"/>
    <w:rsid w:val="00FD4E2E"/>
    <w:rsid w:val="00FD5135"/>
    <w:rsid w:val="00FD51BB"/>
    <w:rsid w:val="00FD52DF"/>
    <w:rsid w:val="00FD54E4"/>
    <w:rsid w:val="00FD595F"/>
    <w:rsid w:val="00FD5B19"/>
    <w:rsid w:val="00FD5C3D"/>
    <w:rsid w:val="00FD5D37"/>
    <w:rsid w:val="00FD5D7A"/>
    <w:rsid w:val="00FD5DD0"/>
    <w:rsid w:val="00FD5F3A"/>
    <w:rsid w:val="00FD7053"/>
    <w:rsid w:val="00FD7108"/>
    <w:rsid w:val="00FD7139"/>
    <w:rsid w:val="00FD7282"/>
    <w:rsid w:val="00FD74B2"/>
    <w:rsid w:val="00FD762B"/>
    <w:rsid w:val="00FD768E"/>
    <w:rsid w:val="00FD7754"/>
    <w:rsid w:val="00FD7C5F"/>
    <w:rsid w:val="00FD7CBA"/>
    <w:rsid w:val="00FD7EFD"/>
    <w:rsid w:val="00FD7FB5"/>
    <w:rsid w:val="00FE0128"/>
    <w:rsid w:val="00FE0267"/>
    <w:rsid w:val="00FE02B3"/>
    <w:rsid w:val="00FE02F7"/>
    <w:rsid w:val="00FE057E"/>
    <w:rsid w:val="00FE05D2"/>
    <w:rsid w:val="00FE0620"/>
    <w:rsid w:val="00FE06D3"/>
    <w:rsid w:val="00FE0775"/>
    <w:rsid w:val="00FE0948"/>
    <w:rsid w:val="00FE0960"/>
    <w:rsid w:val="00FE0971"/>
    <w:rsid w:val="00FE09C2"/>
    <w:rsid w:val="00FE09C6"/>
    <w:rsid w:val="00FE0CB2"/>
    <w:rsid w:val="00FE1077"/>
    <w:rsid w:val="00FE1247"/>
    <w:rsid w:val="00FE13CA"/>
    <w:rsid w:val="00FE15FA"/>
    <w:rsid w:val="00FE18A7"/>
    <w:rsid w:val="00FE18F0"/>
    <w:rsid w:val="00FE1953"/>
    <w:rsid w:val="00FE1A82"/>
    <w:rsid w:val="00FE1B6B"/>
    <w:rsid w:val="00FE1CBD"/>
    <w:rsid w:val="00FE1E2B"/>
    <w:rsid w:val="00FE1E92"/>
    <w:rsid w:val="00FE1F50"/>
    <w:rsid w:val="00FE2149"/>
    <w:rsid w:val="00FE2265"/>
    <w:rsid w:val="00FE24E5"/>
    <w:rsid w:val="00FE24F4"/>
    <w:rsid w:val="00FE266A"/>
    <w:rsid w:val="00FE26AB"/>
    <w:rsid w:val="00FE27CB"/>
    <w:rsid w:val="00FE2B09"/>
    <w:rsid w:val="00FE2B0F"/>
    <w:rsid w:val="00FE2F39"/>
    <w:rsid w:val="00FE2FF8"/>
    <w:rsid w:val="00FE3453"/>
    <w:rsid w:val="00FE3514"/>
    <w:rsid w:val="00FE3661"/>
    <w:rsid w:val="00FE36BC"/>
    <w:rsid w:val="00FE3880"/>
    <w:rsid w:val="00FE3A3B"/>
    <w:rsid w:val="00FE3CBD"/>
    <w:rsid w:val="00FE3CF8"/>
    <w:rsid w:val="00FE3D2A"/>
    <w:rsid w:val="00FE3DED"/>
    <w:rsid w:val="00FE3FDC"/>
    <w:rsid w:val="00FE403B"/>
    <w:rsid w:val="00FE4450"/>
    <w:rsid w:val="00FE44CD"/>
    <w:rsid w:val="00FE45B4"/>
    <w:rsid w:val="00FE48B8"/>
    <w:rsid w:val="00FE494C"/>
    <w:rsid w:val="00FE4BDE"/>
    <w:rsid w:val="00FE4D84"/>
    <w:rsid w:val="00FE54E4"/>
    <w:rsid w:val="00FE5598"/>
    <w:rsid w:val="00FE597A"/>
    <w:rsid w:val="00FE5B57"/>
    <w:rsid w:val="00FE5C5D"/>
    <w:rsid w:val="00FE5D22"/>
    <w:rsid w:val="00FE5D79"/>
    <w:rsid w:val="00FE6096"/>
    <w:rsid w:val="00FE60D5"/>
    <w:rsid w:val="00FE6180"/>
    <w:rsid w:val="00FE65F8"/>
    <w:rsid w:val="00FE66DC"/>
    <w:rsid w:val="00FE67FE"/>
    <w:rsid w:val="00FE69D5"/>
    <w:rsid w:val="00FE69EE"/>
    <w:rsid w:val="00FE69FD"/>
    <w:rsid w:val="00FE6D71"/>
    <w:rsid w:val="00FE6D94"/>
    <w:rsid w:val="00FE71E5"/>
    <w:rsid w:val="00FE753B"/>
    <w:rsid w:val="00FE753E"/>
    <w:rsid w:val="00FE7689"/>
    <w:rsid w:val="00FE7A05"/>
    <w:rsid w:val="00FE7ACC"/>
    <w:rsid w:val="00FE7E0C"/>
    <w:rsid w:val="00FF004C"/>
    <w:rsid w:val="00FF0475"/>
    <w:rsid w:val="00FF05A9"/>
    <w:rsid w:val="00FF08C2"/>
    <w:rsid w:val="00FF0B4E"/>
    <w:rsid w:val="00FF0D0B"/>
    <w:rsid w:val="00FF0D4B"/>
    <w:rsid w:val="00FF0E41"/>
    <w:rsid w:val="00FF1250"/>
    <w:rsid w:val="00FF154A"/>
    <w:rsid w:val="00FF1836"/>
    <w:rsid w:val="00FF1885"/>
    <w:rsid w:val="00FF1DC9"/>
    <w:rsid w:val="00FF1EBE"/>
    <w:rsid w:val="00FF1FA3"/>
    <w:rsid w:val="00FF21DE"/>
    <w:rsid w:val="00FF2279"/>
    <w:rsid w:val="00FF2331"/>
    <w:rsid w:val="00FF24F5"/>
    <w:rsid w:val="00FF29CD"/>
    <w:rsid w:val="00FF2BE4"/>
    <w:rsid w:val="00FF2C68"/>
    <w:rsid w:val="00FF2EE8"/>
    <w:rsid w:val="00FF2F22"/>
    <w:rsid w:val="00FF306A"/>
    <w:rsid w:val="00FF3147"/>
    <w:rsid w:val="00FF37EF"/>
    <w:rsid w:val="00FF392F"/>
    <w:rsid w:val="00FF39D4"/>
    <w:rsid w:val="00FF3ABA"/>
    <w:rsid w:val="00FF3ACB"/>
    <w:rsid w:val="00FF3C29"/>
    <w:rsid w:val="00FF3C39"/>
    <w:rsid w:val="00FF3C44"/>
    <w:rsid w:val="00FF3CE8"/>
    <w:rsid w:val="00FF400D"/>
    <w:rsid w:val="00FF4065"/>
    <w:rsid w:val="00FF40A9"/>
    <w:rsid w:val="00FF40E8"/>
    <w:rsid w:val="00FF43F3"/>
    <w:rsid w:val="00FF456B"/>
    <w:rsid w:val="00FF46DF"/>
    <w:rsid w:val="00FF48B7"/>
    <w:rsid w:val="00FF48E8"/>
    <w:rsid w:val="00FF496E"/>
    <w:rsid w:val="00FF4975"/>
    <w:rsid w:val="00FF49DC"/>
    <w:rsid w:val="00FF4D94"/>
    <w:rsid w:val="00FF4E25"/>
    <w:rsid w:val="00FF4F2F"/>
    <w:rsid w:val="00FF51A3"/>
    <w:rsid w:val="00FF51E4"/>
    <w:rsid w:val="00FF52D7"/>
    <w:rsid w:val="00FF550C"/>
    <w:rsid w:val="00FF5572"/>
    <w:rsid w:val="00FF5574"/>
    <w:rsid w:val="00FF5583"/>
    <w:rsid w:val="00FF5594"/>
    <w:rsid w:val="00FF5603"/>
    <w:rsid w:val="00FF586B"/>
    <w:rsid w:val="00FF5886"/>
    <w:rsid w:val="00FF5902"/>
    <w:rsid w:val="00FF5BE3"/>
    <w:rsid w:val="00FF5C86"/>
    <w:rsid w:val="00FF5D2B"/>
    <w:rsid w:val="00FF5D3B"/>
    <w:rsid w:val="00FF5D44"/>
    <w:rsid w:val="00FF5DF1"/>
    <w:rsid w:val="00FF5DFA"/>
    <w:rsid w:val="00FF5FA9"/>
    <w:rsid w:val="00FF6129"/>
    <w:rsid w:val="00FF630B"/>
    <w:rsid w:val="00FF6488"/>
    <w:rsid w:val="00FF65E2"/>
    <w:rsid w:val="00FF68A6"/>
    <w:rsid w:val="00FF6B1A"/>
    <w:rsid w:val="00FF6D40"/>
    <w:rsid w:val="00FF6E43"/>
    <w:rsid w:val="00FF6E7C"/>
    <w:rsid w:val="00FF7304"/>
    <w:rsid w:val="00FF7321"/>
    <w:rsid w:val="00FF7323"/>
    <w:rsid w:val="00FF7728"/>
    <w:rsid w:val="00FF7950"/>
    <w:rsid w:val="00FF795E"/>
    <w:rsid w:val="00FF7992"/>
    <w:rsid w:val="00FF79A0"/>
    <w:rsid w:val="00FF79AB"/>
    <w:rsid w:val="00FF7BB5"/>
    <w:rsid w:val="00FF7E82"/>
    <w:rsid w:val="0108D2EA"/>
    <w:rsid w:val="01355909"/>
    <w:rsid w:val="013E142D"/>
    <w:rsid w:val="0143C297"/>
    <w:rsid w:val="01445796"/>
    <w:rsid w:val="018C0E09"/>
    <w:rsid w:val="018F0466"/>
    <w:rsid w:val="01A786C8"/>
    <w:rsid w:val="01CB0345"/>
    <w:rsid w:val="01D397F2"/>
    <w:rsid w:val="01D42604"/>
    <w:rsid w:val="021AA29D"/>
    <w:rsid w:val="02214F24"/>
    <w:rsid w:val="02286F91"/>
    <w:rsid w:val="0237AE52"/>
    <w:rsid w:val="02809407"/>
    <w:rsid w:val="028EEFFB"/>
    <w:rsid w:val="029105E2"/>
    <w:rsid w:val="02957092"/>
    <w:rsid w:val="029AD12D"/>
    <w:rsid w:val="02B4F4A4"/>
    <w:rsid w:val="02BDCD02"/>
    <w:rsid w:val="02F9D32D"/>
    <w:rsid w:val="0326744E"/>
    <w:rsid w:val="03371E07"/>
    <w:rsid w:val="033DEFA7"/>
    <w:rsid w:val="0346F4CF"/>
    <w:rsid w:val="036F5EED"/>
    <w:rsid w:val="038603C1"/>
    <w:rsid w:val="03A5E9B9"/>
    <w:rsid w:val="03B5C3CA"/>
    <w:rsid w:val="03D42B6B"/>
    <w:rsid w:val="041A33B7"/>
    <w:rsid w:val="043482AB"/>
    <w:rsid w:val="0454CE9B"/>
    <w:rsid w:val="048508FC"/>
    <w:rsid w:val="048E1C99"/>
    <w:rsid w:val="04AE9E04"/>
    <w:rsid w:val="04E6419C"/>
    <w:rsid w:val="04E6BD0A"/>
    <w:rsid w:val="04F532F4"/>
    <w:rsid w:val="05034FA9"/>
    <w:rsid w:val="05079045"/>
    <w:rsid w:val="0520207C"/>
    <w:rsid w:val="052FA9C3"/>
    <w:rsid w:val="0531C8A8"/>
    <w:rsid w:val="0558085A"/>
    <w:rsid w:val="055EB744"/>
    <w:rsid w:val="05742018"/>
    <w:rsid w:val="05880DE2"/>
    <w:rsid w:val="05946EF2"/>
    <w:rsid w:val="059880D5"/>
    <w:rsid w:val="05A2B40C"/>
    <w:rsid w:val="05D315D7"/>
    <w:rsid w:val="05EB8C57"/>
    <w:rsid w:val="06466BF0"/>
    <w:rsid w:val="064BCAC4"/>
    <w:rsid w:val="069F7BA5"/>
    <w:rsid w:val="06BDA0A5"/>
    <w:rsid w:val="06C79AD4"/>
    <w:rsid w:val="0708C313"/>
    <w:rsid w:val="073D7383"/>
    <w:rsid w:val="075C3A1C"/>
    <w:rsid w:val="076BA66E"/>
    <w:rsid w:val="07883FDD"/>
    <w:rsid w:val="078B8C36"/>
    <w:rsid w:val="07A05622"/>
    <w:rsid w:val="07A24A86"/>
    <w:rsid w:val="07A48E96"/>
    <w:rsid w:val="07B9AC7B"/>
    <w:rsid w:val="07C1CFB1"/>
    <w:rsid w:val="07C2B439"/>
    <w:rsid w:val="07FDD729"/>
    <w:rsid w:val="080525FA"/>
    <w:rsid w:val="082124C9"/>
    <w:rsid w:val="083675D9"/>
    <w:rsid w:val="083C5A09"/>
    <w:rsid w:val="08409640"/>
    <w:rsid w:val="08666ECA"/>
    <w:rsid w:val="08891695"/>
    <w:rsid w:val="088C1AA3"/>
    <w:rsid w:val="088DC04B"/>
    <w:rsid w:val="08967FE5"/>
    <w:rsid w:val="08A46B8C"/>
    <w:rsid w:val="08EBBEC5"/>
    <w:rsid w:val="0905E357"/>
    <w:rsid w:val="0937AB4B"/>
    <w:rsid w:val="09575A08"/>
    <w:rsid w:val="096971E2"/>
    <w:rsid w:val="09B6FF30"/>
    <w:rsid w:val="09C726BD"/>
    <w:rsid w:val="09FEB636"/>
    <w:rsid w:val="0A0698CF"/>
    <w:rsid w:val="0A1A0B0A"/>
    <w:rsid w:val="0A25CD57"/>
    <w:rsid w:val="0A2B5580"/>
    <w:rsid w:val="0A3CA0C8"/>
    <w:rsid w:val="0A6F5308"/>
    <w:rsid w:val="0A7D598D"/>
    <w:rsid w:val="0A9DE7F3"/>
    <w:rsid w:val="0AF7F8C4"/>
    <w:rsid w:val="0B09C787"/>
    <w:rsid w:val="0B0BC250"/>
    <w:rsid w:val="0B2F451C"/>
    <w:rsid w:val="0B543968"/>
    <w:rsid w:val="0B659F34"/>
    <w:rsid w:val="0B75181A"/>
    <w:rsid w:val="0B779CCB"/>
    <w:rsid w:val="0B990ABB"/>
    <w:rsid w:val="0B9A60C8"/>
    <w:rsid w:val="0BA3814F"/>
    <w:rsid w:val="0BA87E3A"/>
    <w:rsid w:val="0BC25BF1"/>
    <w:rsid w:val="0BEF6227"/>
    <w:rsid w:val="0C0C319A"/>
    <w:rsid w:val="0C16F4E1"/>
    <w:rsid w:val="0C78079D"/>
    <w:rsid w:val="0C7C5519"/>
    <w:rsid w:val="0C9B4580"/>
    <w:rsid w:val="0CAFE6AD"/>
    <w:rsid w:val="0CB29716"/>
    <w:rsid w:val="0CD2148D"/>
    <w:rsid w:val="0CE57991"/>
    <w:rsid w:val="0CFDE7F4"/>
    <w:rsid w:val="0D01F98F"/>
    <w:rsid w:val="0D02B044"/>
    <w:rsid w:val="0D060567"/>
    <w:rsid w:val="0D125AC5"/>
    <w:rsid w:val="0D170F01"/>
    <w:rsid w:val="0D2F4F2C"/>
    <w:rsid w:val="0D4A9EEC"/>
    <w:rsid w:val="0D878D07"/>
    <w:rsid w:val="0D8F8833"/>
    <w:rsid w:val="0DA7026A"/>
    <w:rsid w:val="0DAFBE51"/>
    <w:rsid w:val="0DF47DF5"/>
    <w:rsid w:val="0E0D9DC8"/>
    <w:rsid w:val="0E158D18"/>
    <w:rsid w:val="0E1E9ED8"/>
    <w:rsid w:val="0E20B45B"/>
    <w:rsid w:val="0E34678A"/>
    <w:rsid w:val="0E71ED9F"/>
    <w:rsid w:val="0E97DF2B"/>
    <w:rsid w:val="0EA06679"/>
    <w:rsid w:val="0EE84799"/>
    <w:rsid w:val="0F763D4D"/>
    <w:rsid w:val="0F8A2EE5"/>
    <w:rsid w:val="0F8FB9B8"/>
    <w:rsid w:val="0F93F73B"/>
    <w:rsid w:val="0F9C35D2"/>
    <w:rsid w:val="0FA2C500"/>
    <w:rsid w:val="0FA5C3C7"/>
    <w:rsid w:val="0FD40F63"/>
    <w:rsid w:val="1002DA56"/>
    <w:rsid w:val="1010DC66"/>
    <w:rsid w:val="102F7281"/>
    <w:rsid w:val="108D32D1"/>
    <w:rsid w:val="109AFA9A"/>
    <w:rsid w:val="10A7F24F"/>
    <w:rsid w:val="10D58F2C"/>
    <w:rsid w:val="10EC2F11"/>
    <w:rsid w:val="111068FA"/>
    <w:rsid w:val="111495FD"/>
    <w:rsid w:val="111B9035"/>
    <w:rsid w:val="114FB367"/>
    <w:rsid w:val="116C2351"/>
    <w:rsid w:val="11999B88"/>
    <w:rsid w:val="11CBD2A5"/>
    <w:rsid w:val="11D1EF94"/>
    <w:rsid w:val="11D9E990"/>
    <w:rsid w:val="1200F738"/>
    <w:rsid w:val="1222AF58"/>
    <w:rsid w:val="12A3B428"/>
    <w:rsid w:val="12A42FF5"/>
    <w:rsid w:val="12B8A0D3"/>
    <w:rsid w:val="12CB1A23"/>
    <w:rsid w:val="12E173B1"/>
    <w:rsid w:val="131EA823"/>
    <w:rsid w:val="13241358"/>
    <w:rsid w:val="132BB51B"/>
    <w:rsid w:val="134FD6DA"/>
    <w:rsid w:val="1363E679"/>
    <w:rsid w:val="1364732A"/>
    <w:rsid w:val="136E9B2D"/>
    <w:rsid w:val="1375AF40"/>
    <w:rsid w:val="13C4605C"/>
    <w:rsid w:val="13DBD787"/>
    <w:rsid w:val="13EC657B"/>
    <w:rsid w:val="13EF465D"/>
    <w:rsid w:val="13EFAF7D"/>
    <w:rsid w:val="13FDE8A5"/>
    <w:rsid w:val="14012EF0"/>
    <w:rsid w:val="140A820A"/>
    <w:rsid w:val="140C1174"/>
    <w:rsid w:val="141BDB1E"/>
    <w:rsid w:val="1432D1B1"/>
    <w:rsid w:val="14AC90C7"/>
    <w:rsid w:val="14B3CD08"/>
    <w:rsid w:val="14B45A79"/>
    <w:rsid w:val="150CF331"/>
    <w:rsid w:val="155718CC"/>
    <w:rsid w:val="1571F500"/>
    <w:rsid w:val="1588CAD7"/>
    <w:rsid w:val="15E7B7FF"/>
    <w:rsid w:val="15EC8D14"/>
    <w:rsid w:val="15FA3353"/>
    <w:rsid w:val="1649907F"/>
    <w:rsid w:val="16515BD8"/>
    <w:rsid w:val="16820558"/>
    <w:rsid w:val="16C842B7"/>
    <w:rsid w:val="16D04866"/>
    <w:rsid w:val="170CDF38"/>
    <w:rsid w:val="175176D9"/>
    <w:rsid w:val="175D92CC"/>
    <w:rsid w:val="17780EC2"/>
    <w:rsid w:val="177AA59A"/>
    <w:rsid w:val="1799D47E"/>
    <w:rsid w:val="179E0C84"/>
    <w:rsid w:val="17B2DA26"/>
    <w:rsid w:val="17B970DC"/>
    <w:rsid w:val="17CCD2B6"/>
    <w:rsid w:val="17D5DE7B"/>
    <w:rsid w:val="17D9FC8C"/>
    <w:rsid w:val="17E3F566"/>
    <w:rsid w:val="17EA0515"/>
    <w:rsid w:val="17F10F21"/>
    <w:rsid w:val="184DE54D"/>
    <w:rsid w:val="1862E595"/>
    <w:rsid w:val="18811941"/>
    <w:rsid w:val="18A5DC29"/>
    <w:rsid w:val="18EC76B9"/>
    <w:rsid w:val="18F76D66"/>
    <w:rsid w:val="19036451"/>
    <w:rsid w:val="194B8CB2"/>
    <w:rsid w:val="194CE99E"/>
    <w:rsid w:val="1956E075"/>
    <w:rsid w:val="19644F6D"/>
    <w:rsid w:val="19739206"/>
    <w:rsid w:val="19829DF4"/>
    <w:rsid w:val="19868033"/>
    <w:rsid w:val="19A78D9A"/>
    <w:rsid w:val="19D4E21D"/>
    <w:rsid w:val="19F4F556"/>
    <w:rsid w:val="1A1CE3D4"/>
    <w:rsid w:val="1A3C685B"/>
    <w:rsid w:val="1A57E725"/>
    <w:rsid w:val="1A6437C4"/>
    <w:rsid w:val="1A92BA0F"/>
    <w:rsid w:val="1AB2E0FF"/>
    <w:rsid w:val="1AC0AD46"/>
    <w:rsid w:val="1AC74F9B"/>
    <w:rsid w:val="1B2D01F6"/>
    <w:rsid w:val="1B52AB56"/>
    <w:rsid w:val="1B886EB3"/>
    <w:rsid w:val="1BD67FD5"/>
    <w:rsid w:val="1C0BD692"/>
    <w:rsid w:val="1C43BE8B"/>
    <w:rsid w:val="1C603FF2"/>
    <w:rsid w:val="1C8CF150"/>
    <w:rsid w:val="1C95944B"/>
    <w:rsid w:val="1CB7D213"/>
    <w:rsid w:val="1CC0DC39"/>
    <w:rsid w:val="1CC0EFB7"/>
    <w:rsid w:val="1CE76E27"/>
    <w:rsid w:val="1CE9D40E"/>
    <w:rsid w:val="1D075C72"/>
    <w:rsid w:val="1D221A92"/>
    <w:rsid w:val="1D5371F8"/>
    <w:rsid w:val="1D775538"/>
    <w:rsid w:val="1D806766"/>
    <w:rsid w:val="1DA7C6CB"/>
    <w:rsid w:val="1DC1E17F"/>
    <w:rsid w:val="1DC315E0"/>
    <w:rsid w:val="1DE59F42"/>
    <w:rsid w:val="1DF2B0A8"/>
    <w:rsid w:val="1DF4AFC7"/>
    <w:rsid w:val="1E053BA0"/>
    <w:rsid w:val="1E1C96AC"/>
    <w:rsid w:val="1E4E03C4"/>
    <w:rsid w:val="1E550E46"/>
    <w:rsid w:val="1E6E7BE2"/>
    <w:rsid w:val="1E99FAD9"/>
    <w:rsid w:val="1EB66528"/>
    <w:rsid w:val="1EC5036B"/>
    <w:rsid w:val="1EE92A91"/>
    <w:rsid w:val="1F08902B"/>
    <w:rsid w:val="1F741FA0"/>
    <w:rsid w:val="1F82B1FF"/>
    <w:rsid w:val="1F8F08B0"/>
    <w:rsid w:val="1F986DDD"/>
    <w:rsid w:val="1FD0365C"/>
    <w:rsid w:val="1FDB9FFA"/>
    <w:rsid w:val="1FFEFB06"/>
    <w:rsid w:val="20234A39"/>
    <w:rsid w:val="20531B9D"/>
    <w:rsid w:val="209DEA01"/>
    <w:rsid w:val="20CE6846"/>
    <w:rsid w:val="20FB5B88"/>
    <w:rsid w:val="210AFFBB"/>
    <w:rsid w:val="210C67ED"/>
    <w:rsid w:val="2113A681"/>
    <w:rsid w:val="2142C5AC"/>
    <w:rsid w:val="21747812"/>
    <w:rsid w:val="218B75AC"/>
    <w:rsid w:val="21AF73B2"/>
    <w:rsid w:val="21B0999B"/>
    <w:rsid w:val="21B70E7F"/>
    <w:rsid w:val="21D9CDDF"/>
    <w:rsid w:val="21E6351D"/>
    <w:rsid w:val="2204B0E8"/>
    <w:rsid w:val="2241EA19"/>
    <w:rsid w:val="2244B5BF"/>
    <w:rsid w:val="2255C379"/>
    <w:rsid w:val="227A8C16"/>
    <w:rsid w:val="22820E1E"/>
    <w:rsid w:val="229DD91C"/>
    <w:rsid w:val="22A87EC7"/>
    <w:rsid w:val="22D0521B"/>
    <w:rsid w:val="231B469A"/>
    <w:rsid w:val="23292072"/>
    <w:rsid w:val="2330B566"/>
    <w:rsid w:val="234BA93A"/>
    <w:rsid w:val="2359D6D9"/>
    <w:rsid w:val="23613F04"/>
    <w:rsid w:val="237A6A89"/>
    <w:rsid w:val="23894F7F"/>
    <w:rsid w:val="2397AB08"/>
    <w:rsid w:val="23AB8F0C"/>
    <w:rsid w:val="23DD53C1"/>
    <w:rsid w:val="2418B4C5"/>
    <w:rsid w:val="241AC2AD"/>
    <w:rsid w:val="243437B5"/>
    <w:rsid w:val="243F21C2"/>
    <w:rsid w:val="2449A9B9"/>
    <w:rsid w:val="248ACBB9"/>
    <w:rsid w:val="2498219F"/>
    <w:rsid w:val="24A5F8B6"/>
    <w:rsid w:val="24B7514E"/>
    <w:rsid w:val="24C74E02"/>
    <w:rsid w:val="24D145FE"/>
    <w:rsid w:val="24D5AFDB"/>
    <w:rsid w:val="25012F1D"/>
    <w:rsid w:val="250459AE"/>
    <w:rsid w:val="251ECFE3"/>
    <w:rsid w:val="255AA5A9"/>
    <w:rsid w:val="2576DB1F"/>
    <w:rsid w:val="2584E35C"/>
    <w:rsid w:val="25EC4CB7"/>
    <w:rsid w:val="263DE876"/>
    <w:rsid w:val="263EA7F4"/>
    <w:rsid w:val="264051AC"/>
    <w:rsid w:val="2647017F"/>
    <w:rsid w:val="2648B1D0"/>
    <w:rsid w:val="264BE934"/>
    <w:rsid w:val="2687B352"/>
    <w:rsid w:val="269A044D"/>
    <w:rsid w:val="26A096B7"/>
    <w:rsid w:val="26A7A4C0"/>
    <w:rsid w:val="26C1C9A0"/>
    <w:rsid w:val="26D28EE9"/>
    <w:rsid w:val="26E004D7"/>
    <w:rsid w:val="26E7F60A"/>
    <w:rsid w:val="26F5BD83"/>
    <w:rsid w:val="26FA9685"/>
    <w:rsid w:val="273FE9C8"/>
    <w:rsid w:val="275186C4"/>
    <w:rsid w:val="27802BE5"/>
    <w:rsid w:val="2785F69E"/>
    <w:rsid w:val="2787FD3E"/>
    <w:rsid w:val="279CA41B"/>
    <w:rsid w:val="27BB4ABE"/>
    <w:rsid w:val="27C8CE14"/>
    <w:rsid w:val="27D6B3E4"/>
    <w:rsid w:val="27DF3389"/>
    <w:rsid w:val="282480DD"/>
    <w:rsid w:val="28696C31"/>
    <w:rsid w:val="28CD062E"/>
    <w:rsid w:val="28F882AE"/>
    <w:rsid w:val="291204A7"/>
    <w:rsid w:val="292C72D4"/>
    <w:rsid w:val="29A5D948"/>
    <w:rsid w:val="29A827E0"/>
    <w:rsid w:val="29C303A1"/>
    <w:rsid w:val="29DD2E48"/>
    <w:rsid w:val="29DF7418"/>
    <w:rsid w:val="29E131D3"/>
    <w:rsid w:val="29EDDCEF"/>
    <w:rsid w:val="2A183906"/>
    <w:rsid w:val="2A31AB8B"/>
    <w:rsid w:val="2A449D69"/>
    <w:rsid w:val="2A73B451"/>
    <w:rsid w:val="2AA56E10"/>
    <w:rsid w:val="2AB9B12C"/>
    <w:rsid w:val="2AC07F2F"/>
    <w:rsid w:val="2AFE7CFC"/>
    <w:rsid w:val="2B72B668"/>
    <w:rsid w:val="2B8D1F38"/>
    <w:rsid w:val="2B979558"/>
    <w:rsid w:val="2BAC9FBD"/>
    <w:rsid w:val="2BC18C9D"/>
    <w:rsid w:val="2BF8E949"/>
    <w:rsid w:val="2BFA60CE"/>
    <w:rsid w:val="2C0F9D63"/>
    <w:rsid w:val="2C157531"/>
    <w:rsid w:val="2C183B3A"/>
    <w:rsid w:val="2C526AE7"/>
    <w:rsid w:val="2C5BA117"/>
    <w:rsid w:val="2C949733"/>
    <w:rsid w:val="2CA939A2"/>
    <w:rsid w:val="2CC00F79"/>
    <w:rsid w:val="2CDEE329"/>
    <w:rsid w:val="2D431A1C"/>
    <w:rsid w:val="2D5C0AE6"/>
    <w:rsid w:val="2D8D385D"/>
    <w:rsid w:val="2D906F38"/>
    <w:rsid w:val="2DAC2C06"/>
    <w:rsid w:val="2E189DA4"/>
    <w:rsid w:val="2E305C96"/>
    <w:rsid w:val="2E36C4AA"/>
    <w:rsid w:val="2E55F692"/>
    <w:rsid w:val="2E5A5D0F"/>
    <w:rsid w:val="2E6163F1"/>
    <w:rsid w:val="2E657A76"/>
    <w:rsid w:val="2E742D18"/>
    <w:rsid w:val="2E7D2A98"/>
    <w:rsid w:val="2EB619B8"/>
    <w:rsid w:val="2EDC037F"/>
    <w:rsid w:val="2EE693CD"/>
    <w:rsid w:val="2F006502"/>
    <w:rsid w:val="2F01B4FC"/>
    <w:rsid w:val="2F723497"/>
    <w:rsid w:val="2F817CFB"/>
    <w:rsid w:val="2F81DDA8"/>
    <w:rsid w:val="2F897431"/>
    <w:rsid w:val="2F91F931"/>
    <w:rsid w:val="2FFC15D0"/>
    <w:rsid w:val="304EF84B"/>
    <w:rsid w:val="3060679E"/>
    <w:rsid w:val="30729346"/>
    <w:rsid w:val="3074A950"/>
    <w:rsid w:val="30A781B9"/>
    <w:rsid w:val="30B03C93"/>
    <w:rsid w:val="30BEE281"/>
    <w:rsid w:val="30DE5443"/>
    <w:rsid w:val="30ECDB4D"/>
    <w:rsid w:val="313B9CAC"/>
    <w:rsid w:val="313D3D3F"/>
    <w:rsid w:val="316514FC"/>
    <w:rsid w:val="316E271A"/>
    <w:rsid w:val="3177EB7E"/>
    <w:rsid w:val="31B25C3D"/>
    <w:rsid w:val="31EBBC4E"/>
    <w:rsid w:val="31F8F3FE"/>
    <w:rsid w:val="31FC19C8"/>
    <w:rsid w:val="3213DF56"/>
    <w:rsid w:val="32160C3E"/>
    <w:rsid w:val="323686F1"/>
    <w:rsid w:val="325A5F56"/>
    <w:rsid w:val="327763FE"/>
    <w:rsid w:val="3293A91D"/>
    <w:rsid w:val="32D4157A"/>
    <w:rsid w:val="33175D9C"/>
    <w:rsid w:val="33256AF1"/>
    <w:rsid w:val="332D964B"/>
    <w:rsid w:val="333710CF"/>
    <w:rsid w:val="334AC72A"/>
    <w:rsid w:val="33587765"/>
    <w:rsid w:val="3362291F"/>
    <w:rsid w:val="33755F85"/>
    <w:rsid w:val="337EA1AA"/>
    <w:rsid w:val="338FA3AC"/>
    <w:rsid w:val="33E23F3B"/>
    <w:rsid w:val="33F713D8"/>
    <w:rsid w:val="3421769A"/>
    <w:rsid w:val="344182E9"/>
    <w:rsid w:val="345091FA"/>
    <w:rsid w:val="345B74E3"/>
    <w:rsid w:val="3469F98D"/>
    <w:rsid w:val="34A561E4"/>
    <w:rsid w:val="34B95D65"/>
    <w:rsid w:val="34E11038"/>
    <w:rsid w:val="34FED9F8"/>
    <w:rsid w:val="35121580"/>
    <w:rsid w:val="3570C470"/>
    <w:rsid w:val="3586232B"/>
    <w:rsid w:val="35965CC2"/>
    <w:rsid w:val="359B4401"/>
    <w:rsid w:val="35BD3928"/>
    <w:rsid w:val="35D68A82"/>
    <w:rsid w:val="3608E091"/>
    <w:rsid w:val="3625034F"/>
    <w:rsid w:val="36341C79"/>
    <w:rsid w:val="36523D24"/>
    <w:rsid w:val="3673534F"/>
    <w:rsid w:val="3697C524"/>
    <w:rsid w:val="36E3EE60"/>
    <w:rsid w:val="37191005"/>
    <w:rsid w:val="3726B24A"/>
    <w:rsid w:val="375EC415"/>
    <w:rsid w:val="379DAFD2"/>
    <w:rsid w:val="37C40953"/>
    <w:rsid w:val="37CF0647"/>
    <w:rsid w:val="37E0AD7E"/>
    <w:rsid w:val="37E74DCB"/>
    <w:rsid w:val="37FEFEBE"/>
    <w:rsid w:val="382DCF8B"/>
    <w:rsid w:val="3838CC90"/>
    <w:rsid w:val="3877EC7F"/>
    <w:rsid w:val="38A3B6C9"/>
    <w:rsid w:val="38ADAC40"/>
    <w:rsid w:val="38B0F71D"/>
    <w:rsid w:val="38B79AB6"/>
    <w:rsid w:val="38E1CBD5"/>
    <w:rsid w:val="38FDA2A2"/>
    <w:rsid w:val="39216C79"/>
    <w:rsid w:val="3958341F"/>
    <w:rsid w:val="395A046E"/>
    <w:rsid w:val="396C108C"/>
    <w:rsid w:val="397410CB"/>
    <w:rsid w:val="397A327A"/>
    <w:rsid w:val="39BBDA70"/>
    <w:rsid w:val="39C7FBDD"/>
    <w:rsid w:val="39DA9A0F"/>
    <w:rsid w:val="39DE309E"/>
    <w:rsid w:val="39E5763C"/>
    <w:rsid w:val="39EC9BBB"/>
    <w:rsid w:val="3A0F1320"/>
    <w:rsid w:val="3A1413B0"/>
    <w:rsid w:val="3A4635E4"/>
    <w:rsid w:val="3A64C5F1"/>
    <w:rsid w:val="3A84F464"/>
    <w:rsid w:val="3A9565ED"/>
    <w:rsid w:val="3A98BE3B"/>
    <w:rsid w:val="3AB87AB3"/>
    <w:rsid w:val="3ACF5693"/>
    <w:rsid w:val="3ADF4C15"/>
    <w:rsid w:val="3B084EB0"/>
    <w:rsid w:val="3B12C23F"/>
    <w:rsid w:val="3B2070A1"/>
    <w:rsid w:val="3B3FC345"/>
    <w:rsid w:val="3B410721"/>
    <w:rsid w:val="3B4E5FF6"/>
    <w:rsid w:val="3B560AE5"/>
    <w:rsid w:val="3B7F7E20"/>
    <w:rsid w:val="3B8A11D7"/>
    <w:rsid w:val="3B8B09EE"/>
    <w:rsid w:val="3BA53B6F"/>
    <w:rsid w:val="3BACB697"/>
    <w:rsid w:val="3BB09CF6"/>
    <w:rsid w:val="3BDFCC07"/>
    <w:rsid w:val="3BEADAE2"/>
    <w:rsid w:val="3BEC4359"/>
    <w:rsid w:val="3C027264"/>
    <w:rsid w:val="3C22A2BB"/>
    <w:rsid w:val="3C2B70D2"/>
    <w:rsid w:val="3C3801B1"/>
    <w:rsid w:val="3C3E1D6E"/>
    <w:rsid w:val="3C730C6B"/>
    <w:rsid w:val="3C79FC67"/>
    <w:rsid w:val="3C88510A"/>
    <w:rsid w:val="3CAB722E"/>
    <w:rsid w:val="3CBFD950"/>
    <w:rsid w:val="3CE61AB7"/>
    <w:rsid w:val="3CEDD5BD"/>
    <w:rsid w:val="3D27E389"/>
    <w:rsid w:val="3D3D0D07"/>
    <w:rsid w:val="3D79942F"/>
    <w:rsid w:val="3D9DEFB0"/>
    <w:rsid w:val="3DAEEDC4"/>
    <w:rsid w:val="3DC030EE"/>
    <w:rsid w:val="3DCB6A0E"/>
    <w:rsid w:val="3DE44A9A"/>
    <w:rsid w:val="3DF2041A"/>
    <w:rsid w:val="3E16ECD7"/>
    <w:rsid w:val="3E31D4CA"/>
    <w:rsid w:val="3E40533E"/>
    <w:rsid w:val="3E7383CF"/>
    <w:rsid w:val="3E8186A3"/>
    <w:rsid w:val="3EA71156"/>
    <w:rsid w:val="3EC55AF2"/>
    <w:rsid w:val="3F06CF3F"/>
    <w:rsid w:val="3F29BA55"/>
    <w:rsid w:val="3F47593F"/>
    <w:rsid w:val="3F4C09E6"/>
    <w:rsid w:val="3F5407B0"/>
    <w:rsid w:val="3F6681F7"/>
    <w:rsid w:val="3F753B5B"/>
    <w:rsid w:val="3F7C0D21"/>
    <w:rsid w:val="3FB2BD38"/>
    <w:rsid w:val="3FBA0DF8"/>
    <w:rsid w:val="3FC06EC4"/>
    <w:rsid w:val="3FC6E3EA"/>
    <w:rsid w:val="3FCC1C2A"/>
    <w:rsid w:val="3FDD409B"/>
    <w:rsid w:val="3FFA4E0C"/>
    <w:rsid w:val="401F87D2"/>
    <w:rsid w:val="402E38E7"/>
    <w:rsid w:val="403BC592"/>
    <w:rsid w:val="4058E98A"/>
    <w:rsid w:val="405D5FF6"/>
    <w:rsid w:val="406AF141"/>
    <w:rsid w:val="406FB11F"/>
    <w:rsid w:val="407D2580"/>
    <w:rsid w:val="408810E4"/>
    <w:rsid w:val="409A247C"/>
    <w:rsid w:val="409B2F6F"/>
    <w:rsid w:val="40E013B4"/>
    <w:rsid w:val="40E17692"/>
    <w:rsid w:val="40E6886A"/>
    <w:rsid w:val="40F8C45E"/>
    <w:rsid w:val="4119E03A"/>
    <w:rsid w:val="41450DA6"/>
    <w:rsid w:val="4156ACF5"/>
    <w:rsid w:val="416C1FAF"/>
    <w:rsid w:val="41ADE94A"/>
    <w:rsid w:val="41C4117F"/>
    <w:rsid w:val="41CC1570"/>
    <w:rsid w:val="41D70DE8"/>
    <w:rsid w:val="42326207"/>
    <w:rsid w:val="427DA424"/>
    <w:rsid w:val="429D6777"/>
    <w:rsid w:val="42B32B02"/>
    <w:rsid w:val="42C04772"/>
    <w:rsid w:val="42CE0D58"/>
    <w:rsid w:val="42EC9FE8"/>
    <w:rsid w:val="430BDEA3"/>
    <w:rsid w:val="4316E043"/>
    <w:rsid w:val="43246571"/>
    <w:rsid w:val="432B85CE"/>
    <w:rsid w:val="432DD7ED"/>
    <w:rsid w:val="435ADAB1"/>
    <w:rsid w:val="437F445F"/>
    <w:rsid w:val="43B8EBF8"/>
    <w:rsid w:val="43C4D860"/>
    <w:rsid w:val="43C5F667"/>
    <w:rsid w:val="43D26C9D"/>
    <w:rsid w:val="43DD7B00"/>
    <w:rsid w:val="440D2EBD"/>
    <w:rsid w:val="440E8808"/>
    <w:rsid w:val="441CDCBD"/>
    <w:rsid w:val="4454786C"/>
    <w:rsid w:val="4487B944"/>
    <w:rsid w:val="44B6061B"/>
    <w:rsid w:val="4506A190"/>
    <w:rsid w:val="4534998F"/>
    <w:rsid w:val="45511B1E"/>
    <w:rsid w:val="458A337E"/>
    <w:rsid w:val="45A4F03D"/>
    <w:rsid w:val="45B2B1E0"/>
    <w:rsid w:val="45B9B553"/>
    <w:rsid w:val="45EFEF23"/>
    <w:rsid w:val="46171775"/>
    <w:rsid w:val="462A1E18"/>
    <w:rsid w:val="46367DC4"/>
    <w:rsid w:val="4648447F"/>
    <w:rsid w:val="464BAFB7"/>
    <w:rsid w:val="46589489"/>
    <w:rsid w:val="4665D16F"/>
    <w:rsid w:val="4677D4E3"/>
    <w:rsid w:val="46A3CCE1"/>
    <w:rsid w:val="46D94A18"/>
    <w:rsid w:val="46F61CD3"/>
    <w:rsid w:val="4704F338"/>
    <w:rsid w:val="470D73FC"/>
    <w:rsid w:val="47472E9F"/>
    <w:rsid w:val="4747D1E1"/>
    <w:rsid w:val="4748460F"/>
    <w:rsid w:val="47492192"/>
    <w:rsid w:val="477705F8"/>
    <w:rsid w:val="477C5BB8"/>
    <w:rsid w:val="479A21CA"/>
    <w:rsid w:val="479F5E03"/>
    <w:rsid w:val="479FD595"/>
    <w:rsid w:val="47A3E336"/>
    <w:rsid w:val="47A51164"/>
    <w:rsid w:val="47B4EFA5"/>
    <w:rsid w:val="47D39352"/>
    <w:rsid w:val="47FC2B64"/>
    <w:rsid w:val="48123180"/>
    <w:rsid w:val="481A15E8"/>
    <w:rsid w:val="48493DAD"/>
    <w:rsid w:val="484D9AE6"/>
    <w:rsid w:val="485E5AF8"/>
    <w:rsid w:val="4879091E"/>
    <w:rsid w:val="48C37C4C"/>
    <w:rsid w:val="48DE128F"/>
    <w:rsid w:val="492D490E"/>
    <w:rsid w:val="492DA8B4"/>
    <w:rsid w:val="497C3F97"/>
    <w:rsid w:val="499D1FC2"/>
    <w:rsid w:val="49A239E0"/>
    <w:rsid w:val="49A9F0D4"/>
    <w:rsid w:val="49B8ADE9"/>
    <w:rsid w:val="4A0375AD"/>
    <w:rsid w:val="4A30A9F8"/>
    <w:rsid w:val="4A3E6E88"/>
    <w:rsid w:val="4A40E963"/>
    <w:rsid w:val="4A431D08"/>
    <w:rsid w:val="4A7C9153"/>
    <w:rsid w:val="4A7D5DF0"/>
    <w:rsid w:val="4A803280"/>
    <w:rsid w:val="4A8F9801"/>
    <w:rsid w:val="4AD01883"/>
    <w:rsid w:val="4AF3862E"/>
    <w:rsid w:val="4B0A7EA8"/>
    <w:rsid w:val="4B3996A0"/>
    <w:rsid w:val="4B46AAC6"/>
    <w:rsid w:val="4B569E40"/>
    <w:rsid w:val="4B763556"/>
    <w:rsid w:val="4B81C58C"/>
    <w:rsid w:val="4BA792C8"/>
    <w:rsid w:val="4BAF8384"/>
    <w:rsid w:val="4BFF04D0"/>
    <w:rsid w:val="4C6DC9A5"/>
    <w:rsid w:val="4C7FF446"/>
    <w:rsid w:val="4C93F177"/>
    <w:rsid w:val="4CD3AFC8"/>
    <w:rsid w:val="4CE11D68"/>
    <w:rsid w:val="4CE2EF14"/>
    <w:rsid w:val="4CF9ECFC"/>
    <w:rsid w:val="4CFF2085"/>
    <w:rsid w:val="4D186842"/>
    <w:rsid w:val="4D77443A"/>
    <w:rsid w:val="4D863031"/>
    <w:rsid w:val="4D8B6560"/>
    <w:rsid w:val="4D957079"/>
    <w:rsid w:val="4D98A7E3"/>
    <w:rsid w:val="4DB72583"/>
    <w:rsid w:val="4DBF0360"/>
    <w:rsid w:val="4DCA04D6"/>
    <w:rsid w:val="4DEE935E"/>
    <w:rsid w:val="4E03B281"/>
    <w:rsid w:val="4E188295"/>
    <w:rsid w:val="4E57282B"/>
    <w:rsid w:val="4E66209D"/>
    <w:rsid w:val="4E68F4AE"/>
    <w:rsid w:val="4E83200A"/>
    <w:rsid w:val="4EC069FA"/>
    <w:rsid w:val="4EC93EB4"/>
    <w:rsid w:val="4EF12AF1"/>
    <w:rsid w:val="4EF2C6AB"/>
    <w:rsid w:val="4F0B0FD3"/>
    <w:rsid w:val="4F2321F1"/>
    <w:rsid w:val="4F33E683"/>
    <w:rsid w:val="4F447C8C"/>
    <w:rsid w:val="4F521404"/>
    <w:rsid w:val="4F6D6C24"/>
    <w:rsid w:val="4F80FE29"/>
    <w:rsid w:val="4FA5B182"/>
    <w:rsid w:val="4FAB6CFF"/>
    <w:rsid w:val="4FC22F30"/>
    <w:rsid w:val="4FC9B75F"/>
    <w:rsid w:val="4FD4BA17"/>
    <w:rsid w:val="4FFE6AA1"/>
    <w:rsid w:val="4FFFF79F"/>
    <w:rsid w:val="5020D084"/>
    <w:rsid w:val="502A6DFC"/>
    <w:rsid w:val="50309DFA"/>
    <w:rsid w:val="5048F16F"/>
    <w:rsid w:val="504A70E5"/>
    <w:rsid w:val="505BA225"/>
    <w:rsid w:val="506A75D3"/>
    <w:rsid w:val="507349FC"/>
    <w:rsid w:val="508C7151"/>
    <w:rsid w:val="50976BA9"/>
    <w:rsid w:val="50BF0C9A"/>
    <w:rsid w:val="50D64C93"/>
    <w:rsid w:val="50DAD226"/>
    <w:rsid w:val="50EA92C7"/>
    <w:rsid w:val="51006BF4"/>
    <w:rsid w:val="510686C6"/>
    <w:rsid w:val="5120EE6C"/>
    <w:rsid w:val="5160F3CF"/>
    <w:rsid w:val="51819296"/>
    <w:rsid w:val="51942B5A"/>
    <w:rsid w:val="51A2BC7D"/>
    <w:rsid w:val="51C9A637"/>
    <w:rsid w:val="51E90FAC"/>
    <w:rsid w:val="51F2CD33"/>
    <w:rsid w:val="521EA93E"/>
    <w:rsid w:val="5258DC58"/>
    <w:rsid w:val="52924BE7"/>
    <w:rsid w:val="52B84481"/>
    <w:rsid w:val="52D447E9"/>
    <w:rsid w:val="5312E014"/>
    <w:rsid w:val="532E4C05"/>
    <w:rsid w:val="5331B797"/>
    <w:rsid w:val="537793AB"/>
    <w:rsid w:val="53A362FD"/>
    <w:rsid w:val="53EC2DAE"/>
    <w:rsid w:val="540CE061"/>
    <w:rsid w:val="54150150"/>
    <w:rsid w:val="5426F128"/>
    <w:rsid w:val="54424375"/>
    <w:rsid w:val="5451E5B4"/>
    <w:rsid w:val="54933241"/>
    <w:rsid w:val="54DC3D94"/>
    <w:rsid w:val="54E20252"/>
    <w:rsid w:val="5509175B"/>
    <w:rsid w:val="55183B5C"/>
    <w:rsid w:val="5576FBB6"/>
    <w:rsid w:val="55A1E109"/>
    <w:rsid w:val="55BF6E62"/>
    <w:rsid w:val="55CA2ECB"/>
    <w:rsid w:val="55D5C2FE"/>
    <w:rsid w:val="55DF8F4B"/>
    <w:rsid w:val="55EB4511"/>
    <w:rsid w:val="560FF021"/>
    <w:rsid w:val="5610AEC4"/>
    <w:rsid w:val="5627E824"/>
    <w:rsid w:val="5639B827"/>
    <w:rsid w:val="5670C93A"/>
    <w:rsid w:val="56981C98"/>
    <w:rsid w:val="56A8916F"/>
    <w:rsid w:val="56AE2457"/>
    <w:rsid w:val="570A7B0F"/>
    <w:rsid w:val="572CDD66"/>
    <w:rsid w:val="575195E2"/>
    <w:rsid w:val="5769B4D4"/>
    <w:rsid w:val="576C713B"/>
    <w:rsid w:val="576F703D"/>
    <w:rsid w:val="57A7BB10"/>
    <w:rsid w:val="57C1F5AA"/>
    <w:rsid w:val="57E504B4"/>
    <w:rsid w:val="57F034FC"/>
    <w:rsid w:val="584B3FE8"/>
    <w:rsid w:val="584E0995"/>
    <w:rsid w:val="5886791F"/>
    <w:rsid w:val="588A089C"/>
    <w:rsid w:val="58C1934A"/>
    <w:rsid w:val="58E4DE40"/>
    <w:rsid w:val="58F4C717"/>
    <w:rsid w:val="59405AF0"/>
    <w:rsid w:val="59616B9D"/>
    <w:rsid w:val="596F171F"/>
    <w:rsid w:val="597A3246"/>
    <w:rsid w:val="599FAB7F"/>
    <w:rsid w:val="59B8C239"/>
    <w:rsid w:val="59C11568"/>
    <w:rsid w:val="59E3D244"/>
    <w:rsid w:val="5A227E92"/>
    <w:rsid w:val="5A7B9726"/>
    <w:rsid w:val="5A802ADD"/>
    <w:rsid w:val="5A89189A"/>
    <w:rsid w:val="5A917783"/>
    <w:rsid w:val="5A9FDEC6"/>
    <w:rsid w:val="5AAB301C"/>
    <w:rsid w:val="5AE61A9C"/>
    <w:rsid w:val="5AFACD50"/>
    <w:rsid w:val="5B084F95"/>
    <w:rsid w:val="5B10ECDF"/>
    <w:rsid w:val="5B3557DD"/>
    <w:rsid w:val="5B4E77EF"/>
    <w:rsid w:val="5B532FD1"/>
    <w:rsid w:val="5B582A69"/>
    <w:rsid w:val="5B5B7C15"/>
    <w:rsid w:val="5B7CD4AD"/>
    <w:rsid w:val="5B830F08"/>
    <w:rsid w:val="5B8546C2"/>
    <w:rsid w:val="5B8825D9"/>
    <w:rsid w:val="5BA5E0C2"/>
    <w:rsid w:val="5BB20E10"/>
    <w:rsid w:val="5BB2ED07"/>
    <w:rsid w:val="5BB859CC"/>
    <w:rsid w:val="5BC30E88"/>
    <w:rsid w:val="5C0099C9"/>
    <w:rsid w:val="5C0CDB9B"/>
    <w:rsid w:val="5C11FB42"/>
    <w:rsid w:val="5C13A1AB"/>
    <w:rsid w:val="5C2C4CDA"/>
    <w:rsid w:val="5C3117E4"/>
    <w:rsid w:val="5C352F72"/>
    <w:rsid w:val="5C44B3B0"/>
    <w:rsid w:val="5C554F21"/>
    <w:rsid w:val="5C73718B"/>
    <w:rsid w:val="5C83C407"/>
    <w:rsid w:val="5C840CA0"/>
    <w:rsid w:val="5CAE3820"/>
    <w:rsid w:val="5CBF2BCE"/>
    <w:rsid w:val="5CFD0137"/>
    <w:rsid w:val="5D0680C4"/>
    <w:rsid w:val="5D0DEBB4"/>
    <w:rsid w:val="5D2168DE"/>
    <w:rsid w:val="5D3B2B31"/>
    <w:rsid w:val="5D49098D"/>
    <w:rsid w:val="5D5B8CF1"/>
    <w:rsid w:val="5D65ADCB"/>
    <w:rsid w:val="5D766C25"/>
    <w:rsid w:val="5DB8E90D"/>
    <w:rsid w:val="5DBE1FA4"/>
    <w:rsid w:val="5DE0C4FE"/>
    <w:rsid w:val="5DE676E1"/>
    <w:rsid w:val="5DEC01F1"/>
    <w:rsid w:val="5DF22EF3"/>
    <w:rsid w:val="5DF62EDF"/>
    <w:rsid w:val="5E04FC7F"/>
    <w:rsid w:val="5E1854EF"/>
    <w:rsid w:val="5E252475"/>
    <w:rsid w:val="5E32A294"/>
    <w:rsid w:val="5E455700"/>
    <w:rsid w:val="5E4CC2CE"/>
    <w:rsid w:val="5E775FB2"/>
    <w:rsid w:val="5EA5D552"/>
    <w:rsid w:val="5EB23981"/>
    <w:rsid w:val="5EB2E345"/>
    <w:rsid w:val="5EDE5C0B"/>
    <w:rsid w:val="5EE1EEEA"/>
    <w:rsid w:val="5EE3A666"/>
    <w:rsid w:val="5EF9EF02"/>
    <w:rsid w:val="5F11A50E"/>
    <w:rsid w:val="5F1AD06B"/>
    <w:rsid w:val="5F2D1D06"/>
    <w:rsid w:val="5F4DADF8"/>
    <w:rsid w:val="5F756528"/>
    <w:rsid w:val="5F7FEA45"/>
    <w:rsid w:val="5F8961C9"/>
    <w:rsid w:val="5F95B088"/>
    <w:rsid w:val="5F95F5DB"/>
    <w:rsid w:val="5FB08519"/>
    <w:rsid w:val="5FC87CEE"/>
    <w:rsid w:val="5FCE504F"/>
    <w:rsid w:val="5FDC428B"/>
    <w:rsid w:val="5FE17334"/>
    <w:rsid w:val="602FFAB9"/>
    <w:rsid w:val="60309F18"/>
    <w:rsid w:val="60535F4E"/>
    <w:rsid w:val="605D5655"/>
    <w:rsid w:val="608F0FA6"/>
    <w:rsid w:val="60B77B50"/>
    <w:rsid w:val="60C6EEBF"/>
    <w:rsid w:val="60D9304D"/>
    <w:rsid w:val="60F0FCF4"/>
    <w:rsid w:val="6110820B"/>
    <w:rsid w:val="61123EA2"/>
    <w:rsid w:val="6119F5F6"/>
    <w:rsid w:val="6126DE3E"/>
    <w:rsid w:val="61334334"/>
    <w:rsid w:val="616282F1"/>
    <w:rsid w:val="617587F2"/>
    <w:rsid w:val="617B7752"/>
    <w:rsid w:val="618EB3D5"/>
    <w:rsid w:val="618F75AB"/>
    <w:rsid w:val="61942FA6"/>
    <w:rsid w:val="61A21CF3"/>
    <w:rsid w:val="61ABA85A"/>
    <w:rsid w:val="61C84197"/>
    <w:rsid w:val="61FAE616"/>
    <w:rsid w:val="6210D7A7"/>
    <w:rsid w:val="62130E09"/>
    <w:rsid w:val="621A7D7A"/>
    <w:rsid w:val="62229F18"/>
    <w:rsid w:val="624C9F9B"/>
    <w:rsid w:val="626BF14B"/>
    <w:rsid w:val="62848929"/>
    <w:rsid w:val="629BCCE8"/>
    <w:rsid w:val="629EAC0B"/>
    <w:rsid w:val="62D5BD16"/>
    <w:rsid w:val="62D95D2A"/>
    <w:rsid w:val="62E27556"/>
    <w:rsid w:val="62F26FCF"/>
    <w:rsid w:val="63229AD4"/>
    <w:rsid w:val="632A98DE"/>
    <w:rsid w:val="632C6B10"/>
    <w:rsid w:val="632D1226"/>
    <w:rsid w:val="63674A6E"/>
    <w:rsid w:val="636A11DE"/>
    <w:rsid w:val="636EA26E"/>
    <w:rsid w:val="6374B2EC"/>
    <w:rsid w:val="63946C37"/>
    <w:rsid w:val="63ADDAE6"/>
    <w:rsid w:val="63C2E63F"/>
    <w:rsid w:val="63DA4C6A"/>
    <w:rsid w:val="63E1F6A0"/>
    <w:rsid w:val="63E4AB21"/>
    <w:rsid w:val="640D3753"/>
    <w:rsid w:val="6435B15E"/>
    <w:rsid w:val="64522758"/>
    <w:rsid w:val="64584FC0"/>
    <w:rsid w:val="6460500C"/>
    <w:rsid w:val="64679673"/>
    <w:rsid w:val="64707227"/>
    <w:rsid w:val="6487EE3A"/>
    <w:rsid w:val="649655AD"/>
    <w:rsid w:val="649DD7A5"/>
    <w:rsid w:val="64A95A74"/>
    <w:rsid w:val="64AC7E08"/>
    <w:rsid w:val="64AD5E1C"/>
    <w:rsid w:val="64ADA2CF"/>
    <w:rsid w:val="64AEE8CB"/>
    <w:rsid w:val="64B89161"/>
    <w:rsid w:val="64C4BB16"/>
    <w:rsid w:val="64CEE488"/>
    <w:rsid w:val="64D331F0"/>
    <w:rsid w:val="64E62ECD"/>
    <w:rsid w:val="64ECC5C6"/>
    <w:rsid w:val="64F74ACC"/>
    <w:rsid w:val="65155091"/>
    <w:rsid w:val="65183845"/>
    <w:rsid w:val="653B1B77"/>
    <w:rsid w:val="6552A226"/>
    <w:rsid w:val="65940742"/>
    <w:rsid w:val="65BED28C"/>
    <w:rsid w:val="65C4745E"/>
    <w:rsid w:val="65FA86E2"/>
    <w:rsid w:val="65FF13C3"/>
    <w:rsid w:val="6611111A"/>
    <w:rsid w:val="661EF3E3"/>
    <w:rsid w:val="662F076A"/>
    <w:rsid w:val="6639520F"/>
    <w:rsid w:val="663D0D30"/>
    <w:rsid w:val="665BFC17"/>
    <w:rsid w:val="666DE824"/>
    <w:rsid w:val="668B6212"/>
    <w:rsid w:val="669BBCD4"/>
    <w:rsid w:val="66A69858"/>
    <w:rsid w:val="66AF3A9A"/>
    <w:rsid w:val="66B81EF8"/>
    <w:rsid w:val="66C74C8A"/>
    <w:rsid w:val="66F3BDD6"/>
    <w:rsid w:val="6725E88C"/>
    <w:rsid w:val="67739761"/>
    <w:rsid w:val="677ED341"/>
    <w:rsid w:val="67800F4B"/>
    <w:rsid w:val="67ADEE83"/>
    <w:rsid w:val="67B3B17D"/>
    <w:rsid w:val="67B8E69D"/>
    <w:rsid w:val="67CF9B3B"/>
    <w:rsid w:val="67DA2CD5"/>
    <w:rsid w:val="6804AF6E"/>
    <w:rsid w:val="680A4767"/>
    <w:rsid w:val="6819DC36"/>
    <w:rsid w:val="6825127D"/>
    <w:rsid w:val="6897A187"/>
    <w:rsid w:val="68B466C1"/>
    <w:rsid w:val="6917CB50"/>
    <w:rsid w:val="69400961"/>
    <w:rsid w:val="694C77A8"/>
    <w:rsid w:val="6977109F"/>
    <w:rsid w:val="698A6EAF"/>
    <w:rsid w:val="698C2DFE"/>
    <w:rsid w:val="699403B0"/>
    <w:rsid w:val="69A21877"/>
    <w:rsid w:val="69AADEF5"/>
    <w:rsid w:val="69BD4312"/>
    <w:rsid w:val="69BF8E50"/>
    <w:rsid w:val="69D4E5FC"/>
    <w:rsid w:val="69F60E9F"/>
    <w:rsid w:val="6A05CE91"/>
    <w:rsid w:val="6A308680"/>
    <w:rsid w:val="6A37CFF6"/>
    <w:rsid w:val="6A5347E2"/>
    <w:rsid w:val="6A8F5305"/>
    <w:rsid w:val="6AC339D1"/>
    <w:rsid w:val="6ACB4A72"/>
    <w:rsid w:val="6B17B6E1"/>
    <w:rsid w:val="6B4B43D3"/>
    <w:rsid w:val="6BAE12CB"/>
    <w:rsid w:val="6BC37CAC"/>
    <w:rsid w:val="6BD4DF33"/>
    <w:rsid w:val="6BE7ECA7"/>
    <w:rsid w:val="6BF6F64D"/>
    <w:rsid w:val="6C34B371"/>
    <w:rsid w:val="6C356C1E"/>
    <w:rsid w:val="6C39CEF0"/>
    <w:rsid w:val="6C43175A"/>
    <w:rsid w:val="6C7175D3"/>
    <w:rsid w:val="6C7AD633"/>
    <w:rsid w:val="6C8FF53E"/>
    <w:rsid w:val="6C911342"/>
    <w:rsid w:val="6CB0F66F"/>
    <w:rsid w:val="6CE12C92"/>
    <w:rsid w:val="6D104746"/>
    <w:rsid w:val="6D34C4C7"/>
    <w:rsid w:val="6D3850CD"/>
    <w:rsid w:val="6D5D66F1"/>
    <w:rsid w:val="6D73AA31"/>
    <w:rsid w:val="6D740ABF"/>
    <w:rsid w:val="6D75F0E0"/>
    <w:rsid w:val="6D85876D"/>
    <w:rsid w:val="6DB56B40"/>
    <w:rsid w:val="6DCE8829"/>
    <w:rsid w:val="6DD77B2B"/>
    <w:rsid w:val="6DD7F659"/>
    <w:rsid w:val="6DDEEE1D"/>
    <w:rsid w:val="6DDFE07C"/>
    <w:rsid w:val="6DF3E587"/>
    <w:rsid w:val="6DFCDD15"/>
    <w:rsid w:val="6E174F53"/>
    <w:rsid w:val="6E454570"/>
    <w:rsid w:val="6E5530B1"/>
    <w:rsid w:val="6E601D1C"/>
    <w:rsid w:val="6EC41EED"/>
    <w:rsid w:val="6EE2E62A"/>
    <w:rsid w:val="6EE5C5AD"/>
    <w:rsid w:val="6F0281BB"/>
    <w:rsid w:val="6F2E3949"/>
    <w:rsid w:val="6F72F2AB"/>
    <w:rsid w:val="6F9EFD21"/>
    <w:rsid w:val="6FA68505"/>
    <w:rsid w:val="6FBEE8CC"/>
    <w:rsid w:val="6FC3DD35"/>
    <w:rsid w:val="6FD1C83B"/>
    <w:rsid w:val="6FD31B9D"/>
    <w:rsid w:val="6FD66449"/>
    <w:rsid w:val="6FFE1390"/>
    <w:rsid w:val="7031A426"/>
    <w:rsid w:val="704D01EC"/>
    <w:rsid w:val="70B0CEA0"/>
    <w:rsid w:val="70BD8AB8"/>
    <w:rsid w:val="712F58A6"/>
    <w:rsid w:val="71363BA9"/>
    <w:rsid w:val="71435FC4"/>
    <w:rsid w:val="7154D3ED"/>
    <w:rsid w:val="716BFE09"/>
    <w:rsid w:val="719CE22C"/>
    <w:rsid w:val="71A48BA9"/>
    <w:rsid w:val="71B85580"/>
    <w:rsid w:val="71D0C3A3"/>
    <w:rsid w:val="71ED952B"/>
    <w:rsid w:val="71FEF3BB"/>
    <w:rsid w:val="723CDAE7"/>
    <w:rsid w:val="7241BBF0"/>
    <w:rsid w:val="724CFB6B"/>
    <w:rsid w:val="72533B59"/>
    <w:rsid w:val="72676A2B"/>
    <w:rsid w:val="72783F0E"/>
    <w:rsid w:val="72853A56"/>
    <w:rsid w:val="72B9FB74"/>
    <w:rsid w:val="72BE221F"/>
    <w:rsid w:val="72D1AEFE"/>
    <w:rsid w:val="731C0718"/>
    <w:rsid w:val="731D8B3F"/>
    <w:rsid w:val="73397C81"/>
    <w:rsid w:val="7352832F"/>
    <w:rsid w:val="7355BB17"/>
    <w:rsid w:val="7381327D"/>
    <w:rsid w:val="739808A0"/>
    <w:rsid w:val="739DEB3E"/>
    <w:rsid w:val="73A85740"/>
    <w:rsid w:val="73C21A5A"/>
    <w:rsid w:val="73DAA8D7"/>
    <w:rsid w:val="73DDE8DE"/>
    <w:rsid w:val="73F6D464"/>
    <w:rsid w:val="74451E5D"/>
    <w:rsid w:val="74477DD5"/>
    <w:rsid w:val="744D6E17"/>
    <w:rsid w:val="7450AA13"/>
    <w:rsid w:val="747B53F6"/>
    <w:rsid w:val="749B164D"/>
    <w:rsid w:val="749C8D7E"/>
    <w:rsid w:val="74A67249"/>
    <w:rsid w:val="74BCF3B5"/>
    <w:rsid w:val="74CB2602"/>
    <w:rsid w:val="74D16E87"/>
    <w:rsid w:val="74E3DC98"/>
    <w:rsid w:val="74F7312A"/>
    <w:rsid w:val="75039D50"/>
    <w:rsid w:val="7504B4FF"/>
    <w:rsid w:val="750A895C"/>
    <w:rsid w:val="751AA6C8"/>
    <w:rsid w:val="75403619"/>
    <w:rsid w:val="755316DF"/>
    <w:rsid w:val="7570F9CA"/>
    <w:rsid w:val="757BD127"/>
    <w:rsid w:val="757EB97A"/>
    <w:rsid w:val="75922374"/>
    <w:rsid w:val="7618B77D"/>
    <w:rsid w:val="761B4719"/>
    <w:rsid w:val="76573FAF"/>
    <w:rsid w:val="7672BB56"/>
    <w:rsid w:val="7675DFE8"/>
    <w:rsid w:val="7676C149"/>
    <w:rsid w:val="7685ABBB"/>
    <w:rsid w:val="7688BA16"/>
    <w:rsid w:val="768A9B8A"/>
    <w:rsid w:val="76A8AC1D"/>
    <w:rsid w:val="76C6F184"/>
    <w:rsid w:val="76E424C1"/>
    <w:rsid w:val="76F2C96D"/>
    <w:rsid w:val="7702DB06"/>
    <w:rsid w:val="770336AA"/>
    <w:rsid w:val="7725C0DE"/>
    <w:rsid w:val="7732F493"/>
    <w:rsid w:val="77401674"/>
    <w:rsid w:val="7743D3F7"/>
    <w:rsid w:val="7759BEA2"/>
    <w:rsid w:val="775A9D46"/>
    <w:rsid w:val="7787F355"/>
    <w:rsid w:val="778E15C9"/>
    <w:rsid w:val="779D1D0D"/>
    <w:rsid w:val="779FF80F"/>
    <w:rsid w:val="77C1484F"/>
    <w:rsid w:val="77CF2460"/>
    <w:rsid w:val="77CFD659"/>
    <w:rsid w:val="77E4DC60"/>
    <w:rsid w:val="77FF4575"/>
    <w:rsid w:val="78035AB5"/>
    <w:rsid w:val="78437842"/>
    <w:rsid w:val="7850FDA4"/>
    <w:rsid w:val="78537986"/>
    <w:rsid w:val="7853FD8C"/>
    <w:rsid w:val="787069AC"/>
    <w:rsid w:val="788D1991"/>
    <w:rsid w:val="78956977"/>
    <w:rsid w:val="789C8DDE"/>
    <w:rsid w:val="78AAAA2E"/>
    <w:rsid w:val="78E3E84F"/>
    <w:rsid w:val="790DE33F"/>
    <w:rsid w:val="795B2DD7"/>
    <w:rsid w:val="79622626"/>
    <w:rsid w:val="797AA214"/>
    <w:rsid w:val="79C0297D"/>
    <w:rsid w:val="79CD68ED"/>
    <w:rsid w:val="79D235AF"/>
    <w:rsid w:val="79DC0D1E"/>
    <w:rsid w:val="79DDE83F"/>
    <w:rsid w:val="79EBF537"/>
    <w:rsid w:val="7A09E5C6"/>
    <w:rsid w:val="7A208C16"/>
    <w:rsid w:val="7A26047A"/>
    <w:rsid w:val="7A2E9313"/>
    <w:rsid w:val="7A458545"/>
    <w:rsid w:val="7A464368"/>
    <w:rsid w:val="7A904992"/>
    <w:rsid w:val="7AA47CD7"/>
    <w:rsid w:val="7AC62786"/>
    <w:rsid w:val="7ACCB526"/>
    <w:rsid w:val="7ADA39E2"/>
    <w:rsid w:val="7ADF51E8"/>
    <w:rsid w:val="7AE23B17"/>
    <w:rsid w:val="7AFBFF51"/>
    <w:rsid w:val="7B06B01D"/>
    <w:rsid w:val="7B4E0114"/>
    <w:rsid w:val="7B6C75B0"/>
    <w:rsid w:val="7B6D04BA"/>
    <w:rsid w:val="7B814ACF"/>
    <w:rsid w:val="7B970C67"/>
    <w:rsid w:val="7B9A342E"/>
    <w:rsid w:val="7BAC4D81"/>
    <w:rsid w:val="7BEEAB46"/>
    <w:rsid w:val="7C095A58"/>
    <w:rsid w:val="7C14DC80"/>
    <w:rsid w:val="7C332B74"/>
    <w:rsid w:val="7C57F9B5"/>
    <w:rsid w:val="7C804F01"/>
    <w:rsid w:val="7C840F75"/>
    <w:rsid w:val="7CCB7D4D"/>
    <w:rsid w:val="7CD8C813"/>
    <w:rsid w:val="7D4D2854"/>
    <w:rsid w:val="7D55C263"/>
    <w:rsid w:val="7D7A81F9"/>
    <w:rsid w:val="7D8E8322"/>
    <w:rsid w:val="7D8F23F7"/>
    <w:rsid w:val="7DB9FC05"/>
    <w:rsid w:val="7DC155E8"/>
    <w:rsid w:val="7DC24FFE"/>
    <w:rsid w:val="7DCCD45B"/>
    <w:rsid w:val="7E0F0821"/>
    <w:rsid w:val="7E42F527"/>
    <w:rsid w:val="7E4BFAFB"/>
    <w:rsid w:val="7E4FD9D9"/>
    <w:rsid w:val="7E6BF631"/>
    <w:rsid w:val="7E7D9F42"/>
    <w:rsid w:val="7E851C21"/>
    <w:rsid w:val="7ED90580"/>
    <w:rsid w:val="7EE233E6"/>
    <w:rsid w:val="7EED9CAA"/>
    <w:rsid w:val="7EF7A907"/>
    <w:rsid w:val="7F01E4F6"/>
    <w:rsid w:val="7F05E889"/>
    <w:rsid w:val="7F12AB9E"/>
    <w:rsid w:val="7F1F82B3"/>
    <w:rsid w:val="7F4398EE"/>
    <w:rsid w:val="7F5CFDEB"/>
    <w:rsid w:val="7FB5F9D5"/>
    <w:rsid w:val="7FC7CEA1"/>
    <w:rsid w:val="7FFAD5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CD8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412"/>
  </w:style>
  <w:style w:type="paragraph" w:styleId="Heading1">
    <w:name w:val="heading 1"/>
    <w:basedOn w:val="Normal"/>
    <w:next w:val="Normal"/>
    <w:link w:val="Heading1Char"/>
    <w:uiPriority w:val="9"/>
    <w:qFormat/>
    <w:rsid w:val="00F13451"/>
    <w:pPr>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Normal"/>
    <w:link w:val="Heading2Char"/>
    <w:uiPriority w:val="9"/>
    <w:unhideWhenUsed/>
    <w:qFormat/>
    <w:rsid w:val="00F13451"/>
    <w:pPr>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Normal"/>
    <w:link w:val="Heading3Char"/>
    <w:uiPriority w:val="9"/>
    <w:unhideWhenUsed/>
    <w:qFormat/>
    <w:rsid w:val="00F13451"/>
    <w:pPr>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basedOn w:val="Normal"/>
    <w:next w:val="Normal"/>
    <w:link w:val="Heading4Char"/>
    <w:uiPriority w:val="9"/>
    <w:unhideWhenUsed/>
    <w:qFormat/>
    <w:rsid w:val="00A6656C"/>
    <w:pPr>
      <w:keepNext/>
      <w:keepLines/>
      <w:spacing w:before="240" w:after="0"/>
      <w:outlineLvl w:val="3"/>
    </w:pPr>
    <w:rPr>
      <w:rFonts w:ascii="Work Sans" w:eastAsiaTheme="majorEastAsia" w:hAnsi="Work Sans" w:cstheme="majorBidi"/>
      <w:i/>
      <w:iCs/>
      <w:color w:val="2F5496" w:themeColor="accent1" w:themeShade="BF"/>
      <w:sz w:val="24"/>
      <w:szCs w:val="24"/>
    </w:rPr>
  </w:style>
  <w:style w:type="paragraph" w:styleId="Heading5">
    <w:name w:val="heading 5"/>
    <w:basedOn w:val="Normal"/>
    <w:next w:val="Normal"/>
    <w:link w:val="Heading5Char"/>
    <w:uiPriority w:val="9"/>
    <w:unhideWhenUsed/>
    <w:qFormat/>
    <w:rsid w:val="00605C59"/>
    <w:pPr>
      <w:keepNext/>
      <w:keepLines/>
      <w:spacing w:before="240" w:after="0"/>
      <w:outlineLvl w:val="4"/>
    </w:pPr>
    <w:rPr>
      <w:rFonts w:ascii="Work Sans" w:eastAsiaTheme="majorEastAsia" w:hAnsi="Work Sans" w:cstheme="majorBidi"/>
      <w:color w:val="767171" w:themeColor="background2" w:themeShade="80"/>
      <w:sz w:val="24"/>
      <w:szCs w:val="24"/>
    </w:rPr>
  </w:style>
  <w:style w:type="paragraph" w:styleId="Heading6">
    <w:name w:val="heading 6"/>
    <w:basedOn w:val="Normal"/>
    <w:next w:val="Normal"/>
    <w:link w:val="Heading6Char"/>
    <w:uiPriority w:val="9"/>
    <w:unhideWhenUsed/>
    <w:qFormat/>
    <w:rsid w:val="00FE077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9341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841"/>
  </w:style>
  <w:style w:type="paragraph" w:styleId="Footer">
    <w:name w:val="footer"/>
    <w:basedOn w:val="Normal"/>
    <w:link w:val="FooterChar"/>
    <w:uiPriority w:val="99"/>
    <w:unhideWhenUsed/>
    <w:rsid w:val="00CF2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841"/>
  </w:style>
  <w:style w:type="character" w:customStyle="1" w:styleId="Heading1Char">
    <w:name w:val="Heading 1 Char"/>
    <w:basedOn w:val="DefaultParagraphFont"/>
    <w:link w:val="Heading1"/>
    <w:uiPriority w:val="9"/>
    <w:rsid w:val="00F13451"/>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F13451"/>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F13451"/>
    <w:rPr>
      <w:rFonts w:ascii="Work Sans" w:eastAsia="Times New Roman" w:hAnsi="Work Sans" w:cs="Open Sans"/>
      <w:b/>
      <w:bCs/>
      <w:color w:val="006991"/>
      <w:sz w:val="28"/>
      <w:szCs w:val="28"/>
    </w:rPr>
  </w:style>
  <w:style w:type="table" w:styleId="TableGrid">
    <w:name w:val="Table Grid"/>
    <w:basedOn w:val="TableNormal"/>
    <w:uiPriority w:val="39"/>
    <w:rsid w:val="00D60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070D16"/>
    <w:pPr>
      <w:keepNext/>
      <w:keepLines/>
      <w:tabs>
        <w:tab w:val="left" w:pos="1134"/>
        <w:tab w:val="left" w:pos="1418"/>
      </w:tabs>
      <w:spacing w:before="240" w:after="120" w:line="240" w:lineRule="auto"/>
      <w:ind w:left="1134" w:hanging="1134"/>
    </w:pPr>
    <w:rPr>
      <w:rFonts w:ascii="Work Sans" w:eastAsia="Calibri" w:hAnsi="Work Sans" w:cs="Times New Roman"/>
      <w:sz w:val="20"/>
      <w:szCs w:val="20"/>
    </w:rPr>
  </w:style>
  <w:style w:type="character" w:customStyle="1" w:styleId="CaptionChar">
    <w:name w:val="Caption Char"/>
    <w:basedOn w:val="DefaultParagraphFont"/>
    <w:link w:val="Caption"/>
    <w:rsid w:val="00070D16"/>
    <w:rPr>
      <w:rFonts w:ascii="Work Sans" w:eastAsia="Calibri" w:hAnsi="Work Sans" w:cs="Times New Roman"/>
      <w:sz w:val="20"/>
      <w:szCs w:val="20"/>
    </w:rPr>
  </w:style>
  <w:style w:type="paragraph" w:styleId="FootnoteText">
    <w:name w:val="footnote text"/>
    <w:basedOn w:val="Normal"/>
    <w:link w:val="FootnoteTextChar"/>
    <w:uiPriority w:val="99"/>
    <w:unhideWhenUsed/>
    <w:qFormat/>
    <w:rsid w:val="005A2412"/>
    <w:pPr>
      <w:spacing w:before="40" w:after="0" w:line="240" w:lineRule="auto"/>
      <w:ind w:left="142" w:hanging="142"/>
    </w:pPr>
    <w:rPr>
      <w:rFonts w:ascii="Work Sans" w:hAnsi="Work Sans"/>
      <w:sz w:val="14"/>
      <w:szCs w:val="20"/>
    </w:rPr>
  </w:style>
  <w:style w:type="character" w:customStyle="1" w:styleId="FootnoteTextChar">
    <w:name w:val="Footnote Text Char"/>
    <w:basedOn w:val="DefaultParagraphFont"/>
    <w:link w:val="FootnoteText"/>
    <w:uiPriority w:val="99"/>
    <w:rsid w:val="005A2412"/>
    <w:rPr>
      <w:rFonts w:ascii="Work Sans" w:hAnsi="Work Sans"/>
      <w:sz w:val="14"/>
      <w:szCs w:val="20"/>
    </w:rPr>
  </w:style>
  <w:style w:type="character" w:styleId="FootnoteReference">
    <w:name w:val="footnote reference"/>
    <w:unhideWhenUsed/>
    <w:qFormat/>
    <w:rsid w:val="00566C73"/>
    <w:rPr>
      <w:rFonts w:ascii="Work Sans" w:hAnsi="Work Sans"/>
      <w:sz w:val="16"/>
      <w:szCs w:val="16"/>
    </w:rPr>
  </w:style>
  <w:style w:type="paragraph" w:styleId="ListParagraph">
    <w:name w:val="List Paragraph"/>
    <w:basedOn w:val="Normal"/>
    <w:link w:val="ListParagraphChar"/>
    <w:uiPriority w:val="34"/>
    <w:qFormat/>
    <w:rsid w:val="00F13451"/>
    <w:pPr>
      <w:tabs>
        <w:tab w:val="left" w:pos="567"/>
      </w:tabs>
      <w:spacing w:before="240" w:after="0" w:line="300" w:lineRule="atLeast"/>
      <w:jc w:val="both"/>
    </w:pPr>
    <w:rPr>
      <w:rFonts w:ascii="Work Sans" w:eastAsia="Times New Roman" w:hAnsi="Work Sans" w:cs="Times New Roman"/>
      <w:sz w:val="24"/>
      <w:szCs w:val="24"/>
      <w:lang w:eastAsia="en-AU"/>
    </w:rPr>
  </w:style>
  <w:style w:type="character" w:styleId="CommentReference">
    <w:name w:val="annotation reference"/>
    <w:basedOn w:val="DefaultParagraphFont"/>
    <w:uiPriority w:val="99"/>
    <w:semiHidden/>
    <w:unhideWhenUsed/>
    <w:rsid w:val="00700D8A"/>
    <w:rPr>
      <w:sz w:val="16"/>
      <w:szCs w:val="16"/>
    </w:rPr>
  </w:style>
  <w:style w:type="paragraph" w:styleId="CommentText">
    <w:name w:val="annotation text"/>
    <w:basedOn w:val="Normal"/>
    <w:link w:val="CommentTextChar"/>
    <w:uiPriority w:val="99"/>
    <w:unhideWhenUsed/>
    <w:rsid w:val="00700D8A"/>
    <w:pPr>
      <w:spacing w:line="240" w:lineRule="auto"/>
    </w:pPr>
    <w:rPr>
      <w:sz w:val="20"/>
      <w:szCs w:val="20"/>
    </w:rPr>
  </w:style>
  <w:style w:type="character" w:customStyle="1" w:styleId="CommentTextChar">
    <w:name w:val="Comment Text Char"/>
    <w:basedOn w:val="DefaultParagraphFont"/>
    <w:link w:val="CommentText"/>
    <w:uiPriority w:val="99"/>
    <w:rsid w:val="00700D8A"/>
    <w:rPr>
      <w:sz w:val="20"/>
      <w:szCs w:val="20"/>
    </w:rPr>
  </w:style>
  <w:style w:type="paragraph" w:styleId="CommentSubject">
    <w:name w:val="annotation subject"/>
    <w:basedOn w:val="CommentText"/>
    <w:next w:val="CommentText"/>
    <w:link w:val="CommentSubjectChar"/>
    <w:uiPriority w:val="99"/>
    <w:semiHidden/>
    <w:unhideWhenUsed/>
    <w:rsid w:val="00700D8A"/>
    <w:rPr>
      <w:b/>
      <w:bCs/>
    </w:rPr>
  </w:style>
  <w:style w:type="character" w:customStyle="1" w:styleId="CommentSubjectChar">
    <w:name w:val="Comment Subject Char"/>
    <w:basedOn w:val="CommentTextChar"/>
    <w:link w:val="CommentSubject"/>
    <w:uiPriority w:val="99"/>
    <w:semiHidden/>
    <w:rsid w:val="00700D8A"/>
    <w:rPr>
      <w:b/>
      <w:bCs/>
      <w:sz w:val="20"/>
      <w:szCs w:val="20"/>
    </w:rPr>
  </w:style>
  <w:style w:type="character" w:styleId="Hyperlink">
    <w:name w:val="Hyperlink"/>
    <w:basedOn w:val="DefaultParagraphFont"/>
    <w:uiPriority w:val="99"/>
    <w:unhideWhenUsed/>
    <w:qFormat/>
    <w:rsid w:val="009C7631"/>
    <w:rPr>
      <w:color w:val="0563C1" w:themeColor="hyperlink"/>
      <w:u w:val="single"/>
    </w:rPr>
  </w:style>
  <w:style w:type="character" w:styleId="UnresolvedMention">
    <w:name w:val="Unresolved Mention"/>
    <w:basedOn w:val="DefaultParagraphFont"/>
    <w:uiPriority w:val="99"/>
    <w:unhideWhenUsed/>
    <w:rsid w:val="009C7631"/>
    <w:rPr>
      <w:color w:val="605E5C"/>
      <w:shd w:val="clear" w:color="auto" w:fill="E1DFDD"/>
    </w:rPr>
  </w:style>
  <w:style w:type="character" w:styleId="FollowedHyperlink">
    <w:name w:val="FollowedHyperlink"/>
    <w:basedOn w:val="DefaultParagraphFont"/>
    <w:uiPriority w:val="99"/>
    <w:semiHidden/>
    <w:unhideWhenUsed/>
    <w:rsid w:val="00891BAA"/>
    <w:rPr>
      <w:color w:val="954F72" w:themeColor="followedHyperlink"/>
      <w:u w:val="single"/>
    </w:rPr>
  </w:style>
  <w:style w:type="table" w:customStyle="1" w:styleId="TableGrid1">
    <w:name w:val="Table Grid1"/>
    <w:basedOn w:val="TableNormal"/>
    <w:next w:val="TableGrid"/>
    <w:uiPriority w:val="39"/>
    <w:rsid w:val="00873C95"/>
    <w:pPr>
      <w:tabs>
        <w:tab w:val="left" w:pos="1418"/>
        <w:tab w:val="left" w:pos="2268"/>
        <w:tab w:val="left" w:pos="2835"/>
      </w:tab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Normal"/>
    <w:link w:val="TablenoteChar"/>
    <w:qFormat/>
    <w:rsid w:val="002A718F"/>
    <w:pPr>
      <w:tabs>
        <w:tab w:val="left" w:pos="567"/>
        <w:tab w:val="left" w:pos="680"/>
      </w:tabs>
      <w:spacing w:before="40" w:after="0" w:line="240" w:lineRule="auto"/>
      <w:ind w:left="340" w:hanging="227"/>
    </w:pPr>
    <w:rPr>
      <w:rFonts w:ascii="Open Sans Light" w:eastAsia="Calibri" w:hAnsi="Open Sans Light" w:cs="Times New Roman"/>
      <w:sz w:val="14"/>
    </w:rPr>
  </w:style>
  <w:style w:type="paragraph" w:customStyle="1" w:styleId="CGCTablenote">
    <w:name w:val="CGC Table note"/>
    <w:basedOn w:val="Normal"/>
    <w:next w:val="Normal"/>
    <w:link w:val="CGCTablenoteChar"/>
    <w:qFormat/>
    <w:rsid w:val="00070D16"/>
    <w:pPr>
      <w:tabs>
        <w:tab w:val="left" w:pos="567"/>
        <w:tab w:val="left" w:pos="680"/>
      </w:tabs>
      <w:spacing w:before="40" w:after="0" w:line="240" w:lineRule="auto"/>
      <w:ind w:left="340" w:hanging="227"/>
    </w:pPr>
    <w:rPr>
      <w:rFonts w:ascii="Work Sans" w:hAnsi="Work Sans"/>
      <w:sz w:val="14"/>
    </w:rPr>
  </w:style>
  <w:style w:type="character" w:customStyle="1" w:styleId="TablenoteChar">
    <w:name w:val="Table note Char"/>
    <w:basedOn w:val="DefaultParagraphFont"/>
    <w:link w:val="Tablenote"/>
    <w:rsid w:val="002A718F"/>
    <w:rPr>
      <w:rFonts w:ascii="Open Sans Light" w:eastAsia="Calibri" w:hAnsi="Open Sans Light" w:cs="Times New Roman"/>
      <w:sz w:val="14"/>
    </w:rPr>
  </w:style>
  <w:style w:type="paragraph" w:customStyle="1" w:styleId="Bulletpoint">
    <w:name w:val="Bullet point"/>
    <w:basedOn w:val="ListParagraph"/>
    <w:link w:val="BulletpointChar"/>
    <w:qFormat/>
    <w:rsid w:val="001F2C60"/>
    <w:pPr>
      <w:jc w:val="left"/>
    </w:pPr>
  </w:style>
  <w:style w:type="character" w:customStyle="1" w:styleId="ListParagraphChar">
    <w:name w:val="List Paragraph Char"/>
    <w:basedOn w:val="DefaultParagraphFont"/>
    <w:link w:val="ListParagraph"/>
    <w:uiPriority w:val="34"/>
    <w:rsid w:val="002A718F"/>
    <w:rPr>
      <w:rFonts w:ascii="Work Sans" w:eastAsia="Times New Roman" w:hAnsi="Work Sans" w:cs="Times New Roman"/>
      <w:sz w:val="24"/>
      <w:szCs w:val="24"/>
      <w:lang w:eastAsia="en-AU"/>
    </w:rPr>
  </w:style>
  <w:style w:type="character" w:customStyle="1" w:styleId="BulletpointChar">
    <w:name w:val="Bullet point Char"/>
    <w:basedOn w:val="ListParagraphChar"/>
    <w:link w:val="Bulletpoint"/>
    <w:rsid w:val="002A718F"/>
    <w:rPr>
      <w:rFonts w:ascii="Work Sans" w:eastAsia="Times New Roman" w:hAnsi="Work Sans" w:cs="Times New Roman"/>
      <w:sz w:val="24"/>
      <w:szCs w:val="24"/>
      <w:lang w:eastAsia="en-AU"/>
    </w:rPr>
  </w:style>
  <w:style w:type="paragraph" w:customStyle="1" w:styleId="CGCParaNumber">
    <w:name w:val="CGC Para Number"/>
    <w:basedOn w:val="Normal"/>
    <w:link w:val="CGCParaNumberChar"/>
    <w:qFormat/>
    <w:rsid w:val="00B5532F"/>
    <w:pPr>
      <w:numPr>
        <w:numId w:val="2"/>
      </w:numPr>
      <w:tabs>
        <w:tab w:val="left" w:pos="567"/>
      </w:tabs>
      <w:spacing w:before="120" w:after="0" w:line="254" w:lineRule="auto"/>
    </w:pPr>
    <w:rPr>
      <w:rFonts w:ascii="Work Sans" w:hAnsi="Work Sans"/>
      <w:sz w:val="20"/>
      <w:szCs w:val="20"/>
    </w:rPr>
  </w:style>
  <w:style w:type="character" w:customStyle="1" w:styleId="Heading4Char">
    <w:name w:val="Heading 4 Char"/>
    <w:basedOn w:val="DefaultParagraphFont"/>
    <w:link w:val="Heading4"/>
    <w:uiPriority w:val="9"/>
    <w:rsid w:val="002C78BA"/>
    <w:rPr>
      <w:rFonts w:ascii="Work Sans" w:eastAsiaTheme="majorEastAsia" w:hAnsi="Work Sans" w:cstheme="majorBidi"/>
      <w:i/>
      <w:iCs/>
      <w:color w:val="2F5496" w:themeColor="accent1" w:themeShade="BF"/>
      <w:sz w:val="24"/>
      <w:szCs w:val="24"/>
    </w:rPr>
  </w:style>
  <w:style w:type="character" w:customStyle="1" w:styleId="Heading5Char">
    <w:name w:val="Heading 5 Char"/>
    <w:basedOn w:val="DefaultParagraphFont"/>
    <w:link w:val="Heading5"/>
    <w:uiPriority w:val="9"/>
    <w:rsid w:val="002C78BA"/>
    <w:rPr>
      <w:rFonts w:ascii="Work Sans" w:eastAsiaTheme="majorEastAsia" w:hAnsi="Work Sans" w:cstheme="majorBidi"/>
      <w:color w:val="767171" w:themeColor="background2" w:themeShade="80"/>
      <w:sz w:val="24"/>
      <w:szCs w:val="24"/>
    </w:rPr>
  </w:style>
  <w:style w:type="paragraph" w:customStyle="1" w:styleId="CGCTablerow">
    <w:name w:val="CGC Table row"/>
    <w:basedOn w:val="Normal"/>
    <w:qFormat/>
    <w:rsid w:val="001C7DFA"/>
    <w:pPr>
      <w:tabs>
        <w:tab w:val="left" w:pos="567"/>
      </w:tabs>
      <w:spacing w:after="0" w:line="240" w:lineRule="auto"/>
    </w:pPr>
    <w:rPr>
      <w:rFonts w:ascii="Work Sans" w:hAnsi="Work Sans"/>
      <w:sz w:val="16"/>
    </w:rPr>
  </w:style>
  <w:style w:type="paragraph" w:customStyle="1" w:styleId="CGCBullet1">
    <w:name w:val="CGC Bullet 1"/>
    <w:basedOn w:val="BodyText"/>
    <w:link w:val="CGCBullet1Char"/>
    <w:qFormat/>
    <w:rsid w:val="00F96BF4"/>
    <w:pPr>
      <w:numPr>
        <w:numId w:val="1"/>
      </w:numPr>
      <w:spacing w:before="120" w:line="254" w:lineRule="auto"/>
      <w:jc w:val="left"/>
    </w:pPr>
    <w:rPr>
      <w:rFonts w:ascii="Work Sans" w:hAnsi="Work Sans"/>
      <w:sz w:val="20"/>
    </w:rPr>
  </w:style>
  <w:style w:type="paragraph" w:styleId="Revision">
    <w:name w:val="Revision"/>
    <w:hidden/>
    <w:uiPriority w:val="99"/>
    <w:semiHidden/>
    <w:rsid w:val="00557ED7"/>
    <w:pPr>
      <w:spacing w:after="0" w:line="240" w:lineRule="auto"/>
    </w:pPr>
  </w:style>
  <w:style w:type="paragraph" w:styleId="TOC3">
    <w:name w:val="toc 3"/>
    <w:basedOn w:val="TOC2"/>
    <w:next w:val="Normal"/>
    <w:uiPriority w:val="39"/>
    <w:rsid w:val="00C3169C"/>
    <w:pPr>
      <w:tabs>
        <w:tab w:val="right" w:pos="8942"/>
      </w:tabs>
      <w:spacing w:before="120" w:after="0" w:line="254" w:lineRule="auto"/>
      <w:ind w:left="397"/>
    </w:pPr>
    <w:rPr>
      <w:rFonts w:ascii="Open Sans Light" w:hAnsi="Open Sans Light"/>
      <w:bCs/>
      <w:iCs/>
      <w:color w:val="636466"/>
      <w:sz w:val="20"/>
      <w:szCs w:val="20"/>
    </w:rPr>
  </w:style>
  <w:style w:type="paragraph" w:styleId="TOC2">
    <w:name w:val="toc 2"/>
    <w:basedOn w:val="Normal"/>
    <w:next w:val="Normal"/>
    <w:autoRedefine/>
    <w:uiPriority w:val="39"/>
    <w:semiHidden/>
    <w:unhideWhenUsed/>
    <w:rsid w:val="00C3169C"/>
    <w:pPr>
      <w:spacing w:after="100"/>
      <w:ind w:left="220"/>
    </w:pPr>
  </w:style>
  <w:style w:type="paragraph" w:styleId="NoSpacing">
    <w:name w:val="No Spacing"/>
    <w:link w:val="NoSpacingChar"/>
    <w:uiPriority w:val="1"/>
    <w:qFormat/>
    <w:rsid w:val="00DF6D8D"/>
    <w:pPr>
      <w:spacing w:after="0" w:line="240" w:lineRule="auto"/>
    </w:pPr>
  </w:style>
  <w:style w:type="character" w:styleId="Mention">
    <w:name w:val="Mention"/>
    <w:basedOn w:val="DefaultParagraphFont"/>
    <w:uiPriority w:val="99"/>
    <w:unhideWhenUsed/>
    <w:rsid w:val="0008044E"/>
    <w:rPr>
      <w:color w:val="2B579A"/>
      <w:shd w:val="clear" w:color="auto" w:fill="E1DFDD"/>
    </w:rPr>
  </w:style>
  <w:style w:type="character" w:styleId="Emphasis">
    <w:name w:val="Emphasis"/>
    <w:basedOn w:val="DefaultParagraphFont"/>
    <w:uiPriority w:val="20"/>
    <w:qFormat/>
    <w:rsid w:val="008034EE"/>
    <w:rPr>
      <w:i/>
      <w:iCs/>
    </w:rPr>
  </w:style>
  <w:style w:type="character" w:customStyle="1" w:styleId="Heading6Char">
    <w:name w:val="Heading 6 Char"/>
    <w:basedOn w:val="DefaultParagraphFont"/>
    <w:link w:val="Heading6"/>
    <w:uiPriority w:val="9"/>
    <w:rsid w:val="00FE0775"/>
    <w:rPr>
      <w:rFonts w:asciiTheme="majorHAnsi" w:eastAsiaTheme="majorEastAsia" w:hAnsiTheme="majorHAnsi" w:cstheme="majorBidi"/>
      <w:color w:val="1F3763" w:themeColor="accent1" w:themeShade="7F"/>
    </w:rPr>
  </w:style>
  <w:style w:type="paragraph" w:styleId="BodyText">
    <w:name w:val="Body Text"/>
    <w:link w:val="BodyTextChar"/>
    <w:qFormat/>
    <w:rsid w:val="00003EA5"/>
    <w:pPr>
      <w:spacing w:before="240" w:after="0" w:line="300" w:lineRule="atLeast"/>
      <w:jc w:val="both"/>
    </w:pPr>
    <w:rPr>
      <w:rFonts w:ascii="Open Sans Light" w:eastAsia="Times New Roman" w:hAnsi="Open Sans Light" w:cs="Times New Roman"/>
      <w:sz w:val="24"/>
      <w:szCs w:val="20"/>
      <w:lang w:eastAsia="en-AU"/>
    </w:rPr>
  </w:style>
  <w:style w:type="character" w:customStyle="1" w:styleId="BodyTextChar">
    <w:name w:val="Body Text Char"/>
    <w:basedOn w:val="DefaultParagraphFont"/>
    <w:link w:val="BodyText"/>
    <w:rsid w:val="00003EA5"/>
    <w:rPr>
      <w:rFonts w:ascii="Open Sans Light" w:eastAsia="Times New Roman" w:hAnsi="Open Sans Light" w:cs="Times New Roman"/>
      <w:sz w:val="24"/>
      <w:szCs w:val="20"/>
      <w:lang w:eastAsia="en-AU"/>
    </w:rPr>
  </w:style>
  <w:style w:type="character" w:customStyle="1" w:styleId="normaltextrun">
    <w:name w:val="normaltextrun"/>
    <w:basedOn w:val="DefaultParagraphFont"/>
    <w:rsid w:val="001B511F"/>
  </w:style>
  <w:style w:type="character" w:customStyle="1" w:styleId="eop">
    <w:name w:val="eop"/>
    <w:basedOn w:val="DefaultParagraphFont"/>
    <w:rsid w:val="001B511F"/>
  </w:style>
  <w:style w:type="paragraph" w:customStyle="1" w:styleId="paragraph">
    <w:name w:val="paragraph"/>
    <w:basedOn w:val="Normal"/>
    <w:rsid w:val="004470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7Char">
    <w:name w:val="Heading 7 Char"/>
    <w:basedOn w:val="DefaultParagraphFont"/>
    <w:link w:val="Heading7"/>
    <w:uiPriority w:val="9"/>
    <w:rsid w:val="00A93413"/>
    <w:rPr>
      <w:rFonts w:asciiTheme="majorHAnsi" w:eastAsiaTheme="majorEastAsia" w:hAnsiTheme="majorHAnsi" w:cstheme="majorBidi"/>
      <w:i/>
      <w:iCs/>
      <w:color w:val="1F3763" w:themeColor="accent1" w:themeShade="7F"/>
    </w:rPr>
  </w:style>
  <w:style w:type="paragraph" w:customStyle="1" w:styleId="CGC2025ParaNumbers">
    <w:name w:val="CGC 2025 Para Numbers"/>
    <w:basedOn w:val="Normal"/>
    <w:link w:val="CGC2025ParaNumbersChar"/>
    <w:rsid w:val="003E03AF"/>
    <w:pPr>
      <w:tabs>
        <w:tab w:val="num" w:pos="567"/>
      </w:tabs>
      <w:spacing w:before="120" w:after="80" w:line="320" w:lineRule="atLeast"/>
      <w:ind w:left="567" w:hanging="567"/>
    </w:pPr>
    <w:rPr>
      <w:rFonts w:ascii="Work Sans" w:hAnsi="Work Sans"/>
      <w:sz w:val="20"/>
      <w:szCs w:val="24"/>
    </w:rPr>
  </w:style>
  <w:style w:type="paragraph" w:customStyle="1" w:styleId="CGC2025Bullet1">
    <w:name w:val="CGC 2025 Bullet 1"/>
    <w:basedOn w:val="Normal"/>
    <w:qFormat/>
    <w:rsid w:val="003E03AF"/>
    <w:pPr>
      <w:tabs>
        <w:tab w:val="left" w:pos="567"/>
      </w:tabs>
      <w:spacing w:before="120" w:after="0" w:line="254" w:lineRule="auto"/>
      <w:ind w:left="927"/>
    </w:pPr>
    <w:rPr>
      <w:rFonts w:ascii="Work Sans" w:hAnsi="Work Sans"/>
      <w:sz w:val="20"/>
      <w:szCs w:val="20"/>
    </w:rPr>
  </w:style>
  <w:style w:type="paragraph" w:customStyle="1" w:styleId="xmsonormal">
    <w:name w:val="x_msonormal"/>
    <w:basedOn w:val="Normal"/>
    <w:rsid w:val="007101C3"/>
    <w:pPr>
      <w:spacing w:after="0" w:line="240" w:lineRule="auto"/>
    </w:pPr>
    <w:rPr>
      <w:rFonts w:ascii="Calibri" w:hAnsi="Calibri" w:cs="Calibri"/>
      <w:lang w:eastAsia="en-AU"/>
    </w:rPr>
  </w:style>
  <w:style w:type="paragraph" w:customStyle="1" w:styleId="Bullet">
    <w:name w:val="Bullet"/>
    <w:basedOn w:val="Normal"/>
    <w:link w:val="BulletChar"/>
    <w:rsid w:val="00BC2E18"/>
    <w:pPr>
      <w:numPr>
        <w:numId w:val="3"/>
      </w:numPr>
    </w:pPr>
    <w:rPr>
      <w:rFonts w:ascii="Work Sans" w:eastAsia="Times New Roman" w:hAnsi="Work Sans" w:cs="Times New Roman"/>
      <w:sz w:val="20"/>
      <w:szCs w:val="20"/>
      <w:lang w:eastAsia="en-AU"/>
    </w:rPr>
  </w:style>
  <w:style w:type="character" w:customStyle="1" w:styleId="CGCBullet1Char">
    <w:name w:val="CGC Bullet 1 Char"/>
    <w:basedOn w:val="BodyTextChar"/>
    <w:link w:val="CGCBullet1"/>
    <w:rsid w:val="00BC2E18"/>
    <w:rPr>
      <w:rFonts w:ascii="Work Sans" w:eastAsia="Times New Roman" w:hAnsi="Work Sans" w:cs="Times New Roman"/>
      <w:sz w:val="20"/>
      <w:szCs w:val="20"/>
      <w:lang w:eastAsia="en-AU"/>
    </w:rPr>
  </w:style>
  <w:style w:type="character" w:customStyle="1" w:styleId="BulletChar">
    <w:name w:val="Bullet Char"/>
    <w:basedOn w:val="CGCBullet1Char"/>
    <w:link w:val="Bullet"/>
    <w:rsid w:val="00BC2E18"/>
    <w:rPr>
      <w:rFonts w:ascii="Work Sans" w:eastAsia="Times New Roman" w:hAnsi="Work Sans" w:cs="Times New Roman"/>
      <w:sz w:val="20"/>
      <w:szCs w:val="20"/>
      <w:lang w:eastAsia="en-AU"/>
    </w:rPr>
  </w:style>
  <w:style w:type="paragraph" w:customStyle="1" w:styleId="Dash">
    <w:name w:val="Dash"/>
    <w:basedOn w:val="Normal"/>
    <w:link w:val="DashChar"/>
    <w:rsid w:val="00BC2E18"/>
    <w:pPr>
      <w:numPr>
        <w:ilvl w:val="1"/>
        <w:numId w:val="3"/>
      </w:numPr>
    </w:pPr>
    <w:rPr>
      <w:rFonts w:ascii="Work Sans" w:eastAsia="Times New Roman" w:hAnsi="Work Sans" w:cs="Times New Roman"/>
      <w:sz w:val="20"/>
      <w:szCs w:val="20"/>
      <w:lang w:eastAsia="en-AU"/>
    </w:rPr>
  </w:style>
  <w:style w:type="character" w:customStyle="1" w:styleId="DashChar">
    <w:name w:val="Dash Char"/>
    <w:basedOn w:val="CGCBullet1Char"/>
    <w:link w:val="Dash"/>
    <w:rsid w:val="00BC2E18"/>
    <w:rPr>
      <w:rFonts w:ascii="Work Sans" w:eastAsia="Times New Roman" w:hAnsi="Work Sans" w:cs="Times New Roman"/>
      <w:sz w:val="20"/>
      <w:szCs w:val="20"/>
      <w:lang w:eastAsia="en-AU"/>
    </w:rPr>
  </w:style>
  <w:style w:type="paragraph" w:customStyle="1" w:styleId="DoubleDot">
    <w:name w:val="Double Dot"/>
    <w:basedOn w:val="Normal"/>
    <w:link w:val="DoubleDotChar"/>
    <w:rsid w:val="00BC2E18"/>
    <w:pPr>
      <w:numPr>
        <w:ilvl w:val="2"/>
        <w:numId w:val="3"/>
      </w:numPr>
    </w:pPr>
    <w:rPr>
      <w:rFonts w:ascii="Work Sans" w:eastAsia="Times New Roman" w:hAnsi="Work Sans" w:cs="Times New Roman"/>
      <w:sz w:val="20"/>
      <w:szCs w:val="20"/>
      <w:lang w:eastAsia="en-AU"/>
    </w:rPr>
  </w:style>
  <w:style w:type="character" w:customStyle="1" w:styleId="DoubleDotChar">
    <w:name w:val="Double Dot Char"/>
    <w:basedOn w:val="CGCBullet1Char"/>
    <w:link w:val="DoubleDot"/>
    <w:rsid w:val="00BC2E18"/>
    <w:rPr>
      <w:rFonts w:ascii="Work Sans" w:eastAsia="Times New Roman" w:hAnsi="Work Sans" w:cs="Times New Roman"/>
      <w:sz w:val="20"/>
      <w:szCs w:val="20"/>
      <w:lang w:eastAsia="en-AU"/>
    </w:rPr>
  </w:style>
  <w:style w:type="character" w:customStyle="1" w:styleId="CGCParaNumberChar">
    <w:name w:val="CGC Para Number Char"/>
    <w:basedOn w:val="DefaultParagraphFont"/>
    <w:link w:val="CGCParaNumber"/>
    <w:rsid w:val="00070D16"/>
    <w:rPr>
      <w:rFonts w:ascii="Work Sans" w:hAnsi="Work Sans"/>
      <w:sz w:val="20"/>
      <w:szCs w:val="20"/>
    </w:rPr>
  </w:style>
  <w:style w:type="paragraph" w:customStyle="1" w:styleId="CGCDataCaption">
    <w:name w:val="CGC Data Caption"/>
    <w:basedOn w:val="Normal"/>
    <w:next w:val="NoSpacing"/>
    <w:link w:val="DataCaptionChar"/>
    <w:rsid w:val="00070D16"/>
    <w:pPr>
      <w:tabs>
        <w:tab w:val="left" w:pos="851"/>
      </w:tabs>
      <w:spacing w:line="240" w:lineRule="auto"/>
      <w:ind w:left="851" w:hanging="851"/>
    </w:pPr>
    <w:rPr>
      <w:szCs w:val="24"/>
    </w:rPr>
  </w:style>
  <w:style w:type="character" w:customStyle="1" w:styleId="DataCaptionChar">
    <w:name w:val="Data Caption Char"/>
    <w:basedOn w:val="DefaultParagraphFont"/>
    <w:link w:val="CGCDataCaption"/>
    <w:rsid w:val="00070D16"/>
    <w:rPr>
      <w:szCs w:val="24"/>
    </w:rPr>
  </w:style>
  <w:style w:type="paragraph" w:customStyle="1" w:styleId="CGC2025Caption">
    <w:name w:val="CGC 2025 Caption"/>
    <w:basedOn w:val="Normal"/>
    <w:qFormat/>
    <w:rsid w:val="00070D16"/>
    <w:pPr>
      <w:tabs>
        <w:tab w:val="left" w:pos="567"/>
      </w:tabs>
      <w:spacing w:before="240" w:after="120" w:line="240" w:lineRule="auto"/>
    </w:pPr>
    <w:rPr>
      <w:rFonts w:ascii="Work Sans" w:hAnsi="Work Sans"/>
      <w:b/>
      <w:sz w:val="20"/>
    </w:rPr>
  </w:style>
  <w:style w:type="paragraph" w:customStyle="1" w:styleId="BulletPoints">
    <w:name w:val="Bullet Points"/>
    <w:basedOn w:val="Normal"/>
    <w:qFormat/>
    <w:rsid w:val="00C04FEB"/>
    <w:pPr>
      <w:numPr>
        <w:numId w:val="5"/>
      </w:numPr>
      <w:spacing w:before="60" w:after="0" w:line="276" w:lineRule="auto"/>
    </w:pPr>
    <w:rPr>
      <w:rFonts w:ascii="Work Sans" w:eastAsia="Calibri" w:hAnsi="Work Sans" w:cs="Arial"/>
      <w:sz w:val="20"/>
    </w:rPr>
  </w:style>
  <w:style w:type="character" w:customStyle="1" w:styleId="CGCTablenoteChar">
    <w:name w:val="CGC Table note Char"/>
    <w:basedOn w:val="DefaultParagraphFont"/>
    <w:link w:val="CGCTablenote"/>
    <w:rsid w:val="00F429CF"/>
    <w:rPr>
      <w:rFonts w:ascii="Work Sans" w:hAnsi="Work Sans"/>
      <w:sz w:val="14"/>
    </w:rPr>
  </w:style>
  <w:style w:type="character" w:customStyle="1" w:styleId="NoSpacingChar">
    <w:name w:val="No Spacing Char"/>
    <w:basedOn w:val="DefaultParagraphFont"/>
    <w:link w:val="NoSpacing"/>
    <w:uiPriority w:val="1"/>
    <w:rsid w:val="00D160EB"/>
  </w:style>
  <w:style w:type="paragraph" w:customStyle="1" w:styleId="CGC2025QuestionNumbers">
    <w:name w:val="CGC 2025 Question Numbers"/>
    <w:basedOn w:val="Normal"/>
    <w:qFormat/>
    <w:rsid w:val="00DB01BB"/>
    <w:pPr>
      <w:numPr>
        <w:numId w:val="6"/>
      </w:numPr>
      <w:spacing w:after="120"/>
      <w:ind w:left="0" w:firstLine="0"/>
    </w:pPr>
    <w:rPr>
      <w:rFonts w:ascii="Work Sans" w:hAnsi="Work Sans" w:cs="Open Sans Light"/>
      <w:szCs w:val="20"/>
    </w:rPr>
  </w:style>
  <w:style w:type="paragraph" w:customStyle="1" w:styleId="Tableheading">
    <w:name w:val="Table heading"/>
    <w:basedOn w:val="BodyText"/>
    <w:uiPriority w:val="99"/>
    <w:rsid w:val="006C2FC5"/>
    <w:pPr>
      <w:spacing w:before="160" w:after="120" w:line="240" w:lineRule="auto"/>
    </w:pPr>
    <w:rPr>
      <w:rFonts w:ascii="Work Sans SemiBold" w:hAnsi="Work Sans SemiBold"/>
      <w:sz w:val="20"/>
    </w:rPr>
  </w:style>
  <w:style w:type="paragraph" w:customStyle="1" w:styleId="OutlineNumbered1">
    <w:name w:val="Outline Numbered 1"/>
    <w:basedOn w:val="Normal"/>
    <w:link w:val="OutlineNumbered1Char"/>
    <w:rsid w:val="00C06369"/>
    <w:pPr>
      <w:numPr>
        <w:numId w:val="7"/>
      </w:numPr>
    </w:pPr>
    <w:rPr>
      <w:rFonts w:ascii="Work Sans" w:hAnsi="Work Sans"/>
      <w:sz w:val="20"/>
      <w:szCs w:val="24"/>
    </w:rPr>
  </w:style>
  <w:style w:type="character" w:customStyle="1" w:styleId="CGC2025ParaNumbersChar">
    <w:name w:val="CGC 2025 Para Numbers Char"/>
    <w:basedOn w:val="DefaultParagraphFont"/>
    <w:link w:val="CGC2025ParaNumbers"/>
    <w:rsid w:val="00C06369"/>
    <w:rPr>
      <w:rFonts w:ascii="Work Sans" w:hAnsi="Work Sans"/>
      <w:sz w:val="20"/>
      <w:szCs w:val="24"/>
    </w:rPr>
  </w:style>
  <w:style w:type="character" w:customStyle="1" w:styleId="OutlineNumbered1Char">
    <w:name w:val="Outline Numbered 1 Char"/>
    <w:basedOn w:val="CGC2025ParaNumbersChar"/>
    <w:link w:val="OutlineNumbered1"/>
    <w:rsid w:val="00C06369"/>
    <w:rPr>
      <w:rFonts w:ascii="Work Sans" w:hAnsi="Work Sans"/>
      <w:sz w:val="20"/>
      <w:szCs w:val="24"/>
    </w:rPr>
  </w:style>
  <w:style w:type="paragraph" w:customStyle="1" w:styleId="OutlineNumbered2">
    <w:name w:val="Outline Numbered 2"/>
    <w:basedOn w:val="Normal"/>
    <w:link w:val="OutlineNumbered2Char"/>
    <w:rsid w:val="00C06369"/>
    <w:pPr>
      <w:numPr>
        <w:ilvl w:val="1"/>
        <w:numId w:val="7"/>
      </w:numPr>
    </w:pPr>
    <w:rPr>
      <w:rFonts w:ascii="Work Sans" w:hAnsi="Work Sans"/>
      <w:sz w:val="20"/>
      <w:szCs w:val="24"/>
    </w:rPr>
  </w:style>
  <w:style w:type="character" w:customStyle="1" w:styleId="OutlineNumbered2Char">
    <w:name w:val="Outline Numbered 2 Char"/>
    <w:basedOn w:val="CGC2025ParaNumbersChar"/>
    <w:link w:val="OutlineNumbered2"/>
    <w:rsid w:val="00C06369"/>
    <w:rPr>
      <w:rFonts w:ascii="Work Sans" w:hAnsi="Work Sans"/>
      <w:sz w:val="20"/>
      <w:szCs w:val="24"/>
    </w:rPr>
  </w:style>
  <w:style w:type="paragraph" w:customStyle="1" w:styleId="OutlineNumbered3">
    <w:name w:val="Outline Numbered 3"/>
    <w:basedOn w:val="Normal"/>
    <w:link w:val="OutlineNumbered3Char"/>
    <w:rsid w:val="00C06369"/>
    <w:pPr>
      <w:numPr>
        <w:ilvl w:val="2"/>
        <w:numId w:val="7"/>
      </w:numPr>
    </w:pPr>
    <w:rPr>
      <w:rFonts w:ascii="Work Sans" w:hAnsi="Work Sans"/>
      <w:sz w:val="20"/>
      <w:szCs w:val="24"/>
    </w:rPr>
  </w:style>
  <w:style w:type="character" w:customStyle="1" w:styleId="OutlineNumbered3Char">
    <w:name w:val="Outline Numbered 3 Char"/>
    <w:basedOn w:val="CGC2025ParaNumbersChar"/>
    <w:link w:val="OutlineNumbered3"/>
    <w:rsid w:val="00C06369"/>
    <w:rPr>
      <w:rFonts w:ascii="Work Sans" w:hAnsi="Work San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47844">
      <w:bodyDiv w:val="1"/>
      <w:marLeft w:val="0"/>
      <w:marRight w:val="0"/>
      <w:marTop w:val="0"/>
      <w:marBottom w:val="0"/>
      <w:divBdr>
        <w:top w:val="none" w:sz="0" w:space="0" w:color="auto"/>
        <w:left w:val="none" w:sz="0" w:space="0" w:color="auto"/>
        <w:bottom w:val="none" w:sz="0" w:space="0" w:color="auto"/>
        <w:right w:val="none" w:sz="0" w:space="0" w:color="auto"/>
      </w:divBdr>
    </w:div>
    <w:div w:id="107431126">
      <w:bodyDiv w:val="1"/>
      <w:marLeft w:val="0"/>
      <w:marRight w:val="0"/>
      <w:marTop w:val="0"/>
      <w:marBottom w:val="0"/>
      <w:divBdr>
        <w:top w:val="none" w:sz="0" w:space="0" w:color="auto"/>
        <w:left w:val="none" w:sz="0" w:space="0" w:color="auto"/>
        <w:bottom w:val="none" w:sz="0" w:space="0" w:color="auto"/>
        <w:right w:val="none" w:sz="0" w:space="0" w:color="auto"/>
      </w:divBdr>
    </w:div>
    <w:div w:id="126550634">
      <w:bodyDiv w:val="1"/>
      <w:marLeft w:val="0"/>
      <w:marRight w:val="0"/>
      <w:marTop w:val="0"/>
      <w:marBottom w:val="0"/>
      <w:divBdr>
        <w:top w:val="none" w:sz="0" w:space="0" w:color="auto"/>
        <w:left w:val="none" w:sz="0" w:space="0" w:color="auto"/>
        <w:bottom w:val="none" w:sz="0" w:space="0" w:color="auto"/>
        <w:right w:val="none" w:sz="0" w:space="0" w:color="auto"/>
      </w:divBdr>
    </w:div>
    <w:div w:id="235358510">
      <w:bodyDiv w:val="1"/>
      <w:marLeft w:val="0"/>
      <w:marRight w:val="0"/>
      <w:marTop w:val="0"/>
      <w:marBottom w:val="0"/>
      <w:divBdr>
        <w:top w:val="none" w:sz="0" w:space="0" w:color="auto"/>
        <w:left w:val="none" w:sz="0" w:space="0" w:color="auto"/>
        <w:bottom w:val="none" w:sz="0" w:space="0" w:color="auto"/>
        <w:right w:val="none" w:sz="0" w:space="0" w:color="auto"/>
      </w:divBdr>
      <w:divsChild>
        <w:div w:id="5131947">
          <w:marLeft w:val="0"/>
          <w:marRight w:val="0"/>
          <w:marTop w:val="0"/>
          <w:marBottom w:val="0"/>
          <w:divBdr>
            <w:top w:val="none" w:sz="0" w:space="0" w:color="auto"/>
            <w:left w:val="none" w:sz="0" w:space="0" w:color="auto"/>
            <w:bottom w:val="none" w:sz="0" w:space="0" w:color="auto"/>
            <w:right w:val="none" w:sz="0" w:space="0" w:color="auto"/>
          </w:divBdr>
          <w:divsChild>
            <w:div w:id="747313027">
              <w:marLeft w:val="0"/>
              <w:marRight w:val="0"/>
              <w:marTop w:val="0"/>
              <w:marBottom w:val="0"/>
              <w:divBdr>
                <w:top w:val="none" w:sz="0" w:space="0" w:color="auto"/>
                <w:left w:val="none" w:sz="0" w:space="0" w:color="auto"/>
                <w:bottom w:val="none" w:sz="0" w:space="0" w:color="auto"/>
                <w:right w:val="none" w:sz="0" w:space="0" w:color="auto"/>
              </w:divBdr>
            </w:div>
          </w:divsChild>
        </w:div>
        <w:div w:id="37441151">
          <w:marLeft w:val="0"/>
          <w:marRight w:val="0"/>
          <w:marTop w:val="0"/>
          <w:marBottom w:val="0"/>
          <w:divBdr>
            <w:top w:val="none" w:sz="0" w:space="0" w:color="auto"/>
            <w:left w:val="none" w:sz="0" w:space="0" w:color="auto"/>
            <w:bottom w:val="none" w:sz="0" w:space="0" w:color="auto"/>
            <w:right w:val="none" w:sz="0" w:space="0" w:color="auto"/>
          </w:divBdr>
          <w:divsChild>
            <w:div w:id="582418462">
              <w:marLeft w:val="0"/>
              <w:marRight w:val="0"/>
              <w:marTop w:val="0"/>
              <w:marBottom w:val="0"/>
              <w:divBdr>
                <w:top w:val="none" w:sz="0" w:space="0" w:color="auto"/>
                <w:left w:val="none" w:sz="0" w:space="0" w:color="auto"/>
                <w:bottom w:val="none" w:sz="0" w:space="0" w:color="auto"/>
                <w:right w:val="none" w:sz="0" w:space="0" w:color="auto"/>
              </w:divBdr>
            </w:div>
          </w:divsChild>
        </w:div>
        <w:div w:id="50083381">
          <w:marLeft w:val="0"/>
          <w:marRight w:val="0"/>
          <w:marTop w:val="0"/>
          <w:marBottom w:val="0"/>
          <w:divBdr>
            <w:top w:val="none" w:sz="0" w:space="0" w:color="auto"/>
            <w:left w:val="none" w:sz="0" w:space="0" w:color="auto"/>
            <w:bottom w:val="none" w:sz="0" w:space="0" w:color="auto"/>
            <w:right w:val="none" w:sz="0" w:space="0" w:color="auto"/>
          </w:divBdr>
          <w:divsChild>
            <w:div w:id="139810005">
              <w:marLeft w:val="0"/>
              <w:marRight w:val="0"/>
              <w:marTop w:val="0"/>
              <w:marBottom w:val="0"/>
              <w:divBdr>
                <w:top w:val="none" w:sz="0" w:space="0" w:color="auto"/>
                <w:left w:val="none" w:sz="0" w:space="0" w:color="auto"/>
                <w:bottom w:val="none" w:sz="0" w:space="0" w:color="auto"/>
                <w:right w:val="none" w:sz="0" w:space="0" w:color="auto"/>
              </w:divBdr>
            </w:div>
          </w:divsChild>
        </w:div>
        <w:div w:id="62147790">
          <w:marLeft w:val="0"/>
          <w:marRight w:val="0"/>
          <w:marTop w:val="0"/>
          <w:marBottom w:val="0"/>
          <w:divBdr>
            <w:top w:val="none" w:sz="0" w:space="0" w:color="auto"/>
            <w:left w:val="none" w:sz="0" w:space="0" w:color="auto"/>
            <w:bottom w:val="none" w:sz="0" w:space="0" w:color="auto"/>
            <w:right w:val="none" w:sz="0" w:space="0" w:color="auto"/>
          </w:divBdr>
          <w:divsChild>
            <w:div w:id="1907178210">
              <w:marLeft w:val="0"/>
              <w:marRight w:val="0"/>
              <w:marTop w:val="0"/>
              <w:marBottom w:val="0"/>
              <w:divBdr>
                <w:top w:val="none" w:sz="0" w:space="0" w:color="auto"/>
                <w:left w:val="none" w:sz="0" w:space="0" w:color="auto"/>
                <w:bottom w:val="none" w:sz="0" w:space="0" w:color="auto"/>
                <w:right w:val="none" w:sz="0" w:space="0" w:color="auto"/>
              </w:divBdr>
            </w:div>
          </w:divsChild>
        </w:div>
        <w:div w:id="73599699">
          <w:marLeft w:val="0"/>
          <w:marRight w:val="0"/>
          <w:marTop w:val="0"/>
          <w:marBottom w:val="0"/>
          <w:divBdr>
            <w:top w:val="none" w:sz="0" w:space="0" w:color="auto"/>
            <w:left w:val="none" w:sz="0" w:space="0" w:color="auto"/>
            <w:bottom w:val="none" w:sz="0" w:space="0" w:color="auto"/>
            <w:right w:val="none" w:sz="0" w:space="0" w:color="auto"/>
          </w:divBdr>
          <w:divsChild>
            <w:div w:id="1702316127">
              <w:marLeft w:val="0"/>
              <w:marRight w:val="0"/>
              <w:marTop w:val="0"/>
              <w:marBottom w:val="0"/>
              <w:divBdr>
                <w:top w:val="none" w:sz="0" w:space="0" w:color="auto"/>
                <w:left w:val="none" w:sz="0" w:space="0" w:color="auto"/>
                <w:bottom w:val="none" w:sz="0" w:space="0" w:color="auto"/>
                <w:right w:val="none" w:sz="0" w:space="0" w:color="auto"/>
              </w:divBdr>
            </w:div>
          </w:divsChild>
        </w:div>
        <w:div w:id="98454405">
          <w:marLeft w:val="0"/>
          <w:marRight w:val="0"/>
          <w:marTop w:val="0"/>
          <w:marBottom w:val="0"/>
          <w:divBdr>
            <w:top w:val="none" w:sz="0" w:space="0" w:color="auto"/>
            <w:left w:val="none" w:sz="0" w:space="0" w:color="auto"/>
            <w:bottom w:val="none" w:sz="0" w:space="0" w:color="auto"/>
            <w:right w:val="none" w:sz="0" w:space="0" w:color="auto"/>
          </w:divBdr>
          <w:divsChild>
            <w:div w:id="641276650">
              <w:marLeft w:val="0"/>
              <w:marRight w:val="0"/>
              <w:marTop w:val="0"/>
              <w:marBottom w:val="0"/>
              <w:divBdr>
                <w:top w:val="none" w:sz="0" w:space="0" w:color="auto"/>
                <w:left w:val="none" w:sz="0" w:space="0" w:color="auto"/>
                <w:bottom w:val="none" w:sz="0" w:space="0" w:color="auto"/>
                <w:right w:val="none" w:sz="0" w:space="0" w:color="auto"/>
              </w:divBdr>
            </w:div>
          </w:divsChild>
        </w:div>
        <w:div w:id="129591834">
          <w:marLeft w:val="0"/>
          <w:marRight w:val="0"/>
          <w:marTop w:val="0"/>
          <w:marBottom w:val="0"/>
          <w:divBdr>
            <w:top w:val="none" w:sz="0" w:space="0" w:color="auto"/>
            <w:left w:val="none" w:sz="0" w:space="0" w:color="auto"/>
            <w:bottom w:val="none" w:sz="0" w:space="0" w:color="auto"/>
            <w:right w:val="none" w:sz="0" w:space="0" w:color="auto"/>
          </w:divBdr>
          <w:divsChild>
            <w:div w:id="672024868">
              <w:marLeft w:val="0"/>
              <w:marRight w:val="0"/>
              <w:marTop w:val="0"/>
              <w:marBottom w:val="0"/>
              <w:divBdr>
                <w:top w:val="none" w:sz="0" w:space="0" w:color="auto"/>
                <w:left w:val="none" w:sz="0" w:space="0" w:color="auto"/>
                <w:bottom w:val="none" w:sz="0" w:space="0" w:color="auto"/>
                <w:right w:val="none" w:sz="0" w:space="0" w:color="auto"/>
              </w:divBdr>
            </w:div>
          </w:divsChild>
        </w:div>
        <w:div w:id="142739797">
          <w:marLeft w:val="0"/>
          <w:marRight w:val="0"/>
          <w:marTop w:val="0"/>
          <w:marBottom w:val="0"/>
          <w:divBdr>
            <w:top w:val="none" w:sz="0" w:space="0" w:color="auto"/>
            <w:left w:val="none" w:sz="0" w:space="0" w:color="auto"/>
            <w:bottom w:val="none" w:sz="0" w:space="0" w:color="auto"/>
            <w:right w:val="none" w:sz="0" w:space="0" w:color="auto"/>
          </w:divBdr>
          <w:divsChild>
            <w:div w:id="168956299">
              <w:marLeft w:val="0"/>
              <w:marRight w:val="0"/>
              <w:marTop w:val="0"/>
              <w:marBottom w:val="0"/>
              <w:divBdr>
                <w:top w:val="none" w:sz="0" w:space="0" w:color="auto"/>
                <w:left w:val="none" w:sz="0" w:space="0" w:color="auto"/>
                <w:bottom w:val="none" w:sz="0" w:space="0" w:color="auto"/>
                <w:right w:val="none" w:sz="0" w:space="0" w:color="auto"/>
              </w:divBdr>
            </w:div>
          </w:divsChild>
        </w:div>
        <w:div w:id="149951370">
          <w:marLeft w:val="0"/>
          <w:marRight w:val="0"/>
          <w:marTop w:val="0"/>
          <w:marBottom w:val="0"/>
          <w:divBdr>
            <w:top w:val="none" w:sz="0" w:space="0" w:color="auto"/>
            <w:left w:val="none" w:sz="0" w:space="0" w:color="auto"/>
            <w:bottom w:val="none" w:sz="0" w:space="0" w:color="auto"/>
            <w:right w:val="none" w:sz="0" w:space="0" w:color="auto"/>
          </w:divBdr>
          <w:divsChild>
            <w:div w:id="1114861182">
              <w:marLeft w:val="0"/>
              <w:marRight w:val="0"/>
              <w:marTop w:val="0"/>
              <w:marBottom w:val="0"/>
              <w:divBdr>
                <w:top w:val="none" w:sz="0" w:space="0" w:color="auto"/>
                <w:left w:val="none" w:sz="0" w:space="0" w:color="auto"/>
                <w:bottom w:val="none" w:sz="0" w:space="0" w:color="auto"/>
                <w:right w:val="none" w:sz="0" w:space="0" w:color="auto"/>
              </w:divBdr>
            </w:div>
          </w:divsChild>
        </w:div>
        <w:div w:id="197084711">
          <w:marLeft w:val="0"/>
          <w:marRight w:val="0"/>
          <w:marTop w:val="0"/>
          <w:marBottom w:val="0"/>
          <w:divBdr>
            <w:top w:val="none" w:sz="0" w:space="0" w:color="auto"/>
            <w:left w:val="none" w:sz="0" w:space="0" w:color="auto"/>
            <w:bottom w:val="none" w:sz="0" w:space="0" w:color="auto"/>
            <w:right w:val="none" w:sz="0" w:space="0" w:color="auto"/>
          </w:divBdr>
          <w:divsChild>
            <w:div w:id="566762815">
              <w:marLeft w:val="0"/>
              <w:marRight w:val="0"/>
              <w:marTop w:val="0"/>
              <w:marBottom w:val="0"/>
              <w:divBdr>
                <w:top w:val="none" w:sz="0" w:space="0" w:color="auto"/>
                <w:left w:val="none" w:sz="0" w:space="0" w:color="auto"/>
                <w:bottom w:val="none" w:sz="0" w:space="0" w:color="auto"/>
                <w:right w:val="none" w:sz="0" w:space="0" w:color="auto"/>
              </w:divBdr>
            </w:div>
          </w:divsChild>
        </w:div>
        <w:div w:id="199175209">
          <w:marLeft w:val="0"/>
          <w:marRight w:val="0"/>
          <w:marTop w:val="0"/>
          <w:marBottom w:val="0"/>
          <w:divBdr>
            <w:top w:val="none" w:sz="0" w:space="0" w:color="auto"/>
            <w:left w:val="none" w:sz="0" w:space="0" w:color="auto"/>
            <w:bottom w:val="none" w:sz="0" w:space="0" w:color="auto"/>
            <w:right w:val="none" w:sz="0" w:space="0" w:color="auto"/>
          </w:divBdr>
          <w:divsChild>
            <w:div w:id="833958385">
              <w:marLeft w:val="0"/>
              <w:marRight w:val="0"/>
              <w:marTop w:val="0"/>
              <w:marBottom w:val="0"/>
              <w:divBdr>
                <w:top w:val="none" w:sz="0" w:space="0" w:color="auto"/>
                <w:left w:val="none" w:sz="0" w:space="0" w:color="auto"/>
                <w:bottom w:val="none" w:sz="0" w:space="0" w:color="auto"/>
                <w:right w:val="none" w:sz="0" w:space="0" w:color="auto"/>
              </w:divBdr>
            </w:div>
          </w:divsChild>
        </w:div>
        <w:div w:id="250354633">
          <w:marLeft w:val="0"/>
          <w:marRight w:val="0"/>
          <w:marTop w:val="0"/>
          <w:marBottom w:val="0"/>
          <w:divBdr>
            <w:top w:val="none" w:sz="0" w:space="0" w:color="auto"/>
            <w:left w:val="none" w:sz="0" w:space="0" w:color="auto"/>
            <w:bottom w:val="none" w:sz="0" w:space="0" w:color="auto"/>
            <w:right w:val="none" w:sz="0" w:space="0" w:color="auto"/>
          </w:divBdr>
          <w:divsChild>
            <w:div w:id="69937098">
              <w:marLeft w:val="0"/>
              <w:marRight w:val="0"/>
              <w:marTop w:val="0"/>
              <w:marBottom w:val="0"/>
              <w:divBdr>
                <w:top w:val="none" w:sz="0" w:space="0" w:color="auto"/>
                <w:left w:val="none" w:sz="0" w:space="0" w:color="auto"/>
                <w:bottom w:val="none" w:sz="0" w:space="0" w:color="auto"/>
                <w:right w:val="none" w:sz="0" w:space="0" w:color="auto"/>
              </w:divBdr>
            </w:div>
          </w:divsChild>
        </w:div>
        <w:div w:id="260140032">
          <w:marLeft w:val="0"/>
          <w:marRight w:val="0"/>
          <w:marTop w:val="0"/>
          <w:marBottom w:val="0"/>
          <w:divBdr>
            <w:top w:val="none" w:sz="0" w:space="0" w:color="auto"/>
            <w:left w:val="none" w:sz="0" w:space="0" w:color="auto"/>
            <w:bottom w:val="none" w:sz="0" w:space="0" w:color="auto"/>
            <w:right w:val="none" w:sz="0" w:space="0" w:color="auto"/>
          </w:divBdr>
          <w:divsChild>
            <w:div w:id="1426850740">
              <w:marLeft w:val="0"/>
              <w:marRight w:val="0"/>
              <w:marTop w:val="0"/>
              <w:marBottom w:val="0"/>
              <w:divBdr>
                <w:top w:val="none" w:sz="0" w:space="0" w:color="auto"/>
                <w:left w:val="none" w:sz="0" w:space="0" w:color="auto"/>
                <w:bottom w:val="none" w:sz="0" w:space="0" w:color="auto"/>
                <w:right w:val="none" w:sz="0" w:space="0" w:color="auto"/>
              </w:divBdr>
            </w:div>
          </w:divsChild>
        </w:div>
        <w:div w:id="277761778">
          <w:marLeft w:val="0"/>
          <w:marRight w:val="0"/>
          <w:marTop w:val="0"/>
          <w:marBottom w:val="0"/>
          <w:divBdr>
            <w:top w:val="none" w:sz="0" w:space="0" w:color="auto"/>
            <w:left w:val="none" w:sz="0" w:space="0" w:color="auto"/>
            <w:bottom w:val="none" w:sz="0" w:space="0" w:color="auto"/>
            <w:right w:val="none" w:sz="0" w:space="0" w:color="auto"/>
          </w:divBdr>
          <w:divsChild>
            <w:div w:id="278999631">
              <w:marLeft w:val="0"/>
              <w:marRight w:val="0"/>
              <w:marTop w:val="0"/>
              <w:marBottom w:val="0"/>
              <w:divBdr>
                <w:top w:val="none" w:sz="0" w:space="0" w:color="auto"/>
                <w:left w:val="none" w:sz="0" w:space="0" w:color="auto"/>
                <w:bottom w:val="none" w:sz="0" w:space="0" w:color="auto"/>
                <w:right w:val="none" w:sz="0" w:space="0" w:color="auto"/>
              </w:divBdr>
            </w:div>
          </w:divsChild>
        </w:div>
        <w:div w:id="288898817">
          <w:marLeft w:val="0"/>
          <w:marRight w:val="0"/>
          <w:marTop w:val="0"/>
          <w:marBottom w:val="0"/>
          <w:divBdr>
            <w:top w:val="none" w:sz="0" w:space="0" w:color="auto"/>
            <w:left w:val="none" w:sz="0" w:space="0" w:color="auto"/>
            <w:bottom w:val="none" w:sz="0" w:space="0" w:color="auto"/>
            <w:right w:val="none" w:sz="0" w:space="0" w:color="auto"/>
          </w:divBdr>
          <w:divsChild>
            <w:div w:id="1711491598">
              <w:marLeft w:val="0"/>
              <w:marRight w:val="0"/>
              <w:marTop w:val="0"/>
              <w:marBottom w:val="0"/>
              <w:divBdr>
                <w:top w:val="none" w:sz="0" w:space="0" w:color="auto"/>
                <w:left w:val="none" w:sz="0" w:space="0" w:color="auto"/>
                <w:bottom w:val="none" w:sz="0" w:space="0" w:color="auto"/>
                <w:right w:val="none" w:sz="0" w:space="0" w:color="auto"/>
              </w:divBdr>
            </w:div>
          </w:divsChild>
        </w:div>
        <w:div w:id="303504853">
          <w:marLeft w:val="0"/>
          <w:marRight w:val="0"/>
          <w:marTop w:val="0"/>
          <w:marBottom w:val="0"/>
          <w:divBdr>
            <w:top w:val="none" w:sz="0" w:space="0" w:color="auto"/>
            <w:left w:val="none" w:sz="0" w:space="0" w:color="auto"/>
            <w:bottom w:val="none" w:sz="0" w:space="0" w:color="auto"/>
            <w:right w:val="none" w:sz="0" w:space="0" w:color="auto"/>
          </w:divBdr>
          <w:divsChild>
            <w:div w:id="1163618839">
              <w:marLeft w:val="0"/>
              <w:marRight w:val="0"/>
              <w:marTop w:val="0"/>
              <w:marBottom w:val="0"/>
              <w:divBdr>
                <w:top w:val="none" w:sz="0" w:space="0" w:color="auto"/>
                <w:left w:val="none" w:sz="0" w:space="0" w:color="auto"/>
                <w:bottom w:val="none" w:sz="0" w:space="0" w:color="auto"/>
                <w:right w:val="none" w:sz="0" w:space="0" w:color="auto"/>
              </w:divBdr>
            </w:div>
          </w:divsChild>
        </w:div>
        <w:div w:id="305358978">
          <w:marLeft w:val="0"/>
          <w:marRight w:val="0"/>
          <w:marTop w:val="0"/>
          <w:marBottom w:val="0"/>
          <w:divBdr>
            <w:top w:val="none" w:sz="0" w:space="0" w:color="auto"/>
            <w:left w:val="none" w:sz="0" w:space="0" w:color="auto"/>
            <w:bottom w:val="none" w:sz="0" w:space="0" w:color="auto"/>
            <w:right w:val="none" w:sz="0" w:space="0" w:color="auto"/>
          </w:divBdr>
          <w:divsChild>
            <w:div w:id="1575580744">
              <w:marLeft w:val="0"/>
              <w:marRight w:val="0"/>
              <w:marTop w:val="0"/>
              <w:marBottom w:val="0"/>
              <w:divBdr>
                <w:top w:val="none" w:sz="0" w:space="0" w:color="auto"/>
                <w:left w:val="none" w:sz="0" w:space="0" w:color="auto"/>
                <w:bottom w:val="none" w:sz="0" w:space="0" w:color="auto"/>
                <w:right w:val="none" w:sz="0" w:space="0" w:color="auto"/>
              </w:divBdr>
            </w:div>
          </w:divsChild>
        </w:div>
        <w:div w:id="337730765">
          <w:marLeft w:val="0"/>
          <w:marRight w:val="0"/>
          <w:marTop w:val="0"/>
          <w:marBottom w:val="0"/>
          <w:divBdr>
            <w:top w:val="none" w:sz="0" w:space="0" w:color="auto"/>
            <w:left w:val="none" w:sz="0" w:space="0" w:color="auto"/>
            <w:bottom w:val="none" w:sz="0" w:space="0" w:color="auto"/>
            <w:right w:val="none" w:sz="0" w:space="0" w:color="auto"/>
          </w:divBdr>
          <w:divsChild>
            <w:div w:id="55399854">
              <w:marLeft w:val="0"/>
              <w:marRight w:val="0"/>
              <w:marTop w:val="0"/>
              <w:marBottom w:val="0"/>
              <w:divBdr>
                <w:top w:val="none" w:sz="0" w:space="0" w:color="auto"/>
                <w:left w:val="none" w:sz="0" w:space="0" w:color="auto"/>
                <w:bottom w:val="none" w:sz="0" w:space="0" w:color="auto"/>
                <w:right w:val="none" w:sz="0" w:space="0" w:color="auto"/>
              </w:divBdr>
            </w:div>
          </w:divsChild>
        </w:div>
        <w:div w:id="350185684">
          <w:marLeft w:val="0"/>
          <w:marRight w:val="0"/>
          <w:marTop w:val="0"/>
          <w:marBottom w:val="0"/>
          <w:divBdr>
            <w:top w:val="none" w:sz="0" w:space="0" w:color="auto"/>
            <w:left w:val="none" w:sz="0" w:space="0" w:color="auto"/>
            <w:bottom w:val="none" w:sz="0" w:space="0" w:color="auto"/>
            <w:right w:val="none" w:sz="0" w:space="0" w:color="auto"/>
          </w:divBdr>
          <w:divsChild>
            <w:div w:id="971715214">
              <w:marLeft w:val="0"/>
              <w:marRight w:val="0"/>
              <w:marTop w:val="0"/>
              <w:marBottom w:val="0"/>
              <w:divBdr>
                <w:top w:val="none" w:sz="0" w:space="0" w:color="auto"/>
                <w:left w:val="none" w:sz="0" w:space="0" w:color="auto"/>
                <w:bottom w:val="none" w:sz="0" w:space="0" w:color="auto"/>
                <w:right w:val="none" w:sz="0" w:space="0" w:color="auto"/>
              </w:divBdr>
            </w:div>
          </w:divsChild>
        </w:div>
        <w:div w:id="354041024">
          <w:marLeft w:val="0"/>
          <w:marRight w:val="0"/>
          <w:marTop w:val="0"/>
          <w:marBottom w:val="0"/>
          <w:divBdr>
            <w:top w:val="none" w:sz="0" w:space="0" w:color="auto"/>
            <w:left w:val="none" w:sz="0" w:space="0" w:color="auto"/>
            <w:bottom w:val="none" w:sz="0" w:space="0" w:color="auto"/>
            <w:right w:val="none" w:sz="0" w:space="0" w:color="auto"/>
          </w:divBdr>
          <w:divsChild>
            <w:div w:id="36929255">
              <w:marLeft w:val="0"/>
              <w:marRight w:val="0"/>
              <w:marTop w:val="0"/>
              <w:marBottom w:val="0"/>
              <w:divBdr>
                <w:top w:val="none" w:sz="0" w:space="0" w:color="auto"/>
                <w:left w:val="none" w:sz="0" w:space="0" w:color="auto"/>
                <w:bottom w:val="none" w:sz="0" w:space="0" w:color="auto"/>
                <w:right w:val="none" w:sz="0" w:space="0" w:color="auto"/>
              </w:divBdr>
            </w:div>
          </w:divsChild>
        </w:div>
        <w:div w:id="377708827">
          <w:marLeft w:val="0"/>
          <w:marRight w:val="0"/>
          <w:marTop w:val="0"/>
          <w:marBottom w:val="0"/>
          <w:divBdr>
            <w:top w:val="none" w:sz="0" w:space="0" w:color="auto"/>
            <w:left w:val="none" w:sz="0" w:space="0" w:color="auto"/>
            <w:bottom w:val="none" w:sz="0" w:space="0" w:color="auto"/>
            <w:right w:val="none" w:sz="0" w:space="0" w:color="auto"/>
          </w:divBdr>
          <w:divsChild>
            <w:div w:id="1582569014">
              <w:marLeft w:val="0"/>
              <w:marRight w:val="0"/>
              <w:marTop w:val="0"/>
              <w:marBottom w:val="0"/>
              <w:divBdr>
                <w:top w:val="none" w:sz="0" w:space="0" w:color="auto"/>
                <w:left w:val="none" w:sz="0" w:space="0" w:color="auto"/>
                <w:bottom w:val="none" w:sz="0" w:space="0" w:color="auto"/>
                <w:right w:val="none" w:sz="0" w:space="0" w:color="auto"/>
              </w:divBdr>
            </w:div>
          </w:divsChild>
        </w:div>
        <w:div w:id="381255420">
          <w:marLeft w:val="0"/>
          <w:marRight w:val="0"/>
          <w:marTop w:val="0"/>
          <w:marBottom w:val="0"/>
          <w:divBdr>
            <w:top w:val="none" w:sz="0" w:space="0" w:color="auto"/>
            <w:left w:val="none" w:sz="0" w:space="0" w:color="auto"/>
            <w:bottom w:val="none" w:sz="0" w:space="0" w:color="auto"/>
            <w:right w:val="none" w:sz="0" w:space="0" w:color="auto"/>
          </w:divBdr>
          <w:divsChild>
            <w:div w:id="1716272400">
              <w:marLeft w:val="0"/>
              <w:marRight w:val="0"/>
              <w:marTop w:val="0"/>
              <w:marBottom w:val="0"/>
              <w:divBdr>
                <w:top w:val="none" w:sz="0" w:space="0" w:color="auto"/>
                <w:left w:val="none" w:sz="0" w:space="0" w:color="auto"/>
                <w:bottom w:val="none" w:sz="0" w:space="0" w:color="auto"/>
                <w:right w:val="none" w:sz="0" w:space="0" w:color="auto"/>
              </w:divBdr>
            </w:div>
          </w:divsChild>
        </w:div>
        <w:div w:id="420300932">
          <w:marLeft w:val="0"/>
          <w:marRight w:val="0"/>
          <w:marTop w:val="0"/>
          <w:marBottom w:val="0"/>
          <w:divBdr>
            <w:top w:val="none" w:sz="0" w:space="0" w:color="auto"/>
            <w:left w:val="none" w:sz="0" w:space="0" w:color="auto"/>
            <w:bottom w:val="none" w:sz="0" w:space="0" w:color="auto"/>
            <w:right w:val="none" w:sz="0" w:space="0" w:color="auto"/>
          </w:divBdr>
          <w:divsChild>
            <w:div w:id="764805828">
              <w:marLeft w:val="0"/>
              <w:marRight w:val="0"/>
              <w:marTop w:val="0"/>
              <w:marBottom w:val="0"/>
              <w:divBdr>
                <w:top w:val="none" w:sz="0" w:space="0" w:color="auto"/>
                <w:left w:val="none" w:sz="0" w:space="0" w:color="auto"/>
                <w:bottom w:val="none" w:sz="0" w:space="0" w:color="auto"/>
                <w:right w:val="none" w:sz="0" w:space="0" w:color="auto"/>
              </w:divBdr>
            </w:div>
          </w:divsChild>
        </w:div>
        <w:div w:id="433014645">
          <w:marLeft w:val="0"/>
          <w:marRight w:val="0"/>
          <w:marTop w:val="0"/>
          <w:marBottom w:val="0"/>
          <w:divBdr>
            <w:top w:val="none" w:sz="0" w:space="0" w:color="auto"/>
            <w:left w:val="none" w:sz="0" w:space="0" w:color="auto"/>
            <w:bottom w:val="none" w:sz="0" w:space="0" w:color="auto"/>
            <w:right w:val="none" w:sz="0" w:space="0" w:color="auto"/>
          </w:divBdr>
          <w:divsChild>
            <w:div w:id="503935855">
              <w:marLeft w:val="0"/>
              <w:marRight w:val="0"/>
              <w:marTop w:val="0"/>
              <w:marBottom w:val="0"/>
              <w:divBdr>
                <w:top w:val="none" w:sz="0" w:space="0" w:color="auto"/>
                <w:left w:val="none" w:sz="0" w:space="0" w:color="auto"/>
                <w:bottom w:val="none" w:sz="0" w:space="0" w:color="auto"/>
                <w:right w:val="none" w:sz="0" w:space="0" w:color="auto"/>
              </w:divBdr>
            </w:div>
          </w:divsChild>
        </w:div>
        <w:div w:id="455685389">
          <w:marLeft w:val="0"/>
          <w:marRight w:val="0"/>
          <w:marTop w:val="0"/>
          <w:marBottom w:val="0"/>
          <w:divBdr>
            <w:top w:val="none" w:sz="0" w:space="0" w:color="auto"/>
            <w:left w:val="none" w:sz="0" w:space="0" w:color="auto"/>
            <w:bottom w:val="none" w:sz="0" w:space="0" w:color="auto"/>
            <w:right w:val="none" w:sz="0" w:space="0" w:color="auto"/>
          </w:divBdr>
          <w:divsChild>
            <w:div w:id="1092121876">
              <w:marLeft w:val="0"/>
              <w:marRight w:val="0"/>
              <w:marTop w:val="0"/>
              <w:marBottom w:val="0"/>
              <w:divBdr>
                <w:top w:val="none" w:sz="0" w:space="0" w:color="auto"/>
                <w:left w:val="none" w:sz="0" w:space="0" w:color="auto"/>
                <w:bottom w:val="none" w:sz="0" w:space="0" w:color="auto"/>
                <w:right w:val="none" w:sz="0" w:space="0" w:color="auto"/>
              </w:divBdr>
            </w:div>
          </w:divsChild>
        </w:div>
        <w:div w:id="464470213">
          <w:marLeft w:val="0"/>
          <w:marRight w:val="0"/>
          <w:marTop w:val="0"/>
          <w:marBottom w:val="0"/>
          <w:divBdr>
            <w:top w:val="none" w:sz="0" w:space="0" w:color="auto"/>
            <w:left w:val="none" w:sz="0" w:space="0" w:color="auto"/>
            <w:bottom w:val="none" w:sz="0" w:space="0" w:color="auto"/>
            <w:right w:val="none" w:sz="0" w:space="0" w:color="auto"/>
          </w:divBdr>
          <w:divsChild>
            <w:div w:id="361446265">
              <w:marLeft w:val="0"/>
              <w:marRight w:val="0"/>
              <w:marTop w:val="0"/>
              <w:marBottom w:val="0"/>
              <w:divBdr>
                <w:top w:val="none" w:sz="0" w:space="0" w:color="auto"/>
                <w:left w:val="none" w:sz="0" w:space="0" w:color="auto"/>
                <w:bottom w:val="none" w:sz="0" w:space="0" w:color="auto"/>
                <w:right w:val="none" w:sz="0" w:space="0" w:color="auto"/>
              </w:divBdr>
            </w:div>
          </w:divsChild>
        </w:div>
        <w:div w:id="467095033">
          <w:marLeft w:val="0"/>
          <w:marRight w:val="0"/>
          <w:marTop w:val="0"/>
          <w:marBottom w:val="0"/>
          <w:divBdr>
            <w:top w:val="none" w:sz="0" w:space="0" w:color="auto"/>
            <w:left w:val="none" w:sz="0" w:space="0" w:color="auto"/>
            <w:bottom w:val="none" w:sz="0" w:space="0" w:color="auto"/>
            <w:right w:val="none" w:sz="0" w:space="0" w:color="auto"/>
          </w:divBdr>
          <w:divsChild>
            <w:div w:id="960114091">
              <w:marLeft w:val="0"/>
              <w:marRight w:val="0"/>
              <w:marTop w:val="0"/>
              <w:marBottom w:val="0"/>
              <w:divBdr>
                <w:top w:val="none" w:sz="0" w:space="0" w:color="auto"/>
                <w:left w:val="none" w:sz="0" w:space="0" w:color="auto"/>
                <w:bottom w:val="none" w:sz="0" w:space="0" w:color="auto"/>
                <w:right w:val="none" w:sz="0" w:space="0" w:color="auto"/>
              </w:divBdr>
            </w:div>
          </w:divsChild>
        </w:div>
        <w:div w:id="474033729">
          <w:marLeft w:val="0"/>
          <w:marRight w:val="0"/>
          <w:marTop w:val="0"/>
          <w:marBottom w:val="0"/>
          <w:divBdr>
            <w:top w:val="none" w:sz="0" w:space="0" w:color="auto"/>
            <w:left w:val="none" w:sz="0" w:space="0" w:color="auto"/>
            <w:bottom w:val="none" w:sz="0" w:space="0" w:color="auto"/>
            <w:right w:val="none" w:sz="0" w:space="0" w:color="auto"/>
          </w:divBdr>
          <w:divsChild>
            <w:div w:id="2076463310">
              <w:marLeft w:val="0"/>
              <w:marRight w:val="0"/>
              <w:marTop w:val="0"/>
              <w:marBottom w:val="0"/>
              <w:divBdr>
                <w:top w:val="none" w:sz="0" w:space="0" w:color="auto"/>
                <w:left w:val="none" w:sz="0" w:space="0" w:color="auto"/>
                <w:bottom w:val="none" w:sz="0" w:space="0" w:color="auto"/>
                <w:right w:val="none" w:sz="0" w:space="0" w:color="auto"/>
              </w:divBdr>
            </w:div>
          </w:divsChild>
        </w:div>
        <w:div w:id="511771950">
          <w:marLeft w:val="0"/>
          <w:marRight w:val="0"/>
          <w:marTop w:val="0"/>
          <w:marBottom w:val="0"/>
          <w:divBdr>
            <w:top w:val="none" w:sz="0" w:space="0" w:color="auto"/>
            <w:left w:val="none" w:sz="0" w:space="0" w:color="auto"/>
            <w:bottom w:val="none" w:sz="0" w:space="0" w:color="auto"/>
            <w:right w:val="none" w:sz="0" w:space="0" w:color="auto"/>
          </w:divBdr>
          <w:divsChild>
            <w:div w:id="808012709">
              <w:marLeft w:val="0"/>
              <w:marRight w:val="0"/>
              <w:marTop w:val="0"/>
              <w:marBottom w:val="0"/>
              <w:divBdr>
                <w:top w:val="none" w:sz="0" w:space="0" w:color="auto"/>
                <w:left w:val="none" w:sz="0" w:space="0" w:color="auto"/>
                <w:bottom w:val="none" w:sz="0" w:space="0" w:color="auto"/>
                <w:right w:val="none" w:sz="0" w:space="0" w:color="auto"/>
              </w:divBdr>
            </w:div>
          </w:divsChild>
        </w:div>
        <w:div w:id="521359366">
          <w:marLeft w:val="0"/>
          <w:marRight w:val="0"/>
          <w:marTop w:val="0"/>
          <w:marBottom w:val="0"/>
          <w:divBdr>
            <w:top w:val="none" w:sz="0" w:space="0" w:color="auto"/>
            <w:left w:val="none" w:sz="0" w:space="0" w:color="auto"/>
            <w:bottom w:val="none" w:sz="0" w:space="0" w:color="auto"/>
            <w:right w:val="none" w:sz="0" w:space="0" w:color="auto"/>
          </w:divBdr>
          <w:divsChild>
            <w:div w:id="879514330">
              <w:marLeft w:val="0"/>
              <w:marRight w:val="0"/>
              <w:marTop w:val="0"/>
              <w:marBottom w:val="0"/>
              <w:divBdr>
                <w:top w:val="none" w:sz="0" w:space="0" w:color="auto"/>
                <w:left w:val="none" w:sz="0" w:space="0" w:color="auto"/>
                <w:bottom w:val="none" w:sz="0" w:space="0" w:color="auto"/>
                <w:right w:val="none" w:sz="0" w:space="0" w:color="auto"/>
              </w:divBdr>
            </w:div>
          </w:divsChild>
        </w:div>
        <w:div w:id="549414264">
          <w:marLeft w:val="0"/>
          <w:marRight w:val="0"/>
          <w:marTop w:val="0"/>
          <w:marBottom w:val="0"/>
          <w:divBdr>
            <w:top w:val="none" w:sz="0" w:space="0" w:color="auto"/>
            <w:left w:val="none" w:sz="0" w:space="0" w:color="auto"/>
            <w:bottom w:val="none" w:sz="0" w:space="0" w:color="auto"/>
            <w:right w:val="none" w:sz="0" w:space="0" w:color="auto"/>
          </w:divBdr>
          <w:divsChild>
            <w:div w:id="820392951">
              <w:marLeft w:val="0"/>
              <w:marRight w:val="0"/>
              <w:marTop w:val="0"/>
              <w:marBottom w:val="0"/>
              <w:divBdr>
                <w:top w:val="none" w:sz="0" w:space="0" w:color="auto"/>
                <w:left w:val="none" w:sz="0" w:space="0" w:color="auto"/>
                <w:bottom w:val="none" w:sz="0" w:space="0" w:color="auto"/>
                <w:right w:val="none" w:sz="0" w:space="0" w:color="auto"/>
              </w:divBdr>
            </w:div>
          </w:divsChild>
        </w:div>
        <w:div w:id="560945263">
          <w:marLeft w:val="0"/>
          <w:marRight w:val="0"/>
          <w:marTop w:val="0"/>
          <w:marBottom w:val="0"/>
          <w:divBdr>
            <w:top w:val="none" w:sz="0" w:space="0" w:color="auto"/>
            <w:left w:val="none" w:sz="0" w:space="0" w:color="auto"/>
            <w:bottom w:val="none" w:sz="0" w:space="0" w:color="auto"/>
            <w:right w:val="none" w:sz="0" w:space="0" w:color="auto"/>
          </w:divBdr>
          <w:divsChild>
            <w:div w:id="1314290107">
              <w:marLeft w:val="0"/>
              <w:marRight w:val="0"/>
              <w:marTop w:val="0"/>
              <w:marBottom w:val="0"/>
              <w:divBdr>
                <w:top w:val="none" w:sz="0" w:space="0" w:color="auto"/>
                <w:left w:val="none" w:sz="0" w:space="0" w:color="auto"/>
                <w:bottom w:val="none" w:sz="0" w:space="0" w:color="auto"/>
                <w:right w:val="none" w:sz="0" w:space="0" w:color="auto"/>
              </w:divBdr>
            </w:div>
          </w:divsChild>
        </w:div>
        <w:div w:id="562646463">
          <w:marLeft w:val="0"/>
          <w:marRight w:val="0"/>
          <w:marTop w:val="0"/>
          <w:marBottom w:val="0"/>
          <w:divBdr>
            <w:top w:val="none" w:sz="0" w:space="0" w:color="auto"/>
            <w:left w:val="none" w:sz="0" w:space="0" w:color="auto"/>
            <w:bottom w:val="none" w:sz="0" w:space="0" w:color="auto"/>
            <w:right w:val="none" w:sz="0" w:space="0" w:color="auto"/>
          </w:divBdr>
          <w:divsChild>
            <w:div w:id="1066418061">
              <w:marLeft w:val="0"/>
              <w:marRight w:val="0"/>
              <w:marTop w:val="0"/>
              <w:marBottom w:val="0"/>
              <w:divBdr>
                <w:top w:val="none" w:sz="0" w:space="0" w:color="auto"/>
                <w:left w:val="none" w:sz="0" w:space="0" w:color="auto"/>
                <w:bottom w:val="none" w:sz="0" w:space="0" w:color="auto"/>
                <w:right w:val="none" w:sz="0" w:space="0" w:color="auto"/>
              </w:divBdr>
            </w:div>
          </w:divsChild>
        </w:div>
        <w:div w:id="563293599">
          <w:marLeft w:val="0"/>
          <w:marRight w:val="0"/>
          <w:marTop w:val="0"/>
          <w:marBottom w:val="0"/>
          <w:divBdr>
            <w:top w:val="none" w:sz="0" w:space="0" w:color="auto"/>
            <w:left w:val="none" w:sz="0" w:space="0" w:color="auto"/>
            <w:bottom w:val="none" w:sz="0" w:space="0" w:color="auto"/>
            <w:right w:val="none" w:sz="0" w:space="0" w:color="auto"/>
          </w:divBdr>
          <w:divsChild>
            <w:div w:id="565729714">
              <w:marLeft w:val="0"/>
              <w:marRight w:val="0"/>
              <w:marTop w:val="0"/>
              <w:marBottom w:val="0"/>
              <w:divBdr>
                <w:top w:val="none" w:sz="0" w:space="0" w:color="auto"/>
                <w:left w:val="none" w:sz="0" w:space="0" w:color="auto"/>
                <w:bottom w:val="none" w:sz="0" w:space="0" w:color="auto"/>
                <w:right w:val="none" w:sz="0" w:space="0" w:color="auto"/>
              </w:divBdr>
            </w:div>
          </w:divsChild>
        </w:div>
        <w:div w:id="563759938">
          <w:marLeft w:val="0"/>
          <w:marRight w:val="0"/>
          <w:marTop w:val="0"/>
          <w:marBottom w:val="0"/>
          <w:divBdr>
            <w:top w:val="none" w:sz="0" w:space="0" w:color="auto"/>
            <w:left w:val="none" w:sz="0" w:space="0" w:color="auto"/>
            <w:bottom w:val="none" w:sz="0" w:space="0" w:color="auto"/>
            <w:right w:val="none" w:sz="0" w:space="0" w:color="auto"/>
          </w:divBdr>
          <w:divsChild>
            <w:div w:id="1050573336">
              <w:marLeft w:val="0"/>
              <w:marRight w:val="0"/>
              <w:marTop w:val="0"/>
              <w:marBottom w:val="0"/>
              <w:divBdr>
                <w:top w:val="none" w:sz="0" w:space="0" w:color="auto"/>
                <w:left w:val="none" w:sz="0" w:space="0" w:color="auto"/>
                <w:bottom w:val="none" w:sz="0" w:space="0" w:color="auto"/>
                <w:right w:val="none" w:sz="0" w:space="0" w:color="auto"/>
              </w:divBdr>
            </w:div>
          </w:divsChild>
        </w:div>
        <w:div w:id="586573758">
          <w:marLeft w:val="0"/>
          <w:marRight w:val="0"/>
          <w:marTop w:val="0"/>
          <w:marBottom w:val="0"/>
          <w:divBdr>
            <w:top w:val="none" w:sz="0" w:space="0" w:color="auto"/>
            <w:left w:val="none" w:sz="0" w:space="0" w:color="auto"/>
            <w:bottom w:val="none" w:sz="0" w:space="0" w:color="auto"/>
            <w:right w:val="none" w:sz="0" w:space="0" w:color="auto"/>
          </w:divBdr>
          <w:divsChild>
            <w:div w:id="1461534762">
              <w:marLeft w:val="0"/>
              <w:marRight w:val="0"/>
              <w:marTop w:val="0"/>
              <w:marBottom w:val="0"/>
              <w:divBdr>
                <w:top w:val="none" w:sz="0" w:space="0" w:color="auto"/>
                <w:left w:val="none" w:sz="0" w:space="0" w:color="auto"/>
                <w:bottom w:val="none" w:sz="0" w:space="0" w:color="auto"/>
                <w:right w:val="none" w:sz="0" w:space="0" w:color="auto"/>
              </w:divBdr>
            </w:div>
          </w:divsChild>
        </w:div>
        <w:div w:id="593831123">
          <w:marLeft w:val="0"/>
          <w:marRight w:val="0"/>
          <w:marTop w:val="0"/>
          <w:marBottom w:val="0"/>
          <w:divBdr>
            <w:top w:val="none" w:sz="0" w:space="0" w:color="auto"/>
            <w:left w:val="none" w:sz="0" w:space="0" w:color="auto"/>
            <w:bottom w:val="none" w:sz="0" w:space="0" w:color="auto"/>
            <w:right w:val="none" w:sz="0" w:space="0" w:color="auto"/>
          </w:divBdr>
          <w:divsChild>
            <w:div w:id="467629422">
              <w:marLeft w:val="0"/>
              <w:marRight w:val="0"/>
              <w:marTop w:val="0"/>
              <w:marBottom w:val="0"/>
              <w:divBdr>
                <w:top w:val="none" w:sz="0" w:space="0" w:color="auto"/>
                <w:left w:val="none" w:sz="0" w:space="0" w:color="auto"/>
                <w:bottom w:val="none" w:sz="0" w:space="0" w:color="auto"/>
                <w:right w:val="none" w:sz="0" w:space="0" w:color="auto"/>
              </w:divBdr>
            </w:div>
          </w:divsChild>
        </w:div>
        <w:div w:id="593980703">
          <w:marLeft w:val="0"/>
          <w:marRight w:val="0"/>
          <w:marTop w:val="0"/>
          <w:marBottom w:val="0"/>
          <w:divBdr>
            <w:top w:val="none" w:sz="0" w:space="0" w:color="auto"/>
            <w:left w:val="none" w:sz="0" w:space="0" w:color="auto"/>
            <w:bottom w:val="none" w:sz="0" w:space="0" w:color="auto"/>
            <w:right w:val="none" w:sz="0" w:space="0" w:color="auto"/>
          </w:divBdr>
          <w:divsChild>
            <w:div w:id="306202687">
              <w:marLeft w:val="0"/>
              <w:marRight w:val="0"/>
              <w:marTop w:val="0"/>
              <w:marBottom w:val="0"/>
              <w:divBdr>
                <w:top w:val="none" w:sz="0" w:space="0" w:color="auto"/>
                <w:left w:val="none" w:sz="0" w:space="0" w:color="auto"/>
                <w:bottom w:val="none" w:sz="0" w:space="0" w:color="auto"/>
                <w:right w:val="none" w:sz="0" w:space="0" w:color="auto"/>
              </w:divBdr>
            </w:div>
          </w:divsChild>
        </w:div>
        <w:div w:id="638338389">
          <w:marLeft w:val="0"/>
          <w:marRight w:val="0"/>
          <w:marTop w:val="0"/>
          <w:marBottom w:val="0"/>
          <w:divBdr>
            <w:top w:val="none" w:sz="0" w:space="0" w:color="auto"/>
            <w:left w:val="none" w:sz="0" w:space="0" w:color="auto"/>
            <w:bottom w:val="none" w:sz="0" w:space="0" w:color="auto"/>
            <w:right w:val="none" w:sz="0" w:space="0" w:color="auto"/>
          </w:divBdr>
          <w:divsChild>
            <w:div w:id="2004821603">
              <w:marLeft w:val="0"/>
              <w:marRight w:val="0"/>
              <w:marTop w:val="0"/>
              <w:marBottom w:val="0"/>
              <w:divBdr>
                <w:top w:val="none" w:sz="0" w:space="0" w:color="auto"/>
                <w:left w:val="none" w:sz="0" w:space="0" w:color="auto"/>
                <w:bottom w:val="none" w:sz="0" w:space="0" w:color="auto"/>
                <w:right w:val="none" w:sz="0" w:space="0" w:color="auto"/>
              </w:divBdr>
            </w:div>
          </w:divsChild>
        </w:div>
        <w:div w:id="638461196">
          <w:marLeft w:val="0"/>
          <w:marRight w:val="0"/>
          <w:marTop w:val="0"/>
          <w:marBottom w:val="0"/>
          <w:divBdr>
            <w:top w:val="none" w:sz="0" w:space="0" w:color="auto"/>
            <w:left w:val="none" w:sz="0" w:space="0" w:color="auto"/>
            <w:bottom w:val="none" w:sz="0" w:space="0" w:color="auto"/>
            <w:right w:val="none" w:sz="0" w:space="0" w:color="auto"/>
          </w:divBdr>
          <w:divsChild>
            <w:div w:id="218056496">
              <w:marLeft w:val="0"/>
              <w:marRight w:val="0"/>
              <w:marTop w:val="0"/>
              <w:marBottom w:val="0"/>
              <w:divBdr>
                <w:top w:val="none" w:sz="0" w:space="0" w:color="auto"/>
                <w:left w:val="none" w:sz="0" w:space="0" w:color="auto"/>
                <w:bottom w:val="none" w:sz="0" w:space="0" w:color="auto"/>
                <w:right w:val="none" w:sz="0" w:space="0" w:color="auto"/>
              </w:divBdr>
            </w:div>
          </w:divsChild>
        </w:div>
        <w:div w:id="667946099">
          <w:marLeft w:val="0"/>
          <w:marRight w:val="0"/>
          <w:marTop w:val="0"/>
          <w:marBottom w:val="0"/>
          <w:divBdr>
            <w:top w:val="none" w:sz="0" w:space="0" w:color="auto"/>
            <w:left w:val="none" w:sz="0" w:space="0" w:color="auto"/>
            <w:bottom w:val="none" w:sz="0" w:space="0" w:color="auto"/>
            <w:right w:val="none" w:sz="0" w:space="0" w:color="auto"/>
          </w:divBdr>
          <w:divsChild>
            <w:div w:id="1641381247">
              <w:marLeft w:val="0"/>
              <w:marRight w:val="0"/>
              <w:marTop w:val="0"/>
              <w:marBottom w:val="0"/>
              <w:divBdr>
                <w:top w:val="none" w:sz="0" w:space="0" w:color="auto"/>
                <w:left w:val="none" w:sz="0" w:space="0" w:color="auto"/>
                <w:bottom w:val="none" w:sz="0" w:space="0" w:color="auto"/>
                <w:right w:val="none" w:sz="0" w:space="0" w:color="auto"/>
              </w:divBdr>
            </w:div>
          </w:divsChild>
        </w:div>
        <w:div w:id="677536770">
          <w:marLeft w:val="0"/>
          <w:marRight w:val="0"/>
          <w:marTop w:val="0"/>
          <w:marBottom w:val="0"/>
          <w:divBdr>
            <w:top w:val="none" w:sz="0" w:space="0" w:color="auto"/>
            <w:left w:val="none" w:sz="0" w:space="0" w:color="auto"/>
            <w:bottom w:val="none" w:sz="0" w:space="0" w:color="auto"/>
            <w:right w:val="none" w:sz="0" w:space="0" w:color="auto"/>
          </w:divBdr>
          <w:divsChild>
            <w:div w:id="1150054839">
              <w:marLeft w:val="0"/>
              <w:marRight w:val="0"/>
              <w:marTop w:val="0"/>
              <w:marBottom w:val="0"/>
              <w:divBdr>
                <w:top w:val="none" w:sz="0" w:space="0" w:color="auto"/>
                <w:left w:val="none" w:sz="0" w:space="0" w:color="auto"/>
                <w:bottom w:val="none" w:sz="0" w:space="0" w:color="auto"/>
                <w:right w:val="none" w:sz="0" w:space="0" w:color="auto"/>
              </w:divBdr>
            </w:div>
          </w:divsChild>
        </w:div>
        <w:div w:id="682975630">
          <w:marLeft w:val="0"/>
          <w:marRight w:val="0"/>
          <w:marTop w:val="0"/>
          <w:marBottom w:val="0"/>
          <w:divBdr>
            <w:top w:val="none" w:sz="0" w:space="0" w:color="auto"/>
            <w:left w:val="none" w:sz="0" w:space="0" w:color="auto"/>
            <w:bottom w:val="none" w:sz="0" w:space="0" w:color="auto"/>
            <w:right w:val="none" w:sz="0" w:space="0" w:color="auto"/>
          </w:divBdr>
          <w:divsChild>
            <w:div w:id="1533497210">
              <w:marLeft w:val="0"/>
              <w:marRight w:val="0"/>
              <w:marTop w:val="0"/>
              <w:marBottom w:val="0"/>
              <w:divBdr>
                <w:top w:val="none" w:sz="0" w:space="0" w:color="auto"/>
                <w:left w:val="none" w:sz="0" w:space="0" w:color="auto"/>
                <w:bottom w:val="none" w:sz="0" w:space="0" w:color="auto"/>
                <w:right w:val="none" w:sz="0" w:space="0" w:color="auto"/>
              </w:divBdr>
            </w:div>
          </w:divsChild>
        </w:div>
        <w:div w:id="685054683">
          <w:marLeft w:val="0"/>
          <w:marRight w:val="0"/>
          <w:marTop w:val="0"/>
          <w:marBottom w:val="0"/>
          <w:divBdr>
            <w:top w:val="none" w:sz="0" w:space="0" w:color="auto"/>
            <w:left w:val="none" w:sz="0" w:space="0" w:color="auto"/>
            <w:bottom w:val="none" w:sz="0" w:space="0" w:color="auto"/>
            <w:right w:val="none" w:sz="0" w:space="0" w:color="auto"/>
          </w:divBdr>
          <w:divsChild>
            <w:div w:id="1729917717">
              <w:marLeft w:val="0"/>
              <w:marRight w:val="0"/>
              <w:marTop w:val="0"/>
              <w:marBottom w:val="0"/>
              <w:divBdr>
                <w:top w:val="none" w:sz="0" w:space="0" w:color="auto"/>
                <w:left w:val="none" w:sz="0" w:space="0" w:color="auto"/>
                <w:bottom w:val="none" w:sz="0" w:space="0" w:color="auto"/>
                <w:right w:val="none" w:sz="0" w:space="0" w:color="auto"/>
              </w:divBdr>
            </w:div>
          </w:divsChild>
        </w:div>
        <w:div w:id="714547963">
          <w:marLeft w:val="0"/>
          <w:marRight w:val="0"/>
          <w:marTop w:val="0"/>
          <w:marBottom w:val="0"/>
          <w:divBdr>
            <w:top w:val="none" w:sz="0" w:space="0" w:color="auto"/>
            <w:left w:val="none" w:sz="0" w:space="0" w:color="auto"/>
            <w:bottom w:val="none" w:sz="0" w:space="0" w:color="auto"/>
            <w:right w:val="none" w:sz="0" w:space="0" w:color="auto"/>
          </w:divBdr>
          <w:divsChild>
            <w:div w:id="349455416">
              <w:marLeft w:val="0"/>
              <w:marRight w:val="0"/>
              <w:marTop w:val="0"/>
              <w:marBottom w:val="0"/>
              <w:divBdr>
                <w:top w:val="none" w:sz="0" w:space="0" w:color="auto"/>
                <w:left w:val="none" w:sz="0" w:space="0" w:color="auto"/>
                <w:bottom w:val="none" w:sz="0" w:space="0" w:color="auto"/>
                <w:right w:val="none" w:sz="0" w:space="0" w:color="auto"/>
              </w:divBdr>
            </w:div>
          </w:divsChild>
        </w:div>
        <w:div w:id="728261748">
          <w:marLeft w:val="0"/>
          <w:marRight w:val="0"/>
          <w:marTop w:val="0"/>
          <w:marBottom w:val="0"/>
          <w:divBdr>
            <w:top w:val="none" w:sz="0" w:space="0" w:color="auto"/>
            <w:left w:val="none" w:sz="0" w:space="0" w:color="auto"/>
            <w:bottom w:val="none" w:sz="0" w:space="0" w:color="auto"/>
            <w:right w:val="none" w:sz="0" w:space="0" w:color="auto"/>
          </w:divBdr>
          <w:divsChild>
            <w:div w:id="7603018">
              <w:marLeft w:val="0"/>
              <w:marRight w:val="0"/>
              <w:marTop w:val="0"/>
              <w:marBottom w:val="0"/>
              <w:divBdr>
                <w:top w:val="none" w:sz="0" w:space="0" w:color="auto"/>
                <w:left w:val="none" w:sz="0" w:space="0" w:color="auto"/>
                <w:bottom w:val="none" w:sz="0" w:space="0" w:color="auto"/>
                <w:right w:val="none" w:sz="0" w:space="0" w:color="auto"/>
              </w:divBdr>
            </w:div>
          </w:divsChild>
        </w:div>
        <w:div w:id="753090504">
          <w:marLeft w:val="0"/>
          <w:marRight w:val="0"/>
          <w:marTop w:val="0"/>
          <w:marBottom w:val="0"/>
          <w:divBdr>
            <w:top w:val="none" w:sz="0" w:space="0" w:color="auto"/>
            <w:left w:val="none" w:sz="0" w:space="0" w:color="auto"/>
            <w:bottom w:val="none" w:sz="0" w:space="0" w:color="auto"/>
            <w:right w:val="none" w:sz="0" w:space="0" w:color="auto"/>
          </w:divBdr>
          <w:divsChild>
            <w:div w:id="1926646110">
              <w:marLeft w:val="0"/>
              <w:marRight w:val="0"/>
              <w:marTop w:val="0"/>
              <w:marBottom w:val="0"/>
              <w:divBdr>
                <w:top w:val="none" w:sz="0" w:space="0" w:color="auto"/>
                <w:left w:val="none" w:sz="0" w:space="0" w:color="auto"/>
                <w:bottom w:val="none" w:sz="0" w:space="0" w:color="auto"/>
                <w:right w:val="none" w:sz="0" w:space="0" w:color="auto"/>
              </w:divBdr>
            </w:div>
          </w:divsChild>
        </w:div>
        <w:div w:id="850145980">
          <w:marLeft w:val="0"/>
          <w:marRight w:val="0"/>
          <w:marTop w:val="0"/>
          <w:marBottom w:val="0"/>
          <w:divBdr>
            <w:top w:val="none" w:sz="0" w:space="0" w:color="auto"/>
            <w:left w:val="none" w:sz="0" w:space="0" w:color="auto"/>
            <w:bottom w:val="none" w:sz="0" w:space="0" w:color="auto"/>
            <w:right w:val="none" w:sz="0" w:space="0" w:color="auto"/>
          </w:divBdr>
          <w:divsChild>
            <w:div w:id="1771195195">
              <w:marLeft w:val="0"/>
              <w:marRight w:val="0"/>
              <w:marTop w:val="0"/>
              <w:marBottom w:val="0"/>
              <w:divBdr>
                <w:top w:val="none" w:sz="0" w:space="0" w:color="auto"/>
                <w:left w:val="none" w:sz="0" w:space="0" w:color="auto"/>
                <w:bottom w:val="none" w:sz="0" w:space="0" w:color="auto"/>
                <w:right w:val="none" w:sz="0" w:space="0" w:color="auto"/>
              </w:divBdr>
            </w:div>
          </w:divsChild>
        </w:div>
        <w:div w:id="883710899">
          <w:marLeft w:val="0"/>
          <w:marRight w:val="0"/>
          <w:marTop w:val="0"/>
          <w:marBottom w:val="0"/>
          <w:divBdr>
            <w:top w:val="none" w:sz="0" w:space="0" w:color="auto"/>
            <w:left w:val="none" w:sz="0" w:space="0" w:color="auto"/>
            <w:bottom w:val="none" w:sz="0" w:space="0" w:color="auto"/>
            <w:right w:val="none" w:sz="0" w:space="0" w:color="auto"/>
          </w:divBdr>
          <w:divsChild>
            <w:div w:id="1260913866">
              <w:marLeft w:val="0"/>
              <w:marRight w:val="0"/>
              <w:marTop w:val="0"/>
              <w:marBottom w:val="0"/>
              <w:divBdr>
                <w:top w:val="none" w:sz="0" w:space="0" w:color="auto"/>
                <w:left w:val="none" w:sz="0" w:space="0" w:color="auto"/>
                <w:bottom w:val="none" w:sz="0" w:space="0" w:color="auto"/>
                <w:right w:val="none" w:sz="0" w:space="0" w:color="auto"/>
              </w:divBdr>
            </w:div>
          </w:divsChild>
        </w:div>
        <w:div w:id="884753429">
          <w:marLeft w:val="0"/>
          <w:marRight w:val="0"/>
          <w:marTop w:val="0"/>
          <w:marBottom w:val="0"/>
          <w:divBdr>
            <w:top w:val="none" w:sz="0" w:space="0" w:color="auto"/>
            <w:left w:val="none" w:sz="0" w:space="0" w:color="auto"/>
            <w:bottom w:val="none" w:sz="0" w:space="0" w:color="auto"/>
            <w:right w:val="none" w:sz="0" w:space="0" w:color="auto"/>
          </w:divBdr>
          <w:divsChild>
            <w:div w:id="1727872112">
              <w:marLeft w:val="0"/>
              <w:marRight w:val="0"/>
              <w:marTop w:val="0"/>
              <w:marBottom w:val="0"/>
              <w:divBdr>
                <w:top w:val="none" w:sz="0" w:space="0" w:color="auto"/>
                <w:left w:val="none" w:sz="0" w:space="0" w:color="auto"/>
                <w:bottom w:val="none" w:sz="0" w:space="0" w:color="auto"/>
                <w:right w:val="none" w:sz="0" w:space="0" w:color="auto"/>
              </w:divBdr>
            </w:div>
          </w:divsChild>
        </w:div>
        <w:div w:id="936837979">
          <w:marLeft w:val="0"/>
          <w:marRight w:val="0"/>
          <w:marTop w:val="0"/>
          <w:marBottom w:val="0"/>
          <w:divBdr>
            <w:top w:val="none" w:sz="0" w:space="0" w:color="auto"/>
            <w:left w:val="none" w:sz="0" w:space="0" w:color="auto"/>
            <w:bottom w:val="none" w:sz="0" w:space="0" w:color="auto"/>
            <w:right w:val="none" w:sz="0" w:space="0" w:color="auto"/>
          </w:divBdr>
          <w:divsChild>
            <w:div w:id="127476466">
              <w:marLeft w:val="0"/>
              <w:marRight w:val="0"/>
              <w:marTop w:val="0"/>
              <w:marBottom w:val="0"/>
              <w:divBdr>
                <w:top w:val="none" w:sz="0" w:space="0" w:color="auto"/>
                <w:left w:val="none" w:sz="0" w:space="0" w:color="auto"/>
                <w:bottom w:val="none" w:sz="0" w:space="0" w:color="auto"/>
                <w:right w:val="none" w:sz="0" w:space="0" w:color="auto"/>
              </w:divBdr>
            </w:div>
          </w:divsChild>
        </w:div>
        <w:div w:id="961309391">
          <w:marLeft w:val="0"/>
          <w:marRight w:val="0"/>
          <w:marTop w:val="0"/>
          <w:marBottom w:val="0"/>
          <w:divBdr>
            <w:top w:val="none" w:sz="0" w:space="0" w:color="auto"/>
            <w:left w:val="none" w:sz="0" w:space="0" w:color="auto"/>
            <w:bottom w:val="none" w:sz="0" w:space="0" w:color="auto"/>
            <w:right w:val="none" w:sz="0" w:space="0" w:color="auto"/>
          </w:divBdr>
          <w:divsChild>
            <w:div w:id="1090077615">
              <w:marLeft w:val="0"/>
              <w:marRight w:val="0"/>
              <w:marTop w:val="0"/>
              <w:marBottom w:val="0"/>
              <w:divBdr>
                <w:top w:val="none" w:sz="0" w:space="0" w:color="auto"/>
                <w:left w:val="none" w:sz="0" w:space="0" w:color="auto"/>
                <w:bottom w:val="none" w:sz="0" w:space="0" w:color="auto"/>
                <w:right w:val="none" w:sz="0" w:space="0" w:color="auto"/>
              </w:divBdr>
            </w:div>
          </w:divsChild>
        </w:div>
        <w:div w:id="970600366">
          <w:marLeft w:val="0"/>
          <w:marRight w:val="0"/>
          <w:marTop w:val="0"/>
          <w:marBottom w:val="0"/>
          <w:divBdr>
            <w:top w:val="none" w:sz="0" w:space="0" w:color="auto"/>
            <w:left w:val="none" w:sz="0" w:space="0" w:color="auto"/>
            <w:bottom w:val="none" w:sz="0" w:space="0" w:color="auto"/>
            <w:right w:val="none" w:sz="0" w:space="0" w:color="auto"/>
          </w:divBdr>
          <w:divsChild>
            <w:div w:id="1954356865">
              <w:marLeft w:val="0"/>
              <w:marRight w:val="0"/>
              <w:marTop w:val="0"/>
              <w:marBottom w:val="0"/>
              <w:divBdr>
                <w:top w:val="none" w:sz="0" w:space="0" w:color="auto"/>
                <w:left w:val="none" w:sz="0" w:space="0" w:color="auto"/>
                <w:bottom w:val="none" w:sz="0" w:space="0" w:color="auto"/>
                <w:right w:val="none" w:sz="0" w:space="0" w:color="auto"/>
              </w:divBdr>
            </w:div>
          </w:divsChild>
        </w:div>
        <w:div w:id="1001353662">
          <w:marLeft w:val="0"/>
          <w:marRight w:val="0"/>
          <w:marTop w:val="0"/>
          <w:marBottom w:val="0"/>
          <w:divBdr>
            <w:top w:val="none" w:sz="0" w:space="0" w:color="auto"/>
            <w:left w:val="none" w:sz="0" w:space="0" w:color="auto"/>
            <w:bottom w:val="none" w:sz="0" w:space="0" w:color="auto"/>
            <w:right w:val="none" w:sz="0" w:space="0" w:color="auto"/>
          </w:divBdr>
          <w:divsChild>
            <w:div w:id="511528056">
              <w:marLeft w:val="0"/>
              <w:marRight w:val="0"/>
              <w:marTop w:val="0"/>
              <w:marBottom w:val="0"/>
              <w:divBdr>
                <w:top w:val="none" w:sz="0" w:space="0" w:color="auto"/>
                <w:left w:val="none" w:sz="0" w:space="0" w:color="auto"/>
                <w:bottom w:val="none" w:sz="0" w:space="0" w:color="auto"/>
                <w:right w:val="none" w:sz="0" w:space="0" w:color="auto"/>
              </w:divBdr>
            </w:div>
          </w:divsChild>
        </w:div>
        <w:div w:id="1014065713">
          <w:marLeft w:val="0"/>
          <w:marRight w:val="0"/>
          <w:marTop w:val="0"/>
          <w:marBottom w:val="0"/>
          <w:divBdr>
            <w:top w:val="none" w:sz="0" w:space="0" w:color="auto"/>
            <w:left w:val="none" w:sz="0" w:space="0" w:color="auto"/>
            <w:bottom w:val="none" w:sz="0" w:space="0" w:color="auto"/>
            <w:right w:val="none" w:sz="0" w:space="0" w:color="auto"/>
          </w:divBdr>
          <w:divsChild>
            <w:div w:id="215162617">
              <w:marLeft w:val="0"/>
              <w:marRight w:val="0"/>
              <w:marTop w:val="0"/>
              <w:marBottom w:val="0"/>
              <w:divBdr>
                <w:top w:val="none" w:sz="0" w:space="0" w:color="auto"/>
                <w:left w:val="none" w:sz="0" w:space="0" w:color="auto"/>
                <w:bottom w:val="none" w:sz="0" w:space="0" w:color="auto"/>
                <w:right w:val="none" w:sz="0" w:space="0" w:color="auto"/>
              </w:divBdr>
            </w:div>
          </w:divsChild>
        </w:div>
        <w:div w:id="1015036369">
          <w:marLeft w:val="0"/>
          <w:marRight w:val="0"/>
          <w:marTop w:val="0"/>
          <w:marBottom w:val="0"/>
          <w:divBdr>
            <w:top w:val="none" w:sz="0" w:space="0" w:color="auto"/>
            <w:left w:val="none" w:sz="0" w:space="0" w:color="auto"/>
            <w:bottom w:val="none" w:sz="0" w:space="0" w:color="auto"/>
            <w:right w:val="none" w:sz="0" w:space="0" w:color="auto"/>
          </w:divBdr>
          <w:divsChild>
            <w:div w:id="1562444825">
              <w:marLeft w:val="0"/>
              <w:marRight w:val="0"/>
              <w:marTop w:val="0"/>
              <w:marBottom w:val="0"/>
              <w:divBdr>
                <w:top w:val="none" w:sz="0" w:space="0" w:color="auto"/>
                <w:left w:val="none" w:sz="0" w:space="0" w:color="auto"/>
                <w:bottom w:val="none" w:sz="0" w:space="0" w:color="auto"/>
                <w:right w:val="none" w:sz="0" w:space="0" w:color="auto"/>
              </w:divBdr>
            </w:div>
          </w:divsChild>
        </w:div>
        <w:div w:id="1036807137">
          <w:marLeft w:val="0"/>
          <w:marRight w:val="0"/>
          <w:marTop w:val="0"/>
          <w:marBottom w:val="0"/>
          <w:divBdr>
            <w:top w:val="none" w:sz="0" w:space="0" w:color="auto"/>
            <w:left w:val="none" w:sz="0" w:space="0" w:color="auto"/>
            <w:bottom w:val="none" w:sz="0" w:space="0" w:color="auto"/>
            <w:right w:val="none" w:sz="0" w:space="0" w:color="auto"/>
          </w:divBdr>
          <w:divsChild>
            <w:div w:id="277299506">
              <w:marLeft w:val="0"/>
              <w:marRight w:val="0"/>
              <w:marTop w:val="0"/>
              <w:marBottom w:val="0"/>
              <w:divBdr>
                <w:top w:val="none" w:sz="0" w:space="0" w:color="auto"/>
                <w:left w:val="none" w:sz="0" w:space="0" w:color="auto"/>
                <w:bottom w:val="none" w:sz="0" w:space="0" w:color="auto"/>
                <w:right w:val="none" w:sz="0" w:space="0" w:color="auto"/>
              </w:divBdr>
            </w:div>
          </w:divsChild>
        </w:div>
        <w:div w:id="1077242379">
          <w:marLeft w:val="0"/>
          <w:marRight w:val="0"/>
          <w:marTop w:val="0"/>
          <w:marBottom w:val="0"/>
          <w:divBdr>
            <w:top w:val="none" w:sz="0" w:space="0" w:color="auto"/>
            <w:left w:val="none" w:sz="0" w:space="0" w:color="auto"/>
            <w:bottom w:val="none" w:sz="0" w:space="0" w:color="auto"/>
            <w:right w:val="none" w:sz="0" w:space="0" w:color="auto"/>
          </w:divBdr>
          <w:divsChild>
            <w:div w:id="965351077">
              <w:marLeft w:val="0"/>
              <w:marRight w:val="0"/>
              <w:marTop w:val="0"/>
              <w:marBottom w:val="0"/>
              <w:divBdr>
                <w:top w:val="none" w:sz="0" w:space="0" w:color="auto"/>
                <w:left w:val="none" w:sz="0" w:space="0" w:color="auto"/>
                <w:bottom w:val="none" w:sz="0" w:space="0" w:color="auto"/>
                <w:right w:val="none" w:sz="0" w:space="0" w:color="auto"/>
              </w:divBdr>
            </w:div>
          </w:divsChild>
        </w:div>
        <w:div w:id="1083186808">
          <w:marLeft w:val="0"/>
          <w:marRight w:val="0"/>
          <w:marTop w:val="0"/>
          <w:marBottom w:val="0"/>
          <w:divBdr>
            <w:top w:val="none" w:sz="0" w:space="0" w:color="auto"/>
            <w:left w:val="none" w:sz="0" w:space="0" w:color="auto"/>
            <w:bottom w:val="none" w:sz="0" w:space="0" w:color="auto"/>
            <w:right w:val="none" w:sz="0" w:space="0" w:color="auto"/>
          </w:divBdr>
          <w:divsChild>
            <w:div w:id="1480076209">
              <w:marLeft w:val="0"/>
              <w:marRight w:val="0"/>
              <w:marTop w:val="0"/>
              <w:marBottom w:val="0"/>
              <w:divBdr>
                <w:top w:val="none" w:sz="0" w:space="0" w:color="auto"/>
                <w:left w:val="none" w:sz="0" w:space="0" w:color="auto"/>
                <w:bottom w:val="none" w:sz="0" w:space="0" w:color="auto"/>
                <w:right w:val="none" w:sz="0" w:space="0" w:color="auto"/>
              </w:divBdr>
            </w:div>
          </w:divsChild>
        </w:div>
        <w:div w:id="1089931795">
          <w:marLeft w:val="0"/>
          <w:marRight w:val="0"/>
          <w:marTop w:val="0"/>
          <w:marBottom w:val="0"/>
          <w:divBdr>
            <w:top w:val="none" w:sz="0" w:space="0" w:color="auto"/>
            <w:left w:val="none" w:sz="0" w:space="0" w:color="auto"/>
            <w:bottom w:val="none" w:sz="0" w:space="0" w:color="auto"/>
            <w:right w:val="none" w:sz="0" w:space="0" w:color="auto"/>
          </w:divBdr>
          <w:divsChild>
            <w:div w:id="884412882">
              <w:marLeft w:val="0"/>
              <w:marRight w:val="0"/>
              <w:marTop w:val="0"/>
              <w:marBottom w:val="0"/>
              <w:divBdr>
                <w:top w:val="none" w:sz="0" w:space="0" w:color="auto"/>
                <w:left w:val="none" w:sz="0" w:space="0" w:color="auto"/>
                <w:bottom w:val="none" w:sz="0" w:space="0" w:color="auto"/>
                <w:right w:val="none" w:sz="0" w:space="0" w:color="auto"/>
              </w:divBdr>
            </w:div>
          </w:divsChild>
        </w:div>
        <w:div w:id="1106538457">
          <w:marLeft w:val="0"/>
          <w:marRight w:val="0"/>
          <w:marTop w:val="0"/>
          <w:marBottom w:val="0"/>
          <w:divBdr>
            <w:top w:val="none" w:sz="0" w:space="0" w:color="auto"/>
            <w:left w:val="none" w:sz="0" w:space="0" w:color="auto"/>
            <w:bottom w:val="none" w:sz="0" w:space="0" w:color="auto"/>
            <w:right w:val="none" w:sz="0" w:space="0" w:color="auto"/>
          </w:divBdr>
          <w:divsChild>
            <w:div w:id="743601182">
              <w:marLeft w:val="0"/>
              <w:marRight w:val="0"/>
              <w:marTop w:val="0"/>
              <w:marBottom w:val="0"/>
              <w:divBdr>
                <w:top w:val="none" w:sz="0" w:space="0" w:color="auto"/>
                <w:left w:val="none" w:sz="0" w:space="0" w:color="auto"/>
                <w:bottom w:val="none" w:sz="0" w:space="0" w:color="auto"/>
                <w:right w:val="none" w:sz="0" w:space="0" w:color="auto"/>
              </w:divBdr>
            </w:div>
          </w:divsChild>
        </w:div>
        <w:div w:id="1129006828">
          <w:marLeft w:val="0"/>
          <w:marRight w:val="0"/>
          <w:marTop w:val="0"/>
          <w:marBottom w:val="0"/>
          <w:divBdr>
            <w:top w:val="none" w:sz="0" w:space="0" w:color="auto"/>
            <w:left w:val="none" w:sz="0" w:space="0" w:color="auto"/>
            <w:bottom w:val="none" w:sz="0" w:space="0" w:color="auto"/>
            <w:right w:val="none" w:sz="0" w:space="0" w:color="auto"/>
          </w:divBdr>
          <w:divsChild>
            <w:div w:id="475681509">
              <w:marLeft w:val="0"/>
              <w:marRight w:val="0"/>
              <w:marTop w:val="0"/>
              <w:marBottom w:val="0"/>
              <w:divBdr>
                <w:top w:val="none" w:sz="0" w:space="0" w:color="auto"/>
                <w:left w:val="none" w:sz="0" w:space="0" w:color="auto"/>
                <w:bottom w:val="none" w:sz="0" w:space="0" w:color="auto"/>
                <w:right w:val="none" w:sz="0" w:space="0" w:color="auto"/>
              </w:divBdr>
            </w:div>
          </w:divsChild>
        </w:div>
        <w:div w:id="1135564403">
          <w:marLeft w:val="0"/>
          <w:marRight w:val="0"/>
          <w:marTop w:val="0"/>
          <w:marBottom w:val="0"/>
          <w:divBdr>
            <w:top w:val="none" w:sz="0" w:space="0" w:color="auto"/>
            <w:left w:val="none" w:sz="0" w:space="0" w:color="auto"/>
            <w:bottom w:val="none" w:sz="0" w:space="0" w:color="auto"/>
            <w:right w:val="none" w:sz="0" w:space="0" w:color="auto"/>
          </w:divBdr>
          <w:divsChild>
            <w:div w:id="1883520006">
              <w:marLeft w:val="0"/>
              <w:marRight w:val="0"/>
              <w:marTop w:val="0"/>
              <w:marBottom w:val="0"/>
              <w:divBdr>
                <w:top w:val="none" w:sz="0" w:space="0" w:color="auto"/>
                <w:left w:val="none" w:sz="0" w:space="0" w:color="auto"/>
                <w:bottom w:val="none" w:sz="0" w:space="0" w:color="auto"/>
                <w:right w:val="none" w:sz="0" w:space="0" w:color="auto"/>
              </w:divBdr>
            </w:div>
          </w:divsChild>
        </w:div>
        <w:div w:id="1159418589">
          <w:marLeft w:val="0"/>
          <w:marRight w:val="0"/>
          <w:marTop w:val="0"/>
          <w:marBottom w:val="0"/>
          <w:divBdr>
            <w:top w:val="none" w:sz="0" w:space="0" w:color="auto"/>
            <w:left w:val="none" w:sz="0" w:space="0" w:color="auto"/>
            <w:bottom w:val="none" w:sz="0" w:space="0" w:color="auto"/>
            <w:right w:val="none" w:sz="0" w:space="0" w:color="auto"/>
          </w:divBdr>
          <w:divsChild>
            <w:div w:id="1062951280">
              <w:marLeft w:val="0"/>
              <w:marRight w:val="0"/>
              <w:marTop w:val="0"/>
              <w:marBottom w:val="0"/>
              <w:divBdr>
                <w:top w:val="none" w:sz="0" w:space="0" w:color="auto"/>
                <w:left w:val="none" w:sz="0" w:space="0" w:color="auto"/>
                <w:bottom w:val="none" w:sz="0" w:space="0" w:color="auto"/>
                <w:right w:val="none" w:sz="0" w:space="0" w:color="auto"/>
              </w:divBdr>
            </w:div>
          </w:divsChild>
        </w:div>
        <w:div w:id="1161315025">
          <w:marLeft w:val="0"/>
          <w:marRight w:val="0"/>
          <w:marTop w:val="0"/>
          <w:marBottom w:val="0"/>
          <w:divBdr>
            <w:top w:val="none" w:sz="0" w:space="0" w:color="auto"/>
            <w:left w:val="none" w:sz="0" w:space="0" w:color="auto"/>
            <w:bottom w:val="none" w:sz="0" w:space="0" w:color="auto"/>
            <w:right w:val="none" w:sz="0" w:space="0" w:color="auto"/>
          </w:divBdr>
          <w:divsChild>
            <w:div w:id="680012885">
              <w:marLeft w:val="0"/>
              <w:marRight w:val="0"/>
              <w:marTop w:val="0"/>
              <w:marBottom w:val="0"/>
              <w:divBdr>
                <w:top w:val="none" w:sz="0" w:space="0" w:color="auto"/>
                <w:left w:val="none" w:sz="0" w:space="0" w:color="auto"/>
                <w:bottom w:val="none" w:sz="0" w:space="0" w:color="auto"/>
                <w:right w:val="none" w:sz="0" w:space="0" w:color="auto"/>
              </w:divBdr>
            </w:div>
          </w:divsChild>
        </w:div>
        <w:div w:id="1230724608">
          <w:marLeft w:val="0"/>
          <w:marRight w:val="0"/>
          <w:marTop w:val="0"/>
          <w:marBottom w:val="0"/>
          <w:divBdr>
            <w:top w:val="none" w:sz="0" w:space="0" w:color="auto"/>
            <w:left w:val="none" w:sz="0" w:space="0" w:color="auto"/>
            <w:bottom w:val="none" w:sz="0" w:space="0" w:color="auto"/>
            <w:right w:val="none" w:sz="0" w:space="0" w:color="auto"/>
          </w:divBdr>
          <w:divsChild>
            <w:div w:id="375354601">
              <w:marLeft w:val="0"/>
              <w:marRight w:val="0"/>
              <w:marTop w:val="0"/>
              <w:marBottom w:val="0"/>
              <w:divBdr>
                <w:top w:val="none" w:sz="0" w:space="0" w:color="auto"/>
                <w:left w:val="none" w:sz="0" w:space="0" w:color="auto"/>
                <w:bottom w:val="none" w:sz="0" w:space="0" w:color="auto"/>
                <w:right w:val="none" w:sz="0" w:space="0" w:color="auto"/>
              </w:divBdr>
            </w:div>
          </w:divsChild>
        </w:div>
        <w:div w:id="1250038200">
          <w:marLeft w:val="0"/>
          <w:marRight w:val="0"/>
          <w:marTop w:val="0"/>
          <w:marBottom w:val="0"/>
          <w:divBdr>
            <w:top w:val="none" w:sz="0" w:space="0" w:color="auto"/>
            <w:left w:val="none" w:sz="0" w:space="0" w:color="auto"/>
            <w:bottom w:val="none" w:sz="0" w:space="0" w:color="auto"/>
            <w:right w:val="none" w:sz="0" w:space="0" w:color="auto"/>
          </w:divBdr>
          <w:divsChild>
            <w:div w:id="1366634434">
              <w:marLeft w:val="0"/>
              <w:marRight w:val="0"/>
              <w:marTop w:val="0"/>
              <w:marBottom w:val="0"/>
              <w:divBdr>
                <w:top w:val="none" w:sz="0" w:space="0" w:color="auto"/>
                <w:left w:val="none" w:sz="0" w:space="0" w:color="auto"/>
                <w:bottom w:val="none" w:sz="0" w:space="0" w:color="auto"/>
                <w:right w:val="none" w:sz="0" w:space="0" w:color="auto"/>
              </w:divBdr>
            </w:div>
          </w:divsChild>
        </w:div>
        <w:div w:id="1278104281">
          <w:marLeft w:val="0"/>
          <w:marRight w:val="0"/>
          <w:marTop w:val="0"/>
          <w:marBottom w:val="0"/>
          <w:divBdr>
            <w:top w:val="none" w:sz="0" w:space="0" w:color="auto"/>
            <w:left w:val="none" w:sz="0" w:space="0" w:color="auto"/>
            <w:bottom w:val="none" w:sz="0" w:space="0" w:color="auto"/>
            <w:right w:val="none" w:sz="0" w:space="0" w:color="auto"/>
          </w:divBdr>
          <w:divsChild>
            <w:div w:id="291601398">
              <w:marLeft w:val="0"/>
              <w:marRight w:val="0"/>
              <w:marTop w:val="0"/>
              <w:marBottom w:val="0"/>
              <w:divBdr>
                <w:top w:val="none" w:sz="0" w:space="0" w:color="auto"/>
                <w:left w:val="none" w:sz="0" w:space="0" w:color="auto"/>
                <w:bottom w:val="none" w:sz="0" w:space="0" w:color="auto"/>
                <w:right w:val="none" w:sz="0" w:space="0" w:color="auto"/>
              </w:divBdr>
            </w:div>
          </w:divsChild>
        </w:div>
        <w:div w:id="1290278401">
          <w:marLeft w:val="0"/>
          <w:marRight w:val="0"/>
          <w:marTop w:val="0"/>
          <w:marBottom w:val="0"/>
          <w:divBdr>
            <w:top w:val="none" w:sz="0" w:space="0" w:color="auto"/>
            <w:left w:val="none" w:sz="0" w:space="0" w:color="auto"/>
            <w:bottom w:val="none" w:sz="0" w:space="0" w:color="auto"/>
            <w:right w:val="none" w:sz="0" w:space="0" w:color="auto"/>
          </w:divBdr>
          <w:divsChild>
            <w:div w:id="886797889">
              <w:marLeft w:val="0"/>
              <w:marRight w:val="0"/>
              <w:marTop w:val="0"/>
              <w:marBottom w:val="0"/>
              <w:divBdr>
                <w:top w:val="none" w:sz="0" w:space="0" w:color="auto"/>
                <w:left w:val="none" w:sz="0" w:space="0" w:color="auto"/>
                <w:bottom w:val="none" w:sz="0" w:space="0" w:color="auto"/>
                <w:right w:val="none" w:sz="0" w:space="0" w:color="auto"/>
              </w:divBdr>
            </w:div>
          </w:divsChild>
        </w:div>
        <w:div w:id="1295719280">
          <w:marLeft w:val="0"/>
          <w:marRight w:val="0"/>
          <w:marTop w:val="0"/>
          <w:marBottom w:val="0"/>
          <w:divBdr>
            <w:top w:val="none" w:sz="0" w:space="0" w:color="auto"/>
            <w:left w:val="none" w:sz="0" w:space="0" w:color="auto"/>
            <w:bottom w:val="none" w:sz="0" w:space="0" w:color="auto"/>
            <w:right w:val="none" w:sz="0" w:space="0" w:color="auto"/>
          </w:divBdr>
          <w:divsChild>
            <w:div w:id="383068795">
              <w:marLeft w:val="0"/>
              <w:marRight w:val="0"/>
              <w:marTop w:val="0"/>
              <w:marBottom w:val="0"/>
              <w:divBdr>
                <w:top w:val="none" w:sz="0" w:space="0" w:color="auto"/>
                <w:left w:val="none" w:sz="0" w:space="0" w:color="auto"/>
                <w:bottom w:val="none" w:sz="0" w:space="0" w:color="auto"/>
                <w:right w:val="none" w:sz="0" w:space="0" w:color="auto"/>
              </w:divBdr>
            </w:div>
          </w:divsChild>
        </w:div>
        <w:div w:id="1296641044">
          <w:marLeft w:val="0"/>
          <w:marRight w:val="0"/>
          <w:marTop w:val="0"/>
          <w:marBottom w:val="0"/>
          <w:divBdr>
            <w:top w:val="none" w:sz="0" w:space="0" w:color="auto"/>
            <w:left w:val="none" w:sz="0" w:space="0" w:color="auto"/>
            <w:bottom w:val="none" w:sz="0" w:space="0" w:color="auto"/>
            <w:right w:val="none" w:sz="0" w:space="0" w:color="auto"/>
          </w:divBdr>
          <w:divsChild>
            <w:div w:id="1741902859">
              <w:marLeft w:val="0"/>
              <w:marRight w:val="0"/>
              <w:marTop w:val="0"/>
              <w:marBottom w:val="0"/>
              <w:divBdr>
                <w:top w:val="none" w:sz="0" w:space="0" w:color="auto"/>
                <w:left w:val="none" w:sz="0" w:space="0" w:color="auto"/>
                <w:bottom w:val="none" w:sz="0" w:space="0" w:color="auto"/>
                <w:right w:val="none" w:sz="0" w:space="0" w:color="auto"/>
              </w:divBdr>
            </w:div>
          </w:divsChild>
        </w:div>
        <w:div w:id="1299872568">
          <w:marLeft w:val="0"/>
          <w:marRight w:val="0"/>
          <w:marTop w:val="0"/>
          <w:marBottom w:val="0"/>
          <w:divBdr>
            <w:top w:val="none" w:sz="0" w:space="0" w:color="auto"/>
            <w:left w:val="none" w:sz="0" w:space="0" w:color="auto"/>
            <w:bottom w:val="none" w:sz="0" w:space="0" w:color="auto"/>
            <w:right w:val="none" w:sz="0" w:space="0" w:color="auto"/>
          </w:divBdr>
          <w:divsChild>
            <w:div w:id="509026358">
              <w:marLeft w:val="0"/>
              <w:marRight w:val="0"/>
              <w:marTop w:val="0"/>
              <w:marBottom w:val="0"/>
              <w:divBdr>
                <w:top w:val="none" w:sz="0" w:space="0" w:color="auto"/>
                <w:left w:val="none" w:sz="0" w:space="0" w:color="auto"/>
                <w:bottom w:val="none" w:sz="0" w:space="0" w:color="auto"/>
                <w:right w:val="none" w:sz="0" w:space="0" w:color="auto"/>
              </w:divBdr>
            </w:div>
          </w:divsChild>
        </w:div>
        <w:div w:id="1301227971">
          <w:marLeft w:val="0"/>
          <w:marRight w:val="0"/>
          <w:marTop w:val="0"/>
          <w:marBottom w:val="0"/>
          <w:divBdr>
            <w:top w:val="none" w:sz="0" w:space="0" w:color="auto"/>
            <w:left w:val="none" w:sz="0" w:space="0" w:color="auto"/>
            <w:bottom w:val="none" w:sz="0" w:space="0" w:color="auto"/>
            <w:right w:val="none" w:sz="0" w:space="0" w:color="auto"/>
          </w:divBdr>
          <w:divsChild>
            <w:div w:id="1939946716">
              <w:marLeft w:val="0"/>
              <w:marRight w:val="0"/>
              <w:marTop w:val="0"/>
              <w:marBottom w:val="0"/>
              <w:divBdr>
                <w:top w:val="none" w:sz="0" w:space="0" w:color="auto"/>
                <w:left w:val="none" w:sz="0" w:space="0" w:color="auto"/>
                <w:bottom w:val="none" w:sz="0" w:space="0" w:color="auto"/>
                <w:right w:val="none" w:sz="0" w:space="0" w:color="auto"/>
              </w:divBdr>
            </w:div>
          </w:divsChild>
        </w:div>
        <w:div w:id="1308827789">
          <w:marLeft w:val="0"/>
          <w:marRight w:val="0"/>
          <w:marTop w:val="0"/>
          <w:marBottom w:val="0"/>
          <w:divBdr>
            <w:top w:val="none" w:sz="0" w:space="0" w:color="auto"/>
            <w:left w:val="none" w:sz="0" w:space="0" w:color="auto"/>
            <w:bottom w:val="none" w:sz="0" w:space="0" w:color="auto"/>
            <w:right w:val="none" w:sz="0" w:space="0" w:color="auto"/>
          </w:divBdr>
          <w:divsChild>
            <w:div w:id="486282413">
              <w:marLeft w:val="0"/>
              <w:marRight w:val="0"/>
              <w:marTop w:val="0"/>
              <w:marBottom w:val="0"/>
              <w:divBdr>
                <w:top w:val="none" w:sz="0" w:space="0" w:color="auto"/>
                <w:left w:val="none" w:sz="0" w:space="0" w:color="auto"/>
                <w:bottom w:val="none" w:sz="0" w:space="0" w:color="auto"/>
                <w:right w:val="none" w:sz="0" w:space="0" w:color="auto"/>
              </w:divBdr>
            </w:div>
          </w:divsChild>
        </w:div>
        <w:div w:id="1326276353">
          <w:marLeft w:val="0"/>
          <w:marRight w:val="0"/>
          <w:marTop w:val="0"/>
          <w:marBottom w:val="0"/>
          <w:divBdr>
            <w:top w:val="none" w:sz="0" w:space="0" w:color="auto"/>
            <w:left w:val="none" w:sz="0" w:space="0" w:color="auto"/>
            <w:bottom w:val="none" w:sz="0" w:space="0" w:color="auto"/>
            <w:right w:val="none" w:sz="0" w:space="0" w:color="auto"/>
          </w:divBdr>
          <w:divsChild>
            <w:div w:id="377242073">
              <w:marLeft w:val="0"/>
              <w:marRight w:val="0"/>
              <w:marTop w:val="0"/>
              <w:marBottom w:val="0"/>
              <w:divBdr>
                <w:top w:val="none" w:sz="0" w:space="0" w:color="auto"/>
                <w:left w:val="none" w:sz="0" w:space="0" w:color="auto"/>
                <w:bottom w:val="none" w:sz="0" w:space="0" w:color="auto"/>
                <w:right w:val="none" w:sz="0" w:space="0" w:color="auto"/>
              </w:divBdr>
            </w:div>
          </w:divsChild>
        </w:div>
        <w:div w:id="1353263988">
          <w:marLeft w:val="0"/>
          <w:marRight w:val="0"/>
          <w:marTop w:val="0"/>
          <w:marBottom w:val="0"/>
          <w:divBdr>
            <w:top w:val="none" w:sz="0" w:space="0" w:color="auto"/>
            <w:left w:val="none" w:sz="0" w:space="0" w:color="auto"/>
            <w:bottom w:val="none" w:sz="0" w:space="0" w:color="auto"/>
            <w:right w:val="none" w:sz="0" w:space="0" w:color="auto"/>
          </w:divBdr>
          <w:divsChild>
            <w:div w:id="2142185724">
              <w:marLeft w:val="0"/>
              <w:marRight w:val="0"/>
              <w:marTop w:val="0"/>
              <w:marBottom w:val="0"/>
              <w:divBdr>
                <w:top w:val="none" w:sz="0" w:space="0" w:color="auto"/>
                <w:left w:val="none" w:sz="0" w:space="0" w:color="auto"/>
                <w:bottom w:val="none" w:sz="0" w:space="0" w:color="auto"/>
                <w:right w:val="none" w:sz="0" w:space="0" w:color="auto"/>
              </w:divBdr>
            </w:div>
          </w:divsChild>
        </w:div>
        <w:div w:id="1389306181">
          <w:marLeft w:val="0"/>
          <w:marRight w:val="0"/>
          <w:marTop w:val="0"/>
          <w:marBottom w:val="0"/>
          <w:divBdr>
            <w:top w:val="none" w:sz="0" w:space="0" w:color="auto"/>
            <w:left w:val="none" w:sz="0" w:space="0" w:color="auto"/>
            <w:bottom w:val="none" w:sz="0" w:space="0" w:color="auto"/>
            <w:right w:val="none" w:sz="0" w:space="0" w:color="auto"/>
          </w:divBdr>
          <w:divsChild>
            <w:div w:id="1617757213">
              <w:marLeft w:val="0"/>
              <w:marRight w:val="0"/>
              <w:marTop w:val="0"/>
              <w:marBottom w:val="0"/>
              <w:divBdr>
                <w:top w:val="none" w:sz="0" w:space="0" w:color="auto"/>
                <w:left w:val="none" w:sz="0" w:space="0" w:color="auto"/>
                <w:bottom w:val="none" w:sz="0" w:space="0" w:color="auto"/>
                <w:right w:val="none" w:sz="0" w:space="0" w:color="auto"/>
              </w:divBdr>
            </w:div>
          </w:divsChild>
        </w:div>
        <w:div w:id="1406680105">
          <w:marLeft w:val="0"/>
          <w:marRight w:val="0"/>
          <w:marTop w:val="0"/>
          <w:marBottom w:val="0"/>
          <w:divBdr>
            <w:top w:val="none" w:sz="0" w:space="0" w:color="auto"/>
            <w:left w:val="none" w:sz="0" w:space="0" w:color="auto"/>
            <w:bottom w:val="none" w:sz="0" w:space="0" w:color="auto"/>
            <w:right w:val="none" w:sz="0" w:space="0" w:color="auto"/>
          </w:divBdr>
          <w:divsChild>
            <w:div w:id="2044094326">
              <w:marLeft w:val="0"/>
              <w:marRight w:val="0"/>
              <w:marTop w:val="0"/>
              <w:marBottom w:val="0"/>
              <w:divBdr>
                <w:top w:val="none" w:sz="0" w:space="0" w:color="auto"/>
                <w:left w:val="none" w:sz="0" w:space="0" w:color="auto"/>
                <w:bottom w:val="none" w:sz="0" w:space="0" w:color="auto"/>
                <w:right w:val="none" w:sz="0" w:space="0" w:color="auto"/>
              </w:divBdr>
            </w:div>
          </w:divsChild>
        </w:div>
        <w:div w:id="1409183045">
          <w:marLeft w:val="0"/>
          <w:marRight w:val="0"/>
          <w:marTop w:val="0"/>
          <w:marBottom w:val="0"/>
          <w:divBdr>
            <w:top w:val="none" w:sz="0" w:space="0" w:color="auto"/>
            <w:left w:val="none" w:sz="0" w:space="0" w:color="auto"/>
            <w:bottom w:val="none" w:sz="0" w:space="0" w:color="auto"/>
            <w:right w:val="none" w:sz="0" w:space="0" w:color="auto"/>
          </w:divBdr>
          <w:divsChild>
            <w:div w:id="344984249">
              <w:marLeft w:val="0"/>
              <w:marRight w:val="0"/>
              <w:marTop w:val="0"/>
              <w:marBottom w:val="0"/>
              <w:divBdr>
                <w:top w:val="none" w:sz="0" w:space="0" w:color="auto"/>
                <w:left w:val="none" w:sz="0" w:space="0" w:color="auto"/>
                <w:bottom w:val="none" w:sz="0" w:space="0" w:color="auto"/>
                <w:right w:val="none" w:sz="0" w:space="0" w:color="auto"/>
              </w:divBdr>
            </w:div>
          </w:divsChild>
        </w:div>
        <w:div w:id="1441412068">
          <w:marLeft w:val="0"/>
          <w:marRight w:val="0"/>
          <w:marTop w:val="0"/>
          <w:marBottom w:val="0"/>
          <w:divBdr>
            <w:top w:val="none" w:sz="0" w:space="0" w:color="auto"/>
            <w:left w:val="none" w:sz="0" w:space="0" w:color="auto"/>
            <w:bottom w:val="none" w:sz="0" w:space="0" w:color="auto"/>
            <w:right w:val="none" w:sz="0" w:space="0" w:color="auto"/>
          </w:divBdr>
          <w:divsChild>
            <w:div w:id="576092351">
              <w:marLeft w:val="0"/>
              <w:marRight w:val="0"/>
              <w:marTop w:val="0"/>
              <w:marBottom w:val="0"/>
              <w:divBdr>
                <w:top w:val="none" w:sz="0" w:space="0" w:color="auto"/>
                <w:left w:val="none" w:sz="0" w:space="0" w:color="auto"/>
                <w:bottom w:val="none" w:sz="0" w:space="0" w:color="auto"/>
                <w:right w:val="none" w:sz="0" w:space="0" w:color="auto"/>
              </w:divBdr>
            </w:div>
          </w:divsChild>
        </w:div>
        <w:div w:id="1452360716">
          <w:marLeft w:val="0"/>
          <w:marRight w:val="0"/>
          <w:marTop w:val="0"/>
          <w:marBottom w:val="0"/>
          <w:divBdr>
            <w:top w:val="none" w:sz="0" w:space="0" w:color="auto"/>
            <w:left w:val="none" w:sz="0" w:space="0" w:color="auto"/>
            <w:bottom w:val="none" w:sz="0" w:space="0" w:color="auto"/>
            <w:right w:val="none" w:sz="0" w:space="0" w:color="auto"/>
          </w:divBdr>
          <w:divsChild>
            <w:div w:id="1227375599">
              <w:marLeft w:val="0"/>
              <w:marRight w:val="0"/>
              <w:marTop w:val="0"/>
              <w:marBottom w:val="0"/>
              <w:divBdr>
                <w:top w:val="none" w:sz="0" w:space="0" w:color="auto"/>
                <w:left w:val="none" w:sz="0" w:space="0" w:color="auto"/>
                <w:bottom w:val="none" w:sz="0" w:space="0" w:color="auto"/>
                <w:right w:val="none" w:sz="0" w:space="0" w:color="auto"/>
              </w:divBdr>
            </w:div>
          </w:divsChild>
        </w:div>
        <w:div w:id="1470978524">
          <w:marLeft w:val="0"/>
          <w:marRight w:val="0"/>
          <w:marTop w:val="0"/>
          <w:marBottom w:val="0"/>
          <w:divBdr>
            <w:top w:val="none" w:sz="0" w:space="0" w:color="auto"/>
            <w:left w:val="none" w:sz="0" w:space="0" w:color="auto"/>
            <w:bottom w:val="none" w:sz="0" w:space="0" w:color="auto"/>
            <w:right w:val="none" w:sz="0" w:space="0" w:color="auto"/>
          </w:divBdr>
          <w:divsChild>
            <w:div w:id="1170607864">
              <w:marLeft w:val="0"/>
              <w:marRight w:val="0"/>
              <w:marTop w:val="0"/>
              <w:marBottom w:val="0"/>
              <w:divBdr>
                <w:top w:val="none" w:sz="0" w:space="0" w:color="auto"/>
                <w:left w:val="none" w:sz="0" w:space="0" w:color="auto"/>
                <w:bottom w:val="none" w:sz="0" w:space="0" w:color="auto"/>
                <w:right w:val="none" w:sz="0" w:space="0" w:color="auto"/>
              </w:divBdr>
            </w:div>
          </w:divsChild>
        </w:div>
        <w:div w:id="1501967713">
          <w:marLeft w:val="0"/>
          <w:marRight w:val="0"/>
          <w:marTop w:val="0"/>
          <w:marBottom w:val="0"/>
          <w:divBdr>
            <w:top w:val="none" w:sz="0" w:space="0" w:color="auto"/>
            <w:left w:val="none" w:sz="0" w:space="0" w:color="auto"/>
            <w:bottom w:val="none" w:sz="0" w:space="0" w:color="auto"/>
            <w:right w:val="none" w:sz="0" w:space="0" w:color="auto"/>
          </w:divBdr>
          <w:divsChild>
            <w:div w:id="1277755431">
              <w:marLeft w:val="0"/>
              <w:marRight w:val="0"/>
              <w:marTop w:val="0"/>
              <w:marBottom w:val="0"/>
              <w:divBdr>
                <w:top w:val="none" w:sz="0" w:space="0" w:color="auto"/>
                <w:left w:val="none" w:sz="0" w:space="0" w:color="auto"/>
                <w:bottom w:val="none" w:sz="0" w:space="0" w:color="auto"/>
                <w:right w:val="none" w:sz="0" w:space="0" w:color="auto"/>
              </w:divBdr>
            </w:div>
          </w:divsChild>
        </w:div>
        <w:div w:id="1529172763">
          <w:marLeft w:val="0"/>
          <w:marRight w:val="0"/>
          <w:marTop w:val="0"/>
          <w:marBottom w:val="0"/>
          <w:divBdr>
            <w:top w:val="none" w:sz="0" w:space="0" w:color="auto"/>
            <w:left w:val="none" w:sz="0" w:space="0" w:color="auto"/>
            <w:bottom w:val="none" w:sz="0" w:space="0" w:color="auto"/>
            <w:right w:val="none" w:sz="0" w:space="0" w:color="auto"/>
          </w:divBdr>
          <w:divsChild>
            <w:div w:id="655770404">
              <w:marLeft w:val="0"/>
              <w:marRight w:val="0"/>
              <w:marTop w:val="0"/>
              <w:marBottom w:val="0"/>
              <w:divBdr>
                <w:top w:val="none" w:sz="0" w:space="0" w:color="auto"/>
                <w:left w:val="none" w:sz="0" w:space="0" w:color="auto"/>
                <w:bottom w:val="none" w:sz="0" w:space="0" w:color="auto"/>
                <w:right w:val="none" w:sz="0" w:space="0" w:color="auto"/>
              </w:divBdr>
            </w:div>
          </w:divsChild>
        </w:div>
        <w:div w:id="1532376776">
          <w:marLeft w:val="0"/>
          <w:marRight w:val="0"/>
          <w:marTop w:val="0"/>
          <w:marBottom w:val="0"/>
          <w:divBdr>
            <w:top w:val="none" w:sz="0" w:space="0" w:color="auto"/>
            <w:left w:val="none" w:sz="0" w:space="0" w:color="auto"/>
            <w:bottom w:val="none" w:sz="0" w:space="0" w:color="auto"/>
            <w:right w:val="none" w:sz="0" w:space="0" w:color="auto"/>
          </w:divBdr>
          <w:divsChild>
            <w:div w:id="632057002">
              <w:marLeft w:val="0"/>
              <w:marRight w:val="0"/>
              <w:marTop w:val="0"/>
              <w:marBottom w:val="0"/>
              <w:divBdr>
                <w:top w:val="none" w:sz="0" w:space="0" w:color="auto"/>
                <w:left w:val="none" w:sz="0" w:space="0" w:color="auto"/>
                <w:bottom w:val="none" w:sz="0" w:space="0" w:color="auto"/>
                <w:right w:val="none" w:sz="0" w:space="0" w:color="auto"/>
              </w:divBdr>
            </w:div>
          </w:divsChild>
        </w:div>
        <w:div w:id="1533686350">
          <w:marLeft w:val="0"/>
          <w:marRight w:val="0"/>
          <w:marTop w:val="0"/>
          <w:marBottom w:val="0"/>
          <w:divBdr>
            <w:top w:val="none" w:sz="0" w:space="0" w:color="auto"/>
            <w:left w:val="none" w:sz="0" w:space="0" w:color="auto"/>
            <w:bottom w:val="none" w:sz="0" w:space="0" w:color="auto"/>
            <w:right w:val="none" w:sz="0" w:space="0" w:color="auto"/>
          </w:divBdr>
          <w:divsChild>
            <w:div w:id="1675375662">
              <w:marLeft w:val="0"/>
              <w:marRight w:val="0"/>
              <w:marTop w:val="0"/>
              <w:marBottom w:val="0"/>
              <w:divBdr>
                <w:top w:val="none" w:sz="0" w:space="0" w:color="auto"/>
                <w:left w:val="none" w:sz="0" w:space="0" w:color="auto"/>
                <w:bottom w:val="none" w:sz="0" w:space="0" w:color="auto"/>
                <w:right w:val="none" w:sz="0" w:space="0" w:color="auto"/>
              </w:divBdr>
            </w:div>
          </w:divsChild>
        </w:div>
        <w:div w:id="1538275635">
          <w:marLeft w:val="0"/>
          <w:marRight w:val="0"/>
          <w:marTop w:val="0"/>
          <w:marBottom w:val="0"/>
          <w:divBdr>
            <w:top w:val="none" w:sz="0" w:space="0" w:color="auto"/>
            <w:left w:val="none" w:sz="0" w:space="0" w:color="auto"/>
            <w:bottom w:val="none" w:sz="0" w:space="0" w:color="auto"/>
            <w:right w:val="none" w:sz="0" w:space="0" w:color="auto"/>
          </w:divBdr>
          <w:divsChild>
            <w:div w:id="1874343488">
              <w:marLeft w:val="0"/>
              <w:marRight w:val="0"/>
              <w:marTop w:val="0"/>
              <w:marBottom w:val="0"/>
              <w:divBdr>
                <w:top w:val="none" w:sz="0" w:space="0" w:color="auto"/>
                <w:left w:val="none" w:sz="0" w:space="0" w:color="auto"/>
                <w:bottom w:val="none" w:sz="0" w:space="0" w:color="auto"/>
                <w:right w:val="none" w:sz="0" w:space="0" w:color="auto"/>
              </w:divBdr>
            </w:div>
          </w:divsChild>
        </w:div>
        <w:div w:id="1539858036">
          <w:marLeft w:val="0"/>
          <w:marRight w:val="0"/>
          <w:marTop w:val="0"/>
          <w:marBottom w:val="0"/>
          <w:divBdr>
            <w:top w:val="none" w:sz="0" w:space="0" w:color="auto"/>
            <w:left w:val="none" w:sz="0" w:space="0" w:color="auto"/>
            <w:bottom w:val="none" w:sz="0" w:space="0" w:color="auto"/>
            <w:right w:val="none" w:sz="0" w:space="0" w:color="auto"/>
          </w:divBdr>
          <w:divsChild>
            <w:div w:id="247663102">
              <w:marLeft w:val="0"/>
              <w:marRight w:val="0"/>
              <w:marTop w:val="0"/>
              <w:marBottom w:val="0"/>
              <w:divBdr>
                <w:top w:val="none" w:sz="0" w:space="0" w:color="auto"/>
                <w:left w:val="none" w:sz="0" w:space="0" w:color="auto"/>
                <w:bottom w:val="none" w:sz="0" w:space="0" w:color="auto"/>
                <w:right w:val="none" w:sz="0" w:space="0" w:color="auto"/>
              </w:divBdr>
            </w:div>
          </w:divsChild>
        </w:div>
        <w:div w:id="1561793941">
          <w:marLeft w:val="0"/>
          <w:marRight w:val="0"/>
          <w:marTop w:val="0"/>
          <w:marBottom w:val="0"/>
          <w:divBdr>
            <w:top w:val="none" w:sz="0" w:space="0" w:color="auto"/>
            <w:left w:val="none" w:sz="0" w:space="0" w:color="auto"/>
            <w:bottom w:val="none" w:sz="0" w:space="0" w:color="auto"/>
            <w:right w:val="none" w:sz="0" w:space="0" w:color="auto"/>
          </w:divBdr>
          <w:divsChild>
            <w:div w:id="49769962">
              <w:marLeft w:val="0"/>
              <w:marRight w:val="0"/>
              <w:marTop w:val="0"/>
              <w:marBottom w:val="0"/>
              <w:divBdr>
                <w:top w:val="none" w:sz="0" w:space="0" w:color="auto"/>
                <w:left w:val="none" w:sz="0" w:space="0" w:color="auto"/>
                <w:bottom w:val="none" w:sz="0" w:space="0" w:color="auto"/>
                <w:right w:val="none" w:sz="0" w:space="0" w:color="auto"/>
              </w:divBdr>
            </w:div>
          </w:divsChild>
        </w:div>
        <w:div w:id="1567569328">
          <w:marLeft w:val="0"/>
          <w:marRight w:val="0"/>
          <w:marTop w:val="0"/>
          <w:marBottom w:val="0"/>
          <w:divBdr>
            <w:top w:val="none" w:sz="0" w:space="0" w:color="auto"/>
            <w:left w:val="none" w:sz="0" w:space="0" w:color="auto"/>
            <w:bottom w:val="none" w:sz="0" w:space="0" w:color="auto"/>
            <w:right w:val="none" w:sz="0" w:space="0" w:color="auto"/>
          </w:divBdr>
          <w:divsChild>
            <w:div w:id="229971955">
              <w:marLeft w:val="0"/>
              <w:marRight w:val="0"/>
              <w:marTop w:val="0"/>
              <w:marBottom w:val="0"/>
              <w:divBdr>
                <w:top w:val="none" w:sz="0" w:space="0" w:color="auto"/>
                <w:left w:val="none" w:sz="0" w:space="0" w:color="auto"/>
                <w:bottom w:val="none" w:sz="0" w:space="0" w:color="auto"/>
                <w:right w:val="none" w:sz="0" w:space="0" w:color="auto"/>
              </w:divBdr>
            </w:div>
          </w:divsChild>
        </w:div>
        <w:div w:id="1603613990">
          <w:marLeft w:val="0"/>
          <w:marRight w:val="0"/>
          <w:marTop w:val="0"/>
          <w:marBottom w:val="0"/>
          <w:divBdr>
            <w:top w:val="none" w:sz="0" w:space="0" w:color="auto"/>
            <w:left w:val="none" w:sz="0" w:space="0" w:color="auto"/>
            <w:bottom w:val="none" w:sz="0" w:space="0" w:color="auto"/>
            <w:right w:val="none" w:sz="0" w:space="0" w:color="auto"/>
          </w:divBdr>
          <w:divsChild>
            <w:div w:id="1435977976">
              <w:marLeft w:val="0"/>
              <w:marRight w:val="0"/>
              <w:marTop w:val="0"/>
              <w:marBottom w:val="0"/>
              <w:divBdr>
                <w:top w:val="none" w:sz="0" w:space="0" w:color="auto"/>
                <w:left w:val="none" w:sz="0" w:space="0" w:color="auto"/>
                <w:bottom w:val="none" w:sz="0" w:space="0" w:color="auto"/>
                <w:right w:val="none" w:sz="0" w:space="0" w:color="auto"/>
              </w:divBdr>
            </w:div>
          </w:divsChild>
        </w:div>
        <w:div w:id="1611205396">
          <w:marLeft w:val="0"/>
          <w:marRight w:val="0"/>
          <w:marTop w:val="0"/>
          <w:marBottom w:val="0"/>
          <w:divBdr>
            <w:top w:val="none" w:sz="0" w:space="0" w:color="auto"/>
            <w:left w:val="none" w:sz="0" w:space="0" w:color="auto"/>
            <w:bottom w:val="none" w:sz="0" w:space="0" w:color="auto"/>
            <w:right w:val="none" w:sz="0" w:space="0" w:color="auto"/>
          </w:divBdr>
          <w:divsChild>
            <w:div w:id="1362633423">
              <w:marLeft w:val="0"/>
              <w:marRight w:val="0"/>
              <w:marTop w:val="0"/>
              <w:marBottom w:val="0"/>
              <w:divBdr>
                <w:top w:val="none" w:sz="0" w:space="0" w:color="auto"/>
                <w:left w:val="none" w:sz="0" w:space="0" w:color="auto"/>
                <w:bottom w:val="none" w:sz="0" w:space="0" w:color="auto"/>
                <w:right w:val="none" w:sz="0" w:space="0" w:color="auto"/>
              </w:divBdr>
            </w:div>
          </w:divsChild>
        </w:div>
        <w:div w:id="1630740048">
          <w:marLeft w:val="0"/>
          <w:marRight w:val="0"/>
          <w:marTop w:val="0"/>
          <w:marBottom w:val="0"/>
          <w:divBdr>
            <w:top w:val="none" w:sz="0" w:space="0" w:color="auto"/>
            <w:left w:val="none" w:sz="0" w:space="0" w:color="auto"/>
            <w:bottom w:val="none" w:sz="0" w:space="0" w:color="auto"/>
            <w:right w:val="none" w:sz="0" w:space="0" w:color="auto"/>
          </w:divBdr>
          <w:divsChild>
            <w:div w:id="473061815">
              <w:marLeft w:val="0"/>
              <w:marRight w:val="0"/>
              <w:marTop w:val="0"/>
              <w:marBottom w:val="0"/>
              <w:divBdr>
                <w:top w:val="none" w:sz="0" w:space="0" w:color="auto"/>
                <w:left w:val="none" w:sz="0" w:space="0" w:color="auto"/>
                <w:bottom w:val="none" w:sz="0" w:space="0" w:color="auto"/>
                <w:right w:val="none" w:sz="0" w:space="0" w:color="auto"/>
              </w:divBdr>
            </w:div>
          </w:divsChild>
        </w:div>
        <w:div w:id="1646007862">
          <w:marLeft w:val="0"/>
          <w:marRight w:val="0"/>
          <w:marTop w:val="0"/>
          <w:marBottom w:val="0"/>
          <w:divBdr>
            <w:top w:val="none" w:sz="0" w:space="0" w:color="auto"/>
            <w:left w:val="none" w:sz="0" w:space="0" w:color="auto"/>
            <w:bottom w:val="none" w:sz="0" w:space="0" w:color="auto"/>
            <w:right w:val="none" w:sz="0" w:space="0" w:color="auto"/>
          </w:divBdr>
          <w:divsChild>
            <w:div w:id="1360668180">
              <w:marLeft w:val="0"/>
              <w:marRight w:val="0"/>
              <w:marTop w:val="0"/>
              <w:marBottom w:val="0"/>
              <w:divBdr>
                <w:top w:val="none" w:sz="0" w:space="0" w:color="auto"/>
                <w:left w:val="none" w:sz="0" w:space="0" w:color="auto"/>
                <w:bottom w:val="none" w:sz="0" w:space="0" w:color="auto"/>
                <w:right w:val="none" w:sz="0" w:space="0" w:color="auto"/>
              </w:divBdr>
            </w:div>
          </w:divsChild>
        </w:div>
        <w:div w:id="1652322694">
          <w:marLeft w:val="0"/>
          <w:marRight w:val="0"/>
          <w:marTop w:val="0"/>
          <w:marBottom w:val="0"/>
          <w:divBdr>
            <w:top w:val="none" w:sz="0" w:space="0" w:color="auto"/>
            <w:left w:val="none" w:sz="0" w:space="0" w:color="auto"/>
            <w:bottom w:val="none" w:sz="0" w:space="0" w:color="auto"/>
            <w:right w:val="none" w:sz="0" w:space="0" w:color="auto"/>
          </w:divBdr>
          <w:divsChild>
            <w:div w:id="1894198411">
              <w:marLeft w:val="0"/>
              <w:marRight w:val="0"/>
              <w:marTop w:val="0"/>
              <w:marBottom w:val="0"/>
              <w:divBdr>
                <w:top w:val="none" w:sz="0" w:space="0" w:color="auto"/>
                <w:left w:val="none" w:sz="0" w:space="0" w:color="auto"/>
                <w:bottom w:val="none" w:sz="0" w:space="0" w:color="auto"/>
                <w:right w:val="none" w:sz="0" w:space="0" w:color="auto"/>
              </w:divBdr>
            </w:div>
          </w:divsChild>
        </w:div>
        <w:div w:id="1658150695">
          <w:marLeft w:val="0"/>
          <w:marRight w:val="0"/>
          <w:marTop w:val="0"/>
          <w:marBottom w:val="0"/>
          <w:divBdr>
            <w:top w:val="none" w:sz="0" w:space="0" w:color="auto"/>
            <w:left w:val="none" w:sz="0" w:space="0" w:color="auto"/>
            <w:bottom w:val="none" w:sz="0" w:space="0" w:color="auto"/>
            <w:right w:val="none" w:sz="0" w:space="0" w:color="auto"/>
          </w:divBdr>
          <w:divsChild>
            <w:div w:id="362749873">
              <w:marLeft w:val="0"/>
              <w:marRight w:val="0"/>
              <w:marTop w:val="0"/>
              <w:marBottom w:val="0"/>
              <w:divBdr>
                <w:top w:val="none" w:sz="0" w:space="0" w:color="auto"/>
                <w:left w:val="none" w:sz="0" w:space="0" w:color="auto"/>
                <w:bottom w:val="none" w:sz="0" w:space="0" w:color="auto"/>
                <w:right w:val="none" w:sz="0" w:space="0" w:color="auto"/>
              </w:divBdr>
            </w:div>
          </w:divsChild>
        </w:div>
        <w:div w:id="1665742359">
          <w:marLeft w:val="0"/>
          <w:marRight w:val="0"/>
          <w:marTop w:val="0"/>
          <w:marBottom w:val="0"/>
          <w:divBdr>
            <w:top w:val="none" w:sz="0" w:space="0" w:color="auto"/>
            <w:left w:val="none" w:sz="0" w:space="0" w:color="auto"/>
            <w:bottom w:val="none" w:sz="0" w:space="0" w:color="auto"/>
            <w:right w:val="none" w:sz="0" w:space="0" w:color="auto"/>
          </w:divBdr>
          <w:divsChild>
            <w:div w:id="1451052961">
              <w:marLeft w:val="0"/>
              <w:marRight w:val="0"/>
              <w:marTop w:val="0"/>
              <w:marBottom w:val="0"/>
              <w:divBdr>
                <w:top w:val="none" w:sz="0" w:space="0" w:color="auto"/>
                <w:left w:val="none" w:sz="0" w:space="0" w:color="auto"/>
                <w:bottom w:val="none" w:sz="0" w:space="0" w:color="auto"/>
                <w:right w:val="none" w:sz="0" w:space="0" w:color="auto"/>
              </w:divBdr>
            </w:div>
          </w:divsChild>
        </w:div>
        <w:div w:id="1703241963">
          <w:marLeft w:val="0"/>
          <w:marRight w:val="0"/>
          <w:marTop w:val="0"/>
          <w:marBottom w:val="0"/>
          <w:divBdr>
            <w:top w:val="none" w:sz="0" w:space="0" w:color="auto"/>
            <w:left w:val="none" w:sz="0" w:space="0" w:color="auto"/>
            <w:bottom w:val="none" w:sz="0" w:space="0" w:color="auto"/>
            <w:right w:val="none" w:sz="0" w:space="0" w:color="auto"/>
          </w:divBdr>
          <w:divsChild>
            <w:div w:id="1894582165">
              <w:marLeft w:val="0"/>
              <w:marRight w:val="0"/>
              <w:marTop w:val="0"/>
              <w:marBottom w:val="0"/>
              <w:divBdr>
                <w:top w:val="none" w:sz="0" w:space="0" w:color="auto"/>
                <w:left w:val="none" w:sz="0" w:space="0" w:color="auto"/>
                <w:bottom w:val="none" w:sz="0" w:space="0" w:color="auto"/>
                <w:right w:val="none" w:sz="0" w:space="0" w:color="auto"/>
              </w:divBdr>
            </w:div>
          </w:divsChild>
        </w:div>
        <w:div w:id="1716352361">
          <w:marLeft w:val="0"/>
          <w:marRight w:val="0"/>
          <w:marTop w:val="0"/>
          <w:marBottom w:val="0"/>
          <w:divBdr>
            <w:top w:val="none" w:sz="0" w:space="0" w:color="auto"/>
            <w:left w:val="none" w:sz="0" w:space="0" w:color="auto"/>
            <w:bottom w:val="none" w:sz="0" w:space="0" w:color="auto"/>
            <w:right w:val="none" w:sz="0" w:space="0" w:color="auto"/>
          </w:divBdr>
          <w:divsChild>
            <w:div w:id="1840850082">
              <w:marLeft w:val="0"/>
              <w:marRight w:val="0"/>
              <w:marTop w:val="0"/>
              <w:marBottom w:val="0"/>
              <w:divBdr>
                <w:top w:val="none" w:sz="0" w:space="0" w:color="auto"/>
                <w:left w:val="none" w:sz="0" w:space="0" w:color="auto"/>
                <w:bottom w:val="none" w:sz="0" w:space="0" w:color="auto"/>
                <w:right w:val="none" w:sz="0" w:space="0" w:color="auto"/>
              </w:divBdr>
            </w:div>
          </w:divsChild>
        </w:div>
        <w:div w:id="1721435204">
          <w:marLeft w:val="0"/>
          <w:marRight w:val="0"/>
          <w:marTop w:val="0"/>
          <w:marBottom w:val="0"/>
          <w:divBdr>
            <w:top w:val="none" w:sz="0" w:space="0" w:color="auto"/>
            <w:left w:val="none" w:sz="0" w:space="0" w:color="auto"/>
            <w:bottom w:val="none" w:sz="0" w:space="0" w:color="auto"/>
            <w:right w:val="none" w:sz="0" w:space="0" w:color="auto"/>
          </w:divBdr>
          <w:divsChild>
            <w:div w:id="1076393034">
              <w:marLeft w:val="0"/>
              <w:marRight w:val="0"/>
              <w:marTop w:val="0"/>
              <w:marBottom w:val="0"/>
              <w:divBdr>
                <w:top w:val="none" w:sz="0" w:space="0" w:color="auto"/>
                <w:left w:val="none" w:sz="0" w:space="0" w:color="auto"/>
                <w:bottom w:val="none" w:sz="0" w:space="0" w:color="auto"/>
                <w:right w:val="none" w:sz="0" w:space="0" w:color="auto"/>
              </w:divBdr>
            </w:div>
          </w:divsChild>
        </w:div>
        <w:div w:id="1822891494">
          <w:marLeft w:val="0"/>
          <w:marRight w:val="0"/>
          <w:marTop w:val="0"/>
          <w:marBottom w:val="0"/>
          <w:divBdr>
            <w:top w:val="none" w:sz="0" w:space="0" w:color="auto"/>
            <w:left w:val="none" w:sz="0" w:space="0" w:color="auto"/>
            <w:bottom w:val="none" w:sz="0" w:space="0" w:color="auto"/>
            <w:right w:val="none" w:sz="0" w:space="0" w:color="auto"/>
          </w:divBdr>
          <w:divsChild>
            <w:div w:id="480270969">
              <w:marLeft w:val="0"/>
              <w:marRight w:val="0"/>
              <w:marTop w:val="0"/>
              <w:marBottom w:val="0"/>
              <w:divBdr>
                <w:top w:val="none" w:sz="0" w:space="0" w:color="auto"/>
                <w:left w:val="none" w:sz="0" w:space="0" w:color="auto"/>
                <w:bottom w:val="none" w:sz="0" w:space="0" w:color="auto"/>
                <w:right w:val="none" w:sz="0" w:space="0" w:color="auto"/>
              </w:divBdr>
            </w:div>
          </w:divsChild>
        </w:div>
        <w:div w:id="1833063110">
          <w:marLeft w:val="0"/>
          <w:marRight w:val="0"/>
          <w:marTop w:val="0"/>
          <w:marBottom w:val="0"/>
          <w:divBdr>
            <w:top w:val="none" w:sz="0" w:space="0" w:color="auto"/>
            <w:left w:val="none" w:sz="0" w:space="0" w:color="auto"/>
            <w:bottom w:val="none" w:sz="0" w:space="0" w:color="auto"/>
            <w:right w:val="none" w:sz="0" w:space="0" w:color="auto"/>
          </w:divBdr>
          <w:divsChild>
            <w:div w:id="1600525389">
              <w:marLeft w:val="0"/>
              <w:marRight w:val="0"/>
              <w:marTop w:val="0"/>
              <w:marBottom w:val="0"/>
              <w:divBdr>
                <w:top w:val="none" w:sz="0" w:space="0" w:color="auto"/>
                <w:left w:val="none" w:sz="0" w:space="0" w:color="auto"/>
                <w:bottom w:val="none" w:sz="0" w:space="0" w:color="auto"/>
                <w:right w:val="none" w:sz="0" w:space="0" w:color="auto"/>
              </w:divBdr>
            </w:div>
          </w:divsChild>
        </w:div>
        <w:div w:id="1838033011">
          <w:marLeft w:val="0"/>
          <w:marRight w:val="0"/>
          <w:marTop w:val="0"/>
          <w:marBottom w:val="0"/>
          <w:divBdr>
            <w:top w:val="none" w:sz="0" w:space="0" w:color="auto"/>
            <w:left w:val="none" w:sz="0" w:space="0" w:color="auto"/>
            <w:bottom w:val="none" w:sz="0" w:space="0" w:color="auto"/>
            <w:right w:val="none" w:sz="0" w:space="0" w:color="auto"/>
          </w:divBdr>
          <w:divsChild>
            <w:div w:id="1277060853">
              <w:marLeft w:val="0"/>
              <w:marRight w:val="0"/>
              <w:marTop w:val="0"/>
              <w:marBottom w:val="0"/>
              <w:divBdr>
                <w:top w:val="none" w:sz="0" w:space="0" w:color="auto"/>
                <w:left w:val="none" w:sz="0" w:space="0" w:color="auto"/>
                <w:bottom w:val="none" w:sz="0" w:space="0" w:color="auto"/>
                <w:right w:val="none" w:sz="0" w:space="0" w:color="auto"/>
              </w:divBdr>
            </w:div>
          </w:divsChild>
        </w:div>
        <w:div w:id="1840610807">
          <w:marLeft w:val="0"/>
          <w:marRight w:val="0"/>
          <w:marTop w:val="0"/>
          <w:marBottom w:val="0"/>
          <w:divBdr>
            <w:top w:val="none" w:sz="0" w:space="0" w:color="auto"/>
            <w:left w:val="none" w:sz="0" w:space="0" w:color="auto"/>
            <w:bottom w:val="none" w:sz="0" w:space="0" w:color="auto"/>
            <w:right w:val="none" w:sz="0" w:space="0" w:color="auto"/>
          </w:divBdr>
          <w:divsChild>
            <w:div w:id="1747452888">
              <w:marLeft w:val="0"/>
              <w:marRight w:val="0"/>
              <w:marTop w:val="0"/>
              <w:marBottom w:val="0"/>
              <w:divBdr>
                <w:top w:val="none" w:sz="0" w:space="0" w:color="auto"/>
                <w:left w:val="none" w:sz="0" w:space="0" w:color="auto"/>
                <w:bottom w:val="none" w:sz="0" w:space="0" w:color="auto"/>
                <w:right w:val="none" w:sz="0" w:space="0" w:color="auto"/>
              </w:divBdr>
            </w:div>
          </w:divsChild>
        </w:div>
        <w:div w:id="1850291949">
          <w:marLeft w:val="0"/>
          <w:marRight w:val="0"/>
          <w:marTop w:val="0"/>
          <w:marBottom w:val="0"/>
          <w:divBdr>
            <w:top w:val="none" w:sz="0" w:space="0" w:color="auto"/>
            <w:left w:val="none" w:sz="0" w:space="0" w:color="auto"/>
            <w:bottom w:val="none" w:sz="0" w:space="0" w:color="auto"/>
            <w:right w:val="none" w:sz="0" w:space="0" w:color="auto"/>
          </w:divBdr>
          <w:divsChild>
            <w:div w:id="1210994820">
              <w:marLeft w:val="0"/>
              <w:marRight w:val="0"/>
              <w:marTop w:val="0"/>
              <w:marBottom w:val="0"/>
              <w:divBdr>
                <w:top w:val="none" w:sz="0" w:space="0" w:color="auto"/>
                <w:left w:val="none" w:sz="0" w:space="0" w:color="auto"/>
                <w:bottom w:val="none" w:sz="0" w:space="0" w:color="auto"/>
                <w:right w:val="none" w:sz="0" w:space="0" w:color="auto"/>
              </w:divBdr>
            </w:div>
          </w:divsChild>
        </w:div>
        <w:div w:id="1855923751">
          <w:marLeft w:val="0"/>
          <w:marRight w:val="0"/>
          <w:marTop w:val="0"/>
          <w:marBottom w:val="0"/>
          <w:divBdr>
            <w:top w:val="none" w:sz="0" w:space="0" w:color="auto"/>
            <w:left w:val="none" w:sz="0" w:space="0" w:color="auto"/>
            <w:bottom w:val="none" w:sz="0" w:space="0" w:color="auto"/>
            <w:right w:val="none" w:sz="0" w:space="0" w:color="auto"/>
          </w:divBdr>
          <w:divsChild>
            <w:div w:id="1482846295">
              <w:marLeft w:val="0"/>
              <w:marRight w:val="0"/>
              <w:marTop w:val="0"/>
              <w:marBottom w:val="0"/>
              <w:divBdr>
                <w:top w:val="none" w:sz="0" w:space="0" w:color="auto"/>
                <w:left w:val="none" w:sz="0" w:space="0" w:color="auto"/>
                <w:bottom w:val="none" w:sz="0" w:space="0" w:color="auto"/>
                <w:right w:val="none" w:sz="0" w:space="0" w:color="auto"/>
              </w:divBdr>
            </w:div>
          </w:divsChild>
        </w:div>
        <w:div w:id="1859346629">
          <w:marLeft w:val="0"/>
          <w:marRight w:val="0"/>
          <w:marTop w:val="0"/>
          <w:marBottom w:val="0"/>
          <w:divBdr>
            <w:top w:val="none" w:sz="0" w:space="0" w:color="auto"/>
            <w:left w:val="none" w:sz="0" w:space="0" w:color="auto"/>
            <w:bottom w:val="none" w:sz="0" w:space="0" w:color="auto"/>
            <w:right w:val="none" w:sz="0" w:space="0" w:color="auto"/>
          </w:divBdr>
          <w:divsChild>
            <w:div w:id="2092505469">
              <w:marLeft w:val="0"/>
              <w:marRight w:val="0"/>
              <w:marTop w:val="0"/>
              <w:marBottom w:val="0"/>
              <w:divBdr>
                <w:top w:val="none" w:sz="0" w:space="0" w:color="auto"/>
                <w:left w:val="none" w:sz="0" w:space="0" w:color="auto"/>
                <w:bottom w:val="none" w:sz="0" w:space="0" w:color="auto"/>
                <w:right w:val="none" w:sz="0" w:space="0" w:color="auto"/>
              </w:divBdr>
            </w:div>
          </w:divsChild>
        </w:div>
        <w:div w:id="1881897959">
          <w:marLeft w:val="0"/>
          <w:marRight w:val="0"/>
          <w:marTop w:val="0"/>
          <w:marBottom w:val="0"/>
          <w:divBdr>
            <w:top w:val="none" w:sz="0" w:space="0" w:color="auto"/>
            <w:left w:val="none" w:sz="0" w:space="0" w:color="auto"/>
            <w:bottom w:val="none" w:sz="0" w:space="0" w:color="auto"/>
            <w:right w:val="none" w:sz="0" w:space="0" w:color="auto"/>
          </w:divBdr>
          <w:divsChild>
            <w:div w:id="480201129">
              <w:marLeft w:val="0"/>
              <w:marRight w:val="0"/>
              <w:marTop w:val="0"/>
              <w:marBottom w:val="0"/>
              <w:divBdr>
                <w:top w:val="none" w:sz="0" w:space="0" w:color="auto"/>
                <w:left w:val="none" w:sz="0" w:space="0" w:color="auto"/>
                <w:bottom w:val="none" w:sz="0" w:space="0" w:color="auto"/>
                <w:right w:val="none" w:sz="0" w:space="0" w:color="auto"/>
              </w:divBdr>
            </w:div>
          </w:divsChild>
        </w:div>
        <w:div w:id="1916282747">
          <w:marLeft w:val="0"/>
          <w:marRight w:val="0"/>
          <w:marTop w:val="0"/>
          <w:marBottom w:val="0"/>
          <w:divBdr>
            <w:top w:val="none" w:sz="0" w:space="0" w:color="auto"/>
            <w:left w:val="none" w:sz="0" w:space="0" w:color="auto"/>
            <w:bottom w:val="none" w:sz="0" w:space="0" w:color="auto"/>
            <w:right w:val="none" w:sz="0" w:space="0" w:color="auto"/>
          </w:divBdr>
          <w:divsChild>
            <w:div w:id="811289371">
              <w:marLeft w:val="0"/>
              <w:marRight w:val="0"/>
              <w:marTop w:val="0"/>
              <w:marBottom w:val="0"/>
              <w:divBdr>
                <w:top w:val="none" w:sz="0" w:space="0" w:color="auto"/>
                <w:left w:val="none" w:sz="0" w:space="0" w:color="auto"/>
                <w:bottom w:val="none" w:sz="0" w:space="0" w:color="auto"/>
                <w:right w:val="none" w:sz="0" w:space="0" w:color="auto"/>
              </w:divBdr>
            </w:div>
          </w:divsChild>
        </w:div>
        <w:div w:id="1937592713">
          <w:marLeft w:val="0"/>
          <w:marRight w:val="0"/>
          <w:marTop w:val="0"/>
          <w:marBottom w:val="0"/>
          <w:divBdr>
            <w:top w:val="none" w:sz="0" w:space="0" w:color="auto"/>
            <w:left w:val="none" w:sz="0" w:space="0" w:color="auto"/>
            <w:bottom w:val="none" w:sz="0" w:space="0" w:color="auto"/>
            <w:right w:val="none" w:sz="0" w:space="0" w:color="auto"/>
          </w:divBdr>
          <w:divsChild>
            <w:div w:id="694230675">
              <w:marLeft w:val="0"/>
              <w:marRight w:val="0"/>
              <w:marTop w:val="0"/>
              <w:marBottom w:val="0"/>
              <w:divBdr>
                <w:top w:val="none" w:sz="0" w:space="0" w:color="auto"/>
                <w:left w:val="none" w:sz="0" w:space="0" w:color="auto"/>
                <w:bottom w:val="none" w:sz="0" w:space="0" w:color="auto"/>
                <w:right w:val="none" w:sz="0" w:space="0" w:color="auto"/>
              </w:divBdr>
            </w:div>
          </w:divsChild>
        </w:div>
        <w:div w:id="1945187658">
          <w:marLeft w:val="0"/>
          <w:marRight w:val="0"/>
          <w:marTop w:val="0"/>
          <w:marBottom w:val="0"/>
          <w:divBdr>
            <w:top w:val="none" w:sz="0" w:space="0" w:color="auto"/>
            <w:left w:val="none" w:sz="0" w:space="0" w:color="auto"/>
            <w:bottom w:val="none" w:sz="0" w:space="0" w:color="auto"/>
            <w:right w:val="none" w:sz="0" w:space="0" w:color="auto"/>
          </w:divBdr>
          <w:divsChild>
            <w:div w:id="947204536">
              <w:marLeft w:val="0"/>
              <w:marRight w:val="0"/>
              <w:marTop w:val="0"/>
              <w:marBottom w:val="0"/>
              <w:divBdr>
                <w:top w:val="none" w:sz="0" w:space="0" w:color="auto"/>
                <w:left w:val="none" w:sz="0" w:space="0" w:color="auto"/>
                <w:bottom w:val="none" w:sz="0" w:space="0" w:color="auto"/>
                <w:right w:val="none" w:sz="0" w:space="0" w:color="auto"/>
              </w:divBdr>
            </w:div>
          </w:divsChild>
        </w:div>
        <w:div w:id="1951744422">
          <w:marLeft w:val="0"/>
          <w:marRight w:val="0"/>
          <w:marTop w:val="0"/>
          <w:marBottom w:val="0"/>
          <w:divBdr>
            <w:top w:val="none" w:sz="0" w:space="0" w:color="auto"/>
            <w:left w:val="none" w:sz="0" w:space="0" w:color="auto"/>
            <w:bottom w:val="none" w:sz="0" w:space="0" w:color="auto"/>
            <w:right w:val="none" w:sz="0" w:space="0" w:color="auto"/>
          </w:divBdr>
          <w:divsChild>
            <w:div w:id="1404253344">
              <w:marLeft w:val="0"/>
              <w:marRight w:val="0"/>
              <w:marTop w:val="0"/>
              <w:marBottom w:val="0"/>
              <w:divBdr>
                <w:top w:val="none" w:sz="0" w:space="0" w:color="auto"/>
                <w:left w:val="none" w:sz="0" w:space="0" w:color="auto"/>
                <w:bottom w:val="none" w:sz="0" w:space="0" w:color="auto"/>
                <w:right w:val="none" w:sz="0" w:space="0" w:color="auto"/>
              </w:divBdr>
            </w:div>
          </w:divsChild>
        </w:div>
        <w:div w:id="1966153587">
          <w:marLeft w:val="0"/>
          <w:marRight w:val="0"/>
          <w:marTop w:val="0"/>
          <w:marBottom w:val="0"/>
          <w:divBdr>
            <w:top w:val="none" w:sz="0" w:space="0" w:color="auto"/>
            <w:left w:val="none" w:sz="0" w:space="0" w:color="auto"/>
            <w:bottom w:val="none" w:sz="0" w:space="0" w:color="auto"/>
            <w:right w:val="none" w:sz="0" w:space="0" w:color="auto"/>
          </w:divBdr>
          <w:divsChild>
            <w:div w:id="562563486">
              <w:marLeft w:val="0"/>
              <w:marRight w:val="0"/>
              <w:marTop w:val="0"/>
              <w:marBottom w:val="0"/>
              <w:divBdr>
                <w:top w:val="none" w:sz="0" w:space="0" w:color="auto"/>
                <w:left w:val="none" w:sz="0" w:space="0" w:color="auto"/>
                <w:bottom w:val="none" w:sz="0" w:space="0" w:color="auto"/>
                <w:right w:val="none" w:sz="0" w:space="0" w:color="auto"/>
              </w:divBdr>
            </w:div>
          </w:divsChild>
        </w:div>
        <w:div w:id="1968705500">
          <w:marLeft w:val="0"/>
          <w:marRight w:val="0"/>
          <w:marTop w:val="0"/>
          <w:marBottom w:val="0"/>
          <w:divBdr>
            <w:top w:val="none" w:sz="0" w:space="0" w:color="auto"/>
            <w:left w:val="none" w:sz="0" w:space="0" w:color="auto"/>
            <w:bottom w:val="none" w:sz="0" w:space="0" w:color="auto"/>
            <w:right w:val="none" w:sz="0" w:space="0" w:color="auto"/>
          </w:divBdr>
          <w:divsChild>
            <w:div w:id="2143576024">
              <w:marLeft w:val="0"/>
              <w:marRight w:val="0"/>
              <w:marTop w:val="0"/>
              <w:marBottom w:val="0"/>
              <w:divBdr>
                <w:top w:val="none" w:sz="0" w:space="0" w:color="auto"/>
                <w:left w:val="none" w:sz="0" w:space="0" w:color="auto"/>
                <w:bottom w:val="none" w:sz="0" w:space="0" w:color="auto"/>
                <w:right w:val="none" w:sz="0" w:space="0" w:color="auto"/>
              </w:divBdr>
            </w:div>
          </w:divsChild>
        </w:div>
        <w:div w:id="1983074110">
          <w:marLeft w:val="0"/>
          <w:marRight w:val="0"/>
          <w:marTop w:val="0"/>
          <w:marBottom w:val="0"/>
          <w:divBdr>
            <w:top w:val="none" w:sz="0" w:space="0" w:color="auto"/>
            <w:left w:val="none" w:sz="0" w:space="0" w:color="auto"/>
            <w:bottom w:val="none" w:sz="0" w:space="0" w:color="auto"/>
            <w:right w:val="none" w:sz="0" w:space="0" w:color="auto"/>
          </w:divBdr>
          <w:divsChild>
            <w:div w:id="306128218">
              <w:marLeft w:val="0"/>
              <w:marRight w:val="0"/>
              <w:marTop w:val="0"/>
              <w:marBottom w:val="0"/>
              <w:divBdr>
                <w:top w:val="none" w:sz="0" w:space="0" w:color="auto"/>
                <w:left w:val="none" w:sz="0" w:space="0" w:color="auto"/>
                <w:bottom w:val="none" w:sz="0" w:space="0" w:color="auto"/>
                <w:right w:val="none" w:sz="0" w:space="0" w:color="auto"/>
              </w:divBdr>
            </w:div>
          </w:divsChild>
        </w:div>
        <w:div w:id="1987585142">
          <w:marLeft w:val="0"/>
          <w:marRight w:val="0"/>
          <w:marTop w:val="0"/>
          <w:marBottom w:val="0"/>
          <w:divBdr>
            <w:top w:val="none" w:sz="0" w:space="0" w:color="auto"/>
            <w:left w:val="none" w:sz="0" w:space="0" w:color="auto"/>
            <w:bottom w:val="none" w:sz="0" w:space="0" w:color="auto"/>
            <w:right w:val="none" w:sz="0" w:space="0" w:color="auto"/>
          </w:divBdr>
          <w:divsChild>
            <w:div w:id="857473981">
              <w:marLeft w:val="0"/>
              <w:marRight w:val="0"/>
              <w:marTop w:val="0"/>
              <w:marBottom w:val="0"/>
              <w:divBdr>
                <w:top w:val="none" w:sz="0" w:space="0" w:color="auto"/>
                <w:left w:val="none" w:sz="0" w:space="0" w:color="auto"/>
                <w:bottom w:val="none" w:sz="0" w:space="0" w:color="auto"/>
                <w:right w:val="none" w:sz="0" w:space="0" w:color="auto"/>
              </w:divBdr>
            </w:div>
          </w:divsChild>
        </w:div>
        <w:div w:id="1992362466">
          <w:marLeft w:val="0"/>
          <w:marRight w:val="0"/>
          <w:marTop w:val="0"/>
          <w:marBottom w:val="0"/>
          <w:divBdr>
            <w:top w:val="none" w:sz="0" w:space="0" w:color="auto"/>
            <w:left w:val="none" w:sz="0" w:space="0" w:color="auto"/>
            <w:bottom w:val="none" w:sz="0" w:space="0" w:color="auto"/>
            <w:right w:val="none" w:sz="0" w:space="0" w:color="auto"/>
          </w:divBdr>
          <w:divsChild>
            <w:div w:id="641429385">
              <w:marLeft w:val="0"/>
              <w:marRight w:val="0"/>
              <w:marTop w:val="0"/>
              <w:marBottom w:val="0"/>
              <w:divBdr>
                <w:top w:val="none" w:sz="0" w:space="0" w:color="auto"/>
                <w:left w:val="none" w:sz="0" w:space="0" w:color="auto"/>
                <w:bottom w:val="none" w:sz="0" w:space="0" w:color="auto"/>
                <w:right w:val="none" w:sz="0" w:space="0" w:color="auto"/>
              </w:divBdr>
            </w:div>
          </w:divsChild>
        </w:div>
        <w:div w:id="1994720168">
          <w:marLeft w:val="0"/>
          <w:marRight w:val="0"/>
          <w:marTop w:val="0"/>
          <w:marBottom w:val="0"/>
          <w:divBdr>
            <w:top w:val="none" w:sz="0" w:space="0" w:color="auto"/>
            <w:left w:val="none" w:sz="0" w:space="0" w:color="auto"/>
            <w:bottom w:val="none" w:sz="0" w:space="0" w:color="auto"/>
            <w:right w:val="none" w:sz="0" w:space="0" w:color="auto"/>
          </w:divBdr>
          <w:divsChild>
            <w:div w:id="1476794686">
              <w:marLeft w:val="0"/>
              <w:marRight w:val="0"/>
              <w:marTop w:val="0"/>
              <w:marBottom w:val="0"/>
              <w:divBdr>
                <w:top w:val="none" w:sz="0" w:space="0" w:color="auto"/>
                <w:left w:val="none" w:sz="0" w:space="0" w:color="auto"/>
                <w:bottom w:val="none" w:sz="0" w:space="0" w:color="auto"/>
                <w:right w:val="none" w:sz="0" w:space="0" w:color="auto"/>
              </w:divBdr>
            </w:div>
          </w:divsChild>
        </w:div>
        <w:div w:id="2006744698">
          <w:marLeft w:val="0"/>
          <w:marRight w:val="0"/>
          <w:marTop w:val="0"/>
          <w:marBottom w:val="0"/>
          <w:divBdr>
            <w:top w:val="none" w:sz="0" w:space="0" w:color="auto"/>
            <w:left w:val="none" w:sz="0" w:space="0" w:color="auto"/>
            <w:bottom w:val="none" w:sz="0" w:space="0" w:color="auto"/>
            <w:right w:val="none" w:sz="0" w:space="0" w:color="auto"/>
          </w:divBdr>
          <w:divsChild>
            <w:div w:id="1164013248">
              <w:marLeft w:val="0"/>
              <w:marRight w:val="0"/>
              <w:marTop w:val="0"/>
              <w:marBottom w:val="0"/>
              <w:divBdr>
                <w:top w:val="none" w:sz="0" w:space="0" w:color="auto"/>
                <w:left w:val="none" w:sz="0" w:space="0" w:color="auto"/>
                <w:bottom w:val="none" w:sz="0" w:space="0" w:color="auto"/>
                <w:right w:val="none" w:sz="0" w:space="0" w:color="auto"/>
              </w:divBdr>
            </w:div>
          </w:divsChild>
        </w:div>
        <w:div w:id="2072993509">
          <w:marLeft w:val="0"/>
          <w:marRight w:val="0"/>
          <w:marTop w:val="0"/>
          <w:marBottom w:val="0"/>
          <w:divBdr>
            <w:top w:val="none" w:sz="0" w:space="0" w:color="auto"/>
            <w:left w:val="none" w:sz="0" w:space="0" w:color="auto"/>
            <w:bottom w:val="none" w:sz="0" w:space="0" w:color="auto"/>
            <w:right w:val="none" w:sz="0" w:space="0" w:color="auto"/>
          </w:divBdr>
          <w:divsChild>
            <w:div w:id="222178857">
              <w:marLeft w:val="0"/>
              <w:marRight w:val="0"/>
              <w:marTop w:val="0"/>
              <w:marBottom w:val="0"/>
              <w:divBdr>
                <w:top w:val="none" w:sz="0" w:space="0" w:color="auto"/>
                <w:left w:val="none" w:sz="0" w:space="0" w:color="auto"/>
                <w:bottom w:val="none" w:sz="0" w:space="0" w:color="auto"/>
                <w:right w:val="none" w:sz="0" w:space="0" w:color="auto"/>
              </w:divBdr>
            </w:div>
          </w:divsChild>
        </w:div>
        <w:div w:id="2077195861">
          <w:marLeft w:val="0"/>
          <w:marRight w:val="0"/>
          <w:marTop w:val="0"/>
          <w:marBottom w:val="0"/>
          <w:divBdr>
            <w:top w:val="none" w:sz="0" w:space="0" w:color="auto"/>
            <w:left w:val="none" w:sz="0" w:space="0" w:color="auto"/>
            <w:bottom w:val="none" w:sz="0" w:space="0" w:color="auto"/>
            <w:right w:val="none" w:sz="0" w:space="0" w:color="auto"/>
          </w:divBdr>
          <w:divsChild>
            <w:div w:id="1528593920">
              <w:marLeft w:val="0"/>
              <w:marRight w:val="0"/>
              <w:marTop w:val="0"/>
              <w:marBottom w:val="0"/>
              <w:divBdr>
                <w:top w:val="none" w:sz="0" w:space="0" w:color="auto"/>
                <w:left w:val="none" w:sz="0" w:space="0" w:color="auto"/>
                <w:bottom w:val="none" w:sz="0" w:space="0" w:color="auto"/>
                <w:right w:val="none" w:sz="0" w:space="0" w:color="auto"/>
              </w:divBdr>
            </w:div>
          </w:divsChild>
        </w:div>
        <w:div w:id="2096710189">
          <w:marLeft w:val="0"/>
          <w:marRight w:val="0"/>
          <w:marTop w:val="0"/>
          <w:marBottom w:val="0"/>
          <w:divBdr>
            <w:top w:val="none" w:sz="0" w:space="0" w:color="auto"/>
            <w:left w:val="none" w:sz="0" w:space="0" w:color="auto"/>
            <w:bottom w:val="none" w:sz="0" w:space="0" w:color="auto"/>
            <w:right w:val="none" w:sz="0" w:space="0" w:color="auto"/>
          </w:divBdr>
          <w:divsChild>
            <w:div w:id="86196368">
              <w:marLeft w:val="0"/>
              <w:marRight w:val="0"/>
              <w:marTop w:val="0"/>
              <w:marBottom w:val="0"/>
              <w:divBdr>
                <w:top w:val="none" w:sz="0" w:space="0" w:color="auto"/>
                <w:left w:val="none" w:sz="0" w:space="0" w:color="auto"/>
                <w:bottom w:val="none" w:sz="0" w:space="0" w:color="auto"/>
                <w:right w:val="none" w:sz="0" w:space="0" w:color="auto"/>
              </w:divBdr>
            </w:div>
          </w:divsChild>
        </w:div>
        <w:div w:id="2101412989">
          <w:marLeft w:val="0"/>
          <w:marRight w:val="0"/>
          <w:marTop w:val="0"/>
          <w:marBottom w:val="0"/>
          <w:divBdr>
            <w:top w:val="none" w:sz="0" w:space="0" w:color="auto"/>
            <w:left w:val="none" w:sz="0" w:space="0" w:color="auto"/>
            <w:bottom w:val="none" w:sz="0" w:space="0" w:color="auto"/>
            <w:right w:val="none" w:sz="0" w:space="0" w:color="auto"/>
          </w:divBdr>
          <w:divsChild>
            <w:div w:id="305207838">
              <w:marLeft w:val="0"/>
              <w:marRight w:val="0"/>
              <w:marTop w:val="0"/>
              <w:marBottom w:val="0"/>
              <w:divBdr>
                <w:top w:val="none" w:sz="0" w:space="0" w:color="auto"/>
                <w:left w:val="none" w:sz="0" w:space="0" w:color="auto"/>
                <w:bottom w:val="none" w:sz="0" w:space="0" w:color="auto"/>
                <w:right w:val="none" w:sz="0" w:space="0" w:color="auto"/>
              </w:divBdr>
            </w:div>
          </w:divsChild>
        </w:div>
        <w:div w:id="2116170616">
          <w:marLeft w:val="0"/>
          <w:marRight w:val="0"/>
          <w:marTop w:val="0"/>
          <w:marBottom w:val="0"/>
          <w:divBdr>
            <w:top w:val="none" w:sz="0" w:space="0" w:color="auto"/>
            <w:left w:val="none" w:sz="0" w:space="0" w:color="auto"/>
            <w:bottom w:val="none" w:sz="0" w:space="0" w:color="auto"/>
            <w:right w:val="none" w:sz="0" w:space="0" w:color="auto"/>
          </w:divBdr>
          <w:divsChild>
            <w:div w:id="20600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1729">
      <w:bodyDiv w:val="1"/>
      <w:marLeft w:val="0"/>
      <w:marRight w:val="0"/>
      <w:marTop w:val="0"/>
      <w:marBottom w:val="0"/>
      <w:divBdr>
        <w:top w:val="none" w:sz="0" w:space="0" w:color="auto"/>
        <w:left w:val="none" w:sz="0" w:space="0" w:color="auto"/>
        <w:bottom w:val="none" w:sz="0" w:space="0" w:color="auto"/>
        <w:right w:val="none" w:sz="0" w:space="0" w:color="auto"/>
      </w:divBdr>
    </w:div>
    <w:div w:id="271938938">
      <w:bodyDiv w:val="1"/>
      <w:marLeft w:val="0"/>
      <w:marRight w:val="0"/>
      <w:marTop w:val="0"/>
      <w:marBottom w:val="0"/>
      <w:divBdr>
        <w:top w:val="none" w:sz="0" w:space="0" w:color="auto"/>
        <w:left w:val="none" w:sz="0" w:space="0" w:color="auto"/>
        <w:bottom w:val="none" w:sz="0" w:space="0" w:color="auto"/>
        <w:right w:val="none" w:sz="0" w:space="0" w:color="auto"/>
      </w:divBdr>
    </w:div>
    <w:div w:id="601570691">
      <w:bodyDiv w:val="1"/>
      <w:marLeft w:val="0"/>
      <w:marRight w:val="0"/>
      <w:marTop w:val="0"/>
      <w:marBottom w:val="0"/>
      <w:divBdr>
        <w:top w:val="none" w:sz="0" w:space="0" w:color="auto"/>
        <w:left w:val="none" w:sz="0" w:space="0" w:color="auto"/>
        <w:bottom w:val="none" w:sz="0" w:space="0" w:color="auto"/>
        <w:right w:val="none" w:sz="0" w:space="0" w:color="auto"/>
      </w:divBdr>
    </w:div>
    <w:div w:id="717323195">
      <w:bodyDiv w:val="1"/>
      <w:marLeft w:val="0"/>
      <w:marRight w:val="0"/>
      <w:marTop w:val="0"/>
      <w:marBottom w:val="0"/>
      <w:divBdr>
        <w:top w:val="none" w:sz="0" w:space="0" w:color="auto"/>
        <w:left w:val="none" w:sz="0" w:space="0" w:color="auto"/>
        <w:bottom w:val="none" w:sz="0" w:space="0" w:color="auto"/>
        <w:right w:val="none" w:sz="0" w:space="0" w:color="auto"/>
      </w:divBdr>
    </w:div>
    <w:div w:id="854462249">
      <w:bodyDiv w:val="1"/>
      <w:marLeft w:val="0"/>
      <w:marRight w:val="0"/>
      <w:marTop w:val="0"/>
      <w:marBottom w:val="0"/>
      <w:divBdr>
        <w:top w:val="none" w:sz="0" w:space="0" w:color="auto"/>
        <w:left w:val="none" w:sz="0" w:space="0" w:color="auto"/>
        <w:bottom w:val="none" w:sz="0" w:space="0" w:color="auto"/>
        <w:right w:val="none" w:sz="0" w:space="0" w:color="auto"/>
      </w:divBdr>
    </w:div>
    <w:div w:id="1018846106">
      <w:bodyDiv w:val="1"/>
      <w:marLeft w:val="0"/>
      <w:marRight w:val="0"/>
      <w:marTop w:val="0"/>
      <w:marBottom w:val="0"/>
      <w:divBdr>
        <w:top w:val="none" w:sz="0" w:space="0" w:color="auto"/>
        <w:left w:val="none" w:sz="0" w:space="0" w:color="auto"/>
        <w:bottom w:val="none" w:sz="0" w:space="0" w:color="auto"/>
        <w:right w:val="none" w:sz="0" w:space="0" w:color="auto"/>
      </w:divBdr>
    </w:div>
    <w:div w:id="1019504065">
      <w:bodyDiv w:val="1"/>
      <w:marLeft w:val="0"/>
      <w:marRight w:val="0"/>
      <w:marTop w:val="0"/>
      <w:marBottom w:val="0"/>
      <w:divBdr>
        <w:top w:val="none" w:sz="0" w:space="0" w:color="auto"/>
        <w:left w:val="none" w:sz="0" w:space="0" w:color="auto"/>
        <w:bottom w:val="none" w:sz="0" w:space="0" w:color="auto"/>
        <w:right w:val="none" w:sz="0" w:space="0" w:color="auto"/>
      </w:divBdr>
    </w:div>
    <w:div w:id="1029067118">
      <w:bodyDiv w:val="1"/>
      <w:marLeft w:val="0"/>
      <w:marRight w:val="0"/>
      <w:marTop w:val="0"/>
      <w:marBottom w:val="0"/>
      <w:divBdr>
        <w:top w:val="none" w:sz="0" w:space="0" w:color="auto"/>
        <w:left w:val="none" w:sz="0" w:space="0" w:color="auto"/>
        <w:bottom w:val="none" w:sz="0" w:space="0" w:color="auto"/>
        <w:right w:val="none" w:sz="0" w:space="0" w:color="auto"/>
      </w:divBdr>
    </w:div>
    <w:div w:id="1044717748">
      <w:bodyDiv w:val="1"/>
      <w:marLeft w:val="0"/>
      <w:marRight w:val="0"/>
      <w:marTop w:val="0"/>
      <w:marBottom w:val="0"/>
      <w:divBdr>
        <w:top w:val="none" w:sz="0" w:space="0" w:color="auto"/>
        <w:left w:val="none" w:sz="0" w:space="0" w:color="auto"/>
        <w:bottom w:val="none" w:sz="0" w:space="0" w:color="auto"/>
        <w:right w:val="none" w:sz="0" w:space="0" w:color="auto"/>
      </w:divBdr>
    </w:div>
    <w:div w:id="1075975791">
      <w:bodyDiv w:val="1"/>
      <w:marLeft w:val="0"/>
      <w:marRight w:val="0"/>
      <w:marTop w:val="0"/>
      <w:marBottom w:val="0"/>
      <w:divBdr>
        <w:top w:val="none" w:sz="0" w:space="0" w:color="auto"/>
        <w:left w:val="none" w:sz="0" w:space="0" w:color="auto"/>
        <w:bottom w:val="none" w:sz="0" w:space="0" w:color="auto"/>
        <w:right w:val="none" w:sz="0" w:space="0" w:color="auto"/>
      </w:divBdr>
    </w:div>
    <w:div w:id="1080641433">
      <w:bodyDiv w:val="1"/>
      <w:marLeft w:val="0"/>
      <w:marRight w:val="0"/>
      <w:marTop w:val="0"/>
      <w:marBottom w:val="0"/>
      <w:divBdr>
        <w:top w:val="none" w:sz="0" w:space="0" w:color="auto"/>
        <w:left w:val="none" w:sz="0" w:space="0" w:color="auto"/>
        <w:bottom w:val="none" w:sz="0" w:space="0" w:color="auto"/>
        <w:right w:val="none" w:sz="0" w:space="0" w:color="auto"/>
      </w:divBdr>
    </w:div>
    <w:div w:id="1134450637">
      <w:bodyDiv w:val="1"/>
      <w:marLeft w:val="0"/>
      <w:marRight w:val="0"/>
      <w:marTop w:val="0"/>
      <w:marBottom w:val="0"/>
      <w:divBdr>
        <w:top w:val="none" w:sz="0" w:space="0" w:color="auto"/>
        <w:left w:val="none" w:sz="0" w:space="0" w:color="auto"/>
        <w:bottom w:val="none" w:sz="0" w:space="0" w:color="auto"/>
        <w:right w:val="none" w:sz="0" w:space="0" w:color="auto"/>
      </w:divBdr>
    </w:div>
    <w:div w:id="1175267564">
      <w:bodyDiv w:val="1"/>
      <w:marLeft w:val="0"/>
      <w:marRight w:val="0"/>
      <w:marTop w:val="0"/>
      <w:marBottom w:val="0"/>
      <w:divBdr>
        <w:top w:val="none" w:sz="0" w:space="0" w:color="auto"/>
        <w:left w:val="none" w:sz="0" w:space="0" w:color="auto"/>
        <w:bottom w:val="none" w:sz="0" w:space="0" w:color="auto"/>
        <w:right w:val="none" w:sz="0" w:space="0" w:color="auto"/>
      </w:divBdr>
    </w:div>
    <w:div w:id="1245458977">
      <w:bodyDiv w:val="1"/>
      <w:marLeft w:val="0"/>
      <w:marRight w:val="0"/>
      <w:marTop w:val="0"/>
      <w:marBottom w:val="0"/>
      <w:divBdr>
        <w:top w:val="none" w:sz="0" w:space="0" w:color="auto"/>
        <w:left w:val="none" w:sz="0" w:space="0" w:color="auto"/>
        <w:bottom w:val="none" w:sz="0" w:space="0" w:color="auto"/>
        <w:right w:val="none" w:sz="0" w:space="0" w:color="auto"/>
      </w:divBdr>
    </w:div>
    <w:div w:id="1350258769">
      <w:bodyDiv w:val="1"/>
      <w:marLeft w:val="0"/>
      <w:marRight w:val="0"/>
      <w:marTop w:val="0"/>
      <w:marBottom w:val="0"/>
      <w:divBdr>
        <w:top w:val="none" w:sz="0" w:space="0" w:color="auto"/>
        <w:left w:val="none" w:sz="0" w:space="0" w:color="auto"/>
        <w:bottom w:val="none" w:sz="0" w:space="0" w:color="auto"/>
        <w:right w:val="none" w:sz="0" w:space="0" w:color="auto"/>
      </w:divBdr>
    </w:div>
    <w:div w:id="1353872355">
      <w:bodyDiv w:val="1"/>
      <w:marLeft w:val="0"/>
      <w:marRight w:val="0"/>
      <w:marTop w:val="0"/>
      <w:marBottom w:val="0"/>
      <w:divBdr>
        <w:top w:val="none" w:sz="0" w:space="0" w:color="auto"/>
        <w:left w:val="none" w:sz="0" w:space="0" w:color="auto"/>
        <w:bottom w:val="none" w:sz="0" w:space="0" w:color="auto"/>
        <w:right w:val="none" w:sz="0" w:space="0" w:color="auto"/>
      </w:divBdr>
    </w:div>
    <w:div w:id="1375740121">
      <w:bodyDiv w:val="1"/>
      <w:marLeft w:val="0"/>
      <w:marRight w:val="0"/>
      <w:marTop w:val="0"/>
      <w:marBottom w:val="0"/>
      <w:divBdr>
        <w:top w:val="none" w:sz="0" w:space="0" w:color="auto"/>
        <w:left w:val="none" w:sz="0" w:space="0" w:color="auto"/>
        <w:bottom w:val="none" w:sz="0" w:space="0" w:color="auto"/>
        <w:right w:val="none" w:sz="0" w:space="0" w:color="auto"/>
      </w:divBdr>
    </w:div>
    <w:div w:id="1394616941">
      <w:bodyDiv w:val="1"/>
      <w:marLeft w:val="0"/>
      <w:marRight w:val="0"/>
      <w:marTop w:val="0"/>
      <w:marBottom w:val="0"/>
      <w:divBdr>
        <w:top w:val="none" w:sz="0" w:space="0" w:color="auto"/>
        <w:left w:val="none" w:sz="0" w:space="0" w:color="auto"/>
        <w:bottom w:val="none" w:sz="0" w:space="0" w:color="auto"/>
        <w:right w:val="none" w:sz="0" w:space="0" w:color="auto"/>
      </w:divBdr>
    </w:div>
    <w:div w:id="1503664503">
      <w:bodyDiv w:val="1"/>
      <w:marLeft w:val="0"/>
      <w:marRight w:val="0"/>
      <w:marTop w:val="0"/>
      <w:marBottom w:val="0"/>
      <w:divBdr>
        <w:top w:val="none" w:sz="0" w:space="0" w:color="auto"/>
        <w:left w:val="none" w:sz="0" w:space="0" w:color="auto"/>
        <w:bottom w:val="none" w:sz="0" w:space="0" w:color="auto"/>
        <w:right w:val="none" w:sz="0" w:space="0" w:color="auto"/>
      </w:divBdr>
    </w:div>
    <w:div w:id="1628470806">
      <w:bodyDiv w:val="1"/>
      <w:marLeft w:val="0"/>
      <w:marRight w:val="0"/>
      <w:marTop w:val="0"/>
      <w:marBottom w:val="0"/>
      <w:divBdr>
        <w:top w:val="none" w:sz="0" w:space="0" w:color="auto"/>
        <w:left w:val="none" w:sz="0" w:space="0" w:color="auto"/>
        <w:bottom w:val="none" w:sz="0" w:space="0" w:color="auto"/>
        <w:right w:val="none" w:sz="0" w:space="0" w:color="auto"/>
      </w:divBdr>
    </w:div>
    <w:div w:id="1731878274">
      <w:bodyDiv w:val="1"/>
      <w:marLeft w:val="0"/>
      <w:marRight w:val="0"/>
      <w:marTop w:val="0"/>
      <w:marBottom w:val="0"/>
      <w:divBdr>
        <w:top w:val="none" w:sz="0" w:space="0" w:color="auto"/>
        <w:left w:val="none" w:sz="0" w:space="0" w:color="auto"/>
        <w:bottom w:val="none" w:sz="0" w:space="0" w:color="auto"/>
        <w:right w:val="none" w:sz="0" w:space="0" w:color="auto"/>
      </w:divBdr>
      <w:divsChild>
        <w:div w:id="687104451">
          <w:marLeft w:val="0"/>
          <w:marRight w:val="0"/>
          <w:marTop w:val="0"/>
          <w:marBottom w:val="0"/>
          <w:divBdr>
            <w:top w:val="none" w:sz="0" w:space="0" w:color="auto"/>
            <w:left w:val="none" w:sz="0" w:space="0" w:color="auto"/>
            <w:bottom w:val="none" w:sz="0" w:space="0" w:color="auto"/>
            <w:right w:val="none" w:sz="0" w:space="0" w:color="auto"/>
          </w:divBdr>
          <w:divsChild>
            <w:div w:id="21590390">
              <w:marLeft w:val="0"/>
              <w:marRight w:val="0"/>
              <w:marTop w:val="0"/>
              <w:marBottom w:val="0"/>
              <w:divBdr>
                <w:top w:val="none" w:sz="0" w:space="0" w:color="auto"/>
                <w:left w:val="none" w:sz="0" w:space="0" w:color="auto"/>
                <w:bottom w:val="none" w:sz="0" w:space="0" w:color="auto"/>
                <w:right w:val="none" w:sz="0" w:space="0" w:color="auto"/>
              </w:divBdr>
            </w:div>
            <w:div w:id="362168756">
              <w:marLeft w:val="0"/>
              <w:marRight w:val="0"/>
              <w:marTop w:val="0"/>
              <w:marBottom w:val="0"/>
              <w:divBdr>
                <w:top w:val="none" w:sz="0" w:space="0" w:color="auto"/>
                <w:left w:val="none" w:sz="0" w:space="0" w:color="auto"/>
                <w:bottom w:val="none" w:sz="0" w:space="0" w:color="auto"/>
                <w:right w:val="none" w:sz="0" w:space="0" w:color="auto"/>
              </w:divBdr>
            </w:div>
            <w:div w:id="1622345412">
              <w:marLeft w:val="0"/>
              <w:marRight w:val="0"/>
              <w:marTop w:val="0"/>
              <w:marBottom w:val="0"/>
              <w:divBdr>
                <w:top w:val="none" w:sz="0" w:space="0" w:color="auto"/>
                <w:left w:val="none" w:sz="0" w:space="0" w:color="auto"/>
                <w:bottom w:val="none" w:sz="0" w:space="0" w:color="auto"/>
                <w:right w:val="none" w:sz="0" w:space="0" w:color="auto"/>
              </w:divBdr>
            </w:div>
            <w:div w:id="1970092045">
              <w:marLeft w:val="0"/>
              <w:marRight w:val="0"/>
              <w:marTop w:val="0"/>
              <w:marBottom w:val="0"/>
              <w:divBdr>
                <w:top w:val="none" w:sz="0" w:space="0" w:color="auto"/>
                <w:left w:val="none" w:sz="0" w:space="0" w:color="auto"/>
                <w:bottom w:val="none" w:sz="0" w:space="0" w:color="auto"/>
                <w:right w:val="none" w:sz="0" w:space="0" w:color="auto"/>
              </w:divBdr>
            </w:div>
          </w:divsChild>
        </w:div>
        <w:div w:id="763846435">
          <w:marLeft w:val="0"/>
          <w:marRight w:val="0"/>
          <w:marTop w:val="0"/>
          <w:marBottom w:val="0"/>
          <w:divBdr>
            <w:top w:val="none" w:sz="0" w:space="0" w:color="auto"/>
            <w:left w:val="none" w:sz="0" w:space="0" w:color="auto"/>
            <w:bottom w:val="none" w:sz="0" w:space="0" w:color="auto"/>
            <w:right w:val="none" w:sz="0" w:space="0" w:color="auto"/>
          </w:divBdr>
          <w:divsChild>
            <w:div w:id="955410702">
              <w:marLeft w:val="0"/>
              <w:marRight w:val="0"/>
              <w:marTop w:val="0"/>
              <w:marBottom w:val="0"/>
              <w:divBdr>
                <w:top w:val="none" w:sz="0" w:space="0" w:color="auto"/>
                <w:left w:val="none" w:sz="0" w:space="0" w:color="auto"/>
                <w:bottom w:val="none" w:sz="0" w:space="0" w:color="auto"/>
                <w:right w:val="none" w:sz="0" w:space="0" w:color="auto"/>
              </w:divBdr>
            </w:div>
            <w:div w:id="1302155941">
              <w:marLeft w:val="0"/>
              <w:marRight w:val="0"/>
              <w:marTop w:val="0"/>
              <w:marBottom w:val="0"/>
              <w:divBdr>
                <w:top w:val="none" w:sz="0" w:space="0" w:color="auto"/>
                <w:left w:val="none" w:sz="0" w:space="0" w:color="auto"/>
                <w:bottom w:val="none" w:sz="0" w:space="0" w:color="auto"/>
                <w:right w:val="none" w:sz="0" w:space="0" w:color="auto"/>
              </w:divBdr>
            </w:div>
            <w:div w:id="20413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8662">
      <w:bodyDiv w:val="1"/>
      <w:marLeft w:val="0"/>
      <w:marRight w:val="0"/>
      <w:marTop w:val="0"/>
      <w:marBottom w:val="0"/>
      <w:divBdr>
        <w:top w:val="none" w:sz="0" w:space="0" w:color="auto"/>
        <w:left w:val="none" w:sz="0" w:space="0" w:color="auto"/>
        <w:bottom w:val="none" w:sz="0" w:space="0" w:color="auto"/>
        <w:right w:val="none" w:sz="0" w:space="0" w:color="auto"/>
      </w:divBdr>
    </w:div>
    <w:div w:id="2012641484">
      <w:bodyDiv w:val="1"/>
      <w:marLeft w:val="0"/>
      <w:marRight w:val="0"/>
      <w:marTop w:val="0"/>
      <w:marBottom w:val="0"/>
      <w:divBdr>
        <w:top w:val="none" w:sz="0" w:space="0" w:color="auto"/>
        <w:left w:val="none" w:sz="0" w:space="0" w:color="auto"/>
        <w:bottom w:val="none" w:sz="0" w:space="0" w:color="auto"/>
        <w:right w:val="none" w:sz="0" w:space="0" w:color="auto"/>
      </w:divBdr>
      <w:divsChild>
        <w:div w:id="378014605">
          <w:marLeft w:val="0"/>
          <w:marRight w:val="0"/>
          <w:marTop w:val="0"/>
          <w:marBottom w:val="0"/>
          <w:divBdr>
            <w:top w:val="none" w:sz="0" w:space="0" w:color="auto"/>
            <w:left w:val="none" w:sz="0" w:space="0" w:color="auto"/>
            <w:bottom w:val="none" w:sz="0" w:space="0" w:color="auto"/>
            <w:right w:val="none" w:sz="0" w:space="0" w:color="auto"/>
          </w:divBdr>
        </w:div>
        <w:div w:id="519398674">
          <w:marLeft w:val="0"/>
          <w:marRight w:val="0"/>
          <w:marTop w:val="0"/>
          <w:marBottom w:val="0"/>
          <w:divBdr>
            <w:top w:val="none" w:sz="0" w:space="0" w:color="auto"/>
            <w:left w:val="none" w:sz="0" w:space="0" w:color="auto"/>
            <w:bottom w:val="none" w:sz="0" w:space="0" w:color="auto"/>
            <w:right w:val="none" w:sz="0" w:space="0" w:color="auto"/>
          </w:divBdr>
        </w:div>
        <w:div w:id="568270321">
          <w:marLeft w:val="0"/>
          <w:marRight w:val="0"/>
          <w:marTop w:val="0"/>
          <w:marBottom w:val="0"/>
          <w:divBdr>
            <w:top w:val="none" w:sz="0" w:space="0" w:color="auto"/>
            <w:left w:val="none" w:sz="0" w:space="0" w:color="auto"/>
            <w:bottom w:val="none" w:sz="0" w:space="0" w:color="auto"/>
            <w:right w:val="none" w:sz="0" w:space="0" w:color="auto"/>
          </w:divBdr>
        </w:div>
        <w:div w:id="753935214">
          <w:marLeft w:val="0"/>
          <w:marRight w:val="0"/>
          <w:marTop w:val="0"/>
          <w:marBottom w:val="0"/>
          <w:divBdr>
            <w:top w:val="none" w:sz="0" w:space="0" w:color="auto"/>
            <w:left w:val="none" w:sz="0" w:space="0" w:color="auto"/>
            <w:bottom w:val="none" w:sz="0" w:space="0" w:color="auto"/>
            <w:right w:val="none" w:sz="0" w:space="0" w:color="auto"/>
          </w:divBdr>
        </w:div>
        <w:div w:id="836923703">
          <w:marLeft w:val="0"/>
          <w:marRight w:val="0"/>
          <w:marTop w:val="0"/>
          <w:marBottom w:val="0"/>
          <w:divBdr>
            <w:top w:val="none" w:sz="0" w:space="0" w:color="auto"/>
            <w:left w:val="none" w:sz="0" w:space="0" w:color="auto"/>
            <w:bottom w:val="none" w:sz="0" w:space="0" w:color="auto"/>
            <w:right w:val="none" w:sz="0" w:space="0" w:color="auto"/>
          </w:divBdr>
        </w:div>
        <w:div w:id="1271938562">
          <w:marLeft w:val="0"/>
          <w:marRight w:val="0"/>
          <w:marTop w:val="0"/>
          <w:marBottom w:val="0"/>
          <w:divBdr>
            <w:top w:val="none" w:sz="0" w:space="0" w:color="auto"/>
            <w:left w:val="none" w:sz="0" w:space="0" w:color="auto"/>
            <w:bottom w:val="none" w:sz="0" w:space="0" w:color="auto"/>
            <w:right w:val="none" w:sz="0" w:space="0" w:color="auto"/>
          </w:divBdr>
        </w:div>
        <w:div w:id="1276134701">
          <w:marLeft w:val="0"/>
          <w:marRight w:val="0"/>
          <w:marTop w:val="0"/>
          <w:marBottom w:val="0"/>
          <w:divBdr>
            <w:top w:val="none" w:sz="0" w:space="0" w:color="auto"/>
            <w:left w:val="none" w:sz="0" w:space="0" w:color="auto"/>
            <w:bottom w:val="none" w:sz="0" w:space="0" w:color="auto"/>
            <w:right w:val="none" w:sz="0" w:space="0" w:color="auto"/>
          </w:divBdr>
        </w:div>
        <w:div w:id="1291518671">
          <w:marLeft w:val="0"/>
          <w:marRight w:val="0"/>
          <w:marTop w:val="0"/>
          <w:marBottom w:val="0"/>
          <w:divBdr>
            <w:top w:val="none" w:sz="0" w:space="0" w:color="auto"/>
            <w:left w:val="none" w:sz="0" w:space="0" w:color="auto"/>
            <w:bottom w:val="none" w:sz="0" w:space="0" w:color="auto"/>
            <w:right w:val="none" w:sz="0" w:space="0" w:color="auto"/>
          </w:divBdr>
        </w:div>
        <w:div w:id="1294865891">
          <w:marLeft w:val="0"/>
          <w:marRight w:val="0"/>
          <w:marTop w:val="0"/>
          <w:marBottom w:val="0"/>
          <w:divBdr>
            <w:top w:val="none" w:sz="0" w:space="0" w:color="auto"/>
            <w:left w:val="none" w:sz="0" w:space="0" w:color="auto"/>
            <w:bottom w:val="none" w:sz="0" w:space="0" w:color="auto"/>
            <w:right w:val="none" w:sz="0" w:space="0" w:color="auto"/>
          </w:divBdr>
        </w:div>
        <w:div w:id="1704600533">
          <w:marLeft w:val="0"/>
          <w:marRight w:val="0"/>
          <w:marTop w:val="0"/>
          <w:marBottom w:val="0"/>
          <w:divBdr>
            <w:top w:val="none" w:sz="0" w:space="0" w:color="auto"/>
            <w:left w:val="none" w:sz="0" w:space="0" w:color="auto"/>
            <w:bottom w:val="none" w:sz="0" w:space="0" w:color="auto"/>
            <w:right w:val="none" w:sz="0" w:space="0" w:color="auto"/>
          </w:divBdr>
        </w:div>
        <w:div w:id="1949698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hacpa.gov.au/resources/tier-2-non-admitted-services-2023-24"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cgc.gov.au/reports-for-government/2025-methodology-review/review-outcomes/review-outcomes-chapt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https://austreasury-my.sharepoint.com/personal/liam_vandervyver_cgc_gov_au/Documents/Desktop/Tims%20graph.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https://austreasury.sharepoint.com/sites/CGC-2026Update/Shared%20Documents/Assessments/Category%20assessments/310%20Schools/New%20issues/BFSA/BFSA%20treatment.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63747346072185"/>
          <c:y val="3.6177777777777774E-2"/>
          <c:w val="0.84093135173389966"/>
          <c:h val="0.81019527777777778"/>
        </c:manualLayout>
      </c:layout>
      <c:lineChart>
        <c:grouping val="standard"/>
        <c:varyColors val="0"/>
        <c:ser>
          <c:idx val="3"/>
          <c:order val="0"/>
          <c:tx>
            <c:strRef>
              <c:f>Sheet1!$A$52</c:f>
              <c:strCache>
                <c:ptCount val="1"/>
                <c:pt idx="0">
                  <c:v>2021</c:v>
                </c:pt>
              </c:strCache>
            </c:strRef>
          </c:tx>
          <c:spPr>
            <a:ln w="31750">
              <a:solidFill>
                <a:srgbClr val="60B5D7"/>
              </a:solidFill>
            </a:ln>
          </c:spPr>
          <c:marker>
            <c:symbol val="none"/>
          </c:marker>
          <c:cat>
            <c:strRef>
              <c:f>Sheet1!$B$39:$J$39</c:f>
              <c:strCache>
                <c:ptCount val="9"/>
                <c:pt idx="0">
                  <c:v>0-1%</c:v>
                </c:pt>
                <c:pt idx="1">
                  <c:v>1-2%</c:v>
                </c:pt>
                <c:pt idx="2">
                  <c:v>2-3%</c:v>
                </c:pt>
                <c:pt idx="3">
                  <c:v>3-5%</c:v>
                </c:pt>
                <c:pt idx="4">
                  <c:v>5-7%</c:v>
                </c:pt>
                <c:pt idx="5">
                  <c:v>7-10%</c:v>
                </c:pt>
                <c:pt idx="6">
                  <c:v>10-14%</c:v>
                </c:pt>
                <c:pt idx="7">
                  <c:v>14-25%</c:v>
                </c:pt>
                <c:pt idx="8">
                  <c:v>25%+</c:v>
                </c:pt>
              </c:strCache>
            </c:strRef>
          </c:cat>
          <c:val>
            <c:numRef>
              <c:f>Sheet1!$B$52:$J$52</c:f>
              <c:numCache>
                <c:formatCode>General</c:formatCode>
                <c:ptCount val="9"/>
                <c:pt idx="0">
                  <c:v>3.4966322236913441E-2</c:v>
                </c:pt>
                <c:pt idx="1">
                  <c:v>4.5475279204954519E-2</c:v>
                </c:pt>
                <c:pt idx="2">
                  <c:v>3.6023436777112575E-2</c:v>
                </c:pt>
                <c:pt idx="3">
                  <c:v>2.9255846545971142E-2</c:v>
                </c:pt>
                <c:pt idx="4">
                  <c:v>2.0125647540618283E-2</c:v>
                </c:pt>
                <c:pt idx="5">
                  <c:v>2.9947656508800765E-2</c:v>
                </c:pt>
                <c:pt idx="6">
                  <c:v>1.9776148592174757E-2</c:v>
                </c:pt>
                <c:pt idx="7">
                  <c:v>3.0874470619645732E-2</c:v>
                </c:pt>
                <c:pt idx="8">
                  <c:v>3.2941236759725073E-2</c:v>
                </c:pt>
              </c:numCache>
            </c:numRef>
          </c:val>
          <c:smooth val="0"/>
          <c:extLst>
            <c:ext xmlns:c16="http://schemas.microsoft.com/office/drawing/2014/chart" uri="{C3380CC4-5D6E-409C-BE32-E72D297353CC}">
              <c16:uniqueId val="{00000000-24E3-4071-9F95-B69F142B251E}"/>
            </c:ext>
          </c:extLst>
        </c:ser>
        <c:ser>
          <c:idx val="4"/>
          <c:order val="1"/>
          <c:tx>
            <c:strRef>
              <c:f>Sheet1!$A$53</c:f>
              <c:strCache>
                <c:ptCount val="1"/>
                <c:pt idx="0">
                  <c:v>2022</c:v>
                </c:pt>
              </c:strCache>
            </c:strRef>
          </c:tx>
          <c:spPr>
            <a:ln w="31750">
              <a:solidFill>
                <a:srgbClr val="60B5D7"/>
              </a:solidFill>
              <a:prstDash val="dash"/>
            </a:ln>
          </c:spPr>
          <c:marker>
            <c:symbol val="none"/>
          </c:marker>
          <c:cat>
            <c:strRef>
              <c:f>Sheet1!$B$39:$J$39</c:f>
              <c:strCache>
                <c:ptCount val="9"/>
                <c:pt idx="0">
                  <c:v>0-1%</c:v>
                </c:pt>
                <c:pt idx="1">
                  <c:v>1-2%</c:v>
                </c:pt>
                <c:pt idx="2">
                  <c:v>2-3%</c:v>
                </c:pt>
                <c:pt idx="3">
                  <c:v>3-5%</c:v>
                </c:pt>
                <c:pt idx="4">
                  <c:v>5-7%</c:v>
                </c:pt>
                <c:pt idx="5">
                  <c:v>7-10%</c:v>
                </c:pt>
                <c:pt idx="6">
                  <c:v>10-14%</c:v>
                </c:pt>
                <c:pt idx="7">
                  <c:v>14-25%</c:v>
                </c:pt>
                <c:pt idx="8">
                  <c:v>25%+</c:v>
                </c:pt>
              </c:strCache>
            </c:strRef>
          </c:cat>
          <c:val>
            <c:numRef>
              <c:f>Sheet1!$B$53:$J$53</c:f>
              <c:numCache>
                <c:formatCode>General</c:formatCode>
                <c:ptCount val="9"/>
                <c:pt idx="0">
                  <c:v>0.12593108097818873</c:v>
                </c:pt>
                <c:pt idx="1">
                  <c:v>0.13520734741927987</c:v>
                </c:pt>
                <c:pt idx="2">
                  <c:v>0.1141197531874289</c:v>
                </c:pt>
                <c:pt idx="3">
                  <c:v>0.12249098158978036</c:v>
                </c:pt>
                <c:pt idx="4">
                  <c:v>0.12223039230283261</c:v>
                </c:pt>
                <c:pt idx="5">
                  <c:v>0.13190493138865181</c:v>
                </c:pt>
                <c:pt idx="6">
                  <c:v>0.11846178447348286</c:v>
                </c:pt>
                <c:pt idx="7">
                  <c:v>0.11296015010486345</c:v>
                </c:pt>
                <c:pt idx="8">
                  <c:v>9.0647118356066606E-2</c:v>
                </c:pt>
              </c:numCache>
            </c:numRef>
          </c:val>
          <c:smooth val="0"/>
          <c:extLst>
            <c:ext xmlns:c16="http://schemas.microsoft.com/office/drawing/2014/chart" uri="{C3380CC4-5D6E-409C-BE32-E72D297353CC}">
              <c16:uniqueId val="{00000001-24E3-4071-9F95-B69F142B251E}"/>
            </c:ext>
          </c:extLst>
        </c:ser>
        <c:ser>
          <c:idx val="5"/>
          <c:order val="2"/>
          <c:tx>
            <c:strRef>
              <c:f>Sheet1!$A$54</c:f>
              <c:strCache>
                <c:ptCount val="1"/>
                <c:pt idx="0">
                  <c:v>2023</c:v>
                </c:pt>
              </c:strCache>
            </c:strRef>
          </c:tx>
          <c:spPr>
            <a:ln w="31750">
              <a:solidFill>
                <a:srgbClr val="60B5D7"/>
              </a:solidFill>
              <a:prstDash val="sysDot"/>
            </a:ln>
          </c:spPr>
          <c:marker>
            <c:symbol val="none"/>
          </c:marker>
          <c:cat>
            <c:strRef>
              <c:f>Sheet1!$B$39:$J$39</c:f>
              <c:strCache>
                <c:ptCount val="9"/>
                <c:pt idx="0">
                  <c:v>0-1%</c:v>
                </c:pt>
                <c:pt idx="1">
                  <c:v>1-2%</c:v>
                </c:pt>
                <c:pt idx="2">
                  <c:v>2-3%</c:v>
                </c:pt>
                <c:pt idx="3">
                  <c:v>3-5%</c:v>
                </c:pt>
                <c:pt idx="4">
                  <c:v>5-7%</c:v>
                </c:pt>
                <c:pt idx="5">
                  <c:v>7-10%</c:v>
                </c:pt>
                <c:pt idx="6">
                  <c:v>10-14%</c:v>
                </c:pt>
                <c:pt idx="7">
                  <c:v>14-25%</c:v>
                </c:pt>
                <c:pt idx="8">
                  <c:v>25%+</c:v>
                </c:pt>
              </c:strCache>
            </c:strRef>
          </c:cat>
          <c:val>
            <c:numRef>
              <c:f>Sheet1!$B$54:$J$54</c:f>
              <c:numCache>
                <c:formatCode>General</c:formatCode>
                <c:ptCount val="9"/>
                <c:pt idx="0">
                  <c:v>4.1653971459311427E-2</c:v>
                </c:pt>
                <c:pt idx="1">
                  <c:v>5.2429216542817736E-2</c:v>
                </c:pt>
                <c:pt idx="2">
                  <c:v>6.8704337677466018E-2</c:v>
                </c:pt>
                <c:pt idx="3">
                  <c:v>5.8080715777534125E-2</c:v>
                </c:pt>
                <c:pt idx="4">
                  <c:v>8.2857433705559522E-2</c:v>
                </c:pt>
                <c:pt idx="5">
                  <c:v>5.3228599260252751E-2</c:v>
                </c:pt>
                <c:pt idx="6">
                  <c:v>7.0055855159271457E-2</c:v>
                </c:pt>
                <c:pt idx="7">
                  <c:v>0.10065712389715858</c:v>
                </c:pt>
                <c:pt idx="8">
                  <c:v>0.10816196416136038</c:v>
                </c:pt>
              </c:numCache>
            </c:numRef>
          </c:val>
          <c:smooth val="0"/>
          <c:extLst>
            <c:ext xmlns:c16="http://schemas.microsoft.com/office/drawing/2014/chart" uri="{C3380CC4-5D6E-409C-BE32-E72D297353CC}">
              <c16:uniqueId val="{00000002-24E3-4071-9F95-B69F142B251E}"/>
            </c:ext>
          </c:extLst>
        </c:ser>
        <c:ser>
          <c:idx val="0"/>
          <c:order val="3"/>
          <c:tx>
            <c:strRef>
              <c:f>Sheet1!$A$52</c:f>
              <c:strCache>
                <c:ptCount val="1"/>
                <c:pt idx="0">
                  <c:v>2021</c:v>
                </c:pt>
              </c:strCache>
            </c:strRef>
          </c:tx>
          <c:spPr>
            <a:ln w="31750">
              <a:solidFill>
                <a:srgbClr val="60B5D7"/>
              </a:solidFill>
            </a:ln>
          </c:spPr>
          <c:marker>
            <c:symbol val="none"/>
          </c:marker>
          <c:cat>
            <c:strRef>
              <c:f>Sheet1!$B$39:$J$39</c:f>
              <c:strCache>
                <c:ptCount val="9"/>
                <c:pt idx="0">
                  <c:v>0-1%</c:v>
                </c:pt>
                <c:pt idx="1">
                  <c:v>1-2%</c:v>
                </c:pt>
                <c:pt idx="2">
                  <c:v>2-3%</c:v>
                </c:pt>
                <c:pt idx="3">
                  <c:v>3-5%</c:v>
                </c:pt>
                <c:pt idx="4">
                  <c:v>5-7%</c:v>
                </c:pt>
                <c:pt idx="5">
                  <c:v>7-10%</c:v>
                </c:pt>
                <c:pt idx="6">
                  <c:v>10-14%</c:v>
                </c:pt>
                <c:pt idx="7">
                  <c:v>14-25%</c:v>
                </c:pt>
                <c:pt idx="8">
                  <c:v>25%+</c:v>
                </c:pt>
              </c:strCache>
            </c:strRef>
          </c:cat>
          <c:val>
            <c:numRef>
              <c:f>Sheet1!$B$52:$J$52</c:f>
              <c:numCache>
                <c:formatCode>General</c:formatCode>
                <c:ptCount val="9"/>
                <c:pt idx="0">
                  <c:v>3.4966322236913441E-2</c:v>
                </c:pt>
                <c:pt idx="1">
                  <c:v>4.5475279204954519E-2</c:v>
                </c:pt>
                <c:pt idx="2">
                  <c:v>3.6023436777112575E-2</c:v>
                </c:pt>
                <c:pt idx="3">
                  <c:v>2.9255846545971142E-2</c:v>
                </c:pt>
                <c:pt idx="4">
                  <c:v>2.0125647540618283E-2</c:v>
                </c:pt>
                <c:pt idx="5">
                  <c:v>2.9947656508800765E-2</c:v>
                </c:pt>
                <c:pt idx="6">
                  <c:v>1.9776148592174757E-2</c:v>
                </c:pt>
                <c:pt idx="7">
                  <c:v>3.0874470619645732E-2</c:v>
                </c:pt>
                <c:pt idx="8">
                  <c:v>3.2941236759725073E-2</c:v>
                </c:pt>
              </c:numCache>
            </c:numRef>
          </c:val>
          <c:smooth val="0"/>
          <c:extLst>
            <c:ext xmlns:c16="http://schemas.microsoft.com/office/drawing/2014/chart" uri="{C3380CC4-5D6E-409C-BE32-E72D297353CC}">
              <c16:uniqueId val="{00000003-24E3-4071-9F95-B69F142B251E}"/>
            </c:ext>
          </c:extLst>
        </c:ser>
        <c:ser>
          <c:idx val="1"/>
          <c:order val="4"/>
          <c:tx>
            <c:strRef>
              <c:f>Sheet1!$A$53</c:f>
              <c:strCache>
                <c:ptCount val="1"/>
                <c:pt idx="0">
                  <c:v>2022</c:v>
                </c:pt>
              </c:strCache>
            </c:strRef>
          </c:tx>
          <c:spPr>
            <a:ln w="31750">
              <a:solidFill>
                <a:srgbClr val="60B5D7"/>
              </a:solidFill>
              <a:prstDash val="dash"/>
            </a:ln>
          </c:spPr>
          <c:marker>
            <c:symbol val="none"/>
          </c:marker>
          <c:cat>
            <c:strRef>
              <c:f>Sheet1!$B$39:$J$39</c:f>
              <c:strCache>
                <c:ptCount val="9"/>
                <c:pt idx="0">
                  <c:v>0-1%</c:v>
                </c:pt>
                <c:pt idx="1">
                  <c:v>1-2%</c:v>
                </c:pt>
                <c:pt idx="2">
                  <c:v>2-3%</c:v>
                </c:pt>
                <c:pt idx="3">
                  <c:v>3-5%</c:v>
                </c:pt>
                <c:pt idx="4">
                  <c:v>5-7%</c:v>
                </c:pt>
                <c:pt idx="5">
                  <c:v>7-10%</c:v>
                </c:pt>
                <c:pt idx="6">
                  <c:v>10-14%</c:v>
                </c:pt>
                <c:pt idx="7">
                  <c:v>14-25%</c:v>
                </c:pt>
                <c:pt idx="8">
                  <c:v>25%+</c:v>
                </c:pt>
              </c:strCache>
            </c:strRef>
          </c:cat>
          <c:val>
            <c:numRef>
              <c:f>Sheet1!$B$53:$J$53</c:f>
              <c:numCache>
                <c:formatCode>General</c:formatCode>
                <c:ptCount val="9"/>
                <c:pt idx="0">
                  <c:v>0.12593108097818873</c:v>
                </c:pt>
                <c:pt idx="1">
                  <c:v>0.13520734741927987</c:v>
                </c:pt>
                <c:pt idx="2">
                  <c:v>0.1141197531874289</c:v>
                </c:pt>
                <c:pt idx="3">
                  <c:v>0.12249098158978036</c:v>
                </c:pt>
                <c:pt idx="4">
                  <c:v>0.12223039230283261</c:v>
                </c:pt>
                <c:pt idx="5">
                  <c:v>0.13190493138865181</c:v>
                </c:pt>
                <c:pt idx="6">
                  <c:v>0.11846178447348286</c:v>
                </c:pt>
                <c:pt idx="7">
                  <c:v>0.11296015010486345</c:v>
                </c:pt>
                <c:pt idx="8">
                  <c:v>9.0647118356066606E-2</c:v>
                </c:pt>
              </c:numCache>
            </c:numRef>
          </c:val>
          <c:smooth val="0"/>
          <c:extLst>
            <c:ext xmlns:c16="http://schemas.microsoft.com/office/drawing/2014/chart" uri="{C3380CC4-5D6E-409C-BE32-E72D297353CC}">
              <c16:uniqueId val="{00000004-24E3-4071-9F95-B69F142B251E}"/>
            </c:ext>
          </c:extLst>
        </c:ser>
        <c:ser>
          <c:idx val="2"/>
          <c:order val="5"/>
          <c:tx>
            <c:strRef>
              <c:f>Sheet1!$A$54</c:f>
              <c:strCache>
                <c:ptCount val="1"/>
                <c:pt idx="0">
                  <c:v>2023</c:v>
                </c:pt>
              </c:strCache>
            </c:strRef>
          </c:tx>
          <c:spPr>
            <a:ln w="31750">
              <a:solidFill>
                <a:srgbClr val="60B5D7"/>
              </a:solidFill>
              <a:prstDash val="sysDot"/>
            </a:ln>
          </c:spPr>
          <c:marker>
            <c:symbol val="none"/>
          </c:marker>
          <c:cat>
            <c:strRef>
              <c:f>Sheet1!$B$39:$J$39</c:f>
              <c:strCache>
                <c:ptCount val="9"/>
                <c:pt idx="0">
                  <c:v>0-1%</c:v>
                </c:pt>
                <c:pt idx="1">
                  <c:v>1-2%</c:v>
                </c:pt>
                <c:pt idx="2">
                  <c:v>2-3%</c:v>
                </c:pt>
                <c:pt idx="3">
                  <c:v>3-5%</c:v>
                </c:pt>
                <c:pt idx="4">
                  <c:v>5-7%</c:v>
                </c:pt>
                <c:pt idx="5">
                  <c:v>7-10%</c:v>
                </c:pt>
                <c:pt idx="6">
                  <c:v>10-14%</c:v>
                </c:pt>
                <c:pt idx="7">
                  <c:v>14-25%</c:v>
                </c:pt>
                <c:pt idx="8">
                  <c:v>25%+</c:v>
                </c:pt>
              </c:strCache>
            </c:strRef>
          </c:cat>
          <c:val>
            <c:numRef>
              <c:f>Sheet1!$B$54:$J$54</c:f>
              <c:numCache>
                <c:formatCode>General</c:formatCode>
                <c:ptCount val="9"/>
                <c:pt idx="0">
                  <c:v>4.1653971459311427E-2</c:v>
                </c:pt>
                <c:pt idx="1">
                  <c:v>5.2429216542817736E-2</c:v>
                </c:pt>
                <c:pt idx="2">
                  <c:v>6.8704337677466018E-2</c:v>
                </c:pt>
                <c:pt idx="3">
                  <c:v>5.8080715777534125E-2</c:v>
                </c:pt>
                <c:pt idx="4">
                  <c:v>8.2857433705559522E-2</c:v>
                </c:pt>
                <c:pt idx="5">
                  <c:v>5.3228599260252751E-2</c:v>
                </c:pt>
                <c:pt idx="6">
                  <c:v>7.0055855159271457E-2</c:v>
                </c:pt>
                <c:pt idx="7">
                  <c:v>0.10065712389715858</c:v>
                </c:pt>
                <c:pt idx="8">
                  <c:v>0.10816196416136038</c:v>
                </c:pt>
              </c:numCache>
            </c:numRef>
          </c:val>
          <c:smooth val="0"/>
          <c:extLst>
            <c:ext xmlns:c16="http://schemas.microsoft.com/office/drawing/2014/chart" uri="{C3380CC4-5D6E-409C-BE32-E72D297353CC}">
              <c16:uniqueId val="{00000005-24E3-4071-9F95-B69F142B251E}"/>
            </c:ext>
          </c:extLst>
        </c:ser>
        <c:dLbls>
          <c:showLegendKey val="0"/>
          <c:showVal val="0"/>
          <c:showCatName val="0"/>
          <c:showSerName val="0"/>
          <c:showPercent val="0"/>
          <c:showBubbleSize val="0"/>
        </c:dLbls>
        <c:smooth val="0"/>
        <c:axId val="266557696"/>
        <c:axId val="266568064"/>
      </c:lineChart>
      <c:catAx>
        <c:axId val="266557696"/>
        <c:scaling>
          <c:orientation val="minMax"/>
        </c:scaling>
        <c:delete val="0"/>
        <c:axPos val="b"/>
        <c:title>
          <c:tx>
            <c:rich>
              <a:bodyPr/>
              <a:lstStyle/>
              <a:p>
                <a:pPr>
                  <a:defRPr sz="800">
                    <a:latin typeface="Work Sans" pitchFamily="2" charset="0"/>
                  </a:defRPr>
                </a:pPr>
                <a:r>
                  <a:rPr lang="en-AU"/>
                  <a:t>Proportion</a:t>
                </a:r>
                <a:r>
                  <a:rPr lang="en-AU" baseline="0"/>
                  <a:t> of First Nations students</a:t>
                </a:r>
                <a:endParaRPr lang="en-AU"/>
              </a:p>
            </c:rich>
          </c:tx>
          <c:layout>
            <c:manualLayout>
              <c:xMode val="edge"/>
              <c:yMode val="edge"/>
              <c:x val="0.36279295122563976"/>
              <c:y val="0.91607345326731926"/>
            </c:manualLayout>
          </c:layout>
          <c:overlay val="0"/>
        </c:title>
        <c:numFmt formatCode="#,##0" sourceLinked="0"/>
        <c:majorTickMark val="none"/>
        <c:minorTickMark val="out"/>
        <c:tickLblPos val="nextTo"/>
        <c:spPr>
          <a:ln>
            <a:noFill/>
          </a:ln>
        </c:spPr>
        <c:txPr>
          <a:bodyPr/>
          <a:lstStyle/>
          <a:p>
            <a:pPr>
              <a:defRPr sz="800">
                <a:latin typeface="Work Sans" pitchFamily="2" charset="0"/>
              </a:defRPr>
            </a:pPr>
            <a:endParaRPr lang="en-US"/>
          </a:p>
        </c:txPr>
        <c:crossAx val="266568064"/>
        <c:crosses val="autoZero"/>
        <c:auto val="1"/>
        <c:lblAlgn val="ctr"/>
        <c:lblOffset val="100"/>
        <c:noMultiLvlLbl val="0"/>
      </c:catAx>
      <c:valAx>
        <c:axId val="266568064"/>
        <c:scaling>
          <c:orientation val="minMax"/>
        </c:scaling>
        <c:delete val="0"/>
        <c:axPos val="l"/>
        <c:majorGridlines>
          <c:spPr>
            <a:ln w="6350">
              <a:solidFill>
                <a:sysClr val="window" lastClr="FFFFFF">
                  <a:lumMod val="85000"/>
                </a:sysClr>
              </a:solidFill>
            </a:ln>
          </c:spPr>
        </c:majorGridlines>
        <c:title>
          <c:tx>
            <c:rich>
              <a:bodyPr/>
              <a:lstStyle/>
              <a:p>
                <a:pPr>
                  <a:defRPr sz="800" b="1">
                    <a:latin typeface="Work Sans" pitchFamily="2" charset="0"/>
                  </a:defRPr>
                </a:pPr>
                <a:r>
                  <a:rPr lang="en-AU"/>
                  <a:t>Annual increase in per student funding</a:t>
                </a:r>
              </a:p>
            </c:rich>
          </c:tx>
          <c:layout>
            <c:manualLayout>
              <c:xMode val="edge"/>
              <c:yMode val="edge"/>
              <c:x val="2.7026428711106849E-2"/>
              <c:y val="0.25307525124871766"/>
            </c:manualLayout>
          </c:layout>
          <c:overlay val="0"/>
        </c:title>
        <c:numFmt formatCode="0%" sourceLinked="0"/>
        <c:majorTickMark val="out"/>
        <c:minorTickMark val="none"/>
        <c:tickLblPos val="nextTo"/>
        <c:spPr>
          <a:ln>
            <a:noFill/>
          </a:ln>
        </c:spPr>
        <c:txPr>
          <a:bodyPr/>
          <a:lstStyle/>
          <a:p>
            <a:pPr>
              <a:defRPr sz="800">
                <a:latin typeface="Work Sans" pitchFamily="2" charset="0"/>
              </a:defRPr>
            </a:pPr>
            <a:endParaRPr lang="en-US"/>
          </a:p>
        </c:txPr>
        <c:crossAx val="266557696"/>
        <c:crosses val="autoZero"/>
        <c:crossBetween val="between"/>
      </c:valAx>
    </c:plotArea>
    <c:legend>
      <c:legendPos val="r"/>
      <c:legendEntry>
        <c:idx val="3"/>
        <c:delete val="1"/>
      </c:legendEntry>
      <c:legendEntry>
        <c:idx val="4"/>
        <c:delete val="1"/>
      </c:legendEntry>
      <c:legendEntry>
        <c:idx val="5"/>
        <c:delete val="1"/>
      </c:legendEntry>
      <c:layout>
        <c:manualLayout>
          <c:xMode val="edge"/>
          <c:yMode val="edge"/>
          <c:x val="0.82360155697098369"/>
          <c:y val="4.1821944444444446E-2"/>
          <c:w val="0.15236854210898798"/>
          <c:h val="0.18543481916382662"/>
        </c:manualLayout>
      </c:layout>
      <c:overlay val="0"/>
      <c:spPr>
        <a:solidFill>
          <a:sysClr val="window" lastClr="FFFFFF"/>
        </a:solidFill>
        <a:ln w="6350">
          <a:solidFill>
            <a:srgbClr val="939598"/>
          </a:solidFill>
        </a:ln>
      </c:spPr>
      <c:txPr>
        <a:bodyPr/>
        <a:lstStyle/>
        <a:p>
          <a:pPr>
            <a:defRPr sz="800">
              <a:latin typeface="Work Sans" pitchFamily="2" charset="0"/>
            </a:defRPr>
          </a:pPr>
          <a:endParaRPr lang="en-US"/>
        </a:p>
      </c:txPr>
    </c:legend>
    <c:plotVisOnly val="1"/>
    <c:dispBlanksAs val="gap"/>
    <c:showDLblsOverMax val="0"/>
  </c:chart>
  <c:spPr>
    <a:ln w="9525">
      <a:solidFill>
        <a:srgbClr val="ADD6EA"/>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55777777777777"/>
          <c:y val="3.970564051451049E-2"/>
          <c:w val="0.81584611111111116"/>
          <c:h val="0.8666397222222223"/>
        </c:manualLayout>
      </c:layout>
      <c:lineChart>
        <c:grouping val="standard"/>
        <c:varyColors val="0"/>
        <c:ser>
          <c:idx val="0"/>
          <c:order val="0"/>
          <c:tx>
            <c:strRef>
              <c:f>'Funding proportions - graph'!$B$1</c:f>
              <c:strCache>
                <c:ptCount val="1"/>
                <c:pt idx="0">
                  <c:v>NSW</c:v>
                </c:pt>
              </c:strCache>
            </c:strRef>
          </c:tx>
          <c:spPr>
            <a:ln w="31750">
              <a:solidFill>
                <a:srgbClr val="60B5D7"/>
              </a:solidFill>
            </a:ln>
          </c:spPr>
          <c:marker>
            <c:symbol val="none"/>
          </c:marker>
          <c:cat>
            <c:numRef>
              <c:f>'Funding proportions - graph'!$A$2:$A$11</c:f>
              <c:numCache>
                <c:formatCode>@</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'Funding proportions - graph'!$B$2:$B$11</c:f>
              <c:numCache>
                <c:formatCode>General</c:formatCode>
                <c:ptCount val="10"/>
                <c:pt idx="0">
                  <c:v>20</c:v>
                </c:pt>
                <c:pt idx="1">
                  <c:v>20.16</c:v>
                </c:pt>
                <c:pt idx="2">
                  <c:v>20.309999999999999</c:v>
                </c:pt>
                <c:pt idx="3">
                  <c:v>20.63</c:v>
                </c:pt>
                <c:pt idx="4">
                  <c:v>21.25</c:v>
                </c:pt>
                <c:pt idx="5">
                  <c:v>22.5</c:v>
                </c:pt>
                <c:pt idx="6">
                  <c:v>22.81</c:v>
                </c:pt>
                <c:pt idx="7">
                  <c:v>23.13</c:v>
                </c:pt>
                <c:pt idx="8">
                  <c:v>23.75</c:v>
                </c:pt>
                <c:pt idx="9">
                  <c:v>25</c:v>
                </c:pt>
              </c:numCache>
            </c:numRef>
          </c:val>
          <c:smooth val="0"/>
          <c:extLst>
            <c:ext xmlns:c16="http://schemas.microsoft.com/office/drawing/2014/chart" uri="{C3380CC4-5D6E-409C-BE32-E72D297353CC}">
              <c16:uniqueId val="{00000000-D92F-4B70-B408-09B882D6BEFD}"/>
            </c:ext>
          </c:extLst>
        </c:ser>
        <c:ser>
          <c:idx val="1"/>
          <c:order val="1"/>
          <c:tx>
            <c:strRef>
              <c:f>'Funding proportions - graph'!$C$1</c:f>
              <c:strCache>
                <c:ptCount val="1"/>
                <c:pt idx="0">
                  <c:v>Qld</c:v>
                </c:pt>
              </c:strCache>
            </c:strRef>
          </c:tx>
          <c:spPr>
            <a:ln w="31750">
              <a:solidFill>
                <a:srgbClr val="60B5D7"/>
              </a:solidFill>
              <a:prstDash val="dash"/>
            </a:ln>
          </c:spPr>
          <c:marker>
            <c:symbol val="none"/>
          </c:marker>
          <c:cat>
            <c:numRef>
              <c:f>'Funding proportions - graph'!$A$2:$A$11</c:f>
              <c:numCache>
                <c:formatCode>@</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'Funding proportions - graph'!$C$2:$C$11</c:f>
              <c:numCache>
                <c:formatCode>General</c:formatCode>
                <c:ptCount val="10"/>
                <c:pt idx="0">
                  <c:v>20</c:v>
                </c:pt>
                <c:pt idx="1">
                  <c:v>20.420000000000002</c:v>
                </c:pt>
                <c:pt idx="2">
                  <c:v>20.46</c:v>
                </c:pt>
                <c:pt idx="3">
                  <c:v>20.49</c:v>
                </c:pt>
                <c:pt idx="4">
                  <c:v>20.5</c:v>
                </c:pt>
                <c:pt idx="5">
                  <c:v>20.79</c:v>
                </c:pt>
                <c:pt idx="6">
                  <c:v>21.3</c:v>
                </c:pt>
                <c:pt idx="7">
                  <c:v>22.08</c:v>
                </c:pt>
                <c:pt idx="8">
                  <c:v>23.25</c:v>
                </c:pt>
                <c:pt idx="9">
                  <c:v>25</c:v>
                </c:pt>
              </c:numCache>
            </c:numRef>
          </c:val>
          <c:smooth val="0"/>
          <c:extLst>
            <c:ext xmlns:c16="http://schemas.microsoft.com/office/drawing/2014/chart" uri="{C3380CC4-5D6E-409C-BE32-E72D297353CC}">
              <c16:uniqueId val="{00000001-D92F-4B70-B408-09B882D6BEFD}"/>
            </c:ext>
          </c:extLst>
        </c:ser>
        <c:ser>
          <c:idx val="2"/>
          <c:order val="2"/>
          <c:tx>
            <c:strRef>
              <c:f>'Funding proportions - graph'!$D$1</c:f>
              <c:strCache>
                <c:ptCount val="1"/>
                <c:pt idx="0">
                  <c:v>WA</c:v>
                </c:pt>
              </c:strCache>
            </c:strRef>
          </c:tx>
          <c:spPr>
            <a:ln w="31750">
              <a:solidFill>
                <a:srgbClr val="60B5D7"/>
              </a:solidFill>
              <a:prstDash val="sysDot"/>
            </a:ln>
          </c:spPr>
          <c:marker>
            <c:symbol val="none"/>
          </c:marker>
          <c:cat>
            <c:numRef>
              <c:f>'Funding proportions - graph'!$A$2:$A$11</c:f>
              <c:numCache>
                <c:formatCode>@</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'Funding proportions - graph'!$D$2:$D$11</c:f>
              <c:numCache>
                <c:formatCode>General</c:formatCode>
                <c:ptCount val="10"/>
                <c:pt idx="0">
                  <c:v>21.25</c:v>
                </c:pt>
                <c:pt idx="1">
                  <c:v>22.5</c:v>
                </c:pt>
                <c:pt idx="2">
                  <c:v>22.5</c:v>
                </c:pt>
                <c:pt idx="3">
                  <c:v>22.5</c:v>
                </c:pt>
                <c:pt idx="4">
                  <c:v>22.5</c:v>
                </c:pt>
                <c:pt idx="5">
                  <c:v>22.66</c:v>
                </c:pt>
                <c:pt idx="6">
                  <c:v>22.89</c:v>
                </c:pt>
                <c:pt idx="7">
                  <c:v>23.15</c:v>
                </c:pt>
                <c:pt idx="8">
                  <c:v>23.75</c:v>
                </c:pt>
                <c:pt idx="9">
                  <c:v>25</c:v>
                </c:pt>
              </c:numCache>
            </c:numRef>
          </c:val>
          <c:smooth val="0"/>
          <c:extLst>
            <c:ext xmlns:c16="http://schemas.microsoft.com/office/drawing/2014/chart" uri="{C3380CC4-5D6E-409C-BE32-E72D297353CC}">
              <c16:uniqueId val="{00000002-D92F-4B70-B408-09B882D6BEFD}"/>
            </c:ext>
          </c:extLst>
        </c:ser>
        <c:ser>
          <c:idx val="3"/>
          <c:order val="3"/>
          <c:tx>
            <c:strRef>
              <c:f>'Funding proportions - graph'!$E$1</c:f>
              <c:strCache>
                <c:ptCount val="1"/>
                <c:pt idx="0">
                  <c:v>SA</c:v>
                </c:pt>
              </c:strCache>
            </c:strRef>
          </c:tx>
          <c:spPr>
            <a:ln w="31750">
              <a:solidFill>
                <a:srgbClr val="60B5D7"/>
              </a:solidFill>
              <a:prstDash val="dashDot"/>
            </a:ln>
          </c:spPr>
          <c:marker>
            <c:symbol val="none"/>
          </c:marker>
          <c:cat>
            <c:numRef>
              <c:f>'Funding proportions - graph'!$A$2:$A$11</c:f>
              <c:numCache>
                <c:formatCode>@</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'Funding proportions - graph'!$E$2:$E$11</c:f>
              <c:numCache>
                <c:formatCode>General</c:formatCode>
                <c:ptCount val="10"/>
                <c:pt idx="0">
                  <c:v>20</c:v>
                </c:pt>
                <c:pt idx="1">
                  <c:v>20.37</c:v>
                </c:pt>
                <c:pt idx="2">
                  <c:v>20.37</c:v>
                </c:pt>
                <c:pt idx="3">
                  <c:v>20.37</c:v>
                </c:pt>
                <c:pt idx="4">
                  <c:v>21.25</c:v>
                </c:pt>
                <c:pt idx="5">
                  <c:v>22.5</c:v>
                </c:pt>
                <c:pt idx="6">
                  <c:v>22.89</c:v>
                </c:pt>
                <c:pt idx="7">
                  <c:v>23.15</c:v>
                </c:pt>
                <c:pt idx="8">
                  <c:v>23.75</c:v>
                </c:pt>
                <c:pt idx="9">
                  <c:v>25</c:v>
                </c:pt>
              </c:numCache>
            </c:numRef>
          </c:val>
          <c:smooth val="0"/>
          <c:extLst>
            <c:ext xmlns:c16="http://schemas.microsoft.com/office/drawing/2014/chart" uri="{C3380CC4-5D6E-409C-BE32-E72D297353CC}">
              <c16:uniqueId val="{00000003-D92F-4B70-B408-09B882D6BEFD}"/>
            </c:ext>
          </c:extLst>
        </c:ser>
        <c:ser>
          <c:idx val="4"/>
          <c:order val="4"/>
          <c:tx>
            <c:strRef>
              <c:f>'Funding proportions - graph'!$F$1</c:f>
              <c:strCache>
                <c:ptCount val="1"/>
                <c:pt idx="0">
                  <c:v>Tas</c:v>
                </c:pt>
              </c:strCache>
            </c:strRef>
          </c:tx>
          <c:spPr>
            <a:ln w="19050">
              <a:solidFill>
                <a:srgbClr val="004563"/>
              </a:solidFill>
              <a:prstDash val="solid"/>
            </a:ln>
          </c:spPr>
          <c:marker>
            <c:symbol val="none"/>
          </c:marker>
          <c:cat>
            <c:numRef>
              <c:f>'Funding proportions - graph'!$A$2:$A$11</c:f>
              <c:numCache>
                <c:formatCode>@</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'Funding proportions - graph'!$F$2:$F$11</c:f>
              <c:numCache>
                <c:formatCode>General</c:formatCode>
                <c:ptCount val="10"/>
                <c:pt idx="0">
                  <c:v>21.25</c:v>
                </c:pt>
                <c:pt idx="1">
                  <c:v>22.5</c:v>
                </c:pt>
                <c:pt idx="2">
                  <c:v>22.5</c:v>
                </c:pt>
                <c:pt idx="3">
                  <c:v>22.5</c:v>
                </c:pt>
                <c:pt idx="4">
                  <c:v>22.5</c:v>
                </c:pt>
                <c:pt idx="5">
                  <c:v>22.66</c:v>
                </c:pt>
                <c:pt idx="6">
                  <c:v>22.89</c:v>
                </c:pt>
                <c:pt idx="7">
                  <c:v>23.15</c:v>
                </c:pt>
                <c:pt idx="8">
                  <c:v>23.75</c:v>
                </c:pt>
                <c:pt idx="9">
                  <c:v>25</c:v>
                </c:pt>
              </c:numCache>
            </c:numRef>
          </c:val>
          <c:smooth val="0"/>
          <c:extLst>
            <c:ext xmlns:c16="http://schemas.microsoft.com/office/drawing/2014/chart" uri="{C3380CC4-5D6E-409C-BE32-E72D297353CC}">
              <c16:uniqueId val="{00000004-D92F-4B70-B408-09B882D6BEFD}"/>
            </c:ext>
          </c:extLst>
        </c:ser>
        <c:ser>
          <c:idx val="5"/>
          <c:order val="5"/>
          <c:tx>
            <c:strRef>
              <c:f>'Funding proportions - graph'!$G$1</c:f>
              <c:strCache>
                <c:ptCount val="1"/>
                <c:pt idx="0">
                  <c:v>ACT</c:v>
                </c:pt>
              </c:strCache>
            </c:strRef>
          </c:tx>
          <c:spPr>
            <a:ln w="19050">
              <a:solidFill>
                <a:srgbClr val="004563"/>
              </a:solidFill>
              <a:prstDash val="dash"/>
            </a:ln>
          </c:spPr>
          <c:marker>
            <c:symbol val="none"/>
          </c:marker>
          <c:cat>
            <c:numRef>
              <c:f>'Funding proportions - graph'!$A$2:$A$11</c:f>
              <c:numCache>
                <c:formatCode>@</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'Funding proportions - graph'!$G$2:$G$11</c:f>
              <c:numCache>
                <c:formatCode>General</c:formatCode>
                <c:ptCount val="10"/>
                <c:pt idx="0">
                  <c:v>21.25</c:v>
                </c:pt>
                <c:pt idx="1">
                  <c:v>22.5</c:v>
                </c:pt>
                <c:pt idx="2">
                  <c:v>22.5</c:v>
                </c:pt>
                <c:pt idx="3">
                  <c:v>22.5</c:v>
                </c:pt>
                <c:pt idx="4">
                  <c:v>22.5</c:v>
                </c:pt>
                <c:pt idx="5">
                  <c:v>22.66</c:v>
                </c:pt>
                <c:pt idx="6">
                  <c:v>22.89</c:v>
                </c:pt>
                <c:pt idx="7">
                  <c:v>23.15</c:v>
                </c:pt>
                <c:pt idx="8">
                  <c:v>23.75</c:v>
                </c:pt>
                <c:pt idx="9">
                  <c:v>25</c:v>
                </c:pt>
              </c:numCache>
            </c:numRef>
          </c:val>
          <c:smooth val="0"/>
          <c:extLst>
            <c:ext xmlns:c16="http://schemas.microsoft.com/office/drawing/2014/chart" uri="{C3380CC4-5D6E-409C-BE32-E72D297353CC}">
              <c16:uniqueId val="{00000005-D92F-4B70-B408-09B882D6BEFD}"/>
            </c:ext>
          </c:extLst>
        </c:ser>
        <c:ser>
          <c:idx val="6"/>
          <c:order val="6"/>
          <c:tx>
            <c:strRef>
              <c:f>'Funding proportions - graph'!$H$1</c:f>
              <c:strCache>
                <c:ptCount val="1"/>
                <c:pt idx="0">
                  <c:v>NT</c:v>
                </c:pt>
              </c:strCache>
            </c:strRef>
          </c:tx>
          <c:spPr>
            <a:ln w="22225">
              <a:solidFill>
                <a:srgbClr val="004563"/>
              </a:solidFill>
              <a:prstDash val="sysDot"/>
            </a:ln>
          </c:spPr>
          <c:marker>
            <c:symbol val="none"/>
          </c:marker>
          <c:cat>
            <c:numRef>
              <c:f>'Funding proportions - graph'!$A$2:$A$11</c:f>
              <c:numCache>
                <c:formatCode>@</c:formatCode>
                <c:ptCount val="10"/>
                <c:pt idx="0">
                  <c:v>2025</c:v>
                </c:pt>
                <c:pt idx="1">
                  <c:v>2026</c:v>
                </c:pt>
                <c:pt idx="2">
                  <c:v>2027</c:v>
                </c:pt>
                <c:pt idx="3">
                  <c:v>2028</c:v>
                </c:pt>
                <c:pt idx="4">
                  <c:v>2029</c:v>
                </c:pt>
                <c:pt idx="5">
                  <c:v>2030</c:v>
                </c:pt>
                <c:pt idx="6">
                  <c:v>2031</c:v>
                </c:pt>
                <c:pt idx="7">
                  <c:v>2032</c:v>
                </c:pt>
                <c:pt idx="8">
                  <c:v>2033</c:v>
                </c:pt>
                <c:pt idx="9">
                  <c:v>2034</c:v>
                </c:pt>
              </c:numCache>
            </c:numRef>
          </c:cat>
          <c:val>
            <c:numRef>
              <c:f>'Funding proportions - graph'!$H$2:$H$11</c:f>
              <c:numCache>
                <c:formatCode>General</c:formatCode>
                <c:ptCount val="10"/>
                <c:pt idx="0">
                  <c:v>24.92</c:v>
                </c:pt>
                <c:pt idx="1">
                  <c:v>28.69</c:v>
                </c:pt>
                <c:pt idx="2">
                  <c:v>32.46</c:v>
                </c:pt>
                <c:pt idx="3">
                  <c:v>36.229999999999997</c:v>
                </c:pt>
                <c:pt idx="4">
                  <c:v>40</c:v>
                </c:pt>
                <c:pt idx="5">
                  <c:v>40</c:v>
                </c:pt>
                <c:pt idx="6">
                  <c:v>40</c:v>
                </c:pt>
                <c:pt idx="7">
                  <c:v>40</c:v>
                </c:pt>
                <c:pt idx="8">
                  <c:v>40</c:v>
                </c:pt>
                <c:pt idx="9">
                  <c:v>40</c:v>
                </c:pt>
              </c:numCache>
            </c:numRef>
          </c:val>
          <c:smooth val="0"/>
          <c:extLst>
            <c:ext xmlns:c16="http://schemas.microsoft.com/office/drawing/2014/chart" uri="{C3380CC4-5D6E-409C-BE32-E72D297353CC}">
              <c16:uniqueId val="{00000006-D92F-4B70-B408-09B882D6BEFD}"/>
            </c:ext>
          </c:extLst>
        </c:ser>
        <c:dLbls>
          <c:showLegendKey val="0"/>
          <c:showVal val="0"/>
          <c:showCatName val="0"/>
          <c:showSerName val="0"/>
          <c:showPercent val="0"/>
          <c:showBubbleSize val="0"/>
        </c:dLbls>
        <c:smooth val="0"/>
        <c:axId val="266557696"/>
        <c:axId val="266568064"/>
      </c:lineChart>
      <c:catAx>
        <c:axId val="266557696"/>
        <c:scaling>
          <c:orientation val="minMax"/>
        </c:scaling>
        <c:delete val="0"/>
        <c:axPos val="b"/>
        <c:numFmt formatCode="General" sourceLinked="0"/>
        <c:majorTickMark val="none"/>
        <c:minorTickMark val="out"/>
        <c:tickLblPos val="nextTo"/>
        <c:spPr>
          <a:ln>
            <a:noFill/>
          </a:ln>
        </c:spPr>
        <c:txPr>
          <a:bodyPr/>
          <a:lstStyle/>
          <a:p>
            <a:pPr>
              <a:defRPr sz="800">
                <a:latin typeface="Work Sans" pitchFamily="2" charset="0"/>
              </a:defRPr>
            </a:pPr>
            <a:endParaRPr lang="en-US"/>
          </a:p>
        </c:txPr>
        <c:crossAx val="266568064"/>
        <c:crosses val="autoZero"/>
        <c:auto val="1"/>
        <c:lblAlgn val="ctr"/>
        <c:lblOffset val="100"/>
        <c:noMultiLvlLbl val="0"/>
      </c:catAx>
      <c:valAx>
        <c:axId val="266568064"/>
        <c:scaling>
          <c:orientation val="minMax"/>
        </c:scaling>
        <c:delete val="0"/>
        <c:axPos val="l"/>
        <c:majorGridlines>
          <c:spPr>
            <a:ln w="6350">
              <a:solidFill>
                <a:sysClr val="window" lastClr="FFFFFF">
                  <a:lumMod val="85000"/>
                </a:sysClr>
              </a:solidFill>
            </a:ln>
          </c:spPr>
        </c:majorGridlines>
        <c:title>
          <c:tx>
            <c:rich>
              <a:bodyPr/>
              <a:lstStyle/>
              <a:p>
                <a:pPr>
                  <a:defRPr sz="800" b="1">
                    <a:latin typeface="Work Sans" pitchFamily="2" charset="0"/>
                  </a:defRPr>
                </a:pPr>
                <a:r>
                  <a:rPr lang="en-AU" sz="900"/>
                  <a:t>Proportion</a:t>
                </a:r>
                <a:r>
                  <a:rPr lang="en-AU" sz="900" baseline="0"/>
                  <a:t> of Schooling Resource Standard funding by Commonwealth</a:t>
                </a:r>
                <a:endParaRPr lang="en-AU" sz="900"/>
              </a:p>
            </c:rich>
          </c:tx>
          <c:layout>
            <c:manualLayout>
              <c:xMode val="edge"/>
              <c:yMode val="edge"/>
              <c:x val="1.2339074074074073E-2"/>
              <c:y val="0.123365"/>
            </c:manualLayout>
          </c:layout>
          <c:overlay val="0"/>
        </c:title>
        <c:numFmt formatCode="#,##0" sourceLinked="0"/>
        <c:majorTickMark val="out"/>
        <c:minorTickMark val="none"/>
        <c:tickLblPos val="nextTo"/>
        <c:spPr>
          <a:ln>
            <a:noFill/>
          </a:ln>
        </c:spPr>
        <c:txPr>
          <a:bodyPr/>
          <a:lstStyle/>
          <a:p>
            <a:pPr>
              <a:defRPr sz="800">
                <a:latin typeface="Work Sans" pitchFamily="2" charset="0"/>
              </a:defRPr>
            </a:pPr>
            <a:endParaRPr lang="en-US"/>
          </a:p>
        </c:txPr>
        <c:crossAx val="266557696"/>
        <c:crosses val="autoZero"/>
        <c:crossBetween val="between"/>
      </c:valAx>
    </c:plotArea>
    <c:legend>
      <c:legendPos val="r"/>
      <c:layout>
        <c:manualLayout>
          <c:xMode val="edge"/>
          <c:yMode val="edge"/>
          <c:x val="0.747130925925926"/>
          <c:y val="0.51641611111111108"/>
          <c:w val="0.18294259259259257"/>
          <c:h val="0.37884861111111107"/>
        </c:manualLayout>
      </c:layout>
      <c:overlay val="0"/>
      <c:spPr>
        <a:solidFill>
          <a:sysClr val="window" lastClr="FFFFFF"/>
        </a:solidFill>
        <a:ln w="6350">
          <a:solidFill>
            <a:srgbClr val="939598"/>
          </a:solidFill>
        </a:ln>
      </c:spPr>
      <c:txPr>
        <a:bodyPr/>
        <a:lstStyle/>
        <a:p>
          <a:pPr>
            <a:defRPr sz="800">
              <a:latin typeface="Work Sans" pitchFamily="2" charset="0"/>
            </a:defRPr>
          </a:pPr>
          <a:endParaRPr lang="en-US"/>
        </a:p>
      </c:txPr>
    </c:legend>
    <c:plotVisOnly val="1"/>
    <c:dispBlanksAs val="gap"/>
    <c:showDLblsOverMax val="0"/>
  </c:chart>
  <c:spPr>
    <a:ln w="9525">
      <a:solidFill>
        <a:srgbClr val="ADD6EA"/>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16F3E1D58024D8E71FAE188B3DBDA" ma:contentTypeVersion="7" ma:contentTypeDescription="Create a new document." ma:contentTypeScope="" ma:versionID="84a288ab87b12ad1ec2f6da46e6c9bba">
  <xsd:schema xmlns:xsd="http://www.w3.org/2001/XMLSchema" xmlns:xs="http://www.w3.org/2001/XMLSchema" xmlns:p="http://schemas.microsoft.com/office/2006/metadata/properties" xmlns:ns2="d1622fae-410a-4414-898c-6e5842a53ab0" targetNamespace="http://schemas.microsoft.com/office/2006/metadata/properties" ma:root="true" ma:fieldsID="a752a347fcbbc4115a953d69682f1970" ns2:_="">
    <xsd:import namespace="d1622fae-410a-4414-898c-6e5842a53a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2fae-410a-4414-898c-6e5842a53a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8B13A6-326D-4DF3-B55C-35922744AEC3}">
  <ds:schemaRefs>
    <ds:schemaRef ds:uri="http://schemas.microsoft.com/office/2006/documentManagement/types"/>
    <ds:schemaRef ds:uri="http://www.w3.org/XML/1998/namespace"/>
    <ds:schemaRef ds:uri="http://purl.org/dc/terms/"/>
    <ds:schemaRef ds:uri="http://schemas.openxmlformats.org/package/2006/metadata/core-properties"/>
    <ds:schemaRef ds:uri="http://schemas.microsoft.com/office/infopath/2007/PartnerControls"/>
    <ds:schemaRef ds:uri="http://purl.org/dc/dcmitype/"/>
    <ds:schemaRef ds:uri="http://purl.org/dc/elements/1.1/"/>
    <ds:schemaRef ds:uri="d1622fae-410a-4414-898c-6e5842a53ab0"/>
    <ds:schemaRef ds:uri="http://schemas.microsoft.com/office/2006/metadata/properties"/>
  </ds:schemaRefs>
</ds:datastoreItem>
</file>

<file path=customXml/itemProps2.xml><?xml version="1.0" encoding="utf-8"?>
<ds:datastoreItem xmlns:ds="http://schemas.openxmlformats.org/officeDocument/2006/customXml" ds:itemID="{58C9B718-98B6-46E7-B126-F2032D9114C4}">
  <ds:schemaRefs>
    <ds:schemaRef ds:uri="http://schemas.openxmlformats.org/officeDocument/2006/bibliography"/>
  </ds:schemaRefs>
</ds:datastoreItem>
</file>

<file path=customXml/itemProps3.xml><?xml version="1.0" encoding="utf-8"?>
<ds:datastoreItem xmlns:ds="http://schemas.openxmlformats.org/officeDocument/2006/customXml" ds:itemID="{364C8431-81FF-42B7-B420-BE0E722032E0}">
  <ds:schemaRefs>
    <ds:schemaRef ds:uri="http://schemas.microsoft.com/sharepoint/v3/contenttype/forms"/>
  </ds:schemaRefs>
</ds:datastoreItem>
</file>

<file path=customXml/itemProps4.xml><?xml version="1.0" encoding="utf-8"?>
<ds:datastoreItem xmlns:ds="http://schemas.openxmlformats.org/officeDocument/2006/customXml" ds:itemID="{6482CAA3-2F42-4873-A689-0BC311C56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2fae-410a-4414-898c-6e5842a53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6499</Words>
  <Characters>37047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43460</CharactersWithSpaces>
  <SharedDoc>false</SharedDoc>
  <HLinks>
    <vt:vector size="12" baseType="variant">
      <vt:variant>
        <vt:i4>4980761</vt:i4>
      </vt:variant>
      <vt:variant>
        <vt:i4>0</vt:i4>
      </vt:variant>
      <vt:variant>
        <vt:i4>0</vt:i4>
      </vt:variant>
      <vt:variant>
        <vt:i4>5</vt:i4>
      </vt:variant>
      <vt:variant>
        <vt:lpwstr>https://www.ihacpa.gov.au/resources/tier-2-non-admitted-services-2023-24</vt:lpwstr>
      </vt:variant>
      <vt:variant>
        <vt:lpwstr/>
      </vt:variant>
      <vt:variant>
        <vt:i4>2424934</vt:i4>
      </vt:variant>
      <vt:variant>
        <vt:i4>0</vt:i4>
      </vt:variant>
      <vt:variant>
        <vt:i4>0</vt:i4>
      </vt:variant>
      <vt:variant>
        <vt:i4>5</vt:i4>
      </vt:variant>
      <vt:variant>
        <vt:lpwstr>https://www.cgc.gov.au/reports-for-government/2025-methodology-review/review-outcomes/review-outcomes-chapters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2025-09-30T22:07:00Z</dcterms:created>
  <dcterms:modified xsi:type="dcterms:W3CDTF">2025-09-30T22:07:00Z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2025-09-30T09:25:56Z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78ffeb04-861e-4cdb-818d-8a89dcea2c94</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y fmtid="{D5CDD505-2E9C-101B-9397-08002B2CF9AE}" pid="10" name="Order">
    <vt:r8>82000</vt:r8>
  </property>
  <property fmtid="{D5CDD505-2E9C-101B-9397-08002B2CF9AE}" pid="11" name="MSIP_Label_91eac348-12d5-45ad-abaa-2c34f170cf6b_ContentBits">
    <vt:lpwstr>0</vt:lpwstr>
  </property>
  <property fmtid="{D5CDD505-2E9C-101B-9397-08002B2CF9AE}" pid="12" name="MediaServiceImageTags">
    <vt:lpwstr/>
  </property>
  <property fmtid="{D5CDD505-2E9C-101B-9397-08002B2CF9AE}" pid="13" name="xd_ProgID">
    <vt:lpwstr/>
  </property>
  <property fmtid="{D5CDD505-2E9C-101B-9397-08002B2CF9AE}" pid="14" name="ContentTypeId">
    <vt:lpwstr>0x0101009F016F3E1D58024D8E71FAE188B3DBDA</vt:lpwstr>
  </property>
  <property fmtid="{D5CDD505-2E9C-101B-9397-08002B2CF9AE}" pid="15" name="MSIP_Label_91eac348-12d5-45ad-abaa-2c34f170cf6b_SiteId">
    <vt:lpwstr>214f1646-2021-47cc-8397-e3d3a7ba7d9d</vt:lpwstr>
  </property>
  <property fmtid="{D5CDD505-2E9C-101B-9397-08002B2CF9AE}" pid="16" name="MSIP_Label_91eac348-12d5-45ad-abaa-2c34f170cf6b_Method">
    <vt:lpwstr>Privileged</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MSIP_Label_91eac348-12d5-45ad-abaa-2c34f170cf6b_Tag">
    <vt:lpwstr>10, 0, 1, 1</vt:lpwstr>
  </property>
  <property fmtid="{D5CDD505-2E9C-101B-9397-08002B2CF9AE}" pid="21" name="MSIP_Label_91eac348-12d5-45ad-abaa-2c34f170cf6b_Name">
    <vt:lpwstr>UNOFFICIAL No Visual Marking</vt:lpwstr>
  </property>
  <property fmtid="{D5CDD505-2E9C-101B-9397-08002B2CF9AE}" pid="22" name="xd_Signature">
    <vt:bool>false</vt:bool>
  </property>
  <property fmtid="{D5CDD505-2E9C-101B-9397-08002B2CF9AE}" pid="23" name="GUID">
    <vt:lpwstr>224de2e7-fdec-40cb-b782-96b611f8db55</vt:lpwstr>
  </property>
  <property fmtid="{D5CDD505-2E9C-101B-9397-08002B2CF9AE}" pid="24" name="MSIP_Label_91eac348-12d5-45ad-abaa-2c34f170cf6b_ActionId">
    <vt:lpwstr>ffe0d694-50eb-4759-8037-e7b74f243ceb</vt:lpwstr>
  </property>
  <property fmtid="{D5CDD505-2E9C-101B-9397-08002B2CF9AE}" pid="25" name="MSIP_Label_91eac348-12d5-45ad-abaa-2c34f170cf6b_Enabled">
    <vt:lpwstr>true</vt:lpwstr>
  </property>
  <property fmtid="{D5CDD505-2E9C-101B-9397-08002B2CF9AE}" pid="26" name="MSIP_Label_91eac348-12d5-45ad-abaa-2c34f170cf6b_SetDate">
    <vt:lpwstr>2025-09-03T07:00:54Z</vt:lpwstr>
  </property>
  <property fmtid="{D5CDD505-2E9C-101B-9397-08002B2CF9AE}" pid="27" name="TriggerFlowInfo">
    <vt:lpwstr/>
  </property>
</Properties>
</file>