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6846" w14:textId="1F381686" w:rsidR="004C78B6" w:rsidRDefault="006E6000" w:rsidP="004C78B6">
      <w:r>
        <w:rPr>
          <w:noProof/>
        </w:rPr>
        <w:drawing>
          <wp:anchor distT="0" distB="0" distL="114300" distR="114300" simplePos="0" relativeHeight="251658240" behindDoc="1" locked="0" layoutInCell="1" allowOverlap="1" wp14:anchorId="10314E4F" wp14:editId="16A22F53">
            <wp:simplePos x="0" y="0"/>
            <wp:positionH relativeFrom="margin">
              <wp:align>center</wp:align>
            </wp:positionH>
            <wp:positionV relativeFrom="paragraph">
              <wp:posOffset>-1506220</wp:posOffset>
            </wp:positionV>
            <wp:extent cx="7725600" cy="1092240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5600" cy="109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79BC">
        <w:t xml:space="preserve"> </w:t>
      </w:r>
      <w:r w:rsidR="004C78B6">
        <w:rPr>
          <w:noProof/>
        </w:rPr>
        <w:drawing>
          <wp:inline distT="0" distB="0" distL="0" distR="0" wp14:anchorId="53D88FA4" wp14:editId="36E1FC8B">
            <wp:extent cx="2441749" cy="460926"/>
            <wp:effectExtent l="0" t="0" r="0" b="0"/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597" cy="49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9408" w14:textId="68FDD22B" w:rsidR="004C78B6" w:rsidRPr="00962EFF" w:rsidRDefault="004C78B6" w:rsidP="00962EFF">
      <w:pPr>
        <w:rPr>
          <w:rFonts w:ascii="Work Sans" w:hAnsi="Work Sans"/>
        </w:rPr>
      </w:pPr>
    </w:p>
    <w:p w14:paraId="6C749E99" w14:textId="7E1F7331" w:rsidR="004C78B6" w:rsidRPr="00962EFF" w:rsidRDefault="004C78B6" w:rsidP="00962EFF">
      <w:pPr>
        <w:rPr>
          <w:rFonts w:ascii="Work Sans" w:hAnsi="Work Sans"/>
        </w:rPr>
      </w:pPr>
    </w:p>
    <w:p w14:paraId="00648F61" w14:textId="7627E11B" w:rsidR="00D838D7" w:rsidRPr="00962EFF" w:rsidRDefault="00D838D7" w:rsidP="00962EFF">
      <w:pPr>
        <w:rPr>
          <w:rFonts w:ascii="Work Sans" w:hAnsi="Work Sans"/>
        </w:rPr>
      </w:pPr>
    </w:p>
    <w:p w14:paraId="1CD4EF8B" w14:textId="4E435B7B" w:rsidR="00AD53D2" w:rsidRPr="00962EFF" w:rsidRDefault="00AD53D2" w:rsidP="00962EFF">
      <w:pPr>
        <w:rPr>
          <w:rFonts w:ascii="Work Sans" w:hAnsi="Work Sans"/>
        </w:rPr>
      </w:pPr>
    </w:p>
    <w:p w14:paraId="1BD893EE" w14:textId="594FBDF7" w:rsidR="00AD53D2" w:rsidRPr="00962EFF" w:rsidRDefault="00AD53D2" w:rsidP="00962EFF">
      <w:pPr>
        <w:rPr>
          <w:rFonts w:ascii="Work Sans" w:hAnsi="Work Sans"/>
        </w:rPr>
      </w:pPr>
    </w:p>
    <w:p w14:paraId="19848CF4" w14:textId="538DC382" w:rsidR="00AD53D2" w:rsidRPr="00962EFF" w:rsidRDefault="00AD53D2" w:rsidP="00962EFF">
      <w:pPr>
        <w:rPr>
          <w:rFonts w:ascii="Work Sans" w:hAnsi="Work Sans"/>
        </w:rPr>
      </w:pPr>
    </w:p>
    <w:p w14:paraId="699217D6" w14:textId="5C690074" w:rsidR="00AD53D2" w:rsidRPr="00962EFF" w:rsidRDefault="00EC0F01" w:rsidP="00962EFF">
      <w:pPr>
        <w:rPr>
          <w:rFonts w:ascii="Work Sans" w:hAnsi="Work Sans"/>
        </w:rPr>
      </w:pPr>
      <w:r w:rsidRPr="00962EFF">
        <w:rPr>
          <w:rFonts w:ascii="Work Sans" w:hAnsi="Work Sans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874347" wp14:editId="09886E02">
                <wp:simplePos x="0" y="0"/>
                <wp:positionH relativeFrom="column">
                  <wp:posOffset>43658</wp:posOffset>
                </wp:positionH>
                <wp:positionV relativeFrom="paragraph">
                  <wp:posOffset>79260</wp:posOffset>
                </wp:positionV>
                <wp:extent cx="5183580" cy="894080"/>
                <wp:effectExtent l="0" t="0" r="0" b="127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358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443CCE" w14:textId="4EA77BD3" w:rsidR="00AD53D2" w:rsidRPr="00B417A0" w:rsidRDefault="00962EFF" w:rsidP="00AD53D2">
                            <w:pPr>
                              <w:rPr>
                                <w:rFonts w:ascii="Work Sans" w:hAnsi="Work Sans" w:cs="Open Sans"/>
                                <w:b/>
                                <w:bCs/>
                                <w:color w:val="FFFFFF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Work Sans" w:hAnsi="Work Sans" w:cs="Open Sans"/>
                                <w:b/>
                                <w:bCs/>
                                <w:color w:val="FFFFFF"/>
                                <w:sz w:val="84"/>
                                <w:szCs w:val="84"/>
                              </w:rPr>
                              <w:t>Occasional Paper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7434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.45pt;margin-top:6.25pt;width:408.15pt;height:70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" filled="f" stroked="f" strokeweight=".5pt">
                <v:textbox>
                  <w:txbxContent>
                    <w:p w14:paraId="2B443CCE" w14:textId="4EA77BD3" w:rsidR="00AD53D2" w:rsidRPr="00B417A0" w:rsidRDefault="00962EFF" w:rsidP="00AD53D2">
                      <w:pPr>
                        <w:rPr>
                          <w:rFonts w:ascii="Work Sans" w:hAnsi="Work Sans" w:cs="Open Sans"/>
                          <w:b/>
                          <w:bCs/>
                          <w:color w:val="FFFFFF"/>
                          <w:sz w:val="84"/>
                          <w:szCs w:val="84"/>
                        </w:rPr>
                      </w:pPr>
                      <w:r>
                        <w:rPr>
                          <w:rFonts w:ascii="Work Sans" w:hAnsi="Work Sans" w:cs="Open Sans"/>
                          <w:b/>
                          <w:bCs/>
                          <w:color w:val="FFFFFF"/>
                          <w:sz w:val="84"/>
                          <w:szCs w:val="84"/>
                        </w:rPr>
                        <w:t>Occasional Paper</w:t>
                      </w:r>
                    </w:p>
                  </w:txbxContent>
                </v:textbox>
              </v:shape>
            </w:pict>
          </mc:Fallback>
        </mc:AlternateContent>
      </w:r>
    </w:p>
    <w:p w14:paraId="45D6F931" w14:textId="384BEDE1" w:rsidR="00AD53D2" w:rsidRPr="00962EFF" w:rsidRDefault="00AD53D2" w:rsidP="00962EFF">
      <w:pPr>
        <w:rPr>
          <w:rFonts w:ascii="Work Sans" w:hAnsi="Work Sans"/>
        </w:rPr>
      </w:pPr>
    </w:p>
    <w:p w14:paraId="0568BBED" w14:textId="7D20F17F" w:rsidR="00AD53D2" w:rsidRPr="00962EFF" w:rsidRDefault="00AD53D2" w:rsidP="00962EFF">
      <w:pPr>
        <w:rPr>
          <w:rFonts w:ascii="Work Sans" w:hAnsi="Work Sans"/>
        </w:rPr>
      </w:pPr>
    </w:p>
    <w:p w14:paraId="39A7AC3F" w14:textId="4704A959" w:rsidR="00AD53D2" w:rsidRDefault="00AD53D2" w:rsidP="00962EFF">
      <w:pPr>
        <w:rPr>
          <w:rFonts w:ascii="Work Sans" w:hAnsi="Work Sans"/>
        </w:rPr>
      </w:pPr>
    </w:p>
    <w:p w14:paraId="12D1F061" w14:textId="74D964E2" w:rsidR="00962EFF" w:rsidRDefault="00962EFF" w:rsidP="00962EFF">
      <w:pPr>
        <w:rPr>
          <w:rFonts w:ascii="Work Sans" w:hAnsi="Work Sans"/>
        </w:rPr>
      </w:pPr>
    </w:p>
    <w:p w14:paraId="55114D9B" w14:textId="3380C95E" w:rsidR="00962EFF" w:rsidRPr="00962EFF" w:rsidRDefault="00962EFF" w:rsidP="00962EFF">
      <w:pPr>
        <w:rPr>
          <w:rFonts w:ascii="Work Sans" w:hAnsi="Work Sans"/>
        </w:rPr>
      </w:pPr>
    </w:p>
    <w:p w14:paraId="25834C5D" w14:textId="02758112" w:rsidR="00AD53D2" w:rsidRPr="00962EFF" w:rsidRDefault="00EC0F01" w:rsidP="00962EFF">
      <w:pPr>
        <w:rPr>
          <w:rFonts w:ascii="Work Sans" w:hAnsi="Work Sans"/>
        </w:rPr>
      </w:pPr>
      <w:r w:rsidRPr="00962EFF">
        <w:rPr>
          <w:rFonts w:ascii="Work Sans" w:hAnsi="Work Sans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7BEE366" wp14:editId="45DB6FE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62625" cy="1157844"/>
                <wp:effectExtent l="0" t="0" r="0" b="44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1578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DD6A39" w14:textId="6B2D2876" w:rsidR="00AD53D2" w:rsidRPr="00B417A0" w:rsidRDefault="00962EFF" w:rsidP="00AD53D2">
                            <w:pPr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>No</w:t>
                            </w:r>
                            <w:r w:rsidR="00C87C4C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>.</w:t>
                            </w:r>
                            <w:r w:rsidR="00B81BAC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E73A2C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>13</w:t>
                            </w:r>
                            <w:r w:rsidR="002E1650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>:</w:t>
                            </w:r>
                            <w:r w:rsidR="00C87C4C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F517C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 xml:space="preserve">Is the </w:t>
                            </w:r>
                            <w:r w:rsidR="00E73A2C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 xml:space="preserve">GST distribution </w:t>
                            </w:r>
                            <w:r w:rsidR="008F517C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 xml:space="preserve">system </w:t>
                            </w:r>
                            <w:r w:rsidR="00E73A2C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>too complex</w:t>
                            </w:r>
                            <w:r w:rsidR="0057331D">
                              <w:rPr>
                                <w:rFonts w:ascii="Work Sans" w:hAnsi="Work Sans" w:cs="Open Sans"/>
                                <w:color w:val="FFFFFF"/>
                                <w:sz w:val="48"/>
                                <w:szCs w:val="48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E366" id="Text Box 14" o:spid="_x0000_s1027" type="#_x0000_t202" style="position:absolute;margin-left:402.55pt;margin-top:1.05pt;width:453.75pt;height:91.15pt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" filled="f" stroked="f" strokeweight=".5pt">
                <v:textbox>
                  <w:txbxContent>
                    <w:p w14:paraId="73DD6A39" w14:textId="6B2D2876" w:rsidR="00AD53D2" w:rsidRPr="00B417A0" w:rsidRDefault="00962EFF" w:rsidP="00AD53D2">
                      <w:pPr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>No</w:t>
                      </w:r>
                      <w:r w:rsidR="00C87C4C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>.</w:t>
                      </w:r>
                      <w:r w:rsidR="00B81BAC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r w:rsidR="00E73A2C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>13</w:t>
                      </w:r>
                      <w:r w:rsidR="002E1650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>:</w:t>
                      </w:r>
                      <w:r w:rsidR="00C87C4C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 xml:space="preserve"> </w:t>
                      </w:r>
                      <w:r w:rsidR="008F517C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 xml:space="preserve">Is the </w:t>
                      </w:r>
                      <w:r w:rsidR="00E73A2C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 xml:space="preserve">GST distribution </w:t>
                      </w:r>
                      <w:r w:rsidR="008F517C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 xml:space="preserve">system </w:t>
                      </w:r>
                      <w:r w:rsidR="00E73A2C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>too complex</w:t>
                      </w:r>
                      <w:r w:rsidR="0057331D">
                        <w:rPr>
                          <w:rFonts w:ascii="Work Sans" w:hAnsi="Work Sans" w:cs="Open Sans"/>
                          <w:color w:val="FFFFFF"/>
                          <w:sz w:val="48"/>
                          <w:szCs w:val="48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E92AD7" w14:textId="6A02678D" w:rsidR="00AD53D2" w:rsidRPr="00962EFF" w:rsidRDefault="00AD53D2" w:rsidP="00962EFF">
      <w:pPr>
        <w:rPr>
          <w:rFonts w:ascii="Work Sans" w:hAnsi="Work Sans"/>
        </w:rPr>
      </w:pPr>
    </w:p>
    <w:p w14:paraId="57BDAF8A" w14:textId="571F85DA" w:rsidR="00AD53D2" w:rsidRPr="00962EFF" w:rsidRDefault="00AD53D2" w:rsidP="00962EFF">
      <w:pPr>
        <w:rPr>
          <w:rFonts w:ascii="Work Sans" w:hAnsi="Work Sans"/>
        </w:rPr>
      </w:pPr>
    </w:p>
    <w:p w14:paraId="7310BB9F" w14:textId="7CE4B54D" w:rsidR="00AD53D2" w:rsidRPr="00962EFF" w:rsidRDefault="00AD53D2" w:rsidP="00962EFF">
      <w:pPr>
        <w:rPr>
          <w:rFonts w:ascii="Work Sans" w:hAnsi="Work Sans"/>
        </w:rPr>
      </w:pPr>
    </w:p>
    <w:p w14:paraId="22A6B70E" w14:textId="0F20CA7D" w:rsidR="00AD53D2" w:rsidRPr="00962EFF" w:rsidRDefault="00AD53D2" w:rsidP="00962EFF">
      <w:pPr>
        <w:rPr>
          <w:rFonts w:ascii="Work Sans" w:hAnsi="Work Sans"/>
        </w:rPr>
      </w:pPr>
    </w:p>
    <w:p w14:paraId="6A754D7C" w14:textId="38B1124C" w:rsidR="00C87C4C" w:rsidRDefault="00C87C4C" w:rsidP="00962EFF">
      <w:pPr>
        <w:rPr>
          <w:rFonts w:ascii="Work Sans" w:hAnsi="Work Sans"/>
        </w:rPr>
      </w:pPr>
    </w:p>
    <w:p w14:paraId="436A3AEE" w14:textId="4E849DB3" w:rsidR="00C87C4C" w:rsidRDefault="00C87C4C" w:rsidP="00962EFF">
      <w:pPr>
        <w:rPr>
          <w:rFonts w:ascii="Work Sans" w:hAnsi="Work Sans"/>
        </w:rPr>
      </w:pPr>
    </w:p>
    <w:p w14:paraId="4F92A4C4" w14:textId="012BC630" w:rsidR="00C87C4C" w:rsidRDefault="00C87C4C" w:rsidP="00962EFF">
      <w:pPr>
        <w:rPr>
          <w:rFonts w:ascii="Work Sans" w:hAnsi="Work Sans"/>
        </w:rPr>
      </w:pPr>
    </w:p>
    <w:p w14:paraId="585F61AA" w14:textId="06014261" w:rsidR="00C87C4C" w:rsidRDefault="00C87C4C" w:rsidP="00962EFF">
      <w:pPr>
        <w:rPr>
          <w:rFonts w:ascii="Work Sans" w:hAnsi="Work Sans"/>
        </w:rPr>
      </w:pPr>
    </w:p>
    <w:p w14:paraId="57EA2C56" w14:textId="7EF7B50A" w:rsidR="00C87C4C" w:rsidRDefault="00C87C4C" w:rsidP="00962EFF">
      <w:pPr>
        <w:rPr>
          <w:rFonts w:ascii="Work Sans" w:hAnsi="Work Sans"/>
        </w:rPr>
      </w:pPr>
    </w:p>
    <w:p w14:paraId="02B92D57" w14:textId="6245935A" w:rsidR="00C87C4C" w:rsidRDefault="00C87C4C" w:rsidP="00962EFF">
      <w:pPr>
        <w:rPr>
          <w:rFonts w:ascii="Work Sans" w:hAnsi="Work Sans"/>
        </w:rPr>
      </w:pPr>
    </w:p>
    <w:p w14:paraId="3134BF64" w14:textId="45DBCE72" w:rsidR="00C87C4C" w:rsidRDefault="00C87C4C" w:rsidP="00962EFF">
      <w:pPr>
        <w:rPr>
          <w:rFonts w:ascii="Work Sans" w:hAnsi="Work Sans"/>
        </w:rPr>
      </w:pPr>
    </w:p>
    <w:p w14:paraId="75078E44" w14:textId="4C85ABA1" w:rsidR="00AD53D2" w:rsidRPr="00962EFF" w:rsidRDefault="00F8305F" w:rsidP="00962EFF">
      <w:pPr>
        <w:rPr>
          <w:rFonts w:ascii="Work Sans" w:hAnsi="Work Sans"/>
        </w:rPr>
      </w:pPr>
      <w:r w:rsidRPr="00962EFF">
        <w:rPr>
          <w:rFonts w:ascii="Work Sans" w:hAnsi="Work Sans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A5643A7" wp14:editId="1C08EDE4">
                <wp:simplePos x="0" y="0"/>
                <wp:positionH relativeFrom="margin">
                  <wp:align>left</wp:align>
                </wp:positionH>
                <wp:positionV relativeFrom="paragraph">
                  <wp:posOffset>73660</wp:posOffset>
                </wp:positionV>
                <wp:extent cx="2695575" cy="439387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1002D" w14:textId="4CD0503B" w:rsidR="00AD53D2" w:rsidRPr="00F8305F" w:rsidRDefault="002E1650" w:rsidP="00AD53D2">
                            <w:pPr>
                              <w:rPr>
                                <w:rFonts w:ascii="Work Sans" w:hAnsi="Work Sans" w:cs="Open Sans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Work Sans" w:hAnsi="Work Sans" w:cs="Open Sans"/>
                                <w:color w:val="FFFFFF"/>
                                <w:sz w:val="28"/>
                                <w:szCs w:val="28"/>
                              </w:rPr>
                              <w:t>November</w:t>
                            </w:r>
                            <w:r w:rsidR="0057331D">
                              <w:rPr>
                                <w:rFonts w:ascii="Work Sans" w:hAnsi="Work Sans" w:cs="Open Sans"/>
                                <w:color w:val="FFFFFF"/>
                                <w:sz w:val="28"/>
                                <w:szCs w:val="2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643A7" id="Text Box 15" o:spid="_x0000_s1028" type="#_x0000_t202" style="position:absolute;margin-left:0;margin-top:5.8pt;width:212.25pt;height:34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kOGw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" filled="f" stroked="f" strokeweight=".5pt">
                <v:textbox>
                  <w:txbxContent>
                    <w:p w14:paraId="1041002D" w14:textId="4CD0503B" w:rsidR="00AD53D2" w:rsidRPr="00F8305F" w:rsidRDefault="002E1650" w:rsidP="00AD53D2">
                      <w:pPr>
                        <w:rPr>
                          <w:rFonts w:ascii="Work Sans" w:hAnsi="Work Sans" w:cs="Open Sans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Work Sans" w:hAnsi="Work Sans" w:cs="Open Sans"/>
                          <w:color w:val="FFFFFF"/>
                          <w:sz w:val="28"/>
                          <w:szCs w:val="28"/>
                        </w:rPr>
                        <w:t>November</w:t>
                      </w:r>
                      <w:r w:rsidR="0057331D">
                        <w:rPr>
                          <w:rFonts w:ascii="Work Sans" w:hAnsi="Work Sans" w:cs="Open Sans"/>
                          <w:color w:val="FFFFFF"/>
                          <w:sz w:val="28"/>
                          <w:szCs w:val="28"/>
                        </w:rPr>
                        <w:t xml:space="preserve">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F9959E" w14:textId="6736CDC7" w:rsidR="00AD53D2" w:rsidRPr="00962EFF" w:rsidRDefault="00AD53D2" w:rsidP="00962EFF">
      <w:pPr>
        <w:rPr>
          <w:rFonts w:ascii="Work Sans" w:hAnsi="Work Sans"/>
        </w:rPr>
      </w:pPr>
    </w:p>
    <w:p w14:paraId="2E172C72" w14:textId="471D9055" w:rsidR="00AD53D2" w:rsidRPr="00962EFF" w:rsidRDefault="00AD53D2" w:rsidP="00962EFF">
      <w:pPr>
        <w:rPr>
          <w:rFonts w:ascii="Work Sans" w:hAnsi="Work Sans"/>
        </w:rPr>
      </w:pPr>
    </w:p>
    <w:p w14:paraId="06D8C5E2" w14:textId="52F3D8E2" w:rsidR="00AD53D2" w:rsidRPr="00962EFF" w:rsidRDefault="00AD53D2" w:rsidP="00962EFF">
      <w:pPr>
        <w:rPr>
          <w:rFonts w:ascii="Work Sans" w:hAnsi="Work Sans"/>
        </w:rPr>
      </w:pPr>
    </w:p>
    <w:p w14:paraId="493FF90D" w14:textId="5B561DF8" w:rsidR="00AD53D2" w:rsidRPr="00962EFF" w:rsidRDefault="00AD53D2" w:rsidP="00962EFF">
      <w:pPr>
        <w:rPr>
          <w:rFonts w:ascii="Work Sans" w:hAnsi="Work Sans"/>
        </w:rPr>
      </w:pPr>
    </w:p>
    <w:p w14:paraId="24EE791A" w14:textId="0144E05B" w:rsidR="00AD53D2" w:rsidRPr="00962EFF" w:rsidRDefault="00AD53D2" w:rsidP="00962EFF">
      <w:pPr>
        <w:rPr>
          <w:rFonts w:ascii="Work Sans" w:hAnsi="Work Sans"/>
        </w:rPr>
      </w:pPr>
    </w:p>
    <w:p w14:paraId="3E6770BD" w14:textId="67A3460B" w:rsidR="00AD53D2" w:rsidRPr="00962EFF" w:rsidRDefault="00AD53D2" w:rsidP="00962EFF">
      <w:pPr>
        <w:rPr>
          <w:rFonts w:ascii="Work Sans" w:hAnsi="Work Sans"/>
        </w:rPr>
      </w:pPr>
    </w:p>
    <w:p w14:paraId="164D3A4A" w14:textId="5B388E40" w:rsidR="00D838D7" w:rsidRPr="00962EFF" w:rsidRDefault="00D838D7" w:rsidP="00962EFF">
      <w:pPr>
        <w:rPr>
          <w:rFonts w:ascii="Work Sans" w:hAnsi="Work Sans"/>
        </w:rPr>
      </w:pPr>
    </w:p>
    <w:p w14:paraId="52BF4008" w14:textId="77777777" w:rsidR="00C87C4C" w:rsidRDefault="00C87C4C" w:rsidP="00962EFF">
      <w:pPr>
        <w:rPr>
          <w:rFonts w:ascii="Work Sans" w:hAnsi="Work Sans"/>
        </w:rPr>
        <w:sectPr w:rsidR="00C87C4C" w:rsidSect="004C78B6">
          <w:headerReference w:type="default" r:id="rId10"/>
          <w:footerReference w:type="even" r:id="rId11"/>
          <w:footerReference w:type="default" r:id="rId12"/>
          <w:headerReference w:type="first" r:id="rId13"/>
          <w:pgSz w:w="11900" w:h="16840"/>
          <w:pgMar w:top="1985" w:right="1418" w:bottom="1418" w:left="1418" w:header="709" w:footer="284" w:gutter="0"/>
          <w:pgNumType w:start="1"/>
          <w:cols w:space="708"/>
          <w:docGrid w:linePitch="360"/>
        </w:sectPr>
      </w:pPr>
    </w:p>
    <w:p w14:paraId="58AB7DE8" w14:textId="34BCEF89" w:rsidR="00976264" w:rsidRDefault="000C1E71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4F3E380E" wp14:editId="20F95066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48249" cy="1644555"/>
                <wp:effectExtent l="0" t="0" r="635" b="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8249" cy="1644555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2F2154" w14:textId="77777777" w:rsidR="000C1E71" w:rsidRPr="00707B3A" w:rsidRDefault="000C1E71" w:rsidP="000C1E71">
                            <w:pPr>
                              <w:pStyle w:val="Heading2"/>
                            </w:pPr>
                            <w:r>
                              <w:t>Acknowledgement of Country</w:t>
                            </w:r>
                          </w:p>
                          <w:p w14:paraId="211E7FB7" w14:textId="6D3D9036" w:rsidR="000C1E71" w:rsidRPr="000C1E71" w:rsidRDefault="000C1E71" w:rsidP="000C1E71">
                            <w:pPr>
                              <w:pStyle w:val="BodyText"/>
                              <w:rPr>
                                <w:rFonts w:ascii="Work Sans" w:hAnsi="Work Sans"/>
                              </w:rPr>
                            </w:pPr>
                            <w:r w:rsidRPr="000C1E71">
                              <w:rPr>
                                <w:rFonts w:ascii="Work Sans" w:hAnsi="Work Sans"/>
                              </w:rPr>
                              <w:t>The Commonwealth Grants Commission acknowledges the Traditional Owners of Country throughout Australia, and their continuing connection to land, water and community. We</w:t>
                            </w:r>
                            <w:r w:rsidR="002303FB">
                              <w:rPr>
                                <w:rFonts w:ascii="Work Sans" w:hAnsi="Work Sans"/>
                              </w:rPr>
                              <w:t> </w:t>
                            </w:r>
                            <w:r w:rsidRPr="000C1E71">
                              <w:rPr>
                                <w:rFonts w:ascii="Work Sans" w:hAnsi="Work Sans"/>
                              </w:rPr>
                              <w:t>pay our respects to them and their cultures and to Elders both past and present.</w:t>
                            </w:r>
                          </w:p>
                          <w:p w14:paraId="2A164E0C" w14:textId="77777777" w:rsidR="000C1E71" w:rsidRPr="00F579A2" w:rsidRDefault="000C1E71" w:rsidP="000C1E71">
                            <w:pPr>
                              <w:spacing w:line="252" w:lineRule="auto"/>
                              <w:rPr>
                                <w:lang w:bidi="hi-I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E380E" id="Rectangle 23" o:spid="_x0000_s1029" style="position:absolute;margin-left:0;margin-top:-.05pt;width:460.5pt;height:129.5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" fillcolor="#e5f8ff" stroked="f">
                <v:textbox>
                  <w:txbxContent>
                    <w:p w14:paraId="6E2F2154" w14:textId="77777777" w:rsidR="000C1E71" w:rsidRPr="00707B3A" w:rsidRDefault="000C1E71" w:rsidP="000C1E71">
                      <w:pPr>
                        <w:pStyle w:val="Heading2"/>
                      </w:pPr>
                      <w:r>
                        <w:t>Acknowledgement of Country</w:t>
                      </w:r>
                    </w:p>
                    <w:p w14:paraId="211E7FB7" w14:textId="6D3D9036" w:rsidR="000C1E71" w:rsidRPr="000C1E71" w:rsidRDefault="000C1E71" w:rsidP="000C1E71">
                      <w:pPr>
                        <w:pStyle w:val="BodyText"/>
                        <w:rPr>
                          <w:rFonts w:ascii="Work Sans" w:hAnsi="Work Sans"/>
                        </w:rPr>
                      </w:pPr>
                      <w:r w:rsidRPr="000C1E71">
                        <w:rPr>
                          <w:rFonts w:ascii="Work Sans" w:hAnsi="Work Sans"/>
                        </w:rPr>
                        <w:t>The Commonwealth Grants Commission acknowledges the Traditional Owners of Country throughout Australia, and their continuing connection to land, water and community. We</w:t>
                      </w:r>
                      <w:r w:rsidR="002303FB">
                        <w:rPr>
                          <w:rFonts w:ascii="Work Sans" w:hAnsi="Work Sans"/>
                        </w:rPr>
                        <w:t> </w:t>
                      </w:r>
                      <w:r w:rsidRPr="000C1E71">
                        <w:rPr>
                          <w:rFonts w:ascii="Work Sans" w:hAnsi="Work Sans"/>
                        </w:rPr>
                        <w:t>pay our respects to them and their cultures and to Elders both past and present.</w:t>
                      </w:r>
                    </w:p>
                    <w:p w14:paraId="2A164E0C" w14:textId="77777777" w:rsidR="000C1E71" w:rsidRPr="00F579A2" w:rsidRDefault="000C1E71" w:rsidP="000C1E71">
                      <w:pPr>
                        <w:spacing w:line="252" w:lineRule="auto"/>
                        <w:rPr>
                          <w:lang w:bidi="hi-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B6B449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68B72EC8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1CF392AE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3812C5CE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53E82AA2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181698D4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17F7D650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14AB74D4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72C61800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1D99480F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4708E7E6" w14:textId="77777777" w:rsidR="00976264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</w:p>
    <w:p w14:paraId="7A855200" w14:textId="1C6E1ADA" w:rsidR="00976264" w:rsidRPr="001C4DF3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  <w:r w:rsidRPr="001C4DF3">
        <w:rPr>
          <w:rFonts w:ascii="Work Sans" w:hAnsi="Work Sans"/>
          <w:b/>
          <w:bCs/>
          <w:color w:val="000000"/>
          <w:sz w:val="20"/>
          <w:szCs w:val="20"/>
        </w:rPr>
        <w:t>Copyright</w:t>
      </w:r>
    </w:p>
    <w:p w14:paraId="67A7B8E4" w14:textId="4660F15A" w:rsidR="00976264" w:rsidRPr="001C4DF3" w:rsidRDefault="00976264" w:rsidP="00976264">
      <w:pPr>
        <w:pStyle w:val="NormalWeb"/>
        <w:rPr>
          <w:rFonts w:ascii="Work Sans" w:hAnsi="Work Sans"/>
          <w:color w:val="000000"/>
          <w:sz w:val="20"/>
          <w:szCs w:val="20"/>
        </w:rPr>
      </w:pPr>
      <w:r w:rsidRPr="001C4DF3">
        <w:rPr>
          <w:rFonts w:ascii="Work Sans" w:hAnsi="Work Sans"/>
          <w:color w:val="000000"/>
          <w:sz w:val="20"/>
          <w:szCs w:val="20"/>
        </w:rPr>
        <w:t>© Commonwealth of Australia 202</w:t>
      </w:r>
      <w:r w:rsidR="00711DED">
        <w:rPr>
          <w:rFonts w:ascii="Work Sans" w:hAnsi="Work Sans"/>
          <w:color w:val="000000"/>
          <w:sz w:val="20"/>
          <w:szCs w:val="20"/>
        </w:rPr>
        <w:t>5</w:t>
      </w:r>
    </w:p>
    <w:p w14:paraId="286CFC70" w14:textId="77777777" w:rsidR="00976264" w:rsidRPr="001C4DF3" w:rsidRDefault="00976264" w:rsidP="00976264">
      <w:pPr>
        <w:pStyle w:val="NormalWeb"/>
        <w:rPr>
          <w:rFonts w:ascii="Work Sans" w:hAnsi="Work Sans"/>
          <w:color w:val="000000"/>
          <w:sz w:val="20"/>
          <w:szCs w:val="20"/>
        </w:rPr>
      </w:pPr>
      <w:proofErr w:type="gramStart"/>
      <w:r w:rsidRPr="001C4DF3">
        <w:rPr>
          <w:rFonts w:ascii="Work Sans" w:hAnsi="Work Sans"/>
          <w:color w:val="000000"/>
          <w:sz w:val="20"/>
          <w:szCs w:val="20"/>
        </w:rPr>
        <w:t>With the exception of</w:t>
      </w:r>
      <w:proofErr w:type="gramEnd"/>
      <w:r w:rsidRPr="001C4DF3">
        <w:rPr>
          <w:rFonts w:ascii="Work Sans" w:hAnsi="Work Sans"/>
          <w:color w:val="000000"/>
          <w:sz w:val="20"/>
          <w:szCs w:val="20"/>
        </w:rPr>
        <w:t xml:space="preserve"> the Commonwealth Coat of Arms, all material presented in this document is provided under Creative Commons Attribution 4.0 (https://creativecommons.org/licenses/by/4.0/) licence. The details of the relevant licence conditions are available on the Creative Commons website as is the full legal code for CC BY 4.0 International (</w:t>
      </w:r>
      <w:hyperlink r:id="rId14" w:history="1">
        <w:r w:rsidRPr="001C4DF3">
          <w:rPr>
            <w:rStyle w:val="Hyperlink"/>
            <w:rFonts w:ascii="Work Sans" w:hAnsi="Work Sans"/>
            <w:sz w:val="20"/>
            <w:szCs w:val="20"/>
          </w:rPr>
          <w:t>https://creativecommons.org/licenses/by/4.0/legalcode</w:t>
        </w:r>
      </w:hyperlink>
      <w:r w:rsidRPr="001C4DF3">
        <w:rPr>
          <w:rFonts w:ascii="Work Sans" w:hAnsi="Work Sans"/>
          <w:color w:val="000000"/>
          <w:sz w:val="20"/>
          <w:szCs w:val="20"/>
        </w:rPr>
        <w:t>).</w:t>
      </w:r>
    </w:p>
    <w:p w14:paraId="781D26F5" w14:textId="77777777" w:rsidR="00976264" w:rsidRPr="001C4DF3" w:rsidRDefault="00976264" w:rsidP="00976264">
      <w:pPr>
        <w:pStyle w:val="NormalWeb"/>
        <w:rPr>
          <w:rFonts w:ascii="Work Sans" w:hAnsi="Work Sans"/>
          <w:color w:val="000000"/>
          <w:sz w:val="20"/>
          <w:szCs w:val="20"/>
        </w:rPr>
      </w:pPr>
      <w:r w:rsidRPr="001C4DF3">
        <w:rPr>
          <w:noProof/>
          <w:sz w:val="20"/>
          <w:szCs w:val="20"/>
        </w:rPr>
        <w:drawing>
          <wp:inline distT="0" distB="0" distL="0" distR="0" wp14:anchorId="436D70E5" wp14:editId="5890D9AE">
            <wp:extent cx="828675" cy="295275"/>
            <wp:effectExtent l="19050" t="0" r="9525" b="0"/>
            <wp:docPr id="1" name="Picture 1" descr="Creative Commons - Attrib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- Attribu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C6FC8" w14:textId="77777777" w:rsidR="00976264" w:rsidRPr="001C4DF3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  <w:r w:rsidRPr="001C4DF3">
        <w:rPr>
          <w:rFonts w:ascii="Work Sans" w:hAnsi="Work Sans"/>
          <w:b/>
          <w:bCs/>
          <w:color w:val="000000"/>
          <w:sz w:val="20"/>
          <w:szCs w:val="20"/>
        </w:rPr>
        <w:t>Attribution</w:t>
      </w:r>
    </w:p>
    <w:p w14:paraId="0808F8FE" w14:textId="18E6D95B" w:rsidR="00976264" w:rsidRPr="001C4DF3" w:rsidRDefault="00976264" w:rsidP="00976264">
      <w:pPr>
        <w:pStyle w:val="NormalWeb"/>
        <w:rPr>
          <w:rFonts w:ascii="Work Sans" w:hAnsi="Work Sans"/>
          <w:color w:val="000000"/>
          <w:sz w:val="20"/>
          <w:szCs w:val="20"/>
        </w:rPr>
      </w:pPr>
      <w:r w:rsidRPr="001C4DF3">
        <w:rPr>
          <w:rFonts w:ascii="Work Sans" w:hAnsi="Work Sans"/>
          <w:color w:val="000000"/>
          <w:sz w:val="20"/>
          <w:szCs w:val="20"/>
        </w:rPr>
        <w:t xml:space="preserve">The recommended attribution for this document is Commonwealth Grants Commission, </w:t>
      </w:r>
      <w:r w:rsidRPr="00B81BAC">
        <w:rPr>
          <w:rFonts w:ascii="Work Sans" w:hAnsi="Work Sans"/>
          <w:i/>
          <w:iCs/>
          <w:color w:val="000000"/>
          <w:sz w:val="20"/>
          <w:szCs w:val="20"/>
        </w:rPr>
        <w:t>Occasional Paper No. 1</w:t>
      </w:r>
      <w:r w:rsidR="00070313" w:rsidRPr="00B81BAC">
        <w:rPr>
          <w:rFonts w:ascii="Work Sans" w:hAnsi="Work Sans"/>
          <w:i/>
          <w:iCs/>
          <w:color w:val="000000"/>
          <w:sz w:val="20"/>
          <w:szCs w:val="20"/>
        </w:rPr>
        <w:t>3</w:t>
      </w:r>
      <w:r w:rsidRPr="00B81BAC">
        <w:rPr>
          <w:rFonts w:ascii="Work Sans" w:hAnsi="Work Sans"/>
          <w:i/>
          <w:iCs/>
          <w:color w:val="000000"/>
          <w:sz w:val="20"/>
          <w:szCs w:val="20"/>
        </w:rPr>
        <w:t xml:space="preserve">: </w:t>
      </w:r>
      <w:r w:rsidR="00070313" w:rsidRPr="00B81BAC">
        <w:rPr>
          <w:rFonts w:ascii="Work Sans" w:hAnsi="Work Sans"/>
          <w:i/>
          <w:iCs/>
          <w:color w:val="000000"/>
          <w:sz w:val="20"/>
          <w:szCs w:val="20"/>
        </w:rPr>
        <w:t>Is the GST distribution system too complex</w:t>
      </w:r>
      <w:r w:rsidR="00B81BAC" w:rsidRPr="00B81BAC">
        <w:rPr>
          <w:rFonts w:ascii="Work Sans" w:hAnsi="Work Sans"/>
          <w:i/>
          <w:iCs/>
          <w:color w:val="000000"/>
          <w:sz w:val="20"/>
          <w:szCs w:val="20"/>
        </w:rPr>
        <w:t>?</w:t>
      </w:r>
    </w:p>
    <w:p w14:paraId="5B44D7A0" w14:textId="77777777" w:rsidR="00976264" w:rsidRPr="001C4DF3" w:rsidRDefault="00976264" w:rsidP="00976264">
      <w:pPr>
        <w:pStyle w:val="NormalWeb"/>
        <w:rPr>
          <w:rFonts w:ascii="Work Sans" w:hAnsi="Work Sans"/>
          <w:color w:val="000000"/>
          <w:sz w:val="20"/>
          <w:szCs w:val="20"/>
        </w:rPr>
      </w:pPr>
      <w:r w:rsidRPr="001C4DF3">
        <w:rPr>
          <w:rFonts w:ascii="Work Sans" w:hAnsi="Work Sans"/>
          <w:b/>
          <w:bCs/>
          <w:color w:val="000000"/>
          <w:sz w:val="20"/>
          <w:szCs w:val="20"/>
        </w:rPr>
        <w:t>Contact us</w:t>
      </w:r>
      <w:r w:rsidRPr="001C4DF3">
        <w:rPr>
          <w:rFonts w:ascii="Work Sans" w:hAnsi="Work Sans"/>
          <w:color w:val="000000"/>
          <w:sz w:val="20"/>
          <w:szCs w:val="20"/>
        </w:rPr>
        <w:t xml:space="preserve"> </w:t>
      </w:r>
    </w:p>
    <w:p w14:paraId="7B110D88" w14:textId="77777777" w:rsidR="00976264" w:rsidRPr="001C4DF3" w:rsidRDefault="00976264" w:rsidP="00976264">
      <w:pPr>
        <w:pStyle w:val="NormalWeb"/>
        <w:rPr>
          <w:rFonts w:ascii="Work Sans" w:hAnsi="Work Sans"/>
          <w:color w:val="000000"/>
          <w:sz w:val="20"/>
          <w:szCs w:val="20"/>
        </w:rPr>
      </w:pPr>
      <w:r w:rsidRPr="001C4DF3">
        <w:rPr>
          <w:rFonts w:ascii="Work Sans" w:hAnsi="Work Sans"/>
          <w:color w:val="000000"/>
          <w:sz w:val="20"/>
          <w:szCs w:val="20"/>
        </w:rPr>
        <w:t>Inquiries regarding the use of this document should be directed to secretary@cgc.gov.au.</w:t>
      </w:r>
    </w:p>
    <w:p w14:paraId="584116A3" w14:textId="77777777" w:rsidR="00976264" w:rsidRPr="001C4DF3" w:rsidRDefault="00976264" w:rsidP="00976264">
      <w:pPr>
        <w:pStyle w:val="NormalWeb"/>
        <w:rPr>
          <w:rFonts w:ascii="Work Sans" w:hAnsi="Work Sans"/>
          <w:b/>
          <w:bCs/>
          <w:color w:val="000000"/>
          <w:sz w:val="20"/>
          <w:szCs w:val="20"/>
        </w:rPr>
      </w:pPr>
      <w:r w:rsidRPr="001C4DF3">
        <w:rPr>
          <w:rFonts w:ascii="Work Sans" w:hAnsi="Work Sans"/>
          <w:b/>
          <w:bCs/>
          <w:color w:val="000000"/>
          <w:sz w:val="20"/>
          <w:szCs w:val="20"/>
        </w:rPr>
        <w:t xml:space="preserve">Internet </w:t>
      </w:r>
    </w:p>
    <w:p w14:paraId="540E4B59" w14:textId="77777777" w:rsidR="00976264" w:rsidRDefault="00976264" w:rsidP="00976264">
      <w:pPr>
        <w:pStyle w:val="NormalWeb"/>
        <w:rPr>
          <w:rFonts w:ascii="Work Sans" w:hAnsi="Work Sans"/>
          <w:color w:val="000000"/>
          <w:sz w:val="20"/>
          <w:szCs w:val="20"/>
        </w:rPr>
      </w:pPr>
      <w:r w:rsidRPr="001C4DF3">
        <w:rPr>
          <w:rFonts w:ascii="Work Sans" w:hAnsi="Work Sans"/>
          <w:color w:val="000000"/>
          <w:sz w:val="20"/>
          <w:szCs w:val="20"/>
        </w:rPr>
        <w:t>A copy of this paper is available on the Commission’s website (</w:t>
      </w:r>
      <w:hyperlink r:id="rId16" w:history="1">
        <w:r w:rsidRPr="00CC45D6">
          <w:rPr>
            <w:rStyle w:val="Hyperlink"/>
            <w:rFonts w:ascii="Work Sans" w:hAnsi="Work Sans"/>
            <w:sz w:val="20"/>
            <w:szCs w:val="20"/>
          </w:rPr>
          <w:t>http://www.cgc.gov.au</w:t>
        </w:r>
      </w:hyperlink>
      <w:r w:rsidRPr="001C4DF3">
        <w:rPr>
          <w:rFonts w:ascii="Work Sans" w:hAnsi="Work Sans"/>
          <w:color w:val="000000"/>
          <w:sz w:val="20"/>
          <w:szCs w:val="20"/>
        </w:rPr>
        <w:t>).</w:t>
      </w:r>
    </w:p>
    <w:p w14:paraId="18100013" w14:textId="56F4704E" w:rsidR="00C97179" w:rsidRDefault="00C97179" w:rsidP="00C97179">
      <w:pPr>
        <w:pStyle w:val="NormalWeb"/>
        <w:tabs>
          <w:tab w:val="left" w:pos="2579"/>
        </w:tabs>
        <w:rPr>
          <w:rFonts w:ascii="Work Sans" w:hAnsi="Work Sans"/>
          <w:color w:val="000000"/>
          <w:sz w:val="20"/>
          <w:szCs w:val="20"/>
        </w:rPr>
      </w:pPr>
    </w:p>
    <w:p w14:paraId="243979A2" w14:textId="1478B753" w:rsidR="00C97179" w:rsidRPr="00C97179" w:rsidRDefault="00C97179" w:rsidP="00C97179">
      <w:pPr>
        <w:tabs>
          <w:tab w:val="clear" w:pos="567"/>
          <w:tab w:val="left" w:pos="2579"/>
        </w:tabs>
        <w:rPr>
          <w:lang w:eastAsia="en-AU"/>
        </w:rPr>
        <w:sectPr w:rsidR="00C97179" w:rsidRPr="00C97179" w:rsidSect="00A404BD">
          <w:footerReference w:type="default" r:id="rId17"/>
          <w:pgSz w:w="11900" w:h="16840"/>
          <w:pgMar w:top="1985" w:right="1418" w:bottom="1418" w:left="1418" w:header="709" w:footer="284" w:gutter="0"/>
          <w:pgNumType w:start="1"/>
          <w:cols w:space="708"/>
          <w:docGrid w:linePitch="360"/>
        </w:sectPr>
      </w:pPr>
    </w:p>
    <w:p w14:paraId="6560FB56" w14:textId="2CD6F0B4" w:rsidR="00D22B0F" w:rsidRPr="00A72D3E" w:rsidRDefault="00107BB6" w:rsidP="00A72D3E">
      <w:pPr>
        <w:pStyle w:val="NormalWeb"/>
        <w:rPr>
          <w:rFonts w:ascii="Work Sans" w:hAnsi="Work Sans"/>
          <w:color w:val="000000"/>
          <w:sz w:val="20"/>
          <w:szCs w:val="20"/>
        </w:rPr>
      </w:pPr>
      <w:r w:rsidRPr="001C4DF3"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12B19207" wp14:editId="79D2F246">
                <wp:simplePos x="0" y="0"/>
                <wp:positionH relativeFrom="margin">
                  <wp:posOffset>0</wp:posOffset>
                </wp:positionH>
                <wp:positionV relativeFrom="page">
                  <wp:posOffset>1080347</wp:posOffset>
                </wp:positionV>
                <wp:extent cx="5846400" cy="6942667"/>
                <wp:effectExtent l="0" t="0" r="2540" b="0"/>
                <wp:wrapNone/>
                <wp:docPr id="9" name="Rectangl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6400" cy="6942667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57F752" w14:textId="77777777" w:rsidR="00E440BA" w:rsidRDefault="00E440BA" w:rsidP="007F55EB">
                            <w:pPr>
                              <w:pStyle w:val="Heading2"/>
                              <w:spacing w:before="0"/>
                              <w:ind w:right="227"/>
                            </w:pPr>
                            <w:r>
                              <w:t>Summary</w:t>
                            </w:r>
                          </w:p>
                          <w:p w14:paraId="5AB7CCCB" w14:textId="77777777" w:rsidR="00E440BA" w:rsidRDefault="00E440BA" w:rsidP="007F55E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ind w:right="227"/>
                              <w:rPr>
                                <w:rFonts w:ascii="Work Sans" w:hAnsi="Work Sans"/>
                              </w:rPr>
                            </w:pPr>
                            <w:r w:rsidRPr="001A0BAD">
                              <w:rPr>
                                <w:rFonts w:ascii="Work Sans" w:hAnsi="Work Sans"/>
                              </w:rPr>
                              <w:t xml:space="preserve">The </w:t>
                            </w:r>
                            <w:r w:rsidR="005D2C23">
                              <w:rPr>
                                <w:rFonts w:ascii="Work Sans" w:hAnsi="Work Sans"/>
                              </w:rPr>
                              <w:t xml:space="preserve">Commonwealth Grants Commission (the </w:t>
                            </w:r>
                            <w:r w:rsidRPr="001A0BAD">
                              <w:rPr>
                                <w:rFonts w:ascii="Work Sans" w:hAnsi="Work Sans"/>
                              </w:rPr>
                              <w:t>Commission</w:t>
                            </w:r>
                            <w:r w:rsidR="005D2C23">
                              <w:rPr>
                                <w:rFonts w:ascii="Work Sans" w:hAnsi="Work Sans"/>
                              </w:rPr>
                              <w:t>)</w:t>
                            </w:r>
                            <w:r w:rsidRPr="001A0BAD">
                              <w:rPr>
                                <w:rFonts w:ascii="Work Sans" w:hAnsi="Work Sans"/>
                              </w:rPr>
                              <w:t xml:space="preserve"> aims to </w:t>
                            </w:r>
                            <w:r w:rsidR="00325AD6">
                              <w:rPr>
                                <w:rFonts w:ascii="Work Sans" w:hAnsi="Work Sans"/>
                              </w:rPr>
                              <w:t>assess state</w:t>
                            </w:r>
                            <w:r w:rsidR="00325AD6" w:rsidDel="00AB4641">
                              <w:rPr>
                                <w:rFonts w:ascii="Work Sans" w:hAnsi="Work Sans"/>
                              </w:rPr>
                              <w:t>s’</w:t>
                            </w:r>
                            <w:r w:rsidR="00325AD6">
                              <w:rPr>
                                <w:rFonts w:ascii="Work Sans" w:hAnsi="Work Sans"/>
                              </w:rPr>
                              <w:t xml:space="preserve"> needs </w:t>
                            </w:r>
                            <w:r w:rsidRPr="001A0BAD">
                              <w:rPr>
                                <w:rFonts w:ascii="Work Sans" w:hAnsi="Work Sans"/>
                              </w:rPr>
                              <w:t>as simpl</w:t>
                            </w:r>
                            <w:r w:rsidR="00325AD6">
                              <w:rPr>
                                <w:rFonts w:ascii="Work Sans" w:hAnsi="Work Sans"/>
                              </w:rPr>
                              <w:t>y</w:t>
                            </w:r>
                            <w:r w:rsidRPr="001A0BAD">
                              <w:rPr>
                                <w:rFonts w:ascii="Work Sans" w:hAnsi="Work Sans"/>
                              </w:rPr>
                              <w:t xml:space="preserve"> as possible, consistent with </w:t>
                            </w:r>
                            <w:r w:rsidR="00F357F4">
                              <w:rPr>
                                <w:rFonts w:ascii="Work Sans" w:hAnsi="Work Sans"/>
                              </w:rPr>
                              <w:t>its</w:t>
                            </w:r>
                            <w:r w:rsidRPr="001A0BAD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="00F357F4">
                              <w:rPr>
                                <w:rFonts w:ascii="Work Sans" w:hAnsi="Work Sans"/>
                              </w:rPr>
                              <w:t xml:space="preserve">overarching </w:t>
                            </w:r>
                            <w:r w:rsidRPr="001A0BAD">
                              <w:rPr>
                                <w:rFonts w:ascii="Work Sans" w:hAnsi="Work Sans"/>
                              </w:rPr>
                              <w:t xml:space="preserve">mandate </w:t>
                            </w:r>
                            <w:r w:rsidR="00F357F4">
                              <w:rPr>
                                <w:rFonts w:ascii="Work Sans" w:hAnsi="Work Sans"/>
                              </w:rPr>
                              <w:t>of pursui</w:t>
                            </w:r>
                            <w:r w:rsidR="000C1511">
                              <w:rPr>
                                <w:rFonts w:ascii="Work Sans" w:hAnsi="Work Sans"/>
                              </w:rPr>
                              <w:t>ng</w:t>
                            </w:r>
                            <w:r w:rsidR="00F357F4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Pr="001A0BAD">
                              <w:rPr>
                                <w:rFonts w:ascii="Work Sans" w:hAnsi="Work Sans"/>
                              </w:rPr>
                              <w:t>horizontal fiscal equalisation</w:t>
                            </w:r>
                            <w:r>
                              <w:rPr>
                                <w:rFonts w:ascii="Work Sans" w:hAnsi="Work Sans"/>
                              </w:rPr>
                              <w:t>.</w:t>
                            </w:r>
                          </w:p>
                          <w:p w14:paraId="583876F0" w14:textId="483D1ADC" w:rsidR="00E440BA" w:rsidRDefault="00E440BA" w:rsidP="007F55E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ind w:right="227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There is </w:t>
                            </w:r>
                            <w:r w:rsidR="006E725D">
                              <w:rPr>
                                <w:rFonts w:ascii="Work Sans" w:hAnsi="Work Sans"/>
                              </w:rPr>
                              <w:t xml:space="preserve">inherent </w:t>
                            </w:r>
                            <w:r>
                              <w:rPr>
                                <w:rFonts w:ascii="Work Sans" w:hAnsi="Work Sans"/>
                              </w:rPr>
                              <w:t xml:space="preserve">complexity in a system that </w:t>
                            </w:r>
                            <w:r w:rsidR="007660F2">
                              <w:rPr>
                                <w:rFonts w:ascii="Work Sans" w:hAnsi="Work Sans"/>
                              </w:rPr>
                              <w:t xml:space="preserve">assesses the factors </w:t>
                            </w:r>
                            <w:r w:rsidR="00387CC2">
                              <w:rPr>
                                <w:rFonts w:ascii="Work Sans" w:hAnsi="Work Sans"/>
                              </w:rPr>
                              <w:t xml:space="preserve">that influence each state’s main areas of expenditure (such as health, education, transport and </w:t>
                            </w:r>
                            <w:r w:rsidR="002A4A78">
                              <w:rPr>
                                <w:rFonts w:ascii="Work Sans" w:hAnsi="Work Sans"/>
                              </w:rPr>
                              <w:t>justice) and revenue (such as stamp duties on conveyances, mineral royalites and payroll tax</w:t>
                            </w:r>
                            <w:r w:rsidR="00395332">
                              <w:rPr>
                                <w:rFonts w:ascii="Work Sans" w:hAnsi="Work Sans"/>
                              </w:rPr>
                              <w:t>, as well as other Commonwealth payments</w:t>
                            </w:r>
                            <w:r w:rsidR="002A4A78">
                              <w:rPr>
                                <w:rFonts w:ascii="Work Sans" w:hAnsi="Work Sans"/>
                              </w:rPr>
                              <w:t>).</w:t>
                            </w:r>
                            <w:r w:rsidR="00F86CCE">
                              <w:rPr>
                                <w:rFonts w:ascii="Work Sans" w:hAnsi="Work Sans"/>
                              </w:rPr>
                              <w:t xml:space="preserve"> Adding to complexity is </w:t>
                            </w:r>
                            <w:r w:rsidR="007D6289">
                              <w:rPr>
                                <w:rFonts w:ascii="Work Sans" w:hAnsi="Work Sans"/>
                              </w:rPr>
                              <w:t xml:space="preserve">the need to </w:t>
                            </w:r>
                            <w:r w:rsidR="00202BF1">
                              <w:rPr>
                                <w:rFonts w:ascii="Work Sans" w:hAnsi="Work Sans"/>
                              </w:rPr>
                              <w:t>quantify the extent to which these factors are beyond each state’s control</w:t>
                            </w:r>
                            <w:r w:rsidR="008C6E8E">
                              <w:rPr>
                                <w:rFonts w:ascii="Work Sans" w:hAnsi="Work Sans"/>
                              </w:rPr>
                              <w:t>, rather than driven by policy.</w:t>
                            </w:r>
                            <w:r w:rsidR="008C6E8E" w:rsidDel="005B42EC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="00391BE7" w:rsidDel="005B42EC">
                              <w:rPr>
                                <w:rFonts w:ascii="Work Sans" w:hAnsi="Work Sans"/>
                              </w:rPr>
                              <w:t>This</w:t>
                            </w:r>
                            <w:r w:rsidR="00391BE7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="00F86CCE">
                              <w:rPr>
                                <w:rFonts w:ascii="Work Sans" w:hAnsi="Work Sans"/>
                              </w:rPr>
                              <w:t>var</w:t>
                            </w:r>
                            <w:r w:rsidR="00391BE7">
                              <w:rPr>
                                <w:rFonts w:ascii="Work Sans" w:hAnsi="Work Sans"/>
                              </w:rPr>
                              <w:t>ies</w:t>
                            </w:r>
                            <w:r w:rsidR="00F86CCE">
                              <w:rPr>
                                <w:rFonts w:ascii="Work Sans" w:hAnsi="Work Sans"/>
                              </w:rPr>
                              <w:t xml:space="preserve"> with differences in </w:t>
                            </w:r>
                            <w:r w:rsidR="00391BE7">
                              <w:rPr>
                                <w:rFonts w:ascii="Work Sans" w:hAnsi="Work Sans"/>
                              </w:rPr>
                              <w:t xml:space="preserve">states’ </w:t>
                            </w:r>
                            <w:r w:rsidR="00F86CCE">
                              <w:rPr>
                                <w:rFonts w:ascii="Work Sans" w:hAnsi="Work Sans"/>
                              </w:rPr>
                              <w:t>economic, social and demographic characteristics.</w:t>
                            </w:r>
                          </w:p>
                          <w:p w14:paraId="0937C44F" w14:textId="62E8BDAA" w:rsidR="002B0AE9" w:rsidRDefault="002B0AE9" w:rsidP="007F55E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ind w:right="227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 xml:space="preserve">Consistent with its mandate, the Commission </w:t>
                            </w:r>
                            <w:r w:rsidRPr="00E33EC3">
                              <w:rPr>
                                <w:rFonts w:ascii="Work Sans" w:hAnsi="Work Sans"/>
                              </w:rPr>
                              <w:t xml:space="preserve">attempts to assess all </w:t>
                            </w:r>
                            <w:r>
                              <w:rPr>
                                <w:rFonts w:ascii="Work Sans" w:hAnsi="Work Sans"/>
                              </w:rPr>
                              <w:t xml:space="preserve">material </w:t>
                            </w:r>
                            <w:r w:rsidR="003E5B31" w:rsidRPr="00E33EC3">
                              <w:rPr>
                                <w:rFonts w:ascii="Work Sans" w:hAnsi="Work Sans"/>
                              </w:rPr>
                              <w:t xml:space="preserve">areas of spending </w:t>
                            </w:r>
                            <w:r w:rsidR="003E5B31">
                              <w:rPr>
                                <w:rFonts w:ascii="Work Sans" w:hAnsi="Work Sans"/>
                              </w:rPr>
                              <w:t xml:space="preserve">and </w:t>
                            </w:r>
                            <w:r w:rsidRPr="00E33EC3">
                              <w:rPr>
                                <w:rFonts w:ascii="Work Sans" w:hAnsi="Work Sans"/>
                              </w:rPr>
                              <w:t>sources of revenue</w:t>
                            </w:r>
                            <w:r w:rsidR="00B13690">
                              <w:rPr>
                                <w:rFonts w:ascii="Work Sans" w:hAnsi="Work Sans"/>
                              </w:rPr>
                              <w:t>,</w:t>
                            </w:r>
                            <w:r w:rsidR="007F55EB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Pr="00E33EC3">
                              <w:rPr>
                                <w:rFonts w:ascii="Work Sans" w:hAnsi="Work Sans"/>
                              </w:rPr>
                              <w:t>and capture all important drivers</w:t>
                            </w:r>
                            <w:r>
                              <w:rPr>
                                <w:rFonts w:ascii="Work Sans" w:hAnsi="Work Sans"/>
                              </w:rPr>
                              <w:t xml:space="preserve">. </w:t>
                            </w:r>
                            <w:r w:rsidR="00365682">
                              <w:rPr>
                                <w:rFonts w:ascii="Work Sans" w:hAnsi="Work Sans"/>
                              </w:rPr>
                              <w:t xml:space="preserve">In consulting with the </w:t>
                            </w:r>
                            <w:r w:rsidR="00953ADE">
                              <w:rPr>
                                <w:rFonts w:ascii="Work Sans" w:hAnsi="Work Sans"/>
                              </w:rPr>
                              <w:t>states,</w:t>
                            </w:r>
                            <w:r w:rsidR="00365682">
                              <w:rPr>
                                <w:rFonts w:ascii="Work Sans" w:hAnsi="Work Sans"/>
                              </w:rPr>
                              <w:t xml:space="preserve"> they</w:t>
                            </w:r>
                            <w:r w:rsidR="0091274C">
                              <w:rPr>
                                <w:rFonts w:ascii="Work Sans" w:hAnsi="Work Sans"/>
                              </w:rPr>
                              <w:t xml:space="preserve"> will often</w:t>
                            </w:r>
                            <w:r w:rsidR="00A03B6F" w:rsidRPr="0088221F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="00486B1F">
                              <w:rPr>
                                <w:rFonts w:ascii="Work Sans" w:hAnsi="Work Sans"/>
                              </w:rPr>
                              <w:t>emphasi</w:t>
                            </w:r>
                            <w:r w:rsidR="00296C9C">
                              <w:rPr>
                                <w:rFonts w:ascii="Work Sans" w:hAnsi="Work Sans"/>
                              </w:rPr>
                              <w:t>se</w:t>
                            </w:r>
                            <w:r w:rsidR="00A03B6F" w:rsidRPr="0088221F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="00A03B6F">
                              <w:rPr>
                                <w:rFonts w:ascii="Work Sans" w:hAnsi="Work Sans"/>
                              </w:rPr>
                              <w:t>their</w:t>
                            </w:r>
                            <w:r w:rsidR="00A03B6F" w:rsidRPr="0088221F">
                              <w:rPr>
                                <w:rFonts w:ascii="Work Sans" w:hAnsi="Work Sans"/>
                              </w:rPr>
                              <w:t xml:space="preserve"> specific cost and revenue pressures, irrespective of added complexity</w:t>
                            </w:r>
                            <w:r w:rsidR="00A03B6F">
                              <w:rPr>
                                <w:rFonts w:ascii="Work Sans" w:hAnsi="Work Sans"/>
                              </w:rPr>
                              <w:t>.</w:t>
                            </w:r>
                          </w:p>
                          <w:p w14:paraId="3B72CC7D" w14:textId="77777777" w:rsidR="00E74618" w:rsidRDefault="00E440BA" w:rsidP="007F55E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ind w:right="227"/>
                              <w:rPr>
                                <w:rFonts w:ascii="Work Sans" w:hAnsi="Work Sans"/>
                              </w:rPr>
                            </w:pPr>
                            <w:r w:rsidRPr="009A2DC5">
                              <w:rPr>
                                <w:rFonts w:ascii="Work Sans" w:hAnsi="Work Sans"/>
                              </w:rPr>
                              <w:t xml:space="preserve">There is a trade-off between </w:t>
                            </w:r>
                            <w:r w:rsidR="00470D2C">
                              <w:rPr>
                                <w:rFonts w:ascii="Work Sans" w:hAnsi="Work Sans"/>
                              </w:rPr>
                              <w:t>assess</w:t>
                            </w:r>
                            <w:r w:rsidR="00A96DAD">
                              <w:rPr>
                                <w:rFonts w:ascii="Work Sans" w:hAnsi="Work Sans"/>
                              </w:rPr>
                              <w:t>ing</w:t>
                            </w:r>
                            <w:r w:rsidR="00EA0119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="00BE463F">
                              <w:rPr>
                                <w:rFonts w:ascii="Work Sans" w:hAnsi="Work Sans"/>
                              </w:rPr>
                              <w:t xml:space="preserve">states’ </w:t>
                            </w:r>
                            <w:r w:rsidR="00EA0119">
                              <w:rPr>
                                <w:rFonts w:ascii="Work Sans" w:hAnsi="Work Sans"/>
                              </w:rPr>
                              <w:t>relative</w:t>
                            </w:r>
                            <w:r w:rsidRPr="009A2DC5">
                              <w:rPr>
                                <w:rFonts w:ascii="Work Sans" w:hAnsi="Work Sans"/>
                              </w:rPr>
                              <w:t xml:space="preserve"> fiscal capaci</w:t>
                            </w:r>
                            <w:r w:rsidR="00A96DAD">
                              <w:rPr>
                                <w:rFonts w:ascii="Work Sans" w:hAnsi="Work Sans"/>
                              </w:rPr>
                              <w:t>ties</w:t>
                            </w:r>
                            <w:r w:rsidRPr="009A2DC5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="00A96DAD">
                              <w:rPr>
                                <w:rFonts w:ascii="Work Sans" w:hAnsi="Work Sans"/>
                              </w:rPr>
                              <w:t xml:space="preserve">as comprehensively as possible </w:t>
                            </w:r>
                            <w:r w:rsidRPr="009A2DC5">
                              <w:rPr>
                                <w:rFonts w:ascii="Work Sans" w:hAnsi="Work Sans"/>
                              </w:rPr>
                              <w:t xml:space="preserve">and </w:t>
                            </w:r>
                            <w:r w:rsidR="00DD6E35">
                              <w:rPr>
                                <w:rFonts w:ascii="Work Sans" w:hAnsi="Work Sans"/>
                              </w:rPr>
                              <w:t>simpl</w:t>
                            </w:r>
                            <w:r w:rsidR="00EB08F9">
                              <w:rPr>
                                <w:rFonts w:ascii="Work Sans" w:hAnsi="Work Sans"/>
                              </w:rPr>
                              <w:t>ifying</w:t>
                            </w:r>
                            <w:r w:rsidR="00DD6E35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Pr="009A2DC5">
                              <w:rPr>
                                <w:rFonts w:ascii="Work Sans" w:hAnsi="Work Sans"/>
                              </w:rPr>
                              <w:t>assessment methods</w:t>
                            </w:r>
                            <w:r>
                              <w:rPr>
                                <w:rFonts w:ascii="Work Sans" w:hAnsi="Work Sans"/>
                              </w:rPr>
                              <w:t xml:space="preserve">. </w:t>
                            </w:r>
                            <w:r w:rsidR="008A39B0">
                              <w:rPr>
                                <w:rFonts w:ascii="Work Sans" w:hAnsi="Work Sans"/>
                              </w:rPr>
                              <w:t>Distributing the GST based on s</w:t>
                            </w:r>
                            <w:r w:rsidR="000B7133">
                              <w:rPr>
                                <w:rFonts w:ascii="Work Sans" w:hAnsi="Work Sans"/>
                              </w:rPr>
                              <w:t>imple</w:t>
                            </w:r>
                            <w:r w:rsidR="00055CF7">
                              <w:rPr>
                                <w:rFonts w:ascii="Work Sans" w:hAnsi="Work Sans"/>
                              </w:rPr>
                              <w:t>r</w:t>
                            </w:r>
                            <w:r w:rsidR="000B7133">
                              <w:rPr>
                                <w:rFonts w:ascii="Work Sans" w:hAnsi="Work Sans"/>
                              </w:rPr>
                              <w:t xml:space="preserve"> methods </w:t>
                            </w:r>
                            <w:r w:rsidR="00FC3CE6">
                              <w:rPr>
                                <w:rFonts w:ascii="Work Sans" w:hAnsi="Work Sans"/>
                              </w:rPr>
                              <w:t xml:space="preserve">that </w:t>
                            </w:r>
                            <w:r w:rsidR="00C77D84">
                              <w:rPr>
                                <w:rFonts w:ascii="Work Sans" w:hAnsi="Work Sans"/>
                              </w:rPr>
                              <w:t xml:space="preserve">overlook </w:t>
                            </w:r>
                            <w:r w:rsidR="00FC3CE6">
                              <w:rPr>
                                <w:rFonts w:ascii="Work Sans" w:hAnsi="Work Sans"/>
                              </w:rPr>
                              <w:t xml:space="preserve">differences in fiscal capacities </w:t>
                            </w:r>
                            <w:r w:rsidR="00BF4D12">
                              <w:rPr>
                                <w:rFonts w:ascii="Work Sans" w:hAnsi="Work Sans"/>
                              </w:rPr>
                              <w:t xml:space="preserve">would </w:t>
                            </w:r>
                            <w:r w:rsidR="00F0442E">
                              <w:rPr>
                                <w:rFonts w:ascii="Work Sans" w:hAnsi="Work Sans"/>
                              </w:rPr>
                              <w:t xml:space="preserve">depart </w:t>
                            </w:r>
                            <w:r w:rsidR="00BF4D12">
                              <w:rPr>
                                <w:rFonts w:ascii="Work Sans" w:hAnsi="Work Sans"/>
                              </w:rPr>
                              <w:t>from the objective of horizontal fiscal equalisation.</w:t>
                            </w:r>
                          </w:p>
                          <w:p w14:paraId="3E1B9D52" w14:textId="79518ED0" w:rsidR="009B5D05" w:rsidRPr="00A53677" w:rsidRDefault="00E440BA" w:rsidP="007F55E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ind w:right="227"/>
                              <w:rPr>
                                <w:rFonts w:ascii="Work Sans" w:hAnsi="Work Sans"/>
                              </w:rPr>
                            </w:pPr>
                            <w:r w:rsidRPr="0007207C">
                              <w:rPr>
                                <w:rFonts w:ascii="Work Sans" w:hAnsi="Work Sans"/>
                              </w:rPr>
                              <w:t xml:space="preserve">The Commission and external reviews have considered how the GST distribution system could be simplified. All have concluded that it </w:t>
                            </w:r>
                            <w:r w:rsidR="00F269B1">
                              <w:rPr>
                                <w:rFonts w:ascii="Work Sans" w:hAnsi="Work Sans"/>
                              </w:rPr>
                              <w:t xml:space="preserve">is </w:t>
                            </w:r>
                            <w:r w:rsidRPr="0007207C">
                              <w:rPr>
                                <w:rFonts w:ascii="Work Sans" w:hAnsi="Work Sans"/>
                              </w:rPr>
                              <w:t>not possible to achieve fundamental simplification that produce</w:t>
                            </w:r>
                            <w:r w:rsidR="003D4C87">
                              <w:rPr>
                                <w:rFonts w:ascii="Work Sans" w:hAnsi="Work Sans"/>
                              </w:rPr>
                              <w:t>s</w:t>
                            </w:r>
                            <w:r w:rsidRPr="0007207C">
                              <w:rPr>
                                <w:rFonts w:ascii="Work Sans" w:hAnsi="Work Sans"/>
                              </w:rPr>
                              <w:t xml:space="preserve"> results </w:t>
                            </w:r>
                            <w:r w:rsidR="00255382" w:rsidRPr="0007207C">
                              <w:rPr>
                                <w:rFonts w:ascii="Work Sans" w:hAnsi="Work Sans"/>
                              </w:rPr>
                              <w:t xml:space="preserve">comparable </w:t>
                            </w:r>
                            <w:r w:rsidRPr="0007207C">
                              <w:rPr>
                                <w:rFonts w:ascii="Work Sans" w:hAnsi="Work Sans"/>
                              </w:rPr>
                              <w:t>to the best estimates of states’ relative fiscal capacities</w:t>
                            </w:r>
                            <w:r w:rsidR="00C56D42" w:rsidDel="007654BF">
                              <w:rPr>
                                <w:rFonts w:ascii="Work Sans" w:hAnsi="Work Sans"/>
                              </w:rPr>
                              <w:t>;</w:t>
                            </w:r>
                            <w:r w:rsidRPr="0007207C" w:rsidDel="007654BF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="00C56D42" w:rsidDel="007654BF">
                              <w:rPr>
                                <w:rFonts w:ascii="Work Sans" w:hAnsi="Work Sans"/>
                              </w:rPr>
                              <w:t>that is,</w:t>
                            </w:r>
                            <w:r w:rsidR="00C56D42">
                              <w:rPr>
                                <w:rFonts w:ascii="Work Sans" w:hAnsi="Work Sans"/>
                              </w:rPr>
                              <w:t xml:space="preserve"> </w:t>
                            </w:r>
                            <w:r w:rsidRPr="0007207C">
                              <w:rPr>
                                <w:rFonts w:ascii="Work Sans" w:hAnsi="Work Sans"/>
                              </w:rPr>
                              <w:t>without significantly compromising the objective of horizontal fiscal equalisation.</w:t>
                            </w:r>
                          </w:p>
                          <w:p w14:paraId="446F1853" w14:textId="77777777" w:rsidR="00E440BA" w:rsidRPr="0088221F" w:rsidRDefault="00E440BA" w:rsidP="007F55E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ind w:right="227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A</w:t>
                            </w:r>
                            <w:r w:rsidRPr="0081045B">
                              <w:rPr>
                                <w:rFonts w:ascii="Work Sans" w:hAnsi="Work Sans"/>
                              </w:rPr>
                              <w:t xml:space="preserve">ny </w:t>
                            </w:r>
                            <w:r>
                              <w:rPr>
                                <w:rFonts w:ascii="Work Sans" w:hAnsi="Work Sans"/>
                              </w:rPr>
                              <w:t>significant move to simplify the system</w:t>
                            </w:r>
                            <w:r w:rsidRPr="0081045B">
                              <w:rPr>
                                <w:rFonts w:ascii="Work Sans" w:hAnsi="Work Sans"/>
                              </w:rPr>
                              <w:t xml:space="preserve"> would likely need agreement between the Commonwealth and states</w:t>
                            </w:r>
                            <w:r>
                              <w:rPr>
                                <w:rFonts w:ascii="Work Sans" w:hAnsi="Work Sans"/>
                              </w:rPr>
                              <w:t>.</w:t>
                            </w:r>
                          </w:p>
                          <w:p w14:paraId="7504F134" w14:textId="77777777" w:rsidR="00E440BA" w:rsidRPr="00B81604" w:rsidRDefault="00E440BA" w:rsidP="007F55EB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ind w:right="227"/>
                              <w:rPr>
                                <w:rFonts w:ascii="Work Sans" w:hAnsi="Work Sans"/>
                              </w:rPr>
                            </w:pPr>
                            <w:r>
                              <w:rPr>
                                <w:rFonts w:ascii="Work Sans" w:hAnsi="Work Sans"/>
                              </w:rPr>
                              <w:t>T</w:t>
                            </w:r>
                            <w:r w:rsidRPr="00254991">
                              <w:rPr>
                                <w:rFonts w:ascii="Work Sans" w:hAnsi="Work Sans"/>
                              </w:rPr>
                              <w:t>he Commission actively works with the states and other stakeholders to explain assessments and</w:t>
                            </w:r>
                            <w:r w:rsidRPr="00254991" w:rsidDel="003B0D12">
                              <w:rPr>
                                <w:rFonts w:ascii="Work Sans" w:hAnsi="Work Sans"/>
                              </w:rPr>
                              <w:t xml:space="preserve"> help</w:t>
                            </w:r>
                            <w:r w:rsidRPr="00254991">
                              <w:rPr>
                                <w:rFonts w:ascii="Work Sans" w:hAnsi="Work Sans"/>
                              </w:rPr>
                              <w:t xml:space="preserve"> increase understanding of the system</w:t>
                            </w:r>
                            <w:r>
                              <w:rPr>
                                <w:rFonts w:ascii="Work Sans" w:hAnsi="Work San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19207" id="Rectangle 9" o:spid="_x0000_s1030" alt="&quot;&quot;" style="position:absolute;margin-left:0;margin-top:85.05pt;width:460.35pt;height:546.6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" fillcolor="#e5f8ff" stroked="f" strokeweight="2pt">
                <v:textbox>
                  <w:txbxContent>
                    <w:p w14:paraId="4557F752" w14:textId="77777777" w:rsidR="00E440BA" w:rsidRDefault="00E440BA" w:rsidP="007F55EB">
                      <w:pPr>
                        <w:pStyle w:val="Heading2"/>
                        <w:spacing w:before="0"/>
                        <w:ind w:right="227"/>
                      </w:pPr>
                      <w:r>
                        <w:t>Summary</w:t>
                      </w:r>
                    </w:p>
                    <w:p w14:paraId="5AB7CCCB" w14:textId="77777777" w:rsidR="00E440BA" w:rsidRDefault="00E440BA" w:rsidP="007F55EB">
                      <w:pPr>
                        <w:pStyle w:val="BodyText"/>
                        <w:numPr>
                          <w:ilvl w:val="0"/>
                          <w:numId w:val="1"/>
                        </w:numPr>
                        <w:ind w:right="227"/>
                        <w:rPr>
                          <w:rFonts w:ascii="Work Sans" w:hAnsi="Work Sans"/>
                        </w:rPr>
                      </w:pPr>
                      <w:r w:rsidRPr="001A0BAD">
                        <w:rPr>
                          <w:rFonts w:ascii="Work Sans" w:hAnsi="Work Sans"/>
                        </w:rPr>
                        <w:t xml:space="preserve">The </w:t>
                      </w:r>
                      <w:r w:rsidR="005D2C23">
                        <w:rPr>
                          <w:rFonts w:ascii="Work Sans" w:hAnsi="Work Sans"/>
                        </w:rPr>
                        <w:t xml:space="preserve">Commonwealth Grants Commission (the </w:t>
                      </w:r>
                      <w:r w:rsidRPr="001A0BAD">
                        <w:rPr>
                          <w:rFonts w:ascii="Work Sans" w:hAnsi="Work Sans"/>
                        </w:rPr>
                        <w:t>Commission</w:t>
                      </w:r>
                      <w:r w:rsidR="005D2C23">
                        <w:rPr>
                          <w:rFonts w:ascii="Work Sans" w:hAnsi="Work Sans"/>
                        </w:rPr>
                        <w:t>)</w:t>
                      </w:r>
                      <w:r w:rsidRPr="001A0BAD">
                        <w:rPr>
                          <w:rFonts w:ascii="Work Sans" w:hAnsi="Work Sans"/>
                        </w:rPr>
                        <w:t xml:space="preserve"> aims to </w:t>
                      </w:r>
                      <w:r w:rsidR="00325AD6">
                        <w:rPr>
                          <w:rFonts w:ascii="Work Sans" w:hAnsi="Work Sans"/>
                        </w:rPr>
                        <w:t>assess state</w:t>
                      </w:r>
                      <w:r w:rsidR="00325AD6" w:rsidDel="00AB4641">
                        <w:rPr>
                          <w:rFonts w:ascii="Work Sans" w:hAnsi="Work Sans"/>
                        </w:rPr>
                        <w:t>s’</w:t>
                      </w:r>
                      <w:r w:rsidR="00325AD6">
                        <w:rPr>
                          <w:rFonts w:ascii="Work Sans" w:hAnsi="Work Sans"/>
                        </w:rPr>
                        <w:t xml:space="preserve"> needs </w:t>
                      </w:r>
                      <w:r w:rsidRPr="001A0BAD">
                        <w:rPr>
                          <w:rFonts w:ascii="Work Sans" w:hAnsi="Work Sans"/>
                        </w:rPr>
                        <w:t>as simpl</w:t>
                      </w:r>
                      <w:r w:rsidR="00325AD6">
                        <w:rPr>
                          <w:rFonts w:ascii="Work Sans" w:hAnsi="Work Sans"/>
                        </w:rPr>
                        <w:t>y</w:t>
                      </w:r>
                      <w:r w:rsidRPr="001A0BAD">
                        <w:rPr>
                          <w:rFonts w:ascii="Work Sans" w:hAnsi="Work Sans"/>
                        </w:rPr>
                        <w:t xml:space="preserve"> as possible, consistent with </w:t>
                      </w:r>
                      <w:r w:rsidR="00F357F4">
                        <w:rPr>
                          <w:rFonts w:ascii="Work Sans" w:hAnsi="Work Sans"/>
                        </w:rPr>
                        <w:t>its</w:t>
                      </w:r>
                      <w:r w:rsidRPr="001A0BAD">
                        <w:rPr>
                          <w:rFonts w:ascii="Work Sans" w:hAnsi="Work Sans"/>
                        </w:rPr>
                        <w:t xml:space="preserve"> </w:t>
                      </w:r>
                      <w:r w:rsidR="00F357F4">
                        <w:rPr>
                          <w:rFonts w:ascii="Work Sans" w:hAnsi="Work Sans"/>
                        </w:rPr>
                        <w:t xml:space="preserve">overarching </w:t>
                      </w:r>
                      <w:r w:rsidRPr="001A0BAD">
                        <w:rPr>
                          <w:rFonts w:ascii="Work Sans" w:hAnsi="Work Sans"/>
                        </w:rPr>
                        <w:t xml:space="preserve">mandate </w:t>
                      </w:r>
                      <w:r w:rsidR="00F357F4">
                        <w:rPr>
                          <w:rFonts w:ascii="Work Sans" w:hAnsi="Work Sans"/>
                        </w:rPr>
                        <w:t>of pursui</w:t>
                      </w:r>
                      <w:r w:rsidR="000C1511">
                        <w:rPr>
                          <w:rFonts w:ascii="Work Sans" w:hAnsi="Work Sans"/>
                        </w:rPr>
                        <w:t>ng</w:t>
                      </w:r>
                      <w:r w:rsidR="00F357F4">
                        <w:rPr>
                          <w:rFonts w:ascii="Work Sans" w:hAnsi="Work Sans"/>
                        </w:rPr>
                        <w:t xml:space="preserve"> </w:t>
                      </w:r>
                      <w:r w:rsidRPr="001A0BAD">
                        <w:rPr>
                          <w:rFonts w:ascii="Work Sans" w:hAnsi="Work Sans"/>
                        </w:rPr>
                        <w:t>horizontal fiscal equalisation</w:t>
                      </w:r>
                      <w:r>
                        <w:rPr>
                          <w:rFonts w:ascii="Work Sans" w:hAnsi="Work Sans"/>
                        </w:rPr>
                        <w:t>.</w:t>
                      </w:r>
                    </w:p>
                    <w:p w14:paraId="583876F0" w14:textId="483D1ADC" w:rsidR="00E440BA" w:rsidRDefault="00E440BA" w:rsidP="007F55EB">
                      <w:pPr>
                        <w:pStyle w:val="BodyText"/>
                        <w:numPr>
                          <w:ilvl w:val="0"/>
                          <w:numId w:val="1"/>
                        </w:numPr>
                        <w:ind w:right="227"/>
                        <w:rPr>
                          <w:rFonts w:ascii="Work Sans" w:hAnsi="Work Sans"/>
                        </w:rPr>
                      </w:pPr>
                      <w:r>
                        <w:rPr>
                          <w:rFonts w:ascii="Work Sans" w:hAnsi="Work Sans"/>
                        </w:rPr>
                        <w:t xml:space="preserve">There is </w:t>
                      </w:r>
                      <w:r w:rsidR="006E725D">
                        <w:rPr>
                          <w:rFonts w:ascii="Work Sans" w:hAnsi="Work Sans"/>
                        </w:rPr>
                        <w:t xml:space="preserve">inherent </w:t>
                      </w:r>
                      <w:r>
                        <w:rPr>
                          <w:rFonts w:ascii="Work Sans" w:hAnsi="Work Sans"/>
                        </w:rPr>
                        <w:t xml:space="preserve">complexity in a system that </w:t>
                      </w:r>
                      <w:r w:rsidR="007660F2">
                        <w:rPr>
                          <w:rFonts w:ascii="Work Sans" w:hAnsi="Work Sans"/>
                        </w:rPr>
                        <w:t xml:space="preserve">assesses the factors </w:t>
                      </w:r>
                      <w:r w:rsidR="00387CC2">
                        <w:rPr>
                          <w:rFonts w:ascii="Work Sans" w:hAnsi="Work Sans"/>
                        </w:rPr>
                        <w:t xml:space="preserve">that influence each state’s main areas of expenditure (such as health, education, transport and </w:t>
                      </w:r>
                      <w:r w:rsidR="002A4A78">
                        <w:rPr>
                          <w:rFonts w:ascii="Work Sans" w:hAnsi="Work Sans"/>
                        </w:rPr>
                        <w:t>justice) and revenue (such as stamp duties on conveyances, mineral royalites and payroll tax</w:t>
                      </w:r>
                      <w:r w:rsidR="00395332">
                        <w:rPr>
                          <w:rFonts w:ascii="Work Sans" w:hAnsi="Work Sans"/>
                        </w:rPr>
                        <w:t>, as well as other Commonwealth payments</w:t>
                      </w:r>
                      <w:r w:rsidR="002A4A78">
                        <w:rPr>
                          <w:rFonts w:ascii="Work Sans" w:hAnsi="Work Sans"/>
                        </w:rPr>
                        <w:t>).</w:t>
                      </w:r>
                      <w:r w:rsidR="00F86CCE">
                        <w:rPr>
                          <w:rFonts w:ascii="Work Sans" w:hAnsi="Work Sans"/>
                        </w:rPr>
                        <w:t xml:space="preserve"> Adding to complexity is </w:t>
                      </w:r>
                      <w:r w:rsidR="007D6289">
                        <w:rPr>
                          <w:rFonts w:ascii="Work Sans" w:hAnsi="Work Sans"/>
                        </w:rPr>
                        <w:t xml:space="preserve">the need to </w:t>
                      </w:r>
                      <w:r w:rsidR="00202BF1">
                        <w:rPr>
                          <w:rFonts w:ascii="Work Sans" w:hAnsi="Work Sans"/>
                        </w:rPr>
                        <w:t>quantify the extent to which these factors are beyond each state’s control</w:t>
                      </w:r>
                      <w:r w:rsidR="008C6E8E">
                        <w:rPr>
                          <w:rFonts w:ascii="Work Sans" w:hAnsi="Work Sans"/>
                        </w:rPr>
                        <w:t>, rather than driven by policy.</w:t>
                      </w:r>
                      <w:r w:rsidR="008C6E8E" w:rsidDel="005B42EC">
                        <w:rPr>
                          <w:rFonts w:ascii="Work Sans" w:hAnsi="Work Sans"/>
                        </w:rPr>
                        <w:t xml:space="preserve"> </w:t>
                      </w:r>
                      <w:r w:rsidR="00391BE7" w:rsidDel="005B42EC">
                        <w:rPr>
                          <w:rFonts w:ascii="Work Sans" w:hAnsi="Work Sans"/>
                        </w:rPr>
                        <w:t>This</w:t>
                      </w:r>
                      <w:r w:rsidR="00391BE7">
                        <w:rPr>
                          <w:rFonts w:ascii="Work Sans" w:hAnsi="Work Sans"/>
                        </w:rPr>
                        <w:t xml:space="preserve"> </w:t>
                      </w:r>
                      <w:r w:rsidR="00F86CCE">
                        <w:rPr>
                          <w:rFonts w:ascii="Work Sans" w:hAnsi="Work Sans"/>
                        </w:rPr>
                        <w:t>var</w:t>
                      </w:r>
                      <w:r w:rsidR="00391BE7">
                        <w:rPr>
                          <w:rFonts w:ascii="Work Sans" w:hAnsi="Work Sans"/>
                        </w:rPr>
                        <w:t>ies</w:t>
                      </w:r>
                      <w:r w:rsidR="00F86CCE">
                        <w:rPr>
                          <w:rFonts w:ascii="Work Sans" w:hAnsi="Work Sans"/>
                        </w:rPr>
                        <w:t xml:space="preserve"> with differences in </w:t>
                      </w:r>
                      <w:r w:rsidR="00391BE7">
                        <w:rPr>
                          <w:rFonts w:ascii="Work Sans" w:hAnsi="Work Sans"/>
                        </w:rPr>
                        <w:t xml:space="preserve">states’ </w:t>
                      </w:r>
                      <w:r w:rsidR="00F86CCE">
                        <w:rPr>
                          <w:rFonts w:ascii="Work Sans" w:hAnsi="Work Sans"/>
                        </w:rPr>
                        <w:t>economic, social and demographic characteristics.</w:t>
                      </w:r>
                    </w:p>
                    <w:p w14:paraId="0937C44F" w14:textId="62E8BDAA" w:rsidR="002B0AE9" w:rsidRDefault="002B0AE9" w:rsidP="007F55EB">
                      <w:pPr>
                        <w:pStyle w:val="BodyText"/>
                        <w:numPr>
                          <w:ilvl w:val="0"/>
                          <w:numId w:val="1"/>
                        </w:numPr>
                        <w:ind w:right="227"/>
                        <w:rPr>
                          <w:rFonts w:ascii="Work Sans" w:hAnsi="Work Sans"/>
                        </w:rPr>
                      </w:pPr>
                      <w:r>
                        <w:rPr>
                          <w:rFonts w:ascii="Work Sans" w:hAnsi="Work Sans"/>
                        </w:rPr>
                        <w:t xml:space="preserve">Consistent with its mandate, the Commission </w:t>
                      </w:r>
                      <w:r w:rsidRPr="00E33EC3">
                        <w:rPr>
                          <w:rFonts w:ascii="Work Sans" w:hAnsi="Work Sans"/>
                        </w:rPr>
                        <w:t xml:space="preserve">attempts to assess all </w:t>
                      </w:r>
                      <w:r>
                        <w:rPr>
                          <w:rFonts w:ascii="Work Sans" w:hAnsi="Work Sans"/>
                        </w:rPr>
                        <w:t xml:space="preserve">material </w:t>
                      </w:r>
                      <w:r w:rsidR="003E5B31" w:rsidRPr="00E33EC3">
                        <w:rPr>
                          <w:rFonts w:ascii="Work Sans" w:hAnsi="Work Sans"/>
                        </w:rPr>
                        <w:t xml:space="preserve">areas of spending </w:t>
                      </w:r>
                      <w:r w:rsidR="003E5B31">
                        <w:rPr>
                          <w:rFonts w:ascii="Work Sans" w:hAnsi="Work Sans"/>
                        </w:rPr>
                        <w:t xml:space="preserve">and </w:t>
                      </w:r>
                      <w:r w:rsidRPr="00E33EC3">
                        <w:rPr>
                          <w:rFonts w:ascii="Work Sans" w:hAnsi="Work Sans"/>
                        </w:rPr>
                        <w:t>sources of revenue</w:t>
                      </w:r>
                      <w:r w:rsidR="00B13690">
                        <w:rPr>
                          <w:rFonts w:ascii="Work Sans" w:hAnsi="Work Sans"/>
                        </w:rPr>
                        <w:t>,</w:t>
                      </w:r>
                      <w:r w:rsidR="007F55EB">
                        <w:rPr>
                          <w:rFonts w:ascii="Work Sans" w:hAnsi="Work Sans"/>
                        </w:rPr>
                        <w:t xml:space="preserve"> </w:t>
                      </w:r>
                      <w:r w:rsidRPr="00E33EC3">
                        <w:rPr>
                          <w:rFonts w:ascii="Work Sans" w:hAnsi="Work Sans"/>
                        </w:rPr>
                        <w:t>and capture all important drivers</w:t>
                      </w:r>
                      <w:r>
                        <w:rPr>
                          <w:rFonts w:ascii="Work Sans" w:hAnsi="Work Sans"/>
                        </w:rPr>
                        <w:t xml:space="preserve">. </w:t>
                      </w:r>
                      <w:r w:rsidR="00365682">
                        <w:rPr>
                          <w:rFonts w:ascii="Work Sans" w:hAnsi="Work Sans"/>
                        </w:rPr>
                        <w:t xml:space="preserve">In consulting with the </w:t>
                      </w:r>
                      <w:r w:rsidR="00953ADE">
                        <w:rPr>
                          <w:rFonts w:ascii="Work Sans" w:hAnsi="Work Sans"/>
                        </w:rPr>
                        <w:t>states,</w:t>
                      </w:r>
                      <w:r w:rsidR="00365682">
                        <w:rPr>
                          <w:rFonts w:ascii="Work Sans" w:hAnsi="Work Sans"/>
                        </w:rPr>
                        <w:t xml:space="preserve"> they</w:t>
                      </w:r>
                      <w:r w:rsidR="0091274C">
                        <w:rPr>
                          <w:rFonts w:ascii="Work Sans" w:hAnsi="Work Sans"/>
                        </w:rPr>
                        <w:t xml:space="preserve"> will often</w:t>
                      </w:r>
                      <w:r w:rsidR="00A03B6F" w:rsidRPr="0088221F">
                        <w:rPr>
                          <w:rFonts w:ascii="Work Sans" w:hAnsi="Work Sans"/>
                        </w:rPr>
                        <w:t xml:space="preserve"> </w:t>
                      </w:r>
                      <w:r w:rsidR="00486B1F">
                        <w:rPr>
                          <w:rFonts w:ascii="Work Sans" w:hAnsi="Work Sans"/>
                        </w:rPr>
                        <w:t>emphasi</w:t>
                      </w:r>
                      <w:r w:rsidR="00296C9C">
                        <w:rPr>
                          <w:rFonts w:ascii="Work Sans" w:hAnsi="Work Sans"/>
                        </w:rPr>
                        <w:t>se</w:t>
                      </w:r>
                      <w:r w:rsidR="00A03B6F" w:rsidRPr="0088221F">
                        <w:rPr>
                          <w:rFonts w:ascii="Work Sans" w:hAnsi="Work Sans"/>
                        </w:rPr>
                        <w:t xml:space="preserve"> </w:t>
                      </w:r>
                      <w:r w:rsidR="00A03B6F">
                        <w:rPr>
                          <w:rFonts w:ascii="Work Sans" w:hAnsi="Work Sans"/>
                        </w:rPr>
                        <w:t>their</w:t>
                      </w:r>
                      <w:r w:rsidR="00A03B6F" w:rsidRPr="0088221F">
                        <w:rPr>
                          <w:rFonts w:ascii="Work Sans" w:hAnsi="Work Sans"/>
                        </w:rPr>
                        <w:t xml:space="preserve"> specific cost and revenue pressures, irrespective of added complexity</w:t>
                      </w:r>
                      <w:r w:rsidR="00A03B6F">
                        <w:rPr>
                          <w:rFonts w:ascii="Work Sans" w:hAnsi="Work Sans"/>
                        </w:rPr>
                        <w:t>.</w:t>
                      </w:r>
                    </w:p>
                    <w:p w14:paraId="3B72CC7D" w14:textId="77777777" w:rsidR="00E74618" w:rsidRDefault="00E440BA" w:rsidP="007F55EB">
                      <w:pPr>
                        <w:pStyle w:val="BodyText"/>
                        <w:numPr>
                          <w:ilvl w:val="0"/>
                          <w:numId w:val="1"/>
                        </w:numPr>
                        <w:ind w:right="227"/>
                        <w:rPr>
                          <w:rFonts w:ascii="Work Sans" w:hAnsi="Work Sans"/>
                        </w:rPr>
                      </w:pPr>
                      <w:r w:rsidRPr="009A2DC5">
                        <w:rPr>
                          <w:rFonts w:ascii="Work Sans" w:hAnsi="Work Sans"/>
                        </w:rPr>
                        <w:t xml:space="preserve">There is a trade-off between </w:t>
                      </w:r>
                      <w:r w:rsidR="00470D2C">
                        <w:rPr>
                          <w:rFonts w:ascii="Work Sans" w:hAnsi="Work Sans"/>
                        </w:rPr>
                        <w:t>assess</w:t>
                      </w:r>
                      <w:r w:rsidR="00A96DAD">
                        <w:rPr>
                          <w:rFonts w:ascii="Work Sans" w:hAnsi="Work Sans"/>
                        </w:rPr>
                        <w:t>ing</w:t>
                      </w:r>
                      <w:r w:rsidR="00EA0119">
                        <w:rPr>
                          <w:rFonts w:ascii="Work Sans" w:hAnsi="Work Sans"/>
                        </w:rPr>
                        <w:t xml:space="preserve"> </w:t>
                      </w:r>
                      <w:r w:rsidR="00BE463F">
                        <w:rPr>
                          <w:rFonts w:ascii="Work Sans" w:hAnsi="Work Sans"/>
                        </w:rPr>
                        <w:t xml:space="preserve">states’ </w:t>
                      </w:r>
                      <w:r w:rsidR="00EA0119">
                        <w:rPr>
                          <w:rFonts w:ascii="Work Sans" w:hAnsi="Work Sans"/>
                        </w:rPr>
                        <w:t>relative</w:t>
                      </w:r>
                      <w:r w:rsidRPr="009A2DC5">
                        <w:rPr>
                          <w:rFonts w:ascii="Work Sans" w:hAnsi="Work Sans"/>
                        </w:rPr>
                        <w:t xml:space="preserve"> fiscal capaci</w:t>
                      </w:r>
                      <w:r w:rsidR="00A96DAD">
                        <w:rPr>
                          <w:rFonts w:ascii="Work Sans" w:hAnsi="Work Sans"/>
                        </w:rPr>
                        <w:t>ties</w:t>
                      </w:r>
                      <w:r w:rsidRPr="009A2DC5">
                        <w:rPr>
                          <w:rFonts w:ascii="Work Sans" w:hAnsi="Work Sans"/>
                        </w:rPr>
                        <w:t xml:space="preserve"> </w:t>
                      </w:r>
                      <w:r w:rsidR="00A96DAD">
                        <w:rPr>
                          <w:rFonts w:ascii="Work Sans" w:hAnsi="Work Sans"/>
                        </w:rPr>
                        <w:t xml:space="preserve">as comprehensively as possible </w:t>
                      </w:r>
                      <w:r w:rsidRPr="009A2DC5">
                        <w:rPr>
                          <w:rFonts w:ascii="Work Sans" w:hAnsi="Work Sans"/>
                        </w:rPr>
                        <w:t xml:space="preserve">and </w:t>
                      </w:r>
                      <w:r w:rsidR="00DD6E35">
                        <w:rPr>
                          <w:rFonts w:ascii="Work Sans" w:hAnsi="Work Sans"/>
                        </w:rPr>
                        <w:t>simpl</w:t>
                      </w:r>
                      <w:r w:rsidR="00EB08F9">
                        <w:rPr>
                          <w:rFonts w:ascii="Work Sans" w:hAnsi="Work Sans"/>
                        </w:rPr>
                        <w:t>ifying</w:t>
                      </w:r>
                      <w:r w:rsidR="00DD6E35">
                        <w:rPr>
                          <w:rFonts w:ascii="Work Sans" w:hAnsi="Work Sans"/>
                        </w:rPr>
                        <w:t xml:space="preserve"> </w:t>
                      </w:r>
                      <w:r w:rsidRPr="009A2DC5">
                        <w:rPr>
                          <w:rFonts w:ascii="Work Sans" w:hAnsi="Work Sans"/>
                        </w:rPr>
                        <w:t>assessment methods</w:t>
                      </w:r>
                      <w:r>
                        <w:rPr>
                          <w:rFonts w:ascii="Work Sans" w:hAnsi="Work Sans"/>
                        </w:rPr>
                        <w:t xml:space="preserve">. </w:t>
                      </w:r>
                      <w:r w:rsidR="008A39B0">
                        <w:rPr>
                          <w:rFonts w:ascii="Work Sans" w:hAnsi="Work Sans"/>
                        </w:rPr>
                        <w:t>Distributing the GST based on s</w:t>
                      </w:r>
                      <w:r w:rsidR="000B7133">
                        <w:rPr>
                          <w:rFonts w:ascii="Work Sans" w:hAnsi="Work Sans"/>
                        </w:rPr>
                        <w:t>imple</w:t>
                      </w:r>
                      <w:r w:rsidR="00055CF7">
                        <w:rPr>
                          <w:rFonts w:ascii="Work Sans" w:hAnsi="Work Sans"/>
                        </w:rPr>
                        <w:t>r</w:t>
                      </w:r>
                      <w:r w:rsidR="000B7133">
                        <w:rPr>
                          <w:rFonts w:ascii="Work Sans" w:hAnsi="Work Sans"/>
                        </w:rPr>
                        <w:t xml:space="preserve"> methods </w:t>
                      </w:r>
                      <w:r w:rsidR="00FC3CE6">
                        <w:rPr>
                          <w:rFonts w:ascii="Work Sans" w:hAnsi="Work Sans"/>
                        </w:rPr>
                        <w:t xml:space="preserve">that </w:t>
                      </w:r>
                      <w:r w:rsidR="00C77D84">
                        <w:rPr>
                          <w:rFonts w:ascii="Work Sans" w:hAnsi="Work Sans"/>
                        </w:rPr>
                        <w:t xml:space="preserve">overlook </w:t>
                      </w:r>
                      <w:r w:rsidR="00FC3CE6">
                        <w:rPr>
                          <w:rFonts w:ascii="Work Sans" w:hAnsi="Work Sans"/>
                        </w:rPr>
                        <w:t xml:space="preserve">differences in fiscal capacities </w:t>
                      </w:r>
                      <w:r w:rsidR="00BF4D12">
                        <w:rPr>
                          <w:rFonts w:ascii="Work Sans" w:hAnsi="Work Sans"/>
                        </w:rPr>
                        <w:t xml:space="preserve">would </w:t>
                      </w:r>
                      <w:r w:rsidR="00F0442E">
                        <w:rPr>
                          <w:rFonts w:ascii="Work Sans" w:hAnsi="Work Sans"/>
                        </w:rPr>
                        <w:t xml:space="preserve">depart </w:t>
                      </w:r>
                      <w:r w:rsidR="00BF4D12">
                        <w:rPr>
                          <w:rFonts w:ascii="Work Sans" w:hAnsi="Work Sans"/>
                        </w:rPr>
                        <w:t>from the objective of horizontal fiscal equalisation.</w:t>
                      </w:r>
                    </w:p>
                    <w:p w14:paraId="3E1B9D52" w14:textId="79518ED0" w:rsidR="009B5D05" w:rsidRPr="00A53677" w:rsidRDefault="00E440BA" w:rsidP="007F55EB">
                      <w:pPr>
                        <w:pStyle w:val="BodyText"/>
                        <w:numPr>
                          <w:ilvl w:val="0"/>
                          <w:numId w:val="1"/>
                        </w:numPr>
                        <w:ind w:right="227"/>
                        <w:rPr>
                          <w:rFonts w:ascii="Work Sans" w:hAnsi="Work Sans"/>
                        </w:rPr>
                      </w:pPr>
                      <w:r w:rsidRPr="0007207C">
                        <w:rPr>
                          <w:rFonts w:ascii="Work Sans" w:hAnsi="Work Sans"/>
                        </w:rPr>
                        <w:t xml:space="preserve">The Commission and external reviews have considered how the GST distribution system could be simplified. All have concluded that it </w:t>
                      </w:r>
                      <w:r w:rsidR="00F269B1">
                        <w:rPr>
                          <w:rFonts w:ascii="Work Sans" w:hAnsi="Work Sans"/>
                        </w:rPr>
                        <w:t xml:space="preserve">is </w:t>
                      </w:r>
                      <w:r w:rsidRPr="0007207C">
                        <w:rPr>
                          <w:rFonts w:ascii="Work Sans" w:hAnsi="Work Sans"/>
                        </w:rPr>
                        <w:t>not possible to achieve fundamental simplification that produce</w:t>
                      </w:r>
                      <w:r w:rsidR="003D4C87">
                        <w:rPr>
                          <w:rFonts w:ascii="Work Sans" w:hAnsi="Work Sans"/>
                        </w:rPr>
                        <w:t>s</w:t>
                      </w:r>
                      <w:r w:rsidRPr="0007207C">
                        <w:rPr>
                          <w:rFonts w:ascii="Work Sans" w:hAnsi="Work Sans"/>
                        </w:rPr>
                        <w:t xml:space="preserve"> results </w:t>
                      </w:r>
                      <w:r w:rsidR="00255382" w:rsidRPr="0007207C">
                        <w:rPr>
                          <w:rFonts w:ascii="Work Sans" w:hAnsi="Work Sans"/>
                        </w:rPr>
                        <w:t xml:space="preserve">comparable </w:t>
                      </w:r>
                      <w:r w:rsidRPr="0007207C">
                        <w:rPr>
                          <w:rFonts w:ascii="Work Sans" w:hAnsi="Work Sans"/>
                        </w:rPr>
                        <w:t>to the best estimates of states’ relative fiscal capacities</w:t>
                      </w:r>
                      <w:r w:rsidR="00C56D42" w:rsidDel="007654BF">
                        <w:rPr>
                          <w:rFonts w:ascii="Work Sans" w:hAnsi="Work Sans"/>
                        </w:rPr>
                        <w:t>;</w:t>
                      </w:r>
                      <w:r w:rsidRPr="0007207C" w:rsidDel="007654BF">
                        <w:rPr>
                          <w:rFonts w:ascii="Work Sans" w:hAnsi="Work Sans"/>
                        </w:rPr>
                        <w:t xml:space="preserve"> </w:t>
                      </w:r>
                      <w:r w:rsidR="00C56D42" w:rsidDel="007654BF">
                        <w:rPr>
                          <w:rFonts w:ascii="Work Sans" w:hAnsi="Work Sans"/>
                        </w:rPr>
                        <w:t>that is,</w:t>
                      </w:r>
                      <w:r w:rsidR="00C56D42">
                        <w:rPr>
                          <w:rFonts w:ascii="Work Sans" w:hAnsi="Work Sans"/>
                        </w:rPr>
                        <w:t xml:space="preserve"> </w:t>
                      </w:r>
                      <w:r w:rsidRPr="0007207C">
                        <w:rPr>
                          <w:rFonts w:ascii="Work Sans" w:hAnsi="Work Sans"/>
                        </w:rPr>
                        <w:t>without significantly compromising the objective of horizontal fiscal equalisation.</w:t>
                      </w:r>
                    </w:p>
                    <w:p w14:paraId="446F1853" w14:textId="77777777" w:rsidR="00E440BA" w:rsidRPr="0088221F" w:rsidRDefault="00E440BA" w:rsidP="007F55EB">
                      <w:pPr>
                        <w:pStyle w:val="BodyText"/>
                        <w:numPr>
                          <w:ilvl w:val="0"/>
                          <w:numId w:val="1"/>
                        </w:numPr>
                        <w:ind w:right="227"/>
                        <w:rPr>
                          <w:rFonts w:ascii="Work Sans" w:hAnsi="Work Sans"/>
                        </w:rPr>
                      </w:pPr>
                      <w:r>
                        <w:rPr>
                          <w:rFonts w:ascii="Work Sans" w:hAnsi="Work Sans"/>
                        </w:rPr>
                        <w:t>A</w:t>
                      </w:r>
                      <w:r w:rsidRPr="0081045B">
                        <w:rPr>
                          <w:rFonts w:ascii="Work Sans" w:hAnsi="Work Sans"/>
                        </w:rPr>
                        <w:t xml:space="preserve">ny </w:t>
                      </w:r>
                      <w:r>
                        <w:rPr>
                          <w:rFonts w:ascii="Work Sans" w:hAnsi="Work Sans"/>
                        </w:rPr>
                        <w:t>significant move to simplify the system</w:t>
                      </w:r>
                      <w:r w:rsidRPr="0081045B">
                        <w:rPr>
                          <w:rFonts w:ascii="Work Sans" w:hAnsi="Work Sans"/>
                        </w:rPr>
                        <w:t xml:space="preserve"> would likely need agreement between the Commonwealth and states</w:t>
                      </w:r>
                      <w:r>
                        <w:rPr>
                          <w:rFonts w:ascii="Work Sans" w:hAnsi="Work Sans"/>
                        </w:rPr>
                        <w:t>.</w:t>
                      </w:r>
                    </w:p>
                    <w:p w14:paraId="7504F134" w14:textId="77777777" w:rsidR="00E440BA" w:rsidRPr="00B81604" w:rsidRDefault="00E440BA" w:rsidP="007F55EB">
                      <w:pPr>
                        <w:pStyle w:val="BodyText"/>
                        <w:numPr>
                          <w:ilvl w:val="0"/>
                          <w:numId w:val="1"/>
                        </w:numPr>
                        <w:ind w:right="227"/>
                        <w:rPr>
                          <w:rFonts w:ascii="Work Sans" w:hAnsi="Work Sans"/>
                        </w:rPr>
                      </w:pPr>
                      <w:r>
                        <w:rPr>
                          <w:rFonts w:ascii="Work Sans" w:hAnsi="Work Sans"/>
                        </w:rPr>
                        <w:t>T</w:t>
                      </w:r>
                      <w:r w:rsidRPr="00254991">
                        <w:rPr>
                          <w:rFonts w:ascii="Work Sans" w:hAnsi="Work Sans"/>
                        </w:rPr>
                        <w:t>he Commission actively works with the states and other stakeholders to explain assessments and</w:t>
                      </w:r>
                      <w:r w:rsidRPr="00254991" w:rsidDel="003B0D12">
                        <w:rPr>
                          <w:rFonts w:ascii="Work Sans" w:hAnsi="Work Sans"/>
                        </w:rPr>
                        <w:t xml:space="preserve"> help</w:t>
                      </w:r>
                      <w:r w:rsidRPr="00254991">
                        <w:rPr>
                          <w:rFonts w:ascii="Work Sans" w:hAnsi="Work Sans"/>
                        </w:rPr>
                        <w:t xml:space="preserve"> increase understanding of the system</w:t>
                      </w:r>
                      <w:r>
                        <w:rPr>
                          <w:rFonts w:ascii="Work Sans" w:hAnsi="Work Sans"/>
                        </w:rPr>
                        <w:t>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3681B92" w14:textId="77777777" w:rsidR="006D08EE" w:rsidRDefault="006D08EE" w:rsidP="00734D14">
      <w:pPr>
        <w:pStyle w:val="CGCBodyCopy"/>
      </w:pPr>
    </w:p>
    <w:p w14:paraId="4946313E" w14:textId="5ECF0705" w:rsidR="00734D14" w:rsidRDefault="00734D14" w:rsidP="00734D14">
      <w:pPr>
        <w:pStyle w:val="CGCBodyCopy"/>
      </w:pPr>
    </w:p>
    <w:p w14:paraId="76496E63" w14:textId="62AC9F26" w:rsidR="00A55C0E" w:rsidRDefault="00A55C0E" w:rsidP="00734D14">
      <w:pPr>
        <w:pStyle w:val="CGCBodyCopy"/>
      </w:pPr>
    </w:p>
    <w:p w14:paraId="53A5A5BF" w14:textId="6D827A3B" w:rsidR="00A55C0E" w:rsidRDefault="00A55C0E" w:rsidP="00734D14">
      <w:pPr>
        <w:pStyle w:val="CGCBodyCopy"/>
      </w:pPr>
    </w:p>
    <w:p w14:paraId="3726A046" w14:textId="7582B6B2" w:rsidR="00A55C0E" w:rsidRDefault="00A55C0E" w:rsidP="00734D14">
      <w:pPr>
        <w:pStyle w:val="CGCBodyCopy"/>
      </w:pPr>
    </w:p>
    <w:p w14:paraId="192EF7EA" w14:textId="00202203" w:rsidR="00A55C0E" w:rsidRDefault="00A55C0E" w:rsidP="00734D14">
      <w:pPr>
        <w:pStyle w:val="CGCBodyCopy"/>
      </w:pPr>
    </w:p>
    <w:p w14:paraId="250C4B5B" w14:textId="63B3A544" w:rsidR="00734D14" w:rsidRDefault="00734D14" w:rsidP="00734D14">
      <w:pPr>
        <w:pStyle w:val="CGCBodyCopy"/>
      </w:pPr>
    </w:p>
    <w:p w14:paraId="7DD81F48" w14:textId="77777777" w:rsidR="00734D14" w:rsidRDefault="00734D14" w:rsidP="00734D14">
      <w:pPr>
        <w:pStyle w:val="CGCBodyCopy"/>
      </w:pPr>
    </w:p>
    <w:p w14:paraId="71001A9A" w14:textId="77777777" w:rsidR="00D42D3C" w:rsidRDefault="00D42D3C" w:rsidP="00734D14">
      <w:pPr>
        <w:pStyle w:val="CGCBodyCopy"/>
      </w:pPr>
    </w:p>
    <w:p w14:paraId="01ABF151" w14:textId="77777777" w:rsidR="00D42D3C" w:rsidRDefault="00D42D3C" w:rsidP="00734D14">
      <w:pPr>
        <w:pStyle w:val="CGCBodyCopy"/>
      </w:pPr>
    </w:p>
    <w:p w14:paraId="31009C73" w14:textId="77777777" w:rsidR="00D42D3C" w:rsidRDefault="00D42D3C" w:rsidP="00734D14">
      <w:pPr>
        <w:pStyle w:val="CGCBodyCopy"/>
      </w:pPr>
    </w:p>
    <w:p w14:paraId="3B5B2D24" w14:textId="77777777" w:rsidR="00D42D3C" w:rsidRDefault="00D42D3C" w:rsidP="00734D14">
      <w:pPr>
        <w:pStyle w:val="CGCBodyCopy"/>
      </w:pPr>
    </w:p>
    <w:p w14:paraId="24D0D8AA" w14:textId="77777777" w:rsidR="00D42D3C" w:rsidRDefault="00D42D3C" w:rsidP="00734D14">
      <w:pPr>
        <w:pStyle w:val="CGCBodyCopy"/>
      </w:pPr>
    </w:p>
    <w:p w14:paraId="65275D08" w14:textId="77777777" w:rsidR="00D42D3C" w:rsidRDefault="00D42D3C" w:rsidP="00734D14">
      <w:pPr>
        <w:pStyle w:val="CGCBodyCopy"/>
      </w:pPr>
    </w:p>
    <w:p w14:paraId="2B1F142C" w14:textId="77777777" w:rsidR="00567AA3" w:rsidRDefault="00567AA3" w:rsidP="00734D14">
      <w:pPr>
        <w:pStyle w:val="CGCBodyCopy"/>
      </w:pPr>
    </w:p>
    <w:p w14:paraId="0A7E303D" w14:textId="77777777" w:rsidR="00567AA3" w:rsidRDefault="00567AA3" w:rsidP="00734D14">
      <w:pPr>
        <w:pStyle w:val="CGCBodyCopy"/>
      </w:pPr>
    </w:p>
    <w:p w14:paraId="6490C042" w14:textId="77777777" w:rsidR="00567AA3" w:rsidRDefault="00567AA3" w:rsidP="00734D14">
      <w:pPr>
        <w:pStyle w:val="CGCBodyCopy"/>
      </w:pPr>
    </w:p>
    <w:p w14:paraId="692DC6B4" w14:textId="77777777" w:rsidR="00567AA3" w:rsidRDefault="00567AA3" w:rsidP="00734D14">
      <w:pPr>
        <w:pStyle w:val="CGCBodyCopy"/>
      </w:pPr>
    </w:p>
    <w:p w14:paraId="7EF1C417" w14:textId="77777777" w:rsidR="00567AA3" w:rsidRDefault="00567AA3" w:rsidP="00734D14">
      <w:pPr>
        <w:pStyle w:val="CGCBodyCopy"/>
      </w:pPr>
    </w:p>
    <w:p w14:paraId="2013D562" w14:textId="77777777" w:rsidR="00EC4312" w:rsidRDefault="00EC4312" w:rsidP="00734D14">
      <w:pPr>
        <w:pStyle w:val="CGCBodyCopy"/>
      </w:pPr>
    </w:p>
    <w:p w14:paraId="44EF54C6" w14:textId="77777777" w:rsidR="00EC4312" w:rsidRDefault="00EC4312" w:rsidP="00734D14">
      <w:pPr>
        <w:pStyle w:val="CGCBodyCopy"/>
      </w:pPr>
    </w:p>
    <w:p w14:paraId="43C0D956" w14:textId="77777777" w:rsidR="00EC4312" w:rsidRDefault="00EC4312" w:rsidP="00734D14">
      <w:pPr>
        <w:pStyle w:val="CGCBodyCopy"/>
      </w:pPr>
    </w:p>
    <w:p w14:paraId="3FFFD6D3" w14:textId="77777777" w:rsidR="00EC4312" w:rsidRDefault="00EC4312" w:rsidP="00734D14">
      <w:pPr>
        <w:pStyle w:val="CGCBodyCopy"/>
      </w:pPr>
    </w:p>
    <w:p w14:paraId="0D0723C0" w14:textId="77777777" w:rsidR="001A0BAD" w:rsidRDefault="001A0BAD" w:rsidP="00734D14">
      <w:pPr>
        <w:pStyle w:val="CGCBodyCopy"/>
      </w:pPr>
    </w:p>
    <w:p w14:paraId="3C79FF28" w14:textId="77777777" w:rsidR="001A0BAD" w:rsidRDefault="001A0BAD" w:rsidP="00734D14">
      <w:pPr>
        <w:pStyle w:val="CGCBodyCopy"/>
      </w:pPr>
    </w:p>
    <w:p w14:paraId="0CCA6945" w14:textId="77777777" w:rsidR="001A0BAD" w:rsidRDefault="001A0BAD" w:rsidP="00734D14">
      <w:pPr>
        <w:pStyle w:val="CGCBodyCopy"/>
      </w:pPr>
    </w:p>
    <w:p w14:paraId="31FD1BAF" w14:textId="77777777" w:rsidR="001A0BAD" w:rsidRDefault="001A0BAD" w:rsidP="00734D14">
      <w:pPr>
        <w:pStyle w:val="CGCBodyCopy"/>
      </w:pPr>
    </w:p>
    <w:p w14:paraId="03E42F8D" w14:textId="77777777" w:rsidR="001A0BAD" w:rsidRDefault="001A0BAD" w:rsidP="00734D14">
      <w:pPr>
        <w:pStyle w:val="CGCBodyCopy"/>
      </w:pPr>
    </w:p>
    <w:p w14:paraId="1010A35C" w14:textId="77777777" w:rsidR="001A0BAD" w:rsidRDefault="001A0BAD" w:rsidP="00734D14">
      <w:pPr>
        <w:pStyle w:val="CGCBodyCopy"/>
      </w:pPr>
    </w:p>
    <w:p w14:paraId="666EFB46" w14:textId="77777777" w:rsidR="001A0BAD" w:rsidRDefault="001A0BAD" w:rsidP="00734D14">
      <w:pPr>
        <w:pStyle w:val="CGCBodyCopy"/>
      </w:pPr>
    </w:p>
    <w:p w14:paraId="22DCB325" w14:textId="77777777" w:rsidR="00604B42" w:rsidRDefault="00604B42" w:rsidP="00734D14">
      <w:pPr>
        <w:pStyle w:val="CGCBodyCopy"/>
      </w:pPr>
    </w:p>
    <w:p w14:paraId="03ECA91B" w14:textId="77777777" w:rsidR="00604B42" w:rsidRDefault="00604B42" w:rsidP="00734D14">
      <w:pPr>
        <w:pStyle w:val="CGCBodyCopy"/>
      </w:pPr>
    </w:p>
    <w:p w14:paraId="50A13BC0" w14:textId="77777777" w:rsidR="00604B42" w:rsidRDefault="00604B42" w:rsidP="00734D14">
      <w:pPr>
        <w:pStyle w:val="CGCBodyCopy"/>
      </w:pPr>
    </w:p>
    <w:p w14:paraId="06808050" w14:textId="77777777" w:rsidR="00604B42" w:rsidRDefault="00604B42" w:rsidP="00734D14">
      <w:pPr>
        <w:pStyle w:val="CGCBodyCopy"/>
      </w:pPr>
    </w:p>
    <w:p w14:paraId="54511B28" w14:textId="08A103B8" w:rsidR="00F8305F" w:rsidRDefault="00097548" w:rsidP="00572B85">
      <w:pPr>
        <w:pStyle w:val="Heading2"/>
      </w:pPr>
      <w:r>
        <w:lastRenderedPageBreak/>
        <w:t>Is the</w:t>
      </w:r>
      <w:r w:rsidR="00D26373">
        <w:t xml:space="preserve"> GST </w:t>
      </w:r>
      <w:r w:rsidR="00D94611">
        <w:t xml:space="preserve">distribution </w:t>
      </w:r>
      <w:r>
        <w:t>system</w:t>
      </w:r>
      <w:r w:rsidR="00D94611">
        <w:t xml:space="preserve"> </w:t>
      </w:r>
      <w:r w:rsidR="00661730">
        <w:t>to</w:t>
      </w:r>
      <w:r w:rsidR="00D94611">
        <w:t>o complex?</w:t>
      </w:r>
    </w:p>
    <w:p w14:paraId="7021506F" w14:textId="0566AEC1" w:rsidR="00D9269C" w:rsidRDefault="00FB7615" w:rsidP="00DD1BA2">
      <w:pPr>
        <w:pStyle w:val="CGCBodyCopy"/>
        <w:rPr>
          <w:szCs w:val="20"/>
        </w:rPr>
      </w:pPr>
      <w:r w:rsidRPr="00FB7615">
        <w:rPr>
          <w:szCs w:val="20"/>
        </w:rPr>
        <w:t xml:space="preserve">The </w:t>
      </w:r>
      <w:r w:rsidR="005D2C23">
        <w:rPr>
          <w:szCs w:val="20"/>
        </w:rPr>
        <w:t>Commission</w:t>
      </w:r>
      <w:r w:rsidRPr="00FB7615">
        <w:rPr>
          <w:szCs w:val="20"/>
        </w:rPr>
        <w:t xml:space="preserve"> provides independent advice to the Australian Government on how to share GST revenue among the states and territories (states).</w:t>
      </w:r>
      <w:r w:rsidR="00646B59">
        <w:rPr>
          <w:szCs w:val="20"/>
        </w:rPr>
        <w:t xml:space="preserve"> </w:t>
      </w:r>
      <w:r w:rsidR="00366244" w:rsidRPr="00FB7615">
        <w:rPr>
          <w:szCs w:val="20"/>
        </w:rPr>
        <w:t>The</w:t>
      </w:r>
      <w:r w:rsidR="00366244">
        <w:rPr>
          <w:szCs w:val="20"/>
        </w:rPr>
        <w:t xml:space="preserve"> legislation</w:t>
      </w:r>
      <w:r w:rsidR="00D87AB0">
        <w:rPr>
          <w:szCs w:val="20"/>
        </w:rPr>
        <w:t xml:space="preserve"> underpin</w:t>
      </w:r>
      <w:r w:rsidR="00097170">
        <w:rPr>
          <w:szCs w:val="20"/>
        </w:rPr>
        <w:t>ning</w:t>
      </w:r>
      <w:r w:rsidR="00D87AB0">
        <w:rPr>
          <w:szCs w:val="20"/>
        </w:rPr>
        <w:t xml:space="preserve"> </w:t>
      </w:r>
      <w:r w:rsidRPr="00FB7615">
        <w:rPr>
          <w:szCs w:val="20"/>
        </w:rPr>
        <w:t xml:space="preserve">the GST distribution arrangements </w:t>
      </w:r>
      <w:r w:rsidR="00AF46E2">
        <w:rPr>
          <w:szCs w:val="20"/>
        </w:rPr>
        <w:t>directs</w:t>
      </w:r>
      <w:r w:rsidR="0079493A">
        <w:rPr>
          <w:szCs w:val="20"/>
        </w:rPr>
        <w:t xml:space="preserve"> </w:t>
      </w:r>
      <w:r w:rsidR="00984A9C">
        <w:rPr>
          <w:szCs w:val="20"/>
        </w:rPr>
        <w:t xml:space="preserve">the Commission </w:t>
      </w:r>
      <w:r w:rsidR="00EF16DE">
        <w:rPr>
          <w:szCs w:val="20"/>
        </w:rPr>
        <w:t>t</w:t>
      </w:r>
      <w:r w:rsidR="00D22177">
        <w:rPr>
          <w:szCs w:val="20"/>
        </w:rPr>
        <w:t>o</w:t>
      </w:r>
      <w:r w:rsidR="00984A9C">
        <w:rPr>
          <w:szCs w:val="20"/>
        </w:rPr>
        <w:t xml:space="preserve"> </w:t>
      </w:r>
      <w:r w:rsidR="008B33EF">
        <w:rPr>
          <w:szCs w:val="20"/>
        </w:rPr>
        <w:t xml:space="preserve">base its recommendations on the </w:t>
      </w:r>
      <w:r w:rsidR="00A105B3">
        <w:rPr>
          <w:szCs w:val="20"/>
        </w:rPr>
        <w:t xml:space="preserve">goal of </w:t>
      </w:r>
      <w:r w:rsidRPr="00FB7615">
        <w:rPr>
          <w:szCs w:val="20"/>
        </w:rPr>
        <w:t>provid</w:t>
      </w:r>
      <w:r w:rsidR="00A105B3">
        <w:rPr>
          <w:szCs w:val="20"/>
        </w:rPr>
        <w:t>ing</w:t>
      </w:r>
      <w:r w:rsidRPr="00FB7615">
        <w:rPr>
          <w:szCs w:val="20"/>
        </w:rPr>
        <w:t xml:space="preserve"> all states with the fiscal capacity to provide a broadly comparable standard of services to their residents.</w:t>
      </w:r>
    </w:p>
    <w:p w14:paraId="0A0567DD" w14:textId="6409D0F8" w:rsidR="008B0536" w:rsidRDefault="00960ECC" w:rsidP="00DD1BA2">
      <w:pPr>
        <w:pStyle w:val="CGCBodyCopy"/>
        <w:rPr>
          <w:szCs w:val="20"/>
        </w:rPr>
      </w:pPr>
      <w:r>
        <w:t xml:space="preserve">This direction </w:t>
      </w:r>
      <w:r w:rsidR="006506EF">
        <w:t xml:space="preserve">stems </w:t>
      </w:r>
      <w:r w:rsidR="00A940BF">
        <w:t xml:space="preserve">from </w:t>
      </w:r>
      <w:r w:rsidR="00A940BF" w:rsidRPr="00DE5F09">
        <w:rPr>
          <w:szCs w:val="20"/>
        </w:rPr>
        <w:t>the 1999</w:t>
      </w:r>
      <w:r w:rsidR="00A940BF">
        <w:rPr>
          <w:szCs w:val="20"/>
        </w:rPr>
        <w:t xml:space="preserve"> </w:t>
      </w:r>
      <w:r w:rsidR="00A940BF" w:rsidRPr="00ED3A55">
        <w:rPr>
          <w:i/>
          <w:iCs/>
          <w:szCs w:val="20"/>
        </w:rPr>
        <w:t>Intergovernmental Agreement on the Reform of Commonwealth State Financial Relations</w:t>
      </w:r>
      <w:r w:rsidR="008C2679">
        <w:rPr>
          <w:i/>
          <w:iCs/>
          <w:szCs w:val="20"/>
        </w:rPr>
        <w:t xml:space="preserve"> </w:t>
      </w:r>
      <w:r w:rsidR="00FC5AE4">
        <w:rPr>
          <w:szCs w:val="20"/>
        </w:rPr>
        <w:t>—</w:t>
      </w:r>
      <w:r w:rsidR="008C2679">
        <w:rPr>
          <w:szCs w:val="20"/>
        </w:rPr>
        <w:t xml:space="preserve"> </w:t>
      </w:r>
      <w:r w:rsidR="006506EF">
        <w:rPr>
          <w:szCs w:val="20"/>
        </w:rPr>
        <w:t xml:space="preserve">agreed to by </w:t>
      </w:r>
      <w:r w:rsidR="00C70B66">
        <w:rPr>
          <w:szCs w:val="20"/>
        </w:rPr>
        <w:t xml:space="preserve">the Commonwealth and </w:t>
      </w:r>
      <w:r w:rsidR="006506EF">
        <w:rPr>
          <w:szCs w:val="20"/>
        </w:rPr>
        <w:t>all state</w:t>
      </w:r>
      <w:r w:rsidR="00FC5AE4">
        <w:rPr>
          <w:szCs w:val="20"/>
        </w:rPr>
        <w:t>s</w:t>
      </w:r>
      <w:r w:rsidR="008C2679">
        <w:rPr>
          <w:szCs w:val="20"/>
        </w:rPr>
        <w:t xml:space="preserve"> </w:t>
      </w:r>
      <w:r w:rsidR="00FC5AE4">
        <w:rPr>
          <w:szCs w:val="20"/>
        </w:rPr>
        <w:t>—</w:t>
      </w:r>
      <w:r w:rsidR="008C2679">
        <w:rPr>
          <w:szCs w:val="20"/>
        </w:rPr>
        <w:t xml:space="preserve"> </w:t>
      </w:r>
      <w:r w:rsidR="00A940BF" w:rsidRPr="00DE5F09">
        <w:rPr>
          <w:szCs w:val="20"/>
        </w:rPr>
        <w:t>which stated that the GST revenue would be distributed according to horizontal fiscal equalisation principles.</w:t>
      </w:r>
      <w:r w:rsidR="000A4D27" w:rsidRPr="00ED3A55">
        <w:rPr>
          <w:rStyle w:val="FootnoteReference"/>
          <w:vertAlign w:val="superscript"/>
        </w:rPr>
        <w:footnoteReference w:id="2"/>
      </w:r>
      <w:r w:rsidR="00A940BF">
        <w:rPr>
          <w:szCs w:val="20"/>
        </w:rPr>
        <w:t xml:space="preserve"> </w:t>
      </w:r>
      <w:r w:rsidR="00161492">
        <w:rPr>
          <w:szCs w:val="20"/>
        </w:rPr>
        <w:t xml:space="preserve">This </w:t>
      </w:r>
      <w:r w:rsidR="006C204A">
        <w:rPr>
          <w:szCs w:val="20"/>
        </w:rPr>
        <w:t>remains a</w:t>
      </w:r>
      <w:r w:rsidR="00A940BF" w:rsidRPr="00DE5F09">
        <w:rPr>
          <w:szCs w:val="20"/>
        </w:rPr>
        <w:t xml:space="preserve"> </w:t>
      </w:r>
      <w:r w:rsidR="00D726AE">
        <w:rPr>
          <w:szCs w:val="20"/>
        </w:rPr>
        <w:t>core feature</w:t>
      </w:r>
      <w:r w:rsidR="00A940BF" w:rsidRPr="00DE5F09">
        <w:rPr>
          <w:szCs w:val="20"/>
        </w:rPr>
        <w:t xml:space="preserve"> of the current </w:t>
      </w:r>
      <w:r w:rsidR="00A940BF" w:rsidRPr="00ED3A55">
        <w:rPr>
          <w:i/>
          <w:iCs/>
          <w:szCs w:val="20"/>
        </w:rPr>
        <w:t>Intergovernmental Agreement on Federal Financial Relations</w:t>
      </w:r>
      <w:r w:rsidR="00A940BF" w:rsidRPr="00DE5F09">
        <w:rPr>
          <w:szCs w:val="20"/>
        </w:rPr>
        <w:t>, which came into effect in 2009.</w:t>
      </w:r>
      <w:r w:rsidR="0081174A" w:rsidRPr="00ED3A55">
        <w:rPr>
          <w:rStyle w:val="FootnoteReference"/>
          <w:vertAlign w:val="superscript"/>
        </w:rPr>
        <w:footnoteReference w:id="3"/>
      </w:r>
    </w:p>
    <w:p w14:paraId="4CF41830" w14:textId="738005A6" w:rsidR="00A577A8" w:rsidRDefault="7F43EA57" w:rsidP="00182C06">
      <w:pPr>
        <w:pStyle w:val="CGCBodyCopy"/>
      </w:pPr>
      <w:r>
        <w:t>E</w:t>
      </w:r>
      <w:r w:rsidR="1B91A062">
        <w:t xml:space="preserve">qualisation has been a core concept for </w:t>
      </w:r>
      <w:r w:rsidR="14961AE3">
        <w:t>Australia</w:t>
      </w:r>
      <w:r w:rsidR="1B91A062">
        <w:t xml:space="preserve"> since Federation</w:t>
      </w:r>
      <w:r w:rsidR="00A33307">
        <w:t>,</w:t>
      </w:r>
      <w:r>
        <w:t xml:space="preserve"> with</w:t>
      </w:r>
      <w:r w:rsidR="3750FD57">
        <w:t xml:space="preserve"> t</w:t>
      </w:r>
      <w:r w:rsidR="14961AE3">
        <w:t xml:space="preserve">he first Commonwealth </w:t>
      </w:r>
      <w:r w:rsidR="1B91A062">
        <w:t>special state grant provided in 1910</w:t>
      </w:r>
      <w:r w:rsidR="184F0827">
        <w:t xml:space="preserve">. </w:t>
      </w:r>
      <w:r w:rsidR="00007253">
        <w:t>Historically</w:t>
      </w:r>
      <w:r w:rsidR="009F1358">
        <w:t xml:space="preserve">, </w:t>
      </w:r>
      <w:r w:rsidR="1B91A062">
        <w:t xml:space="preserve">Commonwealth and state governments have supported horizontal fiscal equalisation, recognising the role it plays in </w:t>
      </w:r>
      <w:r w:rsidR="6945261B">
        <w:t xml:space="preserve">helping </w:t>
      </w:r>
      <w:r w:rsidR="1B91A062">
        <w:t xml:space="preserve">Australians to enjoy a broadly similar standard of government services, regardless of </w:t>
      </w:r>
      <w:r w:rsidR="104890B3">
        <w:t xml:space="preserve">the state </w:t>
      </w:r>
      <w:r w:rsidR="1B91A062">
        <w:t>they live</w:t>
      </w:r>
      <w:r w:rsidR="144083AD">
        <w:t xml:space="preserve"> in</w:t>
      </w:r>
      <w:r w:rsidR="1B91A062">
        <w:t>.</w:t>
      </w:r>
    </w:p>
    <w:p w14:paraId="225B152F" w14:textId="5AD3FC62" w:rsidR="00182C06" w:rsidRPr="00762B90" w:rsidRDefault="007537C0" w:rsidP="00182C06">
      <w:pPr>
        <w:pStyle w:val="CGCBodyCopy"/>
      </w:pPr>
      <w:r>
        <w:t>T</w:t>
      </w:r>
      <w:r w:rsidR="589DF39A">
        <w:t>he Commission</w:t>
      </w:r>
      <w:r w:rsidR="24B23B8E">
        <w:t xml:space="preserve"> aims </w:t>
      </w:r>
      <w:r w:rsidR="56D8FEFF">
        <w:t xml:space="preserve">to </w:t>
      </w:r>
      <w:r w:rsidR="74D3B680">
        <w:t xml:space="preserve">make </w:t>
      </w:r>
      <w:r w:rsidR="7F8DAC8E">
        <w:t>assessment methods as simple as possible</w:t>
      </w:r>
      <w:r>
        <w:t xml:space="preserve"> in the context </w:t>
      </w:r>
      <w:r w:rsidR="56D8FEFF">
        <w:t xml:space="preserve">of achieving </w:t>
      </w:r>
      <w:r w:rsidR="5946FA53">
        <w:t xml:space="preserve">its overarching </w:t>
      </w:r>
      <w:r w:rsidR="0F0F830F">
        <w:t>mandate</w:t>
      </w:r>
      <w:r w:rsidR="5946FA53">
        <w:t xml:space="preserve"> </w:t>
      </w:r>
      <w:r w:rsidR="56D8FEFF">
        <w:t xml:space="preserve">of </w:t>
      </w:r>
      <w:r w:rsidR="0C7B1934">
        <w:t>pursuing</w:t>
      </w:r>
      <w:r w:rsidR="56D8FEFF">
        <w:t xml:space="preserve"> </w:t>
      </w:r>
      <w:r w:rsidR="5946FA53">
        <w:t>horizontal fiscal equalisation.</w:t>
      </w:r>
    </w:p>
    <w:p w14:paraId="5A9B36C3" w14:textId="3D8C25D8" w:rsidR="00E84677" w:rsidRDefault="518FB0D8" w:rsidP="00593A31">
      <w:pPr>
        <w:pStyle w:val="Heading4"/>
      </w:pPr>
      <w:r>
        <w:t xml:space="preserve">There </w:t>
      </w:r>
      <w:r w:rsidR="452222B8">
        <w:t>is</w:t>
      </w:r>
      <w:r>
        <w:t xml:space="preserve"> </w:t>
      </w:r>
      <w:r w:rsidR="00FF3674">
        <w:t xml:space="preserve">inherent </w:t>
      </w:r>
      <w:r>
        <w:t xml:space="preserve">complexity </w:t>
      </w:r>
      <w:r w:rsidR="2E6273EA">
        <w:t>in</w:t>
      </w:r>
      <w:r w:rsidR="68A0A1B3">
        <w:t xml:space="preserve"> </w:t>
      </w:r>
      <w:r w:rsidR="1639454C">
        <w:t xml:space="preserve">distributing </w:t>
      </w:r>
      <w:r w:rsidR="68A0A1B3">
        <w:t>GST based on</w:t>
      </w:r>
      <w:r w:rsidR="2E6273EA">
        <w:t xml:space="preserve"> horizontal fiscal equalisation</w:t>
      </w:r>
    </w:p>
    <w:p w14:paraId="6DC26B25" w14:textId="299EE74B" w:rsidR="00D726AE" w:rsidRDefault="7F8DAC8E" w:rsidP="2D56F78A">
      <w:pPr>
        <w:pStyle w:val="CGCBodyCopy"/>
      </w:pPr>
      <w:r>
        <w:t>The Commission measure</w:t>
      </w:r>
      <w:r w:rsidR="614EDD97">
        <w:t>s</w:t>
      </w:r>
      <w:r>
        <w:t xml:space="preserve"> all states’ relative fiscal capacities to meet its overarching </w:t>
      </w:r>
      <w:r w:rsidR="1B77F339">
        <w:t xml:space="preserve">horizontal fiscal equalisation </w:t>
      </w:r>
      <w:r>
        <w:t>objective. This task is not simple</w:t>
      </w:r>
      <w:r w:rsidR="54477E22">
        <w:t>,</w:t>
      </w:r>
      <w:r>
        <w:t xml:space="preserve"> as state economies and budgets are diverse and complex.</w:t>
      </w:r>
    </w:p>
    <w:p w14:paraId="10D9ED51" w14:textId="2B3A6E1B" w:rsidR="00C2436D" w:rsidRDefault="00B636D5" w:rsidP="00526CC2">
      <w:pPr>
        <w:pStyle w:val="CGCBodyCopy"/>
        <w:rPr>
          <w:szCs w:val="20"/>
        </w:rPr>
      </w:pPr>
      <w:r>
        <w:rPr>
          <w:szCs w:val="20"/>
        </w:rPr>
        <w:t>Each</w:t>
      </w:r>
      <w:r w:rsidR="00526CC2">
        <w:rPr>
          <w:szCs w:val="20"/>
        </w:rPr>
        <w:t xml:space="preserve"> state has unique expense needs and differing revenue sources</w:t>
      </w:r>
      <w:r>
        <w:rPr>
          <w:szCs w:val="20"/>
        </w:rPr>
        <w:t xml:space="preserve">. </w:t>
      </w:r>
      <w:r w:rsidR="0041691D">
        <w:rPr>
          <w:szCs w:val="20"/>
        </w:rPr>
        <w:t>T</w:t>
      </w:r>
      <w:r w:rsidRPr="0063739F">
        <w:rPr>
          <w:szCs w:val="20"/>
        </w:rPr>
        <w:t xml:space="preserve">he Commission </w:t>
      </w:r>
      <w:r w:rsidR="003566DD">
        <w:rPr>
          <w:szCs w:val="20"/>
        </w:rPr>
        <w:t xml:space="preserve">identifies </w:t>
      </w:r>
      <w:r w:rsidR="00785EB6">
        <w:rPr>
          <w:szCs w:val="20"/>
        </w:rPr>
        <w:t xml:space="preserve">the </w:t>
      </w:r>
      <w:r w:rsidRPr="0063739F">
        <w:rPr>
          <w:szCs w:val="20"/>
        </w:rPr>
        <w:t xml:space="preserve">circumstances outside the control of a state </w:t>
      </w:r>
      <w:r w:rsidR="00145053">
        <w:rPr>
          <w:szCs w:val="20"/>
        </w:rPr>
        <w:t xml:space="preserve">that </w:t>
      </w:r>
      <w:r w:rsidRPr="0063739F">
        <w:rPr>
          <w:szCs w:val="20"/>
        </w:rPr>
        <w:t xml:space="preserve">affect its </w:t>
      </w:r>
      <w:r w:rsidR="00D31293" w:rsidRPr="0063739F">
        <w:rPr>
          <w:szCs w:val="20"/>
        </w:rPr>
        <w:t>cost</w:t>
      </w:r>
      <w:r w:rsidR="00D31293">
        <w:rPr>
          <w:szCs w:val="20"/>
        </w:rPr>
        <w:t>s</w:t>
      </w:r>
      <w:r w:rsidR="00D31293" w:rsidRPr="0063739F">
        <w:rPr>
          <w:szCs w:val="20"/>
        </w:rPr>
        <w:t xml:space="preserve"> of providing services</w:t>
      </w:r>
      <w:r w:rsidR="008E7B4D">
        <w:rPr>
          <w:szCs w:val="20"/>
        </w:rPr>
        <w:t xml:space="preserve"> and its</w:t>
      </w:r>
      <w:r w:rsidR="00D31293">
        <w:rPr>
          <w:szCs w:val="20"/>
        </w:rPr>
        <w:t xml:space="preserve"> </w:t>
      </w:r>
      <w:r>
        <w:rPr>
          <w:szCs w:val="20"/>
        </w:rPr>
        <w:t>ability to raise revenue</w:t>
      </w:r>
      <w:r w:rsidR="008E7B4D">
        <w:rPr>
          <w:szCs w:val="20"/>
        </w:rPr>
        <w:t>.</w:t>
      </w:r>
      <w:r w:rsidR="00C912A4">
        <w:rPr>
          <w:szCs w:val="20"/>
        </w:rPr>
        <w:t xml:space="preserve"> </w:t>
      </w:r>
    </w:p>
    <w:p w14:paraId="65F53AC5" w14:textId="308DE59C" w:rsidR="00D9269C" w:rsidRDefault="00C2436D" w:rsidP="00526CC2">
      <w:pPr>
        <w:pStyle w:val="CGCBodyCopy"/>
        <w:rPr>
          <w:szCs w:val="20"/>
        </w:rPr>
      </w:pPr>
      <w:r>
        <w:rPr>
          <w:szCs w:val="20"/>
        </w:rPr>
        <w:t>The</w:t>
      </w:r>
      <w:r w:rsidR="00526CC2">
        <w:rPr>
          <w:szCs w:val="20"/>
        </w:rPr>
        <w:t xml:space="preserve"> Commission </w:t>
      </w:r>
      <w:r w:rsidR="00BD05CB">
        <w:t>considers</w:t>
      </w:r>
      <w:r w:rsidR="00526CC2">
        <w:t xml:space="preserve"> </w:t>
      </w:r>
      <w:r>
        <w:t>the</w:t>
      </w:r>
      <w:r w:rsidR="00526CC2">
        <w:t xml:space="preserve"> </w:t>
      </w:r>
      <w:r>
        <w:t>non-policy factors that influence each state’s expenditure (</w:t>
      </w:r>
      <w:r w:rsidR="009C7422">
        <w:t xml:space="preserve">for example, </w:t>
      </w:r>
      <w:r w:rsidR="004A0E9B">
        <w:t xml:space="preserve">on </w:t>
      </w:r>
      <w:r>
        <w:t>health, education, transport and justice) and its primary sources of revenue (</w:t>
      </w:r>
      <w:r w:rsidR="00880C17">
        <w:t>for example</w:t>
      </w:r>
      <w:r>
        <w:t>, stamp duties on conveyances, mineral royal</w:t>
      </w:r>
      <w:r w:rsidR="00DB1177">
        <w:t>ti</w:t>
      </w:r>
      <w:r>
        <w:t>es and payroll tax</w:t>
      </w:r>
      <w:r w:rsidR="00040609" w:rsidRPr="00040609">
        <w:t xml:space="preserve">, as well as </w:t>
      </w:r>
      <w:r w:rsidR="00C53E33">
        <w:t>non</w:t>
      </w:r>
      <w:r w:rsidR="0022377D">
        <w:noBreakHyphen/>
      </w:r>
      <w:r w:rsidR="00C53E33">
        <w:t xml:space="preserve">GST </w:t>
      </w:r>
      <w:r w:rsidR="00040609" w:rsidRPr="00040609">
        <w:t>Commonwealth payments</w:t>
      </w:r>
      <w:r>
        <w:t xml:space="preserve">). </w:t>
      </w:r>
      <w:r w:rsidR="00D9269C">
        <w:rPr>
          <w:szCs w:val="20"/>
        </w:rPr>
        <w:t>The economic,</w:t>
      </w:r>
      <w:r w:rsidR="00F56A41">
        <w:rPr>
          <w:szCs w:val="20"/>
        </w:rPr>
        <w:t xml:space="preserve"> geographic,</w:t>
      </w:r>
      <w:r w:rsidR="00D9269C">
        <w:rPr>
          <w:szCs w:val="20"/>
        </w:rPr>
        <w:t xml:space="preserve"> social and demographic characteristics of </w:t>
      </w:r>
      <w:r w:rsidR="003056DB">
        <w:rPr>
          <w:szCs w:val="20"/>
        </w:rPr>
        <w:t>each</w:t>
      </w:r>
      <w:r w:rsidR="00D9269C">
        <w:rPr>
          <w:szCs w:val="20"/>
        </w:rPr>
        <w:t xml:space="preserve"> stat</w:t>
      </w:r>
      <w:r w:rsidR="003056DB">
        <w:rPr>
          <w:szCs w:val="20"/>
        </w:rPr>
        <w:t>e</w:t>
      </w:r>
      <w:r w:rsidR="00D9269C">
        <w:rPr>
          <w:szCs w:val="20"/>
        </w:rPr>
        <w:t xml:space="preserve"> var</w:t>
      </w:r>
      <w:r w:rsidR="005A2F05">
        <w:rPr>
          <w:szCs w:val="20"/>
        </w:rPr>
        <w:t>y</w:t>
      </w:r>
      <w:r w:rsidR="00D9269C">
        <w:rPr>
          <w:szCs w:val="20"/>
        </w:rPr>
        <w:t xml:space="preserve"> </w:t>
      </w:r>
      <w:r w:rsidR="003056DB">
        <w:rPr>
          <w:szCs w:val="20"/>
        </w:rPr>
        <w:t>substantially</w:t>
      </w:r>
      <w:r w:rsidR="00D9269C">
        <w:rPr>
          <w:szCs w:val="20"/>
        </w:rPr>
        <w:t xml:space="preserve">. </w:t>
      </w:r>
      <w:r w:rsidR="00460530">
        <w:rPr>
          <w:szCs w:val="20"/>
        </w:rPr>
        <w:t>T</w:t>
      </w:r>
      <w:r w:rsidR="00D9269C">
        <w:rPr>
          <w:szCs w:val="20"/>
        </w:rPr>
        <w:t>he</w:t>
      </w:r>
      <w:r w:rsidR="006048C5">
        <w:rPr>
          <w:szCs w:val="20"/>
        </w:rPr>
        <w:t xml:space="preserve">y </w:t>
      </w:r>
      <w:r w:rsidR="00D9269C">
        <w:rPr>
          <w:szCs w:val="20"/>
        </w:rPr>
        <w:t>represent significant non-policy drivers of expense needs and revenue capacity</w:t>
      </w:r>
      <w:r w:rsidR="005D427F">
        <w:rPr>
          <w:szCs w:val="20"/>
        </w:rPr>
        <w:t>.</w:t>
      </w:r>
    </w:p>
    <w:p w14:paraId="69DBB566" w14:textId="22CA4E47" w:rsidR="00851971" w:rsidRDefault="00FF1AFE" w:rsidP="006A398A">
      <w:pPr>
        <w:pStyle w:val="CGCBodyCopy"/>
        <w:rPr>
          <w:szCs w:val="20"/>
        </w:rPr>
      </w:pPr>
      <w:r w:rsidRPr="2D56F78A" w:rsidDel="00D908BC">
        <w:t>For m</w:t>
      </w:r>
      <w:r w:rsidRPr="2D56F78A">
        <w:t>any state</w:t>
      </w:r>
      <w:r>
        <w:rPr>
          <w:szCs w:val="20"/>
        </w:rPr>
        <w:t xml:space="preserve"> </w:t>
      </w:r>
      <w:r w:rsidRPr="2D56F78A">
        <w:t>spending responsibilities</w:t>
      </w:r>
      <w:r w:rsidRPr="2D56F78A" w:rsidDel="00D908BC">
        <w:t>, it</w:t>
      </w:r>
      <w:r w:rsidRPr="2D56F78A">
        <w:t xml:space="preserve"> require</w:t>
      </w:r>
      <w:r w:rsidRPr="2D56F78A" w:rsidDel="00D908BC">
        <w:t>s</w:t>
      </w:r>
      <w:r>
        <w:rPr>
          <w:szCs w:val="20"/>
        </w:rPr>
        <w:t xml:space="preserve"> </w:t>
      </w:r>
      <w:r w:rsidRPr="2D56F78A">
        <w:t>the calculation of national average spending levels</w:t>
      </w:r>
      <w:r>
        <w:rPr>
          <w:szCs w:val="20"/>
        </w:rPr>
        <w:t xml:space="preserve"> </w:t>
      </w:r>
      <w:r w:rsidRPr="2D56F78A">
        <w:t>on key socio</w:t>
      </w:r>
      <w:r w:rsidRPr="2D56F78A">
        <w:noBreakHyphen/>
        <w:t>demographic groups. For other areas of spending</w:t>
      </w:r>
      <w:r>
        <w:rPr>
          <w:szCs w:val="20"/>
        </w:rPr>
        <w:t>,</w:t>
      </w:r>
      <w:r w:rsidRPr="2D56F78A">
        <w:t xml:space="preserve"> such as urban transport and roads, national average spending levels need to be calculated for the key economic and geographic features of states that drive spending in these areas</w:t>
      </w:r>
      <w:r>
        <w:rPr>
          <w:szCs w:val="20"/>
        </w:rPr>
        <w:t>.</w:t>
      </w:r>
      <w:r w:rsidRPr="003A69CC">
        <w:rPr>
          <w:rStyle w:val="FootnoteReference"/>
          <w:vertAlign w:val="superscript"/>
        </w:rPr>
        <w:footnoteReference w:id="4"/>
      </w:r>
      <w:r>
        <w:rPr>
          <w:szCs w:val="20"/>
        </w:rPr>
        <w:t xml:space="preserve"> </w:t>
      </w:r>
      <w:r w:rsidR="21DE1390" w:rsidRPr="2D56F78A">
        <w:t xml:space="preserve">For revenue, </w:t>
      </w:r>
      <w:r w:rsidR="22494C52" w:rsidRPr="2D56F78A">
        <w:lastRenderedPageBreak/>
        <w:t xml:space="preserve">this requires the calculation of national average tax rates and policy-neutral </w:t>
      </w:r>
      <w:r w:rsidR="2707EF1D" w:rsidRPr="2D56F78A">
        <w:t>estimates of tax bases</w:t>
      </w:r>
      <w:r w:rsidR="3B9849D9">
        <w:rPr>
          <w:szCs w:val="20"/>
        </w:rPr>
        <w:t xml:space="preserve"> </w:t>
      </w:r>
      <w:r w:rsidR="3B9849D9" w:rsidRPr="2D56F78A">
        <w:t>for major</w:t>
      </w:r>
      <w:r w:rsidR="7C7AC5D1" w:rsidRPr="2D56F78A">
        <w:t xml:space="preserve"> state</w:t>
      </w:r>
      <w:r w:rsidR="3B9849D9" w:rsidRPr="2D56F78A">
        <w:t xml:space="preserve"> revenue sources</w:t>
      </w:r>
      <w:r w:rsidR="3B9849D9">
        <w:rPr>
          <w:szCs w:val="20"/>
        </w:rPr>
        <w:t xml:space="preserve">. </w:t>
      </w:r>
    </w:p>
    <w:p w14:paraId="7D3C00F6" w14:textId="77777777" w:rsidR="00EB60EB" w:rsidRDefault="00EB60EB">
      <w:pPr>
        <w:tabs>
          <w:tab w:val="clear" w:pos="567"/>
        </w:tabs>
        <w:spacing w:before="0" w:line="240" w:lineRule="auto"/>
        <w:rPr>
          <w:rFonts w:ascii="Work Sans" w:hAnsi="Work Sans" w:cs="Cambria Math"/>
          <w:color w:val="000000"/>
          <w:szCs w:val="20"/>
          <w:highlight w:val="yellow"/>
          <w:shd w:val="clear" w:color="auto" w:fill="FFFFFF"/>
        </w:rPr>
      </w:pPr>
      <w:r>
        <w:rPr>
          <w:szCs w:val="20"/>
          <w:highlight w:val="yellow"/>
        </w:rPr>
        <w:br w:type="page"/>
      </w:r>
    </w:p>
    <w:p w14:paraId="34F06FF8" w14:textId="24292A1A" w:rsidR="008317F8" w:rsidRDefault="002F37E8" w:rsidP="006A398A">
      <w:pPr>
        <w:pStyle w:val="CGCBodyCopy"/>
      </w:pPr>
      <w:r w:rsidRPr="000C3106">
        <w:rPr>
          <w:szCs w:val="20"/>
        </w:rPr>
        <w:lastRenderedPageBreak/>
        <w:t>Over tim</w:t>
      </w:r>
      <w:r w:rsidR="001B11D7" w:rsidRPr="000C3106">
        <w:rPr>
          <w:szCs w:val="20"/>
        </w:rPr>
        <w:t xml:space="preserve">e, </w:t>
      </w:r>
      <w:r w:rsidR="00476DAA" w:rsidRPr="000C3106">
        <w:rPr>
          <w:szCs w:val="20"/>
        </w:rPr>
        <w:t xml:space="preserve">new </w:t>
      </w:r>
      <w:r w:rsidR="00E6520D" w:rsidRPr="000C3106">
        <w:rPr>
          <w:szCs w:val="20"/>
        </w:rPr>
        <w:t xml:space="preserve">state expenses and revenue sources have </w:t>
      </w:r>
      <w:r w:rsidR="003D217D" w:rsidRPr="000C3106">
        <w:rPr>
          <w:szCs w:val="20"/>
        </w:rPr>
        <w:t>become relevant</w:t>
      </w:r>
      <w:r w:rsidR="009A49D2" w:rsidRPr="000C3106">
        <w:rPr>
          <w:szCs w:val="20"/>
        </w:rPr>
        <w:t xml:space="preserve"> to the assessment of </w:t>
      </w:r>
      <w:r w:rsidR="004C327C" w:rsidRPr="000C3106">
        <w:rPr>
          <w:szCs w:val="20"/>
        </w:rPr>
        <w:t xml:space="preserve">GST </w:t>
      </w:r>
      <w:r w:rsidR="009A49D2" w:rsidRPr="000C3106">
        <w:rPr>
          <w:szCs w:val="20"/>
        </w:rPr>
        <w:t>needs</w:t>
      </w:r>
      <w:r w:rsidR="004C327C" w:rsidRPr="000C3106">
        <w:rPr>
          <w:szCs w:val="20"/>
        </w:rPr>
        <w:t xml:space="preserve">. </w:t>
      </w:r>
      <w:r w:rsidR="00DA65AF" w:rsidRPr="000C3106">
        <w:rPr>
          <w:szCs w:val="20"/>
        </w:rPr>
        <w:t>In other cases, n</w:t>
      </w:r>
      <w:r w:rsidR="00341636" w:rsidRPr="000C3106">
        <w:rPr>
          <w:szCs w:val="20"/>
        </w:rPr>
        <w:t>ew data ha</w:t>
      </w:r>
      <w:r w:rsidR="00A60391" w:rsidRPr="000C3106">
        <w:rPr>
          <w:szCs w:val="20"/>
        </w:rPr>
        <w:t>ve</w:t>
      </w:r>
      <w:r w:rsidR="00341636" w:rsidRPr="000C3106">
        <w:rPr>
          <w:szCs w:val="20"/>
        </w:rPr>
        <w:t xml:space="preserve"> </w:t>
      </w:r>
      <w:r w:rsidR="009E100B" w:rsidRPr="000C3106">
        <w:rPr>
          <w:szCs w:val="20"/>
        </w:rPr>
        <w:t xml:space="preserve">enabled more precise estimates of </w:t>
      </w:r>
      <w:r w:rsidR="00090513" w:rsidRPr="000C3106">
        <w:rPr>
          <w:szCs w:val="20"/>
        </w:rPr>
        <w:t>relative fiscal capacit</w:t>
      </w:r>
      <w:r w:rsidR="00470B47" w:rsidRPr="000C3106">
        <w:rPr>
          <w:szCs w:val="20"/>
        </w:rPr>
        <w:t>ies</w:t>
      </w:r>
      <w:r w:rsidR="00090513" w:rsidRPr="000C3106">
        <w:rPr>
          <w:szCs w:val="20"/>
        </w:rPr>
        <w:t xml:space="preserve">. </w:t>
      </w:r>
      <w:r w:rsidR="00D908BC">
        <w:rPr>
          <w:szCs w:val="20"/>
        </w:rPr>
        <w:t>For example, i</w:t>
      </w:r>
      <w:r w:rsidR="008B262C" w:rsidRPr="000C3106">
        <w:rPr>
          <w:szCs w:val="20"/>
        </w:rPr>
        <w:t>n the 2025</w:t>
      </w:r>
      <w:r w:rsidR="00B85F0E" w:rsidRPr="000C3106">
        <w:rPr>
          <w:szCs w:val="20"/>
        </w:rPr>
        <w:t> Methodology Review</w:t>
      </w:r>
      <w:r w:rsidR="00915122" w:rsidRPr="000C3106" w:rsidDel="00D908BC">
        <w:rPr>
          <w:szCs w:val="20"/>
        </w:rPr>
        <w:t xml:space="preserve"> </w:t>
      </w:r>
      <w:r w:rsidR="002D0A93" w:rsidRPr="000C3106">
        <w:rPr>
          <w:szCs w:val="20"/>
        </w:rPr>
        <w:t>the Commission added new ass</w:t>
      </w:r>
      <w:r w:rsidR="00D02CCF" w:rsidRPr="000C3106">
        <w:rPr>
          <w:szCs w:val="20"/>
        </w:rPr>
        <w:t>essments for state spending on COVID</w:t>
      </w:r>
      <w:r w:rsidR="00D02CCF" w:rsidRPr="000C3106">
        <w:rPr>
          <w:szCs w:val="20"/>
        </w:rPr>
        <w:noBreakHyphen/>
        <w:t xml:space="preserve">19 health and business support. </w:t>
      </w:r>
      <w:r w:rsidR="006B2B1B" w:rsidRPr="000C3106">
        <w:rPr>
          <w:szCs w:val="20"/>
        </w:rPr>
        <w:t>Improvements to</w:t>
      </w:r>
      <w:r w:rsidR="00634303" w:rsidRPr="000C3106">
        <w:rPr>
          <w:szCs w:val="20"/>
        </w:rPr>
        <w:t xml:space="preserve"> </w:t>
      </w:r>
      <w:r w:rsidR="00B04FF9" w:rsidRPr="000C3106">
        <w:rPr>
          <w:szCs w:val="20"/>
        </w:rPr>
        <w:t xml:space="preserve">data </w:t>
      </w:r>
      <w:r w:rsidR="00634303" w:rsidRPr="000C3106">
        <w:rPr>
          <w:szCs w:val="20"/>
        </w:rPr>
        <w:t xml:space="preserve">on the use of state community mental health services allowed the Commission </w:t>
      </w:r>
      <w:r w:rsidR="007A38AB" w:rsidRPr="000C3106">
        <w:rPr>
          <w:szCs w:val="20"/>
        </w:rPr>
        <w:t xml:space="preserve">to </w:t>
      </w:r>
      <w:r w:rsidR="00331C2D" w:rsidRPr="000C3106">
        <w:rPr>
          <w:szCs w:val="20"/>
        </w:rPr>
        <w:t>more accurate</w:t>
      </w:r>
      <w:r w:rsidR="00832E6A" w:rsidRPr="000C3106">
        <w:rPr>
          <w:szCs w:val="20"/>
        </w:rPr>
        <w:t>ly</w:t>
      </w:r>
      <w:r w:rsidR="00331C2D" w:rsidRPr="000C3106">
        <w:rPr>
          <w:szCs w:val="20"/>
        </w:rPr>
        <w:t xml:space="preserve"> assess states’ </w:t>
      </w:r>
      <w:r w:rsidR="00384A9D" w:rsidRPr="000C3106">
        <w:rPr>
          <w:szCs w:val="20"/>
        </w:rPr>
        <w:t>mental health expense needs</w:t>
      </w:r>
      <w:r w:rsidR="00581203" w:rsidRPr="000C3106">
        <w:rPr>
          <w:szCs w:val="20"/>
        </w:rPr>
        <w:t>.</w:t>
      </w:r>
    </w:p>
    <w:p w14:paraId="15FD9AA5" w14:textId="56E1C525" w:rsidR="002C3827" w:rsidRDefault="17971550" w:rsidP="00343198">
      <w:pPr>
        <w:pStyle w:val="CGCBodyCopy"/>
      </w:pPr>
      <w:r w:rsidRPr="2D56F78A">
        <w:t xml:space="preserve">In making </w:t>
      </w:r>
      <w:r w:rsidR="5F8DCC6A" w:rsidRPr="2D56F78A">
        <w:t>evidence-based</w:t>
      </w:r>
      <w:r w:rsidR="4D33C152" w:rsidRPr="2D56F78A">
        <w:t>, comparable</w:t>
      </w:r>
      <w:r w:rsidR="5F8DCC6A">
        <w:rPr>
          <w:szCs w:val="20"/>
        </w:rPr>
        <w:t xml:space="preserve"> </w:t>
      </w:r>
      <w:r w:rsidRPr="2D56F78A">
        <w:t xml:space="preserve">assessments, the Commission </w:t>
      </w:r>
      <w:r w:rsidR="27F24E35" w:rsidRPr="2D56F78A">
        <w:t xml:space="preserve">must </w:t>
      </w:r>
      <w:r w:rsidR="3C7B8539" w:rsidRPr="2D56F78A">
        <w:t>overcome data challenges.</w:t>
      </w:r>
      <w:r w:rsidR="4D399094">
        <w:rPr>
          <w:szCs w:val="20"/>
        </w:rPr>
        <w:t xml:space="preserve"> </w:t>
      </w:r>
      <w:r w:rsidR="06CD012D" w:rsidRPr="2D56F78A">
        <w:t xml:space="preserve">Not all assessment areas have high </w:t>
      </w:r>
      <w:r w:rsidR="3C7B8539" w:rsidRPr="2D56F78A">
        <w:t>quality</w:t>
      </w:r>
      <w:r w:rsidR="06CD012D" w:rsidRPr="2D56F78A">
        <w:t xml:space="preserve"> data available</w:t>
      </w:r>
      <w:r w:rsidR="3C7B8539" w:rsidRPr="2D56F78A">
        <w:t xml:space="preserve">. To solve data issues, the Commission </w:t>
      </w:r>
      <w:r w:rsidR="00BC66BF">
        <w:t>uses</w:t>
      </w:r>
      <w:r w:rsidR="3C7B8539" w:rsidRPr="2D56F78A">
        <w:t xml:space="preserve"> a variety of techniques</w:t>
      </w:r>
      <w:r w:rsidR="00036C56">
        <w:t>,</w:t>
      </w:r>
      <w:r w:rsidR="3C7B8539" w:rsidRPr="2D56F78A">
        <w:t xml:space="preserve"> including proxies, weighting, discounting and econometric regressions. </w:t>
      </w:r>
      <w:r w:rsidR="4DE4EBEF" w:rsidRPr="2D56F78A">
        <w:t xml:space="preserve">The Commission develops </w:t>
      </w:r>
      <w:r w:rsidR="009E56F7">
        <w:t>these</w:t>
      </w:r>
      <w:r w:rsidR="4DE4EBEF" w:rsidRPr="2D56F78A">
        <w:t xml:space="preserve"> </w:t>
      </w:r>
      <w:r w:rsidR="00AA2F89">
        <w:t>approaches</w:t>
      </w:r>
      <w:r w:rsidR="4DE4EBEF" w:rsidRPr="2D56F78A">
        <w:t xml:space="preserve"> in consultation with the states, </w:t>
      </w:r>
      <w:r w:rsidR="5C672187" w:rsidRPr="2D56F78A">
        <w:t>primarily</w:t>
      </w:r>
      <w:r w:rsidR="4DE4EBEF" w:rsidRPr="2D56F78A">
        <w:t xml:space="preserve"> through its methodology reviews. </w:t>
      </w:r>
      <w:r w:rsidR="0F2F60FA" w:rsidRPr="2D56F78A">
        <w:t>As part of this consultation, s</w:t>
      </w:r>
      <w:r w:rsidR="4DE4EBEF" w:rsidRPr="2D56F78A">
        <w:t xml:space="preserve">tates propose </w:t>
      </w:r>
      <w:r w:rsidR="5C672187" w:rsidRPr="2D56F78A">
        <w:t>and</w:t>
      </w:r>
      <w:r w:rsidR="46A463A6" w:rsidRPr="2D56F78A">
        <w:t xml:space="preserve"> support</w:t>
      </w:r>
      <w:r w:rsidR="4DE4EBEF" w:rsidRPr="2D56F78A">
        <w:t xml:space="preserve"> complex </w:t>
      </w:r>
      <w:r w:rsidR="0093782D">
        <w:t>approaches</w:t>
      </w:r>
      <w:r w:rsidR="4DE4EBEF" w:rsidRPr="2D56F78A">
        <w:t xml:space="preserve"> when they consider </w:t>
      </w:r>
      <w:r w:rsidR="00367633">
        <w:t xml:space="preserve">this </w:t>
      </w:r>
      <w:r w:rsidR="003E761F">
        <w:t>represents</w:t>
      </w:r>
      <w:r w:rsidR="4DE4EBEF" w:rsidRPr="2D56F78A">
        <w:t xml:space="preserve"> a more </w:t>
      </w:r>
      <w:r w:rsidR="392967CC" w:rsidRPr="2D56F78A">
        <w:t xml:space="preserve">comprehensive </w:t>
      </w:r>
      <w:r w:rsidR="4DE4EBEF" w:rsidRPr="2D56F78A">
        <w:t>picture of their specific GST needs.</w:t>
      </w:r>
      <w:r w:rsidR="002C3827" w:rsidRPr="001A0FAE">
        <w:rPr>
          <w:rStyle w:val="FootnoteReference"/>
          <w:vertAlign w:val="superscript"/>
        </w:rPr>
        <w:footnoteReference w:id="5"/>
      </w:r>
    </w:p>
    <w:p w14:paraId="31951C05" w14:textId="2E54F323" w:rsidR="00B95F82" w:rsidRDefault="4651D6CA" w:rsidP="00B95F82">
      <w:pPr>
        <w:pStyle w:val="CGCBodyCopy"/>
      </w:pPr>
      <w:r>
        <w:t>T</w:t>
      </w:r>
      <w:r w:rsidR="2FE4BBB4">
        <w:t xml:space="preserve">he Commission’s </w:t>
      </w:r>
      <w:r w:rsidR="46A463A6">
        <w:t>goa</w:t>
      </w:r>
      <w:r w:rsidR="1EFAE3E4">
        <w:t>l</w:t>
      </w:r>
      <w:r w:rsidR="2FE4BBB4">
        <w:t xml:space="preserve"> is</w:t>
      </w:r>
      <w:r w:rsidR="5C43C8EC">
        <w:t xml:space="preserve"> </w:t>
      </w:r>
      <w:r w:rsidR="2FE4BBB4">
        <w:t xml:space="preserve">to achieve equalisation in the </w:t>
      </w:r>
      <w:r w:rsidR="413F4C1D">
        <w:t>‘</w:t>
      </w:r>
      <w:r w:rsidR="2FE4BBB4">
        <w:t>application year</w:t>
      </w:r>
      <w:r w:rsidR="413F4C1D">
        <w:t xml:space="preserve">’ (the financial year following </w:t>
      </w:r>
      <w:r w:rsidR="1B7E78D8">
        <w:t xml:space="preserve">its recommendations). </w:t>
      </w:r>
      <w:r w:rsidR="46A463A6">
        <w:t>It</w:t>
      </w:r>
      <w:r w:rsidR="2FE4BBB4">
        <w:t xml:space="preserve"> </w:t>
      </w:r>
      <w:r w:rsidR="1B7E78D8">
        <w:t xml:space="preserve">forgoes </w:t>
      </w:r>
      <w:r w:rsidR="5C43C8EC">
        <w:t xml:space="preserve">some </w:t>
      </w:r>
      <w:r w:rsidR="2FE4BBB4">
        <w:t xml:space="preserve">contemporaneity </w:t>
      </w:r>
      <w:r w:rsidR="76E8B94A">
        <w:t xml:space="preserve">and bases </w:t>
      </w:r>
      <w:r w:rsidR="40483723">
        <w:t xml:space="preserve">its </w:t>
      </w:r>
      <w:r w:rsidR="2FE4BBB4">
        <w:t xml:space="preserve">recommendations on </w:t>
      </w:r>
      <w:r w:rsidR="5C43C8EC">
        <w:t>s</w:t>
      </w:r>
      <w:r w:rsidR="2FE4BBB4">
        <w:t>tates’ fiscal capacities</w:t>
      </w:r>
      <w:r w:rsidR="6DD7B13D">
        <w:t xml:space="preserve"> </w:t>
      </w:r>
      <w:r w:rsidR="40483723">
        <w:t>averag</w:t>
      </w:r>
      <w:r w:rsidR="3C4B0FC8">
        <w:t>ed over</w:t>
      </w:r>
      <w:r w:rsidR="1EFAE3E4">
        <w:t xml:space="preserve"> the </w:t>
      </w:r>
      <w:r w:rsidR="5C43C8EC">
        <w:t xml:space="preserve">previous </w:t>
      </w:r>
      <w:r w:rsidR="53801C22">
        <w:t xml:space="preserve">3 </w:t>
      </w:r>
      <w:r w:rsidR="5C43C8EC">
        <w:t xml:space="preserve">years of data. This </w:t>
      </w:r>
      <w:r w:rsidR="46A463A6">
        <w:t xml:space="preserve">introduces </w:t>
      </w:r>
      <w:r w:rsidR="61E208F9">
        <w:t xml:space="preserve">further </w:t>
      </w:r>
      <w:r w:rsidR="40483723">
        <w:t>complexity but</w:t>
      </w:r>
      <w:r w:rsidR="1755723C">
        <w:t xml:space="preserve"> </w:t>
      </w:r>
      <w:r w:rsidR="0D0DB10C">
        <w:t>comes with the benefit of</w:t>
      </w:r>
      <w:r w:rsidR="1755723C">
        <w:t xml:space="preserve"> </w:t>
      </w:r>
      <w:r w:rsidR="0D0DB10C">
        <w:t>a more stable assessment of state</w:t>
      </w:r>
      <w:r w:rsidR="53801C22">
        <w:t>s’</w:t>
      </w:r>
      <w:r w:rsidR="0D0DB10C">
        <w:t xml:space="preserve"> relative fiscal capacities.</w:t>
      </w:r>
      <w:r w:rsidR="40E1D5F7">
        <w:t xml:space="preserve"> It also </w:t>
      </w:r>
      <w:r w:rsidR="1DDE72BE">
        <w:t xml:space="preserve">improves robustness by </w:t>
      </w:r>
      <w:r w:rsidR="38CD3A00">
        <w:t xml:space="preserve">incorporating </w:t>
      </w:r>
      <w:r w:rsidR="40E1D5F7">
        <w:t xml:space="preserve">data revisions </w:t>
      </w:r>
      <w:r w:rsidR="73A74B00">
        <w:t>as they become available</w:t>
      </w:r>
      <w:r w:rsidR="72EC63B3">
        <w:t>.</w:t>
      </w:r>
    </w:p>
    <w:p w14:paraId="605AD29F" w14:textId="49BEFFA1" w:rsidR="009C1619" w:rsidRDefault="00BD0A28" w:rsidP="006A398A">
      <w:pPr>
        <w:pStyle w:val="CGCBodyCopy"/>
        <w:rPr>
          <w:szCs w:val="20"/>
        </w:rPr>
      </w:pPr>
      <w:bookmarkStart w:id="0" w:name="_Hlk208825961"/>
      <w:r>
        <w:rPr>
          <w:szCs w:val="20"/>
        </w:rPr>
        <w:t>The</w:t>
      </w:r>
      <w:bookmarkEnd w:id="0"/>
      <w:r w:rsidR="0084658E">
        <w:rPr>
          <w:szCs w:val="20"/>
        </w:rPr>
        <w:t xml:space="preserve"> </w:t>
      </w:r>
      <w:r w:rsidR="007431F6" w:rsidRPr="007431F6">
        <w:rPr>
          <w:i/>
          <w:iCs/>
          <w:szCs w:val="20"/>
        </w:rPr>
        <w:t>Treasury Laws Amendment (Making Sure Every State and Territory Gets Their Fair Share of GST) Act 2018</w:t>
      </w:r>
      <w:r w:rsidR="001C2801">
        <w:rPr>
          <w:szCs w:val="20"/>
        </w:rPr>
        <w:t>,</w:t>
      </w:r>
      <w:r w:rsidR="00807BEF">
        <w:rPr>
          <w:i/>
          <w:iCs/>
          <w:szCs w:val="20"/>
        </w:rPr>
        <w:t xml:space="preserve"> </w:t>
      </w:r>
      <w:r w:rsidR="00E10B9E">
        <w:rPr>
          <w:szCs w:val="20"/>
        </w:rPr>
        <w:t>int</w:t>
      </w:r>
      <w:r w:rsidR="00C026AD">
        <w:rPr>
          <w:szCs w:val="20"/>
        </w:rPr>
        <w:t xml:space="preserve">roduced </w:t>
      </w:r>
      <w:r w:rsidR="00344A41">
        <w:rPr>
          <w:szCs w:val="20"/>
        </w:rPr>
        <w:t xml:space="preserve">new </w:t>
      </w:r>
      <w:r w:rsidR="005179ED">
        <w:rPr>
          <w:szCs w:val="20"/>
        </w:rPr>
        <w:t>step</w:t>
      </w:r>
      <w:r w:rsidR="00344A41">
        <w:rPr>
          <w:szCs w:val="20"/>
        </w:rPr>
        <w:t>s</w:t>
      </w:r>
      <w:r w:rsidR="005179ED">
        <w:rPr>
          <w:szCs w:val="20"/>
        </w:rPr>
        <w:t xml:space="preserve"> </w:t>
      </w:r>
      <w:r w:rsidR="0053698B">
        <w:rPr>
          <w:szCs w:val="20"/>
        </w:rPr>
        <w:t xml:space="preserve">and </w:t>
      </w:r>
      <w:r w:rsidR="00654105">
        <w:rPr>
          <w:szCs w:val="20"/>
        </w:rPr>
        <w:t>complexity</w:t>
      </w:r>
      <w:r w:rsidR="005179ED">
        <w:rPr>
          <w:szCs w:val="20"/>
        </w:rPr>
        <w:t xml:space="preserve"> into the </w:t>
      </w:r>
      <w:r w:rsidR="00C20BAA">
        <w:rPr>
          <w:szCs w:val="20"/>
        </w:rPr>
        <w:t>GST distribution system</w:t>
      </w:r>
      <w:r w:rsidR="007431F6">
        <w:rPr>
          <w:szCs w:val="20"/>
        </w:rPr>
        <w:t xml:space="preserve">. </w:t>
      </w:r>
      <w:r w:rsidR="00C270A4">
        <w:rPr>
          <w:szCs w:val="20"/>
        </w:rPr>
        <w:t xml:space="preserve">The Commission </w:t>
      </w:r>
      <w:r w:rsidR="00F5026A">
        <w:rPr>
          <w:szCs w:val="20"/>
        </w:rPr>
        <w:t>now</w:t>
      </w:r>
      <w:r w:rsidR="00C270A4">
        <w:rPr>
          <w:szCs w:val="20"/>
        </w:rPr>
        <w:t xml:space="preserve"> </w:t>
      </w:r>
      <w:r w:rsidR="00DC7F34">
        <w:rPr>
          <w:szCs w:val="20"/>
        </w:rPr>
        <w:t>c</w:t>
      </w:r>
      <w:r w:rsidR="00183D69">
        <w:rPr>
          <w:szCs w:val="20"/>
        </w:rPr>
        <w:t>alculate</w:t>
      </w:r>
      <w:r w:rsidR="00D56D38">
        <w:rPr>
          <w:szCs w:val="20"/>
        </w:rPr>
        <w:t>s</w:t>
      </w:r>
      <w:r w:rsidR="00495FFD">
        <w:rPr>
          <w:szCs w:val="20"/>
        </w:rPr>
        <w:t>:</w:t>
      </w:r>
    </w:p>
    <w:p w14:paraId="2B8B7278" w14:textId="0F452BBC" w:rsidR="00A737A9" w:rsidRPr="00DD4714" w:rsidRDefault="00A737A9" w:rsidP="00EF24CE">
      <w:pPr>
        <w:pStyle w:val="Bullet"/>
        <w:tabs>
          <w:tab w:val="clear" w:pos="472"/>
          <w:tab w:val="clear" w:pos="567"/>
          <w:tab w:val="left" w:pos="284"/>
        </w:tabs>
        <w:ind w:left="284" w:hanging="284"/>
        <w:rPr>
          <w:rFonts w:ascii="Work Sans" w:hAnsi="Work Sans"/>
        </w:rPr>
      </w:pPr>
      <w:r w:rsidRPr="00DD4714">
        <w:rPr>
          <w:rFonts w:ascii="Work Sans" w:hAnsi="Work Sans"/>
        </w:rPr>
        <w:t xml:space="preserve">assessed </w:t>
      </w:r>
      <w:r w:rsidR="00183D69" w:rsidRPr="00DD4714">
        <w:rPr>
          <w:rFonts w:ascii="Work Sans" w:hAnsi="Work Sans"/>
        </w:rPr>
        <w:t>relativities</w:t>
      </w:r>
      <w:r w:rsidRPr="00DD4714">
        <w:rPr>
          <w:rFonts w:ascii="Work Sans" w:hAnsi="Work Sans"/>
        </w:rPr>
        <w:t>,</w:t>
      </w:r>
      <w:r w:rsidR="00183D69" w:rsidRPr="00DD4714">
        <w:rPr>
          <w:rFonts w:ascii="Work Sans" w:hAnsi="Work Sans"/>
        </w:rPr>
        <w:t xml:space="preserve"> </w:t>
      </w:r>
      <w:r w:rsidR="004C585B" w:rsidRPr="00DD4714">
        <w:rPr>
          <w:rFonts w:ascii="Work Sans" w:hAnsi="Work Sans"/>
        </w:rPr>
        <w:t xml:space="preserve">based on </w:t>
      </w:r>
      <w:r w:rsidR="00D908BC">
        <w:rPr>
          <w:rFonts w:ascii="Work Sans" w:hAnsi="Work Sans"/>
        </w:rPr>
        <w:t xml:space="preserve">state </w:t>
      </w:r>
      <w:r w:rsidRPr="00DD4714">
        <w:rPr>
          <w:rFonts w:ascii="Work Sans" w:hAnsi="Work Sans"/>
        </w:rPr>
        <w:t>fiscal capacities</w:t>
      </w:r>
    </w:p>
    <w:p w14:paraId="3509FFB3" w14:textId="19529E3D" w:rsidR="00935D4E" w:rsidRPr="00DD4714" w:rsidRDefault="003D30E7" w:rsidP="00EF24CE">
      <w:pPr>
        <w:pStyle w:val="Bullet"/>
        <w:tabs>
          <w:tab w:val="clear" w:pos="472"/>
          <w:tab w:val="clear" w:pos="567"/>
          <w:tab w:val="left" w:pos="284"/>
        </w:tabs>
        <w:ind w:left="284" w:hanging="284"/>
        <w:rPr>
          <w:rFonts w:ascii="Work Sans" w:hAnsi="Work Sans"/>
        </w:rPr>
      </w:pPr>
      <w:r w:rsidRPr="00DD4714">
        <w:rPr>
          <w:rFonts w:ascii="Work Sans" w:hAnsi="Work Sans"/>
        </w:rPr>
        <w:t xml:space="preserve">standard state </w:t>
      </w:r>
      <w:r w:rsidR="00A737A9" w:rsidRPr="00DD4714">
        <w:rPr>
          <w:rFonts w:ascii="Work Sans" w:hAnsi="Work Sans"/>
        </w:rPr>
        <w:t>relativities</w:t>
      </w:r>
      <w:r w:rsidR="00626A65" w:rsidRPr="00DD4714">
        <w:rPr>
          <w:rFonts w:ascii="Work Sans" w:hAnsi="Work Sans"/>
        </w:rPr>
        <w:t xml:space="preserve">, ensuring no state’s relativity is lower than that of </w:t>
      </w:r>
      <w:r w:rsidR="00935D4E" w:rsidRPr="00DD4714">
        <w:rPr>
          <w:rFonts w:ascii="Work Sans" w:hAnsi="Work Sans"/>
        </w:rPr>
        <w:t xml:space="preserve">the </w:t>
      </w:r>
      <w:r w:rsidRPr="00DD4714">
        <w:rPr>
          <w:rFonts w:ascii="Work Sans" w:hAnsi="Work Sans"/>
        </w:rPr>
        <w:t xml:space="preserve">fiscally stronger of New South Wales </w:t>
      </w:r>
      <w:r w:rsidR="00935D4E" w:rsidRPr="00DD4714">
        <w:rPr>
          <w:rFonts w:ascii="Work Sans" w:hAnsi="Work Sans"/>
        </w:rPr>
        <w:t xml:space="preserve">and </w:t>
      </w:r>
      <w:r w:rsidRPr="00DD4714">
        <w:rPr>
          <w:rFonts w:ascii="Work Sans" w:hAnsi="Work Sans"/>
        </w:rPr>
        <w:t>Victoria</w:t>
      </w:r>
      <w:r w:rsidR="00A84EBB">
        <w:rPr>
          <w:rFonts w:ascii="Work Sans" w:hAnsi="Work Sans"/>
        </w:rPr>
        <w:t>, or below a floor of 0.75</w:t>
      </w:r>
      <w:r w:rsidR="00A84EBB" w:rsidRPr="00672802">
        <w:rPr>
          <w:rStyle w:val="FootnoteReference"/>
          <w:vertAlign w:val="superscript"/>
        </w:rPr>
        <w:footnoteReference w:id="6"/>
      </w:r>
      <w:r w:rsidR="0023442E">
        <w:rPr>
          <w:rFonts w:ascii="Work Sans" w:hAnsi="Work Sans"/>
        </w:rPr>
        <w:t>, and</w:t>
      </w:r>
    </w:p>
    <w:p w14:paraId="70CA855E" w14:textId="79288F64" w:rsidR="009B3F3C" w:rsidRPr="00EF24CE" w:rsidRDefault="00935D4E" w:rsidP="00EF24CE">
      <w:pPr>
        <w:pStyle w:val="Bullet"/>
        <w:tabs>
          <w:tab w:val="clear" w:pos="472"/>
          <w:tab w:val="clear" w:pos="567"/>
          <w:tab w:val="left" w:pos="284"/>
        </w:tabs>
        <w:ind w:left="284" w:hanging="284"/>
        <w:rPr>
          <w:rFonts w:ascii="Work Sans" w:hAnsi="Work Sans"/>
        </w:rPr>
      </w:pPr>
      <w:r w:rsidRPr="00DD4714">
        <w:rPr>
          <w:rFonts w:ascii="Work Sans" w:hAnsi="Work Sans"/>
        </w:rPr>
        <w:t xml:space="preserve">no worse off relativities, based on </w:t>
      </w:r>
      <w:r w:rsidR="004D25DB" w:rsidRPr="00DD4714">
        <w:rPr>
          <w:rFonts w:ascii="Work Sans" w:hAnsi="Work Sans"/>
        </w:rPr>
        <w:t xml:space="preserve">states </w:t>
      </w:r>
      <w:r w:rsidR="00207E89" w:rsidRPr="00DD4714">
        <w:rPr>
          <w:rFonts w:ascii="Work Sans" w:hAnsi="Work Sans"/>
        </w:rPr>
        <w:t xml:space="preserve">not being cumulatively </w:t>
      </w:r>
      <w:r w:rsidR="004D25DB" w:rsidRPr="00DD4714">
        <w:rPr>
          <w:rFonts w:ascii="Work Sans" w:hAnsi="Work Sans"/>
        </w:rPr>
        <w:t xml:space="preserve">worse off than </w:t>
      </w:r>
      <w:r w:rsidR="00207E89" w:rsidRPr="00DD4714">
        <w:rPr>
          <w:rFonts w:ascii="Work Sans" w:hAnsi="Work Sans"/>
        </w:rPr>
        <w:t>under the previous arrangements</w:t>
      </w:r>
      <w:r w:rsidR="00A95030" w:rsidRPr="00DD4714">
        <w:rPr>
          <w:rFonts w:ascii="Work Sans" w:hAnsi="Work Sans"/>
        </w:rPr>
        <w:t>.</w:t>
      </w:r>
    </w:p>
    <w:p w14:paraId="59C7A0BD" w14:textId="07B38507" w:rsidR="00E44EDC" w:rsidRDefault="009512B9" w:rsidP="00E44EDC">
      <w:pPr>
        <w:pStyle w:val="Heading4"/>
      </w:pPr>
      <w:r>
        <w:rPr>
          <w:szCs w:val="20"/>
        </w:rPr>
        <w:t xml:space="preserve">How does </w:t>
      </w:r>
      <w:r>
        <w:t>t</w:t>
      </w:r>
      <w:r w:rsidR="00E44EDC" w:rsidRPr="00DF5354">
        <w:t xml:space="preserve">he </w:t>
      </w:r>
      <w:r w:rsidR="00E44EDC" w:rsidRPr="00DF5354" w:rsidDel="007D63F8">
        <w:t xml:space="preserve">Commission </w:t>
      </w:r>
      <w:r>
        <w:t>pursue simplicity?</w:t>
      </w:r>
    </w:p>
    <w:p w14:paraId="484AAF16" w14:textId="396501FC" w:rsidR="000F2C85" w:rsidRDefault="0035796D" w:rsidP="004A7540">
      <w:pPr>
        <w:pStyle w:val="CGCBodyCopy"/>
        <w:rPr>
          <w:szCs w:val="20"/>
        </w:rPr>
      </w:pPr>
      <w:r w:rsidRPr="00DF5354">
        <w:t xml:space="preserve">The Commission aims to have </w:t>
      </w:r>
      <w:r>
        <w:t xml:space="preserve">assessment </w:t>
      </w:r>
      <w:r w:rsidRPr="00DF5354">
        <w:t xml:space="preserve">methods </w:t>
      </w:r>
      <w:r w:rsidR="002422BA">
        <w:t xml:space="preserve">that are </w:t>
      </w:r>
      <w:r w:rsidRPr="00DF5354">
        <w:t>as simple as possible,</w:t>
      </w:r>
      <w:r w:rsidR="005F08D5">
        <w:t xml:space="preserve"> while retaining</w:t>
      </w:r>
      <w:r w:rsidR="00BB5AD3">
        <w:t xml:space="preserve"> </w:t>
      </w:r>
      <w:r w:rsidR="008C1B22">
        <w:t xml:space="preserve">a </w:t>
      </w:r>
      <w:r w:rsidR="00BB5AD3">
        <w:t>focus on</w:t>
      </w:r>
      <w:r w:rsidR="005F08D5">
        <w:t xml:space="preserve"> </w:t>
      </w:r>
      <w:r w:rsidR="00516F8B">
        <w:t xml:space="preserve">its primary </w:t>
      </w:r>
      <w:r w:rsidRPr="00DF5354">
        <w:t xml:space="preserve">mandate </w:t>
      </w:r>
      <w:r>
        <w:t xml:space="preserve">of </w:t>
      </w:r>
      <w:r w:rsidRPr="00DF5354">
        <w:t>horizontal fiscal equalisation</w:t>
      </w:r>
      <w:r w:rsidR="002839EC">
        <w:t>.</w:t>
      </w:r>
    </w:p>
    <w:p w14:paraId="4DC776CD" w14:textId="21552EC9" w:rsidR="000F2C85" w:rsidRDefault="00C02FA1" w:rsidP="000F2C85">
      <w:pPr>
        <w:pStyle w:val="CGCBodyCopy"/>
        <w:rPr>
          <w:szCs w:val="20"/>
        </w:rPr>
      </w:pPr>
      <w:r>
        <w:rPr>
          <w:szCs w:val="20"/>
        </w:rPr>
        <w:t>S</w:t>
      </w:r>
      <w:r w:rsidR="000F2C85">
        <w:rPr>
          <w:szCs w:val="20"/>
        </w:rPr>
        <w:t xml:space="preserve">implicity is put into practice primarily through the application of a ‘materiality’ threshold, </w:t>
      </w:r>
      <w:r w:rsidR="000F2C85" w:rsidRPr="00492E48">
        <w:rPr>
          <w:szCs w:val="20"/>
        </w:rPr>
        <w:t xml:space="preserve">where assessments with an impact on GST per capita distribution below the threshold are excluded because they will have limited influence on the pursuit of </w:t>
      </w:r>
      <w:r w:rsidR="000F2C85">
        <w:rPr>
          <w:szCs w:val="20"/>
        </w:rPr>
        <w:t>horizontal fiscal equalisation</w:t>
      </w:r>
      <w:r w:rsidR="000F2C85" w:rsidRPr="00492E48">
        <w:rPr>
          <w:szCs w:val="20"/>
        </w:rPr>
        <w:t>. Th</w:t>
      </w:r>
      <w:r w:rsidR="000F2C85">
        <w:rPr>
          <w:szCs w:val="20"/>
        </w:rPr>
        <w:t>e Commission regularly reviews this</w:t>
      </w:r>
      <w:r w:rsidR="000F2C85" w:rsidRPr="00492E48">
        <w:rPr>
          <w:szCs w:val="20"/>
        </w:rPr>
        <w:t xml:space="preserve"> threshold and </w:t>
      </w:r>
      <w:r w:rsidR="000F2C85">
        <w:rPr>
          <w:szCs w:val="20"/>
        </w:rPr>
        <w:t>last</w:t>
      </w:r>
      <w:r w:rsidR="000F2C85" w:rsidRPr="00492E48">
        <w:rPr>
          <w:szCs w:val="20"/>
        </w:rPr>
        <w:t xml:space="preserve"> increased</w:t>
      </w:r>
      <w:r w:rsidR="00391602">
        <w:rPr>
          <w:szCs w:val="20"/>
        </w:rPr>
        <w:t xml:space="preserve"> it</w:t>
      </w:r>
      <w:r w:rsidR="000F2C85" w:rsidRPr="00492E48">
        <w:rPr>
          <w:szCs w:val="20"/>
        </w:rPr>
        <w:t xml:space="preserve"> </w:t>
      </w:r>
      <w:r w:rsidR="00F363C1">
        <w:rPr>
          <w:szCs w:val="20"/>
        </w:rPr>
        <w:t xml:space="preserve">to </w:t>
      </w:r>
      <w:r w:rsidR="00532433">
        <w:rPr>
          <w:szCs w:val="20"/>
        </w:rPr>
        <w:br/>
      </w:r>
      <w:r w:rsidR="00F363C1">
        <w:rPr>
          <w:szCs w:val="20"/>
        </w:rPr>
        <w:t>$</w:t>
      </w:r>
      <w:r w:rsidR="006836E3">
        <w:rPr>
          <w:szCs w:val="20"/>
        </w:rPr>
        <w:t xml:space="preserve">40 per capita </w:t>
      </w:r>
      <w:r w:rsidR="00987967">
        <w:rPr>
          <w:szCs w:val="20"/>
        </w:rPr>
        <w:t>for any state</w:t>
      </w:r>
      <w:r w:rsidR="00532433" w:rsidDel="00486B85">
        <w:rPr>
          <w:szCs w:val="20"/>
        </w:rPr>
        <w:t xml:space="preserve"> </w:t>
      </w:r>
      <w:r w:rsidR="000F2C85" w:rsidRPr="00492E48" w:rsidDel="00486B85">
        <w:rPr>
          <w:szCs w:val="20"/>
        </w:rPr>
        <w:t xml:space="preserve">as part of the 2025 </w:t>
      </w:r>
      <w:r w:rsidR="000F2C85" w:rsidDel="00486B85">
        <w:rPr>
          <w:szCs w:val="20"/>
        </w:rPr>
        <w:t>M</w:t>
      </w:r>
      <w:r w:rsidR="000F2C85" w:rsidRPr="00492E48" w:rsidDel="00486B85">
        <w:rPr>
          <w:szCs w:val="20"/>
        </w:rPr>
        <w:t xml:space="preserve">ethodology </w:t>
      </w:r>
      <w:r w:rsidR="000F2C85" w:rsidDel="00486B85">
        <w:rPr>
          <w:szCs w:val="20"/>
        </w:rPr>
        <w:t>R</w:t>
      </w:r>
      <w:r w:rsidR="000F2C85" w:rsidRPr="00492E48" w:rsidDel="00486B85">
        <w:rPr>
          <w:szCs w:val="20"/>
        </w:rPr>
        <w:t>eview</w:t>
      </w:r>
      <w:r w:rsidR="000F2C85" w:rsidRPr="00492E48">
        <w:rPr>
          <w:szCs w:val="20"/>
        </w:rPr>
        <w:t>.</w:t>
      </w:r>
    </w:p>
    <w:p w14:paraId="27DCA434" w14:textId="5EEE9B67" w:rsidR="004174B9" w:rsidRPr="004A7540" w:rsidRDefault="009B3F3C" w:rsidP="004A7540">
      <w:pPr>
        <w:pStyle w:val="CGCBodyCopy"/>
        <w:rPr>
          <w:szCs w:val="20"/>
        </w:rPr>
      </w:pPr>
      <w:r>
        <w:rPr>
          <w:szCs w:val="20"/>
        </w:rPr>
        <w:t>The Commission</w:t>
      </w:r>
      <w:r w:rsidR="00E44EDC" w:rsidRPr="008F4F45">
        <w:rPr>
          <w:szCs w:val="20"/>
        </w:rPr>
        <w:t xml:space="preserve"> has developed a set of supporting principles</w:t>
      </w:r>
      <w:r w:rsidR="00E44EDC">
        <w:rPr>
          <w:szCs w:val="20"/>
        </w:rPr>
        <w:t xml:space="preserve"> to guide the</w:t>
      </w:r>
      <w:r w:rsidR="00E44EDC" w:rsidRPr="008F4F45">
        <w:rPr>
          <w:szCs w:val="20"/>
        </w:rPr>
        <w:t xml:space="preserve"> design and evaluati</w:t>
      </w:r>
      <w:r w:rsidR="00E44EDC">
        <w:rPr>
          <w:szCs w:val="20"/>
        </w:rPr>
        <w:t>on of</w:t>
      </w:r>
      <w:r w:rsidR="00E44EDC" w:rsidRPr="008F4F45">
        <w:rPr>
          <w:szCs w:val="20"/>
        </w:rPr>
        <w:t xml:space="preserve"> assessment methods</w:t>
      </w:r>
      <w:r w:rsidR="00B45227" w:rsidRPr="00B45227">
        <w:rPr>
          <w:szCs w:val="20"/>
        </w:rPr>
        <w:t>:</w:t>
      </w:r>
    </w:p>
    <w:p w14:paraId="72C6A443" w14:textId="1A697BB8" w:rsidR="00B45227" w:rsidRPr="00ED3A55" w:rsidRDefault="004A7540" w:rsidP="0005427A">
      <w:pPr>
        <w:pStyle w:val="Bullet"/>
        <w:tabs>
          <w:tab w:val="clear" w:pos="472"/>
          <w:tab w:val="clear" w:pos="567"/>
          <w:tab w:val="left" w:pos="284"/>
        </w:tabs>
        <w:ind w:left="284" w:hanging="284"/>
        <w:rPr>
          <w:rFonts w:ascii="Work Sans" w:hAnsi="Work Sans"/>
        </w:rPr>
      </w:pPr>
      <w:r>
        <w:rPr>
          <w:rFonts w:ascii="Work Sans" w:hAnsi="Work Sans"/>
        </w:rPr>
        <w:t>‘</w:t>
      </w:r>
      <w:r w:rsidR="007804E5">
        <w:rPr>
          <w:rFonts w:ascii="Work Sans" w:hAnsi="Work Sans"/>
        </w:rPr>
        <w:t>W</w:t>
      </w:r>
      <w:r w:rsidR="00B45227" w:rsidRPr="00ED3A55">
        <w:rPr>
          <w:rFonts w:ascii="Work Sans" w:hAnsi="Work Sans"/>
        </w:rPr>
        <w:t>hat states do</w:t>
      </w:r>
      <w:r>
        <w:rPr>
          <w:rFonts w:ascii="Work Sans" w:hAnsi="Work Sans"/>
        </w:rPr>
        <w:t xml:space="preserve">’ </w:t>
      </w:r>
      <w:r w:rsidR="00B45227" w:rsidRPr="00ED3A55">
        <w:rPr>
          <w:rFonts w:ascii="Work Sans" w:hAnsi="Work Sans"/>
        </w:rPr>
        <w:t>— the Commission’s methods should, as far as possible, reflect what states collectively do, not what they could or should do</w:t>
      </w:r>
      <w:r w:rsidR="007804E5">
        <w:rPr>
          <w:rFonts w:ascii="Work Sans" w:hAnsi="Work Sans"/>
        </w:rPr>
        <w:t>.</w:t>
      </w:r>
    </w:p>
    <w:p w14:paraId="0D3DADCE" w14:textId="553AB6E6" w:rsidR="00B45227" w:rsidRPr="00ED3A55" w:rsidRDefault="007804E5" w:rsidP="0005427A">
      <w:pPr>
        <w:pStyle w:val="Bullet"/>
        <w:tabs>
          <w:tab w:val="clear" w:pos="472"/>
          <w:tab w:val="clear" w:pos="567"/>
          <w:tab w:val="left" w:pos="284"/>
        </w:tabs>
        <w:ind w:left="284" w:hanging="284"/>
        <w:rPr>
          <w:rFonts w:ascii="Work Sans" w:hAnsi="Work Sans"/>
        </w:rPr>
      </w:pPr>
      <w:r>
        <w:rPr>
          <w:rFonts w:ascii="Work Sans" w:hAnsi="Work Sans"/>
        </w:rPr>
        <w:lastRenderedPageBreak/>
        <w:t>P</w:t>
      </w:r>
      <w:r w:rsidR="00B45227" w:rsidRPr="00ED3A55">
        <w:rPr>
          <w:rFonts w:ascii="Work Sans" w:hAnsi="Work Sans"/>
        </w:rPr>
        <w:t>olicy neutrality — a state's policy choices (in relation to the revenue it raises or the services it provides) should not directly influence its GST share</w:t>
      </w:r>
      <w:r w:rsidR="009017EC">
        <w:rPr>
          <w:rFonts w:ascii="Work Sans" w:hAnsi="Work Sans"/>
        </w:rPr>
        <w:t>,</w:t>
      </w:r>
      <w:r w:rsidR="00B45227" w:rsidRPr="00ED3A55">
        <w:rPr>
          <w:rFonts w:ascii="Work Sans" w:hAnsi="Work Sans"/>
        </w:rPr>
        <w:t xml:space="preserve"> and the Commission's assessments should not create incentives to choose one policy over another</w:t>
      </w:r>
      <w:r>
        <w:rPr>
          <w:rFonts w:ascii="Work Sans" w:hAnsi="Work Sans"/>
        </w:rPr>
        <w:t>.</w:t>
      </w:r>
    </w:p>
    <w:p w14:paraId="258B383E" w14:textId="48877D8E" w:rsidR="00B45227" w:rsidRPr="00ED3A55" w:rsidRDefault="007804E5" w:rsidP="0005427A">
      <w:pPr>
        <w:pStyle w:val="Bullet"/>
        <w:tabs>
          <w:tab w:val="clear" w:pos="472"/>
          <w:tab w:val="clear" w:pos="567"/>
          <w:tab w:val="left" w:pos="284"/>
        </w:tabs>
        <w:ind w:left="284" w:hanging="284"/>
        <w:rPr>
          <w:rFonts w:ascii="Work Sans" w:hAnsi="Work Sans"/>
        </w:rPr>
      </w:pPr>
      <w:r>
        <w:rPr>
          <w:rFonts w:ascii="Work Sans" w:hAnsi="Work Sans"/>
        </w:rPr>
        <w:t>P</w:t>
      </w:r>
      <w:r w:rsidR="00B45227" w:rsidRPr="00ED3A55">
        <w:rPr>
          <w:rFonts w:ascii="Work Sans" w:hAnsi="Work Sans"/>
        </w:rPr>
        <w:t>racticality — assessments should be based on sound and reliable data and methods and should be as simple as possible, while capturing the major influences on state expenses and revenue</w:t>
      </w:r>
      <w:r>
        <w:rPr>
          <w:rFonts w:ascii="Work Sans" w:hAnsi="Work Sans"/>
        </w:rPr>
        <w:t>.</w:t>
      </w:r>
    </w:p>
    <w:p w14:paraId="44A8629F" w14:textId="10E88EED" w:rsidR="009B3F3C" w:rsidRPr="00ED3A55" w:rsidRDefault="007804E5" w:rsidP="0005427A">
      <w:pPr>
        <w:pStyle w:val="Bullet"/>
        <w:tabs>
          <w:tab w:val="clear" w:pos="472"/>
          <w:tab w:val="clear" w:pos="567"/>
          <w:tab w:val="left" w:pos="284"/>
        </w:tabs>
        <w:ind w:left="284" w:hanging="284"/>
        <w:rPr>
          <w:rFonts w:ascii="Work Sans" w:hAnsi="Work Sans"/>
        </w:rPr>
      </w:pPr>
      <w:r>
        <w:rPr>
          <w:rFonts w:ascii="Work Sans" w:hAnsi="Work Sans"/>
        </w:rPr>
        <w:t>C</w:t>
      </w:r>
      <w:r w:rsidR="00B45227" w:rsidRPr="00ED3A55">
        <w:rPr>
          <w:rFonts w:ascii="Work Sans" w:hAnsi="Work Sans"/>
        </w:rPr>
        <w:t xml:space="preserve">ontemporaneity — to the extent reliable data will </w:t>
      </w:r>
      <w:proofErr w:type="gramStart"/>
      <w:r w:rsidR="00B45227" w:rsidRPr="00ED3A55">
        <w:rPr>
          <w:rFonts w:ascii="Work Sans" w:hAnsi="Work Sans"/>
        </w:rPr>
        <w:t>allow,</w:t>
      </w:r>
      <w:proofErr w:type="gramEnd"/>
      <w:r w:rsidR="00B45227" w:rsidRPr="00ED3A55">
        <w:rPr>
          <w:rFonts w:ascii="Work Sans" w:hAnsi="Work Sans"/>
        </w:rPr>
        <w:t xml:space="preserve"> the distribution of GST in a year should reflect state circumstances in that year.</w:t>
      </w:r>
      <w:r w:rsidR="00D55704" w:rsidRPr="00EF24CE">
        <w:rPr>
          <w:rFonts w:ascii="Work Sans" w:hAnsi="Work Sans"/>
          <w:vertAlign w:val="superscript"/>
        </w:rPr>
        <w:footnoteReference w:id="7"/>
      </w:r>
    </w:p>
    <w:p w14:paraId="10019008" w14:textId="20565A8A" w:rsidR="003E5ECC" w:rsidRDefault="00E44EDC" w:rsidP="003E5ECC">
      <w:pPr>
        <w:pStyle w:val="CGCBodyCopy"/>
        <w:rPr>
          <w:szCs w:val="20"/>
        </w:rPr>
      </w:pPr>
      <w:r>
        <w:rPr>
          <w:szCs w:val="20"/>
        </w:rPr>
        <w:t xml:space="preserve">The </w:t>
      </w:r>
      <w:r w:rsidR="00875CAD">
        <w:rPr>
          <w:szCs w:val="20"/>
        </w:rPr>
        <w:t xml:space="preserve">concept of simplicity is a key feature of the </w:t>
      </w:r>
      <w:r w:rsidRPr="006711A8">
        <w:rPr>
          <w:szCs w:val="20"/>
        </w:rPr>
        <w:t>practicality</w:t>
      </w:r>
      <w:r>
        <w:rPr>
          <w:szCs w:val="20"/>
        </w:rPr>
        <w:t xml:space="preserve"> principle</w:t>
      </w:r>
      <w:r w:rsidR="007264B1">
        <w:rPr>
          <w:szCs w:val="20"/>
        </w:rPr>
        <w:t xml:space="preserve"> and is</w:t>
      </w:r>
      <w:r w:rsidR="004F53E4">
        <w:rPr>
          <w:szCs w:val="20"/>
        </w:rPr>
        <w:t xml:space="preserve"> </w:t>
      </w:r>
      <w:r w:rsidR="00D24795">
        <w:rPr>
          <w:szCs w:val="20"/>
        </w:rPr>
        <w:t xml:space="preserve">actively </w:t>
      </w:r>
      <w:r w:rsidR="000A0DAC">
        <w:rPr>
          <w:szCs w:val="20"/>
        </w:rPr>
        <w:t>factored in</w:t>
      </w:r>
      <w:r w:rsidR="007264B1">
        <w:rPr>
          <w:szCs w:val="20"/>
        </w:rPr>
        <w:t xml:space="preserve"> by</w:t>
      </w:r>
      <w:r w:rsidR="004F53E4">
        <w:rPr>
          <w:szCs w:val="20"/>
        </w:rPr>
        <w:t xml:space="preserve"> the Commission </w:t>
      </w:r>
      <w:r w:rsidR="00D24795">
        <w:rPr>
          <w:szCs w:val="20"/>
        </w:rPr>
        <w:t xml:space="preserve">when </w:t>
      </w:r>
      <w:r w:rsidR="009840C6">
        <w:rPr>
          <w:szCs w:val="20"/>
        </w:rPr>
        <w:t>considering</w:t>
      </w:r>
      <w:r w:rsidR="0032095F">
        <w:rPr>
          <w:szCs w:val="20"/>
        </w:rPr>
        <w:t xml:space="preserve"> method </w:t>
      </w:r>
      <w:r w:rsidR="00D24795">
        <w:rPr>
          <w:szCs w:val="20"/>
        </w:rPr>
        <w:t>change</w:t>
      </w:r>
      <w:r w:rsidR="0091059E">
        <w:rPr>
          <w:szCs w:val="20"/>
        </w:rPr>
        <w:t>s</w:t>
      </w:r>
      <w:r w:rsidR="0032095F">
        <w:rPr>
          <w:szCs w:val="20"/>
        </w:rPr>
        <w:t>.</w:t>
      </w:r>
      <w:r w:rsidR="003E5ECC">
        <w:rPr>
          <w:szCs w:val="20"/>
        </w:rPr>
        <w:t xml:space="preserve"> </w:t>
      </w:r>
      <w:r w:rsidR="00A9269C">
        <w:rPr>
          <w:szCs w:val="20"/>
        </w:rPr>
        <w:t>T</w:t>
      </w:r>
      <w:r w:rsidR="003E5ECC">
        <w:rPr>
          <w:szCs w:val="20"/>
        </w:rPr>
        <w:t xml:space="preserve">he Commission </w:t>
      </w:r>
      <w:r w:rsidR="003E5ECC" w:rsidRPr="00D24795">
        <w:rPr>
          <w:szCs w:val="20"/>
        </w:rPr>
        <w:t>consider</w:t>
      </w:r>
      <w:r w:rsidR="003E5ECC">
        <w:rPr>
          <w:szCs w:val="20"/>
        </w:rPr>
        <w:t>s</w:t>
      </w:r>
      <w:r w:rsidR="003E5ECC" w:rsidRPr="00D24795">
        <w:rPr>
          <w:szCs w:val="20"/>
        </w:rPr>
        <w:t xml:space="preserve"> whether added complexity </w:t>
      </w:r>
      <w:r w:rsidR="003E5ECC">
        <w:rPr>
          <w:szCs w:val="20"/>
        </w:rPr>
        <w:t>to</w:t>
      </w:r>
      <w:r w:rsidR="003E5ECC" w:rsidRPr="00D24795">
        <w:rPr>
          <w:szCs w:val="20"/>
        </w:rPr>
        <w:t xml:space="preserve"> an assessment method justif</w:t>
      </w:r>
      <w:r w:rsidR="003E5ECC">
        <w:rPr>
          <w:szCs w:val="20"/>
        </w:rPr>
        <w:t>ies</w:t>
      </w:r>
      <w:r w:rsidR="003E5ECC" w:rsidRPr="00D24795">
        <w:rPr>
          <w:szCs w:val="20"/>
        </w:rPr>
        <w:t xml:space="preserve"> </w:t>
      </w:r>
      <w:r w:rsidR="003E5ECC">
        <w:rPr>
          <w:szCs w:val="20"/>
        </w:rPr>
        <w:t xml:space="preserve">possible </w:t>
      </w:r>
      <w:r w:rsidR="003E5ECC" w:rsidRPr="00D24795">
        <w:rPr>
          <w:szCs w:val="20"/>
        </w:rPr>
        <w:t xml:space="preserve">benefits </w:t>
      </w:r>
      <w:r w:rsidR="003E5ECC">
        <w:rPr>
          <w:szCs w:val="20"/>
        </w:rPr>
        <w:t>to</w:t>
      </w:r>
      <w:r w:rsidR="003E5ECC" w:rsidRPr="00D24795">
        <w:rPr>
          <w:szCs w:val="20"/>
        </w:rPr>
        <w:t xml:space="preserve"> </w:t>
      </w:r>
      <w:r w:rsidR="003E5ECC">
        <w:rPr>
          <w:szCs w:val="20"/>
        </w:rPr>
        <w:t>horizontal fiscal equalisation</w:t>
      </w:r>
      <w:r w:rsidR="003E5ECC" w:rsidRPr="00D24795">
        <w:rPr>
          <w:szCs w:val="20"/>
        </w:rPr>
        <w:t xml:space="preserve">. </w:t>
      </w:r>
      <w:r w:rsidR="003E5ECC">
        <w:rPr>
          <w:szCs w:val="20"/>
        </w:rPr>
        <w:t xml:space="preserve">For example, in </w:t>
      </w:r>
      <w:r w:rsidR="00D25620">
        <w:rPr>
          <w:szCs w:val="20"/>
        </w:rPr>
        <w:t>the</w:t>
      </w:r>
      <w:r w:rsidR="003E5ECC">
        <w:rPr>
          <w:szCs w:val="20"/>
        </w:rPr>
        <w:t xml:space="preserve"> 2025 Methodology Review, the Commission was not satisfied that the additional complexity </w:t>
      </w:r>
      <w:r w:rsidR="00D425D1">
        <w:rPr>
          <w:szCs w:val="20"/>
        </w:rPr>
        <w:t xml:space="preserve">and uncertainty </w:t>
      </w:r>
      <w:r w:rsidR="003E5ECC">
        <w:rPr>
          <w:szCs w:val="20"/>
        </w:rPr>
        <w:t xml:space="preserve">of introducing </w:t>
      </w:r>
      <w:r w:rsidR="003E5ECC" w:rsidRPr="00D24795">
        <w:rPr>
          <w:szCs w:val="20"/>
        </w:rPr>
        <w:t xml:space="preserve">elasticity adjustments to revenue assessments </w:t>
      </w:r>
      <w:r w:rsidR="003E5ECC">
        <w:rPr>
          <w:szCs w:val="20"/>
        </w:rPr>
        <w:t xml:space="preserve">would sufficiently enhance horizontal fiscal equalisation at that time. </w:t>
      </w:r>
      <w:r w:rsidR="00611A33">
        <w:rPr>
          <w:szCs w:val="20"/>
        </w:rPr>
        <w:t xml:space="preserve">Noting the importance of policy neutrality, </w:t>
      </w:r>
      <w:r w:rsidR="003E5ECC">
        <w:rPr>
          <w:szCs w:val="20"/>
        </w:rPr>
        <w:t xml:space="preserve">the Commission </w:t>
      </w:r>
      <w:r w:rsidR="00896C6C">
        <w:rPr>
          <w:szCs w:val="20"/>
        </w:rPr>
        <w:t xml:space="preserve">instead </w:t>
      </w:r>
      <w:r w:rsidR="00255839">
        <w:rPr>
          <w:szCs w:val="20"/>
        </w:rPr>
        <w:t xml:space="preserve">committed to </w:t>
      </w:r>
      <w:r w:rsidR="003E5ECC">
        <w:rPr>
          <w:szCs w:val="20"/>
        </w:rPr>
        <w:t>further investigat</w:t>
      </w:r>
      <w:r w:rsidR="006547EA">
        <w:rPr>
          <w:szCs w:val="20"/>
        </w:rPr>
        <w:t>e</w:t>
      </w:r>
      <w:r w:rsidR="003E5ECC">
        <w:rPr>
          <w:szCs w:val="20"/>
        </w:rPr>
        <w:t xml:space="preserve"> </w:t>
      </w:r>
      <w:r w:rsidR="000052CB">
        <w:rPr>
          <w:szCs w:val="20"/>
        </w:rPr>
        <w:t xml:space="preserve">elasticities </w:t>
      </w:r>
      <w:r w:rsidR="003E5ECC">
        <w:rPr>
          <w:szCs w:val="20"/>
        </w:rPr>
        <w:t>as part of its forward w</w:t>
      </w:r>
      <w:r w:rsidR="003E5ECC" w:rsidRPr="00D24795">
        <w:rPr>
          <w:szCs w:val="20"/>
        </w:rPr>
        <w:t xml:space="preserve">ork </w:t>
      </w:r>
      <w:r w:rsidR="003E5ECC">
        <w:rPr>
          <w:szCs w:val="20"/>
        </w:rPr>
        <w:t>program</w:t>
      </w:r>
      <w:r w:rsidR="003E5ECC" w:rsidRPr="00D24795">
        <w:rPr>
          <w:szCs w:val="20"/>
        </w:rPr>
        <w:t>.</w:t>
      </w:r>
    </w:p>
    <w:p w14:paraId="634B0838" w14:textId="6F6D4F2A" w:rsidR="00204023" w:rsidRDefault="57183B71" w:rsidP="00D24795">
      <w:pPr>
        <w:pStyle w:val="CGCBodyCopy"/>
      </w:pPr>
      <w:r>
        <w:t xml:space="preserve">The </w:t>
      </w:r>
      <w:r w:rsidR="5FF8DA1B">
        <w:t xml:space="preserve">trade-off between </w:t>
      </w:r>
      <w:r w:rsidR="488A6369">
        <w:t xml:space="preserve">comprehensively </w:t>
      </w:r>
      <w:r w:rsidR="5FF8DA1B">
        <w:t xml:space="preserve">assessing relative fiscal capacities and </w:t>
      </w:r>
      <w:r w:rsidR="477EDBE4">
        <w:t xml:space="preserve">simplifying </w:t>
      </w:r>
      <w:r w:rsidR="5FF8DA1B">
        <w:t>assessment methods</w:t>
      </w:r>
      <w:r w:rsidR="477EDBE4">
        <w:t xml:space="preserve"> presents </w:t>
      </w:r>
      <w:r w:rsidR="45AA9D9D">
        <w:t xml:space="preserve">challenges for </w:t>
      </w:r>
      <w:r w:rsidR="477EDBE4">
        <w:t>the Commission</w:t>
      </w:r>
      <w:r w:rsidR="5FF8DA1B">
        <w:t xml:space="preserve">. As the practicality principle is subsidiary to the objective of horizontal fiscal equalisation, the Commission </w:t>
      </w:r>
      <w:r w:rsidR="09F8C593">
        <w:t xml:space="preserve">faces constraints when a simpler method </w:t>
      </w:r>
      <w:r w:rsidR="5FF8DA1B">
        <w:t>does not effectively capture differences in states’ relative fiscal capacities.</w:t>
      </w:r>
      <w:r w:rsidR="7FA3FFFC">
        <w:t xml:space="preserve"> </w:t>
      </w:r>
      <w:r w:rsidR="3EC936FC">
        <w:t xml:space="preserve">The Commission continues to review assessments to see if they can be simplified. </w:t>
      </w:r>
      <w:r w:rsidR="53DA4708">
        <w:t>For example, a</w:t>
      </w:r>
      <w:r w:rsidR="285F3969">
        <w:t xml:space="preserve">s part of </w:t>
      </w:r>
      <w:r w:rsidR="53DA4708">
        <w:t>its</w:t>
      </w:r>
      <w:r w:rsidR="285F3969">
        <w:t xml:space="preserve"> forward work program, the Commission will consider </w:t>
      </w:r>
      <w:r w:rsidR="6ABD2EB9">
        <w:t>whether the health assessment can be simplified</w:t>
      </w:r>
      <w:r w:rsidR="00C8D871">
        <w:t xml:space="preserve"> and </w:t>
      </w:r>
      <w:r w:rsidR="00F02C98">
        <w:t xml:space="preserve">any </w:t>
      </w:r>
      <w:r w:rsidR="002E121B">
        <w:t>associated</w:t>
      </w:r>
      <w:r w:rsidR="00E7555D">
        <w:t xml:space="preserve"> </w:t>
      </w:r>
      <w:r w:rsidR="6BAB301E">
        <w:t xml:space="preserve">trade-offs </w:t>
      </w:r>
      <w:r w:rsidR="00C91429">
        <w:t>that are</w:t>
      </w:r>
      <w:r w:rsidR="6BAB301E">
        <w:t xml:space="preserve"> </w:t>
      </w:r>
      <w:r w:rsidR="46E88A43">
        <w:t>identified</w:t>
      </w:r>
      <w:r w:rsidR="6BAB301E">
        <w:t>.</w:t>
      </w:r>
    </w:p>
    <w:p w14:paraId="6D8C925B" w14:textId="77777777" w:rsidR="00F612C5" w:rsidRPr="00675A1E" w:rsidRDefault="00F612C5" w:rsidP="00F612C5">
      <w:pPr>
        <w:pStyle w:val="Heading4"/>
      </w:pPr>
      <w:r>
        <w:t xml:space="preserve">Should </w:t>
      </w:r>
      <w:r w:rsidRPr="00675A1E">
        <w:t xml:space="preserve">the GST distribution system be </w:t>
      </w:r>
      <w:r>
        <w:t xml:space="preserve">further </w:t>
      </w:r>
      <w:r w:rsidRPr="00675A1E">
        <w:t>simplified</w:t>
      </w:r>
      <w:r w:rsidRPr="003F0E7C">
        <w:t xml:space="preserve"> </w:t>
      </w:r>
      <w:r>
        <w:t>and how</w:t>
      </w:r>
      <w:r w:rsidRPr="00675A1E">
        <w:t>?</w:t>
      </w:r>
    </w:p>
    <w:p w14:paraId="50728433" w14:textId="09D34A57" w:rsidR="00426990" w:rsidRDefault="53D8408E" w:rsidP="00F612C5">
      <w:pPr>
        <w:pStyle w:val="CGCBodyCopy"/>
      </w:pPr>
      <w:r>
        <w:t xml:space="preserve">The </w:t>
      </w:r>
      <w:r w:rsidR="6BBDAF15">
        <w:t>challenge</w:t>
      </w:r>
      <w:r w:rsidR="11403CD6">
        <w:t xml:space="preserve"> with a </w:t>
      </w:r>
      <w:r w:rsidR="00194B60">
        <w:t xml:space="preserve">complex </w:t>
      </w:r>
      <w:r w:rsidR="11403CD6">
        <w:t>system was articulated by t</w:t>
      </w:r>
      <w:r w:rsidR="6381799D">
        <w:t xml:space="preserve">he Productivity Commission </w:t>
      </w:r>
      <w:r w:rsidR="11403CD6">
        <w:t xml:space="preserve">in its 2018 </w:t>
      </w:r>
      <w:r w:rsidR="6381799D">
        <w:t>Inquiry Report on Horizontal Fiscal Equalisation</w:t>
      </w:r>
      <w:r w:rsidR="305CF731">
        <w:t>:</w:t>
      </w:r>
    </w:p>
    <w:p w14:paraId="44D7A338" w14:textId="0B6F86E6" w:rsidR="00F612C5" w:rsidRDefault="005D5875" w:rsidP="00E67F3E">
      <w:pPr>
        <w:pStyle w:val="CGCBodyCopy"/>
        <w:ind w:left="567" w:right="842"/>
        <w:rPr>
          <w:szCs w:val="20"/>
        </w:rPr>
      </w:pPr>
      <w:r>
        <w:rPr>
          <w:szCs w:val="20"/>
        </w:rPr>
        <w:t>C</w:t>
      </w:r>
      <w:r w:rsidR="00F612C5" w:rsidRPr="00674404">
        <w:rPr>
          <w:szCs w:val="20"/>
        </w:rPr>
        <w:t xml:space="preserve">omplexity may not be a problem in and of itself — as participants have noted, there are many aspects of public policy that are complex — but an </w:t>
      </w:r>
      <w:bookmarkStart w:id="1" w:name="_Hlk210895954"/>
      <w:r w:rsidR="00F612C5" w:rsidRPr="00674404">
        <w:rPr>
          <w:szCs w:val="20"/>
        </w:rPr>
        <w:t xml:space="preserve">overly complex system </w:t>
      </w:r>
      <w:bookmarkStart w:id="2" w:name="_Hlk208847688"/>
      <w:r w:rsidR="00F612C5" w:rsidRPr="00674404">
        <w:rPr>
          <w:szCs w:val="20"/>
        </w:rPr>
        <w:t xml:space="preserve">can adversely affect both the understanding of the system broadly </w:t>
      </w:r>
      <w:bookmarkEnd w:id="1"/>
      <w:r w:rsidR="00F612C5" w:rsidRPr="00674404">
        <w:rPr>
          <w:szCs w:val="20"/>
        </w:rPr>
        <w:t>and the way in which decisions are made</w:t>
      </w:r>
      <w:bookmarkEnd w:id="2"/>
      <w:r w:rsidR="007B3212">
        <w:rPr>
          <w:szCs w:val="20"/>
        </w:rPr>
        <w:t>.</w:t>
      </w:r>
      <w:r w:rsidR="00F612C5" w:rsidRPr="009E3A2C">
        <w:rPr>
          <w:rStyle w:val="FootnoteReference"/>
          <w:vertAlign w:val="superscript"/>
        </w:rPr>
        <w:footnoteReference w:id="8"/>
      </w:r>
    </w:p>
    <w:p w14:paraId="77E8724F" w14:textId="4A501B54" w:rsidR="00CD3718" w:rsidRDefault="6B4501FD" w:rsidP="00886735">
      <w:pPr>
        <w:pStyle w:val="CGCBodyCopy"/>
      </w:pPr>
      <w:r>
        <w:t xml:space="preserve">Over the </w:t>
      </w:r>
      <w:r w:rsidR="7E7B098F">
        <w:t>decades</w:t>
      </w:r>
      <w:r>
        <w:t xml:space="preserve">, several </w:t>
      </w:r>
      <w:r w:rsidR="6C9C9B6F">
        <w:t xml:space="preserve">states </w:t>
      </w:r>
      <w:r>
        <w:t>and</w:t>
      </w:r>
      <w:r w:rsidR="11132C70">
        <w:t xml:space="preserve"> </w:t>
      </w:r>
      <w:r w:rsidR="5EF69D99">
        <w:t>stakeholders</w:t>
      </w:r>
      <w:r>
        <w:t xml:space="preserve"> have expressed similar sentiments</w:t>
      </w:r>
      <w:r w:rsidR="11132C70">
        <w:t>.</w:t>
      </w:r>
    </w:p>
    <w:p w14:paraId="5F370729" w14:textId="1B3D75B2" w:rsidR="005236BD" w:rsidRDefault="00800F97" w:rsidP="00886735">
      <w:pPr>
        <w:pStyle w:val="CGCBodyCopy"/>
        <w:rPr>
          <w:szCs w:val="20"/>
        </w:rPr>
      </w:pPr>
      <w:r>
        <w:rPr>
          <w:szCs w:val="20"/>
        </w:rPr>
        <w:t xml:space="preserve">Since the adoption of a comprehensive system of horizontal fiscal equalisation in the late 1970s stakeholders have been conscious of the importance of </w:t>
      </w:r>
      <w:r w:rsidR="00D734D4">
        <w:rPr>
          <w:szCs w:val="20"/>
        </w:rPr>
        <w:t xml:space="preserve">limiting </w:t>
      </w:r>
      <w:r w:rsidR="00BF3964">
        <w:rPr>
          <w:szCs w:val="20"/>
        </w:rPr>
        <w:t>complexity in the equalisation arrangements</w:t>
      </w:r>
      <w:r w:rsidR="00280EFE">
        <w:rPr>
          <w:szCs w:val="20"/>
        </w:rPr>
        <w:t xml:space="preserve"> (Box 1).</w:t>
      </w:r>
    </w:p>
    <w:p w14:paraId="474DEAE7" w14:textId="502A5C35" w:rsidR="00957974" w:rsidRPr="000A2059" w:rsidRDefault="00957974" w:rsidP="00957974">
      <w:pPr>
        <w:pStyle w:val="CGCBodyCopy"/>
      </w:pPr>
      <w:r>
        <w:rPr>
          <w:szCs w:val="20"/>
        </w:rPr>
        <w:t xml:space="preserve">The Commission’s most recent exploration of options for significant simplification was in the 2020 Methodology Review. </w:t>
      </w:r>
      <w:r w:rsidR="00AA24E7" w:rsidRPr="00ED3A55">
        <w:rPr>
          <w:szCs w:val="20"/>
        </w:rPr>
        <w:t>The Commission</w:t>
      </w:r>
      <w:r w:rsidR="00BB7DB7" w:rsidRPr="007B314F">
        <w:rPr>
          <w:szCs w:val="20"/>
        </w:rPr>
        <w:t xml:space="preserve"> considered a variety of options</w:t>
      </w:r>
      <w:r w:rsidR="00C0715A" w:rsidRPr="00ED3A55">
        <w:rPr>
          <w:szCs w:val="20"/>
        </w:rPr>
        <w:t xml:space="preserve"> for broader assessment methods</w:t>
      </w:r>
      <w:r w:rsidR="00545A0A" w:rsidRPr="00ED3A55">
        <w:rPr>
          <w:szCs w:val="20"/>
        </w:rPr>
        <w:t xml:space="preserve"> </w:t>
      </w:r>
      <w:r w:rsidR="007D300C">
        <w:rPr>
          <w:szCs w:val="20"/>
        </w:rPr>
        <w:t>for</w:t>
      </w:r>
      <w:r w:rsidR="00556EC3" w:rsidRPr="00ED3A55">
        <w:rPr>
          <w:szCs w:val="20"/>
        </w:rPr>
        <w:t xml:space="preserve"> expenditure requirements</w:t>
      </w:r>
      <w:r w:rsidR="00BF2047">
        <w:rPr>
          <w:szCs w:val="20"/>
        </w:rPr>
        <w:t xml:space="preserve"> and </w:t>
      </w:r>
      <w:r w:rsidR="00556EC3" w:rsidRPr="00ED3A55">
        <w:rPr>
          <w:szCs w:val="20"/>
        </w:rPr>
        <w:t>revenue capacity</w:t>
      </w:r>
      <w:r w:rsidR="00545A0A" w:rsidRPr="00ED3A55">
        <w:rPr>
          <w:szCs w:val="20"/>
        </w:rPr>
        <w:t xml:space="preserve">. </w:t>
      </w:r>
      <w:r w:rsidR="00AF0572" w:rsidRPr="00ED3A55">
        <w:rPr>
          <w:szCs w:val="20"/>
        </w:rPr>
        <w:t>These included</w:t>
      </w:r>
      <w:r w:rsidR="00AF0572" w:rsidRPr="00ED3A55">
        <w:t xml:space="preserve"> </w:t>
      </w:r>
      <w:r w:rsidR="00B10428" w:rsidRPr="00ED3A55">
        <w:t>using</w:t>
      </w:r>
      <w:r w:rsidR="00C0715A" w:rsidRPr="007B314F">
        <w:t xml:space="preserve"> a subset of </w:t>
      </w:r>
      <w:r w:rsidR="00F05E88" w:rsidRPr="00ED3A55">
        <w:t xml:space="preserve">the existing expense </w:t>
      </w:r>
      <w:r w:rsidR="007D300C" w:rsidRPr="007D300C">
        <w:t>assessments</w:t>
      </w:r>
      <w:r w:rsidR="00C22048">
        <w:t>;</w:t>
      </w:r>
      <w:r w:rsidR="00F05E88" w:rsidRPr="00ED3A55">
        <w:t xml:space="preserve"> using a subset of </w:t>
      </w:r>
      <w:r w:rsidR="00C0715A" w:rsidRPr="007B314F">
        <w:t>socio</w:t>
      </w:r>
      <w:r w:rsidR="000C023B">
        <w:t>-</w:t>
      </w:r>
      <w:r w:rsidR="00C0715A" w:rsidRPr="007B314F">
        <w:t xml:space="preserve">economic </w:t>
      </w:r>
      <w:r w:rsidR="00BB4D75" w:rsidRPr="00ED3A55">
        <w:t>drivers</w:t>
      </w:r>
      <w:r w:rsidR="00C0715A" w:rsidRPr="007B314F">
        <w:t xml:space="preserve"> to assess expenditure needs</w:t>
      </w:r>
      <w:r w:rsidR="00D23038">
        <w:t xml:space="preserve">; and </w:t>
      </w:r>
      <w:r w:rsidR="00D23038" w:rsidRPr="00ED3A55">
        <w:rPr>
          <w:szCs w:val="20"/>
        </w:rPr>
        <w:t>considering a global measure, such as Gross State Product, to approximate states’</w:t>
      </w:r>
      <w:r w:rsidR="00D23038" w:rsidRPr="007B314F">
        <w:t xml:space="preserve"> revenue raising capacit</w:t>
      </w:r>
      <w:r w:rsidR="00947573">
        <w:t>ies</w:t>
      </w:r>
      <w:r w:rsidR="00C0715A" w:rsidRPr="007B314F">
        <w:t xml:space="preserve">. </w:t>
      </w:r>
      <w:r w:rsidR="00640F0F">
        <w:t>In each case the</w:t>
      </w:r>
      <w:r w:rsidR="00C0715A" w:rsidRPr="007B314F">
        <w:t xml:space="preserve"> Commission found they </w:t>
      </w:r>
      <w:r w:rsidR="00C0715A" w:rsidRPr="007B314F">
        <w:lastRenderedPageBreak/>
        <w:t>did not sufficiently account for the specific circumstances affecting each state</w:t>
      </w:r>
      <w:r w:rsidR="007918E4">
        <w:t>’</w:t>
      </w:r>
      <w:r w:rsidR="00C0715A" w:rsidRPr="007B314F">
        <w:t>s expenditure needs or revenue raising capacity</w:t>
      </w:r>
      <w:r w:rsidR="00715A46">
        <w:t>. O</w:t>
      </w:r>
      <w:r>
        <w:rPr>
          <w:szCs w:val="20"/>
        </w:rPr>
        <w:t xml:space="preserve">ther than a further increase to the materiality threshold, </w:t>
      </w:r>
      <w:r w:rsidR="00640F0F">
        <w:rPr>
          <w:szCs w:val="20"/>
        </w:rPr>
        <w:t>the Commission</w:t>
      </w:r>
      <w:r>
        <w:rPr>
          <w:szCs w:val="20"/>
        </w:rPr>
        <w:t xml:space="preserve"> </w:t>
      </w:r>
      <w:r w:rsidRPr="00F23E0A">
        <w:rPr>
          <w:szCs w:val="20"/>
        </w:rPr>
        <w:t xml:space="preserve">concluded it was difficult to find alternatives that </w:t>
      </w:r>
      <w:r w:rsidR="00640F0F">
        <w:rPr>
          <w:szCs w:val="20"/>
        </w:rPr>
        <w:t>were</w:t>
      </w:r>
      <w:r w:rsidRPr="00F23E0A">
        <w:rPr>
          <w:szCs w:val="20"/>
        </w:rPr>
        <w:t xml:space="preserve"> simpler</w:t>
      </w:r>
      <w:r>
        <w:rPr>
          <w:szCs w:val="20"/>
        </w:rPr>
        <w:t xml:space="preserve"> </w:t>
      </w:r>
      <w:r w:rsidRPr="00F23E0A">
        <w:rPr>
          <w:szCs w:val="20"/>
        </w:rPr>
        <w:t>and still consistent with the fiscal equalisation objective.</w:t>
      </w:r>
      <w:r w:rsidRPr="00250104">
        <w:rPr>
          <w:rStyle w:val="FootnoteReference"/>
          <w:vertAlign w:val="superscript"/>
        </w:rPr>
        <w:footnoteReference w:id="9"/>
      </w:r>
    </w:p>
    <w:p w14:paraId="0A5D6B86" w14:textId="77777777" w:rsidR="00EB60EB" w:rsidRDefault="00EB60EB">
      <w:pPr>
        <w:tabs>
          <w:tab w:val="clear" w:pos="567"/>
        </w:tabs>
        <w:spacing w:before="0" w:line="240" w:lineRule="auto"/>
        <w:rPr>
          <w:rFonts w:ascii="Work Sans" w:hAnsi="Work Sans" w:cs="Cambria Math"/>
          <w:color w:val="000000"/>
          <w:szCs w:val="21"/>
          <w:shd w:val="clear" w:color="auto" w:fill="FFFFFF"/>
        </w:rPr>
      </w:pPr>
      <w:r>
        <w:br w:type="page"/>
      </w:r>
    </w:p>
    <w:p w14:paraId="5DAAC1E0" w14:textId="51BA46E4" w:rsidR="005236BD" w:rsidRDefault="00960982" w:rsidP="00EA14D8">
      <w:pPr>
        <w:pStyle w:val="CGCBodyCopy"/>
      </w:pPr>
      <w:r>
        <w:lastRenderedPageBreak/>
        <w:t xml:space="preserve">A complex system </w:t>
      </w:r>
      <w:r w:rsidRPr="00674404">
        <w:rPr>
          <w:szCs w:val="20"/>
        </w:rPr>
        <w:t>can adversely affect understanding of the system</w:t>
      </w:r>
      <w:r w:rsidR="00750D78">
        <w:rPr>
          <w:szCs w:val="20"/>
        </w:rPr>
        <w:t xml:space="preserve">. </w:t>
      </w:r>
      <w:r w:rsidR="00C47E14">
        <w:rPr>
          <w:szCs w:val="20"/>
        </w:rPr>
        <w:t xml:space="preserve">Recognising this, the </w:t>
      </w:r>
      <w:r w:rsidR="000F7754">
        <w:rPr>
          <w:szCs w:val="20"/>
        </w:rPr>
        <w:t xml:space="preserve">Commission </w:t>
      </w:r>
      <w:r w:rsidR="00736834" w:rsidRPr="008F3FA8">
        <w:rPr>
          <w:szCs w:val="20"/>
        </w:rPr>
        <w:t xml:space="preserve">actively works with the states and other stakeholders to explain </w:t>
      </w:r>
      <w:r w:rsidR="00B7693A">
        <w:rPr>
          <w:szCs w:val="20"/>
        </w:rPr>
        <w:t xml:space="preserve">its </w:t>
      </w:r>
      <w:r w:rsidR="00736834" w:rsidRPr="008F3FA8">
        <w:rPr>
          <w:szCs w:val="20"/>
        </w:rPr>
        <w:t xml:space="preserve">assessments </w:t>
      </w:r>
      <w:r w:rsidR="0019746B">
        <w:rPr>
          <w:szCs w:val="20"/>
        </w:rPr>
        <w:t>to</w:t>
      </w:r>
      <w:r w:rsidR="0019746B" w:rsidRPr="008F3FA8">
        <w:rPr>
          <w:szCs w:val="20"/>
        </w:rPr>
        <w:t xml:space="preserve"> </w:t>
      </w:r>
      <w:r w:rsidR="00530171">
        <w:rPr>
          <w:szCs w:val="20"/>
        </w:rPr>
        <w:t>improve</w:t>
      </w:r>
      <w:r w:rsidR="00530171" w:rsidRPr="008F3FA8">
        <w:rPr>
          <w:szCs w:val="20"/>
        </w:rPr>
        <w:t xml:space="preserve"> </w:t>
      </w:r>
      <w:r w:rsidR="0019746B">
        <w:rPr>
          <w:szCs w:val="20"/>
        </w:rPr>
        <w:t xml:space="preserve">familiarity and </w:t>
      </w:r>
      <w:r w:rsidR="00736834" w:rsidRPr="008F3FA8">
        <w:rPr>
          <w:szCs w:val="20"/>
        </w:rPr>
        <w:t>understanding.</w:t>
      </w:r>
      <w:r w:rsidR="00736834">
        <w:rPr>
          <w:szCs w:val="20"/>
        </w:rPr>
        <w:t xml:space="preserve"> For example, o</w:t>
      </w:r>
      <w:r w:rsidR="00736834" w:rsidRPr="00573CC7">
        <w:rPr>
          <w:szCs w:val="20"/>
        </w:rPr>
        <w:t xml:space="preserve">ver the past 5 years the Commission has </w:t>
      </w:r>
      <w:r w:rsidR="0064239C">
        <w:rPr>
          <w:szCs w:val="20"/>
        </w:rPr>
        <w:t xml:space="preserve">introduced its </w:t>
      </w:r>
      <w:r w:rsidR="00736834" w:rsidRPr="00573CC7">
        <w:rPr>
          <w:szCs w:val="20"/>
        </w:rPr>
        <w:t>Occasional Paper and Research Paper series. These papers provide non</w:t>
      </w:r>
      <w:r w:rsidR="00B7693A">
        <w:rPr>
          <w:szCs w:val="20"/>
        </w:rPr>
        <w:noBreakHyphen/>
      </w:r>
      <w:r w:rsidR="00736834" w:rsidRPr="00573CC7">
        <w:rPr>
          <w:szCs w:val="20"/>
        </w:rPr>
        <w:t>technical information on the Commission’s work and aspects of the distribution of GST.</w:t>
      </w:r>
      <w:r w:rsidR="00B7693A">
        <w:rPr>
          <w:szCs w:val="20"/>
        </w:rPr>
        <w:t xml:space="preserve"> The Commission </w:t>
      </w:r>
      <w:r w:rsidR="000F27BF">
        <w:rPr>
          <w:szCs w:val="20"/>
        </w:rPr>
        <w:t xml:space="preserve">has made other efforts to explain its work more effectively and </w:t>
      </w:r>
      <w:r w:rsidR="00B7693A">
        <w:rPr>
          <w:szCs w:val="20"/>
        </w:rPr>
        <w:t xml:space="preserve">works closely with the states and other stakeholders to provide training and </w:t>
      </w:r>
      <w:r w:rsidR="007A325E">
        <w:rPr>
          <w:szCs w:val="20"/>
        </w:rPr>
        <w:t>address</w:t>
      </w:r>
      <w:r w:rsidR="00B7693A">
        <w:rPr>
          <w:szCs w:val="20"/>
        </w:rPr>
        <w:t xml:space="preserve"> queries.</w:t>
      </w:r>
    </w:p>
    <w:p w14:paraId="458603BA" w14:textId="351FFAB6" w:rsidR="000F7754" w:rsidRDefault="00C45425" w:rsidP="000F7754">
      <w:pPr>
        <w:pStyle w:val="CGCBodyCopy"/>
      </w:pPr>
      <w:r>
        <w:t>H</w:t>
      </w:r>
      <w:r w:rsidR="00112F74">
        <w:t>elping</w:t>
      </w:r>
      <w:r w:rsidR="000F7754">
        <w:t xml:space="preserve"> to improve stakeholder understanding of the system </w:t>
      </w:r>
      <w:r w:rsidR="00112F74">
        <w:t>has</w:t>
      </w:r>
      <w:r w:rsidR="000F7754">
        <w:t xml:space="preserve"> the benefit of reducing </w:t>
      </w:r>
      <w:r>
        <w:t>some</w:t>
      </w:r>
      <w:r w:rsidR="00112F74">
        <w:t xml:space="preserve"> of the issues </w:t>
      </w:r>
      <w:r w:rsidR="000F7754">
        <w:t>caused by complexity without a</w:t>
      </w:r>
      <w:r w:rsidR="00112F74">
        <w:t xml:space="preserve"> corresponding</w:t>
      </w:r>
      <w:r w:rsidR="000F7754">
        <w:t xml:space="preserve"> reduction in fiscal equalisation. In </w:t>
      </w:r>
      <w:r>
        <w:t>that</w:t>
      </w:r>
      <w:r w:rsidR="000F7754">
        <w:t xml:space="preserve"> regard,</w:t>
      </w:r>
      <w:r w:rsidR="00112F74">
        <w:t xml:space="preserve"> the Commission considers </w:t>
      </w:r>
      <w:r w:rsidR="00343192">
        <w:t xml:space="preserve">that </w:t>
      </w:r>
      <w:r w:rsidR="00112F74">
        <w:t xml:space="preserve">one of its </w:t>
      </w:r>
      <w:r w:rsidR="00343192">
        <w:t>key</w:t>
      </w:r>
      <w:r w:rsidR="00112F74">
        <w:t xml:space="preserve"> responsibilities</w:t>
      </w:r>
      <w:r w:rsidR="00343192">
        <w:t xml:space="preserve"> is</w:t>
      </w:r>
      <w:r w:rsidR="00112F74">
        <w:t xml:space="preserve"> to </w:t>
      </w:r>
      <w:r w:rsidR="00343192">
        <w:t>work closely</w:t>
      </w:r>
      <w:r w:rsidR="00112F74">
        <w:t xml:space="preserve"> </w:t>
      </w:r>
      <w:r w:rsidR="00343192">
        <w:t xml:space="preserve">and openly </w:t>
      </w:r>
      <w:r w:rsidR="00112F74">
        <w:t xml:space="preserve">with </w:t>
      </w:r>
      <w:r w:rsidR="000F7754">
        <w:t>state</w:t>
      </w:r>
      <w:r w:rsidR="00571EB1">
        <w:t>s</w:t>
      </w:r>
      <w:r w:rsidR="00112F74">
        <w:t xml:space="preserve"> to aid their</w:t>
      </w:r>
      <w:r w:rsidR="000F7754">
        <w:t xml:space="preserve"> understanding of </w:t>
      </w:r>
      <w:r w:rsidR="00343192">
        <w:t>its</w:t>
      </w:r>
      <w:r w:rsidR="000F7754">
        <w:t xml:space="preserve"> assessment methods</w:t>
      </w:r>
      <w:r w:rsidR="00112F74">
        <w:t xml:space="preserve">, including by providing </w:t>
      </w:r>
      <w:r w:rsidR="000F7754">
        <w:t xml:space="preserve">greater access to the </w:t>
      </w:r>
      <w:r w:rsidR="00112F74">
        <w:t xml:space="preserve">relevant </w:t>
      </w:r>
      <w:r w:rsidR="000F7754">
        <w:t xml:space="preserve">data and calculations that underpin </w:t>
      </w:r>
      <w:r w:rsidR="00343192">
        <w:t>those</w:t>
      </w:r>
      <w:r w:rsidR="000F7754">
        <w:t xml:space="preserve"> assessments.</w:t>
      </w:r>
    </w:p>
    <w:p w14:paraId="68FA7781" w14:textId="77777777" w:rsidR="00995EC4" w:rsidRPr="00635DAC" w:rsidRDefault="00995EC4" w:rsidP="00995EC4">
      <w:pPr>
        <w:pStyle w:val="Heading2"/>
      </w:pPr>
      <w:r w:rsidRPr="00635DAC">
        <w:t>Conclusion</w:t>
      </w:r>
    </w:p>
    <w:p w14:paraId="13A4EF65" w14:textId="2948C50C" w:rsidR="00DD17E1" w:rsidRDefault="00DD17E1" w:rsidP="00031106">
      <w:pPr>
        <w:pStyle w:val="CGCBodyCopy"/>
      </w:pPr>
      <w:bookmarkStart w:id="3" w:name="_Hlk210904617"/>
      <w:r>
        <w:t xml:space="preserve">Equalisation </w:t>
      </w:r>
      <w:r w:rsidR="00527455">
        <w:t xml:space="preserve">has </w:t>
      </w:r>
      <w:r w:rsidR="009D61E1">
        <w:t xml:space="preserve">been a core concept </w:t>
      </w:r>
      <w:r w:rsidR="008B3BA4">
        <w:t>for Australia</w:t>
      </w:r>
      <w:r w:rsidR="009D61E1">
        <w:t xml:space="preserve"> in</w:t>
      </w:r>
      <w:r w:rsidR="00527455">
        <w:t xml:space="preserve"> one form or another </w:t>
      </w:r>
      <w:r w:rsidR="009D61E1">
        <w:t xml:space="preserve">since Federation. The first Commonwealth special </w:t>
      </w:r>
      <w:r w:rsidR="00AE1FD4">
        <w:t xml:space="preserve">state </w:t>
      </w:r>
      <w:r w:rsidR="009D61E1">
        <w:t xml:space="preserve">grant was provided in 1910, with </w:t>
      </w:r>
      <w:r w:rsidR="005F6184">
        <w:t xml:space="preserve">subsequent grants leading to the </w:t>
      </w:r>
      <w:r w:rsidR="0041338B">
        <w:t xml:space="preserve">Commonwealth establishing the </w:t>
      </w:r>
      <w:r w:rsidR="005F6184">
        <w:t>Commission in 1933</w:t>
      </w:r>
      <w:r w:rsidR="008B3BA4">
        <w:t xml:space="preserve">. </w:t>
      </w:r>
      <w:r w:rsidR="00AE1FD4">
        <w:t xml:space="preserve">Since then, successive </w:t>
      </w:r>
      <w:r w:rsidR="0088749C">
        <w:t>C</w:t>
      </w:r>
      <w:r w:rsidR="002B072E">
        <w:t xml:space="preserve">ommonwealth and state governments have supported </w:t>
      </w:r>
      <w:r w:rsidR="0088749C">
        <w:t>horizontal fiscal equalisation</w:t>
      </w:r>
      <w:r w:rsidR="00AE1FD4">
        <w:t xml:space="preserve">, recognising </w:t>
      </w:r>
      <w:r w:rsidR="00F62F85">
        <w:t>the role it plays in</w:t>
      </w:r>
      <w:r w:rsidR="005D61BA">
        <w:t xml:space="preserve"> supporting</w:t>
      </w:r>
      <w:r w:rsidR="00F62F85">
        <w:t xml:space="preserve"> </w:t>
      </w:r>
      <w:r w:rsidR="002B072E">
        <w:t>Australians</w:t>
      </w:r>
      <w:r w:rsidR="00453748">
        <w:t>’</w:t>
      </w:r>
      <w:r w:rsidR="005D61BA">
        <w:t xml:space="preserve"> access</w:t>
      </w:r>
      <w:r w:rsidR="002B072E">
        <w:t xml:space="preserve"> </w:t>
      </w:r>
      <w:r w:rsidR="00453748">
        <w:t xml:space="preserve">to </w:t>
      </w:r>
      <w:r w:rsidR="002B072E">
        <w:t>a broadly similar standard of government services</w:t>
      </w:r>
      <w:r w:rsidR="0088749C">
        <w:t xml:space="preserve">. </w:t>
      </w:r>
      <w:r w:rsidR="00F62F85">
        <w:t xml:space="preserve">This </w:t>
      </w:r>
      <w:r w:rsidR="00D852A1">
        <w:t>approach to</w:t>
      </w:r>
      <w:r w:rsidR="00F62F85">
        <w:t xml:space="preserve"> horizontal fiscal equalisation principles has been embedded in the Commission’s</w:t>
      </w:r>
      <w:r w:rsidR="00EE2AC0">
        <w:t xml:space="preserve"> enabling</w:t>
      </w:r>
      <w:r w:rsidR="00F62F85">
        <w:t xml:space="preserve"> legislation</w:t>
      </w:r>
      <w:r w:rsidR="009A04D7">
        <w:t xml:space="preserve"> </w:t>
      </w:r>
      <w:r w:rsidR="00F62F85">
        <w:t>and the GST distribution arrangements.</w:t>
      </w:r>
    </w:p>
    <w:bookmarkEnd w:id="3"/>
    <w:p w14:paraId="2B42607A" w14:textId="1A31F33E" w:rsidR="001B213F" w:rsidRDefault="00F62F85" w:rsidP="001B213F">
      <w:pPr>
        <w:pStyle w:val="CGCBodyCopy"/>
      </w:pPr>
      <w:r>
        <w:t xml:space="preserve">To meet its legislative requirements and overarching mandate, the </w:t>
      </w:r>
      <w:r w:rsidR="5636F03E">
        <w:t>Commission measure</w:t>
      </w:r>
      <w:r>
        <w:t>s</w:t>
      </w:r>
      <w:r w:rsidR="5636F03E">
        <w:t xml:space="preserve"> states’ relative fiscal capacities </w:t>
      </w:r>
      <w:r w:rsidR="006A6B9E">
        <w:t xml:space="preserve">by </w:t>
      </w:r>
      <w:r w:rsidR="5636F03E">
        <w:t xml:space="preserve">assessing all their diverse </w:t>
      </w:r>
      <w:r w:rsidR="000D7CD4">
        <w:t xml:space="preserve">areas of spending and </w:t>
      </w:r>
      <w:r w:rsidR="5636F03E">
        <w:t xml:space="preserve">sources of revenue, and </w:t>
      </w:r>
      <w:r w:rsidR="00DA3545">
        <w:t xml:space="preserve">by </w:t>
      </w:r>
      <w:r w:rsidR="5636F03E">
        <w:t xml:space="preserve">capturing all important drivers. In doing this, the Commission has regard to a range of economic, demographic and geographic characteristics to help it assess relative fiscal capacities </w:t>
      </w:r>
      <w:r w:rsidR="005F2BE2">
        <w:t>comprehensively</w:t>
      </w:r>
      <w:r w:rsidR="5636F03E">
        <w:t>.</w:t>
      </w:r>
    </w:p>
    <w:p w14:paraId="6BC78340" w14:textId="00C2B5D3" w:rsidR="00995EC4" w:rsidRDefault="003F53EE" w:rsidP="00995EC4">
      <w:pPr>
        <w:pStyle w:val="CGCBodyCopy"/>
        <w:rPr>
          <w:szCs w:val="20"/>
        </w:rPr>
      </w:pPr>
      <w:r w:rsidRPr="003F53EE">
        <w:rPr>
          <w:szCs w:val="20"/>
        </w:rPr>
        <w:t xml:space="preserve">The Commission aims to have assessment methods that are as simple as possible, consistent with the </w:t>
      </w:r>
      <w:r w:rsidR="008C0AC6">
        <w:rPr>
          <w:szCs w:val="20"/>
        </w:rPr>
        <w:t xml:space="preserve">overarching </w:t>
      </w:r>
      <w:r w:rsidRPr="003F53EE">
        <w:rPr>
          <w:szCs w:val="20"/>
        </w:rPr>
        <w:t xml:space="preserve">mandate </w:t>
      </w:r>
      <w:r w:rsidR="008C0AC6">
        <w:rPr>
          <w:szCs w:val="20"/>
        </w:rPr>
        <w:t>of purs</w:t>
      </w:r>
      <w:r w:rsidR="003B5954">
        <w:rPr>
          <w:szCs w:val="20"/>
        </w:rPr>
        <w:t>ing</w:t>
      </w:r>
      <w:r w:rsidR="008C0AC6" w:rsidRPr="003F53EE">
        <w:rPr>
          <w:szCs w:val="20"/>
        </w:rPr>
        <w:t xml:space="preserve"> </w:t>
      </w:r>
      <w:r w:rsidRPr="003F53EE">
        <w:rPr>
          <w:szCs w:val="20"/>
        </w:rPr>
        <w:t>horizontal fiscal equalisation.</w:t>
      </w:r>
      <w:r w:rsidR="00201287">
        <w:rPr>
          <w:szCs w:val="20"/>
        </w:rPr>
        <w:t xml:space="preserve"> However, t</w:t>
      </w:r>
      <w:r w:rsidR="00995EC4" w:rsidRPr="00094A66">
        <w:rPr>
          <w:szCs w:val="20"/>
        </w:rPr>
        <w:t xml:space="preserve">here is a trade-off between the </w:t>
      </w:r>
      <w:r w:rsidR="00372EC2">
        <w:rPr>
          <w:szCs w:val="20"/>
        </w:rPr>
        <w:t xml:space="preserve">comprehensiveness </w:t>
      </w:r>
      <w:r w:rsidR="00995EC4" w:rsidRPr="00094A66">
        <w:rPr>
          <w:szCs w:val="20"/>
        </w:rPr>
        <w:t>of measuring fiscal capacity and the simplicity of assessment methods</w:t>
      </w:r>
      <w:r w:rsidR="00995EC4">
        <w:rPr>
          <w:szCs w:val="20"/>
        </w:rPr>
        <w:t>.</w:t>
      </w:r>
    </w:p>
    <w:p w14:paraId="73877BFD" w14:textId="1CEF5F73" w:rsidR="00995EC4" w:rsidRDefault="00995EC4" w:rsidP="00995EC4">
      <w:pPr>
        <w:pStyle w:val="CGCBodyCopy"/>
        <w:rPr>
          <w:szCs w:val="20"/>
        </w:rPr>
      </w:pPr>
      <w:r>
        <w:rPr>
          <w:szCs w:val="20"/>
        </w:rPr>
        <w:t xml:space="preserve">Given the implications that significant simplification would have for the calculation of states’ relative fiscal capacities, </w:t>
      </w:r>
      <w:r w:rsidR="00372EC2">
        <w:rPr>
          <w:szCs w:val="20"/>
        </w:rPr>
        <w:t xml:space="preserve">major </w:t>
      </w:r>
      <w:r w:rsidRPr="004515D7">
        <w:rPr>
          <w:szCs w:val="20"/>
        </w:rPr>
        <w:t xml:space="preserve">changes would likely need agreement between </w:t>
      </w:r>
      <w:r>
        <w:rPr>
          <w:szCs w:val="20"/>
        </w:rPr>
        <w:t xml:space="preserve">the </w:t>
      </w:r>
      <w:r w:rsidRPr="004515D7">
        <w:rPr>
          <w:szCs w:val="20"/>
        </w:rPr>
        <w:t>Commonwealth and states</w:t>
      </w:r>
      <w:r w:rsidR="00AD0099">
        <w:rPr>
          <w:szCs w:val="20"/>
        </w:rPr>
        <w:t>.</w:t>
      </w:r>
    </w:p>
    <w:p w14:paraId="2FACA122" w14:textId="32ABEFBB" w:rsidR="00995EC4" w:rsidRDefault="002F7258" w:rsidP="00995EC4">
      <w:pPr>
        <w:pStyle w:val="CGCBodyCopy"/>
        <w:rPr>
          <w:szCs w:val="20"/>
        </w:rPr>
      </w:pPr>
      <w:r>
        <w:rPr>
          <w:szCs w:val="20"/>
        </w:rPr>
        <w:t>T</w:t>
      </w:r>
      <w:r w:rsidR="00995EC4">
        <w:rPr>
          <w:szCs w:val="20"/>
        </w:rPr>
        <w:t>he</w:t>
      </w:r>
      <w:r w:rsidR="00995EC4" w:rsidRPr="0029438B">
        <w:rPr>
          <w:szCs w:val="20"/>
        </w:rPr>
        <w:t xml:space="preserve"> Commission</w:t>
      </w:r>
      <w:r w:rsidR="007A3BD4">
        <w:rPr>
          <w:szCs w:val="20"/>
        </w:rPr>
        <w:t xml:space="preserve"> remains committed</w:t>
      </w:r>
      <w:r w:rsidR="00F05723">
        <w:rPr>
          <w:szCs w:val="20"/>
        </w:rPr>
        <w:t xml:space="preserve"> </w:t>
      </w:r>
      <w:r w:rsidR="00107EF6">
        <w:rPr>
          <w:szCs w:val="20"/>
        </w:rPr>
        <w:t xml:space="preserve">to </w:t>
      </w:r>
      <w:r w:rsidR="00F05723">
        <w:rPr>
          <w:szCs w:val="20"/>
        </w:rPr>
        <w:t>implementing its mandate</w:t>
      </w:r>
      <w:r w:rsidR="000357BB">
        <w:rPr>
          <w:szCs w:val="20"/>
        </w:rPr>
        <w:t xml:space="preserve"> </w:t>
      </w:r>
      <w:r w:rsidR="00AC2EDD">
        <w:rPr>
          <w:szCs w:val="20"/>
        </w:rPr>
        <w:t xml:space="preserve">and using </w:t>
      </w:r>
      <w:r w:rsidR="00935612">
        <w:rPr>
          <w:szCs w:val="20"/>
        </w:rPr>
        <w:t>the</w:t>
      </w:r>
      <w:r w:rsidR="00AC2EDD">
        <w:rPr>
          <w:szCs w:val="20"/>
        </w:rPr>
        <w:t xml:space="preserve"> practicality principle to </w:t>
      </w:r>
      <w:r>
        <w:rPr>
          <w:szCs w:val="20"/>
        </w:rPr>
        <w:t>reduce complexity</w:t>
      </w:r>
      <w:r w:rsidR="00766C70">
        <w:rPr>
          <w:szCs w:val="20"/>
        </w:rPr>
        <w:t xml:space="preserve"> in its assessment</w:t>
      </w:r>
      <w:r w:rsidR="007920B4">
        <w:rPr>
          <w:szCs w:val="20"/>
        </w:rPr>
        <w:t>s</w:t>
      </w:r>
      <w:r>
        <w:rPr>
          <w:szCs w:val="20"/>
        </w:rPr>
        <w:t xml:space="preserve"> </w:t>
      </w:r>
      <w:r w:rsidR="00541B01">
        <w:rPr>
          <w:szCs w:val="20"/>
        </w:rPr>
        <w:t xml:space="preserve">where </w:t>
      </w:r>
      <w:r>
        <w:rPr>
          <w:szCs w:val="20"/>
        </w:rPr>
        <w:t>possible.</w:t>
      </w:r>
      <w:r w:rsidR="00F05723">
        <w:rPr>
          <w:szCs w:val="20"/>
        </w:rPr>
        <w:t xml:space="preserve"> </w:t>
      </w:r>
      <w:r w:rsidR="00935612">
        <w:rPr>
          <w:szCs w:val="20"/>
        </w:rPr>
        <w:t>The Commission will</w:t>
      </w:r>
      <w:r w:rsidR="007920B4">
        <w:rPr>
          <w:szCs w:val="20"/>
        </w:rPr>
        <w:t xml:space="preserve"> also</w:t>
      </w:r>
      <w:r w:rsidR="00935612">
        <w:rPr>
          <w:szCs w:val="20"/>
        </w:rPr>
        <w:t xml:space="preserve"> </w:t>
      </w:r>
      <w:r w:rsidR="00057337">
        <w:rPr>
          <w:szCs w:val="20"/>
        </w:rPr>
        <w:t xml:space="preserve">continue its focus on </w:t>
      </w:r>
      <w:r w:rsidR="00995EC4" w:rsidRPr="0029438B">
        <w:rPr>
          <w:szCs w:val="20"/>
        </w:rPr>
        <w:t>improv</w:t>
      </w:r>
      <w:r w:rsidR="00057337">
        <w:rPr>
          <w:szCs w:val="20"/>
        </w:rPr>
        <w:t>ing</w:t>
      </w:r>
      <w:r w:rsidR="0092686D">
        <w:rPr>
          <w:szCs w:val="20"/>
        </w:rPr>
        <w:t xml:space="preserve"> stakeholders’ understanding of the system and</w:t>
      </w:r>
      <w:r w:rsidR="00995EC4" w:rsidRPr="0029438B">
        <w:rPr>
          <w:szCs w:val="20"/>
        </w:rPr>
        <w:t xml:space="preserve"> communicat</w:t>
      </w:r>
      <w:r w:rsidR="00E377C6">
        <w:rPr>
          <w:szCs w:val="20"/>
        </w:rPr>
        <w:t>ing</w:t>
      </w:r>
      <w:r w:rsidR="00995EC4" w:rsidRPr="0029438B">
        <w:rPr>
          <w:szCs w:val="20"/>
        </w:rPr>
        <w:t xml:space="preserve"> </w:t>
      </w:r>
      <w:r w:rsidR="00E377C6">
        <w:rPr>
          <w:szCs w:val="20"/>
        </w:rPr>
        <w:t xml:space="preserve">its </w:t>
      </w:r>
      <w:r w:rsidR="00995EC4" w:rsidRPr="0029438B">
        <w:rPr>
          <w:szCs w:val="20"/>
        </w:rPr>
        <w:t>methods and decisions to different audiences.</w:t>
      </w:r>
    </w:p>
    <w:p w14:paraId="26CE3AB7" w14:textId="35AFB92F" w:rsidR="002D0CBA" w:rsidRDefault="002D0CBA">
      <w:pPr>
        <w:tabs>
          <w:tab w:val="clear" w:pos="567"/>
        </w:tabs>
        <w:spacing w:before="0" w:line="240" w:lineRule="auto"/>
        <w:rPr>
          <w:szCs w:val="20"/>
        </w:rPr>
      </w:pPr>
      <w:r>
        <w:rPr>
          <w:szCs w:val="20"/>
        </w:rPr>
        <w:br w:type="page"/>
      </w:r>
    </w:p>
    <w:p w14:paraId="39435339" w14:textId="1BF55254" w:rsidR="00DC1A8A" w:rsidRDefault="005B3A76">
      <w:pPr>
        <w:tabs>
          <w:tab w:val="clear" w:pos="567"/>
        </w:tabs>
        <w:spacing w:before="0" w:line="240" w:lineRule="auto"/>
        <w:rPr>
          <w:rFonts w:ascii="Work Sans" w:hAnsi="Work Sans" w:cs="Cambria Math"/>
          <w:color w:val="000000"/>
          <w:szCs w:val="20"/>
          <w:shd w:val="clear" w:color="auto" w:fill="FFFFFF"/>
        </w:rPr>
      </w:pPr>
      <w:r w:rsidRPr="00AE5B1B"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70AB70AC" wp14:editId="390940D8">
                <wp:simplePos x="0" y="0"/>
                <wp:positionH relativeFrom="margin">
                  <wp:posOffset>5503</wp:posOffset>
                </wp:positionH>
                <wp:positionV relativeFrom="margin">
                  <wp:posOffset>-75143</wp:posOffset>
                </wp:positionV>
                <wp:extent cx="5847080" cy="8593667"/>
                <wp:effectExtent l="0" t="0" r="1270" b="0"/>
                <wp:wrapNone/>
                <wp:docPr id="1540368799" name="Rectangle 154036879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080" cy="8593667"/>
                        </a:xfrm>
                        <a:prstGeom prst="rect">
                          <a:avLst/>
                        </a:prstGeom>
                        <a:solidFill>
                          <a:srgbClr val="E5F8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7CEBB4F" w14:textId="77777777" w:rsidR="00DC1A8A" w:rsidRPr="00596C3E" w:rsidRDefault="00DC1A8A" w:rsidP="00596C3E">
                            <w:pPr>
                              <w:pStyle w:val="Heading3"/>
                            </w:pPr>
                            <w:r w:rsidRPr="00596C3E">
                              <w:t>Box 1: Evolution of fiscal equalisation and complexity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19"/>
                              <w:gridCol w:w="5751"/>
                            </w:tblGrid>
                            <w:tr w:rsidR="00A1076B" w14:paraId="013AC496" w14:textId="77777777" w:rsidTr="006B6D83">
                              <w:trPr>
                                <w:trHeight w:val="2193"/>
                              </w:trPr>
                              <w:tc>
                                <w:tcPr>
                                  <w:tcW w:w="31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F4BC03" w14:textId="77777777" w:rsidR="00A1076B" w:rsidRPr="000167D3" w:rsidRDefault="00A1076B" w:rsidP="00A1076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167D3"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A systematic approach to revenue sharing for all states was introduced in the late 1970s.</w:t>
                                  </w:r>
                                </w:p>
                                <w:p w14:paraId="37DD91A9" w14:textId="77777777" w:rsidR="00A1076B" w:rsidRPr="005B3A76" w:rsidRDefault="00A1076B" w:rsidP="00DC1A8A">
                                  <w:pPr>
                                    <w:rPr>
                                      <w:rFonts w:ascii="Work Sans" w:hAnsi="Work Sans"/>
                                      <w:b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A29E0AD" w14:textId="77777777" w:rsidR="00867F52" w:rsidRPr="005B3A76" w:rsidRDefault="00867F52" w:rsidP="007F59CD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In 1978, the Commission’s role was broadened, and a dedicated pool of funds was to be shared between the states through ‘relativities’ to be determined by the Commission based on equalisation principles.</w:t>
                                  </w:r>
                                </w:p>
                                <w:p w14:paraId="439D3659" w14:textId="77777777" w:rsidR="00A1076B" w:rsidRPr="005B3A76" w:rsidRDefault="00867F52" w:rsidP="00D85220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The need to assess states’ relative fiscal capacities necessitated more rigorous assessment methods, with a corresponding increase in the complexity of the system.</w:t>
                                  </w:r>
                                </w:p>
                              </w:tc>
                            </w:tr>
                            <w:tr w:rsidR="00A1076B" w14:paraId="77167199" w14:textId="77777777" w:rsidTr="006B6D83">
                              <w:trPr>
                                <w:trHeight w:val="2084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6945036" w14:textId="6BD10E89" w:rsidR="00A1076B" w:rsidRPr="000167D3" w:rsidRDefault="006B6D83" w:rsidP="006E56B2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ork Sans" w:eastAsia="+mn-ea" w:hAnsi="Work Sans" w:cs="+mn-cs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7F59CD" w:rsidRPr="000167D3"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The 1999 </w:t>
                                  </w:r>
                                  <w:r w:rsidR="007F59CD" w:rsidRPr="000167D3">
                                    <w:rPr>
                                      <w:rFonts w:ascii="Work Sans SemiBold" w:eastAsia="+mn-ea" w:hAnsi="Work Sans SemiBold" w:cs="+mn-cs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Intergovernmental Agreement on the Reform of Commonwealth-State Financial Relations</w:t>
                                  </w:r>
                                  <w:r w:rsidR="007F59CD" w:rsidRPr="000167D3"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specified that the GST revenue would be provided to the states on an equalisation basis.</w:t>
                                  </w:r>
                                </w:p>
                              </w:tc>
                              <w:tc>
                                <w:tcPr>
                                  <w:tcW w:w="57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58193F9" w14:textId="4E279967" w:rsidR="00A1076B" w:rsidRPr="006B6D83" w:rsidRDefault="006B6D83" w:rsidP="006B6D8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D85220"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The Commission’s role did not change, however in March 2004, a Ministerial Council initiated a review of the Commission’s methods, conducted by the Heads of Treasuries, which found a need for simpler methods.</w:t>
                                  </w:r>
                                </w:p>
                              </w:tc>
                            </w:tr>
                            <w:tr w:rsidR="00A1076B" w14:paraId="29201513" w14:textId="77777777" w:rsidTr="006B6D83">
                              <w:trPr>
                                <w:trHeight w:val="2921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310F8FD" w14:textId="1F75231F" w:rsidR="00A1076B" w:rsidRPr="000167D3" w:rsidRDefault="006B6D83" w:rsidP="002537F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ork Sans" w:eastAsia="+mn-ea" w:hAnsi="Work Sans" w:cs="+mn-cs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2537F3" w:rsidRPr="000167D3"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The terms of reference for the 2010 Methodology Review said assessments should be aggregated or eliminated, with a materiality threshold applied to current and future assessments. </w:t>
                                  </w:r>
                                </w:p>
                              </w:tc>
                              <w:tc>
                                <w:tcPr>
                                  <w:tcW w:w="57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D2CC5DF" w14:textId="6034D32A" w:rsidR="002537F3" w:rsidRPr="005B3A76" w:rsidRDefault="006B6D83" w:rsidP="002537F3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2537F3"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In response, the Commission:</w:t>
                                  </w:r>
                                </w:p>
                                <w:p w14:paraId="29AFCC30" w14:textId="77777777" w:rsidR="00A1076B" w:rsidRPr="005B3A76" w:rsidRDefault="002537F3" w:rsidP="00F17297">
                                  <w:pPr>
                                    <w:pStyle w:val="Bullet"/>
                                    <w:tabs>
                                      <w:tab w:val="clear" w:pos="472"/>
                                      <w:tab w:val="clear" w:pos="567"/>
                                      <w:tab w:val="num" w:pos="178"/>
                                      <w:tab w:val="left" w:pos="320"/>
                                    </w:tabs>
                                    <w:ind w:left="178" w:hanging="178"/>
                                    <w:rPr>
                                      <w:rFonts w:ascii="Work Sans" w:hAnsi="Work Sans"/>
                                    </w:rPr>
                                  </w:pPr>
                                  <w:r w:rsidRPr="005B3A76">
                                    <w:rPr>
                                      <w:rFonts w:ascii="Work Sans" w:hAnsi="Work Sans"/>
                                    </w:rPr>
                                    <w:t xml:space="preserve">reduced revenue assessments from 21 categories </w:t>
                                  </w:r>
                                  <w:r w:rsidR="00C41FC7" w:rsidRPr="005B3A76">
                                    <w:rPr>
                                      <w:rFonts w:ascii="Work Sans" w:hAnsi="Work Sans"/>
                                    </w:rPr>
                                    <w:br/>
                                  </w:r>
                                  <w:r w:rsidRPr="005B3A76">
                                    <w:rPr>
                                      <w:rFonts w:ascii="Work Sans" w:hAnsi="Work Sans"/>
                                    </w:rPr>
                                    <w:t>to 8</w:t>
                                  </w:r>
                                </w:p>
                                <w:p w14:paraId="58390E8D" w14:textId="77777777" w:rsidR="002537F3" w:rsidRPr="005B3A76" w:rsidRDefault="002537F3" w:rsidP="00F17297">
                                  <w:pPr>
                                    <w:pStyle w:val="Bullet"/>
                                    <w:tabs>
                                      <w:tab w:val="clear" w:pos="472"/>
                                      <w:tab w:val="clear" w:pos="567"/>
                                      <w:tab w:val="num" w:pos="178"/>
                                      <w:tab w:val="left" w:pos="320"/>
                                    </w:tabs>
                                    <w:ind w:left="178" w:hanging="178"/>
                                    <w:rPr>
                                      <w:rFonts w:ascii="Work Sans" w:hAnsi="Work Sans"/>
                                    </w:rPr>
                                  </w:pPr>
                                  <w:r w:rsidRPr="005B3A76">
                                    <w:rPr>
                                      <w:rFonts w:ascii="Work Sans" w:hAnsi="Work Sans"/>
                                    </w:rPr>
                                    <w:t>reduced expense assessments from 39 categories</w:t>
                                  </w:r>
                                  <w:r w:rsidR="00C41FC7" w:rsidRPr="005B3A76">
                                    <w:rPr>
                                      <w:rFonts w:ascii="Work Sans" w:hAnsi="Work Sans"/>
                                    </w:rPr>
                                    <w:br/>
                                  </w:r>
                                  <w:r w:rsidRPr="005B3A76">
                                    <w:rPr>
                                      <w:rFonts w:ascii="Work Sans" w:hAnsi="Work Sans"/>
                                    </w:rPr>
                                    <w:t>to 14</w:t>
                                  </w:r>
                                </w:p>
                                <w:p w14:paraId="1FF00B25" w14:textId="77777777" w:rsidR="000C78AE" w:rsidRPr="005B3A76" w:rsidRDefault="000C78AE" w:rsidP="00F17297">
                                  <w:pPr>
                                    <w:pStyle w:val="Bullet"/>
                                    <w:tabs>
                                      <w:tab w:val="clear" w:pos="472"/>
                                      <w:tab w:val="clear" w:pos="567"/>
                                      <w:tab w:val="num" w:pos="178"/>
                                      <w:tab w:val="left" w:pos="320"/>
                                    </w:tabs>
                                    <w:ind w:left="178" w:hanging="178"/>
                                    <w:rPr>
                                      <w:rFonts w:ascii="Work Sans" w:hAnsi="Work Sans"/>
                                    </w:rPr>
                                  </w:pPr>
                                  <w:r w:rsidRPr="005B3A76">
                                    <w:rPr>
                                      <w:rFonts w:ascii="Work Sans" w:hAnsi="Work Sans"/>
                                    </w:rPr>
                                    <w:t>reduced drivers of need from 344 to 93</w:t>
                                  </w:r>
                                </w:p>
                                <w:p w14:paraId="56E84EB3" w14:textId="77777777" w:rsidR="00584743" w:rsidRPr="005B3A76" w:rsidRDefault="00B85C6C" w:rsidP="00F17297">
                                  <w:pPr>
                                    <w:pStyle w:val="Bullet"/>
                                    <w:tabs>
                                      <w:tab w:val="clear" w:pos="472"/>
                                      <w:tab w:val="clear" w:pos="567"/>
                                      <w:tab w:val="num" w:pos="178"/>
                                      <w:tab w:val="left" w:pos="320"/>
                                    </w:tabs>
                                    <w:spacing w:after="120"/>
                                    <w:ind w:left="178" w:hanging="178"/>
                                    <w:rPr>
                                      <w:rFonts w:ascii="Work Sans" w:hAnsi="Work Sans"/>
                                    </w:rPr>
                                  </w:pPr>
                                  <w:r w:rsidRPr="005B3A76">
                                    <w:rPr>
                                      <w:rFonts w:ascii="Work Sans" w:hAnsi="Work Sans"/>
                                    </w:rPr>
                                    <w:t>i</w:t>
                                  </w:r>
                                  <w:r w:rsidR="00584743" w:rsidRPr="005B3A76">
                                    <w:rPr>
                                      <w:rFonts w:ascii="Work Sans" w:hAnsi="Work Sans"/>
                                    </w:rPr>
                                    <w:t>ntroduced materiality thresholds for the inclusion of categories and drivers of need</w:t>
                                  </w:r>
                                  <w:r w:rsidR="006D7A28" w:rsidRPr="005B3A76">
                                    <w:rPr>
                                      <w:rFonts w:ascii="Work Sans" w:hAnsi="Work Sans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1076B" w14:paraId="7C0F26CA" w14:textId="77777777" w:rsidTr="006B6D83">
                              <w:trPr>
                                <w:trHeight w:val="3344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ED550E5" w14:textId="6595EEC9" w:rsidR="00A1076B" w:rsidRPr="000167D3" w:rsidRDefault="006B6D83" w:rsidP="006150AF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ork Sans" w:eastAsia="+mn-ea" w:hAnsi="Work Sans" w:cs="+mn-cs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6150AF" w:rsidRPr="000167D3"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Simplicity was a key consideration of both the 2012 GST Distribution Review and the 2018 Productivity Commission Inquiry. </w:t>
                                  </w:r>
                                </w:p>
                              </w:tc>
                              <w:tc>
                                <w:tcPr>
                                  <w:tcW w:w="57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8D369C" w14:textId="43F690E0" w:rsidR="006656EF" w:rsidRPr="005B3A76" w:rsidRDefault="006B6D83" w:rsidP="00276F49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6656EF"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Both reviews concluded that it was not possible to achieve fundamental simplification that produced comparable results to the best estimates of states’ relative fiscal capacities.</w:t>
                                  </w:r>
                                </w:p>
                                <w:p w14:paraId="0C74DB36" w14:textId="77777777" w:rsidR="00276F49" w:rsidRPr="005B3A76" w:rsidRDefault="00276F49" w:rsidP="00276F49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The GST Distribution Review recommended the adoption of additional materiality thresholds to reduce the number of assessments.</w:t>
                                  </w:r>
                                </w:p>
                                <w:p w14:paraId="7A0A669A" w14:textId="77777777" w:rsidR="00A1076B" w:rsidRPr="005B3A76" w:rsidRDefault="00276F49" w:rsidP="00276F49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The Productivity Commission Inquiry recommended the Commission ‘should provide a strong neutral voice, to facilitate a better-informed public discourse on the horizontal fiscal equalisation system’.</w:t>
                                  </w:r>
                                </w:p>
                              </w:tc>
                            </w:tr>
                            <w:tr w:rsidR="00A1076B" w14:paraId="313E3FD9" w14:textId="77777777" w:rsidTr="009B7D3D">
                              <w:tc>
                                <w:tcPr>
                                  <w:tcW w:w="311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C501588" w14:textId="6520C4E1" w:rsidR="00A1076B" w:rsidRPr="000167D3" w:rsidRDefault="006B6D83" w:rsidP="006E56B2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ork Sans" w:eastAsia="+mn-ea" w:hAnsi="Work Sans" w:cs="+mn-cs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A0058E" w:rsidRPr="000167D3"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In the 2020 </w:t>
                                  </w:r>
                                  <w:r w:rsidR="00D12F83" w:rsidRPr="000167D3"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Methodology </w:t>
                                  </w:r>
                                  <w:r w:rsidR="00A0058E" w:rsidRPr="000167D3">
                                    <w:rPr>
                                      <w:rFonts w:ascii="Work Sans SemiBold" w:eastAsia="+mn-ea" w:hAnsi="Work Sans SemiBold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Review, the Commission explored options for significantly simplifying the assessment of revenue capacity and spending needs.</w:t>
                                  </w:r>
                                </w:p>
                              </w:tc>
                              <w:tc>
                                <w:tcPr>
                                  <w:tcW w:w="575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756EFE0" w14:textId="352DCDF8" w:rsidR="00A0058E" w:rsidRPr="005B3A76" w:rsidRDefault="006B6D83" w:rsidP="00A0058E">
                                  <w:pPr>
                                    <w:pStyle w:val="NormalWeb"/>
                                    <w:spacing w:before="0" w:beforeAutospacing="0" w:after="12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A0058E"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It concluded it was difficult to find alternatives that are simpler and still consistent with what states do and the fiscal equalisation objective.</w:t>
                                  </w:r>
                                </w:p>
                                <w:p w14:paraId="3D3D4CC0" w14:textId="77777777" w:rsidR="00A0058E" w:rsidRPr="005B3A76" w:rsidRDefault="00A0058E" w:rsidP="00A0058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5B3A76">
                                    <w:rPr>
                                      <w:rFonts w:ascii="Work Sans" w:eastAsia="+mn-ea" w:hAnsi="Work Sans" w:cs="+mn-cs"/>
                                      <w:color w:val="000000"/>
                                      <w:sz w:val="20"/>
                                      <w:szCs w:val="20"/>
                                    </w:rPr>
                                    <w:t>Instead, the materiality threshold was increased.</w:t>
                                  </w:r>
                                </w:p>
                                <w:p w14:paraId="73B63C8F" w14:textId="77777777" w:rsidR="00A1076B" w:rsidRPr="005B3A76" w:rsidRDefault="00A1076B" w:rsidP="00DC1A8A">
                                  <w:pPr>
                                    <w:rPr>
                                      <w:rFonts w:ascii="Work Sans" w:hAnsi="Work Sans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243216" w14:textId="77777777" w:rsidR="00DC1A8A" w:rsidRPr="00C00C89" w:rsidRDefault="00DC1A8A" w:rsidP="005B3A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B70AC" id="Rectangle 1540368799" o:spid="_x0000_s1031" alt="&quot;&quot;" style="position:absolute;margin-left:.45pt;margin-top:-5.9pt;width:460.4pt;height:676.6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" fillcolor="#e5f8ff" stroked="f" strokeweight="2pt">
                <v:textbox>
                  <w:txbxContent>
                    <w:p w14:paraId="57CEBB4F" w14:textId="77777777" w:rsidR="00DC1A8A" w:rsidRPr="00596C3E" w:rsidRDefault="00DC1A8A" w:rsidP="00596C3E">
                      <w:pPr>
                        <w:pStyle w:val="Heading3"/>
                      </w:pPr>
                      <w:r w:rsidRPr="00596C3E">
                        <w:t>Box 1: Evolution of fiscal equalisation and complexity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19"/>
                        <w:gridCol w:w="5751"/>
                      </w:tblGrid>
                      <w:tr w:rsidR="00A1076B" w14:paraId="013AC496" w14:textId="77777777" w:rsidTr="006B6D83">
                        <w:trPr>
                          <w:trHeight w:val="2193"/>
                        </w:trPr>
                        <w:tc>
                          <w:tcPr>
                            <w:tcW w:w="3119" w:type="dxa"/>
                            <w:tcBorders>
                              <w:bottom w:val="single" w:sz="4" w:space="0" w:color="auto"/>
                            </w:tcBorders>
                          </w:tcPr>
                          <w:p w14:paraId="30F4BC03" w14:textId="77777777" w:rsidR="00A1076B" w:rsidRPr="000167D3" w:rsidRDefault="00A1076B" w:rsidP="00A10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167D3"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  <w:t>A systematic approach to revenue sharing for all states was introduced in the late 1970s.</w:t>
                            </w:r>
                          </w:p>
                          <w:p w14:paraId="37DD91A9" w14:textId="77777777" w:rsidR="00A1076B" w:rsidRPr="005B3A76" w:rsidRDefault="00A1076B" w:rsidP="00DC1A8A">
                            <w:pPr>
                              <w:rPr>
                                <w:rFonts w:ascii="Work Sans" w:hAnsi="Work Sans"/>
                                <w:b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51" w:type="dxa"/>
                            <w:tcBorders>
                              <w:bottom w:val="single" w:sz="4" w:space="0" w:color="auto"/>
                            </w:tcBorders>
                          </w:tcPr>
                          <w:p w14:paraId="4A29E0AD" w14:textId="77777777" w:rsidR="00867F52" w:rsidRPr="005B3A76" w:rsidRDefault="00867F52" w:rsidP="007F59CD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In 1978, the Commission’s role was broadened, and a dedicated pool of funds was to be shared between the states through ‘relativities’ to be determined by the Commission based on equalisation principles.</w:t>
                            </w:r>
                          </w:p>
                          <w:p w14:paraId="439D3659" w14:textId="77777777" w:rsidR="00A1076B" w:rsidRPr="005B3A76" w:rsidRDefault="00867F52" w:rsidP="00D85220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The need to assess states’ relative fiscal capacities necessitated more rigorous assessment methods, with a corresponding increase in the complexity of the system.</w:t>
                            </w:r>
                          </w:p>
                        </w:tc>
                      </w:tr>
                      <w:tr w:rsidR="00A1076B" w14:paraId="77167199" w14:textId="77777777" w:rsidTr="006B6D83">
                        <w:trPr>
                          <w:trHeight w:val="2084"/>
                        </w:trPr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6945036" w14:textId="6BD10E89" w:rsidR="00A1076B" w:rsidRPr="000167D3" w:rsidRDefault="006B6D83" w:rsidP="006E56B2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ork Sans" w:eastAsia="+mn-ea" w:hAnsi="Work Sans" w:cs="+mn-cs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7F59CD" w:rsidRPr="000167D3"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  <w:t xml:space="preserve">The 1999 </w:t>
                            </w:r>
                            <w:r w:rsidR="007F59CD" w:rsidRPr="000167D3">
                              <w:rPr>
                                <w:rFonts w:ascii="Work Sans SemiBold" w:eastAsia="+mn-ea" w:hAnsi="Work Sans SemiBold" w:cs="+mn-cs"/>
                                <w:i/>
                                <w:color w:val="000000"/>
                                <w:sz w:val="20"/>
                                <w:szCs w:val="20"/>
                              </w:rPr>
                              <w:t>Intergovernmental Agreement on the Reform of Commonwealth-State Financial Relations</w:t>
                            </w:r>
                            <w:r w:rsidR="007F59CD" w:rsidRPr="000167D3"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  <w:t xml:space="preserve"> specified that the GST revenue would be provided to the states on an equalisation basis.</w:t>
                            </w:r>
                          </w:p>
                        </w:tc>
                        <w:tc>
                          <w:tcPr>
                            <w:tcW w:w="57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58193F9" w14:textId="4E279967" w:rsidR="00A1076B" w:rsidRPr="006B6D83" w:rsidRDefault="006B6D83" w:rsidP="006B6D8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D85220"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The Commission’s role did not change, however in March 2004, a Ministerial Council initiated a review of the Commission’s methods, conducted by the Heads of Treasuries, which found a need for simpler methods.</w:t>
                            </w:r>
                          </w:p>
                        </w:tc>
                      </w:tr>
                      <w:tr w:rsidR="00A1076B" w14:paraId="29201513" w14:textId="77777777" w:rsidTr="006B6D83">
                        <w:trPr>
                          <w:trHeight w:val="2921"/>
                        </w:trPr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310F8FD" w14:textId="1F75231F" w:rsidR="00A1076B" w:rsidRPr="000167D3" w:rsidRDefault="006B6D83" w:rsidP="002537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ork Sans" w:eastAsia="+mn-ea" w:hAnsi="Work Sans" w:cs="+mn-cs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2537F3" w:rsidRPr="000167D3"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  <w:t xml:space="preserve">The terms of reference for the 2010 Methodology Review said assessments should be aggregated or eliminated, with a materiality threshold applied to current and future assessments. </w:t>
                            </w:r>
                          </w:p>
                        </w:tc>
                        <w:tc>
                          <w:tcPr>
                            <w:tcW w:w="57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2D2CC5DF" w14:textId="6034D32A" w:rsidR="002537F3" w:rsidRPr="005B3A76" w:rsidRDefault="006B6D83" w:rsidP="002537F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2537F3"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In response, the Commission:</w:t>
                            </w:r>
                          </w:p>
                          <w:p w14:paraId="29AFCC30" w14:textId="77777777" w:rsidR="00A1076B" w:rsidRPr="005B3A76" w:rsidRDefault="002537F3" w:rsidP="00F17297">
                            <w:pPr>
                              <w:pStyle w:val="Bullet"/>
                              <w:tabs>
                                <w:tab w:val="clear" w:pos="472"/>
                                <w:tab w:val="clear" w:pos="567"/>
                                <w:tab w:val="num" w:pos="178"/>
                                <w:tab w:val="left" w:pos="320"/>
                              </w:tabs>
                              <w:ind w:left="178" w:hanging="178"/>
                              <w:rPr>
                                <w:rFonts w:ascii="Work Sans" w:hAnsi="Work Sans"/>
                              </w:rPr>
                            </w:pPr>
                            <w:r w:rsidRPr="005B3A76">
                              <w:rPr>
                                <w:rFonts w:ascii="Work Sans" w:hAnsi="Work Sans"/>
                              </w:rPr>
                              <w:t xml:space="preserve">reduced revenue assessments from 21 categories </w:t>
                            </w:r>
                            <w:r w:rsidR="00C41FC7" w:rsidRPr="005B3A76">
                              <w:rPr>
                                <w:rFonts w:ascii="Work Sans" w:hAnsi="Work Sans"/>
                              </w:rPr>
                              <w:br/>
                            </w:r>
                            <w:r w:rsidRPr="005B3A76">
                              <w:rPr>
                                <w:rFonts w:ascii="Work Sans" w:hAnsi="Work Sans"/>
                              </w:rPr>
                              <w:t>to 8</w:t>
                            </w:r>
                          </w:p>
                          <w:p w14:paraId="58390E8D" w14:textId="77777777" w:rsidR="002537F3" w:rsidRPr="005B3A76" w:rsidRDefault="002537F3" w:rsidP="00F17297">
                            <w:pPr>
                              <w:pStyle w:val="Bullet"/>
                              <w:tabs>
                                <w:tab w:val="clear" w:pos="472"/>
                                <w:tab w:val="clear" w:pos="567"/>
                                <w:tab w:val="num" w:pos="178"/>
                                <w:tab w:val="left" w:pos="320"/>
                              </w:tabs>
                              <w:ind w:left="178" w:hanging="178"/>
                              <w:rPr>
                                <w:rFonts w:ascii="Work Sans" w:hAnsi="Work Sans"/>
                              </w:rPr>
                            </w:pPr>
                            <w:r w:rsidRPr="005B3A76">
                              <w:rPr>
                                <w:rFonts w:ascii="Work Sans" w:hAnsi="Work Sans"/>
                              </w:rPr>
                              <w:t>reduced expense assessments from 39 categories</w:t>
                            </w:r>
                            <w:r w:rsidR="00C41FC7" w:rsidRPr="005B3A76">
                              <w:rPr>
                                <w:rFonts w:ascii="Work Sans" w:hAnsi="Work Sans"/>
                              </w:rPr>
                              <w:br/>
                            </w:r>
                            <w:r w:rsidRPr="005B3A76">
                              <w:rPr>
                                <w:rFonts w:ascii="Work Sans" w:hAnsi="Work Sans"/>
                              </w:rPr>
                              <w:t>to 14</w:t>
                            </w:r>
                          </w:p>
                          <w:p w14:paraId="1FF00B25" w14:textId="77777777" w:rsidR="000C78AE" w:rsidRPr="005B3A76" w:rsidRDefault="000C78AE" w:rsidP="00F17297">
                            <w:pPr>
                              <w:pStyle w:val="Bullet"/>
                              <w:tabs>
                                <w:tab w:val="clear" w:pos="472"/>
                                <w:tab w:val="clear" w:pos="567"/>
                                <w:tab w:val="num" w:pos="178"/>
                                <w:tab w:val="left" w:pos="320"/>
                              </w:tabs>
                              <w:ind w:left="178" w:hanging="178"/>
                              <w:rPr>
                                <w:rFonts w:ascii="Work Sans" w:hAnsi="Work Sans"/>
                              </w:rPr>
                            </w:pPr>
                            <w:r w:rsidRPr="005B3A76">
                              <w:rPr>
                                <w:rFonts w:ascii="Work Sans" w:hAnsi="Work Sans"/>
                              </w:rPr>
                              <w:t>reduced drivers of need from 344 to 93</w:t>
                            </w:r>
                          </w:p>
                          <w:p w14:paraId="56E84EB3" w14:textId="77777777" w:rsidR="00584743" w:rsidRPr="005B3A76" w:rsidRDefault="00B85C6C" w:rsidP="00F17297">
                            <w:pPr>
                              <w:pStyle w:val="Bullet"/>
                              <w:tabs>
                                <w:tab w:val="clear" w:pos="472"/>
                                <w:tab w:val="clear" w:pos="567"/>
                                <w:tab w:val="num" w:pos="178"/>
                                <w:tab w:val="left" w:pos="320"/>
                              </w:tabs>
                              <w:spacing w:after="120"/>
                              <w:ind w:left="178" w:hanging="178"/>
                              <w:rPr>
                                <w:rFonts w:ascii="Work Sans" w:hAnsi="Work Sans"/>
                              </w:rPr>
                            </w:pPr>
                            <w:r w:rsidRPr="005B3A76">
                              <w:rPr>
                                <w:rFonts w:ascii="Work Sans" w:hAnsi="Work Sans"/>
                              </w:rPr>
                              <w:t>i</w:t>
                            </w:r>
                            <w:r w:rsidR="00584743" w:rsidRPr="005B3A76">
                              <w:rPr>
                                <w:rFonts w:ascii="Work Sans" w:hAnsi="Work Sans"/>
                              </w:rPr>
                              <w:t>ntroduced materiality thresholds for the inclusion of categories and drivers of need</w:t>
                            </w:r>
                            <w:r w:rsidR="006D7A28" w:rsidRPr="005B3A76">
                              <w:rPr>
                                <w:rFonts w:ascii="Work Sans" w:hAnsi="Work Sans"/>
                              </w:rPr>
                              <w:t>.</w:t>
                            </w:r>
                          </w:p>
                        </w:tc>
                      </w:tr>
                      <w:tr w:rsidR="00A1076B" w14:paraId="7C0F26CA" w14:textId="77777777" w:rsidTr="006B6D83">
                        <w:trPr>
                          <w:trHeight w:val="3344"/>
                        </w:trPr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ED550E5" w14:textId="6595EEC9" w:rsidR="00A1076B" w:rsidRPr="000167D3" w:rsidRDefault="006B6D83" w:rsidP="006150A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ork Sans" w:eastAsia="+mn-ea" w:hAnsi="Work Sans" w:cs="+mn-cs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6150AF" w:rsidRPr="000167D3"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  <w:t xml:space="preserve">Simplicity was a key consideration of both the 2012 GST Distribution Review and the 2018 Productivity Commission Inquiry. </w:t>
                            </w:r>
                          </w:p>
                        </w:tc>
                        <w:tc>
                          <w:tcPr>
                            <w:tcW w:w="57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88D369C" w14:textId="43F690E0" w:rsidR="006656EF" w:rsidRPr="005B3A76" w:rsidRDefault="006B6D83" w:rsidP="00276F49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6656EF"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Both reviews concluded that it was not possible to achieve fundamental simplification that produced comparable results to the best estimates of states’ relative fiscal capacities.</w:t>
                            </w:r>
                          </w:p>
                          <w:p w14:paraId="0C74DB36" w14:textId="77777777" w:rsidR="00276F49" w:rsidRPr="005B3A76" w:rsidRDefault="00276F49" w:rsidP="00276F49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The GST Distribution Review recommended the adoption of additional materiality thresholds to reduce the number of assessments.</w:t>
                            </w:r>
                          </w:p>
                          <w:p w14:paraId="7A0A669A" w14:textId="77777777" w:rsidR="00A1076B" w:rsidRPr="005B3A76" w:rsidRDefault="00276F49" w:rsidP="00276F49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The Productivity Commission Inquiry recommended the Commission ‘should provide a strong neutral voice, to facilitate a better-informed public discourse on the horizontal fiscal equalisation system’.</w:t>
                            </w:r>
                          </w:p>
                        </w:tc>
                      </w:tr>
                      <w:tr w:rsidR="00A1076B" w14:paraId="313E3FD9" w14:textId="77777777" w:rsidTr="009B7D3D">
                        <w:tc>
                          <w:tcPr>
                            <w:tcW w:w="311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C501588" w14:textId="6520C4E1" w:rsidR="00A1076B" w:rsidRPr="000167D3" w:rsidRDefault="006B6D83" w:rsidP="006E56B2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ork Sans" w:eastAsia="+mn-ea" w:hAnsi="Work Sans" w:cs="+mn-cs"/>
                                <w:b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A0058E" w:rsidRPr="000167D3"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  <w:t xml:space="preserve">In the 2020 </w:t>
                            </w:r>
                            <w:r w:rsidR="00D12F83" w:rsidRPr="000167D3"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  <w:t xml:space="preserve">Methodology </w:t>
                            </w:r>
                            <w:r w:rsidR="00A0058E" w:rsidRPr="000167D3">
                              <w:rPr>
                                <w:rFonts w:ascii="Work Sans SemiBold" w:eastAsia="+mn-ea" w:hAnsi="Work Sans SemiBold" w:cs="+mn-cs"/>
                                <w:color w:val="000000"/>
                                <w:sz w:val="20"/>
                                <w:szCs w:val="20"/>
                              </w:rPr>
                              <w:t>Review, the Commission explored options for significantly simplifying the assessment of revenue capacity and spending needs.</w:t>
                            </w:r>
                          </w:p>
                        </w:tc>
                        <w:tc>
                          <w:tcPr>
                            <w:tcW w:w="5751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756EFE0" w14:textId="352DCDF8" w:rsidR="00A0058E" w:rsidRPr="005B3A76" w:rsidRDefault="006B6D83" w:rsidP="00A0058E">
                            <w:pPr>
                              <w:pStyle w:val="NormalWeb"/>
                              <w:spacing w:before="0" w:beforeAutospacing="0" w:after="12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A0058E"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It concluded it was difficult to find alternatives that are simpler and still consistent with what states do and the fiscal equalisation objective.</w:t>
                            </w:r>
                          </w:p>
                          <w:p w14:paraId="3D3D4CC0" w14:textId="77777777" w:rsidR="00A0058E" w:rsidRPr="005B3A76" w:rsidRDefault="00A0058E" w:rsidP="00A0058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B3A76">
                              <w:rPr>
                                <w:rFonts w:ascii="Work Sans" w:eastAsia="+mn-ea" w:hAnsi="Work Sans" w:cs="+mn-cs"/>
                                <w:color w:val="000000"/>
                                <w:sz w:val="20"/>
                                <w:szCs w:val="20"/>
                              </w:rPr>
                              <w:t>Instead, the materiality threshold was increased.</w:t>
                            </w:r>
                          </w:p>
                          <w:p w14:paraId="73B63C8F" w14:textId="77777777" w:rsidR="00A1076B" w:rsidRPr="005B3A76" w:rsidRDefault="00A1076B" w:rsidP="00DC1A8A">
                            <w:pPr>
                              <w:rPr>
                                <w:rFonts w:ascii="Work Sans" w:hAnsi="Work Sans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C243216" w14:textId="77777777" w:rsidR="00DC1A8A" w:rsidRPr="00C00C89" w:rsidRDefault="00DC1A8A" w:rsidP="005B3A76"/>
                  </w:txbxContent>
                </v:textbox>
                <w10:wrap anchorx="margin" anchory="margin"/>
              </v:rect>
            </w:pict>
          </mc:Fallback>
        </mc:AlternateContent>
      </w:r>
    </w:p>
    <w:p w14:paraId="3160096E" w14:textId="2D37AEA8" w:rsidR="002D0CBA" w:rsidRDefault="002D0CBA" w:rsidP="00995EC4">
      <w:pPr>
        <w:pStyle w:val="CGCBodyCopy"/>
        <w:rPr>
          <w:szCs w:val="20"/>
        </w:rPr>
      </w:pPr>
    </w:p>
    <w:p w14:paraId="718B9714" w14:textId="77777777" w:rsidR="002D0CBA" w:rsidRDefault="002D0CBA" w:rsidP="00995EC4">
      <w:pPr>
        <w:pStyle w:val="CGCBodyCopy"/>
        <w:rPr>
          <w:szCs w:val="20"/>
        </w:rPr>
      </w:pPr>
    </w:p>
    <w:p w14:paraId="2DD73F9A" w14:textId="77777777" w:rsidR="002D0CBA" w:rsidRDefault="002D0CBA" w:rsidP="00995EC4">
      <w:pPr>
        <w:pStyle w:val="CGCBodyCopy"/>
        <w:rPr>
          <w:szCs w:val="20"/>
        </w:rPr>
      </w:pPr>
    </w:p>
    <w:p w14:paraId="1F6EEE5B" w14:textId="77777777" w:rsidR="00B15D9E" w:rsidRDefault="00B15D9E" w:rsidP="00995EC4">
      <w:pPr>
        <w:pStyle w:val="CGCBodyCopy"/>
        <w:rPr>
          <w:szCs w:val="20"/>
        </w:rPr>
      </w:pPr>
    </w:p>
    <w:p w14:paraId="055ED1C0" w14:textId="77777777" w:rsidR="00B15D9E" w:rsidRDefault="00B15D9E" w:rsidP="00995EC4">
      <w:pPr>
        <w:pStyle w:val="CGCBodyCopy"/>
        <w:rPr>
          <w:szCs w:val="20"/>
        </w:rPr>
      </w:pPr>
    </w:p>
    <w:p w14:paraId="49D579FB" w14:textId="77777777" w:rsidR="00B15D9E" w:rsidRDefault="00B15D9E" w:rsidP="00995EC4">
      <w:pPr>
        <w:pStyle w:val="CGCBodyCopy"/>
        <w:rPr>
          <w:szCs w:val="20"/>
        </w:rPr>
      </w:pPr>
    </w:p>
    <w:p w14:paraId="5476AE6B" w14:textId="77777777" w:rsidR="00B15D9E" w:rsidRDefault="00B15D9E" w:rsidP="00995EC4">
      <w:pPr>
        <w:pStyle w:val="CGCBodyCopy"/>
        <w:rPr>
          <w:szCs w:val="20"/>
        </w:rPr>
      </w:pPr>
    </w:p>
    <w:p w14:paraId="0294303D" w14:textId="77777777" w:rsidR="00B15D9E" w:rsidRDefault="00B15D9E" w:rsidP="00995EC4">
      <w:pPr>
        <w:pStyle w:val="CGCBodyCopy"/>
        <w:rPr>
          <w:szCs w:val="20"/>
        </w:rPr>
      </w:pPr>
    </w:p>
    <w:p w14:paraId="6C8058A1" w14:textId="77777777" w:rsidR="00B15D9E" w:rsidRDefault="00B15D9E" w:rsidP="00995EC4">
      <w:pPr>
        <w:pStyle w:val="CGCBodyCopy"/>
        <w:rPr>
          <w:szCs w:val="20"/>
        </w:rPr>
      </w:pPr>
    </w:p>
    <w:p w14:paraId="014027B7" w14:textId="77777777" w:rsidR="00B15D9E" w:rsidRDefault="00B15D9E" w:rsidP="00995EC4">
      <w:pPr>
        <w:pStyle w:val="CGCBodyCopy"/>
        <w:rPr>
          <w:szCs w:val="20"/>
        </w:rPr>
      </w:pPr>
    </w:p>
    <w:p w14:paraId="6FE464DC" w14:textId="1A21ED19" w:rsidR="0029438B" w:rsidRPr="0029438B" w:rsidRDefault="0029438B" w:rsidP="0029438B">
      <w:pPr>
        <w:pStyle w:val="CGCBodyCopy"/>
        <w:rPr>
          <w:szCs w:val="20"/>
        </w:rPr>
      </w:pPr>
    </w:p>
    <w:sectPr w:rsidR="0029438B" w:rsidRPr="0029438B" w:rsidSect="00A404BD">
      <w:footerReference w:type="default" r:id="rId18"/>
      <w:pgSz w:w="11900" w:h="16840"/>
      <w:pgMar w:top="1985" w:right="1418" w:bottom="1418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AAD2" w14:textId="77777777" w:rsidR="002D27D1" w:rsidRDefault="002D27D1" w:rsidP="005C0550">
      <w:pPr>
        <w:spacing w:before="0" w:line="240" w:lineRule="auto"/>
      </w:pPr>
      <w:r>
        <w:separator/>
      </w:r>
    </w:p>
  </w:endnote>
  <w:endnote w:type="continuationSeparator" w:id="0">
    <w:p w14:paraId="078E62C4" w14:textId="77777777" w:rsidR="002D27D1" w:rsidRDefault="002D27D1" w:rsidP="005C0550">
      <w:pPr>
        <w:spacing w:before="0" w:line="240" w:lineRule="auto"/>
      </w:pPr>
      <w:r>
        <w:continuationSeparator/>
      </w:r>
    </w:p>
  </w:endnote>
  <w:endnote w:type="continuationNotice" w:id="1">
    <w:p w14:paraId="63B63B94" w14:textId="77777777" w:rsidR="002D27D1" w:rsidRDefault="002D27D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355551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4BA921F" w14:textId="6126DBBB" w:rsidR="008B3F9B" w:rsidRDefault="008B3F9B" w:rsidP="004A59A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003134E" w14:textId="77777777" w:rsidR="008B3F9B" w:rsidRDefault="008B3F9B" w:rsidP="008B3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2061" w14:textId="68E03128" w:rsidR="0071146B" w:rsidRPr="004742F9" w:rsidRDefault="0071146B">
    <w:pPr>
      <w:pStyle w:val="Footer"/>
      <w:jc w:val="right"/>
      <w:rPr>
        <w:sz w:val="18"/>
        <w:szCs w:val="18"/>
      </w:rPr>
    </w:pPr>
  </w:p>
  <w:p w14:paraId="7F855381" w14:textId="6C54C061" w:rsidR="008B3F9B" w:rsidRPr="004742F9" w:rsidRDefault="004B45C4" w:rsidP="0071146B">
    <w:pPr>
      <w:tabs>
        <w:tab w:val="center" w:pos="4513"/>
        <w:tab w:val="right" w:pos="9026"/>
      </w:tabs>
      <w:rPr>
        <w:rFonts w:ascii="Work Sans" w:hAnsi="Work Sans"/>
        <w:color w:val="006991"/>
        <w:sz w:val="18"/>
        <w:szCs w:val="18"/>
      </w:rPr>
    </w:pPr>
    <w:r w:rsidRPr="000665E8">
      <w:rPr>
        <w:rFonts w:ascii="Open Sans Semibold" w:hAnsi="Open Sans Semibold" w:cs="Open Sans Semibold"/>
        <w:color w:val="006991"/>
        <w:sz w:val="14"/>
        <w:szCs w:val="14"/>
      </w:rPr>
      <w:t>Commonwealth Grants Commission</w:t>
    </w:r>
    <w:r w:rsidRPr="00F7581A">
      <w:rPr>
        <w:rFonts w:ascii="Work Sans" w:hAnsi="Work Sans"/>
        <w:color w:val="006991"/>
        <w:sz w:val="14"/>
        <w:szCs w:val="14"/>
      </w:rPr>
      <w:t xml:space="preserve"> </w:t>
    </w:r>
    <w:r w:rsidRPr="00D455E8">
      <w:rPr>
        <w:rFonts w:ascii="Open Sans" w:hAnsi="Open Sans" w:cs="Open Sans"/>
        <w:sz w:val="14"/>
        <w:szCs w:val="14"/>
      </w:rPr>
      <w:t>Occasional Paper Series</w:t>
    </w:r>
    <w:r w:rsidR="0071146B" w:rsidRPr="004742F9">
      <w:rPr>
        <w:rFonts w:ascii="Work Sans" w:hAnsi="Work Sans"/>
        <w:color w:val="006991"/>
        <w:sz w:val="18"/>
        <w:szCs w:val="18"/>
      </w:rPr>
      <w:tab/>
    </w:r>
    <w:r w:rsidR="0071146B" w:rsidRPr="004742F9">
      <w:rPr>
        <w:rFonts w:ascii="Work Sans" w:hAnsi="Work Sans"/>
        <w:color w:val="006991"/>
        <w:sz w:val="18"/>
        <w:szCs w:val="18"/>
      </w:rPr>
      <w:tab/>
    </w:r>
    <w:r w:rsidR="00A404BD" w:rsidRPr="00A404BD">
      <w:rPr>
        <w:rFonts w:ascii="Work Sans" w:hAnsi="Work Sans"/>
        <w:color w:val="006991"/>
        <w:sz w:val="18"/>
        <w:szCs w:val="18"/>
      </w:rPr>
      <w:fldChar w:fldCharType="begin"/>
    </w:r>
    <w:r w:rsidR="00A404BD" w:rsidRPr="00A404BD">
      <w:rPr>
        <w:rFonts w:ascii="Work Sans" w:hAnsi="Work Sans"/>
        <w:color w:val="006991"/>
        <w:sz w:val="18"/>
        <w:szCs w:val="18"/>
      </w:rPr>
      <w:instrText xml:space="preserve"> PAGE   \* MERGEFORMAT </w:instrText>
    </w:r>
    <w:r w:rsidR="00A404BD" w:rsidRPr="00A404BD">
      <w:rPr>
        <w:rFonts w:ascii="Work Sans" w:hAnsi="Work Sans"/>
        <w:color w:val="006991"/>
        <w:sz w:val="18"/>
        <w:szCs w:val="18"/>
      </w:rPr>
      <w:fldChar w:fldCharType="separate"/>
    </w:r>
    <w:r w:rsidR="00A404BD" w:rsidRPr="00A404BD">
      <w:rPr>
        <w:rFonts w:ascii="Work Sans" w:hAnsi="Work Sans"/>
        <w:noProof/>
        <w:color w:val="006991"/>
        <w:sz w:val="18"/>
        <w:szCs w:val="18"/>
      </w:rPr>
      <w:t>1</w:t>
    </w:r>
    <w:r w:rsidR="00A404BD" w:rsidRPr="00A404BD">
      <w:rPr>
        <w:rFonts w:ascii="Work Sans" w:hAnsi="Work Sans"/>
        <w:noProof/>
        <w:color w:val="006991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CDA2" w14:textId="77777777" w:rsidR="00A404BD" w:rsidRPr="004742F9" w:rsidRDefault="00A404BD">
    <w:pPr>
      <w:pStyle w:val="Footer"/>
      <w:jc w:val="right"/>
      <w:rPr>
        <w:sz w:val="18"/>
        <w:szCs w:val="18"/>
      </w:rPr>
    </w:pPr>
  </w:p>
  <w:p w14:paraId="7C72B676" w14:textId="77777777" w:rsidR="00A404BD" w:rsidRPr="004742F9" w:rsidRDefault="00A404BD" w:rsidP="0071146B">
    <w:pPr>
      <w:tabs>
        <w:tab w:val="center" w:pos="4513"/>
        <w:tab w:val="right" w:pos="9026"/>
      </w:tabs>
      <w:rPr>
        <w:rFonts w:ascii="Work Sans" w:hAnsi="Work Sans"/>
        <w:color w:val="006991"/>
        <w:sz w:val="18"/>
        <w:szCs w:val="18"/>
      </w:rPr>
    </w:pPr>
    <w:r w:rsidRPr="004742F9">
      <w:rPr>
        <w:rFonts w:ascii="Work Sans" w:hAnsi="Work Sans"/>
        <w:color w:val="006991"/>
        <w:sz w:val="18"/>
        <w:szCs w:val="18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7260" w14:textId="7EAA85A6" w:rsidR="00C97179" w:rsidRPr="004742F9" w:rsidRDefault="00C97179">
    <w:pPr>
      <w:pStyle w:val="Footer"/>
      <w:jc w:val="right"/>
      <w:rPr>
        <w:sz w:val="18"/>
        <w:szCs w:val="18"/>
      </w:rPr>
    </w:pPr>
  </w:p>
  <w:p w14:paraId="15BFB7BA" w14:textId="1CA070E9" w:rsidR="00C97179" w:rsidRPr="004742F9" w:rsidRDefault="00A22F4C" w:rsidP="0071146B">
    <w:pPr>
      <w:tabs>
        <w:tab w:val="center" w:pos="4513"/>
        <w:tab w:val="right" w:pos="9026"/>
      </w:tabs>
      <w:rPr>
        <w:rFonts w:ascii="Work Sans" w:hAnsi="Work Sans"/>
        <w:color w:val="006991"/>
        <w:sz w:val="18"/>
        <w:szCs w:val="18"/>
      </w:rPr>
    </w:pPr>
    <w:r>
      <w:rPr>
        <w:rFonts w:ascii="Open Sans Semibold" w:hAnsi="Open Sans Semibold" w:cs="Open Sans Semibold"/>
        <w:color w:val="006991"/>
        <w:sz w:val="14"/>
        <w:szCs w:val="14"/>
      </w:rPr>
      <w:t>www.cgc.gov.au</w:t>
    </w:r>
    <w:r w:rsidR="00117A10">
      <w:rPr>
        <w:rFonts w:ascii="Open Sans Semibold" w:hAnsi="Open Sans Semibold" w:cs="Open Sans Semibold"/>
        <w:color w:val="006991"/>
        <w:sz w:val="14"/>
        <w:szCs w:val="14"/>
      </w:rPr>
      <w:t xml:space="preserve"> </w:t>
    </w:r>
    <w:r w:rsidR="00117A10">
      <w:rPr>
        <w:rFonts w:ascii="Open Sans Semibold" w:hAnsi="Open Sans Semibold" w:cs="Open Sans Semibold"/>
        <w:color w:val="006991"/>
        <w:sz w:val="14"/>
        <w:szCs w:val="14"/>
      </w:rPr>
      <w:tab/>
      <w:t xml:space="preserve">Occasional Paper Series </w:t>
    </w:r>
    <w:r w:rsidR="00117A10">
      <w:rPr>
        <w:rFonts w:ascii="Open Sans Semibold" w:hAnsi="Open Sans Semibold" w:cs="Open Sans Semibold"/>
        <w:color w:val="006991"/>
        <w:sz w:val="14"/>
        <w:szCs w:val="14"/>
      </w:rPr>
      <w:tab/>
      <w:t>November 2025</w:t>
    </w:r>
    <w:r w:rsidR="00A12524">
      <w:rPr>
        <w:rFonts w:ascii="Open Sans Semibold" w:hAnsi="Open Sans Semibold" w:cs="Open Sans Semibold"/>
        <w:color w:val="006991"/>
        <w:sz w:val="14"/>
        <w:szCs w:val="14"/>
      </w:rPr>
      <w:t xml:space="preserve">     </w:t>
    </w:r>
    <w:r w:rsidR="00C97179" w:rsidRPr="00A404BD">
      <w:rPr>
        <w:rFonts w:ascii="Work Sans" w:hAnsi="Work Sans"/>
        <w:sz w:val="14"/>
        <w:szCs w:val="14"/>
      </w:rPr>
      <w:fldChar w:fldCharType="begin"/>
    </w:r>
    <w:r w:rsidR="00C97179" w:rsidRPr="00A404BD">
      <w:rPr>
        <w:rFonts w:ascii="Work Sans" w:hAnsi="Work Sans"/>
        <w:sz w:val="14"/>
        <w:szCs w:val="14"/>
      </w:rPr>
      <w:instrText xml:space="preserve"> PAGE   \* MERGEFORMAT </w:instrText>
    </w:r>
    <w:r w:rsidR="00C97179" w:rsidRPr="00A404BD">
      <w:rPr>
        <w:rFonts w:ascii="Work Sans" w:hAnsi="Work Sans"/>
        <w:sz w:val="14"/>
        <w:szCs w:val="14"/>
      </w:rPr>
      <w:fldChar w:fldCharType="separate"/>
    </w:r>
    <w:r w:rsidR="00C97179" w:rsidRPr="00A404BD">
      <w:rPr>
        <w:rFonts w:ascii="Work Sans" w:hAnsi="Work Sans"/>
        <w:noProof/>
        <w:sz w:val="14"/>
        <w:szCs w:val="14"/>
      </w:rPr>
      <w:t>1</w:t>
    </w:r>
    <w:r w:rsidR="00C97179" w:rsidRPr="00A404BD">
      <w:rPr>
        <w:rFonts w:ascii="Work Sans" w:hAnsi="Work Sans"/>
        <w:noProof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4ADF" w14:textId="77777777" w:rsidR="002D27D1" w:rsidRDefault="002D27D1" w:rsidP="005C0550">
      <w:pPr>
        <w:spacing w:before="0" w:line="240" w:lineRule="auto"/>
      </w:pPr>
      <w:r>
        <w:separator/>
      </w:r>
    </w:p>
  </w:footnote>
  <w:footnote w:type="continuationSeparator" w:id="0">
    <w:p w14:paraId="5B136C08" w14:textId="77777777" w:rsidR="002D27D1" w:rsidRDefault="002D27D1" w:rsidP="005C0550">
      <w:pPr>
        <w:spacing w:before="0" w:line="240" w:lineRule="auto"/>
      </w:pPr>
      <w:r>
        <w:continuationSeparator/>
      </w:r>
    </w:p>
  </w:footnote>
  <w:footnote w:type="continuationNotice" w:id="1">
    <w:p w14:paraId="71C57C08" w14:textId="77777777" w:rsidR="002D27D1" w:rsidRDefault="002D27D1">
      <w:pPr>
        <w:spacing w:before="0" w:line="240" w:lineRule="auto"/>
      </w:pPr>
    </w:p>
  </w:footnote>
  <w:footnote w:id="2">
    <w:p w14:paraId="3FD9B5F3" w14:textId="6E0B4DAF" w:rsidR="000A4D27" w:rsidRPr="0036670C" w:rsidRDefault="000A4D27" w:rsidP="00841444">
      <w:pPr>
        <w:pStyle w:val="FootnoteText"/>
        <w:ind w:left="96" w:hanging="96"/>
        <w:rPr>
          <w:sz w:val="14"/>
          <w:szCs w:val="14"/>
        </w:rPr>
      </w:pPr>
      <w:r w:rsidRPr="00ED3A55">
        <w:rPr>
          <w:rStyle w:val="FootnoteReference"/>
          <w:vertAlign w:val="superscript"/>
        </w:rPr>
        <w:footnoteRef/>
      </w:r>
      <w:r>
        <w:t xml:space="preserve"> </w:t>
      </w:r>
      <w:r w:rsidR="00E45AEF" w:rsidRPr="00CF4283">
        <w:rPr>
          <w:rFonts w:ascii="Work Sans" w:hAnsi="Work Sans"/>
          <w:sz w:val="14"/>
          <w:szCs w:val="14"/>
        </w:rPr>
        <w:t xml:space="preserve">Council </w:t>
      </w:r>
      <w:r w:rsidR="00CF4283" w:rsidRPr="00CF4283">
        <w:rPr>
          <w:rFonts w:ascii="Work Sans" w:hAnsi="Work Sans"/>
          <w:sz w:val="14"/>
          <w:szCs w:val="14"/>
        </w:rPr>
        <w:t>on Federal Financial Relations,</w:t>
      </w:r>
      <w:r w:rsidR="00CF4283">
        <w:t xml:space="preserve"> </w:t>
      </w:r>
      <w:hyperlink r:id="rId1" w:history="1">
        <w:r w:rsidR="003731AE" w:rsidRPr="00C272ED">
          <w:rPr>
            <w:rStyle w:val="Hyperlink"/>
            <w:rFonts w:ascii="Work Sans" w:hAnsi="Work Sans"/>
            <w:color w:val="00618A" w:themeColor="text1" w:themeTint="E6"/>
            <w:sz w:val="14"/>
            <w:szCs w:val="14"/>
          </w:rPr>
          <w:t>Intergovernmental Agreement on the Reform of Commonwealth</w:t>
        </w:r>
        <w:r w:rsidR="00096F48">
          <w:rPr>
            <w:rStyle w:val="Hyperlink"/>
            <w:rFonts w:ascii="Work Sans" w:hAnsi="Work Sans"/>
            <w:color w:val="00618A" w:themeColor="text1" w:themeTint="E6"/>
            <w:sz w:val="14"/>
            <w:szCs w:val="14"/>
          </w:rPr>
          <w:t>-</w:t>
        </w:r>
        <w:r w:rsidR="003731AE" w:rsidRPr="00C272ED">
          <w:rPr>
            <w:rStyle w:val="Hyperlink"/>
            <w:rFonts w:ascii="Work Sans" w:hAnsi="Work Sans"/>
            <w:color w:val="00618A" w:themeColor="text1" w:themeTint="E6"/>
            <w:sz w:val="14"/>
            <w:szCs w:val="14"/>
          </w:rPr>
          <w:t>State Financial Relations</w:t>
        </w:r>
      </w:hyperlink>
      <w:r w:rsidR="004B3AD0" w:rsidRPr="004B3AD0">
        <w:rPr>
          <w:rFonts w:ascii="Work Sans" w:hAnsi="Work Sans"/>
          <w:sz w:val="14"/>
          <w:szCs w:val="14"/>
        </w:rPr>
        <w:t xml:space="preserve">, </w:t>
      </w:r>
      <w:r w:rsidR="0074220C">
        <w:rPr>
          <w:rFonts w:ascii="Work Sans" w:hAnsi="Work Sans"/>
          <w:sz w:val="14"/>
          <w:szCs w:val="14"/>
        </w:rPr>
        <w:t xml:space="preserve">Federal </w:t>
      </w:r>
      <w:r w:rsidR="00417CB2">
        <w:rPr>
          <w:rFonts w:ascii="Work Sans" w:hAnsi="Work Sans"/>
          <w:sz w:val="14"/>
          <w:szCs w:val="14"/>
        </w:rPr>
        <w:t>F</w:t>
      </w:r>
      <w:r w:rsidR="0074220C">
        <w:rPr>
          <w:rFonts w:ascii="Work Sans" w:hAnsi="Work Sans"/>
          <w:sz w:val="14"/>
          <w:szCs w:val="14"/>
        </w:rPr>
        <w:t xml:space="preserve">inancial </w:t>
      </w:r>
      <w:r w:rsidR="00417CB2">
        <w:rPr>
          <w:rFonts w:ascii="Work Sans" w:hAnsi="Work Sans"/>
          <w:sz w:val="14"/>
          <w:szCs w:val="14"/>
        </w:rPr>
        <w:t>Relations, 1999</w:t>
      </w:r>
      <w:r w:rsidR="00F1397A">
        <w:rPr>
          <w:rFonts w:ascii="Work Sans" w:hAnsi="Work Sans"/>
          <w:sz w:val="14"/>
          <w:szCs w:val="14"/>
        </w:rPr>
        <w:t>, accessed</w:t>
      </w:r>
      <w:r w:rsidR="00A271DF">
        <w:rPr>
          <w:rFonts w:ascii="Work Sans" w:hAnsi="Work Sans"/>
          <w:sz w:val="14"/>
          <w:szCs w:val="14"/>
        </w:rPr>
        <w:t xml:space="preserve"> 25 November 2025</w:t>
      </w:r>
      <w:r w:rsidR="001A6B8B" w:rsidRPr="004B3AD0">
        <w:rPr>
          <w:rFonts w:ascii="Work Sans" w:hAnsi="Work Sans"/>
          <w:sz w:val="14"/>
          <w:szCs w:val="14"/>
        </w:rPr>
        <w:t>.</w:t>
      </w:r>
    </w:p>
  </w:footnote>
  <w:footnote w:id="3">
    <w:p w14:paraId="05F49692" w14:textId="1200987D" w:rsidR="0081174A" w:rsidRPr="00A308B7" w:rsidRDefault="0081174A" w:rsidP="00A308B7">
      <w:pPr>
        <w:pStyle w:val="FootnoteText"/>
        <w:ind w:left="96" w:hanging="96"/>
        <w:rPr>
          <w:rFonts w:ascii="Work Sans" w:hAnsi="Work Sans"/>
          <w:sz w:val="14"/>
          <w:szCs w:val="14"/>
        </w:rPr>
      </w:pPr>
      <w:r w:rsidRPr="00ED3A55">
        <w:rPr>
          <w:rStyle w:val="FootnoteReference"/>
          <w:vertAlign w:val="superscript"/>
        </w:rPr>
        <w:footnoteRef/>
      </w:r>
      <w:r w:rsidRPr="00C272ED">
        <w:rPr>
          <w:color w:val="00618A" w:themeColor="text1" w:themeTint="E6"/>
        </w:rPr>
        <w:t xml:space="preserve"> </w:t>
      </w:r>
      <w:r w:rsidR="007C4BD0" w:rsidRPr="00F61463">
        <w:rPr>
          <w:rFonts w:ascii="Work Sans" w:hAnsi="Work Sans"/>
          <w:sz w:val="14"/>
          <w:szCs w:val="14"/>
        </w:rPr>
        <w:t>C</w:t>
      </w:r>
      <w:r w:rsidR="00F61463" w:rsidRPr="00F61463">
        <w:rPr>
          <w:rFonts w:ascii="Work Sans" w:hAnsi="Work Sans"/>
          <w:sz w:val="14"/>
          <w:szCs w:val="14"/>
        </w:rPr>
        <w:t>o</w:t>
      </w:r>
      <w:r w:rsidR="007C4BD0" w:rsidRPr="00F61463">
        <w:rPr>
          <w:rFonts w:ascii="Work Sans" w:hAnsi="Work Sans"/>
          <w:sz w:val="14"/>
          <w:szCs w:val="14"/>
        </w:rPr>
        <w:t>uncil</w:t>
      </w:r>
      <w:r w:rsidR="00F61463">
        <w:rPr>
          <w:rFonts w:ascii="Work Sans" w:hAnsi="Work Sans"/>
          <w:sz w:val="14"/>
          <w:szCs w:val="14"/>
        </w:rPr>
        <w:t xml:space="preserve"> on Federal Financial Relations</w:t>
      </w:r>
      <w:r w:rsidR="00E65A3D">
        <w:rPr>
          <w:rFonts w:ascii="Work Sans" w:hAnsi="Work Sans"/>
          <w:sz w:val="14"/>
          <w:szCs w:val="14"/>
        </w:rPr>
        <w:t>,</w:t>
      </w:r>
      <w:r w:rsidR="00F61463" w:rsidRPr="00F61463">
        <w:rPr>
          <w:rFonts w:ascii="Work Sans" w:hAnsi="Work Sans"/>
          <w:sz w:val="14"/>
          <w:szCs w:val="14"/>
        </w:rPr>
        <w:t xml:space="preserve"> </w:t>
      </w:r>
      <w:hyperlink r:id="rId2" w:history="1">
        <w:r w:rsidR="000D710E" w:rsidRPr="00C272ED">
          <w:rPr>
            <w:rStyle w:val="Hyperlink"/>
            <w:rFonts w:ascii="Work Sans" w:hAnsi="Work Sans"/>
            <w:color w:val="00618A" w:themeColor="text1" w:themeTint="E6"/>
            <w:sz w:val="14"/>
            <w:szCs w:val="14"/>
          </w:rPr>
          <w:t>Intergovernmental Agreement on Federal Financial Relations</w:t>
        </w:r>
      </w:hyperlink>
      <w:r w:rsidR="00087CB6" w:rsidRPr="00A308B7">
        <w:rPr>
          <w:rFonts w:ascii="Work Sans" w:hAnsi="Work Sans"/>
          <w:sz w:val="14"/>
          <w:szCs w:val="14"/>
        </w:rPr>
        <w:t xml:space="preserve">, </w:t>
      </w:r>
      <w:r w:rsidR="00803511">
        <w:rPr>
          <w:rFonts w:ascii="Work Sans" w:hAnsi="Work Sans"/>
          <w:sz w:val="14"/>
          <w:szCs w:val="14"/>
        </w:rPr>
        <w:t>Federal Financial Relations</w:t>
      </w:r>
      <w:r w:rsidR="003119BF">
        <w:rPr>
          <w:rFonts w:ascii="Work Sans" w:hAnsi="Work Sans"/>
          <w:sz w:val="14"/>
          <w:szCs w:val="14"/>
        </w:rPr>
        <w:t xml:space="preserve">, </w:t>
      </w:r>
      <w:r w:rsidR="00803511">
        <w:rPr>
          <w:rFonts w:ascii="Work Sans" w:hAnsi="Work Sans"/>
          <w:sz w:val="14"/>
          <w:szCs w:val="14"/>
        </w:rPr>
        <w:t xml:space="preserve">2009, </w:t>
      </w:r>
      <w:r w:rsidR="00087CB6" w:rsidRPr="00A308B7">
        <w:rPr>
          <w:rFonts w:ascii="Work Sans" w:hAnsi="Work Sans"/>
          <w:sz w:val="14"/>
          <w:szCs w:val="14"/>
        </w:rPr>
        <w:t xml:space="preserve">accessed 25 November </w:t>
      </w:r>
      <w:r w:rsidR="00A308B7" w:rsidRPr="00A308B7">
        <w:rPr>
          <w:rFonts w:ascii="Work Sans" w:hAnsi="Work Sans"/>
          <w:sz w:val="14"/>
          <w:szCs w:val="14"/>
        </w:rPr>
        <w:t>2025</w:t>
      </w:r>
      <w:r w:rsidR="001A6B8B" w:rsidRPr="00A308B7">
        <w:rPr>
          <w:rFonts w:ascii="Work Sans" w:hAnsi="Work Sans"/>
          <w:sz w:val="14"/>
          <w:szCs w:val="14"/>
        </w:rPr>
        <w:t>.</w:t>
      </w:r>
    </w:p>
  </w:footnote>
  <w:footnote w:id="4">
    <w:p w14:paraId="7E7D5155" w14:textId="77777777" w:rsidR="00FF1AFE" w:rsidRPr="00444156" w:rsidRDefault="00FF1AFE" w:rsidP="00EB1369">
      <w:pPr>
        <w:pStyle w:val="FootnoteText"/>
        <w:ind w:left="98" w:hanging="98"/>
        <w:rPr>
          <w:rStyle w:val="FootnoteReference"/>
        </w:rPr>
      </w:pPr>
      <w:r w:rsidRPr="00260BFF">
        <w:rPr>
          <w:rStyle w:val="FootnoteReference"/>
          <w:vertAlign w:val="superscript"/>
        </w:rPr>
        <w:footnoteRef/>
      </w:r>
      <w:r w:rsidRPr="00260BFF">
        <w:rPr>
          <w:rStyle w:val="FootnoteReference"/>
          <w:vertAlign w:val="superscript"/>
        </w:rPr>
        <w:t xml:space="preserve"> </w:t>
      </w:r>
      <w:r w:rsidRPr="0036670C">
        <w:rPr>
          <w:rStyle w:val="FootnoteReference"/>
          <w:sz w:val="14"/>
          <w:szCs w:val="14"/>
        </w:rPr>
        <w:t>For information o</w:t>
      </w:r>
      <w:r w:rsidRPr="0036670C">
        <w:rPr>
          <w:rFonts w:ascii="Work Sans" w:hAnsi="Work Sans"/>
          <w:sz w:val="14"/>
          <w:szCs w:val="14"/>
        </w:rPr>
        <w:t xml:space="preserve">n how the Commission calculates national average tax rates and spending levels see: </w:t>
      </w:r>
      <w:hyperlink r:id="rId3" w:history="1">
        <w:r w:rsidRPr="00C272ED">
          <w:rPr>
            <w:rStyle w:val="Hyperlink"/>
            <w:rFonts w:ascii="Work Sans" w:hAnsi="Work Sans"/>
            <w:color w:val="00618A" w:themeColor="text1" w:themeTint="E6"/>
            <w:sz w:val="14"/>
            <w:szCs w:val="14"/>
          </w:rPr>
          <w:t>Commission's Assessment Methodology</w:t>
        </w:r>
      </w:hyperlink>
      <w:r w:rsidRPr="0036670C">
        <w:rPr>
          <w:sz w:val="14"/>
          <w:szCs w:val="14"/>
        </w:rPr>
        <w:t>.</w:t>
      </w:r>
    </w:p>
  </w:footnote>
  <w:footnote w:id="5">
    <w:p w14:paraId="6D00A307" w14:textId="74E23845" w:rsidR="002C3827" w:rsidRPr="00AA3010" w:rsidRDefault="002C3827" w:rsidP="000167D3">
      <w:pPr>
        <w:pStyle w:val="FootnoteText"/>
        <w:ind w:left="142" w:hanging="142"/>
        <w:rPr>
          <w:rFonts w:ascii="Work Sans" w:hAnsi="Work Sans"/>
          <w:sz w:val="16"/>
          <w:szCs w:val="16"/>
        </w:rPr>
      </w:pPr>
      <w:r w:rsidRPr="00260BFF">
        <w:rPr>
          <w:rStyle w:val="FootnoteReference"/>
          <w:vertAlign w:val="superscript"/>
        </w:rPr>
        <w:footnoteRef/>
      </w:r>
      <w:r>
        <w:t xml:space="preserve"> </w:t>
      </w:r>
      <w:r w:rsidR="001C6282">
        <w:rPr>
          <w:rFonts w:ascii="Work Sans" w:hAnsi="Work Sans"/>
          <w:sz w:val="14"/>
          <w:szCs w:val="14"/>
        </w:rPr>
        <w:t>“</w:t>
      </w:r>
      <w:r w:rsidRPr="0036670C">
        <w:rPr>
          <w:rFonts w:ascii="Work Sans" w:hAnsi="Work Sans"/>
          <w:sz w:val="14"/>
          <w:szCs w:val="14"/>
        </w:rPr>
        <w:t>…States and Territories themselves have often sought greater complexity in order to capture their special circumstances</w:t>
      </w:r>
      <w:r w:rsidR="001C6282">
        <w:rPr>
          <w:rFonts w:ascii="Work Sans" w:hAnsi="Work Sans"/>
          <w:sz w:val="14"/>
          <w:szCs w:val="14"/>
        </w:rPr>
        <w:t>”, ACT</w:t>
      </w:r>
      <w:r w:rsidR="00146A4A">
        <w:rPr>
          <w:rFonts w:ascii="Work Sans" w:hAnsi="Work Sans"/>
          <w:sz w:val="14"/>
          <w:szCs w:val="14"/>
        </w:rPr>
        <w:t xml:space="preserve"> Government</w:t>
      </w:r>
      <w:r w:rsidR="009C4F1C">
        <w:rPr>
          <w:rFonts w:ascii="Work Sans" w:hAnsi="Work Sans"/>
          <w:sz w:val="14"/>
          <w:szCs w:val="14"/>
        </w:rPr>
        <w:t>,</w:t>
      </w:r>
      <w:r w:rsidRPr="0036670C">
        <w:rPr>
          <w:rFonts w:ascii="Work Sans" w:hAnsi="Work Sans"/>
          <w:sz w:val="14"/>
          <w:szCs w:val="14"/>
        </w:rPr>
        <w:t xml:space="preserve"> </w:t>
      </w:r>
      <w:hyperlink r:id="rId4" w:history="1">
        <w:r>
          <w:rPr>
            <w:rStyle w:val="Hyperlink"/>
            <w:rFonts w:ascii="Work Sans" w:hAnsi="Work Sans"/>
            <w:sz w:val="14"/>
            <w:szCs w:val="14"/>
          </w:rPr>
          <w:t>ACT Government response to the Productivity Commission Draft Report on Horizontal Fiscal Equalisation</w:t>
        </w:r>
      </w:hyperlink>
      <w:r w:rsidR="00530C04" w:rsidRPr="005760A2">
        <w:rPr>
          <w:rFonts w:ascii="Work Sans" w:hAnsi="Work Sans"/>
          <w:sz w:val="14"/>
          <w:szCs w:val="14"/>
        </w:rPr>
        <w:t>,</w:t>
      </w:r>
      <w:r w:rsidRPr="0036670C">
        <w:rPr>
          <w:rFonts w:ascii="Work Sans" w:hAnsi="Work Sans"/>
          <w:sz w:val="14"/>
          <w:szCs w:val="14"/>
        </w:rPr>
        <w:t xml:space="preserve"> </w:t>
      </w:r>
      <w:r w:rsidR="001930B7">
        <w:rPr>
          <w:rFonts w:ascii="Work Sans" w:hAnsi="Work Sans"/>
          <w:sz w:val="14"/>
          <w:szCs w:val="14"/>
        </w:rPr>
        <w:t xml:space="preserve">Productivity </w:t>
      </w:r>
      <w:r w:rsidR="00850E1E">
        <w:rPr>
          <w:rFonts w:ascii="Work Sans" w:hAnsi="Work Sans"/>
          <w:sz w:val="14"/>
          <w:szCs w:val="14"/>
        </w:rPr>
        <w:t xml:space="preserve">Inquiry </w:t>
      </w:r>
      <w:r w:rsidR="00E76052">
        <w:rPr>
          <w:rFonts w:ascii="Work Sans" w:hAnsi="Work Sans"/>
          <w:sz w:val="14"/>
          <w:szCs w:val="14"/>
        </w:rPr>
        <w:t>in</w:t>
      </w:r>
      <w:r w:rsidR="00666BE0">
        <w:rPr>
          <w:rFonts w:ascii="Work Sans" w:hAnsi="Work Sans"/>
          <w:sz w:val="14"/>
          <w:szCs w:val="14"/>
        </w:rPr>
        <w:t>to</w:t>
      </w:r>
      <w:r w:rsidR="00E76052">
        <w:rPr>
          <w:rFonts w:ascii="Work Sans" w:hAnsi="Work Sans"/>
          <w:sz w:val="14"/>
          <w:szCs w:val="14"/>
        </w:rPr>
        <w:t xml:space="preserve"> Horizontal Fiscal Equalisation</w:t>
      </w:r>
      <w:r w:rsidR="003552BD">
        <w:rPr>
          <w:rFonts w:ascii="Work Sans" w:hAnsi="Work Sans"/>
          <w:sz w:val="14"/>
          <w:szCs w:val="14"/>
        </w:rPr>
        <w:t>, 2017</w:t>
      </w:r>
      <w:r w:rsidR="00E76052">
        <w:rPr>
          <w:rFonts w:ascii="Work Sans" w:hAnsi="Work Sans"/>
          <w:sz w:val="14"/>
          <w:szCs w:val="14"/>
        </w:rPr>
        <w:t xml:space="preserve">, </w:t>
      </w:r>
      <w:r w:rsidRPr="0036670C">
        <w:rPr>
          <w:rFonts w:ascii="Work Sans" w:hAnsi="Work Sans"/>
          <w:sz w:val="14"/>
          <w:szCs w:val="14"/>
        </w:rPr>
        <w:t>p</w:t>
      </w:r>
      <w:r w:rsidR="00EB086A" w:rsidRPr="0036670C">
        <w:rPr>
          <w:rFonts w:ascii="Work Sans" w:hAnsi="Work Sans"/>
          <w:sz w:val="14"/>
          <w:szCs w:val="14"/>
        </w:rPr>
        <w:t xml:space="preserve"> </w:t>
      </w:r>
      <w:r w:rsidRPr="0036670C">
        <w:rPr>
          <w:rFonts w:ascii="Work Sans" w:hAnsi="Work Sans"/>
          <w:sz w:val="14"/>
          <w:szCs w:val="14"/>
        </w:rPr>
        <w:t>9</w:t>
      </w:r>
      <w:r w:rsidR="00E76052">
        <w:rPr>
          <w:rFonts w:ascii="Work Sans" w:hAnsi="Work Sans"/>
          <w:sz w:val="14"/>
          <w:szCs w:val="14"/>
        </w:rPr>
        <w:t>, accessed 25 November 2025</w:t>
      </w:r>
      <w:r w:rsidRPr="0036670C">
        <w:rPr>
          <w:rFonts w:ascii="Work Sans" w:hAnsi="Work Sans"/>
          <w:sz w:val="14"/>
          <w:szCs w:val="14"/>
        </w:rPr>
        <w:t>.</w:t>
      </w:r>
    </w:p>
  </w:footnote>
  <w:footnote w:id="6">
    <w:p w14:paraId="24BF8696" w14:textId="57C3AB51" w:rsidR="00A84EBB" w:rsidRPr="00A84EBB" w:rsidRDefault="00A84EBB" w:rsidP="000167D3">
      <w:pPr>
        <w:pStyle w:val="FootnoteText"/>
        <w:ind w:left="142" w:hanging="142"/>
        <w:rPr>
          <w:rFonts w:ascii="Work Sans" w:hAnsi="Work Sans"/>
          <w:sz w:val="14"/>
          <w:szCs w:val="14"/>
        </w:rPr>
      </w:pPr>
      <w:r w:rsidRPr="00A84EBB">
        <w:rPr>
          <w:rStyle w:val="FootnoteReference"/>
          <w:vertAlign w:val="superscript"/>
        </w:rPr>
        <w:footnoteRef/>
      </w:r>
      <w:r>
        <w:t xml:space="preserve"> </w:t>
      </w:r>
      <w:r w:rsidRPr="00A84EBB">
        <w:rPr>
          <w:rFonts w:ascii="Work Sans" w:hAnsi="Work Sans"/>
          <w:sz w:val="14"/>
          <w:szCs w:val="14"/>
        </w:rPr>
        <w:t>There was a</w:t>
      </w:r>
      <w:r>
        <w:rPr>
          <w:rFonts w:ascii="Work Sans" w:hAnsi="Work Sans"/>
          <w:sz w:val="14"/>
          <w:szCs w:val="14"/>
        </w:rPr>
        <w:t xml:space="preserve"> </w:t>
      </w:r>
      <w:r w:rsidR="00632090">
        <w:rPr>
          <w:rFonts w:ascii="Work Sans" w:hAnsi="Work Sans"/>
          <w:sz w:val="14"/>
          <w:szCs w:val="14"/>
        </w:rPr>
        <w:t>6-year transition to distributing GST revenue based on standard state relativities. During this period there was additional complexity resulting from the blending of assessed and standard state relativities an</w:t>
      </w:r>
      <w:r w:rsidR="00BF0ED5">
        <w:rPr>
          <w:rFonts w:ascii="Work Sans" w:hAnsi="Work Sans"/>
          <w:sz w:val="14"/>
          <w:szCs w:val="14"/>
        </w:rPr>
        <w:t>d</w:t>
      </w:r>
      <w:r w:rsidR="00632090">
        <w:rPr>
          <w:rFonts w:ascii="Work Sans" w:hAnsi="Work Sans"/>
          <w:sz w:val="14"/>
          <w:szCs w:val="14"/>
        </w:rPr>
        <w:t xml:space="preserve"> the application of the GST relativity floor</w:t>
      </w:r>
      <w:r w:rsidR="00BF0ED5">
        <w:rPr>
          <w:rFonts w:ascii="Work Sans" w:hAnsi="Work Sans"/>
          <w:sz w:val="14"/>
          <w:szCs w:val="14"/>
        </w:rPr>
        <w:t>.</w:t>
      </w:r>
    </w:p>
  </w:footnote>
  <w:footnote w:id="7">
    <w:p w14:paraId="63911A15" w14:textId="6EE99590" w:rsidR="00D55704" w:rsidRPr="00115309" w:rsidRDefault="00D55704" w:rsidP="000167D3">
      <w:pPr>
        <w:pStyle w:val="FootnoteText"/>
        <w:ind w:left="142" w:hanging="142"/>
        <w:rPr>
          <w:rFonts w:ascii="Work Sans" w:hAnsi="Work Sans"/>
          <w:sz w:val="16"/>
          <w:szCs w:val="16"/>
        </w:rPr>
      </w:pPr>
      <w:r w:rsidRPr="00260BFF">
        <w:rPr>
          <w:rStyle w:val="FootnoteReference"/>
          <w:vertAlign w:val="superscript"/>
        </w:rPr>
        <w:footnoteRef/>
      </w:r>
      <w:r w:rsidRPr="00260BFF">
        <w:rPr>
          <w:sz w:val="16"/>
          <w:szCs w:val="16"/>
          <w:vertAlign w:val="superscript"/>
        </w:rPr>
        <w:t xml:space="preserve">  </w:t>
      </w:r>
      <w:r w:rsidRPr="0036670C">
        <w:rPr>
          <w:rFonts w:ascii="Work Sans" w:hAnsi="Work Sans"/>
          <w:sz w:val="14"/>
          <w:szCs w:val="14"/>
        </w:rPr>
        <w:t>Further information on the Commission’s supporting principles can be found in</w:t>
      </w:r>
      <w:r w:rsidR="00A7395B" w:rsidRPr="00C272ED">
        <w:rPr>
          <w:rFonts w:ascii="Work Sans" w:hAnsi="Work Sans"/>
          <w:color w:val="00618A" w:themeColor="text1" w:themeTint="E6"/>
          <w:sz w:val="14"/>
          <w:szCs w:val="14"/>
        </w:rPr>
        <w:t>:</w:t>
      </w:r>
      <w:r w:rsidRPr="00C272ED">
        <w:rPr>
          <w:rFonts w:ascii="Work Sans" w:hAnsi="Work Sans"/>
          <w:color w:val="00618A" w:themeColor="text1" w:themeTint="E6"/>
          <w:sz w:val="14"/>
          <w:szCs w:val="14"/>
        </w:rPr>
        <w:t xml:space="preserve"> </w:t>
      </w:r>
      <w:hyperlink r:id="rId5" w:history="1">
        <w:r w:rsidRPr="00C272ED">
          <w:rPr>
            <w:rFonts w:ascii="Work Sans" w:hAnsi="Work Sans"/>
            <w:color w:val="00618A" w:themeColor="text1" w:themeTint="E6"/>
            <w:sz w:val="14"/>
            <w:szCs w:val="14"/>
            <w:u w:val="single"/>
          </w:rPr>
          <w:t>Fiscal equalisation, supporting principles and assessment guidelines</w:t>
        </w:r>
      </w:hyperlink>
      <w:r w:rsidRPr="0036670C">
        <w:rPr>
          <w:rFonts w:ascii="Work Sans" w:hAnsi="Work Sans"/>
          <w:sz w:val="14"/>
          <w:szCs w:val="14"/>
        </w:rPr>
        <w:t>.</w:t>
      </w:r>
    </w:p>
  </w:footnote>
  <w:footnote w:id="8">
    <w:p w14:paraId="1EC59D91" w14:textId="7557DF35" w:rsidR="00F612C5" w:rsidRPr="00775138" w:rsidRDefault="00F612C5" w:rsidP="00F612C5">
      <w:pPr>
        <w:pStyle w:val="FootnoteText"/>
        <w:rPr>
          <w:rFonts w:ascii="Work Sans" w:hAnsi="Work Sans"/>
          <w:sz w:val="16"/>
          <w:szCs w:val="16"/>
        </w:rPr>
      </w:pPr>
      <w:r w:rsidRPr="00260BFF">
        <w:rPr>
          <w:rStyle w:val="FootnoteReference"/>
          <w:vertAlign w:val="superscript"/>
        </w:rPr>
        <w:footnoteRef/>
      </w:r>
      <w:r w:rsidR="00A12524">
        <w:rPr>
          <w:rFonts w:ascii="Work Sans" w:hAnsi="Work Sans"/>
          <w:sz w:val="16"/>
          <w:szCs w:val="16"/>
        </w:rPr>
        <w:t xml:space="preserve"> </w:t>
      </w:r>
      <w:r w:rsidR="00A25DC4" w:rsidRPr="00F75E9C">
        <w:rPr>
          <w:rFonts w:ascii="Work Sans" w:hAnsi="Work Sans"/>
          <w:sz w:val="14"/>
          <w:szCs w:val="14"/>
        </w:rPr>
        <w:t xml:space="preserve">Productivity </w:t>
      </w:r>
      <w:r w:rsidR="00425611" w:rsidRPr="00F75E9C">
        <w:rPr>
          <w:rFonts w:ascii="Work Sans" w:hAnsi="Work Sans"/>
          <w:sz w:val="14"/>
          <w:szCs w:val="14"/>
        </w:rPr>
        <w:t>Commission,</w:t>
      </w:r>
      <w:r w:rsidR="00425611">
        <w:rPr>
          <w:rFonts w:ascii="Work Sans" w:hAnsi="Work Sans"/>
          <w:sz w:val="16"/>
          <w:szCs w:val="16"/>
        </w:rPr>
        <w:t xml:space="preserve"> </w:t>
      </w:r>
      <w:hyperlink r:id="rId6" w:history="1">
        <w:r w:rsidRPr="00A7587A">
          <w:rPr>
            <w:rStyle w:val="Hyperlink"/>
            <w:rFonts w:ascii="Work Sans" w:hAnsi="Work Sans"/>
            <w:color w:val="00618A" w:themeColor="text1" w:themeTint="E6"/>
            <w:sz w:val="14"/>
            <w:szCs w:val="14"/>
          </w:rPr>
          <w:t>Horizontal Fiscal Equalisation</w:t>
        </w:r>
        <w:r w:rsidR="00611154">
          <w:rPr>
            <w:rStyle w:val="Hyperlink"/>
            <w:rFonts w:ascii="Work Sans" w:hAnsi="Work Sans"/>
            <w:color w:val="00618A" w:themeColor="text1" w:themeTint="E6"/>
            <w:sz w:val="14"/>
            <w:szCs w:val="14"/>
          </w:rPr>
          <w:t>, Report no. 88</w:t>
        </w:r>
      </w:hyperlink>
      <w:r w:rsidRPr="00A7587A">
        <w:rPr>
          <w:rFonts w:ascii="Work Sans" w:hAnsi="Work Sans"/>
          <w:color w:val="00618A" w:themeColor="text1" w:themeTint="E6"/>
          <w:sz w:val="14"/>
          <w:szCs w:val="14"/>
        </w:rPr>
        <w:t xml:space="preserve">, </w:t>
      </w:r>
      <w:r w:rsidR="00C273C7" w:rsidRPr="00E84B25">
        <w:rPr>
          <w:rFonts w:ascii="Work Sans" w:hAnsi="Work Sans"/>
          <w:sz w:val="14"/>
          <w:szCs w:val="14"/>
        </w:rPr>
        <w:t>2018</w:t>
      </w:r>
      <w:r w:rsidR="00E84B25" w:rsidRPr="00E84B25">
        <w:rPr>
          <w:rFonts w:ascii="Work Sans" w:hAnsi="Work Sans"/>
          <w:sz w:val="14"/>
          <w:szCs w:val="14"/>
        </w:rPr>
        <w:t>,</w:t>
      </w:r>
      <w:r w:rsidR="00E84B25">
        <w:rPr>
          <w:rFonts w:ascii="Work Sans" w:hAnsi="Work Sans"/>
          <w:color w:val="00618A" w:themeColor="text1" w:themeTint="E6"/>
          <w:sz w:val="14"/>
          <w:szCs w:val="14"/>
        </w:rPr>
        <w:t xml:space="preserve"> </w:t>
      </w:r>
      <w:r w:rsidRPr="0036670C">
        <w:rPr>
          <w:rFonts w:ascii="Work Sans" w:hAnsi="Work Sans"/>
          <w:sz w:val="14"/>
          <w:szCs w:val="14"/>
        </w:rPr>
        <w:t>p</w:t>
      </w:r>
      <w:r w:rsidR="00C60ED6" w:rsidRPr="0036670C">
        <w:rPr>
          <w:rFonts w:ascii="Work Sans" w:hAnsi="Work Sans"/>
          <w:sz w:val="14"/>
          <w:szCs w:val="14"/>
        </w:rPr>
        <w:t xml:space="preserve"> </w:t>
      </w:r>
      <w:r w:rsidRPr="0036670C">
        <w:rPr>
          <w:rFonts w:ascii="Work Sans" w:hAnsi="Work Sans"/>
          <w:sz w:val="14"/>
          <w:szCs w:val="14"/>
        </w:rPr>
        <w:t>170</w:t>
      </w:r>
      <w:r w:rsidR="0073704C">
        <w:rPr>
          <w:rFonts w:ascii="Work Sans" w:hAnsi="Work Sans"/>
          <w:sz w:val="14"/>
          <w:szCs w:val="14"/>
        </w:rPr>
        <w:t>, accessed 25 November 2025</w:t>
      </w:r>
    </w:p>
  </w:footnote>
  <w:footnote w:id="9">
    <w:p w14:paraId="13398047" w14:textId="05BB8348" w:rsidR="00957974" w:rsidRPr="001D1338" w:rsidRDefault="00957974" w:rsidP="00957974">
      <w:pPr>
        <w:pStyle w:val="FootnoteText"/>
        <w:rPr>
          <w:rFonts w:ascii="Work Sans" w:hAnsi="Work Sans"/>
          <w:sz w:val="14"/>
          <w:szCs w:val="14"/>
        </w:rPr>
      </w:pPr>
      <w:r w:rsidRPr="00260BFF">
        <w:rPr>
          <w:rStyle w:val="FootnoteReference"/>
          <w:vertAlign w:val="superscript"/>
        </w:rPr>
        <w:footnoteRef/>
      </w:r>
      <w:r w:rsidRPr="00260BFF">
        <w:rPr>
          <w:rFonts w:ascii="Work Sans" w:hAnsi="Work Sans"/>
          <w:sz w:val="16"/>
          <w:szCs w:val="16"/>
          <w:vertAlign w:val="superscript"/>
        </w:rPr>
        <w:t xml:space="preserve"> </w:t>
      </w:r>
      <w:r w:rsidR="00E04445" w:rsidRPr="00E04445">
        <w:rPr>
          <w:rFonts w:ascii="Work Sans" w:hAnsi="Work Sans"/>
          <w:sz w:val="14"/>
          <w:szCs w:val="14"/>
        </w:rPr>
        <w:t>Commonwealth Grants Commission</w:t>
      </w:r>
      <w:r w:rsidR="004C61BE">
        <w:rPr>
          <w:rFonts w:ascii="Work Sans" w:hAnsi="Work Sans"/>
          <w:sz w:val="14"/>
          <w:szCs w:val="14"/>
        </w:rPr>
        <w:t>,</w:t>
      </w:r>
      <w:r w:rsidR="00E04445">
        <w:rPr>
          <w:rFonts w:ascii="Work Sans" w:hAnsi="Work Sans"/>
          <w:sz w:val="16"/>
          <w:szCs w:val="16"/>
        </w:rPr>
        <w:t xml:space="preserve"> </w:t>
      </w:r>
      <w:hyperlink r:id="rId7" w:history="1">
        <w:r w:rsidRPr="0036670C">
          <w:rPr>
            <w:rStyle w:val="Hyperlink"/>
            <w:rFonts w:ascii="Work Sans" w:hAnsi="Work Sans"/>
            <w:sz w:val="14"/>
            <w:szCs w:val="14"/>
          </w:rPr>
          <w:t>A broader assessment approach</w:t>
        </w:r>
      </w:hyperlink>
      <w:r w:rsidR="00C273C7" w:rsidRPr="001D1338">
        <w:rPr>
          <w:rFonts w:ascii="Work Sans" w:hAnsi="Work Sans"/>
          <w:sz w:val="14"/>
          <w:szCs w:val="14"/>
        </w:rPr>
        <w:t xml:space="preserve">, </w:t>
      </w:r>
      <w:r w:rsidR="00A92DC4" w:rsidRPr="001D1338">
        <w:rPr>
          <w:rFonts w:ascii="Work Sans" w:hAnsi="Work Sans"/>
          <w:sz w:val="14"/>
          <w:szCs w:val="14"/>
        </w:rPr>
        <w:t xml:space="preserve">Australian Government, </w:t>
      </w:r>
      <w:r w:rsidR="00EE6BC1" w:rsidRPr="001D1338">
        <w:rPr>
          <w:rFonts w:ascii="Work Sans" w:hAnsi="Work Sans"/>
          <w:sz w:val="14"/>
          <w:szCs w:val="14"/>
        </w:rPr>
        <w:t xml:space="preserve">2018, accessed </w:t>
      </w:r>
      <w:r w:rsidR="001D1338" w:rsidRPr="001D1338">
        <w:rPr>
          <w:rFonts w:ascii="Work Sans" w:hAnsi="Work Sans"/>
          <w:sz w:val="14"/>
          <w:szCs w:val="14"/>
        </w:rPr>
        <w:t>25 November 2025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FA85" w14:textId="2D57CF36" w:rsidR="00C87C4C" w:rsidRDefault="00C87C4C">
    <w:pPr>
      <w:pStyle w:val="Header"/>
    </w:pPr>
    <w:r w:rsidRPr="009D2E84">
      <w:rPr>
        <w:rFonts w:ascii="Work Sans" w:hAnsi="Work Sans"/>
        <w:noProof/>
      </w:rPr>
      <w:drawing>
        <wp:anchor distT="0" distB="0" distL="114300" distR="114300" simplePos="0" relativeHeight="251658244" behindDoc="1" locked="1" layoutInCell="1" allowOverlap="1" wp14:anchorId="1CB5103A" wp14:editId="6291C43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63485" cy="10691495"/>
          <wp:effectExtent l="0" t="0" r="0" b="0"/>
          <wp:wrapNone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859C9" w14:textId="713926D7" w:rsidR="00C25219" w:rsidRDefault="00AB73C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0DD578" wp14:editId="34A479C4">
          <wp:simplePos x="0" y="0"/>
          <wp:positionH relativeFrom="column">
            <wp:posOffset>-899907</wp:posOffset>
          </wp:positionH>
          <wp:positionV relativeFrom="paragraph">
            <wp:posOffset>-469723</wp:posOffset>
          </wp:positionV>
          <wp:extent cx="7562789" cy="10689589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89" cy="106895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9A1">
      <w:rPr>
        <w:noProof/>
      </w:rPr>
      <w:drawing>
        <wp:anchor distT="0" distB="0" distL="114300" distR="114300" simplePos="0" relativeHeight="251658243" behindDoc="1" locked="0" layoutInCell="1" allowOverlap="1" wp14:anchorId="5E0448FF" wp14:editId="3893EFC1">
          <wp:simplePos x="0" y="0"/>
          <wp:positionH relativeFrom="column">
            <wp:posOffset>-923290</wp:posOffset>
          </wp:positionH>
          <wp:positionV relativeFrom="paragraph">
            <wp:posOffset>10351135</wp:posOffset>
          </wp:positionV>
          <wp:extent cx="7580630" cy="10691495"/>
          <wp:effectExtent l="0" t="0" r="1270" b="190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45CD">
      <w:rPr>
        <w:noProof/>
      </w:rPr>
      <w:drawing>
        <wp:anchor distT="0" distB="0" distL="114300" distR="114300" simplePos="0" relativeHeight="251658242" behindDoc="1" locked="0" layoutInCell="1" allowOverlap="1" wp14:anchorId="2CFE1E5C" wp14:editId="795823A5">
          <wp:simplePos x="0" y="0"/>
          <wp:positionH relativeFrom="column">
            <wp:posOffset>-900430</wp:posOffset>
          </wp:positionH>
          <wp:positionV relativeFrom="paragraph">
            <wp:posOffset>10362565</wp:posOffset>
          </wp:positionV>
          <wp:extent cx="7580630" cy="10691495"/>
          <wp:effectExtent l="0" t="0" r="127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219" w:rsidRPr="00410188">
      <w:rPr>
        <w:rFonts w:ascii="Open Sans Semibold" w:hAnsi="Open Sans Semibold" w:cs="Open Sans Semibold"/>
        <w:bCs/>
        <w:noProof/>
        <w:sz w:val="40"/>
        <w:szCs w:val="40"/>
        <w:lang w:val="en-US"/>
      </w:rPr>
      <w:drawing>
        <wp:anchor distT="0" distB="0" distL="114300" distR="114300" simplePos="0" relativeHeight="251658241" behindDoc="1" locked="0" layoutInCell="1" allowOverlap="1" wp14:anchorId="355101D3" wp14:editId="6682A560">
          <wp:simplePos x="0" y="0"/>
          <wp:positionH relativeFrom="column">
            <wp:posOffset>-1037590</wp:posOffset>
          </wp:positionH>
          <wp:positionV relativeFrom="paragraph">
            <wp:posOffset>10328275</wp:posOffset>
          </wp:positionV>
          <wp:extent cx="7683500" cy="10836275"/>
          <wp:effectExtent l="38100" t="38100" r="63500" b="349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836275"/>
                  </a:xfrm>
                  <a:prstGeom prst="rect">
                    <a:avLst/>
                  </a:prstGeom>
                  <a:noFill/>
                  <a:ln w="88900" cap="sq">
                    <a:noFill/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233"/>
    <w:multiLevelType w:val="hybridMultilevel"/>
    <w:tmpl w:val="6262A91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4511CFA"/>
    <w:multiLevelType w:val="hybridMultilevel"/>
    <w:tmpl w:val="BCC2CE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87146"/>
    <w:multiLevelType w:val="multilevel"/>
    <w:tmpl w:val="919C817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78286755">
    <w:abstractNumId w:val="1"/>
  </w:num>
  <w:num w:numId="2" w16cid:durableId="303169665">
    <w:abstractNumId w:val="0"/>
  </w:num>
  <w:num w:numId="3" w16cid:durableId="1665351355">
    <w:abstractNumId w:val="2"/>
  </w:num>
  <w:num w:numId="4" w16cid:durableId="1670207313">
    <w:abstractNumId w:val="2"/>
  </w:num>
  <w:num w:numId="5" w16cid:durableId="702438224">
    <w:abstractNumId w:val="2"/>
  </w:num>
  <w:num w:numId="6" w16cid:durableId="1280532908">
    <w:abstractNumId w:val="2"/>
  </w:num>
  <w:num w:numId="7" w16cid:durableId="155151476">
    <w:abstractNumId w:val="2"/>
  </w:num>
  <w:num w:numId="8" w16cid:durableId="527641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550"/>
    <w:rsid w:val="00000A9A"/>
    <w:rsid w:val="00000BDE"/>
    <w:rsid w:val="000018D0"/>
    <w:rsid w:val="000024BC"/>
    <w:rsid w:val="000052CB"/>
    <w:rsid w:val="00006134"/>
    <w:rsid w:val="00007253"/>
    <w:rsid w:val="00007BDF"/>
    <w:rsid w:val="00011E4B"/>
    <w:rsid w:val="00012520"/>
    <w:rsid w:val="0001265A"/>
    <w:rsid w:val="00012739"/>
    <w:rsid w:val="00012D17"/>
    <w:rsid w:val="0001453F"/>
    <w:rsid w:val="00016533"/>
    <w:rsid w:val="000167D3"/>
    <w:rsid w:val="00016834"/>
    <w:rsid w:val="00016EC5"/>
    <w:rsid w:val="0001758D"/>
    <w:rsid w:val="00017E09"/>
    <w:rsid w:val="0002054A"/>
    <w:rsid w:val="00020FC2"/>
    <w:rsid w:val="0002161E"/>
    <w:rsid w:val="000218E1"/>
    <w:rsid w:val="0002371F"/>
    <w:rsid w:val="00023F49"/>
    <w:rsid w:val="00024378"/>
    <w:rsid w:val="00024391"/>
    <w:rsid w:val="000247FC"/>
    <w:rsid w:val="0002562A"/>
    <w:rsid w:val="00025C4C"/>
    <w:rsid w:val="00025E1F"/>
    <w:rsid w:val="00026080"/>
    <w:rsid w:val="00027950"/>
    <w:rsid w:val="00027DD2"/>
    <w:rsid w:val="00030ED1"/>
    <w:rsid w:val="00031106"/>
    <w:rsid w:val="000315C1"/>
    <w:rsid w:val="00031CD7"/>
    <w:rsid w:val="0003284A"/>
    <w:rsid w:val="000334AE"/>
    <w:rsid w:val="0003556A"/>
    <w:rsid w:val="000357BB"/>
    <w:rsid w:val="0003601D"/>
    <w:rsid w:val="000362DD"/>
    <w:rsid w:val="0003630E"/>
    <w:rsid w:val="00036892"/>
    <w:rsid w:val="00036C56"/>
    <w:rsid w:val="00037484"/>
    <w:rsid w:val="000374D8"/>
    <w:rsid w:val="000379A2"/>
    <w:rsid w:val="000405DC"/>
    <w:rsid w:val="00040609"/>
    <w:rsid w:val="00040F0C"/>
    <w:rsid w:val="0004154B"/>
    <w:rsid w:val="0004201E"/>
    <w:rsid w:val="00042C6F"/>
    <w:rsid w:val="00043B37"/>
    <w:rsid w:val="00043D0F"/>
    <w:rsid w:val="00044306"/>
    <w:rsid w:val="000449EE"/>
    <w:rsid w:val="00045BA3"/>
    <w:rsid w:val="00047121"/>
    <w:rsid w:val="0004746B"/>
    <w:rsid w:val="00047481"/>
    <w:rsid w:val="00047BAF"/>
    <w:rsid w:val="00050A4E"/>
    <w:rsid w:val="00050C19"/>
    <w:rsid w:val="00051711"/>
    <w:rsid w:val="000517CC"/>
    <w:rsid w:val="000520FC"/>
    <w:rsid w:val="000524BB"/>
    <w:rsid w:val="00052ECA"/>
    <w:rsid w:val="000531C6"/>
    <w:rsid w:val="00053C2B"/>
    <w:rsid w:val="00053FC6"/>
    <w:rsid w:val="0005427A"/>
    <w:rsid w:val="00054FE7"/>
    <w:rsid w:val="00055748"/>
    <w:rsid w:val="000558D4"/>
    <w:rsid w:val="00055CF7"/>
    <w:rsid w:val="000564DB"/>
    <w:rsid w:val="00057337"/>
    <w:rsid w:val="00060067"/>
    <w:rsid w:val="000609F8"/>
    <w:rsid w:val="00061303"/>
    <w:rsid w:val="0006231C"/>
    <w:rsid w:val="00062736"/>
    <w:rsid w:val="000638A8"/>
    <w:rsid w:val="00064C39"/>
    <w:rsid w:val="00065DCA"/>
    <w:rsid w:val="000663B6"/>
    <w:rsid w:val="00070313"/>
    <w:rsid w:val="00070EBC"/>
    <w:rsid w:val="000711B1"/>
    <w:rsid w:val="0007207C"/>
    <w:rsid w:val="00072369"/>
    <w:rsid w:val="00073BF2"/>
    <w:rsid w:val="00075D1A"/>
    <w:rsid w:val="00076918"/>
    <w:rsid w:val="00080E21"/>
    <w:rsid w:val="000812DE"/>
    <w:rsid w:val="0008135A"/>
    <w:rsid w:val="000834D3"/>
    <w:rsid w:val="00084254"/>
    <w:rsid w:val="0008483F"/>
    <w:rsid w:val="0008552A"/>
    <w:rsid w:val="00086490"/>
    <w:rsid w:val="00087CB6"/>
    <w:rsid w:val="00090077"/>
    <w:rsid w:val="00090513"/>
    <w:rsid w:val="00090CF2"/>
    <w:rsid w:val="00090F82"/>
    <w:rsid w:val="00091CC3"/>
    <w:rsid w:val="000926D3"/>
    <w:rsid w:val="000943EE"/>
    <w:rsid w:val="00094747"/>
    <w:rsid w:val="00094A0D"/>
    <w:rsid w:val="00094A66"/>
    <w:rsid w:val="000951B5"/>
    <w:rsid w:val="000958C4"/>
    <w:rsid w:val="00095E6C"/>
    <w:rsid w:val="00096A08"/>
    <w:rsid w:val="00096F48"/>
    <w:rsid w:val="00097170"/>
    <w:rsid w:val="000974ED"/>
    <w:rsid w:val="00097548"/>
    <w:rsid w:val="000A0DAC"/>
    <w:rsid w:val="000A11CA"/>
    <w:rsid w:val="000A2059"/>
    <w:rsid w:val="000A239C"/>
    <w:rsid w:val="000A3C94"/>
    <w:rsid w:val="000A4503"/>
    <w:rsid w:val="000A48A6"/>
    <w:rsid w:val="000A4D27"/>
    <w:rsid w:val="000A4F0A"/>
    <w:rsid w:val="000A54AC"/>
    <w:rsid w:val="000A5A8E"/>
    <w:rsid w:val="000A6477"/>
    <w:rsid w:val="000A6611"/>
    <w:rsid w:val="000A75FC"/>
    <w:rsid w:val="000B3818"/>
    <w:rsid w:val="000B449D"/>
    <w:rsid w:val="000B46E7"/>
    <w:rsid w:val="000B4C43"/>
    <w:rsid w:val="000B60FB"/>
    <w:rsid w:val="000B6459"/>
    <w:rsid w:val="000B668A"/>
    <w:rsid w:val="000B7133"/>
    <w:rsid w:val="000B7FD2"/>
    <w:rsid w:val="000C023B"/>
    <w:rsid w:val="000C0B0F"/>
    <w:rsid w:val="000C1511"/>
    <w:rsid w:val="000C184F"/>
    <w:rsid w:val="000C19F1"/>
    <w:rsid w:val="000C1E71"/>
    <w:rsid w:val="000C2E71"/>
    <w:rsid w:val="000C2E83"/>
    <w:rsid w:val="000C3106"/>
    <w:rsid w:val="000C44F2"/>
    <w:rsid w:val="000C5C73"/>
    <w:rsid w:val="000C5C99"/>
    <w:rsid w:val="000C5DAA"/>
    <w:rsid w:val="000C641E"/>
    <w:rsid w:val="000C77F6"/>
    <w:rsid w:val="000C78AE"/>
    <w:rsid w:val="000D29F5"/>
    <w:rsid w:val="000D41AA"/>
    <w:rsid w:val="000D4D10"/>
    <w:rsid w:val="000D52CC"/>
    <w:rsid w:val="000D556C"/>
    <w:rsid w:val="000D601D"/>
    <w:rsid w:val="000D710E"/>
    <w:rsid w:val="000D7BE7"/>
    <w:rsid w:val="000D7CD4"/>
    <w:rsid w:val="000D7E28"/>
    <w:rsid w:val="000E077F"/>
    <w:rsid w:val="000E086E"/>
    <w:rsid w:val="000E1D6B"/>
    <w:rsid w:val="000E297D"/>
    <w:rsid w:val="000E31D1"/>
    <w:rsid w:val="000E39D9"/>
    <w:rsid w:val="000E4948"/>
    <w:rsid w:val="000E557A"/>
    <w:rsid w:val="000E66F5"/>
    <w:rsid w:val="000E7D84"/>
    <w:rsid w:val="000E7DAC"/>
    <w:rsid w:val="000F13AB"/>
    <w:rsid w:val="000F13FB"/>
    <w:rsid w:val="000F1AA5"/>
    <w:rsid w:val="000F1D96"/>
    <w:rsid w:val="000F27BF"/>
    <w:rsid w:val="000F2C85"/>
    <w:rsid w:val="000F4365"/>
    <w:rsid w:val="000F4505"/>
    <w:rsid w:val="000F4AAE"/>
    <w:rsid w:val="000F5D6F"/>
    <w:rsid w:val="000F5F59"/>
    <w:rsid w:val="000F7305"/>
    <w:rsid w:val="000F7754"/>
    <w:rsid w:val="000F775F"/>
    <w:rsid w:val="00101BB6"/>
    <w:rsid w:val="00102340"/>
    <w:rsid w:val="00102A46"/>
    <w:rsid w:val="00104511"/>
    <w:rsid w:val="001048C2"/>
    <w:rsid w:val="0010491D"/>
    <w:rsid w:val="00104C96"/>
    <w:rsid w:val="0010521C"/>
    <w:rsid w:val="00105AB7"/>
    <w:rsid w:val="00106494"/>
    <w:rsid w:val="00107512"/>
    <w:rsid w:val="001078BE"/>
    <w:rsid w:val="00107A93"/>
    <w:rsid w:val="00107BB6"/>
    <w:rsid w:val="00107CEE"/>
    <w:rsid w:val="00107EF6"/>
    <w:rsid w:val="001108F3"/>
    <w:rsid w:val="00110C64"/>
    <w:rsid w:val="00112F74"/>
    <w:rsid w:val="00115309"/>
    <w:rsid w:val="00115C17"/>
    <w:rsid w:val="00116954"/>
    <w:rsid w:val="00116BF5"/>
    <w:rsid w:val="00117A10"/>
    <w:rsid w:val="00117C61"/>
    <w:rsid w:val="00117D68"/>
    <w:rsid w:val="0012394B"/>
    <w:rsid w:val="00123AA3"/>
    <w:rsid w:val="001246EC"/>
    <w:rsid w:val="00124ADF"/>
    <w:rsid w:val="00124BF7"/>
    <w:rsid w:val="0012531D"/>
    <w:rsid w:val="0012534C"/>
    <w:rsid w:val="00125539"/>
    <w:rsid w:val="001265C2"/>
    <w:rsid w:val="00126839"/>
    <w:rsid w:val="0013148C"/>
    <w:rsid w:val="00132C15"/>
    <w:rsid w:val="00134ED7"/>
    <w:rsid w:val="00136247"/>
    <w:rsid w:val="00136737"/>
    <w:rsid w:val="00137977"/>
    <w:rsid w:val="001379DB"/>
    <w:rsid w:val="00137A80"/>
    <w:rsid w:val="0014121F"/>
    <w:rsid w:val="00142B6C"/>
    <w:rsid w:val="0014306D"/>
    <w:rsid w:val="00143AA2"/>
    <w:rsid w:val="00145053"/>
    <w:rsid w:val="00145C83"/>
    <w:rsid w:val="00145DF1"/>
    <w:rsid w:val="00146173"/>
    <w:rsid w:val="00146A4A"/>
    <w:rsid w:val="00146F8E"/>
    <w:rsid w:val="001470FC"/>
    <w:rsid w:val="0015057D"/>
    <w:rsid w:val="001506C2"/>
    <w:rsid w:val="0015120F"/>
    <w:rsid w:val="00152085"/>
    <w:rsid w:val="0015228E"/>
    <w:rsid w:val="00154DE9"/>
    <w:rsid w:val="001550AA"/>
    <w:rsid w:val="001560A9"/>
    <w:rsid w:val="00156BE3"/>
    <w:rsid w:val="0015723D"/>
    <w:rsid w:val="00157947"/>
    <w:rsid w:val="00157B12"/>
    <w:rsid w:val="00161492"/>
    <w:rsid w:val="00163391"/>
    <w:rsid w:val="00164A7B"/>
    <w:rsid w:val="00164B3B"/>
    <w:rsid w:val="00164EF1"/>
    <w:rsid w:val="0016585E"/>
    <w:rsid w:val="001673CF"/>
    <w:rsid w:val="0016774A"/>
    <w:rsid w:val="00171260"/>
    <w:rsid w:val="001715C7"/>
    <w:rsid w:val="0017289E"/>
    <w:rsid w:val="00173D59"/>
    <w:rsid w:val="001740A8"/>
    <w:rsid w:val="00174D20"/>
    <w:rsid w:val="001779A9"/>
    <w:rsid w:val="00177D87"/>
    <w:rsid w:val="00177F2E"/>
    <w:rsid w:val="00182110"/>
    <w:rsid w:val="00182C06"/>
    <w:rsid w:val="001836F0"/>
    <w:rsid w:val="00183D25"/>
    <w:rsid w:val="00183D69"/>
    <w:rsid w:val="00183E8E"/>
    <w:rsid w:val="001870E3"/>
    <w:rsid w:val="00190B5E"/>
    <w:rsid w:val="001922EB"/>
    <w:rsid w:val="00192690"/>
    <w:rsid w:val="001928A2"/>
    <w:rsid w:val="001930B7"/>
    <w:rsid w:val="001936E2"/>
    <w:rsid w:val="00193D61"/>
    <w:rsid w:val="00194835"/>
    <w:rsid w:val="00194B60"/>
    <w:rsid w:val="00196928"/>
    <w:rsid w:val="00196ECF"/>
    <w:rsid w:val="00197295"/>
    <w:rsid w:val="0019746B"/>
    <w:rsid w:val="0019778B"/>
    <w:rsid w:val="001A0A18"/>
    <w:rsid w:val="001A0BAD"/>
    <w:rsid w:val="001A0FAE"/>
    <w:rsid w:val="001A0FD0"/>
    <w:rsid w:val="001A210E"/>
    <w:rsid w:val="001A2697"/>
    <w:rsid w:val="001A3229"/>
    <w:rsid w:val="001A36C0"/>
    <w:rsid w:val="001A4B8C"/>
    <w:rsid w:val="001A4F46"/>
    <w:rsid w:val="001A5A81"/>
    <w:rsid w:val="001A6267"/>
    <w:rsid w:val="001A688F"/>
    <w:rsid w:val="001A6B8B"/>
    <w:rsid w:val="001A6F1E"/>
    <w:rsid w:val="001B06E2"/>
    <w:rsid w:val="001B11D7"/>
    <w:rsid w:val="001B19AF"/>
    <w:rsid w:val="001B213F"/>
    <w:rsid w:val="001B2204"/>
    <w:rsid w:val="001B2771"/>
    <w:rsid w:val="001B2DAE"/>
    <w:rsid w:val="001B3620"/>
    <w:rsid w:val="001B38DE"/>
    <w:rsid w:val="001B4132"/>
    <w:rsid w:val="001B4183"/>
    <w:rsid w:val="001B4216"/>
    <w:rsid w:val="001B4F08"/>
    <w:rsid w:val="001B5BF0"/>
    <w:rsid w:val="001B69F8"/>
    <w:rsid w:val="001B7F6A"/>
    <w:rsid w:val="001C004D"/>
    <w:rsid w:val="001C0230"/>
    <w:rsid w:val="001C039B"/>
    <w:rsid w:val="001C1B71"/>
    <w:rsid w:val="001C2801"/>
    <w:rsid w:val="001C41BC"/>
    <w:rsid w:val="001C434A"/>
    <w:rsid w:val="001C4A6E"/>
    <w:rsid w:val="001C4DF3"/>
    <w:rsid w:val="001C51BF"/>
    <w:rsid w:val="001C5522"/>
    <w:rsid w:val="001C6282"/>
    <w:rsid w:val="001C7269"/>
    <w:rsid w:val="001C77E4"/>
    <w:rsid w:val="001C7DA9"/>
    <w:rsid w:val="001C7E75"/>
    <w:rsid w:val="001D099B"/>
    <w:rsid w:val="001D121D"/>
    <w:rsid w:val="001D1338"/>
    <w:rsid w:val="001D24AE"/>
    <w:rsid w:val="001D29B2"/>
    <w:rsid w:val="001D4A95"/>
    <w:rsid w:val="001D4EC5"/>
    <w:rsid w:val="001D6C7B"/>
    <w:rsid w:val="001D7293"/>
    <w:rsid w:val="001D7A4D"/>
    <w:rsid w:val="001E0ED1"/>
    <w:rsid w:val="001E32A6"/>
    <w:rsid w:val="001E3F25"/>
    <w:rsid w:val="001E47EC"/>
    <w:rsid w:val="001E6398"/>
    <w:rsid w:val="001E6913"/>
    <w:rsid w:val="001E7596"/>
    <w:rsid w:val="001E7F9A"/>
    <w:rsid w:val="001F05D7"/>
    <w:rsid w:val="001F05EE"/>
    <w:rsid w:val="001F15D2"/>
    <w:rsid w:val="001F1627"/>
    <w:rsid w:val="001F19BB"/>
    <w:rsid w:val="001F1C65"/>
    <w:rsid w:val="001F3643"/>
    <w:rsid w:val="001F5704"/>
    <w:rsid w:val="001F660C"/>
    <w:rsid w:val="001F6672"/>
    <w:rsid w:val="00200700"/>
    <w:rsid w:val="00201287"/>
    <w:rsid w:val="002016CF"/>
    <w:rsid w:val="002019EE"/>
    <w:rsid w:val="00201FB5"/>
    <w:rsid w:val="00202BF1"/>
    <w:rsid w:val="00204023"/>
    <w:rsid w:val="00204236"/>
    <w:rsid w:val="00205F30"/>
    <w:rsid w:val="00207E89"/>
    <w:rsid w:val="00210684"/>
    <w:rsid w:val="002107D0"/>
    <w:rsid w:val="00210E83"/>
    <w:rsid w:val="0021180A"/>
    <w:rsid w:val="00211CF3"/>
    <w:rsid w:val="002123E6"/>
    <w:rsid w:val="00214A1C"/>
    <w:rsid w:val="00214EB8"/>
    <w:rsid w:val="002150E9"/>
    <w:rsid w:val="00216FCF"/>
    <w:rsid w:val="00217850"/>
    <w:rsid w:val="00221C17"/>
    <w:rsid w:val="00222863"/>
    <w:rsid w:val="00222C49"/>
    <w:rsid w:val="0022314E"/>
    <w:rsid w:val="0022377D"/>
    <w:rsid w:val="00224BA0"/>
    <w:rsid w:val="00224EE0"/>
    <w:rsid w:val="00224F13"/>
    <w:rsid w:val="00225652"/>
    <w:rsid w:val="002256D1"/>
    <w:rsid w:val="0022674B"/>
    <w:rsid w:val="002273FF"/>
    <w:rsid w:val="0022756D"/>
    <w:rsid w:val="002303FB"/>
    <w:rsid w:val="00231816"/>
    <w:rsid w:val="00231B3E"/>
    <w:rsid w:val="00231E12"/>
    <w:rsid w:val="00232483"/>
    <w:rsid w:val="00233AA1"/>
    <w:rsid w:val="00233EE1"/>
    <w:rsid w:val="0023442E"/>
    <w:rsid w:val="00234951"/>
    <w:rsid w:val="00234B3A"/>
    <w:rsid w:val="002355CC"/>
    <w:rsid w:val="00235732"/>
    <w:rsid w:val="0023664D"/>
    <w:rsid w:val="00236D9B"/>
    <w:rsid w:val="00237107"/>
    <w:rsid w:val="002400E2"/>
    <w:rsid w:val="002401C2"/>
    <w:rsid w:val="002401D4"/>
    <w:rsid w:val="00241EF0"/>
    <w:rsid w:val="002422BA"/>
    <w:rsid w:val="00243541"/>
    <w:rsid w:val="002436EA"/>
    <w:rsid w:val="002448BB"/>
    <w:rsid w:val="002449AB"/>
    <w:rsid w:val="00246523"/>
    <w:rsid w:val="00246529"/>
    <w:rsid w:val="002473FD"/>
    <w:rsid w:val="00250104"/>
    <w:rsid w:val="00250980"/>
    <w:rsid w:val="00250A9C"/>
    <w:rsid w:val="002517E5"/>
    <w:rsid w:val="00251B17"/>
    <w:rsid w:val="00251D30"/>
    <w:rsid w:val="00252066"/>
    <w:rsid w:val="00252642"/>
    <w:rsid w:val="00252771"/>
    <w:rsid w:val="0025282A"/>
    <w:rsid w:val="00253604"/>
    <w:rsid w:val="002537F3"/>
    <w:rsid w:val="00254991"/>
    <w:rsid w:val="00255382"/>
    <w:rsid w:val="00255839"/>
    <w:rsid w:val="00255C78"/>
    <w:rsid w:val="00256553"/>
    <w:rsid w:val="00256B52"/>
    <w:rsid w:val="00260BFF"/>
    <w:rsid w:val="002624C5"/>
    <w:rsid w:val="00262825"/>
    <w:rsid w:val="002637E1"/>
    <w:rsid w:val="00263CE6"/>
    <w:rsid w:val="002646FD"/>
    <w:rsid w:val="00264F0E"/>
    <w:rsid w:val="002654DC"/>
    <w:rsid w:val="00265E34"/>
    <w:rsid w:val="002666B0"/>
    <w:rsid w:val="00266D6A"/>
    <w:rsid w:val="002679C3"/>
    <w:rsid w:val="002679C5"/>
    <w:rsid w:val="00270B46"/>
    <w:rsid w:val="002711F9"/>
    <w:rsid w:val="00272116"/>
    <w:rsid w:val="00272248"/>
    <w:rsid w:val="0027595C"/>
    <w:rsid w:val="00276272"/>
    <w:rsid w:val="00276F49"/>
    <w:rsid w:val="0027758D"/>
    <w:rsid w:val="002802C3"/>
    <w:rsid w:val="00280EFE"/>
    <w:rsid w:val="002839EC"/>
    <w:rsid w:val="002839FC"/>
    <w:rsid w:val="00283BE2"/>
    <w:rsid w:val="00284D24"/>
    <w:rsid w:val="00285470"/>
    <w:rsid w:val="00285B8A"/>
    <w:rsid w:val="00286BBC"/>
    <w:rsid w:val="00287D80"/>
    <w:rsid w:val="002914C4"/>
    <w:rsid w:val="0029287D"/>
    <w:rsid w:val="002942EF"/>
    <w:rsid w:val="0029438B"/>
    <w:rsid w:val="0029451A"/>
    <w:rsid w:val="00294ABA"/>
    <w:rsid w:val="002952E2"/>
    <w:rsid w:val="00295A94"/>
    <w:rsid w:val="0029631A"/>
    <w:rsid w:val="00296600"/>
    <w:rsid w:val="00296C9C"/>
    <w:rsid w:val="002970BE"/>
    <w:rsid w:val="0029767D"/>
    <w:rsid w:val="002A053C"/>
    <w:rsid w:val="002A0FEE"/>
    <w:rsid w:val="002A106E"/>
    <w:rsid w:val="002A1BA3"/>
    <w:rsid w:val="002A4A78"/>
    <w:rsid w:val="002A79EF"/>
    <w:rsid w:val="002A7E97"/>
    <w:rsid w:val="002B03BA"/>
    <w:rsid w:val="002B072E"/>
    <w:rsid w:val="002B0AE9"/>
    <w:rsid w:val="002B1FFA"/>
    <w:rsid w:val="002B21C5"/>
    <w:rsid w:val="002B2AA7"/>
    <w:rsid w:val="002B39BE"/>
    <w:rsid w:val="002B52E6"/>
    <w:rsid w:val="002B5657"/>
    <w:rsid w:val="002B6560"/>
    <w:rsid w:val="002B67C8"/>
    <w:rsid w:val="002B7538"/>
    <w:rsid w:val="002C0E2E"/>
    <w:rsid w:val="002C1673"/>
    <w:rsid w:val="002C3368"/>
    <w:rsid w:val="002C3827"/>
    <w:rsid w:val="002C3C40"/>
    <w:rsid w:val="002C3CED"/>
    <w:rsid w:val="002C4DEF"/>
    <w:rsid w:val="002C4FC1"/>
    <w:rsid w:val="002C5AA6"/>
    <w:rsid w:val="002C6B8B"/>
    <w:rsid w:val="002C7DAD"/>
    <w:rsid w:val="002D0A93"/>
    <w:rsid w:val="002D0CBA"/>
    <w:rsid w:val="002D1A12"/>
    <w:rsid w:val="002D1E89"/>
    <w:rsid w:val="002D27D1"/>
    <w:rsid w:val="002D32B5"/>
    <w:rsid w:val="002D3D4C"/>
    <w:rsid w:val="002D5E9E"/>
    <w:rsid w:val="002D60C7"/>
    <w:rsid w:val="002D75C7"/>
    <w:rsid w:val="002D76FD"/>
    <w:rsid w:val="002E0301"/>
    <w:rsid w:val="002E0475"/>
    <w:rsid w:val="002E121B"/>
    <w:rsid w:val="002E1650"/>
    <w:rsid w:val="002E1A02"/>
    <w:rsid w:val="002E1DF2"/>
    <w:rsid w:val="002E3DEF"/>
    <w:rsid w:val="002E3F76"/>
    <w:rsid w:val="002E48EC"/>
    <w:rsid w:val="002E5AD7"/>
    <w:rsid w:val="002E5E47"/>
    <w:rsid w:val="002E5E61"/>
    <w:rsid w:val="002E63C4"/>
    <w:rsid w:val="002E71E0"/>
    <w:rsid w:val="002F007A"/>
    <w:rsid w:val="002F0260"/>
    <w:rsid w:val="002F0CAB"/>
    <w:rsid w:val="002F0CCE"/>
    <w:rsid w:val="002F1DA0"/>
    <w:rsid w:val="002F1E38"/>
    <w:rsid w:val="002F25DA"/>
    <w:rsid w:val="002F37E8"/>
    <w:rsid w:val="002F4227"/>
    <w:rsid w:val="002F5A52"/>
    <w:rsid w:val="002F6778"/>
    <w:rsid w:val="002F7258"/>
    <w:rsid w:val="002F75B8"/>
    <w:rsid w:val="002F7633"/>
    <w:rsid w:val="00300337"/>
    <w:rsid w:val="00302AFA"/>
    <w:rsid w:val="00303410"/>
    <w:rsid w:val="003056DB"/>
    <w:rsid w:val="00305A9E"/>
    <w:rsid w:val="00306115"/>
    <w:rsid w:val="0030724E"/>
    <w:rsid w:val="003115CF"/>
    <w:rsid w:val="003119BF"/>
    <w:rsid w:val="00312C75"/>
    <w:rsid w:val="00313B42"/>
    <w:rsid w:val="00313EF9"/>
    <w:rsid w:val="0031517C"/>
    <w:rsid w:val="003156EE"/>
    <w:rsid w:val="00315B6E"/>
    <w:rsid w:val="00316A62"/>
    <w:rsid w:val="00317B3E"/>
    <w:rsid w:val="00320871"/>
    <w:rsid w:val="0032095F"/>
    <w:rsid w:val="00321B14"/>
    <w:rsid w:val="003225C9"/>
    <w:rsid w:val="00323A37"/>
    <w:rsid w:val="00324344"/>
    <w:rsid w:val="00325AD6"/>
    <w:rsid w:val="00325DD3"/>
    <w:rsid w:val="00326C81"/>
    <w:rsid w:val="003279D0"/>
    <w:rsid w:val="00331745"/>
    <w:rsid w:val="00331C2D"/>
    <w:rsid w:val="00332FC1"/>
    <w:rsid w:val="00333080"/>
    <w:rsid w:val="00333F10"/>
    <w:rsid w:val="00335A22"/>
    <w:rsid w:val="00336B31"/>
    <w:rsid w:val="00336FDC"/>
    <w:rsid w:val="003377AA"/>
    <w:rsid w:val="00340D37"/>
    <w:rsid w:val="00341636"/>
    <w:rsid w:val="003416A4"/>
    <w:rsid w:val="00341E89"/>
    <w:rsid w:val="003421F4"/>
    <w:rsid w:val="00342300"/>
    <w:rsid w:val="00342FED"/>
    <w:rsid w:val="00343012"/>
    <w:rsid w:val="00343192"/>
    <w:rsid w:val="00343198"/>
    <w:rsid w:val="00344941"/>
    <w:rsid w:val="00344A41"/>
    <w:rsid w:val="003459C8"/>
    <w:rsid w:val="003461F5"/>
    <w:rsid w:val="0034666E"/>
    <w:rsid w:val="0034716A"/>
    <w:rsid w:val="00347B8B"/>
    <w:rsid w:val="0035142A"/>
    <w:rsid w:val="00351BC1"/>
    <w:rsid w:val="00351F85"/>
    <w:rsid w:val="00351FA2"/>
    <w:rsid w:val="0035204D"/>
    <w:rsid w:val="003521C9"/>
    <w:rsid w:val="00352446"/>
    <w:rsid w:val="003533DC"/>
    <w:rsid w:val="003552BD"/>
    <w:rsid w:val="003566DD"/>
    <w:rsid w:val="00356AC0"/>
    <w:rsid w:val="0035796D"/>
    <w:rsid w:val="00357A64"/>
    <w:rsid w:val="00357DEF"/>
    <w:rsid w:val="00357F9C"/>
    <w:rsid w:val="00361454"/>
    <w:rsid w:val="0036179D"/>
    <w:rsid w:val="003618FD"/>
    <w:rsid w:val="00364EE1"/>
    <w:rsid w:val="0036529E"/>
    <w:rsid w:val="00365402"/>
    <w:rsid w:val="00365682"/>
    <w:rsid w:val="00366244"/>
    <w:rsid w:val="0036670C"/>
    <w:rsid w:val="00367633"/>
    <w:rsid w:val="0037060F"/>
    <w:rsid w:val="00370F65"/>
    <w:rsid w:val="003717A6"/>
    <w:rsid w:val="00372EC2"/>
    <w:rsid w:val="003731AE"/>
    <w:rsid w:val="003740A7"/>
    <w:rsid w:val="0037439F"/>
    <w:rsid w:val="003759A1"/>
    <w:rsid w:val="003761EC"/>
    <w:rsid w:val="0037637D"/>
    <w:rsid w:val="003764F6"/>
    <w:rsid w:val="00380BC5"/>
    <w:rsid w:val="00380F02"/>
    <w:rsid w:val="00381051"/>
    <w:rsid w:val="00381BB9"/>
    <w:rsid w:val="003820A4"/>
    <w:rsid w:val="00382A98"/>
    <w:rsid w:val="00383AC6"/>
    <w:rsid w:val="00384A9D"/>
    <w:rsid w:val="00385BA4"/>
    <w:rsid w:val="00387CC2"/>
    <w:rsid w:val="00391602"/>
    <w:rsid w:val="00391BE7"/>
    <w:rsid w:val="00392BDC"/>
    <w:rsid w:val="00395332"/>
    <w:rsid w:val="003953FB"/>
    <w:rsid w:val="003955D5"/>
    <w:rsid w:val="00395D77"/>
    <w:rsid w:val="003966FE"/>
    <w:rsid w:val="003967A9"/>
    <w:rsid w:val="003977A2"/>
    <w:rsid w:val="003977A9"/>
    <w:rsid w:val="00397A7D"/>
    <w:rsid w:val="003A0832"/>
    <w:rsid w:val="003A0C1C"/>
    <w:rsid w:val="003A0D8F"/>
    <w:rsid w:val="003A167B"/>
    <w:rsid w:val="003A1A17"/>
    <w:rsid w:val="003A3A55"/>
    <w:rsid w:val="003A3E93"/>
    <w:rsid w:val="003A40A2"/>
    <w:rsid w:val="003A4B29"/>
    <w:rsid w:val="003A5512"/>
    <w:rsid w:val="003A58D3"/>
    <w:rsid w:val="003A682B"/>
    <w:rsid w:val="003A69CC"/>
    <w:rsid w:val="003B0D12"/>
    <w:rsid w:val="003B327A"/>
    <w:rsid w:val="003B4A4C"/>
    <w:rsid w:val="003B5954"/>
    <w:rsid w:val="003B6106"/>
    <w:rsid w:val="003B7298"/>
    <w:rsid w:val="003C05B1"/>
    <w:rsid w:val="003C1459"/>
    <w:rsid w:val="003C14C6"/>
    <w:rsid w:val="003C2133"/>
    <w:rsid w:val="003C2327"/>
    <w:rsid w:val="003C3FCD"/>
    <w:rsid w:val="003C545E"/>
    <w:rsid w:val="003C56FD"/>
    <w:rsid w:val="003C60AC"/>
    <w:rsid w:val="003C721E"/>
    <w:rsid w:val="003C7609"/>
    <w:rsid w:val="003C7F12"/>
    <w:rsid w:val="003D0B2B"/>
    <w:rsid w:val="003D166B"/>
    <w:rsid w:val="003D217D"/>
    <w:rsid w:val="003D30E7"/>
    <w:rsid w:val="003D47C6"/>
    <w:rsid w:val="003D4C87"/>
    <w:rsid w:val="003D7890"/>
    <w:rsid w:val="003D78E4"/>
    <w:rsid w:val="003D7E08"/>
    <w:rsid w:val="003D7F1B"/>
    <w:rsid w:val="003E050B"/>
    <w:rsid w:val="003E0AF4"/>
    <w:rsid w:val="003E293F"/>
    <w:rsid w:val="003E2FD7"/>
    <w:rsid w:val="003E41FA"/>
    <w:rsid w:val="003E4C10"/>
    <w:rsid w:val="003E4C30"/>
    <w:rsid w:val="003E5B31"/>
    <w:rsid w:val="003E5ECC"/>
    <w:rsid w:val="003E6407"/>
    <w:rsid w:val="003E6C89"/>
    <w:rsid w:val="003E712E"/>
    <w:rsid w:val="003E761F"/>
    <w:rsid w:val="003E7B0D"/>
    <w:rsid w:val="003F080E"/>
    <w:rsid w:val="003F0E7C"/>
    <w:rsid w:val="003F2E99"/>
    <w:rsid w:val="003F37C2"/>
    <w:rsid w:val="003F4132"/>
    <w:rsid w:val="003F5298"/>
    <w:rsid w:val="003F53EE"/>
    <w:rsid w:val="003F6E05"/>
    <w:rsid w:val="003F703A"/>
    <w:rsid w:val="004000C2"/>
    <w:rsid w:val="00400288"/>
    <w:rsid w:val="00400907"/>
    <w:rsid w:val="00400C08"/>
    <w:rsid w:val="00401453"/>
    <w:rsid w:val="00401700"/>
    <w:rsid w:val="0040173D"/>
    <w:rsid w:val="00401A3F"/>
    <w:rsid w:val="00401E45"/>
    <w:rsid w:val="0040244C"/>
    <w:rsid w:val="004024BC"/>
    <w:rsid w:val="004024D2"/>
    <w:rsid w:val="004025AD"/>
    <w:rsid w:val="0040521F"/>
    <w:rsid w:val="00411743"/>
    <w:rsid w:val="00411992"/>
    <w:rsid w:val="0041338B"/>
    <w:rsid w:val="00414BD8"/>
    <w:rsid w:val="0041691D"/>
    <w:rsid w:val="004170E5"/>
    <w:rsid w:val="004174B9"/>
    <w:rsid w:val="00417A35"/>
    <w:rsid w:val="00417B19"/>
    <w:rsid w:val="00417CB2"/>
    <w:rsid w:val="00417D0F"/>
    <w:rsid w:val="00421FFA"/>
    <w:rsid w:val="00422BE0"/>
    <w:rsid w:val="00422F6F"/>
    <w:rsid w:val="00423158"/>
    <w:rsid w:val="004245F0"/>
    <w:rsid w:val="00424D71"/>
    <w:rsid w:val="004251BC"/>
    <w:rsid w:val="00425207"/>
    <w:rsid w:val="00425611"/>
    <w:rsid w:val="00426412"/>
    <w:rsid w:val="00426733"/>
    <w:rsid w:val="00426990"/>
    <w:rsid w:val="004301DD"/>
    <w:rsid w:val="00430663"/>
    <w:rsid w:val="004327CD"/>
    <w:rsid w:val="00432F72"/>
    <w:rsid w:val="00434DB6"/>
    <w:rsid w:val="0043508C"/>
    <w:rsid w:val="004365AE"/>
    <w:rsid w:val="0043678F"/>
    <w:rsid w:val="0043731B"/>
    <w:rsid w:val="004409A5"/>
    <w:rsid w:val="00440A17"/>
    <w:rsid w:val="0044129D"/>
    <w:rsid w:val="004415BB"/>
    <w:rsid w:val="0044238F"/>
    <w:rsid w:val="0044343C"/>
    <w:rsid w:val="00444156"/>
    <w:rsid w:val="00444FE8"/>
    <w:rsid w:val="00445F65"/>
    <w:rsid w:val="00445FB8"/>
    <w:rsid w:val="00446B9F"/>
    <w:rsid w:val="00446CEC"/>
    <w:rsid w:val="00451276"/>
    <w:rsid w:val="004515D7"/>
    <w:rsid w:val="00453748"/>
    <w:rsid w:val="00454B94"/>
    <w:rsid w:val="00454D5B"/>
    <w:rsid w:val="00455A9F"/>
    <w:rsid w:val="00456855"/>
    <w:rsid w:val="00457286"/>
    <w:rsid w:val="00457A2E"/>
    <w:rsid w:val="00457BD9"/>
    <w:rsid w:val="00457E71"/>
    <w:rsid w:val="00460530"/>
    <w:rsid w:val="004610C8"/>
    <w:rsid w:val="00461253"/>
    <w:rsid w:val="0046513B"/>
    <w:rsid w:val="00465A5C"/>
    <w:rsid w:val="0046605C"/>
    <w:rsid w:val="004664DE"/>
    <w:rsid w:val="004668F1"/>
    <w:rsid w:val="00467580"/>
    <w:rsid w:val="0047015D"/>
    <w:rsid w:val="00470919"/>
    <w:rsid w:val="00470B47"/>
    <w:rsid w:val="00470BE4"/>
    <w:rsid w:val="00470C99"/>
    <w:rsid w:val="00470D2C"/>
    <w:rsid w:val="004712F2"/>
    <w:rsid w:val="00471D7F"/>
    <w:rsid w:val="00473A8E"/>
    <w:rsid w:val="00473D85"/>
    <w:rsid w:val="004742F9"/>
    <w:rsid w:val="004747F4"/>
    <w:rsid w:val="00474B83"/>
    <w:rsid w:val="00475A46"/>
    <w:rsid w:val="00476DAA"/>
    <w:rsid w:val="00477172"/>
    <w:rsid w:val="00477478"/>
    <w:rsid w:val="00477C34"/>
    <w:rsid w:val="00480644"/>
    <w:rsid w:val="00481159"/>
    <w:rsid w:val="00481320"/>
    <w:rsid w:val="00483749"/>
    <w:rsid w:val="00483EA7"/>
    <w:rsid w:val="004865A4"/>
    <w:rsid w:val="00486B1F"/>
    <w:rsid w:val="00486B85"/>
    <w:rsid w:val="00486D34"/>
    <w:rsid w:val="00486FBA"/>
    <w:rsid w:val="004875B4"/>
    <w:rsid w:val="00487A57"/>
    <w:rsid w:val="004909A8"/>
    <w:rsid w:val="00491274"/>
    <w:rsid w:val="00491F80"/>
    <w:rsid w:val="00492190"/>
    <w:rsid w:val="00492759"/>
    <w:rsid w:val="00492B6C"/>
    <w:rsid w:val="00492E48"/>
    <w:rsid w:val="004933CC"/>
    <w:rsid w:val="004938A0"/>
    <w:rsid w:val="0049487E"/>
    <w:rsid w:val="00494E0E"/>
    <w:rsid w:val="00495AF7"/>
    <w:rsid w:val="00495FFD"/>
    <w:rsid w:val="00496380"/>
    <w:rsid w:val="004965E5"/>
    <w:rsid w:val="00496C16"/>
    <w:rsid w:val="00497827"/>
    <w:rsid w:val="00497C9C"/>
    <w:rsid w:val="004A0E9B"/>
    <w:rsid w:val="004A10A7"/>
    <w:rsid w:val="004A170B"/>
    <w:rsid w:val="004A2C36"/>
    <w:rsid w:val="004A3867"/>
    <w:rsid w:val="004A4297"/>
    <w:rsid w:val="004A59AE"/>
    <w:rsid w:val="004A71BE"/>
    <w:rsid w:val="004A733A"/>
    <w:rsid w:val="004A73D8"/>
    <w:rsid w:val="004A7540"/>
    <w:rsid w:val="004B18B2"/>
    <w:rsid w:val="004B18F1"/>
    <w:rsid w:val="004B21C5"/>
    <w:rsid w:val="004B3AD0"/>
    <w:rsid w:val="004B41DC"/>
    <w:rsid w:val="004B45C4"/>
    <w:rsid w:val="004B48C6"/>
    <w:rsid w:val="004B4A3C"/>
    <w:rsid w:val="004B5073"/>
    <w:rsid w:val="004B633A"/>
    <w:rsid w:val="004B70F5"/>
    <w:rsid w:val="004B7419"/>
    <w:rsid w:val="004B79BB"/>
    <w:rsid w:val="004C08B9"/>
    <w:rsid w:val="004C20C9"/>
    <w:rsid w:val="004C327C"/>
    <w:rsid w:val="004C4139"/>
    <w:rsid w:val="004C49D8"/>
    <w:rsid w:val="004C4C22"/>
    <w:rsid w:val="004C4D3D"/>
    <w:rsid w:val="004C4DB8"/>
    <w:rsid w:val="004C585B"/>
    <w:rsid w:val="004C5987"/>
    <w:rsid w:val="004C61BE"/>
    <w:rsid w:val="004C78B6"/>
    <w:rsid w:val="004C7AB2"/>
    <w:rsid w:val="004D06B1"/>
    <w:rsid w:val="004D2402"/>
    <w:rsid w:val="004D25DB"/>
    <w:rsid w:val="004D38B9"/>
    <w:rsid w:val="004D38D3"/>
    <w:rsid w:val="004D4B8D"/>
    <w:rsid w:val="004D52EE"/>
    <w:rsid w:val="004D55D6"/>
    <w:rsid w:val="004D63E1"/>
    <w:rsid w:val="004D6A0A"/>
    <w:rsid w:val="004D6C75"/>
    <w:rsid w:val="004D79AC"/>
    <w:rsid w:val="004D7DD5"/>
    <w:rsid w:val="004E03EE"/>
    <w:rsid w:val="004E0590"/>
    <w:rsid w:val="004E0C1C"/>
    <w:rsid w:val="004E34F2"/>
    <w:rsid w:val="004E4B1A"/>
    <w:rsid w:val="004E5981"/>
    <w:rsid w:val="004E7194"/>
    <w:rsid w:val="004E7425"/>
    <w:rsid w:val="004F0D73"/>
    <w:rsid w:val="004F1BDC"/>
    <w:rsid w:val="004F26F1"/>
    <w:rsid w:val="004F3206"/>
    <w:rsid w:val="004F53E4"/>
    <w:rsid w:val="004F549B"/>
    <w:rsid w:val="004F7393"/>
    <w:rsid w:val="00501FD3"/>
    <w:rsid w:val="0050277F"/>
    <w:rsid w:val="005038B2"/>
    <w:rsid w:val="00503EB9"/>
    <w:rsid w:val="005053C9"/>
    <w:rsid w:val="00505EFA"/>
    <w:rsid w:val="005065ED"/>
    <w:rsid w:val="005106D8"/>
    <w:rsid w:val="0051289C"/>
    <w:rsid w:val="005129BD"/>
    <w:rsid w:val="00513B7A"/>
    <w:rsid w:val="00513C38"/>
    <w:rsid w:val="00513F84"/>
    <w:rsid w:val="005150E5"/>
    <w:rsid w:val="00515D39"/>
    <w:rsid w:val="005164C0"/>
    <w:rsid w:val="00516F8B"/>
    <w:rsid w:val="005179ED"/>
    <w:rsid w:val="00520F6B"/>
    <w:rsid w:val="00522837"/>
    <w:rsid w:val="005229F3"/>
    <w:rsid w:val="005230B9"/>
    <w:rsid w:val="005236BD"/>
    <w:rsid w:val="00524142"/>
    <w:rsid w:val="00524D5A"/>
    <w:rsid w:val="005256CF"/>
    <w:rsid w:val="00526CC2"/>
    <w:rsid w:val="00527455"/>
    <w:rsid w:val="00527A13"/>
    <w:rsid w:val="00530171"/>
    <w:rsid w:val="00530C04"/>
    <w:rsid w:val="00531FFB"/>
    <w:rsid w:val="00532229"/>
    <w:rsid w:val="00532433"/>
    <w:rsid w:val="00533AE0"/>
    <w:rsid w:val="00534159"/>
    <w:rsid w:val="00535DB7"/>
    <w:rsid w:val="00536407"/>
    <w:rsid w:val="0053698B"/>
    <w:rsid w:val="00537676"/>
    <w:rsid w:val="005408FE"/>
    <w:rsid w:val="00541B01"/>
    <w:rsid w:val="00541BD8"/>
    <w:rsid w:val="00542F57"/>
    <w:rsid w:val="00544634"/>
    <w:rsid w:val="00544AE1"/>
    <w:rsid w:val="00545956"/>
    <w:rsid w:val="00545A0A"/>
    <w:rsid w:val="00550262"/>
    <w:rsid w:val="005535FC"/>
    <w:rsid w:val="00554193"/>
    <w:rsid w:val="00555FBC"/>
    <w:rsid w:val="00556CD2"/>
    <w:rsid w:val="00556DD2"/>
    <w:rsid w:val="00556EC3"/>
    <w:rsid w:val="00557097"/>
    <w:rsid w:val="0055770A"/>
    <w:rsid w:val="00557900"/>
    <w:rsid w:val="00557A43"/>
    <w:rsid w:val="0056110C"/>
    <w:rsid w:val="00561503"/>
    <w:rsid w:val="00561733"/>
    <w:rsid w:val="00562006"/>
    <w:rsid w:val="00563DB2"/>
    <w:rsid w:val="00564067"/>
    <w:rsid w:val="005641E5"/>
    <w:rsid w:val="005649DF"/>
    <w:rsid w:val="00564BB2"/>
    <w:rsid w:val="005650DE"/>
    <w:rsid w:val="0056587A"/>
    <w:rsid w:val="00565B85"/>
    <w:rsid w:val="00567AA3"/>
    <w:rsid w:val="0057125A"/>
    <w:rsid w:val="005719B8"/>
    <w:rsid w:val="00571EB1"/>
    <w:rsid w:val="00572702"/>
    <w:rsid w:val="00572B85"/>
    <w:rsid w:val="0057331D"/>
    <w:rsid w:val="00573CC7"/>
    <w:rsid w:val="0057580B"/>
    <w:rsid w:val="00575A7B"/>
    <w:rsid w:val="005760A2"/>
    <w:rsid w:val="005772F4"/>
    <w:rsid w:val="00577F18"/>
    <w:rsid w:val="00580090"/>
    <w:rsid w:val="005802A2"/>
    <w:rsid w:val="00581203"/>
    <w:rsid w:val="00581AA8"/>
    <w:rsid w:val="00581E95"/>
    <w:rsid w:val="00582798"/>
    <w:rsid w:val="00582935"/>
    <w:rsid w:val="0058361D"/>
    <w:rsid w:val="005844C8"/>
    <w:rsid w:val="00584743"/>
    <w:rsid w:val="00584780"/>
    <w:rsid w:val="00585BD8"/>
    <w:rsid w:val="0058761C"/>
    <w:rsid w:val="00591B14"/>
    <w:rsid w:val="0059257B"/>
    <w:rsid w:val="00592EF3"/>
    <w:rsid w:val="0059345C"/>
    <w:rsid w:val="00593A31"/>
    <w:rsid w:val="00593BE2"/>
    <w:rsid w:val="00594984"/>
    <w:rsid w:val="00595232"/>
    <w:rsid w:val="0059523C"/>
    <w:rsid w:val="0059532F"/>
    <w:rsid w:val="00595DCE"/>
    <w:rsid w:val="00596BA5"/>
    <w:rsid w:val="00596C3E"/>
    <w:rsid w:val="00597301"/>
    <w:rsid w:val="00597D80"/>
    <w:rsid w:val="005A0254"/>
    <w:rsid w:val="005A1401"/>
    <w:rsid w:val="005A2F05"/>
    <w:rsid w:val="005A51FB"/>
    <w:rsid w:val="005A5DA6"/>
    <w:rsid w:val="005A6BD3"/>
    <w:rsid w:val="005B110F"/>
    <w:rsid w:val="005B118E"/>
    <w:rsid w:val="005B1A14"/>
    <w:rsid w:val="005B1C46"/>
    <w:rsid w:val="005B22C7"/>
    <w:rsid w:val="005B2F07"/>
    <w:rsid w:val="005B3A76"/>
    <w:rsid w:val="005B42EC"/>
    <w:rsid w:val="005B4A65"/>
    <w:rsid w:val="005B5DA8"/>
    <w:rsid w:val="005B5FAC"/>
    <w:rsid w:val="005B655E"/>
    <w:rsid w:val="005B6E14"/>
    <w:rsid w:val="005B6E9C"/>
    <w:rsid w:val="005B73B9"/>
    <w:rsid w:val="005B7EEF"/>
    <w:rsid w:val="005C0550"/>
    <w:rsid w:val="005C259B"/>
    <w:rsid w:val="005C3663"/>
    <w:rsid w:val="005C4040"/>
    <w:rsid w:val="005C5782"/>
    <w:rsid w:val="005C5D5D"/>
    <w:rsid w:val="005D19FF"/>
    <w:rsid w:val="005D249E"/>
    <w:rsid w:val="005D2637"/>
    <w:rsid w:val="005D2C23"/>
    <w:rsid w:val="005D427F"/>
    <w:rsid w:val="005D482D"/>
    <w:rsid w:val="005D5875"/>
    <w:rsid w:val="005D5D5D"/>
    <w:rsid w:val="005D61BA"/>
    <w:rsid w:val="005D63AE"/>
    <w:rsid w:val="005D662E"/>
    <w:rsid w:val="005D7039"/>
    <w:rsid w:val="005E0F5F"/>
    <w:rsid w:val="005E1A96"/>
    <w:rsid w:val="005E3604"/>
    <w:rsid w:val="005E44D3"/>
    <w:rsid w:val="005E5895"/>
    <w:rsid w:val="005E5DC5"/>
    <w:rsid w:val="005E603F"/>
    <w:rsid w:val="005E61B5"/>
    <w:rsid w:val="005E6DA4"/>
    <w:rsid w:val="005F08D5"/>
    <w:rsid w:val="005F15DC"/>
    <w:rsid w:val="005F2BE2"/>
    <w:rsid w:val="005F3C5F"/>
    <w:rsid w:val="005F3DD2"/>
    <w:rsid w:val="005F43E0"/>
    <w:rsid w:val="005F5AAC"/>
    <w:rsid w:val="005F6184"/>
    <w:rsid w:val="005F6A68"/>
    <w:rsid w:val="005F6AE6"/>
    <w:rsid w:val="005F7237"/>
    <w:rsid w:val="005F726E"/>
    <w:rsid w:val="005F731B"/>
    <w:rsid w:val="005F7E6A"/>
    <w:rsid w:val="006002E4"/>
    <w:rsid w:val="00601020"/>
    <w:rsid w:val="0060150E"/>
    <w:rsid w:val="00603688"/>
    <w:rsid w:val="006048C5"/>
    <w:rsid w:val="00604B42"/>
    <w:rsid w:val="00604E53"/>
    <w:rsid w:val="00606A97"/>
    <w:rsid w:val="00607BEE"/>
    <w:rsid w:val="00611154"/>
    <w:rsid w:val="00611281"/>
    <w:rsid w:val="006112AE"/>
    <w:rsid w:val="00611A33"/>
    <w:rsid w:val="00612842"/>
    <w:rsid w:val="006150AF"/>
    <w:rsid w:val="006157A2"/>
    <w:rsid w:val="006157D8"/>
    <w:rsid w:val="006157E3"/>
    <w:rsid w:val="00616841"/>
    <w:rsid w:val="0061776A"/>
    <w:rsid w:val="0062120F"/>
    <w:rsid w:val="00623097"/>
    <w:rsid w:val="006250CB"/>
    <w:rsid w:val="00625766"/>
    <w:rsid w:val="00625A38"/>
    <w:rsid w:val="006266E3"/>
    <w:rsid w:val="00626A65"/>
    <w:rsid w:val="00632090"/>
    <w:rsid w:val="006329C7"/>
    <w:rsid w:val="00633AC0"/>
    <w:rsid w:val="00633D1A"/>
    <w:rsid w:val="00634303"/>
    <w:rsid w:val="006359FA"/>
    <w:rsid w:val="00635DAC"/>
    <w:rsid w:val="00636A75"/>
    <w:rsid w:val="00636BA4"/>
    <w:rsid w:val="00636F4F"/>
    <w:rsid w:val="00636FCF"/>
    <w:rsid w:val="00637005"/>
    <w:rsid w:val="0063739F"/>
    <w:rsid w:val="00640F0F"/>
    <w:rsid w:val="006414F4"/>
    <w:rsid w:val="00642229"/>
    <w:rsid w:val="00642354"/>
    <w:rsid w:val="0064239C"/>
    <w:rsid w:val="00643F32"/>
    <w:rsid w:val="00645586"/>
    <w:rsid w:val="006468C4"/>
    <w:rsid w:val="00646B59"/>
    <w:rsid w:val="006506EF"/>
    <w:rsid w:val="006519C5"/>
    <w:rsid w:val="0065220F"/>
    <w:rsid w:val="00653374"/>
    <w:rsid w:val="00654105"/>
    <w:rsid w:val="0065479D"/>
    <w:rsid w:val="006547EA"/>
    <w:rsid w:val="00656769"/>
    <w:rsid w:val="00656980"/>
    <w:rsid w:val="00657470"/>
    <w:rsid w:val="00657DD9"/>
    <w:rsid w:val="00660ABE"/>
    <w:rsid w:val="00661730"/>
    <w:rsid w:val="00662A61"/>
    <w:rsid w:val="00662D31"/>
    <w:rsid w:val="00662E3E"/>
    <w:rsid w:val="006652B3"/>
    <w:rsid w:val="00665680"/>
    <w:rsid w:val="006656EF"/>
    <w:rsid w:val="006665C6"/>
    <w:rsid w:val="00666BE0"/>
    <w:rsid w:val="00667FA9"/>
    <w:rsid w:val="00670411"/>
    <w:rsid w:val="006708B9"/>
    <w:rsid w:val="00670BAF"/>
    <w:rsid w:val="00671170"/>
    <w:rsid w:val="006711A8"/>
    <w:rsid w:val="006721E1"/>
    <w:rsid w:val="00672802"/>
    <w:rsid w:val="00672BED"/>
    <w:rsid w:val="00673D64"/>
    <w:rsid w:val="00673E05"/>
    <w:rsid w:val="00673E8D"/>
    <w:rsid w:val="00674372"/>
    <w:rsid w:val="00674404"/>
    <w:rsid w:val="00675A1E"/>
    <w:rsid w:val="00676BF7"/>
    <w:rsid w:val="006806D0"/>
    <w:rsid w:val="00681DAE"/>
    <w:rsid w:val="00682510"/>
    <w:rsid w:val="00682862"/>
    <w:rsid w:val="00682D5D"/>
    <w:rsid w:val="006836E3"/>
    <w:rsid w:val="00684511"/>
    <w:rsid w:val="00684A5A"/>
    <w:rsid w:val="00685BAA"/>
    <w:rsid w:val="00685BAC"/>
    <w:rsid w:val="00685DB7"/>
    <w:rsid w:val="00686A7B"/>
    <w:rsid w:val="00690536"/>
    <w:rsid w:val="00690FC5"/>
    <w:rsid w:val="006928CF"/>
    <w:rsid w:val="00692C24"/>
    <w:rsid w:val="00692D29"/>
    <w:rsid w:val="00692F33"/>
    <w:rsid w:val="006933C8"/>
    <w:rsid w:val="006939E5"/>
    <w:rsid w:val="00695137"/>
    <w:rsid w:val="00696643"/>
    <w:rsid w:val="0069745E"/>
    <w:rsid w:val="006A0B8A"/>
    <w:rsid w:val="006A152B"/>
    <w:rsid w:val="006A1FFF"/>
    <w:rsid w:val="006A398A"/>
    <w:rsid w:val="006A3B58"/>
    <w:rsid w:val="006A3C7F"/>
    <w:rsid w:val="006A4631"/>
    <w:rsid w:val="006A489C"/>
    <w:rsid w:val="006A49F6"/>
    <w:rsid w:val="006A61DD"/>
    <w:rsid w:val="006A6B9E"/>
    <w:rsid w:val="006A6BDB"/>
    <w:rsid w:val="006A73F1"/>
    <w:rsid w:val="006A76AD"/>
    <w:rsid w:val="006B02C9"/>
    <w:rsid w:val="006B18F0"/>
    <w:rsid w:val="006B2900"/>
    <w:rsid w:val="006B2B1B"/>
    <w:rsid w:val="006B4216"/>
    <w:rsid w:val="006B4288"/>
    <w:rsid w:val="006B4E64"/>
    <w:rsid w:val="006B6108"/>
    <w:rsid w:val="006B6D83"/>
    <w:rsid w:val="006B7DA5"/>
    <w:rsid w:val="006C1B7E"/>
    <w:rsid w:val="006C1F8A"/>
    <w:rsid w:val="006C204A"/>
    <w:rsid w:val="006C4151"/>
    <w:rsid w:val="006C5033"/>
    <w:rsid w:val="006C5722"/>
    <w:rsid w:val="006C5767"/>
    <w:rsid w:val="006C5776"/>
    <w:rsid w:val="006C5CF3"/>
    <w:rsid w:val="006C6359"/>
    <w:rsid w:val="006C6A8A"/>
    <w:rsid w:val="006C7207"/>
    <w:rsid w:val="006C778D"/>
    <w:rsid w:val="006D02E0"/>
    <w:rsid w:val="006D08EE"/>
    <w:rsid w:val="006D1247"/>
    <w:rsid w:val="006D4EA1"/>
    <w:rsid w:val="006D6BBB"/>
    <w:rsid w:val="006D7433"/>
    <w:rsid w:val="006D7A28"/>
    <w:rsid w:val="006E0324"/>
    <w:rsid w:val="006E13CC"/>
    <w:rsid w:val="006E141D"/>
    <w:rsid w:val="006E15CC"/>
    <w:rsid w:val="006E18CC"/>
    <w:rsid w:val="006E1D33"/>
    <w:rsid w:val="006E2404"/>
    <w:rsid w:val="006E3A00"/>
    <w:rsid w:val="006E4F46"/>
    <w:rsid w:val="006E543B"/>
    <w:rsid w:val="006E56B2"/>
    <w:rsid w:val="006E57AE"/>
    <w:rsid w:val="006E5D4B"/>
    <w:rsid w:val="006E5D8C"/>
    <w:rsid w:val="006E6000"/>
    <w:rsid w:val="006E69E5"/>
    <w:rsid w:val="006E6DAF"/>
    <w:rsid w:val="006E725D"/>
    <w:rsid w:val="006E75B8"/>
    <w:rsid w:val="006F1571"/>
    <w:rsid w:val="006F26B6"/>
    <w:rsid w:val="006F34BB"/>
    <w:rsid w:val="006F3D12"/>
    <w:rsid w:val="006F4629"/>
    <w:rsid w:val="006F7B83"/>
    <w:rsid w:val="00700046"/>
    <w:rsid w:val="007004B7"/>
    <w:rsid w:val="00700A97"/>
    <w:rsid w:val="007011F3"/>
    <w:rsid w:val="0070123A"/>
    <w:rsid w:val="0070149F"/>
    <w:rsid w:val="00701903"/>
    <w:rsid w:val="00702134"/>
    <w:rsid w:val="00704881"/>
    <w:rsid w:val="00706A28"/>
    <w:rsid w:val="00706B14"/>
    <w:rsid w:val="0070712C"/>
    <w:rsid w:val="00707A74"/>
    <w:rsid w:val="007102FA"/>
    <w:rsid w:val="0071139E"/>
    <w:rsid w:val="0071146B"/>
    <w:rsid w:val="007117A1"/>
    <w:rsid w:val="00711CBD"/>
    <w:rsid w:val="00711DED"/>
    <w:rsid w:val="007128B4"/>
    <w:rsid w:val="00712C1C"/>
    <w:rsid w:val="007132FE"/>
    <w:rsid w:val="007135D5"/>
    <w:rsid w:val="007142D4"/>
    <w:rsid w:val="00715656"/>
    <w:rsid w:val="00715A46"/>
    <w:rsid w:val="007171CE"/>
    <w:rsid w:val="007171EF"/>
    <w:rsid w:val="00717D6A"/>
    <w:rsid w:val="00721AFE"/>
    <w:rsid w:val="007223A8"/>
    <w:rsid w:val="00722812"/>
    <w:rsid w:val="0072426E"/>
    <w:rsid w:val="0072542E"/>
    <w:rsid w:val="0072554D"/>
    <w:rsid w:val="0072568D"/>
    <w:rsid w:val="007264B1"/>
    <w:rsid w:val="007271CC"/>
    <w:rsid w:val="0072722C"/>
    <w:rsid w:val="00730BA7"/>
    <w:rsid w:val="0073322F"/>
    <w:rsid w:val="00733497"/>
    <w:rsid w:val="00733CA4"/>
    <w:rsid w:val="007348B7"/>
    <w:rsid w:val="00734D14"/>
    <w:rsid w:val="0073505B"/>
    <w:rsid w:val="0073598B"/>
    <w:rsid w:val="00735B60"/>
    <w:rsid w:val="007361C1"/>
    <w:rsid w:val="00736834"/>
    <w:rsid w:val="0073704C"/>
    <w:rsid w:val="007417F1"/>
    <w:rsid w:val="00741E4E"/>
    <w:rsid w:val="007421CB"/>
    <w:rsid w:val="0074220C"/>
    <w:rsid w:val="007429C6"/>
    <w:rsid w:val="00742AD9"/>
    <w:rsid w:val="007431F6"/>
    <w:rsid w:val="0074352F"/>
    <w:rsid w:val="00743992"/>
    <w:rsid w:val="007447F0"/>
    <w:rsid w:val="00744821"/>
    <w:rsid w:val="00745414"/>
    <w:rsid w:val="00745B3B"/>
    <w:rsid w:val="00747011"/>
    <w:rsid w:val="0074720E"/>
    <w:rsid w:val="00747B0A"/>
    <w:rsid w:val="00747BE7"/>
    <w:rsid w:val="00750522"/>
    <w:rsid w:val="00750796"/>
    <w:rsid w:val="00750D78"/>
    <w:rsid w:val="0075101E"/>
    <w:rsid w:val="0075235B"/>
    <w:rsid w:val="00752CEB"/>
    <w:rsid w:val="007537C0"/>
    <w:rsid w:val="0075386A"/>
    <w:rsid w:val="007541D2"/>
    <w:rsid w:val="007544C4"/>
    <w:rsid w:val="00754E1C"/>
    <w:rsid w:val="00755315"/>
    <w:rsid w:val="007563EC"/>
    <w:rsid w:val="00756F13"/>
    <w:rsid w:val="00760092"/>
    <w:rsid w:val="00761657"/>
    <w:rsid w:val="00761661"/>
    <w:rsid w:val="0076236F"/>
    <w:rsid w:val="00762B90"/>
    <w:rsid w:val="00763F84"/>
    <w:rsid w:val="007644D5"/>
    <w:rsid w:val="007647D7"/>
    <w:rsid w:val="007654BF"/>
    <w:rsid w:val="00765759"/>
    <w:rsid w:val="00765BD7"/>
    <w:rsid w:val="007660F2"/>
    <w:rsid w:val="00766C70"/>
    <w:rsid w:val="00766E90"/>
    <w:rsid w:val="007672F9"/>
    <w:rsid w:val="007713A2"/>
    <w:rsid w:val="00772922"/>
    <w:rsid w:val="00772C5F"/>
    <w:rsid w:val="0077450A"/>
    <w:rsid w:val="00775138"/>
    <w:rsid w:val="0077593E"/>
    <w:rsid w:val="007762FF"/>
    <w:rsid w:val="007771E5"/>
    <w:rsid w:val="00777BBF"/>
    <w:rsid w:val="00777F4A"/>
    <w:rsid w:val="007804E5"/>
    <w:rsid w:val="00783B5F"/>
    <w:rsid w:val="00784C87"/>
    <w:rsid w:val="0078569D"/>
    <w:rsid w:val="00785EB6"/>
    <w:rsid w:val="00787260"/>
    <w:rsid w:val="007918E4"/>
    <w:rsid w:val="007919DC"/>
    <w:rsid w:val="007920B4"/>
    <w:rsid w:val="0079243C"/>
    <w:rsid w:val="0079261D"/>
    <w:rsid w:val="0079284D"/>
    <w:rsid w:val="00792B0C"/>
    <w:rsid w:val="00792C32"/>
    <w:rsid w:val="007941DC"/>
    <w:rsid w:val="0079493A"/>
    <w:rsid w:val="00794969"/>
    <w:rsid w:val="00795B43"/>
    <w:rsid w:val="007969B6"/>
    <w:rsid w:val="00796FEC"/>
    <w:rsid w:val="00797834"/>
    <w:rsid w:val="007A10E2"/>
    <w:rsid w:val="007A11A1"/>
    <w:rsid w:val="007A13A9"/>
    <w:rsid w:val="007A1936"/>
    <w:rsid w:val="007A2C45"/>
    <w:rsid w:val="007A31E8"/>
    <w:rsid w:val="007A325E"/>
    <w:rsid w:val="007A38AB"/>
    <w:rsid w:val="007A3BD4"/>
    <w:rsid w:val="007A4A32"/>
    <w:rsid w:val="007A4B17"/>
    <w:rsid w:val="007A4BFE"/>
    <w:rsid w:val="007A4E4A"/>
    <w:rsid w:val="007A50EC"/>
    <w:rsid w:val="007A5DAE"/>
    <w:rsid w:val="007A6EEF"/>
    <w:rsid w:val="007A7593"/>
    <w:rsid w:val="007A7C73"/>
    <w:rsid w:val="007B0800"/>
    <w:rsid w:val="007B1697"/>
    <w:rsid w:val="007B2328"/>
    <w:rsid w:val="007B2DE5"/>
    <w:rsid w:val="007B314F"/>
    <w:rsid w:val="007B3212"/>
    <w:rsid w:val="007B3301"/>
    <w:rsid w:val="007B3B6A"/>
    <w:rsid w:val="007B4023"/>
    <w:rsid w:val="007B4E5A"/>
    <w:rsid w:val="007B599A"/>
    <w:rsid w:val="007B632F"/>
    <w:rsid w:val="007B6757"/>
    <w:rsid w:val="007B7CDE"/>
    <w:rsid w:val="007B7CE1"/>
    <w:rsid w:val="007C0858"/>
    <w:rsid w:val="007C0D28"/>
    <w:rsid w:val="007C167C"/>
    <w:rsid w:val="007C2543"/>
    <w:rsid w:val="007C352B"/>
    <w:rsid w:val="007C440C"/>
    <w:rsid w:val="007C4BD0"/>
    <w:rsid w:val="007C7352"/>
    <w:rsid w:val="007D0DCA"/>
    <w:rsid w:val="007D0DD5"/>
    <w:rsid w:val="007D124F"/>
    <w:rsid w:val="007D22EF"/>
    <w:rsid w:val="007D300C"/>
    <w:rsid w:val="007D3F88"/>
    <w:rsid w:val="007D4535"/>
    <w:rsid w:val="007D6289"/>
    <w:rsid w:val="007D63F8"/>
    <w:rsid w:val="007D6D60"/>
    <w:rsid w:val="007E0957"/>
    <w:rsid w:val="007E0E5E"/>
    <w:rsid w:val="007E103A"/>
    <w:rsid w:val="007E216D"/>
    <w:rsid w:val="007E2F87"/>
    <w:rsid w:val="007E332D"/>
    <w:rsid w:val="007E42E7"/>
    <w:rsid w:val="007E564F"/>
    <w:rsid w:val="007E710D"/>
    <w:rsid w:val="007F0045"/>
    <w:rsid w:val="007F045F"/>
    <w:rsid w:val="007F1BFA"/>
    <w:rsid w:val="007F26B0"/>
    <w:rsid w:val="007F2D1B"/>
    <w:rsid w:val="007F3552"/>
    <w:rsid w:val="007F55EB"/>
    <w:rsid w:val="007F58A4"/>
    <w:rsid w:val="007F58E7"/>
    <w:rsid w:val="007F59CD"/>
    <w:rsid w:val="007F77AA"/>
    <w:rsid w:val="00800D4A"/>
    <w:rsid w:val="00800E45"/>
    <w:rsid w:val="00800F97"/>
    <w:rsid w:val="00801938"/>
    <w:rsid w:val="00803511"/>
    <w:rsid w:val="00804230"/>
    <w:rsid w:val="008044E6"/>
    <w:rsid w:val="0080523E"/>
    <w:rsid w:val="0080538D"/>
    <w:rsid w:val="0080639F"/>
    <w:rsid w:val="00807BEF"/>
    <w:rsid w:val="00807DF3"/>
    <w:rsid w:val="0081045B"/>
    <w:rsid w:val="0081174A"/>
    <w:rsid w:val="00811EFB"/>
    <w:rsid w:val="00812084"/>
    <w:rsid w:val="008126EB"/>
    <w:rsid w:val="00813753"/>
    <w:rsid w:val="00813989"/>
    <w:rsid w:val="008147C4"/>
    <w:rsid w:val="00815C34"/>
    <w:rsid w:val="00816999"/>
    <w:rsid w:val="00816B09"/>
    <w:rsid w:val="00816B15"/>
    <w:rsid w:val="00816EC1"/>
    <w:rsid w:val="0081796D"/>
    <w:rsid w:val="008202E9"/>
    <w:rsid w:val="00820370"/>
    <w:rsid w:val="008204FF"/>
    <w:rsid w:val="008208C5"/>
    <w:rsid w:val="00822387"/>
    <w:rsid w:val="00822E88"/>
    <w:rsid w:val="00823F7A"/>
    <w:rsid w:val="008241A7"/>
    <w:rsid w:val="0082569B"/>
    <w:rsid w:val="008277F6"/>
    <w:rsid w:val="00827C52"/>
    <w:rsid w:val="00827F97"/>
    <w:rsid w:val="00831124"/>
    <w:rsid w:val="008317F8"/>
    <w:rsid w:val="008326DE"/>
    <w:rsid w:val="00832CCF"/>
    <w:rsid w:val="00832E6A"/>
    <w:rsid w:val="0083384A"/>
    <w:rsid w:val="00834507"/>
    <w:rsid w:val="008351F9"/>
    <w:rsid w:val="00835F48"/>
    <w:rsid w:val="00836AF4"/>
    <w:rsid w:val="00836F19"/>
    <w:rsid w:val="00841444"/>
    <w:rsid w:val="00841F41"/>
    <w:rsid w:val="008428F6"/>
    <w:rsid w:val="00845C3E"/>
    <w:rsid w:val="0084658E"/>
    <w:rsid w:val="00846AD8"/>
    <w:rsid w:val="00846D8B"/>
    <w:rsid w:val="0084734B"/>
    <w:rsid w:val="0084752E"/>
    <w:rsid w:val="00847DF0"/>
    <w:rsid w:val="00850E1E"/>
    <w:rsid w:val="00851971"/>
    <w:rsid w:val="00851EA6"/>
    <w:rsid w:val="00851F45"/>
    <w:rsid w:val="00852593"/>
    <w:rsid w:val="008529F0"/>
    <w:rsid w:val="00853CDC"/>
    <w:rsid w:val="00854011"/>
    <w:rsid w:val="008549B6"/>
    <w:rsid w:val="00854C73"/>
    <w:rsid w:val="008551E7"/>
    <w:rsid w:val="00855AA4"/>
    <w:rsid w:val="00857608"/>
    <w:rsid w:val="00857A97"/>
    <w:rsid w:val="00857E31"/>
    <w:rsid w:val="00860522"/>
    <w:rsid w:val="00862ECE"/>
    <w:rsid w:val="008630B1"/>
    <w:rsid w:val="0086320A"/>
    <w:rsid w:val="0086322D"/>
    <w:rsid w:val="008647B7"/>
    <w:rsid w:val="00864DEE"/>
    <w:rsid w:val="008660F2"/>
    <w:rsid w:val="00867274"/>
    <w:rsid w:val="00867F52"/>
    <w:rsid w:val="00870488"/>
    <w:rsid w:val="008743C2"/>
    <w:rsid w:val="0087444A"/>
    <w:rsid w:val="00874E07"/>
    <w:rsid w:val="00875150"/>
    <w:rsid w:val="008757C4"/>
    <w:rsid w:val="00875CAD"/>
    <w:rsid w:val="00875F62"/>
    <w:rsid w:val="0087602D"/>
    <w:rsid w:val="00876515"/>
    <w:rsid w:val="00876CC3"/>
    <w:rsid w:val="00880C17"/>
    <w:rsid w:val="0088221F"/>
    <w:rsid w:val="00882454"/>
    <w:rsid w:val="00882C01"/>
    <w:rsid w:val="00883D56"/>
    <w:rsid w:val="0088505C"/>
    <w:rsid w:val="00885872"/>
    <w:rsid w:val="00886735"/>
    <w:rsid w:val="00887052"/>
    <w:rsid w:val="008870B6"/>
    <w:rsid w:val="0088734D"/>
    <w:rsid w:val="0088749C"/>
    <w:rsid w:val="00892226"/>
    <w:rsid w:val="00892878"/>
    <w:rsid w:val="0089341D"/>
    <w:rsid w:val="00893507"/>
    <w:rsid w:val="00894216"/>
    <w:rsid w:val="008953BF"/>
    <w:rsid w:val="00895713"/>
    <w:rsid w:val="00895C4F"/>
    <w:rsid w:val="00896C6C"/>
    <w:rsid w:val="008A0AC6"/>
    <w:rsid w:val="008A1680"/>
    <w:rsid w:val="008A1837"/>
    <w:rsid w:val="008A204A"/>
    <w:rsid w:val="008A234F"/>
    <w:rsid w:val="008A245C"/>
    <w:rsid w:val="008A2E1A"/>
    <w:rsid w:val="008A2FC5"/>
    <w:rsid w:val="008A39B0"/>
    <w:rsid w:val="008A3B7E"/>
    <w:rsid w:val="008A3DA8"/>
    <w:rsid w:val="008A3F77"/>
    <w:rsid w:val="008A444F"/>
    <w:rsid w:val="008A4BBC"/>
    <w:rsid w:val="008A5920"/>
    <w:rsid w:val="008A5C7F"/>
    <w:rsid w:val="008A5E5A"/>
    <w:rsid w:val="008A709F"/>
    <w:rsid w:val="008A77FC"/>
    <w:rsid w:val="008A794A"/>
    <w:rsid w:val="008A7C82"/>
    <w:rsid w:val="008B0536"/>
    <w:rsid w:val="008B054D"/>
    <w:rsid w:val="008B15FC"/>
    <w:rsid w:val="008B262C"/>
    <w:rsid w:val="008B28E7"/>
    <w:rsid w:val="008B33EF"/>
    <w:rsid w:val="008B36C6"/>
    <w:rsid w:val="008B3BA4"/>
    <w:rsid w:val="008B3F9B"/>
    <w:rsid w:val="008B49AE"/>
    <w:rsid w:val="008B6D5E"/>
    <w:rsid w:val="008B774E"/>
    <w:rsid w:val="008C0AC6"/>
    <w:rsid w:val="008C1B22"/>
    <w:rsid w:val="008C22E9"/>
    <w:rsid w:val="008C2679"/>
    <w:rsid w:val="008C2A81"/>
    <w:rsid w:val="008C3372"/>
    <w:rsid w:val="008C4E09"/>
    <w:rsid w:val="008C5494"/>
    <w:rsid w:val="008C55B8"/>
    <w:rsid w:val="008C6087"/>
    <w:rsid w:val="008C653C"/>
    <w:rsid w:val="008C6B2A"/>
    <w:rsid w:val="008C6E8E"/>
    <w:rsid w:val="008C737B"/>
    <w:rsid w:val="008C79D2"/>
    <w:rsid w:val="008D07C7"/>
    <w:rsid w:val="008D0CDD"/>
    <w:rsid w:val="008D3620"/>
    <w:rsid w:val="008D44CB"/>
    <w:rsid w:val="008D4556"/>
    <w:rsid w:val="008D4FEC"/>
    <w:rsid w:val="008D5843"/>
    <w:rsid w:val="008D5859"/>
    <w:rsid w:val="008D6DFE"/>
    <w:rsid w:val="008D77B7"/>
    <w:rsid w:val="008D79ED"/>
    <w:rsid w:val="008D7AC6"/>
    <w:rsid w:val="008D7BAF"/>
    <w:rsid w:val="008E0250"/>
    <w:rsid w:val="008E0D90"/>
    <w:rsid w:val="008E23F0"/>
    <w:rsid w:val="008E24A8"/>
    <w:rsid w:val="008E325B"/>
    <w:rsid w:val="008E45E0"/>
    <w:rsid w:val="008E4ABA"/>
    <w:rsid w:val="008E7018"/>
    <w:rsid w:val="008E7B4D"/>
    <w:rsid w:val="008E7F16"/>
    <w:rsid w:val="008F0154"/>
    <w:rsid w:val="008F0E3A"/>
    <w:rsid w:val="008F0F78"/>
    <w:rsid w:val="008F358D"/>
    <w:rsid w:val="008F3FA8"/>
    <w:rsid w:val="008F4F45"/>
    <w:rsid w:val="008F517C"/>
    <w:rsid w:val="008F5198"/>
    <w:rsid w:val="008F59B4"/>
    <w:rsid w:val="008F6588"/>
    <w:rsid w:val="008F7487"/>
    <w:rsid w:val="008F787D"/>
    <w:rsid w:val="00900081"/>
    <w:rsid w:val="009008FD"/>
    <w:rsid w:val="00900D36"/>
    <w:rsid w:val="00901372"/>
    <w:rsid w:val="00901455"/>
    <w:rsid w:val="009017EC"/>
    <w:rsid w:val="00902492"/>
    <w:rsid w:val="00903B1A"/>
    <w:rsid w:val="00904FCE"/>
    <w:rsid w:val="009059A3"/>
    <w:rsid w:val="00905E6B"/>
    <w:rsid w:val="00905F64"/>
    <w:rsid w:val="0091059E"/>
    <w:rsid w:val="00911772"/>
    <w:rsid w:val="0091274C"/>
    <w:rsid w:val="00912B73"/>
    <w:rsid w:val="00912CC2"/>
    <w:rsid w:val="009131F1"/>
    <w:rsid w:val="00915122"/>
    <w:rsid w:val="00916540"/>
    <w:rsid w:val="009170CF"/>
    <w:rsid w:val="009171C6"/>
    <w:rsid w:val="00920955"/>
    <w:rsid w:val="00922E46"/>
    <w:rsid w:val="00923AA5"/>
    <w:rsid w:val="00923F13"/>
    <w:rsid w:val="00925132"/>
    <w:rsid w:val="009255DF"/>
    <w:rsid w:val="00925CA1"/>
    <w:rsid w:val="00925CC4"/>
    <w:rsid w:val="00926164"/>
    <w:rsid w:val="0092629A"/>
    <w:rsid w:val="00926761"/>
    <w:rsid w:val="0092686D"/>
    <w:rsid w:val="00926A09"/>
    <w:rsid w:val="00926BFE"/>
    <w:rsid w:val="0092768C"/>
    <w:rsid w:val="00927869"/>
    <w:rsid w:val="00930C71"/>
    <w:rsid w:val="00930D52"/>
    <w:rsid w:val="00931288"/>
    <w:rsid w:val="009329E1"/>
    <w:rsid w:val="00932BD9"/>
    <w:rsid w:val="00933A1A"/>
    <w:rsid w:val="00934441"/>
    <w:rsid w:val="0093510B"/>
    <w:rsid w:val="00935612"/>
    <w:rsid w:val="00935D4E"/>
    <w:rsid w:val="0093659F"/>
    <w:rsid w:val="009375F0"/>
    <w:rsid w:val="0093777E"/>
    <w:rsid w:val="00937816"/>
    <w:rsid w:val="0093782D"/>
    <w:rsid w:val="00937C0D"/>
    <w:rsid w:val="009405BA"/>
    <w:rsid w:val="0094413A"/>
    <w:rsid w:val="00944407"/>
    <w:rsid w:val="0094480C"/>
    <w:rsid w:val="009457D7"/>
    <w:rsid w:val="0094581C"/>
    <w:rsid w:val="00946776"/>
    <w:rsid w:val="00947573"/>
    <w:rsid w:val="00950C0D"/>
    <w:rsid w:val="00951286"/>
    <w:rsid w:val="0095129C"/>
    <w:rsid w:val="009512B9"/>
    <w:rsid w:val="00951DB2"/>
    <w:rsid w:val="00953259"/>
    <w:rsid w:val="00953687"/>
    <w:rsid w:val="009536F4"/>
    <w:rsid w:val="00953ADE"/>
    <w:rsid w:val="00954905"/>
    <w:rsid w:val="009549F4"/>
    <w:rsid w:val="00957974"/>
    <w:rsid w:val="00957F72"/>
    <w:rsid w:val="00960982"/>
    <w:rsid w:val="00960ECC"/>
    <w:rsid w:val="009611BD"/>
    <w:rsid w:val="00961B1B"/>
    <w:rsid w:val="00962258"/>
    <w:rsid w:val="00962EFF"/>
    <w:rsid w:val="00962F8D"/>
    <w:rsid w:val="00963539"/>
    <w:rsid w:val="00963F08"/>
    <w:rsid w:val="00964C04"/>
    <w:rsid w:val="00967700"/>
    <w:rsid w:val="00970663"/>
    <w:rsid w:val="00970FD3"/>
    <w:rsid w:val="009742B9"/>
    <w:rsid w:val="00974BD7"/>
    <w:rsid w:val="0097569E"/>
    <w:rsid w:val="00976264"/>
    <w:rsid w:val="009763FC"/>
    <w:rsid w:val="0097697C"/>
    <w:rsid w:val="00976FD3"/>
    <w:rsid w:val="0098285D"/>
    <w:rsid w:val="009840C6"/>
    <w:rsid w:val="009840E1"/>
    <w:rsid w:val="00984A9C"/>
    <w:rsid w:val="00987967"/>
    <w:rsid w:val="0099154D"/>
    <w:rsid w:val="00991B1D"/>
    <w:rsid w:val="009921E6"/>
    <w:rsid w:val="00992F3C"/>
    <w:rsid w:val="00993D7C"/>
    <w:rsid w:val="0099445F"/>
    <w:rsid w:val="00994D98"/>
    <w:rsid w:val="0099515D"/>
    <w:rsid w:val="00995CB1"/>
    <w:rsid w:val="00995EC4"/>
    <w:rsid w:val="00996107"/>
    <w:rsid w:val="00996A5C"/>
    <w:rsid w:val="00996A99"/>
    <w:rsid w:val="009974AA"/>
    <w:rsid w:val="00997CC3"/>
    <w:rsid w:val="00997D1D"/>
    <w:rsid w:val="009A04D7"/>
    <w:rsid w:val="009A162E"/>
    <w:rsid w:val="009A212E"/>
    <w:rsid w:val="009A2DC5"/>
    <w:rsid w:val="009A4149"/>
    <w:rsid w:val="009A4407"/>
    <w:rsid w:val="009A49D2"/>
    <w:rsid w:val="009A4A0B"/>
    <w:rsid w:val="009A51FD"/>
    <w:rsid w:val="009A5289"/>
    <w:rsid w:val="009A55A3"/>
    <w:rsid w:val="009B1C00"/>
    <w:rsid w:val="009B2866"/>
    <w:rsid w:val="009B316F"/>
    <w:rsid w:val="009B3E61"/>
    <w:rsid w:val="009B3F3C"/>
    <w:rsid w:val="009B43E3"/>
    <w:rsid w:val="009B4423"/>
    <w:rsid w:val="009B48FA"/>
    <w:rsid w:val="009B5D05"/>
    <w:rsid w:val="009B602A"/>
    <w:rsid w:val="009B6793"/>
    <w:rsid w:val="009B7747"/>
    <w:rsid w:val="009B7D3D"/>
    <w:rsid w:val="009C1619"/>
    <w:rsid w:val="009C1BDE"/>
    <w:rsid w:val="009C1C2F"/>
    <w:rsid w:val="009C2DDF"/>
    <w:rsid w:val="009C3434"/>
    <w:rsid w:val="009C3D3E"/>
    <w:rsid w:val="009C49FE"/>
    <w:rsid w:val="009C4F1C"/>
    <w:rsid w:val="009C564F"/>
    <w:rsid w:val="009C57B6"/>
    <w:rsid w:val="009C64CA"/>
    <w:rsid w:val="009C7422"/>
    <w:rsid w:val="009D03F2"/>
    <w:rsid w:val="009D14A0"/>
    <w:rsid w:val="009D2E84"/>
    <w:rsid w:val="009D300D"/>
    <w:rsid w:val="009D4542"/>
    <w:rsid w:val="009D4EB3"/>
    <w:rsid w:val="009D5C6F"/>
    <w:rsid w:val="009D6057"/>
    <w:rsid w:val="009D61E1"/>
    <w:rsid w:val="009D7642"/>
    <w:rsid w:val="009E03D7"/>
    <w:rsid w:val="009E100B"/>
    <w:rsid w:val="009E13E2"/>
    <w:rsid w:val="009E2437"/>
    <w:rsid w:val="009E2800"/>
    <w:rsid w:val="009E3A2C"/>
    <w:rsid w:val="009E434A"/>
    <w:rsid w:val="009E56F7"/>
    <w:rsid w:val="009E5C33"/>
    <w:rsid w:val="009E5E16"/>
    <w:rsid w:val="009E7BA4"/>
    <w:rsid w:val="009E7D03"/>
    <w:rsid w:val="009F022D"/>
    <w:rsid w:val="009F0904"/>
    <w:rsid w:val="009F0B50"/>
    <w:rsid w:val="009F1358"/>
    <w:rsid w:val="009F259C"/>
    <w:rsid w:val="009F2F56"/>
    <w:rsid w:val="009F33E2"/>
    <w:rsid w:val="009F3607"/>
    <w:rsid w:val="009F3AF5"/>
    <w:rsid w:val="009F3CE2"/>
    <w:rsid w:val="009F4B55"/>
    <w:rsid w:val="009F4E1B"/>
    <w:rsid w:val="009F73F8"/>
    <w:rsid w:val="009F7D06"/>
    <w:rsid w:val="00A00027"/>
    <w:rsid w:val="00A0058E"/>
    <w:rsid w:val="00A01677"/>
    <w:rsid w:val="00A01DE5"/>
    <w:rsid w:val="00A03B6F"/>
    <w:rsid w:val="00A03F72"/>
    <w:rsid w:val="00A04F55"/>
    <w:rsid w:val="00A05956"/>
    <w:rsid w:val="00A06201"/>
    <w:rsid w:val="00A07CB1"/>
    <w:rsid w:val="00A105B3"/>
    <w:rsid w:val="00A1076B"/>
    <w:rsid w:val="00A121E1"/>
    <w:rsid w:val="00A12453"/>
    <w:rsid w:val="00A12524"/>
    <w:rsid w:val="00A1254A"/>
    <w:rsid w:val="00A12B47"/>
    <w:rsid w:val="00A13685"/>
    <w:rsid w:val="00A14385"/>
    <w:rsid w:val="00A14D28"/>
    <w:rsid w:val="00A1542D"/>
    <w:rsid w:val="00A16806"/>
    <w:rsid w:val="00A17DE7"/>
    <w:rsid w:val="00A202AC"/>
    <w:rsid w:val="00A213EC"/>
    <w:rsid w:val="00A2156F"/>
    <w:rsid w:val="00A2217D"/>
    <w:rsid w:val="00A22553"/>
    <w:rsid w:val="00A22F4C"/>
    <w:rsid w:val="00A23C76"/>
    <w:rsid w:val="00A2405F"/>
    <w:rsid w:val="00A25043"/>
    <w:rsid w:val="00A25D6C"/>
    <w:rsid w:val="00A25DC4"/>
    <w:rsid w:val="00A26D59"/>
    <w:rsid w:val="00A271DF"/>
    <w:rsid w:val="00A2786B"/>
    <w:rsid w:val="00A27C62"/>
    <w:rsid w:val="00A308B7"/>
    <w:rsid w:val="00A30EE1"/>
    <w:rsid w:val="00A31760"/>
    <w:rsid w:val="00A322EE"/>
    <w:rsid w:val="00A32E1E"/>
    <w:rsid w:val="00A33307"/>
    <w:rsid w:val="00A343BB"/>
    <w:rsid w:val="00A345CD"/>
    <w:rsid w:val="00A35501"/>
    <w:rsid w:val="00A35544"/>
    <w:rsid w:val="00A36108"/>
    <w:rsid w:val="00A3687B"/>
    <w:rsid w:val="00A36ACB"/>
    <w:rsid w:val="00A3735B"/>
    <w:rsid w:val="00A40404"/>
    <w:rsid w:val="00A404A2"/>
    <w:rsid w:val="00A404BD"/>
    <w:rsid w:val="00A42891"/>
    <w:rsid w:val="00A42E65"/>
    <w:rsid w:val="00A443F8"/>
    <w:rsid w:val="00A45502"/>
    <w:rsid w:val="00A45608"/>
    <w:rsid w:val="00A4613B"/>
    <w:rsid w:val="00A47031"/>
    <w:rsid w:val="00A47C4F"/>
    <w:rsid w:val="00A51261"/>
    <w:rsid w:val="00A52093"/>
    <w:rsid w:val="00A53677"/>
    <w:rsid w:val="00A54029"/>
    <w:rsid w:val="00A543C6"/>
    <w:rsid w:val="00A55C0E"/>
    <w:rsid w:val="00A5688B"/>
    <w:rsid w:val="00A572A2"/>
    <w:rsid w:val="00A5741D"/>
    <w:rsid w:val="00A57506"/>
    <w:rsid w:val="00A577A8"/>
    <w:rsid w:val="00A60391"/>
    <w:rsid w:val="00A6160C"/>
    <w:rsid w:val="00A65B25"/>
    <w:rsid w:val="00A65C6A"/>
    <w:rsid w:val="00A66E17"/>
    <w:rsid w:val="00A6743F"/>
    <w:rsid w:val="00A67C84"/>
    <w:rsid w:val="00A712AF"/>
    <w:rsid w:val="00A7240D"/>
    <w:rsid w:val="00A72D3E"/>
    <w:rsid w:val="00A73048"/>
    <w:rsid w:val="00A737A9"/>
    <w:rsid w:val="00A7395B"/>
    <w:rsid w:val="00A73A7B"/>
    <w:rsid w:val="00A74434"/>
    <w:rsid w:val="00A7587A"/>
    <w:rsid w:val="00A76FDA"/>
    <w:rsid w:val="00A770EC"/>
    <w:rsid w:val="00A77A8B"/>
    <w:rsid w:val="00A807CF"/>
    <w:rsid w:val="00A8249F"/>
    <w:rsid w:val="00A836BE"/>
    <w:rsid w:val="00A83BEF"/>
    <w:rsid w:val="00A83E35"/>
    <w:rsid w:val="00A84BBC"/>
    <w:rsid w:val="00A84EBB"/>
    <w:rsid w:val="00A91EFC"/>
    <w:rsid w:val="00A9269C"/>
    <w:rsid w:val="00A928E4"/>
    <w:rsid w:val="00A92D29"/>
    <w:rsid w:val="00A92DC4"/>
    <w:rsid w:val="00A93634"/>
    <w:rsid w:val="00A938D9"/>
    <w:rsid w:val="00A940BF"/>
    <w:rsid w:val="00A95030"/>
    <w:rsid w:val="00A96DAD"/>
    <w:rsid w:val="00A97F51"/>
    <w:rsid w:val="00AA15D6"/>
    <w:rsid w:val="00AA1AC0"/>
    <w:rsid w:val="00AA24E7"/>
    <w:rsid w:val="00AA2D42"/>
    <w:rsid w:val="00AA2F89"/>
    <w:rsid w:val="00AA3010"/>
    <w:rsid w:val="00AA3D7B"/>
    <w:rsid w:val="00AA53A1"/>
    <w:rsid w:val="00AA59C3"/>
    <w:rsid w:val="00AA5EBF"/>
    <w:rsid w:val="00AA6648"/>
    <w:rsid w:val="00AA6A34"/>
    <w:rsid w:val="00AA6FAC"/>
    <w:rsid w:val="00AA76D9"/>
    <w:rsid w:val="00AA7AF8"/>
    <w:rsid w:val="00AB0826"/>
    <w:rsid w:val="00AB0F97"/>
    <w:rsid w:val="00AB1929"/>
    <w:rsid w:val="00AB43C2"/>
    <w:rsid w:val="00AB4641"/>
    <w:rsid w:val="00AB47E2"/>
    <w:rsid w:val="00AB5AA8"/>
    <w:rsid w:val="00AB5F94"/>
    <w:rsid w:val="00AB73C2"/>
    <w:rsid w:val="00AB7D5E"/>
    <w:rsid w:val="00AB7E98"/>
    <w:rsid w:val="00AC0632"/>
    <w:rsid w:val="00AC10A0"/>
    <w:rsid w:val="00AC2EDD"/>
    <w:rsid w:val="00AC38A6"/>
    <w:rsid w:val="00AC45F7"/>
    <w:rsid w:val="00AC5358"/>
    <w:rsid w:val="00AC655B"/>
    <w:rsid w:val="00AC72C4"/>
    <w:rsid w:val="00AD0099"/>
    <w:rsid w:val="00AD0E3A"/>
    <w:rsid w:val="00AD2B04"/>
    <w:rsid w:val="00AD464F"/>
    <w:rsid w:val="00AD53D2"/>
    <w:rsid w:val="00AD5AC3"/>
    <w:rsid w:val="00AD5B17"/>
    <w:rsid w:val="00AD610F"/>
    <w:rsid w:val="00AD6ECB"/>
    <w:rsid w:val="00AE04F8"/>
    <w:rsid w:val="00AE1FD4"/>
    <w:rsid w:val="00AE2961"/>
    <w:rsid w:val="00AE2BEB"/>
    <w:rsid w:val="00AE2C48"/>
    <w:rsid w:val="00AE54E1"/>
    <w:rsid w:val="00AE5B1B"/>
    <w:rsid w:val="00AE64EE"/>
    <w:rsid w:val="00AE6BE4"/>
    <w:rsid w:val="00AE6C3C"/>
    <w:rsid w:val="00AE7FBF"/>
    <w:rsid w:val="00AF0572"/>
    <w:rsid w:val="00AF1314"/>
    <w:rsid w:val="00AF1FF2"/>
    <w:rsid w:val="00AF292F"/>
    <w:rsid w:val="00AF2FD9"/>
    <w:rsid w:val="00AF38E9"/>
    <w:rsid w:val="00AF46E2"/>
    <w:rsid w:val="00AF5077"/>
    <w:rsid w:val="00AF544A"/>
    <w:rsid w:val="00AF5A62"/>
    <w:rsid w:val="00AF6780"/>
    <w:rsid w:val="00AF68DA"/>
    <w:rsid w:val="00AF69E5"/>
    <w:rsid w:val="00AF6AAF"/>
    <w:rsid w:val="00AF7487"/>
    <w:rsid w:val="00AF7B26"/>
    <w:rsid w:val="00AF7C80"/>
    <w:rsid w:val="00B01DE8"/>
    <w:rsid w:val="00B0303E"/>
    <w:rsid w:val="00B03D61"/>
    <w:rsid w:val="00B03EFF"/>
    <w:rsid w:val="00B04CF5"/>
    <w:rsid w:val="00B04FF9"/>
    <w:rsid w:val="00B05257"/>
    <w:rsid w:val="00B058E7"/>
    <w:rsid w:val="00B06B02"/>
    <w:rsid w:val="00B07467"/>
    <w:rsid w:val="00B075B6"/>
    <w:rsid w:val="00B078FE"/>
    <w:rsid w:val="00B07C19"/>
    <w:rsid w:val="00B102A2"/>
    <w:rsid w:val="00B10428"/>
    <w:rsid w:val="00B104BF"/>
    <w:rsid w:val="00B11EFA"/>
    <w:rsid w:val="00B13690"/>
    <w:rsid w:val="00B139C8"/>
    <w:rsid w:val="00B13C66"/>
    <w:rsid w:val="00B14252"/>
    <w:rsid w:val="00B14BE5"/>
    <w:rsid w:val="00B15664"/>
    <w:rsid w:val="00B15D9E"/>
    <w:rsid w:val="00B16003"/>
    <w:rsid w:val="00B164E6"/>
    <w:rsid w:val="00B17BF0"/>
    <w:rsid w:val="00B20093"/>
    <w:rsid w:val="00B2023F"/>
    <w:rsid w:val="00B208E2"/>
    <w:rsid w:val="00B20E3F"/>
    <w:rsid w:val="00B22BD1"/>
    <w:rsid w:val="00B2520F"/>
    <w:rsid w:val="00B25A17"/>
    <w:rsid w:val="00B25E75"/>
    <w:rsid w:val="00B267F7"/>
    <w:rsid w:val="00B26FD6"/>
    <w:rsid w:val="00B27149"/>
    <w:rsid w:val="00B27203"/>
    <w:rsid w:val="00B2723E"/>
    <w:rsid w:val="00B30207"/>
    <w:rsid w:val="00B30FFF"/>
    <w:rsid w:val="00B31018"/>
    <w:rsid w:val="00B3299D"/>
    <w:rsid w:val="00B34C28"/>
    <w:rsid w:val="00B35646"/>
    <w:rsid w:val="00B35932"/>
    <w:rsid w:val="00B36BCB"/>
    <w:rsid w:val="00B37BCF"/>
    <w:rsid w:val="00B4076A"/>
    <w:rsid w:val="00B417A0"/>
    <w:rsid w:val="00B4403C"/>
    <w:rsid w:val="00B44A62"/>
    <w:rsid w:val="00B44AC3"/>
    <w:rsid w:val="00B45227"/>
    <w:rsid w:val="00B455E4"/>
    <w:rsid w:val="00B4589C"/>
    <w:rsid w:val="00B45D43"/>
    <w:rsid w:val="00B5027D"/>
    <w:rsid w:val="00B53A3E"/>
    <w:rsid w:val="00B5402E"/>
    <w:rsid w:val="00B55543"/>
    <w:rsid w:val="00B555B4"/>
    <w:rsid w:val="00B56691"/>
    <w:rsid w:val="00B57851"/>
    <w:rsid w:val="00B609CF"/>
    <w:rsid w:val="00B616D7"/>
    <w:rsid w:val="00B6194D"/>
    <w:rsid w:val="00B629A2"/>
    <w:rsid w:val="00B62DCE"/>
    <w:rsid w:val="00B633BF"/>
    <w:rsid w:val="00B636D5"/>
    <w:rsid w:val="00B63FAD"/>
    <w:rsid w:val="00B64337"/>
    <w:rsid w:val="00B64A6F"/>
    <w:rsid w:val="00B652ED"/>
    <w:rsid w:val="00B65C89"/>
    <w:rsid w:val="00B677C7"/>
    <w:rsid w:val="00B7142A"/>
    <w:rsid w:val="00B72A4E"/>
    <w:rsid w:val="00B74678"/>
    <w:rsid w:val="00B7476E"/>
    <w:rsid w:val="00B756C6"/>
    <w:rsid w:val="00B7575C"/>
    <w:rsid w:val="00B757EA"/>
    <w:rsid w:val="00B75B6A"/>
    <w:rsid w:val="00B75D86"/>
    <w:rsid w:val="00B76531"/>
    <w:rsid w:val="00B76712"/>
    <w:rsid w:val="00B7693A"/>
    <w:rsid w:val="00B76C92"/>
    <w:rsid w:val="00B81604"/>
    <w:rsid w:val="00B81A63"/>
    <w:rsid w:val="00B81BAC"/>
    <w:rsid w:val="00B8252F"/>
    <w:rsid w:val="00B84985"/>
    <w:rsid w:val="00B84B7C"/>
    <w:rsid w:val="00B8571D"/>
    <w:rsid w:val="00B858A4"/>
    <w:rsid w:val="00B85C6C"/>
    <w:rsid w:val="00B85F0E"/>
    <w:rsid w:val="00B86E48"/>
    <w:rsid w:val="00B91B62"/>
    <w:rsid w:val="00B93718"/>
    <w:rsid w:val="00B93CC1"/>
    <w:rsid w:val="00B956B0"/>
    <w:rsid w:val="00B9588F"/>
    <w:rsid w:val="00B95F82"/>
    <w:rsid w:val="00B96179"/>
    <w:rsid w:val="00B96952"/>
    <w:rsid w:val="00B96FD6"/>
    <w:rsid w:val="00BA04D2"/>
    <w:rsid w:val="00BA0A50"/>
    <w:rsid w:val="00BA0DB7"/>
    <w:rsid w:val="00BA542B"/>
    <w:rsid w:val="00BA638C"/>
    <w:rsid w:val="00BA6DD8"/>
    <w:rsid w:val="00BA78E4"/>
    <w:rsid w:val="00BA7FD7"/>
    <w:rsid w:val="00BB1361"/>
    <w:rsid w:val="00BB4D75"/>
    <w:rsid w:val="00BB4DF9"/>
    <w:rsid w:val="00BB4FFF"/>
    <w:rsid w:val="00BB57C8"/>
    <w:rsid w:val="00BB5AD3"/>
    <w:rsid w:val="00BB6728"/>
    <w:rsid w:val="00BB76E3"/>
    <w:rsid w:val="00BB7DB7"/>
    <w:rsid w:val="00BC08BA"/>
    <w:rsid w:val="00BC1082"/>
    <w:rsid w:val="00BC182C"/>
    <w:rsid w:val="00BC2621"/>
    <w:rsid w:val="00BC66BF"/>
    <w:rsid w:val="00BC6A0E"/>
    <w:rsid w:val="00BC7BAB"/>
    <w:rsid w:val="00BD05CB"/>
    <w:rsid w:val="00BD0A28"/>
    <w:rsid w:val="00BD3643"/>
    <w:rsid w:val="00BD38D0"/>
    <w:rsid w:val="00BD428E"/>
    <w:rsid w:val="00BD43B5"/>
    <w:rsid w:val="00BD56DF"/>
    <w:rsid w:val="00BD5DA8"/>
    <w:rsid w:val="00BD657D"/>
    <w:rsid w:val="00BD6686"/>
    <w:rsid w:val="00BE010F"/>
    <w:rsid w:val="00BE18B9"/>
    <w:rsid w:val="00BE266D"/>
    <w:rsid w:val="00BE2825"/>
    <w:rsid w:val="00BE331A"/>
    <w:rsid w:val="00BE463F"/>
    <w:rsid w:val="00BE4898"/>
    <w:rsid w:val="00BE5718"/>
    <w:rsid w:val="00BE5F22"/>
    <w:rsid w:val="00BE663B"/>
    <w:rsid w:val="00BE74EF"/>
    <w:rsid w:val="00BE7A7D"/>
    <w:rsid w:val="00BF0A17"/>
    <w:rsid w:val="00BF0B5E"/>
    <w:rsid w:val="00BF0ED5"/>
    <w:rsid w:val="00BF1193"/>
    <w:rsid w:val="00BF11A7"/>
    <w:rsid w:val="00BF2047"/>
    <w:rsid w:val="00BF20EB"/>
    <w:rsid w:val="00BF3964"/>
    <w:rsid w:val="00BF49FC"/>
    <w:rsid w:val="00BF4D12"/>
    <w:rsid w:val="00BF565D"/>
    <w:rsid w:val="00BF74B5"/>
    <w:rsid w:val="00C00C89"/>
    <w:rsid w:val="00C01F49"/>
    <w:rsid w:val="00C023E9"/>
    <w:rsid w:val="00C026AD"/>
    <w:rsid w:val="00C027D1"/>
    <w:rsid w:val="00C02EA0"/>
    <w:rsid w:val="00C02FA1"/>
    <w:rsid w:val="00C02FFC"/>
    <w:rsid w:val="00C03CBF"/>
    <w:rsid w:val="00C05819"/>
    <w:rsid w:val="00C06AC6"/>
    <w:rsid w:val="00C0715A"/>
    <w:rsid w:val="00C07211"/>
    <w:rsid w:val="00C100B3"/>
    <w:rsid w:val="00C1043C"/>
    <w:rsid w:val="00C108CE"/>
    <w:rsid w:val="00C10A15"/>
    <w:rsid w:val="00C11A31"/>
    <w:rsid w:val="00C12CEF"/>
    <w:rsid w:val="00C1309E"/>
    <w:rsid w:val="00C13962"/>
    <w:rsid w:val="00C13F3E"/>
    <w:rsid w:val="00C142E4"/>
    <w:rsid w:val="00C15D1D"/>
    <w:rsid w:val="00C16530"/>
    <w:rsid w:val="00C166A9"/>
    <w:rsid w:val="00C16E43"/>
    <w:rsid w:val="00C17D8E"/>
    <w:rsid w:val="00C2026C"/>
    <w:rsid w:val="00C202CD"/>
    <w:rsid w:val="00C2056F"/>
    <w:rsid w:val="00C20BAA"/>
    <w:rsid w:val="00C22048"/>
    <w:rsid w:val="00C22507"/>
    <w:rsid w:val="00C22BBC"/>
    <w:rsid w:val="00C2436D"/>
    <w:rsid w:val="00C2503A"/>
    <w:rsid w:val="00C25219"/>
    <w:rsid w:val="00C257A1"/>
    <w:rsid w:val="00C25C96"/>
    <w:rsid w:val="00C25DB7"/>
    <w:rsid w:val="00C2617E"/>
    <w:rsid w:val="00C262F2"/>
    <w:rsid w:val="00C2667A"/>
    <w:rsid w:val="00C270A4"/>
    <w:rsid w:val="00C272ED"/>
    <w:rsid w:val="00C2739D"/>
    <w:rsid w:val="00C273C7"/>
    <w:rsid w:val="00C31301"/>
    <w:rsid w:val="00C326B9"/>
    <w:rsid w:val="00C32867"/>
    <w:rsid w:val="00C33154"/>
    <w:rsid w:val="00C35F3F"/>
    <w:rsid w:val="00C3615B"/>
    <w:rsid w:val="00C36286"/>
    <w:rsid w:val="00C3763F"/>
    <w:rsid w:val="00C37EA6"/>
    <w:rsid w:val="00C408DB"/>
    <w:rsid w:val="00C409EB"/>
    <w:rsid w:val="00C40BB8"/>
    <w:rsid w:val="00C40C1B"/>
    <w:rsid w:val="00C41FC7"/>
    <w:rsid w:val="00C44C78"/>
    <w:rsid w:val="00C453DD"/>
    <w:rsid w:val="00C45425"/>
    <w:rsid w:val="00C45A5D"/>
    <w:rsid w:val="00C46A3B"/>
    <w:rsid w:val="00C46DEE"/>
    <w:rsid w:val="00C478E9"/>
    <w:rsid w:val="00C4796C"/>
    <w:rsid w:val="00C47E14"/>
    <w:rsid w:val="00C516B6"/>
    <w:rsid w:val="00C51EB7"/>
    <w:rsid w:val="00C53E33"/>
    <w:rsid w:val="00C5410B"/>
    <w:rsid w:val="00C562EF"/>
    <w:rsid w:val="00C56793"/>
    <w:rsid w:val="00C56CB5"/>
    <w:rsid w:val="00C56D42"/>
    <w:rsid w:val="00C5736C"/>
    <w:rsid w:val="00C60ED6"/>
    <w:rsid w:val="00C612AE"/>
    <w:rsid w:val="00C615B7"/>
    <w:rsid w:val="00C619DA"/>
    <w:rsid w:val="00C61FE4"/>
    <w:rsid w:val="00C624E5"/>
    <w:rsid w:val="00C62510"/>
    <w:rsid w:val="00C62598"/>
    <w:rsid w:val="00C6309E"/>
    <w:rsid w:val="00C6350C"/>
    <w:rsid w:val="00C643CD"/>
    <w:rsid w:val="00C64428"/>
    <w:rsid w:val="00C647C1"/>
    <w:rsid w:val="00C64C1F"/>
    <w:rsid w:val="00C65022"/>
    <w:rsid w:val="00C655C1"/>
    <w:rsid w:val="00C65A26"/>
    <w:rsid w:val="00C666D2"/>
    <w:rsid w:val="00C666DD"/>
    <w:rsid w:val="00C66E2B"/>
    <w:rsid w:val="00C66FA4"/>
    <w:rsid w:val="00C707DF"/>
    <w:rsid w:val="00C70B66"/>
    <w:rsid w:val="00C718F2"/>
    <w:rsid w:val="00C72345"/>
    <w:rsid w:val="00C72D13"/>
    <w:rsid w:val="00C73549"/>
    <w:rsid w:val="00C7401A"/>
    <w:rsid w:val="00C74023"/>
    <w:rsid w:val="00C7444A"/>
    <w:rsid w:val="00C74620"/>
    <w:rsid w:val="00C7566A"/>
    <w:rsid w:val="00C760FA"/>
    <w:rsid w:val="00C77A1F"/>
    <w:rsid w:val="00C77D84"/>
    <w:rsid w:val="00C80E9A"/>
    <w:rsid w:val="00C81DF7"/>
    <w:rsid w:val="00C82FEE"/>
    <w:rsid w:val="00C83768"/>
    <w:rsid w:val="00C84382"/>
    <w:rsid w:val="00C846E8"/>
    <w:rsid w:val="00C85E0D"/>
    <w:rsid w:val="00C8741E"/>
    <w:rsid w:val="00C875E6"/>
    <w:rsid w:val="00C87C4C"/>
    <w:rsid w:val="00C8D871"/>
    <w:rsid w:val="00C912A4"/>
    <w:rsid w:val="00C91429"/>
    <w:rsid w:val="00C91B5E"/>
    <w:rsid w:val="00C9327A"/>
    <w:rsid w:val="00C94878"/>
    <w:rsid w:val="00C954A2"/>
    <w:rsid w:val="00C95667"/>
    <w:rsid w:val="00C97179"/>
    <w:rsid w:val="00C977C6"/>
    <w:rsid w:val="00CA221A"/>
    <w:rsid w:val="00CA2EAB"/>
    <w:rsid w:val="00CA3335"/>
    <w:rsid w:val="00CA3E86"/>
    <w:rsid w:val="00CA45AE"/>
    <w:rsid w:val="00CA4F29"/>
    <w:rsid w:val="00CA5211"/>
    <w:rsid w:val="00CA6A98"/>
    <w:rsid w:val="00CA74D4"/>
    <w:rsid w:val="00CA7CB3"/>
    <w:rsid w:val="00CB1376"/>
    <w:rsid w:val="00CB297C"/>
    <w:rsid w:val="00CB4A94"/>
    <w:rsid w:val="00CB5536"/>
    <w:rsid w:val="00CB5955"/>
    <w:rsid w:val="00CB5E01"/>
    <w:rsid w:val="00CB6D7A"/>
    <w:rsid w:val="00CB73B7"/>
    <w:rsid w:val="00CC2C51"/>
    <w:rsid w:val="00CC39AB"/>
    <w:rsid w:val="00CC4C8F"/>
    <w:rsid w:val="00CC4E2B"/>
    <w:rsid w:val="00CC51BE"/>
    <w:rsid w:val="00CC688C"/>
    <w:rsid w:val="00CC6EE8"/>
    <w:rsid w:val="00CD1A0F"/>
    <w:rsid w:val="00CD1F5F"/>
    <w:rsid w:val="00CD24A6"/>
    <w:rsid w:val="00CD2E1E"/>
    <w:rsid w:val="00CD34F3"/>
    <w:rsid w:val="00CD3718"/>
    <w:rsid w:val="00CD3F71"/>
    <w:rsid w:val="00CD4D9F"/>
    <w:rsid w:val="00CD5E8B"/>
    <w:rsid w:val="00CD6599"/>
    <w:rsid w:val="00CD7A47"/>
    <w:rsid w:val="00CE1DEF"/>
    <w:rsid w:val="00CE408E"/>
    <w:rsid w:val="00CE4446"/>
    <w:rsid w:val="00CE4932"/>
    <w:rsid w:val="00CE58B7"/>
    <w:rsid w:val="00CE5C5E"/>
    <w:rsid w:val="00CE71F0"/>
    <w:rsid w:val="00CF0293"/>
    <w:rsid w:val="00CF078D"/>
    <w:rsid w:val="00CF079F"/>
    <w:rsid w:val="00CF0DED"/>
    <w:rsid w:val="00CF0FB6"/>
    <w:rsid w:val="00CF1F9F"/>
    <w:rsid w:val="00CF4190"/>
    <w:rsid w:val="00CF4240"/>
    <w:rsid w:val="00CF4283"/>
    <w:rsid w:val="00CF461E"/>
    <w:rsid w:val="00CF65FC"/>
    <w:rsid w:val="00D010AB"/>
    <w:rsid w:val="00D01586"/>
    <w:rsid w:val="00D0207F"/>
    <w:rsid w:val="00D02191"/>
    <w:rsid w:val="00D02CCF"/>
    <w:rsid w:val="00D03115"/>
    <w:rsid w:val="00D0313F"/>
    <w:rsid w:val="00D03B63"/>
    <w:rsid w:val="00D0428B"/>
    <w:rsid w:val="00D07545"/>
    <w:rsid w:val="00D07CF6"/>
    <w:rsid w:val="00D07F4B"/>
    <w:rsid w:val="00D10FD4"/>
    <w:rsid w:val="00D1118C"/>
    <w:rsid w:val="00D12968"/>
    <w:rsid w:val="00D12F83"/>
    <w:rsid w:val="00D132C5"/>
    <w:rsid w:val="00D13C13"/>
    <w:rsid w:val="00D13E77"/>
    <w:rsid w:val="00D145DF"/>
    <w:rsid w:val="00D14B3D"/>
    <w:rsid w:val="00D14D03"/>
    <w:rsid w:val="00D157F8"/>
    <w:rsid w:val="00D1591B"/>
    <w:rsid w:val="00D21542"/>
    <w:rsid w:val="00D21B44"/>
    <w:rsid w:val="00D22177"/>
    <w:rsid w:val="00D2227B"/>
    <w:rsid w:val="00D22A32"/>
    <w:rsid w:val="00D22B0F"/>
    <w:rsid w:val="00D23038"/>
    <w:rsid w:val="00D23441"/>
    <w:rsid w:val="00D23476"/>
    <w:rsid w:val="00D24795"/>
    <w:rsid w:val="00D24DE8"/>
    <w:rsid w:val="00D25620"/>
    <w:rsid w:val="00D26373"/>
    <w:rsid w:val="00D27B4B"/>
    <w:rsid w:val="00D30BA4"/>
    <w:rsid w:val="00D30DC5"/>
    <w:rsid w:val="00D3123B"/>
    <w:rsid w:val="00D31293"/>
    <w:rsid w:val="00D32F90"/>
    <w:rsid w:val="00D332C3"/>
    <w:rsid w:val="00D33BA9"/>
    <w:rsid w:val="00D34F41"/>
    <w:rsid w:val="00D358D0"/>
    <w:rsid w:val="00D35CCC"/>
    <w:rsid w:val="00D36223"/>
    <w:rsid w:val="00D36303"/>
    <w:rsid w:val="00D401F1"/>
    <w:rsid w:val="00D40CCC"/>
    <w:rsid w:val="00D425D1"/>
    <w:rsid w:val="00D42A88"/>
    <w:rsid w:val="00D42D3C"/>
    <w:rsid w:val="00D43497"/>
    <w:rsid w:val="00D440C7"/>
    <w:rsid w:val="00D47213"/>
    <w:rsid w:val="00D47836"/>
    <w:rsid w:val="00D47973"/>
    <w:rsid w:val="00D52294"/>
    <w:rsid w:val="00D52A51"/>
    <w:rsid w:val="00D52D73"/>
    <w:rsid w:val="00D5310E"/>
    <w:rsid w:val="00D5315A"/>
    <w:rsid w:val="00D55704"/>
    <w:rsid w:val="00D55CD9"/>
    <w:rsid w:val="00D565DC"/>
    <w:rsid w:val="00D56B60"/>
    <w:rsid w:val="00D56D38"/>
    <w:rsid w:val="00D57BAD"/>
    <w:rsid w:val="00D6014E"/>
    <w:rsid w:val="00D61FD4"/>
    <w:rsid w:val="00D62053"/>
    <w:rsid w:val="00D62286"/>
    <w:rsid w:val="00D62E25"/>
    <w:rsid w:val="00D655CC"/>
    <w:rsid w:val="00D65D78"/>
    <w:rsid w:val="00D66370"/>
    <w:rsid w:val="00D71281"/>
    <w:rsid w:val="00D722C5"/>
    <w:rsid w:val="00D7262F"/>
    <w:rsid w:val="00D726AE"/>
    <w:rsid w:val="00D72D9F"/>
    <w:rsid w:val="00D734D4"/>
    <w:rsid w:val="00D74654"/>
    <w:rsid w:val="00D755FF"/>
    <w:rsid w:val="00D77091"/>
    <w:rsid w:val="00D8022B"/>
    <w:rsid w:val="00D8096C"/>
    <w:rsid w:val="00D82EEF"/>
    <w:rsid w:val="00D838D7"/>
    <w:rsid w:val="00D844EC"/>
    <w:rsid w:val="00D84A7B"/>
    <w:rsid w:val="00D85220"/>
    <w:rsid w:val="00D852A1"/>
    <w:rsid w:val="00D86B7E"/>
    <w:rsid w:val="00D87AB0"/>
    <w:rsid w:val="00D908BC"/>
    <w:rsid w:val="00D90CFC"/>
    <w:rsid w:val="00D916B1"/>
    <w:rsid w:val="00D9269C"/>
    <w:rsid w:val="00D94611"/>
    <w:rsid w:val="00D94C8A"/>
    <w:rsid w:val="00D950D2"/>
    <w:rsid w:val="00D964B2"/>
    <w:rsid w:val="00D96FCB"/>
    <w:rsid w:val="00D974CF"/>
    <w:rsid w:val="00D979F0"/>
    <w:rsid w:val="00D97B18"/>
    <w:rsid w:val="00DA02CF"/>
    <w:rsid w:val="00DA05EB"/>
    <w:rsid w:val="00DA1823"/>
    <w:rsid w:val="00DA1F33"/>
    <w:rsid w:val="00DA23F7"/>
    <w:rsid w:val="00DA3545"/>
    <w:rsid w:val="00DA45E1"/>
    <w:rsid w:val="00DA485B"/>
    <w:rsid w:val="00DA5539"/>
    <w:rsid w:val="00DA6043"/>
    <w:rsid w:val="00DA65AF"/>
    <w:rsid w:val="00DA680E"/>
    <w:rsid w:val="00DA6D93"/>
    <w:rsid w:val="00DB1177"/>
    <w:rsid w:val="00DB31E1"/>
    <w:rsid w:val="00DB47B6"/>
    <w:rsid w:val="00DB4AA7"/>
    <w:rsid w:val="00DB4C0C"/>
    <w:rsid w:val="00DB6EDC"/>
    <w:rsid w:val="00DC0D78"/>
    <w:rsid w:val="00DC1061"/>
    <w:rsid w:val="00DC141E"/>
    <w:rsid w:val="00DC1566"/>
    <w:rsid w:val="00DC1A8A"/>
    <w:rsid w:val="00DC30F2"/>
    <w:rsid w:val="00DC4622"/>
    <w:rsid w:val="00DC4A1A"/>
    <w:rsid w:val="00DC6564"/>
    <w:rsid w:val="00DC71E9"/>
    <w:rsid w:val="00DC73D8"/>
    <w:rsid w:val="00DC7F34"/>
    <w:rsid w:val="00DD03FD"/>
    <w:rsid w:val="00DD0B86"/>
    <w:rsid w:val="00DD0D5E"/>
    <w:rsid w:val="00DD17E1"/>
    <w:rsid w:val="00DD1857"/>
    <w:rsid w:val="00DD1BA2"/>
    <w:rsid w:val="00DD1F78"/>
    <w:rsid w:val="00DD234F"/>
    <w:rsid w:val="00DD2C3E"/>
    <w:rsid w:val="00DD3694"/>
    <w:rsid w:val="00DD3AE8"/>
    <w:rsid w:val="00DD4714"/>
    <w:rsid w:val="00DD4E8D"/>
    <w:rsid w:val="00DD6E35"/>
    <w:rsid w:val="00DE02FF"/>
    <w:rsid w:val="00DE1A53"/>
    <w:rsid w:val="00DE201F"/>
    <w:rsid w:val="00DE27A5"/>
    <w:rsid w:val="00DE2FCA"/>
    <w:rsid w:val="00DE51FF"/>
    <w:rsid w:val="00DE5F09"/>
    <w:rsid w:val="00DE76D8"/>
    <w:rsid w:val="00DE772F"/>
    <w:rsid w:val="00DF00E4"/>
    <w:rsid w:val="00DF02BB"/>
    <w:rsid w:val="00DF0AD4"/>
    <w:rsid w:val="00DF14B1"/>
    <w:rsid w:val="00DF2711"/>
    <w:rsid w:val="00DF27E9"/>
    <w:rsid w:val="00DF2C4D"/>
    <w:rsid w:val="00DF46D3"/>
    <w:rsid w:val="00DF46F6"/>
    <w:rsid w:val="00DF5354"/>
    <w:rsid w:val="00DF54E1"/>
    <w:rsid w:val="00DF553C"/>
    <w:rsid w:val="00DF5FC4"/>
    <w:rsid w:val="00E005E9"/>
    <w:rsid w:val="00E00920"/>
    <w:rsid w:val="00E0103B"/>
    <w:rsid w:val="00E01045"/>
    <w:rsid w:val="00E0123F"/>
    <w:rsid w:val="00E0260D"/>
    <w:rsid w:val="00E031C7"/>
    <w:rsid w:val="00E04445"/>
    <w:rsid w:val="00E04646"/>
    <w:rsid w:val="00E051DF"/>
    <w:rsid w:val="00E052A3"/>
    <w:rsid w:val="00E06F8E"/>
    <w:rsid w:val="00E07BD9"/>
    <w:rsid w:val="00E10B9E"/>
    <w:rsid w:val="00E11B7C"/>
    <w:rsid w:val="00E130BE"/>
    <w:rsid w:val="00E15740"/>
    <w:rsid w:val="00E171C7"/>
    <w:rsid w:val="00E17B59"/>
    <w:rsid w:val="00E17C71"/>
    <w:rsid w:val="00E213DC"/>
    <w:rsid w:val="00E214E0"/>
    <w:rsid w:val="00E2201B"/>
    <w:rsid w:val="00E226CE"/>
    <w:rsid w:val="00E229D9"/>
    <w:rsid w:val="00E2382D"/>
    <w:rsid w:val="00E2386B"/>
    <w:rsid w:val="00E24449"/>
    <w:rsid w:val="00E24F72"/>
    <w:rsid w:val="00E25585"/>
    <w:rsid w:val="00E26190"/>
    <w:rsid w:val="00E2635A"/>
    <w:rsid w:val="00E2725C"/>
    <w:rsid w:val="00E309AE"/>
    <w:rsid w:val="00E31D5E"/>
    <w:rsid w:val="00E31E1F"/>
    <w:rsid w:val="00E31F07"/>
    <w:rsid w:val="00E325F1"/>
    <w:rsid w:val="00E3270F"/>
    <w:rsid w:val="00E32D99"/>
    <w:rsid w:val="00E32DC2"/>
    <w:rsid w:val="00E32EEC"/>
    <w:rsid w:val="00E33778"/>
    <w:rsid w:val="00E33EC3"/>
    <w:rsid w:val="00E35120"/>
    <w:rsid w:val="00E36112"/>
    <w:rsid w:val="00E36402"/>
    <w:rsid w:val="00E365FF"/>
    <w:rsid w:val="00E37046"/>
    <w:rsid w:val="00E377C6"/>
    <w:rsid w:val="00E37C12"/>
    <w:rsid w:val="00E40464"/>
    <w:rsid w:val="00E4078A"/>
    <w:rsid w:val="00E412FC"/>
    <w:rsid w:val="00E42308"/>
    <w:rsid w:val="00E42526"/>
    <w:rsid w:val="00E43EC1"/>
    <w:rsid w:val="00E440BA"/>
    <w:rsid w:val="00E44EDC"/>
    <w:rsid w:val="00E44EDE"/>
    <w:rsid w:val="00E45AEF"/>
    <w:rsid w:val="00E4611C"/>
    <w:rsid w:val="00E4618F"/>
    <w:rsid w:val="00E466C4"/>
    <w:rsid w:val="00E473FB"/>
    <w:rsid w:val="00E508F1"/>
    <w:rsid w:val="00E51237"/>
    <w:rsid w:val="00E51781"/>
    <w:rsid w:val="00E51FDA"/>
    <w:rsid w:val="00E53CD6"/>
    <w:rsid w:val="00E54262"/>
    <w:rsid w:val="00E544C6"/>
    <w:rsid w:val="00E54A46"/>
    <w:rsid w:val="00E54AA9"/>
    <w:rsid w:val="00E55B87"/>
    <w:rsid w:val="00E5769D"/>
    <w:rsid w:val="00E579BC"/>
    <w:rsid w:val="00E60147"/>
    <w:rsid w:val="00E6225E"/>
    <w:rsid w:val="00E6520D"/>
    <w:rsid w:val="00E65485"/>
    <w:rsid w:val="00E65A3D"/>
    <w:rsid w:val="00E666FD"/>
    <w:rsid w:val="00E6762C"/>
    <w:rsid w:val="00E6784A"/>
    <w:rsid w:val="00E6794D"/>
    <w:rsid w:val="00E67F3E"/>
    <w:rsid w:val="00E704ED"/>
    <w:rsid w:val="00E72A4A"/>
    <w:rsid w:val="00E733D7"/>
    <w:rsid w:val="00E733EF"/>
    <w:rsid w:val="00E73A2C"/>
    <w:rsid w:val="00E73D7D"/>
    <w:rsid w:val="00E73FAA"/>
    <w:rsid w:val="00E74414"/>
    <w:rsid w:val="00E74618"/>
    <w:rsid w:val="00E7464C"/>
    <w:rsid w:val="00E75272"/>
    <w:rsid w:val="00E7555D"/>
    <w:rsid w:val="00E75BC2"/>
    <w:rsid w:val="00E76052"/>
    <w:rsid w:val="00E7611E"/>
    <w:rsid w:val="00E7646A"/>
    <w:rsid w:val="00E80693"/>
    <w:rsid w:val="00E80772"/>
    <w:rsid w:val="00E808CA"/>
    <w:rsid w:val="00E82FBD"/>
    <w:rsid w:val="00E83CB2"/>
    <w:rsid w:val="00E84677"/>
    <w:rsid w:val="00E84B25"/>
    <w:rsid w:val="00E84CA5"/>
    <w:rsid w:val="00E84D9E"/>
    <w:rsid w:val="00E858B0"/>
    <w:rsid w:val="00E87879"/>
    <w:rsid w:val="00E87E24"/>
    <w:rsid w:val="00E91891"/>
    <w:rsid w:val="00E918CA"/>
    <w:rsid w:val="00E91F4D"/>
    <w:rsid w:val="00E923B8"/>
    <w:rsid w:val="00E92642"/>
    <w:rsid w:val="00E9265A"/>
    <w:rsid w:val="00E93416"/>
    <w:rsid w:val="00E93559"/>
    <w:rsid w:val="00E937D3"/>
    <w:rsid w:val="00EA0119"/>
    <w:rsid w:val="00EA14D8"/>
    <w:rsid w:val="00EA1847"/>
    <w:rsid w:val="00EA1ADF"/>
    <w:rsid w:val="00EA20C1"/>
    <w:rsid w:val="00EA23C5"/>
    <w:rsid w:val="00EA2DE7"/>
    <w:rsid w:val="00EA3984"/>
    <w:rsid w:val="00EA3BF6"/>
    <w:rsid w:val="00EA4B3B"/>
    <w:rsid w:val="00EA4E92"/>
    <w:rsid w:val="00EA5183"/>
    <w:rsid w:val="00EA7C57"/>
    <w:rsid w:val="00EA7DA3"/>
    <w:rsid w:val="00EB0523"/>
    <w:rsid w:val="00EB086A"/>
    <w:rsid w:val="00EB08F9"/>
    <w:rsid w:val="00EB1369"/>
    <w:rsid w:val="00EB2A43"/>
    <w:rsid w:val="00EB37CE"/>
    <w:rsid w:val="00EB431C"/>
    <w:rsid w:val="00EB60EB"/>
    <w:rsid w:val="00EB720E"/>
    <w:rsid w:val="00EB7990"/>
    <w:rsid w:val="00EC0E16"/>
    <w:rsid w:val="00EC0F01"/>
    <w:rsid w:val="00EC11CC"/>
    <w:rsid w:val="00EC130D"/>
    <w:rsid w:val="00EC1D10"/>
    <w:rsid w:val="00EC1FB3"/>
    <w:rsid w:val="00EC2EF0"/>
    <w:rsid w:val="00EC395E"/>
    <w:rsid w:val="00EC4312"/>
    <w:rsid w:val="00EC4809"/>
    <w:rsid w:val="00EC48FB"/>
    <w:rsid w:val="00EC575D"/>
    <w:rsid w:val="00EC7849"/>
    <w:rsid w:val="00ED0300"/>
    <w:rsid w:val="00ED09AD"/>
    <w:rsid w:val="00ED0CB8"/>
    <w:rsid w:val="00ED2A0C"/>
    <w:rsid w:val="00ED3A4B"/>
    <w:rsid w:val="00ED3A55"/>
    <w:rsid w:val="00ED41FD"/>
    <w:rsid w:val="00ED4E5C"/>
    <w:rsid w:val="00ED5E10"/>
    <w:rsid w:val="00ED70FB"/>
    <w:rsid w:val="00ED74D3"/>
    <w:rsid w:val="00EE026F"/>
    <w:rsid w:val="00EE04E2"/>
    <w:rsid w:val="00EE197E"/>
    <w:rsid w:val="00EE238E"/>
    <w:rsid w:val="00EE2940"/>
    <w:rsid w:val="00EE29F3"/>
    <w:rsid w:val="00EE2AC0"/>
    <w:rsid w:val="00EE37D5"/>
    <w:rsid w:val="00EE5CBA"/>
    <w:rsid w:val="00EE64C6"/>
    <w:rsid w:val="00EE6A0F"/>
    <w:rsid w:val="00EE6BC1"/>
    <w:rsid w:val="00EF0A55"/>
    <w:rsid w:val="00EF0EAA"/>
    <w:rsid w:val="00EF16DE"/>
    <w:rsid w:val="00EF24CE"/>
    <w:rsid w:val="00EF25C6"/>
    <w:rsid w:val="00EF3EA3"/>
    <w:rsid w:val="00EF79E5"/>
    <w:rsid w:val="00F02051"/>
    <w:rsid w:val="00F02C98"/>
    <w:rsid w:val="00F02D11"/>
    <w:rsid w:val="00F02E3E"/>
    <w:rsid w:val="00F035C1"/>
    <w:rsid w:val="00F0429C"/>
    <w:rsid w:val="00F0442E"/>
    <w:rsid w:val="00F05191"/>
    <w:rsid w:val="00F05707"/>
    <w:rsid w:val="00F05723"/>
    <w:rsid w:val="00F05E88"/>
    <w:rsid w:val="00F06465"/>
    <w:rsid w:val="00F075D8"/>
    <w:rsid w:val="00F07B46"/>
    <w:rsid w:val="00F10704"/>
    <w:rsid w:val="00F10998"/>
    <w:rsid w:val="00F10E74"/>
    <w:rsid w:val="00F114B4"/>
    <w:rsid w:val="00F1397A"/>
    <w:rsid w:val="00F13FC1"/>
    <w:rsid w:val="00F141C1"/>
    <w:rsid w:val="00F14636"/>
    <w:rsid w:val="00F14867"/>
    <w:rsid w:val="00F151CF"/>
    <w:rsid w:val="00F17297"/>
    <w:rsid w:val="00F174A5"/>
    <w:rsid w:val="00F22A39"/>
    <w:rsid w:val="00F23E0A"/>
    <w:rsid w:val="00F24202"/>
    <w:rsid w:val="00F2436D"/>
    <w:rsid w:val="00F248EC"/>
    <w:rsid w:val="00F24C38"/>
    <w:rsid w:val="00F266AF"/>
    <w:rsid w:val="00F269B1"/>
    <w:rsid w:val="00F27794"/>
    <w:rsid w:val="00F278E0"/>
    <w:rsid w:val="00F27996"/>
    <w:rsid w:val="00F27BEB"/>
    <w:rsid w:val="00F302D2"/>
    <w:rsid w:val="00F317D5"/>
    <w:rsid w:val="00F3244A"/>
    <w:rsid w:val="00F34500"/>
    <w:rsid w:val="00F357F4"/>
    <w:rsid w:val="00F3587C"/>
    <w:rsid w:val="00F3618C"/>
    <w:rsid w:val="00F362C1"/>
    <w:rsid w:val="00F363C1"/>
    <w:rsid w:val="00F37E69"/>
    <w:rsid w:val="00F429AE"/>
    <w:rsid w:val="00F43059"/>
    <w:rsid w:val="00F43AB5"/>
    <w:rsid w:val="00F44640"/>
    <w:rsid w:val="00F4505E"/>
    <w:rsid w:val="00F46E42"/>
    <w:rsid w:val="00F475C4"/>
    <w:rsid w:val="00F5026A"/>
    <w:rsid w:val="00F50363"/>
    <w:rsid w:val="00F510AC"/>
    <w:rsid w:val="00F510D9"/>
    <w:rsid w:val="00F510F0"/>
    <w:rsid w:val="00F51A6C"/>
    <w:rsid w:val="00F52DBE"/>
    <w:rsid w:val="00F52EC6"/>
    <w:rsid w:val="00F532F7"/>
    <w:rsid w:val="00F53875"/>
    <w:rsid w:val="00F53D3E"/>
    <w:rsid w:val="00F540BF"/>
    <w:rsid w:val="00F543DB"/>
    <w:rsid w:val="00F54ACC"/>
    <w:rsid w:val="00F55020"/>
    <w:rsid w:val="00F551E8"/>
    <w:rsid w:val="00F569D8"/>
    <w:rsid w:val="00F56A41"/>
    <w:rsid w:val="00F579EF"/>
    <w:rsid w:val="00F60B0F"/>
    <w:rsid w:val="00F612C5"/>
    <w:rsid w:val="00F61463"/>
    <w:rsid w:val="00F61A56"/>
    <w:rsid w:val="00F61ECF"/>
    <w:rsid w:val="00F62127"/>
    <w:rsid w:val="00F62F85"/>
    <w:rsid w:val="00F6303C"/>
    <w:rsid w:val="00F63731"/>
    <w:rsid w:val="00F64613"/>
    <w:rsid w:val="00F66159"/>
    <w:rsid w:val="00F661D3"/>
    <w:rsid w:val="00F6652F"/>
    <w:rsid w:val="00F66C1F"/>
    <w:rsid w:val="00F66DED"/>
    <w:rsid w:val="00F67661"/>
    <w:rsid w:val="00F703EC"/>
    <w:rsid w:val="00F72A90"/>
    <w:rsid w:val="00F72C20"/>
    <w:rsid w:val="00F741B3"/>
    <w:rsid w:val="00F74738"/>
    <w:rsid w:val="00F748EC"/>
    <w:rsid w:val="00F7543A"/>
    <w:rsid w:val="00F75799"/>
    <w:rsid w:val="00F75E61"/>
    <w:rsid w:val="00F75E9C"/>
    <w:rsid w:val="00F7715A"/>
    <w:rsid w:val="00F81249"/>
    <w:rsid w:val="00F819F1"/>
    <w:rsid w:val="00F8305F"/>
    <w:rsid w:val="00F85530"/>
    <w:rsid w:val="00F85696"/>
    <w:rsid w:val="00F86BB0"/>
    <w:rsid w:val="00F86C3C"/>
    <w:rsid w:val="00F86CCE"/>
    <w:rsid w:val="00F87B1B"/>
    <w:rsid w:val="00F90011"/>
    <w:rsid w:val="00F9021A"/>
    <w:rsid w:val="00F924B5"/>
    <w:rsid w:val="00F93EAE"/>
    <w:rsid w:val="00F95675"/>
    <w:rsid w:val="00F97BB6"/>
    <w:rsid w:val="00FA03E8"/>
    <w:rsid w:val="00FA0830"/>
    <w:rsid w:val="00FA3B41"/>
    <w:rsid w:val="00FA3C0C"/>
    <w:rsid w:val="00FA4185"/>
    <w:rsid w:val="00FA4343"/>
    <w:rsid w:val="00FA52BE"/>
    <w:rsid w:val="00FA5B5D"/>
    <w:rsid w:val="00FA60A2"/>
    <w:rsid w:val="00FA75FE"/>
    <w:rsid w:val="00FB15B6"/>
    <w:rsid w:val="00FB20FD"/>
    <w:rsid w:val="00FB43BA"/>
    <w:rsid w:val="00FB462A"/>
    <w:rsid w:val="00FB59F9"/>
    <w:rsid w:val="00FB5CB5"/>
    <w:rsid w:val="00FB5E18"/>
    <w:rsid w:val="00FB7392"/>
    <w:rsid w:val="00FB7615"/>
    <w:rsid w:val="00FB7A00"/>
    <w:rsid w:val="00FB7EF4"/>
    <w:rsid w:val="00FC029D"/>
    <w:rsid w:val="00FC184D"/>
    <w:rsid w:val="00FC1C74"/>
    <w:rsid w:val="00FC2A59"/>
    <w:rsid w:val="00FC3CE6"/>
    <w:rsid w:val="00FC4F89"/>
    <w:rsid w:val="00FC5AE4"/>
    <w:rsid w:val="00FC68B3"/>
    <w:rsid w:val="00FD0313"/>
    <w:rsid w:val="00FD0DCA"/>
    <w:rsid w:val="00FD2159"/>
    <w:rsid w:val="00FD2990"/>
    <w:rsid w:val="00FD4240"/>
    <w:rsid w:val="00FD5588"/>
    <w:rsid w:val="00FD6EDB"/>
    <w:rsid w:val="00FD7807"/>
    <w:rsid w:val="00FE008A"/>
    <w:rsid w:val="00FE15DF"/>
    <w:rsid w:val="00FE1AE0"/>
    <w:rsid w:val="00FE2010"/>
    <w:rsid w:val="00FE30F0"/>
    <w:rsid w:val="00FE347A"/>
    <w:rsid w:val="00FE3694"/>
    <w:rsid w:val="00FE3E87"/>
    <w:rsid w:val="00FE46F4"/>
    <w:rsid w:val="00FE68E8"/>
    <w:rsid w:val="00FE76B2"/>
    <w:rsid w:val="00FE7C05"/>
    <w:rsid w:val="00FF0EA0"/>
    <w:rsid w:val="00FF10B2"/>
    <w:rsid w:val="00FF19A0"/>
    <w:rsid w:val="00FF1AFE"/>
    <w:rsid w:val="00FF2E22"/>
    <w:rsid w:val="00FF3674"/>
    <w:rsid w:val="00FF574D"/>
    <w:rsid w:val="00FF6DEE"/>
    <w:rsid w:val="00FF7016"/>
    <w:rsid w:val="00FF7598"/>
    <w:rsid w:val="00FF7F3B"/>
    <w:rsid w:val="031AF279"/>
    <w:rsid w:val="0517CE75"/>
    <w:rsid w:val="06CD012D"/>
    <w:rsid w:val="07CCBF09"/>
    <w:rsid w:val="085FE54C"/>
    <w:rsid w:val="08BE5D79"/>
    <w:rsid w:val="09F8C593"/>
    <w:rsid w:val="0A0C787C"/>
    <w:rsid w:val="0BCF35D6"/>
    <w:rsid w:val="0C7B1934"/>
    <w:rsid w:val="0D0DB10C"/>
    <w:rsid w:val="0DD624B4"/>
    <w:rsid w:val="0DEDF195"/>
    <w:rsid w:val="0EC840EE"/>
    <w:rsid w:val="0F0F830F"/>
    <w:rsid w:val="0F2F60FA"/>
    <w:rsid w:val="0F5748C7"/>
    <w:rsid w:val="104890B3"/>
    <w:rsid w:val="105FDE0F"/>
    <w:rsid w:val="11132C70"/>
    <w:rsid w:val="11403CD6"/>
    <w:rsid w:val="13C5C539"/>
    <w:rsid w:val="144083AD"/>
    <w:rsid w:val="1491A62C"/>
    <w:rsid w:val="14961AE3"/>
    <w:rsid w:val="15A38523"/>
    <w:rsid w:val="1639454C"/>
    <w:rsid w:val="1755723C"/>
    <w:rsid w:val="17971550"/>
    <w:rsid w:val="184F0827"/>
    <w:rsid w:val="18AF6548"/>
    <w:rsid w:val="1A9C8E28"/>
    <w:rsid w:val="1B2B2BD0"/>
    <w:rsid w:val="1B608DDE"/>
    <w:rsid w:val="1B77F339"/>
    <w:rsid w:val="1B7E78D8"/>
    <w:rsid w:val="1B91A062"/>
    <w:rsid w:val="1C801DE7"/>
    <w:rsid w:val="1C9493AC"/>
    <w:rsid w:val="1CB1614C"/>
    <w:rsid w:val="1D546A45"/>
    <w:rsid w:val="1DDE72BE"/>
    <w:rsid w:val="1EFAE3E4"/>
    <w:rsid w:val="1F4C3A55"/>
    <w:rsid w:val="1FDADAE3"/>
    <w:rsid w:val="20F01750"/>
    <w:rsid w:val="21C62FFE"/>
    <w:rsid w:val="21DE1390"/>
    <w:rsid w:val="22494C52"/>
    <w:rsid w:val="23800BD0"/>
    <w:rsid w:val="2405E719"/>
    <w:rsid w:val="24B23B8E"/>
    <w:rsid w:val="25C38D46"/>
    <w:rsid w:val="2707EF1D"/>
    <w:rsid w:val="27F24E35"/>
    <w:rsid w:val="285F3969"/>
    <w:rsid w:val="2A0FF882"/>
    <w:rsid w:val="2D56F78A"/>
    <w:rsid w:val="2E0E1C4E"/>
    <w:rsid w:val="2E6273EA"/>
    <w:rsid w:val="2FDADCD8"/>
    <w:rsid w:val="2FE4BBB4"/>
    <w:rsid w:val="305CF731"/>
    <w:rsid w:val="3076C611"/>
    <w:rsid w:val="3080195D"/>
    <w:rsid w:val="31DBFB61"/>
    <w:rsid w:val="33FA43A5"/>
    <w:rsid w:val="347CD5BC"/>
    <w:rsid w:val="3750FD57"/>
    <w:rsid w:val="37EA8763"/>
    <w:rsid w:val="387A1B5F"/>
    <w:rsid w:val="38CD3A00"/>
    <w:rsid w:val="392967CC"/>
    <w:rsid w:val="3B7F0AA6"/>
    <w:rsid w:val="3B9849D9"/>
    <w:rsid w:val="3C4B0FC8"/>
    <w:rsid w:val="3C6E1CD1"/>
    <w:rsid w:val="3C7B8539"/>
    <w:rsid w:val="3EC936FC"/>
    <w:rsid w:val="40483723"/>
    <w:rsid w:val="40E1D5F7"/>
    <w:rsid w:val="413F4C1D"/>
    <w:rsid w:val="413FCC13"/>
    <w:rsid w:val="417DEE8C"/>
    <w:rsid w:val="41E51030"/>
    <w:rsid w:val="44BD1ECA"/>
    <w:rsid w:val="452222B8"/>
    <w:rsid w:val="45AA9D9D"/>
    <w:rsid w:val="4651D6CA"/>
    <w:rsid w:val="4655DEA0"/>
    <w:rsid w:val="46A463A6"/>
    <w:rsid w:val="46E88A43"/>
    <w:rsid w:val="477EDBE4"/>
    <w:rsid w:val="488A6369"/>
    <w:rsid w:val="491510A2"/>
    <w:rsid w:val="4D33C152"/>
    <w:rsid w:val="4D399094"/>
    <w:rsid w:val="4D864DEE"/>
    <w:rsid w:val="4DE4EBEF"/>
    <w:rsid w:val="4F654DC9"/>
    <w:rsid w:val="4F6A92E6"/>
    <w:rsid w:val="50521E70"/>
    <w:rsid w:val="506005A0"/>
    <w:rsid w:val="50B08A94"/>
    <w:rsid w:val="518FB0D8"/>
    <w:rsid w:val="522E2947"/>
    <w:rsid w:val="53801C22"/>
    <w:rsid w:val="53D8408E"/>
    <w:rsid w:val="53DA4708"/>
    <w:rsid w:val="54477E22"/>
    <w:rsid w:val="5636F03E"/>
    <w:rsid w:val="56A46E62"/>
    <w:rsid w:val="56D8FEFF"/>
    <w:rsid w:val="56DFD8A0"/>
    <w:rsid w:val="57183B71"/>
    <w:rsid w:val="589DF39A"/>
    <w:rsid w:val="5946FA53"/>
    <w:rsid w:val="5AA2CD0B"/>
    <w:rsid w:val="5C43C8EC"/>
    <w:rsid w:val="5C56A929"/>
    <w:rsid w:val="5C672187"/>
    <w:rsid w:val="5EF69D99"/>
    <w:rsid w:val="5F0D7FF6"/>
    <w:rsid w:val="5F8DCC6A"/>
    <w:rsid w:val="5FF8DA1B"/>
    <w:rsid w:val="60636D44"/>
    <w:rsid w:val="610892DF"/>
    <w:rsid w:val="614DFEAF"/>
    <w:rsid w:val="614EDD97"/>
    <w:rsid w:val="61E208F9"/>
    <w:rsid w:val="624D8694"/>
    <w:rsid w:val="6381799D"/>
    <w:rsid w:val="63D20CA7"/>
    <w:rsid w:val="65ADAA47"/>
    <w:rsid w:val="68919C59"/>
    <w:rsid w:val="68A0A1B3"/>
    <w:rsid w:val="6945261B"/>
    <w:rsid w:val="694F40EE"/>
    <w:rsid w:val="6ABD2EB9"/>
    <w:rsid w:val="6B4501FD"/>
    <w:rsid w:val="6BAB301E"/>
    <w:rsid w:val="6BBDAF15"/>
    <w:rsid w:val="6C4ADDBE"/>
    <w:rsid w:val="6C8ADFA5"/>
    <w:rsid w:val="6C9C9B6F"/>
    <w:rsid w:val="6CAD9FD7"/>
    <w:rsid w:val="6CB0A01E"/>
    <w:rsid w:val="6DD7B13D"/>
    <w:rsid w:val="6FC66195"/>
    <w:rsid w:val="7119C250"/>
    <w:rsid w:val="71E07B33"/>
    <w:rsid w:val="71F0E110"/>
    <w:rsid w:val="72027CCA"/>
    <w:rsid w:val="72EC63B3"/>
    <w:rsid w:val="73A74B00"/>
    <w:rsid w:val="74D3B680"/>
    <w:rsid w:val="74EC210B"/>
    <w:rsid w:val="75F81D31"/>
    <w:rsid w:val="76E8B94A"/>
    <w:rsid w:val="77EDC1E3"/>
    <w:rsid w:val="7C7AC5D1"/>
    <w:rsid w:val="7CEEAB60"/>
    <w:rsid w:val="7E7B098F"/>
    <w:rsid w:val="7F1ABEB4"/>
    <w:rsid w:val="7F43EA57"/>
    <w:rsid w:val="7F8DAC8E"/>
    <w:rsid w:val="7FA3FFFC"/>
    <w:rsid w:val="7FA4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F69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550"/>
    <w:pPr>
      <w:tabs>
        <w:tab w:val="left" w:pos="567"/>
      </w:tabs>
      <w:spacing w:before="120" w:line="254" w:lineRule="auto"/>
    </w:pPr>
    <w:rPr>
      <w:rFonts w:ascii="Open Sans Light" w:hAnsi="Open Sans Light"/>
      <w:sz w:val="20"/>
      <w:szCs w:val="22"/>
    </w:rPr>
  </w:style>
  <w:style w:type="paragraph" w:styleId="Heading1">
    <w:name w:val="heading 1"/>
    <w:basedOn w:val="CGCSubHead"/>
    <w:next w:val="Normal"/>
    <w:link w:val="Heading1Char"/>
    <w:uiPriority w:val="9"/>
    <w:qFormat/>
    <w:rsid w:val="00F8305F"/>
    <w:pPr>
      <w:spacing w:before="360"/>
      <w:outlineLvl w:val="0"/>
    </w:pPr>
    <w:rPr>
      <w:sz w:val="40"/>
      <w:szCs w:val="40"/>
    </w:rPr>
  </w:style>
  <w:style w:type="paragraph" w:styleId="Heading2">
    <w:name w:val="heading 2"/>
    <w:basedOn w:val="CGCSubHead"/>
    <w:next w:val="Normal"/>
    <w:link w:val="Heading2Char"/>
    <w:uiPriority w:val="9"/>
    <w:unhideWhenUsed/>
    <w:qFormat/>
    <w:rsid w:val="00F8305F"/>
    <w:pPr>
      <w:spacing w:before="360"/>
      <w:outlineLvl w:val="1"/>
    </w:pPr>
    <w:rPr>
      <w:sz w:val="36"/>
      <w:szCs w:val="36"/>
    </w:rPr>
  </w:style>
  <w:style w:type="paragraph" w:styleId="Heading3">
    <w:name w:val="heading 3"/>
    <w:basedOn w:val="CGCSubHead"/>
    <w:next w:val="Normal"/>
    <w:link w:val="Heading3Char"/>
    <w:uiPriority w:val="9"/>
    <w:unhideWhenUsed/>
    <w:qFormat/>
    <w:rsid w:val="00F8305F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2520"/>
    <w:pPr>
      <w:keepNext/>
      <w:keepLines/>
      <w:spacing w:before="240" w:after="120"/>
      <w:outlineLvl w:val="3"/>
    </w:pPr>
    <w:rPr>
      <w:rFonts w:ascii="Work Sans" w:eastAsiaTheme="majorEastAsia" w:hAnsi="Work Sans" w:cstheme="majorBidi"/>
      <w:i/>
      <w:iCs/>
      <w:color w:val="00334A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5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0550"/>
  </w:style>
  <w:style w:type="paragraph" w:styleId="Footer">
    <w:name w:val="footer"/>
    <w:basedOn w:val="Normal"/>
    <w:link w:val="FooterChar"/>
    <w:uiPriority w:val="99"/>
    <w:unhideWhenUsed/>
    <w:rsid w:val="005C05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550"/>
  </w:style>
  <w:style w:type="paragraph" w:styleId="Caption">
    <w:name w:val="caption"/>
    <w:basedOn w:val="Normal"/>
    <w:next w:val="Normal"/>
    <w:link w:val="CaptionChar"/>
    <w:qFormat/>
    <w:rsid w:val="0071146B"/>
    <w:pPr>
      <w:keepNext/>
      <w:keepLines/>
      <w:tabs>
        <w:tab w:val="clear" w:pos="567"/>
        <w:tab w:val="left" w:pos="1134"/>
        <w:tab w:val="left" w:pos="1418"/>
      </w:tabs>
      <w:spacing w:before="240" w:after="120" w:line="240" w:lineRule="auto"/>
      <w:ind w:left="1134" w:hanging="1134"/>
    </w:pPr>
    <w:rPr>
      <w:rFonts w:ascii="Work Sans" w:hAnsi="Work Sans"/>
      <w:b/>
      <w:bCs/>
      <w:sz w:val="24"/>
      <w:szCs w:val="24"/>
    </w:rPr>
  </w:style>
  <w:style w:type="character" w:customStyle="1" w:styleId="CaptionChar">
    <w:name w:val="Caption Char"/>
    <w:basedOn w:val="DefaultParagraphFont"/>
    <w:link w:val="Caption"/>
    <w:rsid w:val="0071146B"/>
    <w:rPr>
      <w:rFonts w:ascii="Work Sans" w:hAnsi="Work Sans"/>
      <w:b/>
      <w:bCs/>
    </w:rPr>
  </w:style>
  <w:style w:type="paragraph" w:customStyle="1" w:styleId="CGCTablenote">
    <w:name w:val="CGC Table note"/>
    <w:basedOn w:val="Normal"/>
    <w:next w:val="Normal"/>
    <w:qFormat/>
    <w:rsid w:val="005C0550"/>
    <w:pPr>
      <w:tabs>
        <w:tab w:val="left" w:pos="680"/>
      </w:tabs>
      <w:spacing w:before="40" w:line="240" w:lineRule="auto"/>
      <w:ind w:left="340" w:hanging="227"/>
    </w:pPr>
    <w:rPr>
      <w:sz w:val="14"/>
    </w:rPr>
  </w:style>
  <w:style w:type="paragraph" w:styleId="BodyText">
    <w:name w:val="Body Text"/>
    <w:link w:val="BodyTextChar"/>
    <w:qFormat/>
    <w:rsid w:val="00643F32"/>
    <w:pPr>
      <w:spacing w:before="240" w:line="300" w:lineRule="atLeast"/>
      <w:jc w:val="both"/>
    </w:pPr>
    <w:rPr>
      <w:rFonts w:ascii="Open Sans Light" w:eastAsia="Times New Roman" w:hAnsi="Open Sans Light" w:cs="Times New Roman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643F32"/>
    <w:rPr>
      <w:rFonts w:ascii="Open Sans Light" w:eastAsia="Times New Roman" w:hAnsi="Open Sans Light" w:cs="Times New Roman"/>
      <w:sz w:val="20"/>
      <w:szCs w:val="20"/>
      <w:lang w:eastAsia="en-AU"/>
    </w:rPr>
  </w:style>
  <w:style w:type="character" w:customStyle="1" w:styleId="normaltextrun">
    <w:name w:val="normaltextrun"/>
    <w:basedOn w:val="DefaultParagraphFont"/>
    <w:rsid w:val="005C0550"/>
  </w:style>
  <w:style w:type="paragraph" w:customStyle="1" w:styleId="CGCBodyCopy">
    <w:name w:val="CGC Body Copy"/>
    <w:basedOn w:val="Normal"/>
    <w:link w:val="CGCBodyCopyChar"/>
    <w:autoRedefine/>
    <w:qFormat/>
    <w:rsid w:val="00643F32"/>
    <w:pPr>
      <w:jc w:val="both"/>
    </w:pPr>
    <w:rPr>
      <w:rFonts w:ascii="Work Sans" w:hAnsi="Work Sans" w:cs="Cambria Math"/>
      <w:color w:val="000000"/>
      <w:szCs w:val="21"/>
      <w:shd w:val="clear" w:color="auto" w:fill="FFFFFF"/>
    </w:rPr>
  </w:style>
  <w:style w:type="paragraph" w:customStyle="1" w:styleId="CGCSubHead">
    <w:name w:val="CGC Sub Head"/>
    <w:autoRedefine/>
    <w:qFormat/>
    <w:rsid w:val="00F8305F"/>
    <w:pPr>
      <w:spacing w:before="240" w:after="200" w:line="276" w:lineRule="auto"/>
    </w:pPr>
    <w:rPr>
      <w:rFonts w:ascii="Work Sans" w:eastAsiaTheme="majorEastAsia" w:hAnsi="Work Sans" w:cs="Open Sans"/>
      <w:b/>
      <w:bCs/>
      <w:color w:val="0069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B3F9B"/>
    <w:rPr>
      <w:color w:val="00699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F9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8B3F9B"/>
  </w:style>
  <w:style w:type="character" w:customStyle="1" w:styleId="Heading1Char">
    <w:name w:val="Heading 1 Char"/>
    <w:basedOn w:val="DefaultParagraphFont"/>
    <w:link w:val="Heading1"/>
    <w:uiPriority w:val="9"/>
    <w:rsid w:val="00F8305F"/>
    <w:rPr>
      <w:rFonts w:ascii="Work Sans" w:eastAsiaTheme="majorEastAsia" w:hAnsi="Work Sans" w:cs="Open Sans"/>
      <w:b/>
      <w:bCs/>
      <w:color w:val="00699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305F"/>
    <w:rPr>
      <w:rFonts w:ascii="Work Sans" w:eastAsiaTheme="majorEastAsia" w:hAnsi="Work Sans" w:cs="Open Sans"/>
      <w:b/>
      <w:bCs/>
      <w:color w:val="00699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305F"/>
    <w:rPr>
      <w:rFonts w:ascii="Work Sans" w:eastAsiaTheme="majorEastAsia" w:hAnsi="Work Sans" w:cs="Open Sans"/>
      <w:b/>
      <w:bCs/>
      <w:color w:val="006991"/>
      <w:sz w:val="28"/>
      <w:szCs w:val="28"/>
    </w:rPr>
  </w:style>
  <w:style w:type="paragraph" w:styleId="NormalWeb">
    <w:name w:val="Normal (Web)"/>
    <w:basedOn w:val="Normal"/>
    <w:uiPriority w:val="99"/>
    <w:unhideWhenUsed/>
    <w:rsid w:val="00C87C4C"/>
    <w:pPr>
      <w:tabs>
        <w:tab w:val="clear" w:pos="56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1542"/>
    <w:pPr>
      <w:spacing w:before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1542"/>
    <w:rPr>
      <w:rFonts w:ascii="Open Sans Light" w:hAnsi="Open Sans Light"/>
      <w:sz w:val="20"/>
      <w:szCs w:val="20"/>
    </w:rPr>
  </w:style>
  <w:style w:type="character" w:styleId="FootnoteReference">
    <w:name w:val="footnote reference"/>
    <w:unhideWhenUsed/>
    <w:qFormat/>
    <w:rsid w:val="00143AA2"/>
    <w:rPr>
      <w:rFonts w:ascii="Work Sans" w:hAnsi="Work Sans"/>
      <w:sz w:val="16"/>
      <w:szCs w:val="16"/>
    </w:rPr>
  </w:style>
  <w:style w:type="paragraph" w:styleId="ListParagraph">
    <w:name w:val="List Paragraph"/>
    <w:basedOn w:val="Normal"/>
    <w:uiPriority w:val="34"/>
    <w:qFormat/>
    <w:rsid w:val="001A269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12520"/>
    <w:rPr>
      <w:rFonts w:ascii="Work Sans" w:eastAsiaTheme="majorEastAsia" w:hAnsi="Work Sans" w:cstheme="majorBidi"/>
      <w:i/>
      <w:iCs/>
      <w:color w:val="00334A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B75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5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538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538"/>
    <w:rPr>
      <w:rFonts w:ascii="Open Sans Light" w:hAnsi="Open Sans Light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7538"/>
    <w:rPr>
      <w:rFonts w:ascii="Open Sans Light" w:hAnsi="Open Sans Light"/>
      <w:sz w:val="20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C846E8"/>
    <w:rPr>
      <w:color w:val="93EA9E" w:themeColor="followedHyperlink"/>
      <w:u w:val="single"/>
    </w:rPr>
  </w:style>
  <w:style w:type="paragraph" w:customStyle="1" w:styleId="Bullet">
    <w:name w:val="Bullet"/>
    <w:basedOn w:val="Normal"/>
    <w:link w:val="BulletChar"/>
    <w:rsid w:val="004174B9"/>
    <w:pPr>
      <w:numPr>
        <w:numId w:val="3"/>
      </w:numPr>
    </w:pPr>
    <w:rPr>
      <w:rFonts w:cs="Cambria Math"/>
      <w:color w:val="000000"/>
      <w:szCs w:val="20"/>
    </w:rPr>
  </w:style>
  <w:style w:type="character" w:customStyle="1" w:styleId="CGCBodyCopyChar">
    <w:name w:val="CGC Body Copy Char"/>
    <w:basedOn w:val="DefaultParagraphFont"/>
    <w:link w:val="CGCBodyCopy"/>
    <w:rsid w:val="004174B9"/>
    <w:rPr>
      <w:rFonts w:ascii="Work Sans" w:hAnsi="Work Sans" w:cs="Cambria Math"/>
      <w:color w:val="000000"/>
      <w:sz w:val="20"/>
      <w:szCs w:val="21"/>
    </w:rPr>
  </w:style>
  <w:style w:type="character" w:customStyle="1" w:styleId="BulletChar">
    <w:name w:val="Bullet Char"/>
    <w:basedOn w:val="CGCBodyCopyChar"/>
    <w:link w:val="Bullet"/>
    <w:rsid w:val="004174B9"/>
    <w:rPr>
      <w:rFonts w:ascii="Open Sans Light" w:hAnsi="Open Sans Light" w:cs="Cambria Math"/>
      <w:color w:val="000000"/>
      <w:sz w:val="20"/>
      <w:szCs w:val="20"/>
    </w:rPr>
  </w:style>
  <w:style w:type="paragraph" w:customStyle="1" w:styleId="Dash">
    <w:name w:val="Dash"/>
    <w:basedOn w:val="Normal"/>
    <w:link w:val="DashChar"/>
    <w:rsid w:val="004174B9"/>
    <w:pPr>
      <w:numPr>
        <w:ilvl w:val="1"/>
        <w:numId w:val="3"/>
      </w:numPr>
    </w:pPr>
    <w:rPr>
      <w:rFonts w:cs="Cambria Math"/>
      <w:color w:val="000000"/>
      <w:szCs w:val="20"/>
    </w:rPr>
  </w:style>
  <w:style w:type="character" w:customStyle="1" w:styleId="DashChar">
    <w:name w:val="Dash Char"/>
    <w:basedOn w:val="CGCBodyCopyChar"/>
    <w:link w:val="Dash"/>
    <w:rsid w:val="004174B9"/>
    <w:rPr>
      <w:rFonts w:ascii="Open Sans Light" w:hAnsi="Open Sans Light" w:cs="Cambria Math"/>
      <w:color w:val="000000"/>
      <w:sz w:val="20"/>
      <w:szCs w:val="20"/>
    </w:rPr>
  </w:style>
  <w:style w:type="paragraph" w:customStyle="1" w:styleId="DoubleDot">
    <w:name w:val="Double Dot"/>
    <w:basedOn w:val="Normal"/>
    <w:link w:val="DoubleDotChar"/>
    <w:rsid w:val="004174B9"/>
    <w:pPr>
      <w:numPr>
        <w:ilvl w:val="2"/>
        <w:numId w:val="3"/>
      </w:numPr>
    </w:pPr>
    <w:rPr>
      <w:rFonts w:cs="Cambria Math"/>
      <w:color w:val="000000"/>
      <w:szCs w:val="20"/>
    </w:rPr>
  </w:style>
  <w:style w:type="character" w:customStyle="1" w:styleId="DoubleDotChar">
    <w:name w:val="Double Dot Char"/>
    <w:basedOn w:val="CGCBodyCopyChar"/>
    <w:link w:val="DoubleDot"/>
    <w:rsid w:val="004174B9"/>
    <w:rPr>
      <w:rFonts w:ascii="Open Sans Light" w:hAnsi="Open Sans Light" w:cs="Cambria Math"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A1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515D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cgc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/4.0/legalcode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gc.gov.au/publications/commissions-assessment-methodology" TargetMode="External"/><Relationship Id="rId7" Type="http://schemas.openxmlformats.org/officeDocument/2006/relationships/hyperlink" Target="https://www.cgc.gov.au/sites/default/files/2021-11/R2020%20-%202018-02-S%20-%20Staff%20Research%20Paper%20-%20A%20broader%20assessment%20approach.pdf" TargetMode="External"/><Relationship Id="rId2" Type="http://schemas.openxmlformats.org/officeDocument/2006/relationships/hyperlink" Target="https://federalfinancialrelations.gov.au/intergovernmental-agreement-federal-financial-relations" TargetMode="External"/><Relationship Id="rId1" Type="http://schemas.openxmlformats.org/officeDocument/2006/relationships/hyperlink" Target="https://federation.gov.au/sites/default/files/about/agreements/reform_of_comm-state_financial_relations_PDF.pdf" TargetMode="External"/><Relationship Id="rId6" Type="http://schemas.openxmlformats.org/officeDocument/2006/relationships/hyperlink" Target="https://assets.pc.gov.au/inquiries/completed/horizontal-fiscal-equalisation/report/horizontal-fiscal-equalisation.pdf" TargetMode="External"/><Relationship Id="rId5" Type="http://schemas.openxmlformats.org/officeDocument/2006/relationships/hyperlink" Target="https://www.cgc.gov.au/sites/default/files/2025-03/2025R%20-%20Review%20outcomes%20-%20HFE_FINAL.pdf" TargetMode="External"/><Relationship Id="rId4" Type="http://schemas.openxmlformats.org/officeDocument/2006/relationships/hyperlink" Target="https://assets.pc.gov.au/__data/assets/pdf_file/0019/223129/subdr081-horizontal-fiscal-equalis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GC Colour Themes">
      <a:dk1>
        <a:srgbClr val="004562"/>
      </a:dk1>
      <a:lt1>
        <a:srgbClr val="FFFFFF"/>
      </a:lt1>
      <a:dk2>
        <a:srgbClr val="004562"/>
      </a:dk2>
      <a:lt2>
        <a:srgbClr val="E7E6E6"/>
      </a:lt2>
      <a:accent1>
        <a:srgbClr val="004563"/>
      </a:accent1>
      <a:accent2>
        <a:srgbClr val="0092C8"/>
      </a:accent2>
      <a:accent3>
        <a:srgbClr val="CC5E12"/>
      </a:accent3>
      <a:accent4>
        <a:srgbClr val="EDAB16"/>
      </a:accent4>
      <a:accent5>
        <a:srgbClr val="008069"/>
      </a:accent5>
      <a:accent6>
        <a:srgbClr val="00CE87"/>
      </a:accent6>
      <a:hlink>
        <a:srgbClr val="006991"/>
      </a:hlink>
      <a:folHlink>
        <a:srgbClr val="93EA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FEE77-DB88-48B5-976E-1D87DFA7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1931</Words>
  <Characters>11511</Characters>
  <Application>Microsoft Office Word</Application>
  <DocSecurity>0</DocSecurity>
  <Lines>280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2025-11-25T23:50:00Z</dcterms:created>
  <dcterms:modified xsi:type="dcterms:W3CDTF">2025-11-25T23:50:00Z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2025-11-25T23:50:23Z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2e15708d-987a-4679-bdf3-cd19b6e9452c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