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634EDD" w14:textId="339E9A06" w:rsidR="00333823" w:rsidRDefault="00B413FE">
      <w:pPr>
        <w:tabs>
          <w:tab w:val="clear" w:pos="567"/>
        </w:tabs>
        <w:spacing w:before="0" w:line="240" w:lineRule="auto"/>
        <w:rPr>
          <w:rFonts w:eastAsiaTheme="majorEastAsia" w:cs="Open Sans"/>
          <w:bCs/>
          <w:color w:val="006991"/>
          <w:sz w:val="40"/>
          <w:szCs w:val="40"/>
        </w:rPr>
        <w:sectPr w:rsidR="00333823" w:rsidSect="00B11E7F">
          <w:headerReference w:type="default" r:id="rId11"/>
          <w:footerReference w:type="even" r:id="rId12"/>
          <w:footerReference w:type="default" r:id="rId13"/>
          <w:headerReference w:type="first" r:id="rId14"/>
          <w:footerReference w:type="first" r:id="rId15"/>
          <w:pgSz w:w="11900" w:h="16840"/>
          <w:pgMar w:top="1134" w:right="1418" w:bottom="1021" w:left="1418" w:header="454" w:footer="284" w:gutter="0"/>
          <w:pgNumType w:start="1"/>
          <w:cols w:space="708"/>
          <w:titlePg/>
          <w:docGrid w:linePitch="360"/>
        </w:sectPr>
      </w:pPr>
      <w:bookmarkStart w:id="0" w:name="_Toc143096447"/>
      <w:bookmarkStart w:id="1" w:name="_Toc143096653"/>
      <w:r>
        <w:rPr>
          <w:noProof/>
        </w:rPr>
        <w:drawing>
          <wp:anchor distT="0" distB="0" distL="114300" distR="114300" simplePos="0" relativeHeight="251658241" behindDoc="0" locked="0" layoutInCell="1" allowOverlap="1" wp14:anchorId="3FBE5D59" wp14:editId="28C99393">
            <wp:simplePos x="0" y="0"/>
            <wp:positionH relativeFrom="margin">
              <wp:posOffset>28575</wp:posOffset>
            </wp:positionH>
            <wp:positionV relativeFrom="paragraph">
              <wp:posOffset>-29210</wp:posOffset>
            </wp:positionV>
            <wp:extent cx="2519783" cy="474452"/>
            <wp:effectExtent l="0" t="0" r="0" b="1905"/>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9783" cy="474452"/>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2" behindDoc="0" locked="0" layoutInCell="1" allowOverlap="1" wp14:anchorId="529FEA18" wp14:editId="5BE47109">
                <wp:simplePos x="0" y="0"/>
                <wp:positionH relativeFrom="margin">
                  <wp:posOffset>271145</wp:posOffset>
                </wp:positionH>
                <wp:positionV relativeFrom="paragraph">
                  <wp:posOffset>1765300</wp:posOffset>
                </wp:positionV>
                <wp:extent cx="5010150" cy="3326765"/>
                <wp:effectExtent l="0" t="0" r="0" b="6985"/>
                <wp:wrapNone/>
                <wp:docPr id="36" name="Text Box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0" cy="3326765"/>
                        </a:xfrm>
                        <a:prstGeom prst="rect">
                          <a:avLst/>
                        </a:prstGeom>
                        <a:noFill/>
                        <a:ln w="6350">
                          <a:noFill/>
                        </a:ln>
                      </wps:spPr>
                      <wps:txbx>
                        <w:txbxContent>
                          <w:p w14:paraId="57717CC5" w14:textId="77777777" w:rsidR="00B413FE" w:rsidRDefault="00B413FE" w:rsidP="00B413FE">
                            <w:pPr>
                              <w:spacing w:before="0" w:line="240" w:lineRule="auto"/>
                              <w:jc w:val="center"/>
                              <w:rPr>
                                <w:rFonts w:cs="Open Sans Semibold"/>
                                <w:b/>
                                <w:color w:val="FFFFFF"/>
                                <w:sz w:val="72"/>
                                <w:szCs w:val="72"/>
                              </w:rPr>
                            </w:pPr>
                          </w:p>
                          <w:p w14:paraId="37CC6D5B" w14:textId="77777777" w:rsidR="00B413FE" w:rsidRPr="00F7761F" w:rsidRDefault="00B413FE" w:rsidP="00B413FE">
                            <w:pPr>
                              <w:spacing w:before="0" w:line="240" w:lineRule="auto"/>
                              <w:jc w:val="center"/>
                              <w:rPr>
                                <w:rFonts w:cs="Open Sans Semibold"/>
                                <w:b/>
                                <w:color w:val="FFFFFF"/>
                                <w:sz w:val="72"/>
                                <w:szCs w:val="72"/>
                              </w:rPr>
                            </w:pPr>
                            <w:r>
                              <w:rPr>
                                <w:rFonts w:cs="Open Sans Semibold"/>
                                <w:b/>
                                <w:color w:val="FFFFFF"/>
                                <w:sz w:val="72"/>
                                <w:szCs w:val="72"/>
                              </w:rPr>
                              <w:t>2026 Update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FEA18" id="_x0000_t202" coordsize="21600,21600" o:spt="202" path="m,l,21600r21600,l21600,xe">
                <v:stroke joinstyle="miter"/>
                <v:path gradientshapeok="t" o:connecttype="rect"/>
              </v:shapetype>
              <v:shape id="Text Box 36" o:spid="_x0000_s1026" type="#_x0000_t202" alt="&quot;&quot;" style="position:absolute;margin-left:21.35pt;margin-top:139pt;width:394.5pt;height:261.9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" filled="f" stroked="f" strokeweight=".5pt">
                <v:textbox>
                  <w:txbxContent>
                    <w:p w14:paraId="57717CC5" w14:textId="77777777" w:rsidR="00B413FE" w:rsidRDefault="00B413FE" w:rsidP="00B413FE">
                      <w:pPr>
                        <w:spacing w:before="0" w:line="240" w:lineRule="auto"/>
                        <w:jc w:val="center"/>
                        <w:rPr>
                          <w:rFonts w:cs="Open Sans Semibold"/>
                          <w:b/>
                          <w:color w:val="FFFFFF"/>
                          <w:sz w:val="72"/>
                          <w:szCs w:val="72"/>
                        </w:rPr>
                      </w:pPr>
                    </w:p>
                    <w:p w14:paraId="37CC6D5B" w14:textId="77777777" w:rsidR="00B413FE" w:rsidRPr="00F7761F" w:rsidRDefault="00B413FE" w:rsidP="00B413FE">
                      <w:pPr>
                        <w:spacing w:before="0" w:line="240" w:lineRule="auto"/>
                        <w:jc w:val="center"/>
                        <w:rPr>
                          <w:rFonts w:cs="Open Sans Semibold"/>
                          <w:b/>
                          <w:color w:val="FFFFFF"/>
                          <w:sz w:val="72"/>
                          <w:szCs w:val="72"/>
                        </w:rPr>
                      </w:pPr>
                      <w:r>
                        <w:rPr>
                          <w:rFonts w:cs="Open Sans Semibold"/>
                          <w:b/>
                          <w:color w:val="FFFFFF"/>
                          <w:sz w:val="72"/>
                          <w:szCs w:val="72"/>
                        </w:rPr>
                        <w:t>2026 Update</w:t>
                      </w:r>
                    </w:p>
                  </w:txbxContent>
                </v:textbox>
                <w10:wrap anchorx="margin"/>
              </v:shape>
            </w:pict>
          </mc:Fallback>
        </mc:AlternateContent>
      </w:r>
      <w:r>
        <w:rPr>
          <w:noProof/>
        </w:rPr>
        <mc:AlternateContent>
          <mc:Choice Requires="wps">
            <w:drawing>
              <wp:anchor distT="0" distB="0" distL="114300" distR="114300" simplePos="0" relativeHeight="251658243" behindDoc="0" locked="0" layoutInCell="1" allowOverlap="1" wp14:anchorId="65D149B3" wp14:editId="2905334B">
                <wp:simplePos x="0" y="0"/>
                <wp:positionH relativeFrom="margin">
                  <wp:posOffset>151130</wp:posOffset>
                </wp:positionH>
                <wp:positionV relativeFrom="paragraph">
                  <wp:posOffset>5361940</wp:posOffset>
                </wp:positionV>
                <wp:extent cx="5444490" cy="1685925"/>
                <wp:effectExtent l="0" t="0" r="0" b="0"/>
                <wp:wrapNone/>
                <wp:docPr id="37" name="Text Box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4490" cy="1685925"/>
                        </a:xfrm>
                        <a:prstGeom prst="rect">
                          <a:avLst/>
                        </a:prstGeom>
                        <a:noFill/>
                        <a:ln w="6350">
                          <a:noFill/>
                        </a:ln>
                      </wps:spPr>
                      <wps:txbx>
                        <w:txbxContent>
                          <w:p w14:paraId="388C0317" w14:textId="77777777" w:rsidR="00B413FE" w:rsidRDefault="00B413FE" w:rsidP="00B413FE">
                            <w:pPr>
                              <w:spacing w:before="0" w:line="240" w:lineRule="auto"/>
                              <w:jc w:val="center"/>
                              <w:rPr>
                                <w:rFonts w:cs="Open Sans Semibold"/>
                                <w:bCs/>
                                <w:color w:val="FFFFFF"/>
                                <w:sz w:val="32"/>
                                <w:szCs w:val="32"/>
                              </w:rPr>
                            </w:pPr>
                          </w:p>
                          <w:p w14:paraId="6E5F6AAF" w14:textId="7338537D" w:rsidR="00B413FE" w:rsidRPr="00D43F21" w:rsidRDefault="00B413FE" w:rsidP="00B413FE">
                            <w:pPr>
                              <w:spacing w:before="0" w:line="240" w:lineRule="auto"/>
                              <w:jc w:val="center"/>
                              <w:rPr>
                                <w:rFonts w:cs="Open Sans Semibold"/>
                                <w:bCs/>
                                <w:color w:val="FFFFFF"/>
                                <w:sz w:val="56"/>
                                <w:szCs w:val="56"/>
                              </w:rPr>
                            </w:pPr>
                            <w:r w:rsidRPr="00D43F21">
                              <w:rPr>
                                <w:rFonts w:cs="Open Sans Semibold"/>
                                <w:bCs/>
                                <w:color w:val="FFFFFF"/>
                                <w:sz w:val="56"/>
                                <w:szCs w:val="56"/>
                              </w:rPr>
                              <w:t>GST Relativities 2026</w:t>
                            </w:r>
                            <w:r w:rsidR="00B656AF">
                              <w:rPr>
                                <w:rFonts w:cs="Open Sans Semibold"/>
                                <w:bCs/>
                                <w:color w:val="FFFFFF"/>
                                <w:sz w:val="56"/>
                                <w:szCs w:val="56"/>
                              </w:rPr>
                              <w:t>–</w:t>
                            </w:r>
                            <w:r w:rsidRPr="00D43F21">
                              <w:rPr>
                                <w:rFonts w:cs="Open Sans Semibold"/>
                                <w:bCs/>
                                <w:color w:val="FFFFFF"/>
                                <w:sz w:val="56"/>
                                <w:szCs w:val="56"/>
                              </w:rPr>
                              <w:t>27</w:t>
                            </w:r>
                          </w:p>
                          <w:p w14:paraId="5D8CB9E7" w14:textId="77777777" w:rsidR="00B413FE" w:rsidRPr="006C19B1" w:rsidRDefault="00B413FE" w:rsidP="00B413FE">
                            <w:pPr>
                              <w:spacing w:before="0" w:line="240" w:lineRule="auto"/>
                              <w:jc w:val="center"/>
                              <w:rPr>
                                <w:rFonts w:cs="Open Sans Semibold"/>
                                <w:bCs/>
                                <w:color w:val="FFFFFF"/>
                                <w:sz w:val="32"/>
                                <w:szCs w:val="32"/>
                              </w:rPr>
                            </w:pPr>
                          </w:p>
                          <w:p w14:paraId="7AC4B658" w14:textId="77777777" w:rsidR="00B413FE" w:rsidRPr="006C19B1" w:rsidRDefault="00B413FE" w:rsidP="00B413FE">
                            <w:pPr>
                              <w:spacing w:before="0" w:line="240" w:lineRule="auto"/>
                              <w:jc w:val="center"/>
                              <w:rPr>
                                <w:rFonts w:cs="Open Sans Semibold"/>
                                <w:bCs/>
                                <w:color w:val="FFFFFF"/>
                                <w:sz w:val="32"/>
                                <w:szCs w:val="32"/>
                              </w:rPr>
                            </w:pPr>
                            <w:r w:rsidRPr="008D619A">
                              <w:rPr>
                                <w:rFonts w:cs="Open Sans Semibold"/>
                                <w:bCs/>
                                <w:color w:val="FFFFFF"/>
                                <w:sz w:val="32"/>
                                <w:szCs w:val="32"/>
                              </w:rPr>
                              <w:t>March 2</w:t>
                            </w:r>
                            <w:r w:rsidRPr="006C19B1">
                              <w:rPr>
                                <w:rFonts w:cs="Open Sans Semibold"/>
                                <w:bCs/>
                                <w:color w:val="FFFFFF"/>
                                <w:sz w:val="32"/>
                                <w:szCs w:val="32"/>
                              </w:rPr>
                              <w:t>02</w:t>
                            </w:r>
                            <w:r>
                              <w:rPr>
                                <w:rFonts w:cs="Open Sans Semibold"/>
                                <w:bCs/>
                                <w:color w:val="FFFFFF"/>
                                <w:sz w:val="32"/>
                                <w:szCs w:val="3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149B3" id="Text Box 37" o:spid="_x0000_s1027" type="#_x0000_t202" alt="&quot;&quot;" style="position:absolute;margin-left:11.9pt;margin-top:422.2pt;width:428.7pt;height:132.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" filled="f" stroked="f" strokeweight=".5pt">
                <v:textbox>
                  <w:txbxContent>
                    <w:p w14:paraId="388C0317" w14:textId="77777777" w:rsidR="00B413FE" w:rsidRDefault="00B413FE" w:rsidP="00B413FE">
                      <w:pPr>
                        <w:spacing w:before="0" w:line="240" w:lineRule="auto"/>
                        <w:jc w:val="center"/>
                        <w:rPr>
                          <w:rFonts w:cs="Open Sans Semibold"/>
                          <w:bCs/>
                          <w:color w:val="FFFFFF"/>
                          <w:sz w:val="32"/>
                          <w:szCs w:val="32"/>
                        </w:rPr>
                      </w:pPr>
                    </w:p>
                    <w:p w14:paraId="6E5F6AAF" w14:textId="7338537D" w:rsidR="00B413FE" w:rsidRPr="00D43F21" w:rsidRDefault="00B413FE" w:rsidP="00B413FE">
                      <w:pPr>
                        <w:spacing w:before="0" w:line="240" w:lineRule="auto"/>
                        <w:jc w:val="center"/>
                        <w:rPr>
                          <w:rFonts w:cs="Open Sans Semibold"/>
                          <w:bCs/>
                          <w:color w:val="FFFFFF"/>
                          <w:sz w:val="56"/>
                          <w:szCs w:val="56"/>
                        </w:rPr>
                      </w:pPr>
                      <w:r w:rsidRPr="00D43F21">
                        <w:rPr>
                          <w:rFonts w:cs="Open Sans Semibold"/>
                          <w:bCs/>
                          <w:color w:val="FFFFFF"/>
                          <w:sz w:val="56"/>
                          <w:szCs w:val="56"/>
                        </w:rPr>
                        <w:t>GST Relativities 2026</w:t>
                      </w:r>
                      <w:r w:rsidR="00B656AF">
                        <w:rPr>
                          <w:rFonts w:cs="Open Sans Semibold"/>
                          <w:bCs/>
                          <w:color w:val="FFFFFF"/>
                          <w:sz w:val="56"/>
                          <w:szCs w:val="56"/>
                        </w:rPr>
                        <w:t>–</w:t>
                      </w:r>
                      <w:r w:rsidRPr="00D43F21">
                        <w:rPr>
                          <w:rFonts w:cs="Open Sans Semibold"/>
                          <w:bCs/>
                          <w:color w:val="FFFFFF"/>
                          <w:sz w:val="56"/>
                          <w:szCs w:val="56"/>
                        </w:rPr>
                        <w:t>27</w:t>
                      </w:r>
                    </w:p>
                    <w:p w14:paraId="5D8CB9E7" w14:textId="77777777" w:rsidR="00B413FE" w:rsidRPr="006C19B1" w:rsidRDefault="00B413FE" w:rsidP="00B413FE">
                      <w:pPr>
                        <w:spacing w:before="0" w:line="240" w:lineRule="auto"/>
                        <w:jc w:val="center"/>
                        <w:rPr>
                          <w:rFonts w:cs="Open Sans Semibold"/>
                          <w:bCs/>
                          <w:color w:val="FFFFFF"/>
                          <w:sz w:val="32"/>
                          <w:szCs w:val="32"/>
                        </w:rPr>
                      </w:pPr>
                    </w:p>
                    <w:p w14:paraId="7AC4B658" w14:textId="77777777" w:rsidR="00B413FE" w:rsidRPr="006C19B1" w:rsidRDefault="00B413FE" w:rsidP="00B413FE">
                      <w:pPr>
                        <w:spacing w:before="0" w:line="240" w:lineRule="auto"/>
                        <w:jc w:val="center"/>
                        <w:rPr>
                          <w:rFonts w:cs="Open Sans Semibold"/>
                          <w:bCs/>
                          <w:color w:val="FFFFFF"/>
                          <w:sz w:val="32"/>
                          <w:szCs w:val="32"/>
                        </w:rPr>
                      </w:pPr>
                      <w:r w:rsidRPr="008D619A">
                        <w:rPr>
                          <w:rFonts w:cs="Open Sans Semibold"/>
                          <w:bCs/>
                          <w:color w:val="FFFFFF"/>
                          <w:sz w:val="32"/>
                          <w:szCs w:val="32"/>
                        </w:rPr>
                        <w:t>March 2</w:t>
                      </w:r>
                      <w:r w:rsidRPr="006C19B1">
                        <w:rPr>
                          <w:rFonts w:cs="Open Sans Semibold"/>
                          <w:bCs/>
                          <w:color w:val="FFFFFF"/>
                          <w:sz w:val="32"/>
                          <w:szCs w:val="32"/>
                        </w:rPr>
                        <w:t>02</w:t>
                      </w:r>
                      <w:r>
                        <w:rPr>
                          <w:rFonts w:cs="Open Sans Semibold"/>
                          <w:bCs/>
                          <w:color w:val="FFFFFF"/>
                          <w:sz w:val="32"/>
                          <w:szCs w:val="32"/>
                        </w:rPr>
                        <w:t>6</w:t>
                      </w:r>
                    </w:p>
                  </w:txbxContent>
                </v:textbox>
                <w10:wrap anchorx="margin"/>
              </v:shape>
            </w:pict>
          </mc:Fallback>
        </mc:AlternateContent>
      </w:r>
    </w:p>
    <w:p w14:paraId="20221239" w14:textId="3CCFA08D" w:rsidR="00597B03" w:rsidRDefault="00597B03">
      <w:pPr>
        <w:tabs>
          <w:tab w:val="clear" w:pos="567"/>
        </w:tabs>
        <w:spacing w:before="0" w:line="240" w:lineRule="auto"/>
        <w:rPr>
          <w:rFonts w:eastAsiaTheme="majorEastAsia" w:cs="Open Sans"/>
          <w:bCs/>
          <w:color w:val="006991"/>
          <w:sz w:val="40"/>
          <w:szCs w:val="40"/>
        </w:rPr>
      </w:pPr>
    </w:p>
    <w:p w14:paraId="013593CD" w14:textId="613328A1" w:rsidR="00C54A0C" w:rsidRPr="00974BF0" w:rsidRDefault="00BB4358" w:rsidP="00C54A0C">
      <w:r>
        <w:rPr>
          <w:noProof/>
        </w:rPr>
        <mc:AlternateContent>
          <mc:Choice Requires="wps">
            <w:drawing>
              <wp:anchor distT="0" distB="0" distL="114300" distR="114300" simplePos="0" relativeHeight="251658240" behindDoc="1" locked="0" layoutInCell="1" allowOverlap="1" wp14:anchorId="02AA846E" wp14:editId="53C03B2D">
                <wp:simplePos x="0" y="0"/>
                <wp:positionH relativeFrom="margin">
                  <wp:align>left</wp:align>
                </wp:positionH>
                <wp:positionV relativeFrom="paragraph">
                  <wp:posOffset>-77470</wp:posOffset>
                </wp:positionV>
                <wp:extent cx="5758180" cy="1343025"/>
                <wp:effectExtent l="0" t="0" r="0" b="952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8180" cy="1343025"/>
                        </a:xfrm>
                        <a:prstGeom prst="rect">
                          <a:avLst/>
                        </a:prstGeom>
                        <a:solidFill>
                          <a:srgbClr val="E5F8FF"/>
                        </a:solidFill>
                        <a:ln>
                          <a:noFill/>
                        </a:ln>
                      </wps:spPr>
                      <wps:txbx>
                        <w:txbxContent>
                          <w:p w14:paraId="550EA7DC" w14:textId="77777777" w:rsidR="00BB4358" w:rsidRPr="00707B3A" w:rsidRDefault="00BB4358" w:rsidP="00A777EC">
                            <w:pPr>
                              <w:pStyle w:val="Heading2"/>
                            </w:pPr>
                            <w:bookmarkStart w:id="2" w:name="_Toc159675656"/>
                            <w:bookmarkStart w:id="3" w:name="_Toc159675963"/>
                            <w:bookmarkStart w:id="4" w:name="_Toc159676030"/>
                            <w:r>
                              <w:t>Acknowledgement of Country</w:t>
                            </w:r>
                            <w:bookmarkEnd w:id="2"/>
                            <w:bookmarkEnd w:id="3"/>
                            <w:bookmarkEnd w:id="4"/>
                          </w:p>
                          <w:p w14:paraId="2E4A8ED2" w14:textId="79E5AABB" w:rsidR="00BB4358" w:rsidRPr="00A777EC" w:rsidRDefault="00BB4358" w:rsidP="00A777EC">
                            <w:r w:rsidRPr="00A777EC">
                              <w:t>The Commonwealth Grants Commission acknowledges the Traditional Owners of Country throughout Australia, and their continuing connection to land, water and community. We pay our respects to them and their cultures and to Elders both past and</w:t>
                            </w:r>
                            <w:r w:rsidR="009F2519">
                              <w:t> </w:t>
                            </w:r>
                            <w:r w:rsidRPr="00A777EC">
                              <w:t>present.</w:t>
                            </w:r>
                          </w:p>
                          <w:p w14:paraId="7D55D757" w14:textId="77777777" w:rsidR="00BB4358" w:rsidRPr="00F579A2" w:rsidRDefault="00BB4358" w:rsidP="00BB4358">
                            <w:pPr>
                              <w:spacing w:line="252" w:lineRule="auto"/>
                              <w:rPr>
                                <w:lang w:bidi="hi-IN"/>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2AA846E" id="Rectangle 23" o:spid="_x0000_s1028" style="position:absolute;margin-left:0;margin-top:-6.1pt;width:453.4pt;height:105.7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" fillcolor="#e5f8ff" stroked="f">
                <v:textbox>
                  <w:txbxContent>
                    <w:p w14:paraId="550EA7DC" w14:textId="77777777" w:rsidR="00BB4358" w:rsidRPr="00707B3A" w:rsidRDefault="00BB4358" w:rsidP="00A777EC">
                      <w:pPr>
                        <w:pStyle w:val="Heading2"/>
                      </w:pPr>
                      <w:bookmarkStart w:id="5" w:name="_Toc159675656"/>
                      <w:bookmarkStart w:id="6" w:name="_Toc159675963"/>
                      <w:bookmarkStart w:id="7" w:name="_Toc159676030"/>
                      <w:r>
                        <w:t>Acknowledgement of Country</w:t>
                      </w:r>
                      <w:bookmarkEnd w:id="5"/>
                      <w:bookmarkEnd w:id="6"/>
                      <w:bookmarkEnd w:id="7"/>
                    </w:p>
                    <w:p w14:paraId="2E4A8ED2" w14:textId="79E5AABB" w:rsidR="00BB4358" w:rsidRPr="00A777EC" w:rsidRDefault="00BB4358" w:rsidP="00A777EC">
                      <w:r w:rsidRPr="00A777EC">
                        <w:t>The Commonwealth Grants Commission acknowledges the Traditional Owners of Country throughout Australia, and their continuing connection to land, water and community. We pay our respects to them and their cultures and to Elders both past and</w:t>
                      </w:r>
                      <w:r w:rsidR="009F2519">
                        <w:t> </w:t>
                      </w:r>
                      <w:r w:rsidRPr="00A777EC">
                        <w:t>present.</w:t>
                      </w:r>
                    </w:p>
                    <w:p w14:paraId="7D55D757" w14:textId="77777777" w:rsidR="00BB4358" w:rsidRPr="00F579A2" w:rsidRDefault="00BB4358" w:rsidP="00BB4358">
                      <w:pPr>
                        <w:spacing w:line="252" w:lineRule="auto"/>
                        <w:rPr>
                          <w:lang w:bidi="hi-IN"/>
                        </w:rPr>
                      </w:pPr>
                    </w:p>
                  </w:txbxContent>
                </v:textbox>
                <w10:wrap anchorx="margin"/>
              </v:rect>
            </w:pict>
          </mc:Fallback>
        </mc:AlternateContent>
      </w:r>
    </w:p>
    <w:p w14:paraId="7F73CF93" w14:textId="77777777" w:rsidR="00C54A0C" w:rsidRPr="00974BF0" w:rsidRDefault="00C54A0C" w:rsidP="00C54A0C"/>
    <w:p w14:paraId="18EF2BC6" w14:textId="77777777" w:rsidR="00C54A0C" w:rsidRPr="00974BF0" w:rsidRDefault="00C54A0C" w:rsidP="00C54A0C"/>
    <w:p w14:paraId="2A6F0334" w14:textId="77777777" w:rsidR="00C54A0C" w:rsidRPr="00974BF0" w:rsidRDefault="00C54A0C" w:rsidP="00C54A0C"/>
    <w:p w14:paraId="7FDAA52C" w14:textId="77777777" w:rsidR="00C54A0C" w:rsidRPr="00974BF0" w:rsidRDefault="00C54A0C" w:rsidP="00C54A0C"/>
    <w:p w14:paraId="01FF8D89" w14:textId="77777777" w:rsidR="00C54A0C" w:rsidRDefault="00C54A0C" w:rsidP="00C54A0C"/>
    <w:p w14:paraId="43E580AF" w14:textId="77777777" w:rsidR="00C54A0C" w:rsidRPr="00547B42" w:rsidRDefault="00C54A0C" w:rsidP="00C54A0C"/>
    <w:p w14:paraId="16C07266" w14:textId="77777777" w:rsidR="00C54A0C" w:rsidRPr="00F728BA" w:rsidRDefault="00C54A0C" w:rsidP="00C54A0C">
      <w:pPr>
        <w:pStyle w:val="Heading3"/>
      </w:pPr>
      <w:bookmarkStart w:id="8" w:name="_Toc127802137"/>
      <w:bookmarkStart w:id="9" w:name="_Toc127804759"/>
      <w:r w:rsidRPr="00BC2612">
        <w:t>Copyright</w:t>
      </w:r>
      <w:bookmarkEnd w:id="8"/>
      <w:bookmarkEnd w:id="9"/>
    </w:p>
    <w:p w14:paraId="54A43BA7" w14:textId="29553118" w:rsidR="00DF58F3" w:rsidRDefault="00DF58F3" w:rsidP="003A4669">
      <w:pPr>
        <w:spacing w:before="0" w:line="252" w:lineRule="auto"/>
      </w:pPr>
      <w:r w:rsidRPr="00B00B0E">
        <w:t xml:space="preserve">ISBN: </w:t>
      </w:r>
      <w:r w:rsidR="00B00B0E" w:rsidRPr="00B00B0E">
        <w:t>978-1-7641044-1-8</w:t>
      </w:r>
    </w:p>
    <w:p w14:paraId="4F341074" w14:textId="77777777" w:rsidR="00DF58F3" w:rsidRDefault="00DF58F3" w:rsidP="003A4669">
      <w:pPr>
        <w:spacing w:before="0" w:line="252" w:lineRule="auto"/>
      </w:pPr>
    </w:p>
    <w:p w14:paraId="6FF164F4" w14:textId="29EB4CCE" w:rsidR="00C54A0C" w:rsidRPr="00B12B63" w:rsidRDefault="00C54A0C" w:rsidP="003A4669">
      <w:pPr>
        <w:spacing w:before="0" w:line="252" w:lineRule="auto"/>
      </w:pPr>
      <w:r w:rsidRPr="0002762D">
        <w:t>© Commonwealth of Australia 202</w:t>
      </w:r>
      <w:r w:rsidR="009F2519">
        <w:t>6</w:t>
      </w:r>
      <w:r w:rsidRPr="0002762D">
        <w:t xml:space="preserve"> </w:t>
      </w:r>
    </w:p>
    <w:p w14:paraId="1ABAE3CC" w14:textId="77777777" w:rsidR="00C54A0C" w:rsidRPr="00B12B63" w:rsidRDefault="00C54A0C" w:rsidP="003A4669">
      <w:pPr>
        <w:spacing w:before="0" w:line="252" w:lineRule="auto"/>
      </w:pPr>
    </w:p>
    <w:p w14:paraId="0EC1C608" w14:textId="59DDC091" w:rsidR="00C54A0C" w:rsidRPr="00B12B63" w:rsidRDefault="00FA41A4" w:rsidP="003A4669">
      <w:pPr>
        <w:spacing w:before="0" w:line="252" w:lineRule="auto"/>
      </w:pPr>
      <w:r>
        <w:t xml:space="preserve">All material presented in this document is provided under a </w:t>
      </w:r>
      <w:hyperlink r:id="rId17" w:history="1">
        <w:r w:rsidRPr="00407B61">
          <w:rPr>
            <w:rStyle w:val="Hyperlink"/>
          </w:rPr>
          <w:t>Creative Commons Attribution 4.0 International Licence</w:t>
        </w:r>
      </w:hyperlink>
      <w:r>
        <w:t>, with the exception of the Commonwealth Coat of Arms, Commonwealth Grants Commission logo and all images.</w:t>
      </w:r>
      <w:r w:rsidR="00C54A0C" w:rsidRPr="00B12B63">
        <w:t xml:space="preserve"> </w:t>
      </w:r>
    </w:p>
    <w:p w14:paraId="3AD6C7DF" w14:textId="77777777" w:rsidR="00C54A0C" w:rsidRPr="00B12B63" w:rsidRDefault="00C54A0C" w:rsidP="003A4669">
      <w:pPr>
        <w:spacing w:before="0" w:line="252" w:lineRule="auto"/>
      </w:pPr>
    </w:p>
    <w:p w14:paraId="5CBE7ADF" w14:textId="77777777" w:rsidR="00C54A0C" w:rsidRPr="00B12B63" w:rsidRDefault="00C54A0C" w:rsidP="003A4669">
      <w:pPr>
        <w:spacing w:before="0" w:line="252" w:lineRule="auto"/>
      </w:pPr>
      <w:r w:rsidRPr="00B12B63">
        <w:rPr>
          <w:noProof/>
        </w:rPr>
        <w:drawing>
          <wp:inline distT="0" distB="0" distL="0" distR="0" wp14:anchorId="6EEA2863" wp14:editId="281C4CC9">
            <wp:extent cx="819785" cy="284480"/>
            <wp:effectExtent l="0" t="0" r="0" b="0"/>
            <wp:docPr id="11" name="Picture 11" descr="Creative Commons - At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 Attribu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9785" cy="284480"/>
                    </a:xfrm>
                    <a:prstGeom prst="rect">
                      <a:avLst/>
                    </a:prstGeom>
                    <a:noFill/>
                    <a:ln>
                      <a:noFill/>
                    </a:ln>
                  </pic:spPr>
                </pic:pic>
              </a:graphicData>
            </a:graphic>
          </wp:inline>
        </w:drawing>
      </w:r>
    </w:p>
    <w:p w14:paraId="127C9415" w14:textId="77777777" w:rsidR="00C54A0C" w:rsidRPr="00B12B63" w:rsidRDefault="00C54A0C" w:rsidP="005866BC">
      <w:pPr>
        <w:spacing w:before="0" w:line="252" w:lineRule="auto"/>
      </w:pPr>
    </w:p>
    <w:p w14:paraId="50499FA7" w14:textId="77777777" w:rsidR="00C54A0C" w:rsidRPr="00707B3A" w:rsidRDefault="00C54A0C" w:rsidP="005866BC">
      <w:pPr>
        <w:pStyle w:val="Heading3"/>
        <w:spacing w:before="0" w:after="0"/>
      </w:pPr>
      <w:bookmarkStart w:id="10" w:name="_Toc127802138"/>
      <w:bookmarkStart w:id="11" w:name="_Toc127804760"/>
      <w:r w:rsidRPr="00707B3A">
        <w:t>Use of the Coat of Arms</w:t>
      </w:r>
      <w:bookmarkEnd w:id="10"/>
      <w:bookmarkEnd w:id="11"/>
    </w:p>
    <w:p w14:paraId="337EA216" w14:textId="38A78E99" w:rsidR="00C54A0C" w:rsidRPr="003A4669" w:rsidRDefault="00FA41A4" w:rsidP="00FA41A4">
      <w:pPr>
        <w:spacing w:before="0"/>
      </w:pPr>
      <w:r>
        <w:t>Guidelines for using</w:t>
      </w:r>
      <w:r w:rsidRPr="003A4669">
        <w:t xml:space="preserve"> the </w:t>
      </w:r>
      <w:r>
        <w:t xml:space="preserve">Commonwealth </w:t>
      </w:r>
      <w:r w:rsidRPr="003A4669">
        <w:t xml:space="preserve">Coat of Arms are </w:t>
      </w:r>
      <w:r>
        <w:t xml:space="preserve">published on the website of the Department of the Prime Minister and Cabinet: </w:t>
      </w:r>
      <w:hyperlink r:id="rId19" w:history="1">
        <w:r w:rsidRPr="005D0673">
          <w:rPr>
            <w:rStyle w:val="Hyperlink"/>
          </w:rPr>
          <w:t>www.pmc.gov.au/honours-and-symbols/commonwealth-coat-arms</w:t>
        </w:r>
      </w:hyperlink>
      <w:r w:rsidR="00C54A0C" w:rsidRPr="003A4669">
        <w:t xml:space="preserve"> </w:t>
      </w:r>
    </w:p>
    <w:p w14:paraId="1C1CE65C" w14:textId="77777777" w:rsidR="00C54A0C" w:rsidRPr="003A4669" w:rsidRDefault="00C54A0C" w:rsidP="003A4669"/>
    <w:p w14:paraId="1BBE0C06" w14:textId="77777777" w:rsidR="00C54A0C" w:rsidRPr="00707B3A" w:rsidRDefault="00C54A0C" w:rsidP="00DF58F3">
      <w:pPr>
        <w:pStyle w:val="Heading3"/>
        <w:spacing w:before="0" w:after="0"/>
      </w:pPr>
      <w:bookmarkStart w:id="12" w:name="_Toc127802139"/>
      <w:bookmarkStart w:id="13" w:name="_Toc127804761"/>
      <w:r w:rsidRPr="00707B3A">
        <w:t>Attribution</w:t>
      </w:r>
      <w:bookmarkEnd w:id="12"/>
      <w:bookmarkEnd w:id="13"/>
    </w:p>
    <w:p w14:paraId="745D7DF4" w14:textId="77777777" w:rsidR="00B00B0E" w:rsidRPr="003A4669" w:rsidRDefault="00B00B0E" w:rsidP="00B00B0E">
      <w:pPr>
        <w:spacing w:before="0" w:line="252" w:lineRule="auto"/>
      </w:pPr>
      <w:r w:rsidRPr="003A4669">
        <w:t xml:space="preserve">The recommended attribution for this document is Commonwealth Grants Commission, </w:t>
      </w:r>
      <w:r w:rsidRPr="00167645">
        <w:rPr>
          <w:i/>
          <w:iCs/>
        </w:rPr>
        <w:t>202</w:t>
      </w:r>
      <w:r>
        <w:rPr>
          <w:i/>
          <w:iCs/>
        </w:rPr>
        <w:t xml:space="preserve">6 Update GST </w:t>
      </w:r>
      <w:r w:rsidRPr="00167645">
        <w:rPr>
          <w:i/>
          <w:iCs/>
        </w:rPr>
        <w:t>Relativities 202</w:t>
      </w:r>
      <w:r>
        <w:rPr>
          <w:i/>
          <w:iCs/>
        </w:rPr>
        <w:t>6–27</w:t>
      </w:r>
      <w:r w:rsidRPr="003A4669">
        <w:t>.</w:t>
      </w:r>
    </w:p>
    <w:p w14:paraId="01D11DD3" w14:textId="77777777" w:rsidR="00C54A0C" w:rsidRPr="003A4669" w:rsidRDefault="00C54A0C" w:rsidP="000D68B2">
      <w:pPr>
        <w:spacing w:before="0" w:line="252" w:lineRule="auto"/>
      </w:pPr>
    </w:p>
    <w:p w14:paraId="4E71D522" w14:textId="77777777" w:rsidR="00C54A0C" w:rsidRPr="00707B3A" w:rsidRDefault="00C54A0C" w:rsidP="00DF58F3">
      <w:pPr>
        <w:pStyle w:val="Heading3"/>
        <w:spacing w:before="0" w:after="0"/>
      </w:pPr>
      <w:bookmarkStart w:id="14" w:name="_Toc127802140"/>
      <w:bookmarkStart w:id="15" w:name="_Toc127804762"/>
      <w:r w:rsidRPr="00707B3A">
        <w:t>Contact us</w:t>
      </w:r>
      <w:bookmarkEnd w:id="14"/>
      <w:bookmarkEnd w:id="15"/>
    </w:p>
    <w:p w14:paraId="000A5D03" w14:textId="77777777" w:rsidR="00C54A0C" w:rsidRPr="003A4669" w:rsidRDefault="00C54A0C" w:rsidP="000D68B2">
      <w:pPr>
        <w:spacing w:before="0" w:line="252" w:lineRule="auto"/>
      </w:pPr>
      <w:r w:rsidRPr="003A4669">
        <w:t>Inquiries regarding the licence and any use of this document should be directed to:</w:t>
      </w:r>
    </w:p>
    <w:p w14:paraId="289EF689" w14:textId="77777777" w:rsidR="00C54A0C" w:rsidRPr="003A4669" w:rsidRDefault="00C54A0C" w:rsidP="000D68B2">
      <w:pPr>
        <w:spacing w:before="0" w:line="252" w:lineRule="auto"/>
      </w:pPr>
    </w:p>
    <w:p w14:paraId="7564B352" w14:textId="77777777" w:rsidR="00C54A0C" w:rsidRPr="003A4669" w:rsidRDefault="00C54A0C" w:rsidP="000D68B2">
      <w:pPr>
        <w:spacing w:before="0" w:line="252" w:lineRule="auto"/>
      </w:pPr>
      <w:r w:rsidRPr="003A4669">
        <w:t>Secretary</w:t>
      </w:r>
    </w:p>
    <w:p w14:paraId="33403831" w14:textId="77777777" w:rsidR="00C54A0C" w:rsidRPr="003A4669" w:rsidRDefault="00C54A0C" w:rsidP="000D68B2">
      <w:pPr>
        <w:spacing w:before="0" w:line="252" w:lineRule="auto"/>
      </w:pPr>
      <w:r w:rsidRPr="003A4669">
        <w:t>Commonwealth Grants Commission</w:t>
      </w:r>
    </w:p>
    <w:p w14:paraId="41B87CC1" w14:textId="77777777" w:rsidR="00C54A0C" w:rsidRPr="003A4669" w:rsidRDefault="00C54A0C" w:rsidP="000D68B2">
      <w:pPr>
        <w:spacing w:before="0" w:line="252" w:lineRule="auto"/>
      </w:pPr>
      <w:r w:rsidRPr="003A4669">
        <w:t>73 Northbourne Avenue</w:t>
      </w:r>
    </w:p>
    <w:p w14:paraId="5D96C07E" w14:textId="77777777" w:rsidR="00C54A0C" w:rsidRPr="003A4669" w:rsidRDefault="00C54A0C" w:rsidP="000D68B2">
      <w:pPr>
        <w:spacing w:before="0" w:line="252" w:lineRule="auto"/>
      </w:pPr>
      <w:r w:rsidRPr="003A4669">
        <w:t>CANBERRA ACT 2601</w:t>
      </w:r>
    </w:p>
    <w:p w14:paraId="7B638D71" w14:textId="77777777" w:rsidR="00C54A0C" w:rsidRPr="003A4669" w:rsidRDefault="00C54A0C" w:rsidP="000D68B2">
      <w:pPr>
        <w:spacing w:before="0" w:line="252" w:lineRule="auto"/>
      </w:pPr>
      <w:r w:rsidRPr="003A4669">
        <w:t>Telephone (02) 6218 5700</w:t>
      </w:r>
    </w:p>
    <w:p w14:paraId="353628EE" w14:textId="77777777" w:rsidR="00C54A0C" w:rsidRPr="003A4669" w:rsidRDefault="00C54A0C" w:rsidP="000D68B2">
      <w:pPr>
        <w:spacing w:before="0" w:line="252" w:lineRule="auto"/>
      </w:pPr>
      <w:r w:rsidRPr="003A4669">
        <w:t xml:space="preserve">Email </w:t>
      </w:r>
      <w:hyperlink r:id="rId20" w:history="1">
        <w:r w:rsidRPr="003A4669">
          <w:rPr>
            <w:rStyle w:val="Hyperlink"/>
          </w:rPr>
          <w:t>secretary@cgc.gov.au</w:t>
        </w:r>
      </w:hyperlink>
    </w:p>
    <w:p w14:paraId="79CCF61E" w14:textId="77777777" w:rsidR="00C54A0C" w:rsidRPr="003A4669" w:rsidRDefault="00C54A0C" w:rsidP="000D68B2">
      <w:pPr>
        <w:spacing w:before="0" w:line="252" w:lineRule="auto"/>
      </w:pPr>
    </w:p>
    <w:p w14:paraId="470ADDED" w14:textId="77777777" w:rsidR="00C54A0C" w:rsidRPr="00F728BA" w:rsidRDefault="00C54A0C" w:rsidP="00DF58F3">
      <w:pPr>
        <w:pStyle w:val="Heading3"/>
        <w:spacing w:before="0" w:after="0"/>
      </w:pPr>
      <w:bookmarkStart w:id="16" w:name="_Toc127802141"/>
      <w:bookmarkStart w:id="17" w:name="_Toc127804763"/>
      <w:r w:rsidRPr="00F728BA">
        <w:t>Internet</w:t>
      </w:r>
      <w:bookmarkEnd w:id="16"/>
      <w:bookmarkEnd w:id="17"/>
    </w:p>
    <w:p w14:paraId="06F09ED9" w14:textId="46AEF7A0" w:rsidR="00C54A0C" w:rsidRDefault="00C54A0C" w:rsidP="00DF58F3">
      <w:pPr>
        <w:spacing w:before="0"/>
      </w:pPr>
      <w:r w:rsidRPr="003A4669">
        <w:t xml:space="preserve">A copy of this report can be obtained from the </w:t>
      </w:r>
      <w:r w:rsidRPr="00C2633C">
        <w:t>Commission’s website</w:t>
      </w:r>
      <w:r w:rsidR="00DD381C">
        <w:t xml:space="preserve"> </w:t>
      </w:r>
      <w:hyperlink r:id="rId21" w:history="1">
        <w:r w:rsidR="00F67EEC" w:rsidRPr="00064077">
          <w:rPr>
            <w:rStyle w:val="Hyperlink"/>
          </w:rPr>
          <w:t>www.cgc.gov.au</w:t>
        </w:r>
      </w:hyperlink>
      <w:r w:rsidRPr="003A4669">
        <w:t>.</w:t>
      </w:r>
    </w:p>
    <w:p w14:paraId="3AE71E29" w14:textId="4BD52DFB" w:rsidR="00597B03" w:rsidRDefault="00597B03" w:rsidP="00DF58F3">
      <w:pPr>
        <w:tabs>
          <w:tab w:val="clear" w:pos="567"/>
        </w:tabs>
        <w:spacing w:before="0" w:line="240" w:lineRule="auto"/>
        <w:rPr>
          <w:rFonts w:eastAsiaTheme="majorEastAsia" w:cs="Open Sans"/>
          <w:bCs/>
          <w:color w:val="006991"/>
          <w:sz w:val="40"/>
          <w:szCs w:val="40"/>
        </w:rPr>
      </w:pPr>
    </w:p>
    <w:p w14:paraId="53DE5B3D" w14:textId="77777777" w:rsidR="00333823" w:rsidRDefault="00333823" w:rsidP="009F2519">
      <w:pPr>
        <w:pStyle w:val="Heading1"/>
        <w:numPr>
          <w:ilvl w:val="0"/>
          <w:numId w:val="0"/>
        </w:numPr>
        <w:sectPr w:rsidR="00333823" w:rsidSect="00A9221A">
          <w:headerReference w:type="first" r:id="rId22"/>
          <w:footerReference w:type="first" r:id="rId23"/>
          <w:pgSz w:w="11900" w:h="16840"/>
          <w:pgMar w:top="1134" w:right="1418" w:bottom="1021" w:left="1418" w:header="454" w:footer="284" w:gutter="0"/>
          <w:pgNumType w:start="1"/>
          <w:cols w:space="708"/>
          <w:titlePg/>
          <w:docGrid w:linePitch="360"/>
        </w:sectPr>
      </w:pPr>
      <w:bookmarkStart w:id="18" w:name="_Toc221190624"/>
    </w:p>
    <w:p w14:paraId="348A0037" w14:textId="44FE4F88" w:rsidR="009F2519" w:rsidRDefault="009F2519" w:rsidP="009F2519">
      <w:pPr>
        <w:pStyle w:val="Heading1"/>
        <w:numPr>
          <w:ilvl w:val="0"/>
          <w:numId w:val="0"/>
        </w:numPr>
      </w:pPr>
      <w:bookmarkStart w:id="19" w:name="_Toc222762263"/>
      <w:r>
        <w:lastRenderedPageBreak/>
        <w:t>Contents</w:t>
      </w:r>
      <w:bookmarkEnd w:id="18"/>
      <w:bookmarkEnd w:id="19"/>
    </w:p>
    <w:p w14:paraId="5F67BD79" w14:textId="3DB47D61" w:rsidR="00D9186D" w:rsidRDefault="009F2519">
      <w:pPr>
        <w:pStyle w:val="TOC1"/>
        <w:tabs>
          <w:tab w:val="right" w:leader="dot" w:pos="9054"/>
        </w:tabs>
        <w:rPr>
          <w:rFonts w:asciiTheme="minorHAnsi" w:eastAsiaTheme="minorEastAsia" w:hAnsiTheme="minorHAnsi"/>
          <w:noProof/>
          <w:kern w:val="2"/>
          <w:sz w:val="24"/>
          <w:szCs w:val="24"/>
          <w:lang w:eastAsia="en-AU"/>
          <w14:ligatures w14:val="standardContextual"/>
        </w:rPr>
      </w:pPr>
      <w:r w:rsidRPr="00236FE7">
        <w:rPr>
          <w:rFonts w:ascii="Work Sans" w:hAnsi="Work Sans"/>
        </w:rPr>
        <w:fldChar w:fldCharType="begin"/>
      </w:r>
      <w:r w:rsidRPr="00236FE7">
        <w:rPr>
          <w:rFonts w:ascii="Work Sans" w:hAnsi="Work Sans"/>
        </w:rPr>
        <w:instrText xml:space="preserve"> TOC \o "1-1" \h \z \u </w:instrText>
      </w:r>
      <w:r w:rsidRPr="00236FE7">
        <w:rPr>
          <w:rFonts w:ascii="Work Sans" w:hAnsi="Work Sans"/>
        </w:rPr>
        <w:fldChar w:fldCharType="separate"/>
      </w:r>
      <w:hyperlink w:anchor="_Toc222762263" w:history="1">
        <w:r w:rsidR="00D9186D" w:rsidRPr="00D767EF">
          <w:rPr>
            <w:rStyle w:val="Hyperlink"/>
            <w:noProof/>
          </w:rPr>
          <w:t>Contents</w:t>
        </w:r>
        <w:r w:rsidR="00D9186D">
          <w:rPr>
            <w:noProof/>
            <w:webHidden/>
          </w:rPr>
          <w:tab/>
        </w:r>
        <w:r w:rsidR="00D9186D">
          <w:rPr>
            <w:noProof/>
            <w:webHidden/>
          </w:rPr>
          <w:fldChar w:fldCharType="begin"/>
        </w:r>
        <w:r w:rsidR="00D9186D">
          <w:rPr>
            <w:noProof/>
            <w:webHidden/>
          </w:rPr>
          <w:instrText xml:space="preserve"> PAGEREF _Toc222762263 \h </w:instrText>
        </w:r>
        <w:r w:rsidR="00D9186D">
          <w:rPr>
            <w:noProof/>
            <w:webHidden/>
          </w:rPr>
        </w:r>
        <w:r w:rsidR="00D9186D">
          <w:rPr>
            <w:noProof/>
            <w:webHidden/>
          </w:rPr>
          <w:fldChar w:fldCharType="separate"/>
        </w:r>
        <w:r w:rsidR="00D9186D">
          <w:rPr>
            <w:noProof/>
            <w:webHidden/>
          </w:rPr>
          <w:t>3</w:t>
        </w:r>
        <w:r w:rsidR="00D9186D">
          <w:rPr>
            <w:noProof/>
            <w:webHidden/>
          </w:rPr>
          <w:fldChar w:fldCharType="end"/>
        </w:r>
      </w:hyperlink>
    </w:p>
    <w:p w14:paraId="29DCC445" w14:textId="79EAB5FD"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64" w:history="1">
        <w:r w:rsidRPr="00D767EF">
          <w:rPr>
            <w:rStyle w:val="Hyperlink"/>
            <w:noProof/>
          </w:rPr>
          <w:t>Letter of transmittal</w:t>
        </w:r>
        <w:r>
          <w:rPr>
            <w:noProof/>
            <w:webHidden/>
          </w:rPr>
          <w:tab/>
        </w:r>
        <w:r>
          <w:rPr>
            <w:noProof/>
            <w:webHidden/>
          </w:rPr>
          <w:fldChar w:fldCharType="begin"/>
        </w:r>
        <w:r>
          <w:rPr>
            <w:noProof/>
            <w:webHidden/>
          </w:rPr>
          <w:instrText xml:space="preserve"> PAGEREF _Toc222762264 \h </w:instrText>
        </w:r>
        <w:r>
          <w:rPr>
            <w:noProof/>
            <w:webHidden/>
          </w:rPr>
        </w:r>
        <w:r>
          <w:rPr>
            <w:noProof/>
            <w:webHidden/>
          </w:rPr>
          <w:fldChar w:fldCharType="separate"/>
        </w:r>
        <w:r>
          <w:rPr>
            <w:noProof/>
            <w:webHidden/>
          </w:rPr>
          <w:t>4</w:t>
        </w:r>
        <w:r>
          <w:rPr>
            <w:noProof/>
            <w:webHidden/>
          </w:rPr>
          <w:fldChar w:fldCharType="end"/>
        </w:r>
      </w:hyperlink>
    </w:p>
    <w:p w14:paraId="15624178" w14:textId="1460E9E0"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65" w:history="1">
        <w:r w:rsidRPr="00D767EF">
          <w:rPr>
            <w:rStyle w:val="Hyperlink"/>
            <w:noProof/>
          </w:rPr>
          <w:t>Terms of reference</w:t>
        </w:r>
        <w:r>
          <w:rPr>
            <w:noProof/>
            <w:webHidden/>
          </w:rPr>
          <w:tab/>
        </w:r>
        <w:r>
          <w:rPr>
            <w:noProof/>
            <w:webHidden/>
          </w:rPr>
          <w:fldChar w:fldCharType="begin"/>
        </w:r>
        <w:r>
          <w:rPr>
            <w:noProof/>
            <w:webHidden/>
          </w:rPr>
          <w:instrText xml:space="preserve"> PAGEREF _Toc222762265 \h </w:instrText>
        </w:r>
        <w:r>
          <w:rPr>
            <w:noProof/>
            <w:webHidden/>
          </w:rPr>
        </w:r>
        <w:r>
          <w:rPr>
            <w:noProof/>
            <w:webHidden/>
          </w:rPr>
          <w:fldChar w:fldCharType="separate"/>
        </w:r>
        <w:r>
          <w:rPr>
            <w:noProof/>
            <w:webHidden/>
          </w:rPr>
          <w:t>5</w:t>
        </w:r>
        <w:r>
          <w:rPr>
            <w:noProof/>
            <w:webHidden/>
          </w:rPr>
          <w:fldChar w:fldCharType="end"/>
        </w:r>
      </w:hyperlink>
    </w:p>
    <w:p w14:paraId="7576471F" w14:textId="3D91B1F6"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66" w:history="1">
        <w:r w:rsidRPr="00D767EF">
          <w:rPr>
            <w:rStyle w:val="Hyperlink"/>
            <w:noProof/>
          </w:rPr>
          <w:t>Acknowledgements</w:t>
        </w:r>
        <w:r>
          <w:rPr>
            <w:noProof/>
            <w:webHidden/>
          </w:rPr>
          <w:tab/>
        </w:r>
        <w:r>
          <w:rPr>
            <w:noProof/>
            <w:webHidden/>
          </w:rPr>
          <w:fldChar w:fldCharType="begin"/>
        </w:r>
        <w:r>
          <w:rPr>
            <w:noProof/>
            <w:webHidden/>
          </w:rPr>
          <w:instrText xml:space="preserve"> PAGEREF _Toc222762266 \h </w:instrText>
        </w:r>
        <w:r>
          <w:rPr>
            <w:noProof/>
            <w:webHidden/>
          </w:rPr>
        </w:r>
        <w:r>
          <w:rPr>
            <w:noProof/>
            <w:webHidden/>
          </w:rPr>
          <w:fldChar w:fldCharType="separate"/>
        </w:r>
        <w:r>
          <w:rPr>
            <w:noProof/>
            <w:webHidden/>
          </w:rPr>
          <w:t>8</w:t>
        </w:r>
        <w:r>
          <w:rPr>
            <w:noProof/>
            <w:webHidden/>
          </w:rPr>
          <w:fldChar w:fldCharType="end"/>
        </w:r>
      </w:hyperlink>
    </w:p>
    <w:p w14:paraId="559368BF" w14:textId="5214A5CC"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67" w:history="1">
        <w:r w:rsidRPr="00D767EF">
          <w:rPr>
            <w:rStyle w:val="Hyperlink"/>
            <w:noProof/>
          </w:rPr>
          <w:t>Notes</w:t>
        </w:r>
        <w:r>
          <w:rPr>
            <w:noProof/>
            <w:webHidden/>
          </w:rPr>
          <w:tab/>
        </w:r>
        <w:r>
          <w:rPr>
            <w:noProof/>
            <w:webHidden/>
          </w:rPr>
          <w:fldChar w:fldCharType="begin"/>
        </w:r>
        <w:r>
          <w:rPr>
            <w:noProof/>
            <w:webHidden/>
          </w:rPr>
          <w:instrText xml:space="preserve"> PAGEREF _Toc222762267 \h </w:instrText>
        </w:r>
        <w:r>
          <w:rPr>
            <w:noProof/>
            <w:webHidden/>
          </w:rPr>
        </w:r>
        <w:r>
          <w:rPr>
            <w:noProof/>
            <w:webHidden/>
          </w:rPr>
          <w:fldChar w:fldCharType="separate"/>
        </w:r>
        <w:r>
          <w:rPr>
            <w:noProof/>
            <w:webHidden/>
          </w:rPr>
          <w:t>8</w:t>
        </w:r>
        <w:r>
          <w:rPr>
            <w:noProof/>
            <w:webHidden/>
          </w:rPr>
          <w:fldChar w:fldCharType="end"/>
        </w:r>
      </w:hyperlink>
    </w:p>
    <w:p w14:paraId="1326443A" w14:textId="38D6B151"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68" w:history="1">
        <w:r w:rsidRPr="00D767EF">
          <w:rPr>
            <w:rStyle w:val="Hyperlink"/>
            <w:noProof/>
          </w:rPr>
          <w:t>Acronyms</w:t>
        </w:r>
        <w:r>
          <w:rPr>
            <w:noProof/>
            <w:webHidden/>
          </w:rPr>
          <w:tab/>
        </w:r>
        <w:r>
          <w:rPr>
            <w:noProof/>
            <w:webHidden/>
          </w:rPr>
          <w:fldChar w:fldCharType="begin"/>
        </w:r>
        <w:r>
          <w:rPr>
            <w:noProof/>
            <w:webHidden/>
          </w:rPr>
          <w:instrText xml:space="preserve"> PAGEREF _Toc222762268 \h </w:instrText>
        </w:r>
        <w:r>
          <w:rPr>
            <w:noProof/>
            <w:webHidden/>
          </w:rPr>
        </w:r>
        <w:r>
          <w:rPr>
            <w:noProof/>
            <w:webHidden/>
          </w:rPr>
          <w:fldChar w:fldCharType="separate"/>
        </w:r>
        <w:r>
          <w:rPr>
            <w:noProof/>
            <w:webHidden/>
          </w:rPr>
          <w:t>8</w:t>
        </w:r>
        <w:r>
          <w:rPr>
            <w:noProof/>
            <w:webHidden/>
          </w:rPr>
          <w:fldChar w:fldCharType="end"/>
        </w:r>
      </w:hyperlink>
    </w:p>
    <w:p w14:paraId="3E141A92" w14:textId="5A1097B3"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69" w:history="1">
        <w:r w:rsidRPr="00D767EF">
          <w:rPr>
            <w:rStyle w:val="Hyperlink"/>
            <w:noProof/>
          </w:rPr>
          <w:t>Glossary</w:t>
        </w:r>
        <w:r>
          <w:rPr>
            <w:noProof/>
            <w:webHidden/>
          </w:rPr>
          <w:tab/>
        </w:r>
        <w:r>
          <w:rPr>
            <w:noProof/>
            <w:webHidden/>
          </w:rPr>
          <w:fldChar w:fldCharType="begin"/>
        </w:r>
        <w:r>
          <w:rPr>
            <w:noProof/>
            <w:webHidden/>
          </w:rPr>
          <w:instrText xml:space="preserve"> PAGEREF _Toc222762269 \h </w:instrText>
        </w:r>
        <w:r>
          <w:rPr>
            <w:noProof/>
            <w:webHidden/>
          </w:rPr>
        </w:r>
        <w:r>
          <w:rPr>
            <w:noProof/>
            <w:webHidden/>
          </w:rPr>
          <w:fldChar w:fldCharType="separate"/>
        </w:r>
        <w:r>
          <w:rPr>
            <w:noProof/>
            <w:webHidden/>
          </w:rPr>
          <w:t>8</w:t>
        </w:r>
        <w:r>
          <w:rPr>
            <w:noProof/>
            <w:webHidden/>
          </w:rPr>
          <w:fldChar w:fldCharType="end"/>
        </w:r>
      </w:hyperlink>
    </w:p>
    <w:p w14:paraId="244C210B" w14:textId="7E4782CC"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0" w:history="1">
        <w:r w:rsidRPr="00D767EF">
          <w:rPr>
            <w:rStyle w:val="Hyperlink"/>
            <w:noProof/>
          </w:rPr>
          <w:t>Executive summary</w:t>
        </w:r>
        <w:r>
          <w:rPr>
            <w:noProof/>
            <w:webHidden/>
          </w:rPr>
          <w:tab/>
        </w:r>
        <w:r>
          <w:rPr>
            <w:noProof/>
            <w:webHidden/>
          </w:rPr>
          <w:fldChar w:fldCharType="begin"/>
        </w:r>
        <w:r>
          <w:rPr>
            <w:noProof/>
            <w:webHidden/>
          </w:rPr>
          <w:instrText xml:space="preserve"> PAGEREF _Toc222762270 \h </w:instrText>
        </w:r>
        <w:r>
          <w:rPr>
            <w:noProof/>
            <w:webHidden/>
          </w:rPr>
        </w:r>
        <w:r>
          <w:rPr>
            <w:noProof/>
            <w:webHidden/>
          </w:rPr>
          <w:fldChar w:fldCharType="separate"/>
        </w:r>
        <w:r>
          <w:rPr>
            <w:noProof/>
            <w:webHidden/>
          </w:rPr>
          <w:t>9</w:t>
        </w:r>
        <w:r>
          <w:rPr>
            <w:noProof/>
            <w:webHidden/>
          </w:rPr>
          <w:fldChar w:fldCharType="end"/>
        </w:r>
      </w:hyperlink>
    </w:p>
    <w:p w14:paraId="179C59D9" w14:textId="5EA142DD"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1" w:history="1">
        <w:r w:rsidRPr="00D767EF">
          <w:rPr>
            <w:rStyle w:val="Hyperlink"/>
            <w:noProof/>
          </w:rPr>
          <w:t>Introduction</w:t>
        </w:r>
        <w:r>
          <w:rPr>
            <w:noProof/>
            <w:webHidden/>
          </w:rPr>
          <w:tab/>
        </w:r>
        <w:r>
          <w:rPr>
            <w:noProof/>
            <w:webHidden/>
          </w:rPr>
          <w:fldChar w:fldCharType="begin"/>
        </w:r>
        <w:r>
          <w:rPr>
            <w:noProof/>
            <w:webHidden/>
          </w:rPr>
          <w:instrText xml:space="preserve"> PAGEREF _Toc222762271 \h </w:instrText>
        </w:r>
        <w:r>
          <w:rPr>
            <w:noProof/>
            <w:webHidden/>
          </w:rPr>
        </w:r>
        <w:r>
          <w:rPr>
            <w:noProof/>
            <w:webHidden/>
          </w:rPr>
          <w:fldChar w:fldCharType="separate"/>
        </w:r>
        <w:r>
          <w:rPr>
            <w:noProof/>
            <w:webHidden/>
          </w:rPr>
          <w:t>12</w:t>
        </w:r>
        <w:r>
          <w:rPr>
            <w:noProof/>
            <w:webHidden/>
          </w:rPr>
          <w:fldChar w:fldCharType="end"/>
        </w:r>
      </w:hyperlink>
    </w:p>
    <w:p w14:paraId="642F8BCF" w14:textId="66C8DD56"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2" w:history="1">
        <w:r w:rsidRPr="00D767EF">
          <w:rPr>
            <w:rStyle w:val="Hyperlink"/>
            <w:noProof/>
          </w:rPr>
          <w:t>1. Recommended GST relativities</w:t>
        </w:r>
        <w:r>
          <w:rPr>
            <w:noProof/>
            <w:webHidden/>
          </w:rPr>
          <w:tab/>
        </w:r>
        <w:r>
          <w:rPr>
            <w:noProof/>
            <w:webHidden/>
          </w:rPr>
          <w:fldChar w:fldCharType="begin"/>
        </w:r>
        <w:r>
          <w:rPr>
            <w:noProof/>
            <w:webHidden/>
          </w:rPr>
          <w:instrText xml:space="preserve"> PAGEREF _Toc222762272 \h </w:instrText>
        </w:r>
        <w:r>
          <w:rPr>
            <w:noProof/>
            <w:webHidden/>
          </w:rPr>
        </w:r>
        <w:r>
          <w:rPr>
            <w:noProof/>
            <w:webHidden/>
          </w:rPr>
          <w:fldChar w:fldCharType="separate"/>
        </w:r>
        <w:r>
          <w:rPr>
            <w:noProof/>
            <w:webHidden/>
          </w:rPr>
          <w:t>14</w:t>
        </w:r>
        <w:r>
          <w:rPr>
            <w:noProof/>
            <w:webHidden/>
          </w:rPr>
          <w:fldChar w:fldCharType="end"/>
        </w:r>
      </w:hyperlink>
    </w:p>
    <w:p w14:paraId="0F1363F6" w14:textId="2B77F5B6"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3" w:history="1">
        <w:r w:rsidRPr="00D767EF">
          <w:rPr>
            <w:rStyle w:val="Hyperlink"/>
            <w:noProof/>
          </w:rPr>
          <w:t>2. Drivers of GST distribution</w:t>
        </w:r>
        <w:r>
          <w:rPr>
            <w:noProof/>
            <w:webHidden/>
          </w:rPr>
          <w:tab/>
        </w:r>
        <w:r>
          <w:rPr>
            <w:noProof/>
            <w:webHidden/>
          </w:rPr>
          <w:fldChar w:fldCharType="begin"/>
        </w:r>
        <w:r>
          <w:rPr>
            <w:noProof/>
            <w:webHidden/>
          </w:rPr>
          <w:instrText xml:space="preserve"> PAGEREF _Toc222762273 \h </w:instrText>
        </w:r>
        <w:r>
          <w:rPr>
            <w:noProof/>
            <w:webHidden/>
          </w:rPr>
        </w:r>
        <w:r>
          <w:rPr>
            <w:noProof/>
            <w:webHidden/>
          </w:rPr>
          <w:fldChar w:fldCharType="separate"/>
        </w:r>
        <w:r>
          <w:rPr>
            <w:noProof/>
            <w:webHidden/>
          </w:rPr>
          <w:t>20</w:t>
        </w:r>
        <w:r>
          <w:rPr>
            <w:noProof/>
            <w:webHidden/>
          </w:rPr>
          <w:fldChar w:fldCharType="end"/>
        </w:r>
      </w:hyperlink>
    </w:p>
    <w:p w14:paraId="75EE8D16" w14:textId="4923F9ED" w:rsidR="00D9186D" w:rsidRDefault="00D9186D">
      <w:pPr>
        <w:pStyle w:val="TOC1"/>
        <w:tabs>
          <w:tab w:val="left" w:pos="720"/>
          <w:tab w:val="right" w:leader="dot" w:pos="9054"/>
        </w:tabs>
        <w:rPr>
          <w:rFonts w:asciiTheme="minorHAnsi" w:eastAsiaTheme="minorEastAsia" w:hAnsiTheme="minorHAnsi"/>
          <w:noProof/>
          <w:kern w:val="2"/>
          <w:sz w:val="24"/>
          <w:szCs w:val="24"/>
          <w:lang w:eastAsia="en-AU"/>
          <w14:ligatures w14:val="standardContextual"/>
        </w:rPr>
      </w:pPr>
      <w:hyperlink w:anchor="_Toc222762274" w:history="1">
        <w:r w:rsidRPr="00D767EF">
          <w:rPr>
            <w:rStyle w:val="Hyperlink"/>
            <w:noProof/>
          </w:rPr>
          <w:t>3.</w:t>
        </w:r>
        <w:r w:rsidR="008D4A44">
          <w:rPr>
            <w:rFonts w:asciiTheme="minorHAnsi" w:eastAsiaTheme="minorEastAsia" w:hAnsiTheme="minorHAnsi"/>
            <w:noProof/>
            <w:kern w:val="2"/>
            <w:sz w:val="24"/>
            <w:szCs w:val="24"/>
            <w:lang w:eastAsia="en-AU"/>
            <w14:ligatures w14:val="standardContextual"/>
          </w:rPr>
          <w:t xml:space="preserve"> </w:t>
        </w:r>
        <w:r w:rsidRPr="00D767EF">
          <w:rPr>
            <w:rStyle w:val="Hyperlink"/>
            <w:noProof/>
          </w:rPr>
          <w:t>State by state changes</w:t>
        </w:r>
        <w:r>
          <w:rPr>
            <w:noProof/>
            <w:webHidden/>
          </w:rPr>
          <w:tab/>
        </w:r>
        <w:r>
          <w:rPr>
            <w:noProof/>
            <w:webHidden/>
          </w:rPr>
          <w:fldChar w:fldCharType="begin"/>
        </w:r>
        <w:r>
          <w:rPr>
            <w:noProof/>
            <w:webHidden/>
          </w:rPr>
          <w:instrText xml:space="preserve"> PAGEREF _Toc222762274 \h </w:instrText>
        </w:r>
        <w:r>
          <w:rPr>
            <w:noProof/>
            <w:webHidden/>
          </w:rPr>
        </w:r>
        <w:r>
          <w:rPr>
            <w:noProof/>
            <w:webHidden/>
          </w:rPr>
          <w:fldChar w:fldCharType="separate"/>
        </w:r>
        <w:r>
          <w:rPr>
            <w:noProof/>
            <w:webHidden/>
          </w:rPr>
          <w:t>36</w:t>
        </w:r>
        <w:r>
          <w:rPr>
            <w:noProof/>
            <w:webHidden/>
          </w:rPr>
          <w:fldChar w:fldCharType="end"/>
        </w:r>
      </w:hyperlink>
    </w:p>
    <w:p w14:paraId="5BA77216" w14:textId="557F3004"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5" w:history="1">
        <w:r w:rsidRPr="00D767EF">
          <w:rPr>
            <w:rStyle w:val="Hyperlink"/>
            <w:noProof/>
          </w:rPr>
          <w:t>Appendix A: The Commission’s approach</w:t>
        </w:r>
        <w:r>
          <w:rPr>
            <w:noProof/>
            <w:webHidden/>
          </w:rPr>
          <w:tab/>
        </w:r>
        <w:r>
          <w:rPr>
            <w:noProof/>
            <w:webHidden/>
          </w:rPr>
          <w:fldChar w:fldCharType="begin"/>
        </w:r>
        <w:r>
          <w:rPr>
            <w:noProof/>
            <w:webHidden/>
          </w:rPr>
          <w:instrText xml:space="preserve"> PAGEREF _Toc222762275 \h </w:instrText>
        </w:r>
        <w:r>
          <w:rPr>
            <w:noProof/>
            <w:webHidden/>
          </w:rPr>
        </w:r>
        <w:r>
          <w:rPr>
            <w:noProof/>
            <w:webHidden/>
          </w:rPr>
          <w:fldChar w:fldCharType="separate"/>
        </w:r>
        <w:r>
          <w:rPr>
            <w:noProof/>
            <w:webHidden/>
          </w:rPr>
          <w:t>53</w:t>
        </w:r>
        <w:r>
          <w:rPr>
            <w:noProof/>
            <w:webHidden/>
          </w:rPr>
          <w:fldChar w:fldCharType="end"/>
        </w:r>
      </w:hyperlink>
    </w:p>
    <w:p w14:paraId="41D0A1D0" w14:textId="4639BBD5"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6" w:history="1">
        <w:r w:rsidRPr="00D767EF">
          <w:rPr>
            <w:rStyle w:val="Hyperlink"/>
            <w:noProof/>
          </w:rPr>
          <w:t>Appendix B: How GST relativities are calculated 2026-27</w:t>
        </w:r>
        <w:r>
          <w:rPr>
            <w:noProof/>
            <w:webHidden/>
          </w:rPr>
          <w:tab/>
        </w:r>
        <w:r>
          <w:rPr>
            <w:noProof/>
            <w:webHidden/>
          </w:rPr>
          <w:fldChar w:fldCharType="begin"/>
        </w:r>
        <w:r>
          <w:rPr>
            <w:noProof/>
            <w:webHidden/>
          </w:rPr>
          <w:instrText xml:space="preserve"> PAGEREF _Toc222762276 \h </w:instrText>
        </w:r>
        <w:r>
          <w:rPr>
            <w:noProof/>
            <w:webHidden/>
          </w:rPr>
        </w:r>
        <w:r>
          <w:rPr>
            <w:noProof/>
            <w:webHidden/>
          </w:rPr>
          <w:fldChar w:fldCharType="separate"/>
        </w:r>
        <w:r>
          <w:rPr>
            <w:noProof/>
            <w:webHidden/>
          </w:rPr>
          <w:t>55</w:t>
        </w:r>
        <w:r>
          <w:rPr>
            <w:noProof/>
            <w:webHidden/>
          </w:rPr>
          <w:fldChar w:fldCharType="end"/>
        </w:r>
      </w:hyperlink>
    </w:p>
    <w:p w14:paraId="7BDC9102" w14:textId="64BAB3E1"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7" w:history="1">
        <w:r w:rsidRPr="00D767EF">
          <w:rPr>
            <w:rStyle w:val="Hyperlink"/>
            <w:noProof/>
          </w:rPr>
          <w:t>Appendix C: GST distribution since 2000–</w:t>
        </w:r>
        <w:r w:rsidRPr="00D767EF">
          <w:rPr>
            <w:rStyle w:val="Hyperlink"/>
            <w:rFonts w:ascii="Times New Roman" w:hAnsi="Times New Roman" w:cs="Times New Roman" w:hint="eastAsia"/>
            <w:noProof/>
            <w:rtl/>
          </w:rPr>
          <w:t>‍</w:t>
        </w:r>
        <w:r w:rsidRPr="00D767EF">
          <w:rPr>
            <w:rStyle w:val="Hyperlink"/>
            <w:noProof/>
          </w:rPr>
          <w:t>01</w:t>
        </w:r>
        <w:r>
          <w:rPr>
            <w:noProof/>
            <w:webHidden/>
          </w:rPr>
          <w:tab/>
        </w:r>
        <w:r>
          <w:rPr>
            <w:noProof/>
            <w:webHidden/>
          </w:rPr>
          <w:fldChar w:fldCharType="begin"/>
        </w:r>
        <w:r>
          <w:rPr>
            <w:noProof/>
            <w:webHidden/>
          </w:rPr>
          <w:instrText xml:space="preserve"> PAGEREF _Toc222762277 \h </w:instrText>
        </w:r>
        <w:r>
          <w:rPr>
            <w:noProof/>
            <w:webHidden/>
          </w:rPr>
        </w:r>
        <w:r>
          <w:rPr>
            <w:noProof/>
            <w:webHidden/>
          </w:rPr>
          <w:fldChar w:fldCharType="separate"/>
        </w:r>
        <w:r>
          <w:rPr>
            <w:noProof/>
            <w:webHidden/>
          </w:rPr>
          <w:t>60</w:t>
        </w:r>
        <w:r>
          <w:rPr>
            <w:noProof/>
            <w:webHidden/>
          </w:rPr>
          <w:fldChar w:fldCharType="end"/>
        </w:r>
      </w:hyperlink>
    </w:p>
    <w:p w14:paraId="57B401DF" w14:textId="6108D824"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8" w:history="1">
        <w:r w:rsidRPr="00D767EF">
          <w:rPr>
            <w:rStyle w:val="Hyperlink"/>
            <w:noProof/>
          </w:rPr>
          <w:t>Appendix D: Quality assurance</w:t>
        </w:r>
        <w:r>
          <w:rPr>
            <w:noProof/>
            <w:webHidden/>
          </w:rPr>
          <w:tab/>
        </w:r>
        <w:r>
          <w:rPr>
            <w:noProof/>
            <w:webHidden/>
          </w:rPr>
          <w:fldChar w:fldCharType="begin"/>
        </w:r>
        <w:r>
          <w:rPr>
            <w:noProof/>
            <w:webHidden/>
          </w:rPr>
          <w:instrText xml:space="preserve"> PAGEREF _Toc222762278 \h </w:instrText>
        </w:r>
        <w:r>
          <w:rPr>
            <w:noProof/>
            <w:webHidden/>
          </w:rPr>
        </w:r>
        <w:r>
          <w:rPr>
            <w:noProof/>
            <w:webHidden/>
          </w:rPr>
          <w:fldChar w:fldCharType="separate"/>
        </w:r>
        <w:r>
          <w:rPr>
            <w:noProof/>
            <w:webHidden/>
          </w:rPr>
          <w:t>64</w:t>
        </w:r>
        <w:r>
          <w:rPr>
            <w:noProof/>
            <w:webHidden/>
          </w:rPr>
          <w:fldChar w:fldCharType="end"/>
        </w:r>
      </w:hyperlink>
    </w:p>
    <w:p w14:paraId="2FB8A380" w14:textId="0562A790" w:rsidR="00D9186D" w:rsidRDefault="00D9186D">
      <w:pPr>
        <w:pStyle w:val="TOC1"/>
        <w:tabs>
          <w:tab w:val="right" w:leader="dot" w:pos="9054"/>
        </w:tabs>
        <w:rPr>
          <w:rFonts w:asciiTheme="minorHAnsi" w:eastAsiaTheme="minorEastAsia" w:hAnsiTheme="minorHAnsi"/>
          <w:noProof/>
          <w:kern w:val="2"/>
          <w:sz w:val="24"/>
          <w:szCs w:val="24"/>
          <w:lang w:eastAsia="en-AU"/>
          <w14:ligatures w14:val="standardContextual"/>
        </w:rPr>
      </w:pPr>
      <w:hyperlink w:anchor="_Toc222762279" w:history="1">
        <w:r w:rsidRPr="00D767EF">
          <w:rPr>
            <w:rStyle w:val="Hyperlink"/>
            <w:noProof/>
          </w:rPr>
          <w:t xml:space="preserve">Attachment A </w:t>
        </w:r>
        <w:r>
          <w:rPr>
            <w:noProof/>
            <w:webHidden/>
          </w:rPr>
          <w:tab/>
        </w:r>
        <w:r>
          <w:rPr>
            <w:noProof/>
            <w:webHidden/>
          </w:rPr>
          <w:fldChar w:fldCharType="begin"/>
        </w:r>
        <w:r>
          <w:rPr>
            <w:noProof/>
            <w:webHidden/>
          </w:rPr>
          <w:instrText xml:space="preserve"> PAGEREF _Toc222762279 \h </w:instrText>
        </w:r>
        <w:r>
          <w:rPr>
            <w:noProof/>
            <w:webHidden/>
          </w:rPr>
        </w:r>
        <w:r>
          <w:rPr>
            <w:noProof/>
            <w:webHidden/>
          </w:rPr>
          <w:fldChar w:fldCharType="separate"/>
        </w:r>
        <w:r>
          <w:rPr>
            <w:noProof/>
            <w:webHidden/>
          </w:rPr>
          <w:t>65</w:t>
        </w:r>
        <w:r>
          <w:rPr>
            <w:noProof/>
            <w:webHidden/>
          </w:rPr>
          <w:fldChar w:fldCharType="end"/>
        </w:r>
      </w:hyperlink>
    </w:p>
    <w:p w14:paraId="3025C882" w14:textId="59653705" w:rsidR="009F2519" w:rsidRDefault="009F2519" w:rsidP="009F2519">
      <w:pPr>
        <w:tabs>
          <w:tab w:val="clear" w:pos="567"/>
        </w:tabs>
        <w:spacing w:before="0" w:line="240" w:lineRule="auto"/>
        <w:rPr>
          <w:rFonts w:eastAsiaTheme="majorEastAsia" w:cs="Open Sans"/>
          <w:bCs/>
          <w:color w:val="006991"/>
          <w:sz w:val="40"/>
          <w:szCs w:val="40"/>
        </w:rPr>
      </w:pPr>
      <w:r w:rsidRPr="00236FE7">
        <w:fldChar w:fldCharType="end"/>
      </w:r>
      <w:r>
        <w:br w:type="page"/>
      </w:r>
    </w:p>
    <w:p w14:paraId="477797E9" w14:textId="29EE259D" w:rsidR="000B1C97" w:rsidRDefault="000B1C97" w:rsidP="00577948">
      <w:pPr>
        <w:pStyle w:val="Heading1"/>
        <w:numPr>
          <w:ilvl w:val="0"/>
          <w:numId w:val="0"/>
        </w:numPr>
      </w:pPr>
      <w:bookmarkStart w:id="20" w:name="_Toc222762264"/>
      <w:r>
        <w:lastRenderedPageBreak/>
        <w:t>Letter of transmittal</w:t>
      </w:r>
      <w:bookmarkEnd w:id="20"/>
    </w:p>
    <w:p w14:paraId="0F8B408E" w14:textId="11822500" w:rsidR="0065167E" w:rsidRDefault="007952F2" w:rsidP="00457D83">
      <w:r>
        <w:rPr>
          <w:noProof/>
        </w:rPr>
        <w:drawing>
          <wp:inline distT="0" distB="0" distL="0" distR="0" wp14:anchorId="48D23855" wp14:editId="26A8D20A">
            <wp:extent cx="5755640" cy="8138795"/>
            <wp:effectExtent l="0" t="0" r="0" b="0"/>
            <wp:docPr id="1186804111" name="Picture 10"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04111" name="Picture 10" descr="A close-up of a let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5640" cy="8138795"/>
                    </a:xfrm>
                    <a:prstGeom prst="rect">
                      <a:avLst/>
                    </a:prstGeom>
                  </pic:spPr>
                </pic:pic>
              </a:graphicData>
            </a:graphic>
          </wp:inline>
        </w:drawing>
      </w:r>
    </w:p>
    <w:p w14:paraId="6FAC1887" w14:textId="77777777" w:rsidR="0065167E" w:rsidRPr="00D54974" w:rsidRDefault="0065167E" w:rsidP="001A65A0">
      <w:pPr>
        <w:spacing w:before="0" w:line="252" w:lineRule="auto"/>
        <w:rPr>
          <w:rFonts w:ascii="Open Sans Light" w:hAnsi="Open Sans Light" w:cs="Open Sans Light"/>
        </w:rPr>
      </w:pPr>
    </w:p>
    <w:p w14:paraId="134FFD7F" w14:textId="23B9C790" w:rsidR="000B1C97" w:rsidRDefault="0065167E" w:rsidP="004558CF">
      <w:pPr>
        <w:spacing w:before="0" w:line="252" w:lineRule="auto"/>
        <w:rPr>
          <w:rFonts w:eastAsiaTheme="majorEastAsia" w:cs="Open Sans"/>
          <w:bCs/>
          <w:color w:val="006991"/>
          <w:sz w:val="40"/>
          <w:szCs w:val="40"/>
        </w:rPr>
      </w:pPr>
      <w:r w:rsidRPr="00B31F2D">
        <w:rPr>
          <w:rFonts w:ascii="Open Sans Light" w:hAnsi="Open Sans Light" w:cs="Open Sans Light"/>
        </w:rPr>
        <w:tab/>
      </w:r>
      <w:r w:rsidR="000B1C97">
        <w:br w:type="page"/>
      </w:r>
    </w:p>
    <w:p w14:paraId="46D71B72" w14:textId="4F682EDF" w:rsidR="00F67EEC" w:rsidRDefault="00D621BE" w:rsidP="00F67EEC">
      <w:pPr>
        <w:pStyle w:val="Heading1"/>
        <w:numPr>
          <w:ilvl w:val="0"/>
          <w:numId w:val="0"/>
        </w:numPr>
      </w:pPr>
      <w:bookmarkStart w:id="21" w:name="Terms_of_reference"/>
      <w:bookmarkStart w:id="22" w:name="_Toc222762265"/>
      <w:r>
        <w:rPr>
          <w:noProof/>
        </w:rPr>
        <w:lastRenderedPageBreak/>
        <w:drawing>
          <wp:anchor distT="0" distB="0" distL="114300" distR="114300" simplePos="0" relativeHeight="251658244" behindDoc="1" locked="0" layoutInCell="1" allowOverlap="1" wp14:anchorId="53AAF66C" wp14:editId="7C99867E">
            <wp:simplePos x="0" y="0"/>
            <wp:positionH relativeFrom="column">
              <wp:posOffset>-288290</wp:posOffset>
            </wp:positionH>
            <wp:positionV relativeFrom="page">
              <wp:posOffset>1211580</wp:posOffset>
            </wp:positionV>
            <wp:extent cx="6141600" cy="8683200"/>
            <wp:effectExtent l="0" t="0" r="0" b="3810"/>
            <wp:wrapTight wrapText="bothSides">
              <wp:wrapPolygon edited="0">
                <wp:start x="0" y="0"/>
                <wp:lineTo x="0" y="21562"/>
                <wp:lineTo x="21508" y="21562"/>
                <wp:lineTo x="21508" y="0"/>
                <wp:lineTo x="0" y="0"/>
              </wp:wrapPolygon>
            </wp:wrapTight>
            <wp:docPr id="1333610988" name="Picture 3"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10988" name="Picture 3" descr="A close-up of a paper&#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41600" cy="8683200"/>
                    </a:xfrm>
                    <a:prstGeom prst="rect">
                      <a:avLst/>
                    </a:prstGeom>
                  </pic:spPr>
                </pic:pic>
              </a:graphicData>
            </a:graphic>
            <wp14:sizeRelH relativeFrom="margin">
              <wp14:pctWidth>0</wp14:pctWidth>
            </wp14:sizeRelH>
            <wp14:sizeRelV relativeFrom="margin">
              <wp14:pctHeight>0</wp14:pctHeight>
            </wp14:sizeRelV>
          </wp:anchor>
        </w:drawing>
      </w:r>
      <w:r w:rsidR="00F67EEC">
        <w:t>Terms of reference</w:t>
      </w:r>
      <w:bookmarkEnd w:id="21"/>
      <w:bookmarkEnd w:id="22"/>
    </w:p>
    <w:p w14:paraId="62467C61" w14:textId="652173E6" w:rsidR="00332A7C" w:rsidRDefault="00332A7C" w:rsidP="00F67EEC">
      <w:pPr>
        <w:tabs>
          <w:tab w:val="clear" w:pos="567"/>
        </w:tabs>
        <w:spacing w:before="0" w:line="240" w:lineRule="auto"/>
        <w:rPr>
          <w:highlight w:val="yellow"/>
        </w:rPr>
      </w:pPr>
    </w:p>
    <w:p w14:paraId="7A8CE92C" w14:textId="15508464" w:rsidR="00266254" w:rsidRDefault="00D621BE">
      <w:pPr>
        <w:tabs>
          <w:tab w:val="clear" w:pos="567"/>
        </w:tabs>
        <w:spacing w:before="0" w:line="240" w:lineRule="auto"/>
      </w:pPr>
      <w:r>
        <w:rPr>
          <w:noProof/>
        </w:rPr>
        <w:drawing>
          <wp:anchor distT="0" distB="0" distL="114300" distR="114300" simplePos="0" relativeHeight="251658245" behindDoc="1" locked="0" layoutInCell="1" allowOverlap="1" wp14:anchorId="2735A978" wp14:editId="150F0758">
            <wp:simplePos x="0" y="0"/>
            <wp:positionH relativeFrom="column">
              <wp:posOffset>-288290</wp:posOffset>
            </wp:positionH>
            <wp:positionV relativeFrom="page">
              <wp:posOffset>984885</wp:posOffset>
            </wp:positionV>
            <wp:extent cx="6156000" cy="8708400"/>
            <wp:effectExtent l="0" t="0" r="0" b="0"/>
            <wp:wrapTight wrapText="bothSides">
              <wp:wrapPolygon edited="0">
                <wp:start x="0" y="0"/>
                <wp:lineTo x="0" y="21546"/>
                <wp:lineTo x="21524" y="21546"/>
                <wp:lineTo x="21524" y="0"/>
                <wp:lineTo x="0" y="0"/>
              </wp:wrapPolygon>
            </wp:wrapTight>
            <wp:docPr id="709987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8751" name="Picture 7099875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56000" cy="8708400"/>
                    </a:xfrm>
                    <a:prstGeom prst="rect">
                      <a:avLst/>
                    </a:prstGeom>
                  </pic:spPr>
                </pic:pic>
              </a:graphicData>
            </a:graphic>
            <wp14:sizeRelH relativeFrom="margin">
              <wp14:pctWidth>0</wp14:pctWidth>
            </wp14:sizeRelH>
            <wp14:sizeRelV relativeFrom="margin">
              <wp14:pctHeight>0</wp14:pctHeight>
            </wp14:sizeRelV>
          </wp:anchor>
        </w:drawing>
      </w:r>
    </w:p>
    <w:p w14:paraId="49340300" w14:textId="06CCE162" w:rsidR="00F67EEC" w:rsidRDefault="00266254">
      <w:pPr>
        <w:tabs>
          <w:tab w:val="clear" w:pos="567"/>
        </w:tabs>
        <w:spacing w:before="0" w:line="240" w:lineRule="auto"/>
        <w:rPr>
          <w:rFonts w:eastAsiaTheme="majorEastAsia" w:cs="Open Sans"/>
          <w:bCs/>
          <w:color w:val="006991"/>
          <w:sz w:val="40"/>
          <w:szCs w:val="40"/>
        </w:rPr>
      </w:pPr>
      <w:r>
        <w:rPr>
          <w:noProof/>
        </w:rPr>
        <w:lastRenderedPageBreak/>
        <w:drawing>
          <wp:anchor distT="0" distB="0" distL="114300" distR="114300" simplePos="0" relativeHeight="251658246" behindDoc="1" locked="0" layoutInCell="1" allowOverlap="1" wp14:anchorId="29C9A954" wp14:editId="5A9A275A">
            <wp:simplePos x="0" y="0"/>
            <wp:positionH relativeFrom="column">
              <wp:posOffset>-288290</wp:posOffset>
            </wp:positionH>
            <wp:positionV relativeFrom="page">
              <wp:posOffset>1213485</wp:posOffset>
            </wp:positionV>
            <wp:extent cx="6037200" cy="8539200"/>
            <wp:effectExtent l="0" t="0" r="1905" b="0"/>
            <wp:wrapTight wrapText="bothSides">
              <wp:wrapPolygon edited="0">
                <wp:start x="0" y="0"/>
                <wp:lineTo x="0" y="21541"/>
                <wp:lineTo x="21539" y="21541"/>
                <wp:lineTo x="21539" y="0"/>
                <wp:lineTo x="0" y="0"/>
              </wp:wrapPolygon>
            </wp:wrapTight>
            <wp:docPr id="16236763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76320" name="Picture 162367632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37200" cy="8539200"/>
                    </a:xfrm>
                    <a:prstGeom prst="rect">
                      <a:avLst/>
                    </a:prstGeom>
                  </pic:spPr>
                </pic:pic>
              </a:graphicData>
            </a:graphic>
            <wp14:sizeRelH relativeFrom="margin">
              <wp14:pctWidth>0</wp14:pctWidth>
            </wp14:sizeRelH>
            <wp14:sizeRelV relativeFrom="margin">
              <wp14:pctHeight>0</wp14:pctHeight>
            </wp14:sizeRelV>
          </wp:anchor>
        </w:drawing>
      </w:r>
    </w:p>
    <w:p w14:paraId="263EC15D" w14:textId="737E23E5" w:rsidR="00621A9F" w:rsidRDefault="00621A9F" w:rsidP="00577948">
      <w:pPr>
        <w:pStyle w:val="Heading1"/>
        <w:numPr>
          <w:ilvl w:val="0"/>
          <w:numId w:val="0"/>
        </w:numPr>
      </w:pPr>
      <w:bookmarkStart w:id="23" w:name="_Toc222762266"/>
      <w:r>
        <w:lastRenderedPageBreak/>
        <w:t>Acknowledgements</w:t>
      </w:r>
      <w:bookmarkEnd w:id="23"/>
    </w:p>
    <w:p w14:paraId="37B48CC7" w14:textId="77777777" w:rsidR="00F67EEC" w:rsidRPr="001B5088" w:rsidRDefault="00F67EEC" w:rsidP="00F67EEC">
      <w:pPr>
        <w:spacing w:before="0" w:line="252" w:lineRule="auto"/>
      </w:pPr>
      <w:r w:rsidRPr="001B5088">
        <w:t>The Commission appreciates the cooperation of</w:t>
      </w:r>
      <w:r>
        <w:t xml:space="preserve"> the</w:t>
      </w:r>
      <w:r w:rsidRPr="001B5088">
        <w:t xml:space="preserve"> Commonwealth and state treasuries</w:t>
      </w:r>
      <w:r>
        <w:t>,</w:t>
      </w:r>
      <w:r w:rsidRPr="001B5088">
        <w:t xml:space="preserve"> and other agencies</w:t>
      </w:r>
      <w:r>
        <w:t xml:space="preserve"> during this update</w:t>
      </w:r>
      <w:r w:rsidRPr="001B5088">
        <w:t>.</w:t>
      </w:r>
    </w:p>
    <w:p w14:paraId="2489794C" w14:textId="77777777" w:rsidR="00F67EEC" w:rsidRDefault="00F67EEC" w:rsidP="00F67EEC">
      <w:pPr>
        <w:spacing w:before="0" w:line="252" w:lineRule="auto"/>
      </w:pPr>
    </w:p>
    <w:p w14:paraId="48FF2BA1" w14:textId="77777777" w:rsidR="00F67EEC" w:rsidRPr="001B5088" w:rsidRDefault="00F67EEC" w:rsidP="00F67EEC">
      <w:pPr>
        <w:spacing w:before="0" w:line="252" w:lineRule="auto"/>
      </w:pPr>
      <w:r w:rsidRPr="001B5088">
        <w:t xml:space="preserve">The Commission also acknowledges the </w:t>
      </w:r>
      <w:r>
        <w:t xml:space="preserve">work and </w:t>
      </w:r>
      <w:r w:rsidRPr="001B5088">
        <w:t>commitment of its staff.</w:t>
      </w:r>
    </w:p>
    <w:p w14:paraId="0039A339" w14:textId="77777777" w:rsidR="00F67EEC" w:rsidRDefault="00F67EEC" w:rsidP="00F67EEC">
      <w:pPr>
        <w:spacing w:before="0" w:line="252" w:lineRule="auto"/>
      </w:pPr>
    </w:p>
    <w:p w14:paraId="53EC8DE8" w14:textId="6CE74029" w:rsidR="00B74E38" w:rsidRDefault="00B74E38" w:rsidP="00B74E38">
      <w:pPr>
        <w:pStyle w:val="Heading1"/>
        <w:numPr>
          <w:ilvl w:val="0"/>
          <w:numId w:val="0"/>
        </w:numPr>
      </w:pPr>
      <w:bookmarkStart w:id="24" w:name="_Toc222762267"/>
      <w:r>
        <w:t>Note</w:t>
      </w:r>
      <w:r w:rsidR="00DB578E">
        <w:t>s</w:t>
      </w:r>
      <w:bookmarkEnd w:id="24"/>
    </w:p>
    <w:p w14:paraId="350CE32F" w14:textId="77777777" w:rsidR="00B74E38" w:rsidRPr="003D7EC0" w:rsidRDefault="00B74E38" w:rsidP="00B74E38">
      <w:pPr>
        <w:ind w:left="1276" w:hanging="1276"/>
      </w:pPr>
      <w:r w:rsidRPr="003D7EC0">
        <w:t xml:space="preserve">State(s): </w:t>
      </w:r>
      <w:r w:rsidRPr="003D7EC0">
        <w:tab/>
        <w:t xml:space="preserve">Unless the text indicates otherwise, the term ‘state(s)’ includes the ACT and the Northern Territory. </w:t>
      </w:r>
    </w:p>
    <w:p w14:paraId="4A745D1D" w14:textId="77777777" w:rsidR="00B74E38" w:rsidRDefault="00B74E38" w:rsidP="00B74E38"/>
    <w:p w14:paraId="6D24EF9C" w14:textId="77777777" w:rsidR="00B74E38" w:rsidRDefault="00B74E38" w:rsidP="00B74E38">
      <w:r>
        <w:t>Figures in tables may not add due to rounding.</w:t>
      </w:r>
    </w:p>
    <w:p w14:paraId="3D0917DA" w14:textId="77777777" w:rsidR="00B74E38" w:rsidRDefault="00B74E38" w:rsidP="00B74E38"/>
    <w:p w14:paraId="20E4DA7E" w14:textId="77777777" w:rsidR="00B74E38" w:rsidRDefault="00B74E38" w:rsidP="00B74E38">
      <w:pPr>
        <w:pStyle w:val="Heading1"/>
        <w:numPr>
          <w:ilvl w:val="0"/>
          <w:numId w:val="0"/>
        </w:numPr>
      </w:pPr>
      <w:bookmarkStart w:id="25" w:name="_Toc222762268"/>
      <w:r>
        <w:t>Acronyms</w:t>
      </w:r>
      <w:bookmarkEnd w:id="25"/>
    </w:p>
    <w:tbl>
      <w:tblPr>
        <w:tblW w:w="8940" w:type="dxa"/>
        <w:tblInd w:w="93" w:type="dxa"/>
        <w:tblBorders>
          <w:top w:val="single" w:sz="4" w:space="0" w:color="ADD6EA"/>
          <w:bottom w:val="single" w:sz="4" w:space="0" w:color="ADD6EA"/>
          <w:insideH w:val="single" w:sz="4" w:space="0" w:color="ADD6EA"/>
        </w:tblBorders>
        <w:tblLook w:val="04A0" w:firstRow="1" w:lastRow="0" w:firstColumn="1" w:lastColumn="0" w:noHBand="0" w:noVBand="1"/>
      </w:tblPr>
      <w:tblGrid>
        <w:gridCol w:w="1440"/>
        <w:gridCol w:w="7500"/>
      </w:tblGrid>
      <w:tr w:rsidR="00B74E38" w:rsidRPr="00570C7B" w14:paraId="690874C5" w14:textId="77777777" w:rsidTr="00E51790">
        <w:trPr>
          <w:trHeight w:val="340"/>
        </w:trPr>
        <w:tc>
          <w:tcPr>
            <w:tcW w:w="1440" w:type="dxa"/>
          </w:tcPr>
          <w:p w14:paraId="069ED484" w14:textId="77777777" w:rsidR="00B74E38" w:rsidRPr="00570C7B" w:rsidRDefault="00B74E38" w:rsidP="00E51790">
            <w:r w:rsidRPr="00570C7B">
              <w:t>ABS</w:t>
            </w:r>
          </w:p>
        </w:tc>
        <w:tc>
          <w:tcPr>
            <w:tcW w:w="7500" w:type="dxa"/>
          </w:tcPr>
          <w:p w14:paraId="164B7D09" w14:textId="77777777" w:rsidR="00B74E38" w:rsidRPr="00570C7B" w:rsidRDefault="00B74E38" w:rsidP="00E51790">
            <w:r w:rsidRPr="00570C7B">
              <w:t>Australian Bureau of Statistics</w:t>
            </w:r>
          </w:p>
        </w:tc>
      </w:tr>
      <w:tr w:rsidR="003B04F7" w:rsidRPr="00570C7B" w14:paraId="179DACC2" w14:textId="77777777" w:rsidTr="00E51790">
        <w:trPr>
          <w:trHeight w:val="340"/>
        </w:trPr>
        <w:tc>
          <w:tcPr>
            <w:tcW w:w="1440" w:type="dxa"/>
          </w:tcPr>
          <w:p w14:paraId="56E99DC4" w14:textId="31129EB4" w:rsidR="003B04F7" w:rsidRPr="00570C7B" w:rsidRDefault="003B04F7" w:rsidP="00E51790">
            <w:r>
              <w:t>ACT</w:t>
            </w:r>
          </w:p>
        </w:tc>
        <w:tc>
          <w:tcPr>
            <w:tcW w:w="7500" w:type="dxa"/>
          </w:tcPr>
          <w:p w14:paraId="5B5644E3" w14:textId="4C4C9D4F" w:rsidR="003B04F7" w:rsidRPr="00570C7B" w:rsidRDefault="003B04F7" w:rsidP="00E51790">
            <w:r>
              <w:t>Australian Capital Territory</w:t>
            </w:r>
          </w:p>
        </w:tc>
      </w:tr>
      <w:tr w:rsidR="00F830BA" w:rsidRPr="00570C7B" w14:paraId="242FCA01" w14:textId="77777777" w:rsidTr="00E51790">
        <w:trPr>
          <w:trHeight w:val="340"/>
        </w:trPr>
        <w:tc>
          <w:tcPr>
            <w:tcW w:w="1440" w:type="dxa"/>
          </w:tcPr>
          <w:p w14:paraId="4E8E2530" w14:textId="0DE7CF50" w:rsidR="00F830BA" w:rsidRDefault="00F830BA" w:rsidP="00E51790">
            <w:r>
              <w:t>CGC</w:t>
            </w:r>
          </w:p>
        </w:tc>
        <w:tc>
          <w:tcPr>
            <w:tcW w:w="7500" w:type="dxa"/>
          </w:tcPr>
          <w:p w14:paraId="3E357755" w14:textId="1BA253CA" w:rsidR="00F830BA" w:rsidRDefault="00F830BA" w:rsidP="00E51790">
            <w:r>
              <w:t>Commonwealth Grants Commission</w:t>
            </w:r>
          </w:p>
        </w:tc>
      </w:tr>
      <w:tr w:rsidR="00B74E38" w:rsidRPr="00570C7B" w14:paraId="6D7EF5F6" w14:textId="77777777" w:rsidTr="00E51790">
        <w:trPr>
          <w:trHeight w:val="340"/>
        </w:trPr>
        <w:tc>
          <w:tcPr>
            <w:tcW w:w="1440" w:type="dxa"/>
          </w:tcPr>
          <w:p w14:paraId="70D158D5" w14:textId="77777777" w:rsidR="00B74E38" w:rsidRPr="00570C7B" w:rsidRDefault="00B74E38" w:rsidP="00E51790">
            <w:r w:rsidRPr="00570C7B">
              <w:t>GST</w:t>
            </w:r>
          </w:p>
        </w:tc>
        <w:tc>
          <w:tcPr>
            <w:tcW w:w="7500" w:type="dxa"/>
          </w:tcPr>
          <w:p w14:paraId="2A49D50C" w14:textId="77777777" w:rsidR="00B74E38" w:rsidRPr="00570C7B" w:rsidRDefault="00B74E38" w:rsidP="00E51790">
            <w:r w:rsidRPr="00570C7B">
              <w:t>Goods and Services Tax</w:t>
            </w:r>
          </w:p>
        </w:tc>
      </w:tr>
      <w:tr w:rsidR="00B74E38" w:rsidRPr="00570C7B" w14:paraId="13C128F7" w14:textId="77777777" w:rsidTr="00E51790">
        <w:trPr>
          <w:trHeight w:val="340"/>
        </w:trPr>
        <w:tc>
          <w:tcPr>
            <w:tcW w:w="1440" w:type="dxa"/>
          </w:tcPr>
          <w:p w14:paraId="3AAEDEF2" w14:textId="77777777" w:rsidR="00B74E38" w:rsidRDefault="00B74E38" w:rsidP="00E51790">
            <w:r>
              <w:t>m</w:t>
            </w:r>
          </w:p>
        </w:tc>
        <w:tc>
          <w:tcPr>
            <w:tcW w:w="7500" w:type="dxa"/>
          </w:tcPr>
          <w:p w14:paraId="61ABB810" w14:textId="77777777" w:rsidR="00B74E38" w:rsidRPr="00570C7B" w:rsidRDefault="00B74E38" w:rsidP="00E51790">
            <w:r>
              <w:t>Million</w:t>
            </w:r>
          </w:p>
        </w:tc>
      </w:tr>
      <w:tr w:rsidR="00B74E38" w:rsidRPr="00921CAE" w14:paraId="5FEE88B3" w14:textId="77777777" w:rsidTr="00E51790">
        <w:trPr>
          <w:trHeight w:val="340"/>
        </w:trPr>
        <w:tc>
          <w:tcPr>
            <w:tcW w:w="1440" w:type="dxa"/>
          </w:tcPr>
          <w:p w14:paraId="744D3576" w14:textId="77777777" w:rsidR="00B74E38" w:rsidRPr="00570C7B" w:rsidRDefault="00B74E38" w:rsidP="00E51790">
            <w:r w:rsidRPr="00570C7B">
              <w:t>pc</w:t>
            </w:r>
          </w:p>
        </w:tc>
        <w:tc>
          <w:tcPr>
            <w:tcW w:w="7500" w:type="dxa"/>
          </w:tcPr>
          <w:p w14:paraId="5108F6BD" w14:textId="77777777" w:rsidR="00B74E38" w:rsidRPr="00570C7B" w:rsidRDefault="00B74E38" w:rsidP="00E51790">
            <w:r w:rsidRPr="00570C7B">
              <w:t>Per capita</w:t>
            </w:r>
          </w:p>
        </w:tc>
      </w:tr>
      <w:tr w:rsidR="00B74E38" w:rsidRPr="00921CAE" w14:paraId="6A626B3B" w14:textId="77777777" w:rsidTr="00E51790">
        <w:trPr>
          <w:trHeight w:val="340"/>
        </w:trPr>
        <w:tc>
          <w:tcPr>
            <w:tcW w:w="1440" w:type="dxa"/>
          </w:tcPr>
          <w:p w14:paraId="5CFF2546" w14:textId="77777777" w:rsidR="00B74E38" w:rsidRPr="00570C7B" w:rsidRDefault="00B74E38" w:rsidP="00E51790">
            <w:r>
              <w:t>SDC</w:t>
            </w:r>
          </w:p>
        </w:tc>
        <w:tc>
          <w:tcPr>
            <w:tcW w:w="7500" w:type="dxa"/>
          </w:tcPr>
          <w:p w14:paraId="4345DDFF" w14:textId="77777777" w:rsidR="00B74E38" w:rsidRPr="00570C7B" w:rsidRDefault="00B74E38" w:rsidP="00E51790">
            <w:r>
              <w:t>S</w:t>
            </w:r>
            <w:r w:rsidRPr="009831AA">
              <w:t>ocio-demographic composition</w:t>
            </w:r>
          </w:p>
        </w:tc>
      </w:tr>
    </w:tbl>
    <w:p w14:paraId="5CB8B057" w14:textId="77777777" w:rsidR="00B74E38" w:rsidRDefault="00B74E38" w:rsidP="00B74E38">
      <w:pPr>
        <w:tabs>
          <w:tab w:val="clear" w:pos="567"/>
        </w:tabs>
        <w:spacing w:before="0" w:line="240" w:lineRule="auto"/>
      </w:pPr>
    </w:p>
    <w:p w14:paraId="3451E7C0" w14:textId="77777777" w:rsidR="00B74E38" w:rsidRDefault="00B74E38" w:rsidP="00B74E38">
      <w:pPr>
        <w:tabs>
          <w:tab w:val="clear" w:pos="567"/>
        </w:tabs>
        <w:spacing w:before="0" w:line="240" w:lineRule="auto"/>
      </w:pPr>
    </w:p>
    <w:p w14:paraId="45348B0A" w14:textId="77777777" w:rsidR="00B74E38" w:rsidRPr="00F728BA" w:rsidRDefault="00B74E38" w:rsidP="00B74E38">
      <w:pPr>
        <w:pStyle w:val="Heading1"/>
        <w:numPr>
          <w:ilvl w:val="0"/>
          <w:numId w:val="0"/>
        </w:numPr>
      </w:pPr>
      <w:bookmarkStart w:id="26" w:name="_Toc220509228"/>
      <w:bookmarkStart w:id="27" w:name="_Toc222762269"/>
      <w:r>
        <w:t>Glossary</w:t>
      </w:r>
      <w:bookmarkEnd w:id="26"/>
      <w:bookmarkEnd w:id="27"/>
    </w:p>
    <w:p w14:paraId="0BC6D3C1" w14:textId="0DB48DF8" w:rsidR="00B74E38" w:rsidRPr="00623DE9" w:rsidRDefault="00B74E38" w:rsidP="00B74E38">
      <w:pPr>
        <w:spacing w:before="0"/>
      </w:pPr>
      <w:r>
        <w:t xml:space="preserve">A glossary is available </w:t>
      </w:r>
      <w:r w:rsidR="00F536F2">
        <w:t xml:space="preserve">on </w:t>
      </w:r>
      <w:r>
        <w:t>the Commission’s website</w:t>
      </w:r>
      <w:r w:rsidR="00E10DAE">
        <w:t>:</w:t>
      </w:r>
      <w:r>
        <w:t xml:space="preserve"> </w:t>
      </w:r>
      <w:hyperlink r:id="rId28">
        <w:r w:rsidRPr="31CE7058">
          <w:rPr>
            <w:rStyle w:val="Hyperlink"/>
          </w:rPr>
          <w:t>www.cgc.gov.au/publications/glossary</w:t>
        </w:r>
      </w:hyperlink>
      <w:r w:rsidR="007C0214">
        <w:t>.</w:t>
      </w:r>
    </w:p>
    <w:p w14:paraId="244F0BDA" w14:textId="7A3BDF7D" w:rsidR="00274381" w:rsidRPr="009F2519" w:rsidRDefault="00C05E7B">
      <w:pPr>
        <w:tabs>
          <w:tab w:val="clear" w:pos="567"/>
        </w:tabs>
        <w:spacing w:before="0" w:line="240" w:lineRule="auto"/>
        <w:rPr>
          <w:rFonts w:eastAsiaTheme="majorEastAsia" w:cs="Open Sans"/>
          <w:bCs/>
          <w:color w:val="006991"/>
          <w:sz w:val="40"/>
          <w:szCs w:val="40"/>
        </w:rPr>
      </w:pPr>
      <w:r>
        <w:br w:type="page"/>
      </w:r>
    </w:p>
    <w:p w14:paraId="0615D871" w14:textId="73186D14" w:rsidR="009929FD" w:rsidRDefault="00274381" w:rsidP="00577948">
      <w:pPr>
        <w:pStyle w:val="Heading1"/>
        <w:numPr>
          <w:ilvl w:val="0"/>
          <w:numId w:val="0"/>
        </w:numPr>
      </w:pPr>
      <w:bookmarkStart w:id="28" w:name="_Toc222762270"/>
      <w:r>
        <w:lastRenderedPageBreak/>
        <w:t>Executive summary</w:t>
      </w:r>
      <w:bookmarkEnd w:id="0"/>
      <w:bookmarkEnd w:id="1"/>
      <w:bookmarkEnd w:id="28"/>
    </w:p>
    <w:tbl>
      <w:tblPr>
        <w:tblStyle w:val="TableGrid"/>
        <w:tblW w:w="9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8FF"/>
        <w:tblLook w:val="04A0" w:firstRow="1" w:lastRow="0" w:firstColumn="1" w:lastColumn="0" w:noHBand="0" w:noVBand="1"/>
      </w:tblPr>
      <w:tblGrid>
        <w:gridCol w:w="9256"/>
      </w:tblGrid>
      <w:tr w:rsidR="00B74E38" w14:paraId="4EE99A0C" w14:textId="77777777" w:rsidTr="00E51790">
        <w:tc>
          <w:tcPr>
            <w:tcW w:w="9214" w:type="dxa"/>
            <w:shd w:val="clear" w:color="auto" w:fill="E5F8FF"/>
          </w:tcPr>
          <w:p w14:paraId="2CE20321" w14:textId="77777777" w:rsidR="00B74E38" w:rsidRPr="00ED7095" w:rsidRDefault="00B74E38" w:rsidP="00E51790">
            <w:pPr>
              <w:pStyle w:val="Heading2"/>
            </w:pPr>
            <w:r w:rsidRPr="00ED7095">
              <w:t xml:space="preserve">Recommended GST </w:t>
            </w:r>
            <w:r w:rsidRPr="009D2E87">
              <w:t>relativities</w:t>
            </w:r>
          </w:p>
          <w:p w14:paraId="759ED2B7" w14:textId="2DA92ECA" w:rsidR="00B74E38" w:rsidRPr="00ED7095" w:rsidRDefault="00B74E38" w:rsidP="00E51790">
            <w:pPr>
              <w:ind w:right="6"/>
            </w:pPr>
            <w:r w:rsidRPr="00ED7095">
              <w:t xml:space="preserve">In accordance with the </w:t>
            </w:r>
            <w:r w:rsidR="00B56742">
              <w:t>T</w:t>
            </w:r>
            <w:r w:rsidRPr="00ED7095">
              <w:t xml:space="preserve">erms of </w:t>
            </w:r>
            <w:r w:rsidR="00B56742">
              <w:t>R</w:t>
            </w:r>
            <w:r w:rsidRPr="00ED7095">
              <w:t>eference for the 2026 Update, the Commission</w:t>
            </w:r>
            <w:r>
              <w:t>’s</w:t>
            </w:r>
            <w:r w:rsidRPr="00ED7095">
              <w:t xml:space="preserve"> recommended </w:t>
            </w:r>
            <w:r w:rsidRPr="00BE4F41">
              <w:t>Goods and Services Ta</w:t>
            </w:r>
            <w:r>
              <w:t>x</w:t>
            </w:r>
            <w:r w:rsidRPr="00BE4F41">
              <w:t xml:space="preserve"> </w:t>
            </w:r>
            <w:r>
              <w:t>(</w:t>
            </w:r>
            <w:r w:rsidRPr="00ED7095">
              <w:t>GST</w:t>
            </w:r>
            <w:r>
              <w:t>)</w:t>
            </w:r>
            <w:r w:rsidRPr="00ED7095">
              <w:t xml:space="preserve"> relativities for 2026–27</w:t>
            </w:r>
            <w:r>
              <w:t xml:space="preserve"> </w:t>
            </w:r>
            <w:proofErr w:type="gramStart"/>
            <w:r>
              <w:t>are</w:t>
            </w:r>
            <w:proofErr w:type="gramEnd"/>
            <w:r>
              <w:t xml:space="preserve"> presented in the table below</w:t>
            </w:r>
            <w:r w:rsidRPr="00ED7095">
              <w:t>.</w:t>
            </w:r>
          </w:p>
          <w:p w14:paraId="6906AC7E" w14:textId="1E410F56" w:rsidR="00B74E38" w:rsidRPr="00A9091C" w:rsidRDefault="00B74E38" w:rsidP="00E51790">
            <w:pPr>
              <w:ind w:right="6"/>
            </w:pPr>
            <w:r w:rsidRPr="00EB33CB">
              <w:t xml:space="preserve">The table also includes </w:t>
            </w:r>
            <w:r w:rsidRPr="00DB1D7E">
              <w:t xml:space="preserve">each state and territory’s (state’s) estimated </w:t>
            </w:r>
            <w:r w:rsidRPr="00EB33CB">
              <w:t>share of the GST pool and estimated GST distribution in 2026–27, as well as comparisons with 2025–26.</w:t>
            </w:r>
            <w:r w:rsidR="00095D2C" w:rsidRPr="00E21A3D">
              <w:rPr>
                <w:rStyle w:val="FootnoteReference"/>
                <w:vertAlign w:val="superscript"/>
              </w:rPr>
              <w:footnoteReference w:id="2"/>
            </w:r>
            <w:r w:rsidRPr="00DB1D7E">
              <w:t xml:space="preserve"> The</w:t>
            </w:r>
            <w:r w:rsidRPr="00A9091C">
              <w:t xml:space="preserve"> </w:t>
            </w:r>
            <w:r>
              <w:t>final</w:t>
            </w:r>
            <w:r w:rsidRPr="00A9091C">
              <w:t xml:space="preserve"> amount of GST each state receives in 2026–27 will be based on state populations and the GST pool determined after the 2026–27 Final Budget Outcome.</w:t>
            </w:r>
          </w:p>
          <w:p w14:paraId="40143AE9" w14:textId="77777777" w:rsidR="00B74E38" w:rsidRDefault="00B74E38" w:rsidP="00E51790">
            <w:pPr>
              <w:pStyle w:val="CGC2025Caption"/>
              <w:spacing w:before="160"/>
            </w:pPr>
            <w:r w:rsidRPr="00C0280F">
              <w:t xml:space="preserve">GST relativities, </w:t>
            </w:r>
            <w:r>
              <w:t xml:space="preserve">estimated </w:t>
            </w:r>
            <w:r w:rsidRPr="00C0280F">
              <w:t>shares and estimated GST distribution, 2025–26 and 2026–27 (excludes no worse off payments)</w:t>
            </w:r>
          </w:p>
          <w:tbl>
            <w:tblPr>
              <w:tblW w:w="9040" w:type="dxa"/>
              <w:tblLook w:val="04A0" w:firstRow="1" w:lastRow="0" w:firstColumn="1" w:lastColumn="0" w:noHBand="0" w:noVBand="1"/>
            </w:tblPr>
            <w:tblGrid>
              <w:gridCol w:w="1768"/>
              <w:gridCol w:w="808"/>
              <w:gridCol w:w="808"/>
              <w:gridCol w:w="808"/>
              <w:gridCol w:w="808"/>
              <w:gridCol w:w="808"/>
              <w:gridCol w:w="808"/>
              <w:gridCol w:w="808"/>
              <w:gridCol w:w="808"/>
              <w:gridCol w:w="808"/>
            </w:tblGrid>
            <w:tr w:rsidR="001B3779" w:rsidRPr="001B3779" w14:paraId="08D0B7B0" w14:textId="77777777" w:rsidTr="001B3779">
              <w:trPr>
                <w:trHeight w:val="380"/>
              </w:trPr>
              <w:tc>
                <w:tcPr>
                  <w:tcW w:w="2560" w:type="dxa"/>
                  <w:tcBorders>
                    <w:top w:val="nil"/>
                    <w:left w:val="nil"/>
                    <w:bottom w:val="nil"/>
                    <w:right w:val="nil"/>
                  </w:tcBorders>
                  <w:shd w:val="clear" w:color="000000" w:fill="006991"/>
                  <w:vAlign w:val="center"/>
                  <w:hideMark/>
                </w:tcPr>
                <w:p w14:paraId="5B987DC5" w14:textId="77777777" w:rsidR="001B3779" w:rsidRPr="001B3779" w:rsidRDefault="001B3779" w:rsidP="001B3779">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29" w:name="RANGE!A4:J15"/>
                  <w:r w:rsidRPr="001B3779">
                    <w:rPr>
                      <w:rFonts w:ascii="Open Sans Semibold" w:eastAsia="Times New Roman" w:hAnsi="Open Sans Semibold" w:cs="Open Sans Semibold"/>
                      <w:color w:val="FFFFFF"/>
                      <w:sz w:val="16"/>
                      <w:szCs w:val="16"/>
                      <w:lang w:eastAsia="en-AU"/>
                    </w:rPr>
                    <w:t> </w:t>
                  </w:r>
                  <w:bookmarkEnd w:id="29"/>
                </w:p>
              </w:tc>
              <w:tc>
                <w:tcPr>
                  <w:tcW w:w="720" w:type="dxa"/>
                  <w:tcBorders>
                    <w:top w:val="nil"/>
                    <w:left w:val="nil"/>
                    <w:bottom w:val="nil"/>
                    <w:right w:val="nil"/>
                  </w:tcBorders>
                  <w:shd w:val="clear" w:color="000000" w:fill="006991"/>
                  <w:vAlign w:val="center"/>
                  <w:hideMark/>
                </w:tcPr>
                <w:p w14:paraId="041DD29A"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0724FDDE"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312BEFA9"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7D96013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7EB92DC9"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211E68A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26A10F5B"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0BD6DD3E"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4CF25C6E"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B3779">
                    <w:rPr>
                      <w:rFonts w:ascii="Open Sans Semibold" w:eastAsia="Times New Roman" w:hAnsi="Open Sans Semibold" w:cs="Open Sans Semibold"/>
                      <w:color w:val="FFFFFF"/>
                      <w:sz w:val="16"/>
                      <w:szCs w:val="16"/>
                      <w:lang w:eastAsia="en-AU"/>
                    </w:rPr>
                    <w:t>Total</w:t>
                  </w:r>
                </w:p>
              </w:tc>
            </w:tr>
            <w:tr w:rsidR="001B3779" w:rsidRPr="001B3779" w14:paraId="3AE329C2" w14:textId="77777777" w:rsidTr="001B3779">
              <w:trPr>
                <w:trHeight w:val="315"/>
              </w:trPr>
              <w:tc>
                <w:tcPr>
                  <w:tcW w:w="2560" w:type="dxa"/>
                  <w:tcBorders>
                    <w:top w:val="single" w:sz="4" w:space="0" w:color="ADD6EA"/>
                    <w:left w:val="nil"/>
                    <w:bottom w:val="single" w:sz="4" w:space="0" w:color="ADD6EA"/>
                    <w:right w:val="nil"/>
                  </w:tcBorders>
                  <w:shd w:val="clear" w:color="000000" w:fill="B6D5E4"/>
                  <w:vAlign w:val="bottom"/>
                  <w:hideMark/>
                </w:tcPr>
                <w:p w14:paraId="4A23989A" w14:textId="77777777" w:rsidR="001B3779" w:rsidRPr="001B3779" w:rsidRDefault="001B3779" w:rsidP="001B3779">
                  <w:pPr>
                    <w:tabs>
                      <w:tab w:val="clear" w:pos="567"/>
                    </w:tabs>
                    <w:spacing w:before="0" w:line="240" w:lineRule="auto"/>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xml:space="preserve">GST relativities </w:t>
                  </w:r>
                </w:p>
              </w:tc>
              <w:tc>
                <w:tcPr>
                  <w:tcW w:w="720" w:type="dxa"/>
                  <w:tcBorders>
                    <w:top w:val="single" w:sz="4" w:space="0" w:color="ADD6EA"/>
                    <w:left w:val="nil"/>
                    <w:bottom w:val="single" w:sz="4" w:space="0" w:color="ADD6EA"/>
                    <w:right w:val="nil"/>
                  </w:tcBorders>
                  <w:shd w:val="clear" w:color="000000" w:fill="B6D5E4"/>
                  <w:vAlign w:val="bottom"/>
                  <w:hideMark/>
                </w:tcPr>
                <w:p w14:paraId="52A23897" w14:textId="77777777" w:rsidR="001B3779" w:rsidRPr="001B3779" w:rsidRDefault="001B3779" w:rsidP="001B3779">
                  <w:pPr>
                    <w:tabs>
                      <w:tab w:val="clear" w:pos="567"/>
                    </w:tabs>
                    <w:spacing w:before="0" w:line="240" w:lineRule="auto"/>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461E13B"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A0A6F40"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D5AA36B"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93C306A"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51A25C1"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7272F62"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551AD60"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9750F93"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r>
            <w:tr w:rsidR="001B3779" w:rsidRPr="001B3779" w14:paraId="13B8F9B3" w14:textId="77777777" w:rsidTr="001B3779">
              <w:trPr>
                <w:trHeight w:val="315"/>
              </w:trPr>
              <w:tc>
                <w:tcPr>
                  <w:tcW w:w="2560" w:type="dxa"/>
                  <w:tcBorders>
                    <w:top w:val="nil"/>
                    <w:left w:val="nil"/>
                    <w:bottom w:val="nil"/>
                    <w:right w:val="nil"/>
                  </w:tcBorders>
                  <w:shd w:val="clear" w:color="000000" w:fill="FFFFFF"/>
                  <w:vAlign w:val="bottom"/>
                  <w:hideMark/>
                </w:tcPr>
                <w:p w14:paraId="37C5C986" w14:textId="77777777" w:rsidR="001B3779" w:rsidRPr="001B3779" w:rsidRDefault="001B3779" w:rsidP="001B3779">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2025-26</w:t>
                  </w:r>
                </w:p>
              </w:tc>
              <w:tc>
                <w:tcPr>
                  <w:tcW w:w="720" w:type="dxa"/>
                  <w:tcBorders>
                    <w:top w:val="nil"/>
                    <w:left w:val="nil"/>
                    <w:bottom w:val="nil"/>
                    <w:right w:val="nil"/>
                  </w:tcBorders>
                  <w:shd w:val="clear" w:color="000000" w:fill="FFFFFF"/>
                  <w:vAlign w:val="bottom"/>
                  <w:hideMark/>
                </w:tcPr>
                <w:p w14:paraId="39D0EF8C"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0.86034</w:t>
                  </w:r>
                </w:p>
              </w:tc>
              <w:tc>
                <w:tcPr>
                  <w:tcW w:w="720" w:type="dxa"/>
                  <w:tcBorders>
                    <w:top w:val="single" w:sz="4" w:space="0" w:color="ADD6EA"/>
                    <w:left w:val="nil"/>
                    <w:bottom w:val="single" w:sz="4" w:space="0" w:color="ADD6EA"/>
                    <w:right w:val="nil"/>
                  </w:tcBorders>
                  <w:shd w:val="clear" w:color="000000" w:fill="FFFFFF"/>
                  <w:vAlign w:val="bottom"/>
                  <w:hideMark/>
                </w:tcPr>
                <w:p w14:paraId="1F82ADD8"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1.06722</w:t>
                  </w:r>
                </w:p>
              </w:tc>
              <w:tc>
                <w:tcPr>
                  <w:tcW w:w="720" w:type="dxa"/>
                  <w:tcBorders>
                    <w:top w:val="single" w:sz="4" w:space="0" w:color="ADD6EA"/>
                    <w:left w:val="nil"/>
                    <w:bottom w:val="nil"/>
                    <w:right w:val="nil"/>
                  </w:tcBorders>
                  <w:shd w:val="clear" w:color="000000" w:fill="FFFFFF"/>
                  <w:vAlign w:val="bottom"/>
                  <w:hideMark/>
                </w:tcPr>
                <w:p w14:paraId="73540517"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0.84571</w:t>
                  </w:r>
                </w:p>
              </w:tc>
              <w:tc>
                <w:tcPr>
                  <w:tcW w:w="720" w:type="dxa"/>
                  <w:tcBorders>
                    <w:top w:val="single" w:sz="4" w:space="0" w:color="ADD6EA"/>
                    <w:left w:val="nil"/>
                    <w:bottom w:val="nil"/>
                    <w:right w:val="nil"/>
                  </w:tcBorders>
                  <w:shd w:val="clear" w:color="000000" w:fill="FFFFFF"/>
                  <w:vAlign w:val="bottom"/>
                  <w:hideMark/>
                </w:tcPr>
                <w:p w14:paraId="79544A73"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0.75000</w:t>
                  </w:r>
                </w:p>
              </w:tc>
              <w:tc>
                <w:tcPr>
                  <w:tcW w:w="720" w:type="dxa"/>
                  <w:tcBorders>
                    <w:top w:val="single" w:sz="4" w:space="0" w:color="ADD6EA"/>
                    <w:left w:val="nil"/>
                    <w:bottom w:val="nil"/>
                    <w:right w:val="nil"/>
                  </w:tcBorders>
                  <w:shd w:val="clear" w:color="000000" w:fill="FFFFFF"/>
                  <w:vAlign w:val="bottom"/>
                  <w:hideMark/>
                </w:tcPr>
                <w:p w14:paraId="31B90ACD"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1.38876</w:t>
                  </w:r>
                </w:p>
              </w:tc>
              <w:tc>
                <w:tcPr>
                  <w:tcW w:w="720" w:type="dxa"/>
                  <w:tcBorders>
                    <w:top w:val="single" w:sz="4" w:space="0" w:color="ADD6EA"/>
                    <w:left w:val="nil"/>
                    <w:bottom w:val="nil"/>
                    <w:right w:val="nil"/>
                  </w:tcBorders>
                  <w:shd w:val="clear" w:color="000000" w:fill="FFFFFF"/>
                  <w:vAlign w:val="bottom"/>
                  <w:hideMark/>
                </w:tcPr>
                <w:p w14:paraId="22E0190A"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1.84053</w:t>
                  </w:r>
                </w:p>
              </w:tc>
              <w:tc>
                <w:tcPr>
                  <w:tcW w:w="720" w:type="dxa"/>
                  <w:tcBorders>
                    <w:top w:val="single" w:sz="4" w:space="0" w:color="ADD6EA"/>
                    <w:left w:val="nil"/>
                    <w:bottom w:val="nil"/>
                    <w:right w:val="nil"/>
                  </w:tcBorders>
                  <w:shd w:val="clear" w:color="000000" w:fill="FFFFFF"/>
                  <w:vAlign w:val="bottom"/>
                  <w:hideMark/>
                </w:tcPr>
                <w:p w14:paraId="0A2D61D0"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1.17223</w:t>
                  </w:r>
                </w:p>
              </w:tc>
              <w:tc>
                <w:tcPr>
                  <w:tcW w:w="720" w:type="dxa"/>
                  <w:tcBorders>
                    <w:top w:val="single" w:sz="4" w:space="0" w:color="ADD6EA"/>
                    <w:left w:val="nil"/>
                    <w:bottom w:val="nil"/>
                    <w:right w:val="nil"/>
                  </w:tcBorders>
                  <w:shd w:val="clear" w:color="000000" w:fill="FFFFFF"/>
                  <w:vAlign w:val="bottom"/>
                  <w:hideMark/>
                </w:tcPr>
                <w:p w14:paraId="0A0E1F7D"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5.15112</w:t>
                  </w:r>
                </w:p>
              </w:tc>
              <w:tc>
                <w:tcPr>
                  <w:tcW w:w="720" w:type="dxa"/>
                  <w:tcBorders>
                    <w:top w:val="single" w:sz="4" w:space="0" w:color="ADD6EA"/>
                    <w:left w:val="nil"/>
                    <w:bottom w:val="nil"/>
                    <w:right w:val="nil"/>
                  </w:tcBorders>
                  <w:shd w:val="clear" w:color="000000" w:fill="FFFFFF"/>
                  <w:vAlign w:val="bottom"/>
                  <w:hideMark/>
                </w:tcPr>
                <w:p w14:paraId="5ADAB75B"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1.00000</w:t>
                  </w:r>
                </w:p>
              </w:tc>
            </w:tr>
            <w:tr w:rsidR="001B3779" w:rsidRPr="001B3779" w14:paraId="3ACFF935" w14:textId="77777777" w:rsidTr="001B3779">
              <w:trPr>
                <w:trHeight w:val="315"/>
              </w:trPr>
              <w:tc>
                <w:tcPr>
                  <w:tcW w:w="2560" w:type="dxa"/>
                  <w:tcBorders>
                    <w:top w:val="single" w:sz="4" w:space="0" w:color="ADD6EA"/>
                    <w:left w:val="nil"/>
                    <w:bottom w:val="nil"/>
                    <w:right w:val="nil"/>
                  </w:tcBorders>
                  <w:shd w:val="clear" w:color="000000" w:fill="FFFFFF"/>
                  <w:vAlign w:val="bottom"/>
                  <w:hideMark/>
                </w:tcPr>
                <w:p w14:paraId="3A500120" w14:textId="77777777" w:rsidR="001B3779" w:rsidRPr="001B3779" w:rsidRDefault="001B3779" w:rsidP="001B377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2026-27</w:t>
                  </w:r>
                </w:p>
              </w:tc>
              <w:tc>
                <w:tcPr>
                  <w:tcW w:w="720" w:type="dxa"/>
                  <w:tcBorders>
                    <w:top w:val="single" w:sz="4" w:space="0" w:color="ADD6EA"/>
                    <w:left w:val="nil"/>
                    <w:bottom w:val="nil"/>
                    <w:right w:val="nil"/>
                  </w:tcBorders>
                  <w:shd w:val="clear" w:color="000000" w:fill="FFFFFF"/>
                  <w:vAlign w:val="bottom"/>
                  <w:hideMark/>
                </w:tcPr>
                <w:p w14:paraId="2A47EBD6"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0.81964</w:t>
                  </w:r>
                </w:p>
              </w:tc>
              <w:tc>
                <w:tcPr>
                  <w:tcW w:w="720" w:type="dxa"/>
                  <w:tcBorders>
                    <w:top w:val="nil"/>
                    <w:left w:val="nil"/>
                    <w:bottom w:val="nil"/>
                    <w:right w:val="nil"/>
                  </w:tcBorders>
                  <w:shd w:val="clear" w:color="000000" w:fill="FFFFFF"/>
                  <w:vAlign w:val="bottom"/>
                  <w:hideMark/>
                </w:tcPr>
                <w:p w14:paraId="242F47F6"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1.05742</w:t>
                  </w:r>
                </w:p>
              </w:tc>
              <w:tc>
                <w:tcPr>
                  <w:tcW w:w="720" w:type="dxa"/>
                  <w:tcBorders>
                    <w:top w:val="single" w:sz="4" w:space="0" w:color="ADD6EA"/>
                    <w:left w:val="nil"/>
                    <w:bottom w:val="nil"/>
                    <w:right w:val="nil"/>
                  </w:tcBorders>
                  <w:shd w:val="clear" w:color="000000" w:fill="FFFFFF"/>
                  <w:vAlign w:val="bottom"/>
                  <w:hideMark/>
                </w:tcPr>
                <w:p w14:paraId="44E86C5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0.87237</w:t>
                  </w:r>
                </w:p>
              </w:tc>
              <w:tc>
                <w:tcPr>
                  <w:tcW w:w="720" w:type="dxa"/>
                  <w:tcBorders>
                    <w:top w:val="single" w:sz="4" w:space="0" w:color="ADD6EA"/>
                    <w:left w:val="nil"/>
                    <w:bottom w:val="nil"/>
                    <w:right w:val="nil"/>
                  </w:tcBorders>
                  <w:shd w:val="clear" w:color="000000" w:fill="FFFFFF"/>
                  <w:vAlign w:val="bottom"/>
                  <w:hideMark/>
                </w:tcPr>
                <w:p w14:paraId="2390A2B1"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0.81964</w:t>
                  </w:r>
                </w:p>
              </w:tc>
              <w:tc>
                <w:tcPr>
                  <w:tcW w:w="720" w:type="dxa"/>
                  <w:tcBorders>
                    <w:top w:val="single" w:sz="4" w:space="0" w:color="ADD6EA"/>
                    <w:left w:val="nil"/>
                    <w:bottom w:val="nil"/>
                    <w:right w:val="nil"/>
                  </w:tcBorders>
                  <w:shd w:val="clear" w:color="000000" w:fill="FFFFFF"/>
                  <w:vAlign w:val="bottom"/>
                  <w:hideMark/>
                </w:tcPr>
                <w:p w14:paraId="7EBE2169"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1.35920</w:t>
                  </w:r>
                </w:p>
              </w:tc>
              <w:tc>
                <w:tcPr>
                  <w:tcW w:w="720" w:type="dxa"/>
                  <w:tcBorders>
                    <w:top w:val="single" w:sz="4" w:space="0" w:color="ADD6EA"/>
                    <w:left w:val="nil"/>
                    <w:bottom w:val="nil"/>
                    <w:right w:val="nil"/>
                  </w:tcBorders>
                  <w:shd w:val="clear" w:color="000000" w:fill="FFFFFF"/>
                  <w:vAlign w:val="bottom"/>
                  <w:hideMark/>
                </w:tcPr>
                <w:p w14:paraId="5F14B36D"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1.88285</w:t>
                  </w:r>
                </w:p>
              </w:tc>
              <w:tc>
                <w:tcPr>
                  <w:tcW w:w="720" w:type="dxa"/>
                  <w:tcBorders>
                    <w:top w:val="single" w:sz="4" w:space="0" w:color="ADD6EA"/>
                    <w:left w:val="nil"/>
                    <w:bottom w:val="nil"/>
                    <w:right w:val="nil"/>
                  </w:tcBorders>
                  <w:shd w:val="clear" w:color="000000" w:fill="FFFFFF"/>
                  <w:vAlign w:val="bottom"/>
                  <w:hideMark/>
                </w:tcPr>
                <w:p w14:paraId="38344739"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1.16179</w:t>
                  </w:r>
                </w:p>
              </w:tc>
              <w:tc>
                <w:tcPr>
                  <w:tcW w:w="720" w:type="dxa"/>
                  <w:tcBorders>
                    <w:top w:val="single" w:sz="4" w:space="0" w:color="ADD6EA"/>
                    <w:left w:val="nil"/>
                    <w:bottom w:val="nil"/>
                    <w:right w:val="nil"/>
                  </w:tcBorders>
                  <w:shd w:val="clear" w:color="000000" w:fill="FFFFFF"/>
                  <w:vAlign w:val="bottom"/>
                  <w:hideMark/>
                </w:tcPr>
                <w:p w14:paraId="489D1B6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5.24149</w:t>
                  </w:r>
                </w:p>
              </w:tc>
              <w:tc>
                <w:tcPr>
                  <w:tcW w:w="720" w:type="dxa"/>
                  <w:tcBorders>
                    <w:top w:val="single" w:sz="4" w:space="0" w:color="ADD6EA"/>
                    <w:left w:val="nil"/>
                    <w:bottom w:val="nil"/>
                    <w:right w:val="nil"/>
                  </w:tcBorders>
                  <w:shd w:val="clear" w:color="000000" w:fill="FFFFFF"/>
                  <w:vAlign w:val="bottom"/>
                  <w:hideMark/>
                </w:tcPr>
                <w:p w14:paraId="4E30A252"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1.00000</w:t>
                  </w:r>
                </w:p>
              </w:tc>
            </w:tr>
            <w:tr w:rsidR="001B3779" w:rsidRPr="001B3779" w14:paraId="0867C0C7" w14:textId="77777777" w:rsidTr="001B3779">
              <w:trPr>
                <w:trHeight w:val="315"/>
              </w:trPr>
              <w:tc>
                <w:tcPr>
                  <w:tcW w:w="2560" w:type="dxa"/>
                  <w:tcBorders>
                    <w:top w:val="single" w:sz="4" w:space="0" w:color="ADD6EA"/>
                    <w:left w:val="nil"/>
                    <w:bottom w:val="single" w:sz="4" w:space="0" w:color="ADD6EA"/>
                    <w:right w:val="nil"/>
                  </w:tcBorders>
                  <w:shd w:val="clear" w:color="000000" w:fill="B6D5E4"/>
                  <w:vAlign w:val="bottom"/>
                  <w:hideMark/>
                </w:tcPr>
                <w:p w14:paraId="579842CA" w14:textId="77777777" w:rsidR="001B3779" w:rsidRPr="001B3779" w:rsidRDefault="001B3779" w:rsidP="001B3779">
                  <w:pPr>
                    <w:tabs>
                      <w:tab w:val="clear" w:pos="567"/>
                    </w:tabs>
                    <w:spacing w:before="0" w:line="240" w:lineRule="auto"/>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GST shares (%)</w:t>
                  </w:r>
                </w:p>
              </w:tc>
              <w:tc>
                <w:tcPr>
                  <w:tcW w:w="720" w:type="dxa"/>
                  <w:tcBorders>
                    <w:top w:val="single" w:sz="4" w:space="0" w:color="ADD6EA"/>
                    <w:left w:val="nil"/>
                    <w:bottom w:val="single" w:sz="4" w:space="0" w:color="ADD6EA"/>
                    <w:right w:val="nil"/>
                  </w:tcBorders>
                  <w:shd w:val="clear" w:color="000000" w:fill="B6D5E4"/>
                  <w:vAlign w:val="bottom"/>
                  <w:hideMark/>
                </w:tcPr>
                <w:p w14:paraId="074725BD" w14:textId="77777777" w:rsidR="001B3779" w:rsidRPr="001B3779" w:rsidRDefault="001B3779" w:rsidP="001B3779">
                  <w:pPr>
                    <w:tabs>
                      <w:tab w:val="clear" w:pos="567"/>
                    </w:tabs>
                    <w:spacing w:before="0" w:line="240" w:lineRule="auto"/>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F7F7BC8"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8BC835E"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308939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B1253DC"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927D027"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769289A"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847A43E"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F74A196"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r>
            <w:tr w:rsidR="001B3779" w:rsidRPr="001B3779" w14:paraId="2DC3A085" w14:textId="77777777" w:rsidTr="001B3779">
              <w:trPr>
                <w:trHeight w:val="315"/>
              </w:trPr>
              <w:tc>
                <w:tcPr>
                  <w:tcW w:w="2560" w:type="dxa"/>
                  <w:tcBorders>
                    <w:top w:val="nil"/>
                    <w:left w:val="nil"/>
                    <w:bottom w:val="nil"/>
                    <w:right w:val="nil"/>
                  </w:tcBorders>
                  <w:shd w:val="clear" w:color="000000" w:fill="FFFFFF"/>
                  <w:vAlign w:val="bottom"/>
                  <w:hideMark/>
                </w:tcPr>
                <w:p w14:paraId="0F5B3823" w14:textId="77777777" w:rsidR="001B3779" w:rsidRPr="001B3779" w:rsidRDefault="001B3779" w:rsidP="001B3779">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2025-26</w:t>
                  </w:r>
                </w:p>
              </w:tc>
              <w:tc>
                <w:tcPr>
                  <w:tcW w:w="720" w:type="dxa"/>
                  <w:tcBorders>
                    <w:top w:val="nil"/>
                    <w:left w:val="nil"/>
                    <w:bottom w:val="nil"/>
                    <w:right w:val="nil"/>
                  </w:tcBorders>
                  <w:shd w:val="clear" w:color="000000" w:fill="FFFFFF"/>
                  <w:vAlign w:val="bottom"/>
                  <w:hideMark/>
                </w:tcPr>
                <w:p w14:paraId="39853FC7"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26.7</w:t>
                  </w:r>
                </w:p>
              </w:tc>
              <w:tc>
                <w:tcPr>
                  <w:tcW w:w="720" w:type="dxa"/>
                  <w:tcBorders>
                    <w:top w:val="single" w:sz="4" w:space="0" w:color="ADD6EA"/>
                    <w:left w:val="nil"/>
                    <w:bottom w:val="nil"/>
                    <w:right w:val="nil"/>
                  </w:tcBorders>
                  <w:shd w:val="clear" w:color="000000" w:fill="FFFFFF"/>
                  <w:vAlign w:val="bottom"/>
                  <w:hideMark/>
                </w:tcPr>
                <w:p w14:paraId="47EC7D73"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27.3</w:t>
                  </w:r>
                </w:p>
              </w:tc>
              <w:tc>
                <w:tcPr>
                  <w:tcW w:w="720" w:type="dxa"/>
                  <w:tcBorders>
                    <w:top w:val="single" w:sz="4" w:space="0" w:color="ADD6EA"/>
                    <w:left w:val="nil"/>
                    <w:bottom w:val="nil"/>
                    <w:right w:val="nil"/>
                  </w:tcBorders>
                  <w:shd w:val="clear" w:color="000000" w:fill="FFFFFF"/>
                  <w:vAlign w:val="bottom"/>
                  <w:hideMark/>
                </w:tcPr>
                <w:p w14:paraId="56957B8B"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17.4</w:t>
                  </w:r>
                </w:p>
              </w:tc>
              <w:tc>
                <w:tcPr>
                  <w:tcW w:w="720" w:type="dxa"/>
                  <w:tcBorders>
                    <w:top w:val="single" w:sz="4" w:space="0" w:color="ADD6EA"/>
                    <w:left w:val="nil"/>
                    <w:bottom w:val="nil"/>
                    <w:right w:val="nil"/>
                  </w:tcBorders>
                  <w:shd w:val="clear" w:color="000000" w:fill="FFFFFF"/>
                  <w:vAlign w:val="bottom"/>
                  <w:hideMark/>
                </w:tcPr>
                <w:p w14:paraId="3FB16A5F"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8.3</w:t>
                  </w:r>
                </w:p>
              </w:tc>
              <w:tc>
                <w:tcPr>
                  <w:tcW w:w="720" w:type="dxa"/>
                  <w:tcBorders>
                    <w:top w:val="single" w:sz="4" w:space="0" w:color="ADD6EA"/>
                    <w:left w:val="nil"/>
                    <w:bottom w:val="nil"/>
                    <w:right w:val="nil"/>
                  </w:tcBorders>
                  <w:shd w:val="clear" w:color="000000" w:fill="FFFFFF"/>
                  <w:vAlign w:val="bottom"/>
                  <w:hideMark/>
                </w:tcPr>
                <w:p w14:paraId="144AA76A"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9.5</w:t>
                  </w:r>
                </w:p>
              </w:tc>
              <w:tc>
                <w:tcPr>
                  <w:tcW w:w="720" w:type="dxa"/>
                  <w:tcBorders>
                    <w:top w:val="single" w:sz="4" w:space="0" w:color="ADD6EA"/>
                    <w:left w:val="nil"/>
                    <w:bottom w:val="nil"/>
                    <w:right w:val="nil"/>
                  </w:tcBorders>
                  <w:shd w:val="clear" w:color="000000" w:fill="FFFFFF"/>
                  <w:vAlign w:val="bottom"/>
                  <w:hideMark/>
                </w:tcPr>
                <w:p w14:paraId="0F054C60"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3.8</w:t>
                  </w:r>
                </w:p>
              </w:tc>
              <w:tc>
                <w:tcPr>
                  <w:tcW w:w="720" w:type="dxa"/>
                  <w:tcBorders>
                    <w:top w:val="single" w:sz="4" w:space="0" w:color="ADD6EA"/>
                    <w:left w:val="nil"/>
                    <w:bottom w:val="nil"/>
                    <w:right w:val="nil"/>
                  </w:tcBorders>
                  <w:shd w:val="clear" w:color="000000" w:fill="FFFFFF"/>
                  <w:vAlign w:val="bottom"/>
                  <w:hideMark/>
                </w:tcPr>
                <w:p w14:paraId="594FC18F"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bottom"/>
                  <w:hideMark/>
                </w:tcPr>
                <w:p w14:paraId="63C17E1D"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4.9</w:t>
                  </w:r>
                </w:p>
              </w:tc>
              <w:tc>
                <w:tcPr>
                  <w:tcW w:w="720" w:type="dxa"/>
                  <w:tcBorders>
                    <w:top w:val="single" w:sz="4" w:space="0" w:color="ADD6EA"/>
                    <w:left w:val="nil"/>
                    <w:bottom w:val="nil"/>
                    <w:right w:val="nil"/>
                  </w:tcBorders>
                  <w:shd w:val="clear" w:color="000000" w:fill="FFFFFF"/>
                  <w:vAlign w:val="bottom"/>
                  <w:hideMark/>
                </w:tcPr>
                <w:p w14:paraId="110FFF58"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100</w:t>
                  </w:r>
                </w:p>
              </w:tc>
            </w:tr>
            <w:tr w:rsidR="001B3779" w:rsidRPr="001B3779" w14:paraId="4A371EAC" w14:textId="77777777" w:rsidTr="001B3779">
              <w:trPr>
                <w:trHeight w:val="315"/>
              </w:trPr>
              <w:tc>
                <w:tcPr>
                  <w:tcW w:w="2560" w:type="dxa"/>
                  <w:tcBorders>
                    <w:top w:val="single" w:sz="4" w:space="0" w:color="ADD6EA"/>
                    <w:left w:val="nil"/>
                    <w:bottom w:val="nil"/>
                    <w:right w:val="nil"/>
                  </w:tcBorders>
                  <w:shd w:val="clear" w:color="000000" w:fill="FFFFFF"/>
                  <w:vAlign w:val="bottom"/>
                  <w:hideMark/>
                </w:tcPr>
                <w:p w14:paraId="44F1E815" w14:textId="77777777" w:rsidR="001B3779" w:rsidRPr="001B3779" w:rsidRDefault="001B3779" w:rsidP="001B377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2026-27</w:t>
                  </w:r>
                </w:p>
              </w:tc>
              <w:tc>
                <w:tcPr>
                  <w:tcW w:w="720" w:type="dxa"/>
                  <w:tcBorders>
                    <w:top w:val="single" w:sz="4" w:space="0" w:color="ADD6EA"/>
                    <w:left w:val="nil"/>
                    <w:bottom w:val="nil"/>
                    <w:right w:val="nil"/>
                  </w:tcBorders>
                  <w:shd w:val="clear" w:color="000000" w:fill="FFFFFF"/>
                  <w:vAlign w:val="bottom"/>
                  <w:hideMark/>
                </w:tcPr>
                <w:p w14:paraId="0F613856"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25.5</w:t>
                  </w:r>
                </w:p>
              </w:tc>
              <w:tc>
                <w:tcPr>
                  <w:tcW w:w="720" w:type="dxa"/>
                  <w:tcBorders>
                    <w:top w:val="single" w:sz="4" w:space="0" w:color="ADD6EA"/>
                    <w:left w:val="nil"/>
                    <w:bottom w:val="nil"/>
                    <w:right w:val="nil"/>
                  </w:tcBorders>
                  <w:shd w:val="clear" w:color="000000" w:fill="FFFFFF"/>
                  <w:vAlign w:val="bottom"/>
                  <w:hideMark/>
                </w:tcPr>
                <w:p w14:paraId="1FBAF26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27.2</w:t>
                  </w:r>
                </w:p>
              </w:tc>
              <w:tc>
                <w:tcPr>
                  <w:tcW w:w="720" w:type="dxa"/>
                  <w:tcBorders>
                    <w:top w:val="single" w:sz="4" w:space="0" w:color="ADD6EA"/>
                    <w:left w:val="nil"/>
                    <w:bottom w:val="nil"/>
                    <w:right w:val="nil"/>
                  </w:tcBorders>
                  <w:shd w:val="clear" w:color="000000" w:fill="FFFFFF"/>
                  <w:vAlign w:val="bottom"/>
                  <w:hideMark/>
                </w:tcPr>
                <w:p w14:paraId="61F1B42D"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18.0</w:t>
                  </w:r>
                </w:p>
              </w:tc>
              <w:tc>
                <w:tcPr>
                  <w:tcW w:w="720" w:type="dxa"/>
                  <w:tcBorders>
                    <w:top w:val="single" w:sz="4" w:space="0" w:color="ADD6EA"/>
                    <w:left w:val="nil"/>
                    <w:bottom w:val="nil"/>
                    <w:right w:val="nil"/>
                  </w:tcBorders>
                  <w:shd w:val="clear" w:color="000000" w:fill="FFFFFF"/>
                  <w:vAlign w:val="bottom"/>
                  <w:hideMark/>
                </w:tcPr>
                <w:p w14:paraId="109A17FD"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9.1</w:t>
                  </w:r>
                </w:p>
              </w:tc>
              <w:tc>
                <w:tcPr>
                  <w:tcW w:w="720" w:type="dxa"/>
                  <w:tcBorders>
                    <w:top w:val="single" w:sz="4" w:space="0" w:color="ADD6EA"/>
                    <w:left w:val="nil"/>
                    <w:bottom w:val="nil"/>
                    <w:right w:val="nil"/>
                  </w:tcBorders>
                  <w:shd w:val="clear" w:color="000000" w:fill="FFFFFF"/>
                  <w:vAlign w:val="bottom"/>
                  <w:hideMark/>
                </w:tcPr>
                <w:p w14:paraId="0296FF22"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9.3</w:t>
                  </w:r>
                </w:p>
              </w:tc>
              <w:tc>
                <w:tcPr>
                  <w:tcW w:w="720" w:type="dxa"/>
                  <w:tcBorders>
                    <w:top w:val="single" w:sz="4" w:space="0" w:color="ADD6EA"/>
                    <w:left w:val="nil"/>
                    <w:bottom w:val="nil"/>
                    <w:right w:val="nil"/>
                  </w:tcBorders>
                  <w:shd w:val="clear" w:color="000000" w:fill="FFFFFF"/>
                  <w:vAlign w:val="bottom"/>
                  <w:hideMark/>
                </w:tcPr>
                <w:p w14:paraId="75C673FF"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3.9</w:t>
                  </w:r>
                </w:p>
              </w:tc>
              <w:tc>
                <w:tcPr>
                  <w:tcW w:w="720" w:type="dxa"/>
                  <w:tcBorders>
                    <w:top w:val="single" w:sz="4" w:space="0" w:color="ADD6EA"/>
                    <w:left w:val="nil"/>
                    <w:bottom w:val="nil"/>
                    <w:right w:val="nil"/>
                  </w:tcBorders>
                  <w:shd w:val="clear" w:color="000000" w:fill="FFFFFF"/>
                  <w:vAlign w:val="bottom"/>
                  <w:hideMark/>
                </w:tcPr>
                <w:p w14:paraId="595CE3C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2.0</w:t>
                  </w:r>
                </w:p>
              </w:tc>
              <w:tc>
                <w:tcPr>
                  <w:tcW w:w="720" w:type="dxa"/>
                  <w:tcBorders>
                    <w:top w:val="single" w:sz="4" w:space="0" w:color="ADD6EA"/>
                    <w:left w:val="nil"/>
                    <w:bottom w:val="nil"/>
                    <w:right w:val="nil"/>
                  </w:tcBorders>
                  <w:shd w:val="clear" w:color="000000" w:fill="FFFFFF"/>
                  <w:vAlign w:val="bottom"/>
                  <w:hideMark/>
                </w:tcPr>
                <w:p w14:paraId="5B9AB6C9"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5.0</w:t>
                  </w:r>
                </w:p>
              </w:tc>
              <w:tc>
                <w:tcPr>
                  <w:tcW w:w="720" w:type="dxa"/>
                  <w:tcBorders>
                    <w:top w:val="single" w:sz="4" w:space="0" w:color="ADD6EA"/>
                    <w:left w:val="nil"/>
                    <w:bottom w:val="nil"/>
                    <w:right w:val="nil"/>
                  </w:tcBorders>
                  <w:shd w:val="clear" w:color="000000" w:fill="FFFFFF"/>
                  <w:vAlign w:val="bottom"/>
                  <w:hideMark/>
                </w:tcPr>
                <w:p w14:paraId="59631C07"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100</w:t>
                  </w:r>
                </w:p>
              </w:tc>
            </w:tr>
            <w:tr w:rsidR="001B3779" w:rsidRPr="001B3779" w14:paraId="28C1E031" w14:textId="77777777" w:rsidTr="001B3779">
              <w:trPr>
                <w:trHeight w:val="315"/>
              </w:trPr>
              <w:tc>
                <w:tcPr>
                  <w:tcW w:w="3280" w:type="dxa"/>
                  <w:gridSpan w:val="2"/>
                  <w:tcBorders>
                    <w:top w:val="single" w:sz="4" w:space="0" w:color="ADD6EA"/>
                    <w:left w:val="nil"/>
                    <w:bottom w:val="single" w:sz="4" w:space="0" w:color="ADD6EA"/>
                    <w:right w:val="nil"/>
                  </w:tcBorders>
                  <w:shd w:val="clear" w:color="000000" w:fill="B6D5E4"/>
                  <w:vAlign w:val="bottom"/>
                  <w:hideMark/>
                </w:tcPr>
                <w:p w14:paraId="3FA07610" w14:textId="77777777" w:rsidR="001B3779" w:rsidRPr="001B3779" w:rsidRDefault="001B3779" w:rsidP="001B3779">
                  <w:pPr>
                    <w:tabs>
                      <w:tab w:val="clear" w:pos="567"/>
                    </w:tabs>
                    <w:spacing w:before="0" w:line="240" w:lineRule="auto"/>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GST distribution ($m)</w:t>
                  </w:r>
                </w:p>
              </w:tc>
              <w:tc>
                <w:tcPr>
                  <w:tcW w:w="720" w:type="dxa"/>
                  <w:tcBorders>
                    <w:top w:val="single" w:sz="4" w:space="0" w:color="ADD6EA"/>
                    <w:left w:val="nil"/>
                    <w:bottom w:val="nil"/>
                    <w:right w:val="nil"/>
                  </w:tcBorders>
                  <w:shd w:val="clear" w:color="000000" w:fill="B6D5E4"/>
                  <w:vAlign w:val="bottom"/>
                  <w:hideMark/>
                </w:tcPr>
                <w:p w14:paraId="09DE2BE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B4688C5"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BF9B738"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5F6CE63"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8588D26"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82BB4D5"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FC53AE6"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C717C7E"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 </w:t>
                  </w:r>
                </w:p>
              </w:tc>
            </w:tr>
            <w:tr w:rsidR="001B3779" w:rsidRPr="001B3779" w14:paraId="2515ED0F" w14:textId="77777777" w:rsidTr="001B3779">
              <w:trPr>
                <w:trHeight w:val="315"/>
              </w:trPr>
              <w:tc>
                <w:tcPr>
                  <w:tcW w:w="2560" w:type="dxa"/>
                  <w:tcBorders>
                    <w:top w:val="nil"/>
                    <w:left w:val="nil"/>
                    <w:bottom w:val="nil"/>
                    <w:right w:val="nil"/>
                  </w:tcBorders>
                  <w:shd w:val="clear" w:color="000000" w:fill="FFFFFF"/>
                  <w:vAlign w:val="bottom"/>
                  <w:hideMark/>
                </w:tcPr>
                <w:p w14:paraId="30C2795D" w14:textId="77777777" w:rsidR="001B3779" w:rsidRPr="001B3779" w:rsidRDefault="001B3779" w:rsidP="001B3779">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2025-26</w:t>
                  </w:r>
                </w:p>
              </w:tc>
              <w:tc>
                <w:tcPr>
                  <w:tcW w:w="720" w:type="dxa"/>
                  <w:tcBorders>
                    <w:top w:val="nil"/>
                    <w:left w:val="nil"/>
                    <w:bottom w:val="nil"/>
                    <w:right w:val="nil"/>
                  </w:tcBorders>
                  <w:shd w:val="clear" w:color="000000" w:fill="FFFFFF"/>
                  <w:vAlign w:val="bottom"/>
                  <w:hideMark/>
                </w:tcPr>
                <w:p w14:paraId="2FB6BC27"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25,807</w:t>
                  </w:r>
                </w:p>
              </w:tc>
              <w:tc>
                <w:tcPr>
                  <w:tcW w:w="720" w:type="dxa"/>
                  <w:tcBorders>
                    <w:top w:val="single" w:sz="4" w:space="0" w:color="ADD6EA"/>
                    <w:left w:val="nil"/>
                    <w:bottom w:val="nil"/>
                    <w:right w:val="nil"/>
                  </w:tcBorders>
                  <w:shd w:val="clear" w:color="000000" w:fill="FFFFFF"/>
                  <w:vAlign w:val="bottom"/>
                  <w:hideMark/>
                </w:tcPr>
                <w:p w14:paraId="105CF611"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26,373</w:t>
                  </w:r>
                </w:p>
              </w:tc>
              <w:tc>
                <w:tcPr>
                  <w:tcW w:w="720" w:type="dxa"/>
                  <w:tcBorders>
                    <w:top w:val="single" w:sz="4" w:space="0" w:color="ADD6EA"/>
                    <w:left w:val="nil"/>
                    <w:bottom w:val="nil"/>
                    <w:right w:val="nil"/>
                  </w:tcBorders>
                  <w:shd w:val="clear" w:color="000000" w:fill="FFFFFF"/>
                  <w:vAlign w:val="bottom"/>
                  <w:hideMark/>
                </w:tcPr>
                <w:p w14:paraId="5958B21B"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16,758</w:t>
                  </w:r>
                </w:p>
              </w:tc>
              <w:tc>
                <w:tcPr>
                  <w:tcW w:w="720" w:type="dxa"/>
                  <w:tcBorders>
                    <w:top w:val="single" w:sz="4" w:space="0" w:color="ADD6EA"/>
                    <w:left w:val="nil"/>
                    <w:bottom w:val="nil"/>
                    <w:right w:val="nil"/>
                  </w:tcBorders>
                  <w:shd w:val="clear" w:color="000000" w:fill="FFFFFF"/>
                  <w:vAlign w:val="bottom"/>
                  <w:hideMark/>
                </w:tcPr>
                <w:p w14:paraId="3AB59E09"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7,990</w:t>
                  </w:r>
                </w:p>
              </w:tc>
              <w:tc>
                <w:tcPr>
                  <w:tcW w:w="720" w:type="dxa"/>
                  <w:tcBorders>
                    <w:top w:val="single" w:sz="4" w:space="0" w:color="ADD6EA"/>
                    <w:left w:val="nil"/>
                    <w:bottom w:val="nil"/>
                    <w:right w:val="nil"/>
                  </w:tcBorders>
                  <w:shd w:val="clear" w:color="000000" w:fill="FFFFFF"/>
                  <w:vAlign w:val="bottom"/>
                  <w:hideMark/>
                </w:tcPr>
                <w:p w14:paraId="647C8C25"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9,206</w:t>
                  </w:r>
                </w:p>
              </w:tc>
              <w:tc>
                <w:tcPr>
                  <w:tcW w:w="720" w:type="dxa"/>
                  <w:tcBorders>
                    <w:top w:val="single" w:sz="4" w:space="0" w:color="ADD6EA"/>
                    <w:left w:val="nil"/>
                    <w:bottom w:val="nil"/>
                    <w:right w:val="nil"/>
                  </w:tcBorders>
                  <w:shd w:val="clear" w:color="000000" w:fill="FFFFFF"/>
                  <w:vAlign w:val="bottom"/>
                  <w:hideMark/>
                </w:tcPr>
                <w:p w14:paraId="19194F38"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3,682</w:t>
                  </w:r>
                </w:p>
              </w:tc>
              <w:tc>
                <w:tcPr>
                  <w:tcW w:w="720" w:type="dxa"/>
                  <w:tcBorders>
                    <w:top w:val="single" w:sz="4" w:space="0" w:color="ADD6EA"/>
                    <w:left w:val="nil"/>
                    <w:bottom w:val="nil"/>
                    <w:right w:val="nil"/>
                  </w:tcBorders>
                  <w:shd w:val="clear" w:color="000000" w:fill="FFFFFF"/>
                  <w:vAlign w:val="bottom"/>
                  <w:hideMark/>
                </w:tcPr>
                <w:p w14:paraId="7B00E0C5"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1,985</w:t>
                  </w:r>
                </w:p>
              </w:tc>
              <w:tc>
                <w:tcPr>
                  <w:tcW w:w="720" w:type="dxa"/>
                  <w:tcBorders>
                    <w:top w:val="single" w:sz="4" w:space="0" w:color="ADD6EA"/>
                    <w:left w:val="nil"/>
                    <w:bottom w:val="nil"/>
                    <w:right w:val="nil"/>
                  </w:tcBorders>
                  <w:shd w:val="clear" w:color="000000" w:fill="FFFFFF"/>
                  <w:vAlign w:val="bottom"/>
                  <w:hideMark/>
                </w:tcPr>
                <w:p w14:paraId="6BBBE611"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4,753</w:t>
                  </w:r>
                </w:p>
              </w:tc>
              <w:tc>
                <w:tcPr>
                  <w:tcW w:w="720" w:type="dxa"/>
                  <w:tcBorders>
                    <w:top w:val="single" w:sz="4" w:space="0" w:color="ADD6EA"/>
                    <w:left w:val="nil"/>
                    <w:bottom w:val="nil"/>
                    <w:right w:val="nil"/>
                  </w:tcBorders>
                  <w:shd w:val="clear" w:color="000000" w:fill="FFFFFF"/>
                  <w:vAlign w:val="bottom"/>
                  <w:hideMark/>
                </w:tcPr>
                <w:p w14:paraId="227607CC" w14:textId="77777777" w:rsidR="001B3779" w:rsidRPr="001B3779" w:rsidRDefault="001B3779" w:rsidP="001B377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B3779">
                    <w:rPr>
                      <w:rFonts w:ascii="Open Sans Light" w:eastAsia="Times New Roman" w:hAnsi="Open Sans Light" w:cs="Open Sans Light"/>
                      <w:color w:val="000000"/>
                      <w:sz w:val="16"/>
                      <w:szCs w:val="16"/>
                      <w:lang w:eastAsia="en-AU"/>
                    </w:rPr>
                    <w:t>96,554</w:t>
                  </w:r>
                </w:p>
              </w:tc>
            </w:tr>
            <w:tr w:rsidR="001B3779" w:rsidRPr="001B3779" w14:paraId="05BE72A8" w14:textId="77777777" w:rsidTr="001B3779">
              <w:trPr>
                <w:trHeight w:val="315"/>
              </w:trPr>
              <w:tc>
                <w:tcPr>
                  <w:tcW w:w="2560" w:type="dxa"/>
                  <w:tcBorders>
                    <w:top w:val="single" w:sz="4" w:space="0" w:color="ADD6EA"/>
                    <w:left w:val="nil"/>
                    <w:bottom w:val="nil"/>
                    <w:right w:val="nil"/>
                  </w:tcBorders>
                  <w:shd w:val="clear" w:color="000000" w:fill="FFFFFF"/>
                  <w:vAlign w:val="bottom"/>
                  <w:hideMark/>
                </w:tcPr>
                <w:p w14:paraId="55342B05" w14:textId="77777777" w:rsidR="001B3779" w:rsidRPr="001B3779" w:rsidRDefault="001B3779" w:rsidP="001B3779">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2026-27</w:t>
                  </w:r>
                </w:p>
              </w:tc>
              <w:tc>
                <w:tcPr>
                  <w:tcW w:w="720" w:type="dxa"/>
                  <w:tcBorders>
                    <w:top w:val="single" w:sz="4" w:space="0" w:color="ADD6EA"/>
                    <w:left w:val="nil"/>
                    <w:bottom w:val="nil"/>
                    <w:right w:val="nil"/>
                  </w:tcBorders>
                  <w:shd w:val="clear" w:color="000000" w:fill="FFFFFF"/>
                  <w:vAlign w:val="bottom"/>
                  <w:hideMark/>
                </w:tcPr>
                <w:p w14:paraId="4D633F19"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26,123</w:t>
                  </w:r>
                </w:p>
              </w:tc>
              <w:tc>
                <w:tcPr>
                  <w:tcW w:w="720" w:type="dxa"/>
                  <w:tcBorders>
                    <w:top w:val="single" w:sz="4" w:space="0" w:color="ADD6EA"/>
                    <w:left w:val="nil"/>
                    <w:bottom w:val="nil"/>
                    <w:right w:val="nil"/>
                  </w:tcBorders>
                  <w:shd w:val="clear" w:color="000000" w:fill="FFFFFF"/>
                  <w:vAlign w:val="bottom"/>
                  <w:hideMark/>
                </w:tcPr>
                <w:p w14:paraId="73788B9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27,867</w:t>
                  </w:r>
                </w:p>
              </w:tc>
              <w:tc>
                <w:tcPr>
                  <w:tcW w:w="720" w:type="dxa"/>
                  <w:tcBorders>
                    <w:top w:val="single" w:sz="4" w:space="0" w:color="ADD6EA"/>
                    <w:left w:val="nil"/>
                    <w:bottom w:val="nil"/>
                    <w:right w:val="nil"/>
                  </w:tcBorders>
                  <w:shd w:val="clear" w:color="000000" w:fill="FFFFFF"/>
                  <w:vAlign w:val="bottom"/>
                  <w:hideMark/>
                </w:tcPr>
                <w:p w14:paraId="728FA360"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18,438</w:t>
                  </w:r>
                </w:p>
              </w:tc>
              <w:tc>
                <w:tcPr>
                  <w:tcW w:w="720" w:type="dxa"/>
                  <w:tcBorders>
                    <w:top w:val="single" w:sz="4" w:space="0" w:color="ADD6EA"/>
                    <w:left w:val="nil"/>
                    <w:bottom w:val="nil"/>
                    <w:right w:val="nil"/>
                  </w:tcBorders>
                  <w:shd w:val="clear" w:color="000000" w:fill="FFFFFF"/>
                  <w:vAlign w:val="bottom"/>
                  <w:hideMark/>
                </w:tcPr>
                <w:p w14:paraId="0B7B8866"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9,337</w:t>
                  </w:r>
                </w:p>
              </w:tc>
              <w:tc>
                <w:tcPr>
                  <w:tcW w:w="720" w:type="dxa"/>
                  <w:tcBorders>
                    <w:top w:val="single" w:sz="4" w:space="0" w:color="ADD6EA"/>
                    <w:left w:val="nil"/>
                    <w:bottom w:val="nil"/>
                    <w:right w:val="nil"/>
                  </w:tcBorders>
                  <w:shd w:val="clear" w:color="000000" w:fill="FFFFFF"/>
                  <w:vAlign w:val="bottom"/>
                  <w:hideMark/>
                </w:tcPr>
                <w:p w14:paraId="1D2C6189"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9,548</w:t>
                  </w:r>
                </w:p>
              </w:tc>
              <w:tc>
                <w:tcPr>
                  <w:tcW w:w="720" w:type="dxa"/>
                  <w:tcBorders>
                    <w:top w:val="single" w:sz="4" w:space="0" w:color="ADD6EA"/>
                    <w:left w:val="nil"/>
                    <w:bottom w:val="nil"/>
                    <w:right w:val="nil"/>
                  </w:tcBorders>
                  <w:shd w:val="clear" w:color="000000" w:fill="FFFFFF"/>
                  <w:vAlign w:val="bottom"/>
                  <w:hideMark/>
                </w:tcPr>
                <w:p w14:paraId="4AA68C40"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3,968</w:t>
                  </w:r>
                </w:p>
              </w:tc>
              <w:tc>
                <w:tcPr>
                  <w:tcW w:w="720" w:type="dxa"/>
                  <w:tcBorders>
                    <w:top w:val="single" w:sz="4" w:space="0" w:color="ADD6EA"/>
                    <w:left w:val="nil"/>
                    <w:bottom w:val="nil"/>
                    <w:right w:val="nil"/>
                  </w:tcBorders>
                  <w:shd w:val="clear" w:color="000000" w:fill="FFFFFF"/>
                  <w:vAlign w:val="bottom"/>
                  <w:hideMark/>
                </w:tcPr>
                <w:p w14:paraId="725F5807"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2,095</w:t>
                  </w:r>
                </w:p>
              </w:tc>
              <w:tc>
                <w:tcPr>
                  <w:tcW w:w="720" w:type="dxa"/>
                  <w:tcBorders>
                    <w:top w:val="single" w:sz="4" w:space="0" w:color="ADD6EA"/>
                    <w:left w:val="nil"/>
                    <w:bottom w:val="nil"/>
                    <w:right w:val="nil"/>
                  </w:tcBorders>
                  <w:shd w:val="clear" w:color="000000" w:fill="FFFFFF"/>
                  <w:vAlign w:val="bottom"/>
                  <w:hideMark/>
                </w:tcPr>
                <w:p w14:paraId="4EC0EA25"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5,142</w:t>
                  </w:r>
                </w:p>
              </w:tc>
              <w:tc>
                <w:tcPr>
                  <w:tcW w:w="720" w:type="dxa"/>
                  <w:tcBorders>
                    <w:top w:val="single" w:sz="4" w:space="0" w:color="ADD6EA"/>
                    <w:left w:val="nil"/>
                    <w:bottom w:val="nil"/>
                    <w:right w:val="nil"/>
                  </w:tcBorders>
                  <w:shd w:val="clear" w:color="000000" w:fill="FFFFFF"/>
                  <w:vAlign w:val="bottom"/>
                  <w:hideMark/>
                </w:tcPr>
                <w:p w14:paraId="59E372F8"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102,518</w:t>
                  </w:r>
                </w:p>
              </w:tc>
            </w:tr>
            <w:tr w:rsidR="001B3779" w:rsidRPr="001B3779" w14:paraId="13FF46E2" w14:textId="77777777" w:rsidTr="001B3779">
              <w:trPr>
                <w:trHeight w:val="315"/>
              </w:trPr>
              <w:tc>
                <w:tcPr>
                  <w:tcW w:w="2560" w:type="dxa"/>
                  <w:tcBorders>
                    <w:top w:val="single" w:sz="4" w:space="0" w:color="ADD6EA"/>
                    <w:left w:val="nil"/>
                    <w:bottom w:val="single" w:sz="4" w:space="0" w:color="ADD6EA"/>
                    <w:right w:val="nil"/>
                  </w:tcBorders>
                  <w:shd w:val="clear" w:color="000000" w:fill="D6E7F0"/>
                  <w:vAlign w:val="bottom"/>
                  <w:hideMark/>
                </w:tcPr>
                <w:p w14:paraId="76415358" w14:textId="77777777" w:rsidR="001B3779" w:rsidRPr="001B3779" w:rsidRDefault="001B3779" w:rsidP="001B3779">
                  <w:pPr>
                    <w:tabs>
                      <w:tab w:val="clear" w:pos="567"/>
                    </w:tabs>
                    <w:spacing w:before="0" w:line="240" w:lineRule="auto"/>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Difference</w:t>
                  </w:r>
                </w:p>
              </w:tc>
              <w:tc>
                <w:tcPr>
                  <w:tcW w:w="720" w:type="dxa"/>
                  <w:tcBorders>
                    <w:top w:val="single" w:sz="4" w:space="0" w:color="ADD6EA"/>
                    <w:left w:val="nil"/>
                    <w:bottom w:val="single" w:sz="4" w:space="0" w:color="ADD6EA"/>
                    <w:right w:val="nil"/>
                  </w:tcBorders>
                  <w:shd w:val="clear" w:color="000000" w:fill="D6E7F0"/>
                  <w:vAlign w:val="bottom"/>
                  <w:hideMark/>
                </w:tcPr>
                <w:p w14:paraId="43275FA3"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316</w:t>
                  </w:r>
                </w:p>
              </w:tc>
              <w:tc>
                <w:tcPr>
                  <w:tcW w:w="720" w:type="dxa"/>
                  <w:tcBorders>
                    <w:top w:val="single" w:sz="4" w:space="0" w:color="ADD6EA"/>
                    <w:left w:val="nil"/>
                    <w:bottom w:val="single" w:sz="4" w:space="0" w:color="ADD6EA"/>
                    <w:right w:val="nil"/>
                  </w:tcBorders>
                  <w:shd w:val="clear" w:color="000000" w:fill="D6E7F0"/>
                  <w:vAlign w:val="bottom"/>
                  <w:hideMark/>
                </w:tcPr>
                <w:p w14:paraId="588CD60B"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1,494</w:t>
                  </w:r>
                </w:p>
              </w:tc>
              <w:tc>
                <w:tcPr>
                  <w:tcW w:w="720" w:type="dxa"/>
                  <w:tcBorders>
                    <w:top w:val="single" w:sz="4" w:space="0" w:color="ADD6EA"/>
                    <w:left w:val="nil"/>
                    <w:bottom w:val="single" w:sz="4" w:space="0" w:color="ADD6EA"/>
                    <w:right w:val="nil"/>
                  </w:tcBorders>
                  <w:shd w:val="clear" w:color="000000" w:fill="D6E7F0"/>
                  <w:vAlign w:val="bottom"/>
                  <w:hideMark/>
                </w:tcPr>
                <w:p w14:paraId="2DFC3811"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1,680</w:t>
                  </w:r>
                </w:p>
              </w:tc>
              <w:tc>
                <w:tcPr>
                  <w:tcW w:w="720" w:type="dxa"/>
                  <w:tcBorders>
                    <w:top w:val="single" w:sz="4" w:space="0" w:color="ADD6EA"/>
                    <w:left w:val="nil"/>
                    <w:bottom w:val="single" w:sz="4" w:space="0" w:color="ADD6EA"/>
                    <w:right w:val="nil"/>
                  </w:tcBorders>
                  <w:shd w:val="clear" w:color="000000" w:fill="D6E7F0"/>
                  <w:vAlign w:val="bottom"/>
                  <w:hideMark/>
                </w:tcPr>
                <w:p w14:paraId="3FFFB65F"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1,347</w:t>
                  </w:r>
                </w:p>
              </w:tc>
              <w:tc>
                <w:tcPr>
                  <w:tcW w:w="720" w:type="dxa"/>
                  <w:tcBorders>
                    <w:top w:val="single" w:sz="4" w:space="0" w:color="ADD6EA"/>
                    <w:left w:val="nil"/>
                    <w:bottom w:val="single" w:sz="4" w:space="0" w:color="ADD6EA"/>
                    <w:right w:val="nil"/>
                  </w:tcBorders>
                  <w:shd w:val="clear" w:color="000000" w:fill="D6E7F0"/>
                  <w:vAlign w:val="bottom"/>
                  <w:hideMark/>
                </w:tcPr>
                <w:p w14:paraId="50043E51"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342</w:t>
                  </w:r>
                </w:p>
              </w:tc>
              <w:tc>
                <w:tcPr>
                  <w:tcW w:w="720" w:type="dxa"/>
                  <w:tcBorders>
                    <w:top w:val="single" w:sz="4" w:space="0" w:color="ADD6EA"/>
                    <w:left w:val="nil"/>
                    <w:bottom w:val="nil"/>
                    <w:right w:val="nil"/>
                  </w:tcBorders>
                  <w:shd w:val="clear" w:color="000000" w:fill="D6E7F0"/>
                  <w:vAlign w:val="bottom"/>
                  <w:hideMark/>
                </w:tcPr>
                <w:p w14:paraId="4DD7812B"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286</w:t>
                  </w:r>
                </w:p>
              </w:tc>
              <w:tc>
                <w:tcPr>
                  <w:tcW w:w="720" w:type="dxa"/>
                  <w:tcBorders>
                    <w:top w:val="single" w:sz="4" w:space="0" w:color="ADD6EA"/>
                    <w:left w:val="nil"/>
                    <w:bottom w:val="single" w:sz="4" w:space="0" w:color="ADD6EA"/>
                    <w:right w:val="nil"/>
                  </w:tcBorders>
                  <w:shd w:val="clear" w:color="000000" w:fill="D6E7F0"/>
                  <w:vAlign w:val="bottom"/>
                  <w:hideMark/>
                </w:tcPr>
                <w:p w14:paraId="5F831CFF"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110</w:t>
                  </w:r>
                </w:p>
              </w:tc>
              <w:tc>
                <w:tcPr>
                  <w:tcW w:w="720" w:type="dxa"/>
                  <w:tcBorders>
                    <w:top w:val="single" w:sz="4" w:space="0" w:color="ADD6EA"/>
                    <w:left w:val="nil"/>
                    <w:bottom w:val="single" w:sz="4" w:space="0" w:color="ADD6EA"/>
                    <w:right w:val="nil"/>
                  </w:tcBorders>
                  <w:shd w:val="clear" w:color="000000" w:fill="D6E7F0"/>
                  <w:vAlign w:val="bottom"/>
                  <w:hideMark/>
                </w:tcPr>
                <w:p w14:paraId="43FC3C53"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389</w:t>
                  </w:r>
                </w:p>
              </w:tc>
              <w:tc>
                <w:tcPr>
                  <w:tcW w:w="720" w:type="dxa"/>
                  <w:tcBorders>
                    <w:top w:val="single" w:sz="4" w:space="0" w:color="ADD6EA"/>
                    <w:left w:val="nil"/>
                    <w:bottom w:val="single" w:sz="4" w:space="0" w:color="ADD6EA"/>
                    <w:right w:val="nil"/>
                  </w:tcBorders>
                  <w:shd w:val="clear" w:color="000000" w:fill="D6E7F0"/>
                  <w:vAlign w:val="bottom"/>
                  <w:hideMark/>
                </w:tcPr>
                <w:p w14:paraId="3EA32640"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5,964</w:t>
                  </w:r>
                </w:p>
              </w:tc>
            </w:tr>
            <w:tr w:rsidR="001B3779" w:rsidRPr="001B3779" w14:paraId="171770A3" w14:textId="77777777" w:rsidTr="001B3779">
              <w:trPr>
                <w:trHeight w:val="255"/>
              </w:trPr>
              <w:tc>
                <w:tcPr>
                  <w:tcW w:w="2560" w:type="dxa"/>
                  <w:tcBorders>
                    <w:top w:val="nil"/>
                    <w:left w:val="nil"/>
                    <w:bottom w:val="single" w:sz="4" w:space="0" w:color="ADD6EA"/>
                    <w:right w:val="nil"/>
                  </w:tcBorders>
                  <w:shd w:val="clear" w:color="000000" w:fill="D6E7F0"/>
                  <w:vAlign w:val="bottom"/>
                  <w:hideMark/>
                </w:tcPr>
                <w:p w14:paraId="434F1994" w14:textId="77777777" w:rsidR="001B3779" w:rsidRPr="001B3779" w:rsidRDefault="001B3779" w:rsidP="001B3779">
                  <w:pPr>
                    <w:tabs>
                      <w:tab w:val="clear" w:pos="567"/>
                    </w:tabs>
                    <w:spacing w:before="0" w:line="240" w:lineRule="auto"/>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Difference ($pc)</w:t>
                  </w:r>
                </w:p>
              </w:tc>
              <w:tc>
                <w:tcPr>
                  <w:tcW w:w="720" w:type="dxa"/>
                  <w:tcBorders>
                    <w:top w:val="nil"/>
                    <w:left w:val="nil"/>
                    <w:bottom w:val="single" w:sz="4" w:space="0" w:color="ADD6EA"/>
                    <w:right w:val="nil"/>
                  </w:tcBorders>
                  <w:shd w:val="clear" w:color="000000" w:fill="D6E7F0"/>
                  <w:vAlign w:val="bottom"/>
                  <w:hideMark/>
                </w:tcPr>
                <w:p w14:paraId="4C951590"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36</w:t>
                  </w:r>
                </w:p>
              </w:tc>
              <w:tc>
                <w:tcPr>
                  <w:tcW w:w="720" w:type="dxa"/>
                  <w:tcBorders>
                    <w:top w:val="nil"/>
                    <w:left w:val="nil"/>
                    <w:bottom w:val="single" w:sz="4" w:space="0" w:color="ADD6EA"/>
                    <w:right w:val="nil"/>
                  </w:tcBorders>
                  <w:shd w:val="clear" w:color="000000" w:fill="D6E7F0"/>
                  <w:vAlign w:val="bottom"/>
                  <w:hideMark/>
                </w:tcPr>
                <w:p w14:paraId="0E69042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207</w:t>
                  </w:r>
                </w:p>
              </w:tc>
              <w:tc>
                <w:tcPr>
                  <w:tcW w:w="720" w:type="dxa"/>
                  <w:tcBorders>
                    <w:top w:val="nil"/>
                    <w:left w:val="nil"/>
                    <w:bottom w:val="single" w:sz="4" w:space="0" w:color="ADD6EA"/>
                    <w:right w:val="nil"/>
                  </w:tcBorders>
                  <w:shd w:val="clear" w:color="000000" w:fill="D6E7F0"/>
                  <w:vAlign w:val="bottom"/>
                  <w:hideMark/>
                </w:tcPr>
                <w:p w14:paraId="6DD08FD9"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290</w:t>
                  </w:r>
                </w:p>
              </w:tc>
              <w:tc>
                <w:tcPr>
                  <w:tcW w:w="720" w:type="dxa"/>
                  <w:tcBorders>
                    <w:top w:val="nil"/>
                    <w:left w:val="nil"/>
                    <w:bottom w:val="single" w:sz="4" w:space="0" w:color="ADD6EA"/>
                    <w:right w:val="nil"/>
                  </w:tcBorders>
                  <w:shd w:val="clear" w:color="000000" w:fill="D6E7F0"/>
                  <w:vAlign w:val="bottom"/>
                  <w:hideMark/>
                </w:tcPr>
                <w:p w14:paraId="752B6F91"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431</w:t>
                  </w:r>
                </w:p>
              </w:tc>
              <w:tc>
                <w:tcPr>
                  <w:tcW w:w="720" w:type="dxa"/>
                  <w:tcBorders>
                    <w:top w:val="nil"/>
                    <w:left w:val="nil"/>
                    <w:bottom w:val="single" w:sz="4" w:space="0" w:color="ADD6EA"/>
                    <w:right w:val="nil"/>
                  </w:tcBorders>
                  <w:shd w:val="clear" w:color="000000" w:fill="D6E7F0"/>
                  <w:vAlign w:val="bottom"/>
                  <w:hideMark/>
                </w:tcPr>
                <w:p w14:paraId="1E63F1B5"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178</w:t>
                  </w:r>
                </w:p>
              </w:tc>
              <w:tc>
                <w:tcPr>
                  <w:tcW w:w="720" w:type="dxa"/>
                  <w:tcBorders>
                    <w:top w:val="single" w:sz="4" w:space="0" w:color="ADD6EA"/>
                    <w:left w:val="nil"/>
                    <w:bottom w:val="single" w:sz="4" w:space="0" w:color="ADD6EA"/>
                    <w:right w:val="nil"/>
                  </w:tcBorders>
                  <w:shd w:val="clear" w:color="000000" w:fill="D6E7F0"/>
                  <w:vAlign w:val="bottom"/>
                  <w:hideMark/>
                </w:tcPr>
                <w:p w14:paraId="7B3C731C"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496</w:t>
                  </w:r>
                </w:p>
              </w:tc>
              <w:tc>
                <w:tcPr>
                  <w:tcW w:w="720" w:type="dxa"/>
                  <w:tcBorders>
                    <w:top w:val="nil"/>
                    <w:left w:val="nil"/>
                    <w:bottom w:val="single" w:sz="4" w:space="0" w:color="ADD6EA"/>
                    <w:right w:val="nil"/>
                  </w:tcBorders>
                  <w:shd w:val="clear" w:color="000000" w:fill="D6E7F0"/>
                  <w:vAlign w:val="bottom"/>
                  <w:hideMark/>
                </w:tcPr>
                <w:p w14:paraId="5918E884"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222</w:t>
                  </w:r>
                </w:p>
              </w:tc>
              <w:tc>
                <w:tcPr>
                  <w:tcW w:w="720" w:type="dxa"/>
                  <w:tcBorders>
                    <w:top w:val="nil"/>
                    <w:left w:val="nil"/>
                    <w:bottom w:val="single" w:sz="4" w:space="0" w:color="ADD6EA"/>
                    <w:right w:val="nil"/>
                  </w:tcBorders>
                  <w:shd w:val="clear" w:color="000000" w:fill="D6E7F0"/>
                  <w:vAlign w:val="bottom"/>
                  <w:hideMark/>
                </w:tcPr>
                <w:p w14:paraId="2B9CE6CC" w14:textId="77777777"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1,446</w:t>
                  </w:r>
                </w:p>
              </w:tc>
              <w:tc>
                <w:tcPr>
                  <w:tcW w:w="720" w:type="dxa"/>
                  <w:tcBorders>
                    <w:top w:val="nil"/>
                    <w:left w:val="nil"/>
                    <w:bottom w:val="single" w:sz="4" w:space="0" w:color="ADD6EA"/>
                    <w:right w:val="nil"/>
                  </w:tcBorders>
                  <w:shd w:val="clear" w:color="000000" w:fill="D6E7F0"/>
                  <w:vAlign w:val="bottom"/>
                  <w:hideMark/>
                </w:tcPr>
                <w:p w14:paraId="3D4EE797" w14:textId="33A3A745" w:rsidR="001B3779" w:rsidRPr="001B3779" w:rsidRDefault="001B3779" w:rsidP="001B377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B3779">
                    <w:rPr>
                      <w:rFonts w:ascii="Open Sans Semibold" w:eastAsia="Times New Roman" w:hAnsi="Open Sans Semibold" w:cs="Open Sans Semibold"/>
                      <w:color w:val="000000"/>
                      <w:sz w:val="16"/>
                      <w:szCs w:val="16"/>
                      <w:lang w:eastAsia="en-AU"/>
                    </w:rPr>
                    <w:t>212</w:t>
                  </w:r>
                </w:p>
              </w:tc>
            </w:tr>
          </w:tbl>
          <w:p w14:paraId="47EAB9A4" w14:textId="77777777" w:rsidR="00B74E38" w:rsidRPr="00A9091C" w:rsidRDefault="00B74E38" w:rsidP="00E51790">
            <w:pPr>
              <w:pStyle w:val="CGC2025TableNote"/>
            </w:pPr>
            <w:r w:rsidRPr="00A9091C">
              <w:t xml:space="preserve">Note: Estimates subject to changes in the GST pool and populations. </w:t>
            </w:r>
          </w:p>
          <w:p w14:paraId="12E09442" w14:textId="7D0714E6" w:rsidR="00B74E38" w:rsidRPr="00185A58" w:rsidRDefault="00B74E38" w:rsidP="00E51790">
            <w:r w:rsidRPr="005C630A">
              <w:t>Under the 2018 GST distribution legislation, 2026</w:t>
            </w:r>
            <w:r w:rsidR="003F0969" w:rsidRPr="005C630A">
              <w:rPr>
                <w:rFonts w:ascii="Times New Roman" w:hAnsi="Times New Roman" w:cs="Times New Roman"/>
              </w:rPr>
              <w:t>‍</w:t>
            </w:r>
            <w:r w:rsidRPr="005C630A">
              <w:t>–</w:t>
            </w:r>
            <w:r w:rsidRPr="005C630A">
              <w:rPr>
                <w:rFonts w:ascii="Times New Roman" w:hAnsi="Times New Roman" w:cs="Times New Roman"/>
              </w:rPr>
              <w:t>‍</w:t>
            </w:r>
            <w:r w:rsidRPr="005C630A">
              <w:t xml:space="preserve">27 </w:t>
            </w:r>
            <w:r>
              <w:t>completes</w:t>
            </w:r>
            <w:r w:rsidRPr="005C630A">
              <w:t xml:space="preserve"> a 6-year transition away from distributing the GST pool based solely on the Commission’s assessment of states’ relative fiscal capacities. From this update</w:t>
            </w:r>
            <w:r>
              <w:t>,</w:t>
            </w:r>
            <w:r w:rsidRPr="005C630A">
              <w:t xml:space="preserve"> the Commission’s assessment </w:t>
            </w:r>
            <w:r>
              <w:t>includes an adjustment</w:t>
            </w:r>
            <w:r w:rsidRPr="005C630A">
              <w:t xml:space="preserve"> so that no state will have a GST relativity less than the lower of New</w:t>
            </w:r>
            <w:r>
              <w:t> </w:t>
            </w:r>
            <w:r w:rsidRPr="005C630A">
              <w:t>South</w:t>
            </w:r>
            <w:r>
              <w:t> </w:t>
            </w:r>
            <w:r w:rsidRPr="00185A58">
              <w:t>Wales or Victoria (referred to as the ‘standard state’).</w:t>
            </w:r>
          </w:p>
          <w:p w14:paraId="4CA46CFC" w14:textId="5808ABC7" w:rsidR="00B74E38" w:rsidRPr="005C630A" w:rsidRDefault="00B74E38" w:rsidP="00E51790">
            <w:r w:rsidRPr="00185A58">
              <w:t xml:space="preserve">In 2026–27, New South Wales is the standard state in all </w:t>
            </w:r>
            <w:r>
              <w:t xml:space="preserve">3 </w:t>
            </w:r>
            <w:r w:rsidRPr="00185A58">
              <w:t>assessment years. Western</w:t>
            </w:r>
            <w:r>
              <w:t> </w:t>
            </w:r>
            <w:r w:rsidRPr="00185A58">
              <w:t>Australia’s GST relativity</w:t>
            </w:r>
            <w:r>
              <w:t xml:space="preserve"> </w:t>
            </w:r>
            <w:r w:rsidRPr="00185A58">
              <w:t>is</w:t>
            </w:r>
            <w:r>
              <w:t xml:space="preserve"> </w:t>
            </w:r>
            <w:r w:rsidRPr="00185A58">
              <w:t xml:space="preserve">lifted to New South </w:t>
            </w:r>
            <w:proofErr w:type="spellStart"/>
            <w:r w:rsidRPr="00185A58">
              <w:t>Wales’</w:t>
            </w:r>
            <w:proofErr w:type="spellEnd"/>
            <w:r w:rsidRPr="00185A58">
              <w:t xml:space="preserve"> relativity in all assessment years, while Queensland’s GST relativity is lifted in 2 assessment years (2022</w:t>
            </w:r>
            <w:r w:rsidR="003F0969" w:rsidRPr="005C630A">
              <w:rPr>
                <w:rFonts w:ascii="Times New Roman" w:hAnsi="Times New Roman" w:cs="Times New Roman"/>
              </w:rPr>
              <w:t>‍</w:t>
            </w:r>
            <w:r w:rsidRPr="00185A58">
              <w:t>–</w:t>
            </w:r>
            <w:r w:rsidR="003F0969" w:rsidRPr="005C630A">
              <w:rPr>
                <w:rFonts w:ascii="Times New Roman" w:hAnsi="Times New Roman" w:cs="Times New Roman"/>
              </w:rPr>
              <w:t>‍</w:t>
            </w:r>
            <w:r w:rsidRPr="00185A58">
              <w:t>23</w:t>
            </w:r>
            <w:r>
              <w:t xml:space="preserve"> </w:t>
            </w:r>
            <w:r w:rsidRPr="00185A58">
              <w:t>and 2023</w:t>
            </w:r>
            <w:r w:rsidR="003F0969" w:rsidRPr="005C630A">
              <w:rPr>
                <w:rFonts w:ascii="Times New Roman" w:hAnsi="Times New Roman" w:cs="Times New Roman"/>
              </w:rPr>
              <w:t>‍</w:t>
            </w:r>
            <w:r w:rsidRPr="00185A58">
              <w:t>–</w:t>
            </w:r>
            <w:r w:rsidR="003F0969" w:rsidRPr="005C630A">
              <w:rPr>
                <w:rFonts w:ascii="Times New Roman" w:hAnsi="Times New Roman" w:cs="Times New Roman"/>
              </w:rPr>
              <w:t>‍</w:t>
            </w:r>
            <w:r w:rsidRPr="00185A58">
              <w:t>24).</w:t>
            </w:r>
          </w:p>
          <w:p w14:paraId="5AF5E48D" w14:textId="2BE0E1DF" w:rsidR="00B74E38" w:rsidRDefault="00B74E38" w:rsidP="00E51790">
            <w:pPr>
              <w:ind w:right="6"/>
            </w:pPr>
            <w:r>
              <w:t>A permanent feature of t</w:t>
            </w:r>
            <w:r w:rsidRPr="00433988">
              <w:t xml:space="preserve">he 2018 GST distribution legislation </w:t>
            </w:r>
            <w:r>
              <w:t xml:space="preserve">is </w:t>
            </w:r>
            <w:r w:rsidRPr="00433988">
              <w:t xml:space="preserve">a GST relativity floor of 0.75. </w:t>
            </w:r>
            <w:r>
              <w:t xml:space="preserve">While the relativity floor was triggered during the transition period, it is not triggered in </w:t>
            </w:r>
            <w:r w:rsidRPr="005C630A">
              <w:t>2026</w:t>
            </w:r>
            <w:r w:rsidR="003F0969" w:rsidRPr="005C630A">
              <w:rPr>
                <w:rFonts w:ascii="Times New Roman" w:hAnsi="Times New Roman" w:cs="Times New Roman"/>
              </w:rPr>
              <w:t>‍</w:t>
            </w:r>
            <w:r w:rsidRPr="005C630A">
              <w:t>–</w:t>
            </w:r>
            <w:r w:rsidRPr="005C630A">
              <w:rPr>
                <w:rFonts w:ascii="Times New Roman" w:hAnsi="Times New Roman" w:cs="Times New Roman"/>
              </w:rPr>
              <w:t>‍</w:t>
            </w:r>
            <w:r w:rsidRPr="005C630A">
              <w:t>27</w:t>
            </w:r>
            <w:r>
              <w:t>. This is because a</w:t>
            </w:r>
            <w:r w:rsidRPr="00C91877">
              <w:t>ll state</w:t>
            </w:r>
            <w:r>
              <w:t xml:space="preserve">s’ </w:t>
            </w:r>
            <w:r w:rsidRPr="00E95CDC">
              <w:t>relativities</w:t>
            </w:r>
            <w:r>
              <w:t xml:space="preserve">, after adjusting for the standard state, </w:t>
            </w:r>
            <w:r w:rsidRPr="00C91877">
              <w:t>are above t</w:t>
            </w:r>
            <w:r>
              <w:t>he</w:t>
            </w:r>
            <w:r w:rsidRPr="00C91877">
              <w:t xml:space="preserve"> floor.</w:t>
            </w:r>
          </w:p>
          <w:p w14:paraId="264DC95E" w14:textId="77777777" w:rsidR="00B74E38" w:rsidRPr="00D64361" w:rsidRDefault="00B74E38" w:rsidP="00E51790">
            <w:pPr>
              <w:pStyle w:val="Heading2"/>
            </w:pPr>
            <w:r w:rsidRPr="00D64361">
              <w:t>Estimated total GST-related payments</w:t>
            </w:r>
          </w:p>
          <w:p w14:paraId="1132F451" w14:textId="723BA9F8" w:rsidR="00B74E38" w:rsidRDefault="00B74E38" w:rsidP="00E51790">
            <w:pPr>
              <w:ind w:right="6"/>
            </w:pPr>
            <w:r>
              <w:t xml:space="preserve">All states are estimated to receive higher GST-related payments in </w:t>
            </w:r>
            <w:r w:rsidRPr="00D64361">
              <w:t>2026</w:t>
            </w:r>
            <w:r w:rsidR="00316A81" w:rsidRPr="005C630A">
              <w:rPr>
                <w:rFonts w:ascii="Times New Roman" w:hAnsi="Times New Roman" w:cs="Times New Roman"/>
              </w:rPr>
              <w:t>‍</w:t>
            </w:r>
            <w:r w:rsidRPr="00D64361">
              <w:t>–</w:t>
            </w:r>
            <w:r w:rsidR="00316A81" w:rsidRPr="005C630A">
              <w:rPr>
                <w:rFonts w:ascii="Times New Roman" w:hAnsi="Times New Roman" w:cs="Times New Roman"/>
              </w:rPr>
              <w:t>‍</w:t>
            </w:r>
            <w:r w:rsidRPr="00D64361">
              <w:t>27</w:t>
            </w:r>
            <w:r>
              <w:t xml:space="preserve"> compared </w:t>
            </w:r>
            <w:r w:rsidR="00230ADF">
              <w:t>with</w:t>
            </w:r>
            <w:r>
              <w:t xml:space="preserve"> </w:t>
            </w:r>
            <w:r w:rsidRPr="00D64361">
              <w:t>202</w:t>
            </w:r>
            <w:r>
              <w:t>5</w:t>
            </w:r>
            <w:r w:rsidR="00316A81" w:rsidRPr="005C630A">
              <w:rPr>
                <w:rFonts w:ascii="Times New Roman" w:hAnsi="Times New Roman" w:cs="Times New Roman"/>
              </w:rPr>
              <w:t>‍</w:t>
            </w:r>
            <w:r w:rsidRPr="00D64361">
              <w:t>–</w:t>
            </w:r>
            <w:r w:rsidR="00316A81" w:rsidRPr="005C630A">
              <w:rPr>
                <w:rFonts w:ascii="Times New Roman" w:hAnsi="Times New Roman" w:cs="Times New Roman"/>
              </w:rPr>
              <w:t>‍</w:t>
            </w:r>
            <w:r w:rsidRPr="00D64361">
              <w:t>2</w:t>
            </w:r>
            <w:r>
              <w:t>6.</w:t>
            </w:r>
          </w:p>
          <w:p w14:paraId="184D1A94" w14:textId="2FA93940" w:rsidR="00667290" w:rsidRPr="007E66DC" w:rsidRDefault="00B74E38" w:rsidP="00E51790">
            <w:pPr>
              <w:ind w:right="6"/>
            </w:pPr>
            <w:r w:rsidRPr="00BE69C6">
              <w:t>Queensland is estimated to receive the largest increase in GST distribution of $1.7</w:t>
            </w:r>
            <w:r w:rsidR="00316A81">
              <w:t> </w:t>
            </w:r>
            <w:r w:rsidRPr="00BE69C6">
              <w:t>billion. The Northern Territory is estimated to receive the largest increase in per</w:t>
            </w:r>
            <w:r w:rsidR="00316A81">
              <w:t> </w:t>
            </w:r>
            <w:r w:rsidRPr="00BE69C6">
              <w:t>capita terms of $1,446. </w:t>
            </w:r>
            <w:r w:rsidR="00667290">
              <w:br/>
            </w:r>
          </w:p>
          <w:p w14:paraId="5768A607" w14:textId="4BF117A8" w:rsidR="003F4844" w:rsidRPr="00187820" w:rsidRDefault="00B74E38" w:rsidP="00E21A3D">
            <w:pPr>
              <w:spacing w:after="160" w:line="259" w:lineRule="auto"/>
            </w:pPr>
            <w:r>
              <w:lastRenderedPageBreak/>
              <w:t xml:space="preserve">In addition to the GST distribution, a state will receive a no worse off payment from the Commonwealth if it is worse off compared </w:t>
            </w:r>
            <w:r w:rsidR="00EC6C9F">
              <w:t>with</w:t>
            </w:r>
            <w:r>
              <w:t xml:space="preserve"> the arrangements prior to the 2018 </w:t>
            </w:r>
            <w:r w:rsidR="00C101E7">
              <w:t>GST distribution legislation</w:t>
            </w:r>
            <w:r>
              <w:t>.</w:t>
            </w:r>
            <w:r w:rsidRPr="00A24F1F">
              <w:rPr>
                <w:rStyle w:val="FootnoteReference"/>
                <w:szCs w:val="20"/>
                <w:vertAlign w:val="superscript"/>
              </w:rPr>
              <w:footnoteReference w:id="3"/>
            </w:r>
            <w:r>
              <w:t xml:space="preserve"> In 2026</w:t>
            </w:r>
            <w:r w:rsidR="00316A81" w:rsidRPr="005C630A">
              <w:rPr>
                <w:rFonts w:ascii="Times New Roman" w:hAnsi="Times New Roman" w:cs="Times New Roman"/>
              </w:rPr>
              <w:t>‍</w:t>
            </w:r>
            <w:r>
              <w:t>–</w:t>
            </w:r>
            <w:r w:rsidR="00316A81" w:rsidRPr="005C630A">
              <w:rPr>
                <w:rFonts w:ascii="Times New Roman" w:hAnsi="Times New Roman" w:cs="Times New Roman"/>
              </w:rPr>
              <w:t>‍</w:t>
            </w:r>
            <w:r>
              <w:t xml:space="preserve">27, </w:t>
            </w:r>
            <w:r w:rsidRPr="00645655">
              <w:t>Western Australia is estimated to receive $6.</w:t>
            </w:r>
            <w:r>
              <w:t>6 </w:t>
            </w:r>
            <w:r w:rsidRPr="00645655">
              <w:t xml:space="preserve">billion </w:t>
            </w:r>
            <w:r>
              <w:t>more in</w:t>
            </w:r>
            <w:r w:rsidRPr="00536963">
              <w:t xml:space="preserve"> GST payments than under the </w:t>
            </w:r>
            <w:r w:rsidRPr="002C374B">
              <w:t>previous arrangements. All other states are expected to receive a no</w:t>
            </w:r>
            <w:r w:rsidR="008D41D4">
              <w:t xml:space="preserve"> </w:t>
            </w:r>
            <w:r w:rsidRPr="002C374B">
              <w:t>worse off payment</w:t>
            </w:r>
            <w:r w:rsidR="003773DC" w:rsidRPr="00187820">
              <w:t xml:space="preserve">. </w:t>
            </w:r>
          </w:p>
          <w:p w14:paraId="4EFEF780" w14:textId="4A036EF6" w:rsidR="00B74E38" w:rsidRDefault="00A96FBC" w:rsidP="00E21A3D">
            <w:pPr>
              <w:spacing w:after="160" w:line="259" w:lineRule="auto"/>
            </w:pPr>
            <w:r w:rsidRPr="00187820">
              <w:t>As a result</w:t>
            </w:r>
            <w:r w:rsidR="00AE4AE1" w:rsidRPr="00187820">
              <w:t xml:space="preserve"> of the </w:t>
            </w:r>
            <w:r w:rsidR="003773DC" w:rsidRPr="00187820">
              <w:t xml:space="preserve">2018 </w:t>
            </w:r>
            <w:r w:rsidR="00F30375" w:rsidRPr="00187820">
              <w:t>GST distribution legislation</w:t>
            </w:r>
            <w:r w:rsidR="00411A49" w:rsidRPr="00187820">
              <w:t>, the total</w:t>
            </w:r>
            <w:r w:rsidR="003773DC" w:rsidRPr="00187820">
              <w:t xml:space="preserve"> </w:t>
            </w:r>
            <w:r w:rsidR="004E4DB8" w:rsidRPr="00187820">
              <w:t>cost</w:t>
            </w:r>
            <w:r w:rsidR="003773DC" w:rsidRPr="00187820">
              <w:t xml:space="preserve"> to the Commonwealth in 2026</w:t>
            </w:r>
            <w:r w:rsidR="00125655" w:rsidRPr="00187820">
              <w:t>–</w:t>
            </w:r>
            <w:r w:rsidR="003773DC" w:rsidRPr="00187820">
              <w:t>27 is estimated to be $6.6</w:t>
            </w:r>
            <w:r w:rsidR="00B146D9" w:rsidRPr="00187820">
              <w:t> </w:t>
            </w:r>
            <w:r w:rsidR="003773DC" w:rsidRPr="00187820">
              <w:t>billion</w:t>
            </w:r>
            <w:r w:rsidR="00F2679D" w:rsidRPr="00187820">
              <w:t>. This</w:t>
            </w:r>
            <w:r w:rsidR="003773DC" w:rsidRPr="00187820">
              <w:t xml:space="preserve"> comprises $5.5 billion in no worse off payments and $1.1 billion in GST pool top-up payments</w:t>
            </w:r>
            <w:r w:rsidR="00B74E38" w:rsidRPr="00187820">
              <w:t>.</w:t>
            </w:r>
          </w:p>
          <w:p w14:paraId="2669DAB8" w14:textId="64B80191" w:rsidR="00B74E38" w:rsidRDefault="00B74E38" w:rsidP="00E51790">
            <w:pPr>
              <w:pStyle w:val="CGC2025Caption"/>
            </w:pPr>
            <w:r w:rsidRPr="00536963">
              <w:t>Estimated total payments to the states from GST distribution and no worse off payments</w:t>
            </w:r>
          </w:p>
          <w:tbl>
            <w:tblPr>
              <w:tblW w:w="9020" w:type="dxa"/>
              <w:tblLook w:val="04A0" w:firstRow="1" w:lastRow="0" w:firstColumn="1" w:lastColumn="0" w:noHBand="0" w:noVBand="1"/>
            </w:tblPr>
            <w:tblGrid>
              <w:gridCol w:w="2453"/>
              <w:gridCol w:w="720"/>
              <w:gridCol w:w="720"/>
              <w:gridCol w:w="720"/>
              <w:gridCol w:w="720"/>
              <w:gridCol w:w="720"/>
              <w:gridCol w:w="720"/>
              <w:gridCol w:w="720"/>
              <w:gridCol w:w="720"/>
              <w:gridCol w:w="807"/>
            </w:tblGrid>
            <w:tr w:rsidR="00E25DF2" w:rsidRPr="00E25DF2" w14:paraId="6F74C642" w14:textId="77777777" w:rsidTr="00E25DF2">
              <w:trPr>
                <w:trHeight w:val="380"/>
              </w:trPr>
              <w:tc>
                <w:tcPr>
                  <w:tcW w:w="2540" w:type="dxa"/>
                  <w:tcBorders>
                    <w:top w:val="nil"/>
                    <w:left w:val="nil"/>
                    <w:bottom w:val="nil"/>
                    <w:right w:val="nil"/>
                  </w:tcBorders>
                  <w:shd w:val="clear" w:color="000000" w:fill="006991"/>
                  <w:vAlign w:val="bottom"/>
                  <w:hideMark/>
                </w:tcPr>
                <w:p w14:paraId="13E1BEC9" w14:textId="77777777" w:rsidR="00E25DF2" w:rsidRPr="00E25DF2" w:rsidRDefault="00E25DF2" w:rsidP="00E25DF2">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30" w:name="RANGE!A4:J17"/>
                  <w:r w:rsidRPr="00E25DF2">
                    <w:rPr>
                      <w:rFonts w:ascii="Open Sans Semibold" w:eastAsia="Times New Roman" w:hAnsi="Open Sans Semibold" w:cs="Open Sans Semibold"/>
                      <w:color w:val="FFFFFF"/>
                      <w:sz w:val="16"/>
                      <w:szCs w:val="16"/>
                      <w:lang w:eastAsia="en-AU"/>
                    </w:rPr>
                    <w:t> </w:t>
                  </w:r>
                  <w:bookmarkEnd w:id="30"/>
                </w:p>
              </w:tc>
              <w:tc>
                <w:tcPr>
                  <w:tcW w:w="720" w:type="dxa"/>
                  <w:tcBorders>
                    <w:top w:val="nil"/>
                    <w:left w:val="nil"/>
                    <w:bottom w:val="nil"/>
                    <w:right w:val="nil"/>
                  </w:tcBorders>
                  <w:shd w:val="clear" w:color="000000" w:fill="006991"/>
                  <w:vAlign w:val="center"/>
                  <w:hideMark/>
                </w:tcPr>
                <w:p w14:paraId="5660DCD7"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5D050A4E"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25694940"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532BD9D7"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5450F2C8"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407ECF27"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5BDDE59B"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6ABE4E5D"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21D12492"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E25DF2">
                    <w:rPr>
                      <w:rFonts w:ascii="Open Sans Semibold" w:eastAsia="Times New Roman" w:hAnsi="Open Sans Semibold" w:cs="Open Sans Semibold"/>
                      <w:color w:val="FFFFFF"/>
                      <w:sz w:val="16"/>
                      <w:szCs w:val="16"/>
                      <w:lang w:eastAsia="en-AU"/>
                    </w:rPr>
                    <w:t>Total</w:t>
                  </w:r>
                </w:p>
              </w:tc>
            </w:tr>
            <w:tr w:rsidR="00E25DF2" w:rsidRPr="00E25DF2" w14:paraId="4F3F4085" w14:textId="77777777" w:rsidTr="00E25DF2">
              <w:trPr>
                <w:trHeight w:val="260"/>
              </w:trPr>
              <w:tc>
                <w:tcPr>
                  <w:tcW w:w="2540" w:type="dxa"/>
                  <w:tcBorders>
                    <w:top w:val="single" w:sz="4" w:space="0" w:color="ADD6EA"/>
                    <w:left w:val="nil"/>
                    <w:bottom w:val="nil"/>
                    <w:right w:val="nil"/>
                  </w:tcBorders>
                  <w:shd w:val="clear" w:color="000000" w:fill="B6D5E4"/>
                  <w:vAlign w:val="bottom"/>
                  <w:hideMark/>
                </w:tcPr>
                <w:p w14:paraId="6DE6CE48" w14:textId="77777777" w:rsidR="00E25DF2" w:rsidRPr="00E25DF2" w:rsidRDefault="00E25DF2" w:rsidP="00E25DF2">
                  <w:pPr>
                    <w:tabs>
                      <w:tab w:val="clear" w:pos="567"/>
                    </w:tabs>
                    <w:spacing w:before="0" w:line="240" w:lineRule="auto"/>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noWrap/>
                  <w:vAlign w:val="center"/>
                  <w:hideMark/>
                </w:tcPr>
                <w:p w14:paraId="4A84872F"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5942E69F"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769645B7"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7DFD6328"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7CD1E219"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ADBE0EE"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0050CA14"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6651CE9"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6012E099"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$m</w:t>
                  </w:r>
                </w:p>
              </w:tc>
            </w:tr>
            <w:tr w:rsidR="00E25DF2" w:rsidRPr="00E25DF2" w14:paraId="41FD62AA"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489B2095"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2025-26</w:t>
                  </w:r>
                </w:p>
              </w:tc>
              <w:tc>
                <w:tcPr>
                  <w:tcW w:w="720" w:type="dxa"/>
                  <w:tcBorders>
                    <w:top w:val="single" w:sz="4" w:space="0" w:color="ADD6EA"/>
                    <w:left w:val="nil"/>
                    <w:bottom w:val="nil"/>
                    <w:right w:val="nil"/>
                  </w:tcBorders>
                  <w:shd w:val="clear" w:color="000000" w:fill="FFFFFF"/>
                  <w:noWrap/>
                  <w:vAlign w:val="bottom"/>
                  <w:hideMark/>
                </w:tcPr>
                <w:p w14:paraId="023DCE0C"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181654A4"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2BB9C67D"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110068A7"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57BB8DD5"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513D02F0"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2CA693DF"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0D838DF5"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0AE9AF79"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r>
            <w:tr w:rsidR="00E25DF2" w:rsidRPr="00E25DF2" w14:paraId="69DD82F6"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30BEE5F5"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bottom"/>
                  <w:hideMark/>
                </w:tcPr>
                <w:p w14:paraId="2688A572"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25,807</w:t>
                  </w:r>
                </w:p>
              </w:tc>
              <w:tc>
                <w:tcPr>
                  <w:tcW w:w="720" w:type="dxa"/>
                  <w:tcBorders>
                    <w:top w:val="single" w:sz="4" w:space="0" w:color="ADD6EA"/>
                    <w:left w:val="nil"/>
                    <w:bottom w:val="nil"/>
                    <w:right w:val="nil"/>
                  </w:tcBorders>
                  <w:shd w:val="clear" w:color="000000" w:fill="FFFFFF"/>
                  <w:noWrap/>
                  <w:vAlign w:val="bottom"/>
                  <w:hideMark/>
                </w:tcPr>
                <w:p w14:paraId="633FDE27"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26,373</w:t>
                  </w:r>
                </w:p>
              </w:tc>
              <w:tc>
                <w:tcPr>
                  <w:tcW w:w="720" w:type="dxa"/>
                  <w:tcBorders>
                    <w:top w:val="single" w:sz="4" w:space="0" w:color="ADD6EA"/>
                    <w:left w:val="nil"/>
                    <w:bottom w:val="nil"/>
                    <w:right w:val="nil"/>
                  </w:tcBorders>
                  <w:shd w:val="clear" w:color="000000" w:fill="FFFFFF"/>
                  <w:noWrap/>
                  <w:vAlign w:val="bottom"/>
                  <w:hideMark/>
                </w:tcPr>
                <w:p w14:paraId="243A72E9"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16,758</w:t>
                  </w:r>
                </w:p>
              </w:tc>
              <w:tc>
                <w:tcPr>
                  <w:tcW w:w="720" w:type="dxa"/>
                  <w:tcBorders>
                    <w:top w:val="single" w:sz="4" w:space="0" w:color="ADD6EA"/>
                    <w:left w:val="nil"/>
                    <w:bottom w:val="nil"/>
                    <w:right w:val="nil"/>
                  </w:tcBorders>
                  <w:shd w:val="clear" w:color="000000" w:fill="FFFFFF"/>
                  <w:noWrap/>
                  <w:vAlign w:val="bottom"/>
                  <w:hideMark/>
                </w:tcPr>
                <w:p w14:paraId="715707F8"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7,990</w:t>
                  </w:r>
                </w:p>
              </w:tc>
              <w:tc>
                <w:tcPr>
                  <w:tcW w:w="720" w:type="dxa"/>
                  <w:tcBorders>
                    <w:top w:val="single" w:sz="4" w:space="0" w:color="ADD6EA"/>
                    <w:left w:val="nil"/>
                    <w:bottom w:val="nil"/>
                    <w:right w:val="nil"/>
                  </w:tcBorders>
                  <w:shd w:val="clear" w:color="000000" w:fill="FFFFFF"/>
                  <w:noWrap/>
                  <w:vAlign w:val="bottom"/>
                  <w:hideMark/>
                </w:tcPr>
                <w:p w14:paraId="32D99F31"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9,206</w:t>
                  </w:r>
                </w:p>
              </w:tc>
              <w:tc>
                <w:tcPr>
                  <w:tcW w:w="720" w:type="dxa"/>
                  <w:tcBorders>
                    <w:top w:val="single" w:sz="4" w:space="0" w:color="ADD6EA"/>
                    <w:left w:val="nil"/>
                    <w:bottom w:val="nil"/>
                    <w:right w:val="nil"/>
                  </w:tcBorders>
                  <w:shd w:val="clear" w:color="000000" w:fill="FFFFFF"/>
                  <w:noWrap/>
                  <w:vAlign w:val="bottom"/>
                  <w:hideMark/>
                </w:tcPr>
                <w:p w14:paraId="61BCFC6E"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3,682</w:t>
                  </w:r>
                </w:p>
              </w:tc>
              <w:tc>
                <w:tcPr>
                  <w:tcW w:w="720" w:type="dxa"/>
                  <w:tcBorders>
                    <w:top w:val="single" w:sz="4" w:space="0" w:color="ADD6EA"/>
                    <w:left w:val="nil"/>
                    <w:bottom w:val="nil"/>
                    <w:right w:val="nil"/>
                  </w:tcBorders>
                  <w:shd w:val="clear" w:color="000000" w:fill="FFFFFF"/>
                  <w:noWrap/>
                  <w:vAlign w:val="bottom"/>
                  <w:hideMark/>
                </w:tcPr>
                <w:p w14:paraId="2A2CFBCD"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1,985</w:t>
                  </w:r>
                </w:p>
              </w:tc>
              <w:tc>
                <w:tcPr>
                  <w:tcW w:w="720" w:type="dxa"/>
                  <w:tcBorders>
                    <w:top w:val="single" w:sz="4" w:space="0" w:color="ADD6EA"/>
                    <w:left w:val="nil"/>
                    <w:bottom w:val="nil"/>
                    <w:right w:val="nil"/>
                  </w:tcBorders>
                  <w:shd w:val="clear" w:color="000000" w:fill="FFFFFF"/>
                  <w:noWrap/>
                  <w:vAlign w:val="bottom"/>
                  <w:hideMark/>
                </w:tcPr>
                <w:p w14:paraId="1AC4BA45"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4,753</w:t>
                  </w:r>
                </w:p>
              </w:tc>
              <w:tc>
                <w:tcPr>
                  <w:tcW w:w="720" w:type="dxa"/>
                  <w:tcBorders>
                    <w:top w:val="single" w:sz="4" w:space="0" w:color="ADD6EA"/>
                    <w:left w:val="nil"/>
                    <w:bottom w:val="nil"/>
                    <w:right w:val="nil"/>
                  </w:tcBorders>
                  <w:shd w:val="clear" w:color="000000" w:fill="FFFFFF"/>
                  <w:noWrap/>
                  <w:vAlign w:val="bottom"/>
                  <w:hideMark/>
                </w:tcPr>
                <w:p w14:paraId="082AB7E5"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96,554</w:t>
                  </w:r>
                </w:p>
              </w:tc>
            </w:tr>
            <w:tr w:rsidR="00E25DF2" w:rsidRPr="00E25DF2" w14:paraId="5A5807B1"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71F60F1A"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bottom"/>
                  <w:hideMark/>
                </w:tcPr>
                <w:p w14:paraId="07AE3C54"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2,276</w:t>
                  </w:r>
                </w:p>
              </w:tc>
              <w:tc>
                <w:tcPr>
                  <w:tcW w:w="720" w:type="dxa"/>
                  <w:tcBorders>
                    <w:top w:val="single" w:sz="4" w:space="0" w:color="ADD6EA"/>
                    <w:left w:val="nil"/>
                    <w:bottom w:val="nil"/>
                    <w:right w:val="nil"/>
                  </w:tcBorders>
                  <w:shd w:val="clear" w:color="000000" w:fill="FFFFFF"/>
                  <w:noWrap/>
                  <w:vAlign w:val="bottom"/>
                  <w:hideMark/>
                </w:tcPr>
                <w:p w14:paraId="424D1AF0"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1,870</w:t>
                  </w:r>
                </w:p>
              </w:tc>
              <w:tc>
                <w:tcPr>
                  <w:tcW w:w="720" w:type="dxa"/>
                  <w:tcBorders>
                    <w:top w:val="single" w:sz="4" w:space="0" w:color="ADD6EA"/>
                    <w:left w:val="nil"/>
                    <w:bottom w:val="nil"/>
                    <w:right w:val="nil"/>
                  </w:tcBorders>
                  <w:shd w:val="clear" w:color="000000" w:fill="FFFFFF"/>
                  <w:noWrap/>
                  <w:vAlign w:val="bottom"/>
                  <w:hideMark/>
                </w:tcPr>
                <w:p w14:paraId="230F3A69"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55</w:t>
                  </w:r>
                </w:p>
              </w:tc>
              <w:tc>
                <w:tcPr>
                  <w:tcW w:w="720" w:type="dxa"/>
                  <w:tcBorders>
                    <w:top w:val="single" w:sz="4" w:space="0" w:color="ADD6EA"/>
                    <w:left w:val="nil"/>
                    <w:bottom w:val="nil"/>
                    <w:right w:val="nil"/>
                  </w:tcBorders>
                  <w:shd w:val="clear" w:color="000000" w:fill="FFFFFF"/>
                  <w:noWrap/>
                  <w:vAlign w:val="bottom"/>
                  <w:hideMark/>
                </w:tcPr>
                <w:p w14:paraId="1A40A417"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bottom"/>
                  <w:hideMark/>
                </w:tcPr>
                <w:p w14:paraId="3CE3C6F2"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500</w:t>
                  </w:r>
                </w:p>
              </w:tc>
              <w:tc>
                <w:tcPr>
                  <w:tcW w:w="720" w:type="dxa"/>
                  <w:tcBorders>
                    <w:top w:val="single" w:sz="4" w:space="0" w:color="ADD6EA"/>
                    <w:left w:val="nil"/>
                    <w:bottom w:val="nil"/>
                    <w:right w:val="nil"/>
                  </w:tcBorders>
                  <w:shd w:val="clear" w:color="000000" w:fill="FFFFFF"/>
                  <w:noWrap/>
                  <w:vAlign w:val="bottom"/>
                  <w:hideMark/>
                </w:tcPr>
                <w:p w14:paraId="0953FB6C"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150</w:t>
                  </w:r>
                </w:p>
              </w:tc>
              <w:tc>
                <w:tcPr>
                  <w:tcW w:w="720" w:type="dxa"/>
                  <w:tcBorders>
                    <w:top w:val="single" w:sz="4" w:space="0" w:color="ADD6EA"/>
                    <w:left w:val="nil"/>
                    <w:bottom w:val="nil"/>
                    <w:right w:val="nil"/>
                  </w:tcBorders>
                  <w:shd w:val="clear" w:color="000000" w:fill="FFFFFF"/>
                  <w:noWrap/>
                  <w:vAlign w:val="bottom"/>
                  <w:hideMark/>
                </w:tcPr>
                <w:p w14:paraId="75E118FA"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128</w:t>
                  </w:r>
                </w:p>
              </w:tc>
              <w:tc>
                <w:tcPr>
                  <w:tcW w:w="720" w:type="dxa"/>
                  <w:tcBorders>
                    <w:top w:val="single" w:sz="4" w:space="0" w:color="ADD6EA"/>
                    <w:left w:val="nil"/>
                    <w:bottom w:val="nil"/>
                    <w:right w:val="nil"/>
                  </w:tcBorders>
                  <w:shd w:val="clear" w:color="000000" w:fill="FFFFFF"/>
                  <w:noWrap/>
                  <w:vAlign w:val="bottom"/>
                  <w:hideMark/>
                </w:tcPr>
                <w:p w14:paraId="5788183E"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66</w:t>
                  </w:r>
                </w:p>
              </w:tc>
              <w:tc>
                <w:tcPr>
                  <w:tcW w:w="720" w:type="dxa"/>
                  <w:tcBorders>
                    <w:top w:val="single" w:sz="4" w:space="0" w:color="ADD6EA"/>
                    <w:left w:val="nil"/>
                    <w:bottom w:val="nil"/>
                    <w:right w:val="nil"/>
                  </w:tcBorders>
                  <w:shd w:val="clear" w:color="000000" w:fill="FFFFFF"/>
                  <w:noWrap/>
                  <w:vAlign w:val="bottom"/>
                  <w:hideMark/>
                </w:tcPr>
                <w:p w14:paraId="1B16F23E"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5,045</w:t>
                  </w:r>
                </w:p>
              </w:tc>
            </w:tr>
            <w:tr w:rsidR="00E25DF2" w:rsidRPr="00E25DF2" w14:paraId="1E26E5A3" w14:textId="77777777" w:rsidTr="00E25DF2">
              <w:trPr>
                <w:trHeight w:val="315"/>
              </w:trPr>
              <w:tc>
                <w:tcPr>
                  <w:tcW w:w="2540" w:type="dxa"/>
                  <w:tcBorders>
                    <w:top w:val="single" w:sz="4" w:space="0" w:color="ADD6EA"/>
                    <w:left w:val="nil"/>
                    <w:bottom w:val="nil"/>
                    <w:right w:val="nil"/>
                  </w:tcBorders>
                  <w:shd w:val="clear" w:color="000000" w:fill="D6E7F0"/>
                  <w:vAlign w:val="bottom"/>
                  <w:hideMark/>
                </w:tcPr>
                <w:p w14:paraId="7E2C02F7" w14:textId="77777777" w:rsidR="00E25DF2" w:rsidRPr="00E25DF2" w:rsidRDefault="00E25DF2" w:rsidP="00E25DF2">
                  <w:pPr>
                    <w:tabs>
                      <w:tab w:val="clear" w:pos="567"/>
                    </w:tabs>
                    <w:spacing w:before="0" w:line="240" w:lineRule="auto"/>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 xml:space="preserve">    Total</w:t>
                  </w:r>
                </w:p>
              </w:tc>
              <w:tc>
                <w:tcPr>
                  <w:tcW w:w="720" w:type="dxa"/>
                  <w:tcBorders>
                    <w:top w:val="single" w:sz="4" w:space="0" w:color="ADD6EA"/>
                    <w:left w:val="nil"/>
                    <w:bottom w:val="nil"/>
                    <w:right w:val="nil"/>
                  </w:tcBorders>
                  <w:shd w:val="clear" w:color="000000" w:fill="D6E7F0"/>
                  <w:noWrap/>
                  <w:vAlign w:val="bottom"/>
                  <w:hideMark/>
                </w:tcPr>
                <w:p w14:paraId="797AAC9F"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28,082</w:t>
                  </w:r>
                </w:p>
              </w:tc>
              <w:tc>
                <w:tcPr>
                  <w:tcW w:w="720" w:type="dxa"/>
                  <w:tcBorders>
                    <w:top w:val="single" w:sz="4" w:space="0" w:color="ADD6EA"/>
                    <w:left w:val="nil"/>
                    <w:bottom w:val="nil"/>
                    <w:right w:val="nil"/>
                  </w:tcBorders>
                  <w:shd w:val="clear" w:color="000000" w:fill="D6E7F0"/>
                  <w:noWrap/>
                  <w:vAlign w:val="bottom"/>
                  <w:hideMark/>
                </w:tcPr>
                <w:p w14:paraId="723D495E"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28,243</w:t>
                  </w:r>
                </w:p>
              </w:tc>
              <w:tc>
                <w:tcPr>
                  <w:tcW w:w="720" w:type="dxa"/>
                  <w:tcBorders>
                    <w:top w:val="single" w:sz="4" w:space="0" w:color="ADD6EA"/>
                    <w:left w:val="nil"/>
                    <w:bottom w:val="nil"/>
                    <w:right w:val="nil"/>
                  </w:tcBorders>
                  <w:shd w:val="clear" w:color="000000" w:fill="D6E7F0"/>
                  <w:noWrap/>
                  <w:vAlign w:val="bottom"/>
                  <w:hideMark/>
                </w:tcPr>
                <w:p w14:paraId="343493DC"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16,813</w:t>
                  </w:r>
                </w:p>
              </w:tc>
              <w:tc>
                <w:tcPr>
                  <w:tcW w:w="720" w:type="dxa"/>
                  <w:tcBorders>
                    <w:top w:val="single" w:sz="4" w:space="0" w:color="ADD6EA"/>
                    <w:left w:val="nil"/>
                    <w:bottom w:val="nil"/>
                    <w:right w:val="nil"/>
                  </w:tcBorders>
                  <w:shd w:val="clear" w:color="000000" w:fill="D6E7F0"/>
                  <w:noWrap/>
                  <w:vAlign w:val="bottom"/>
                  <w:hideMark/>
                </w:tcPr>
                <w:p w14:paraId="60192A5F"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7,990</w:t>
                  </w:r>
                </w:p>
              </w:tc>
              <w:tc>
                <w:tcPr>
                  <w:tcW w:w="720" w:type="dxa"/>
                  <w:tcBorders>
                    <w:top w:val="single" w:sz="4" w:space="0" w:color="ADD6EA"/>
                    <w:left w:val="nil"/>
                    <w:bottom w:val="nil"/>
                    <w:right w:val="nil"/>
                  </w:tcBorders>
                  <w:shd w:val="clear" w:color="000000" w:fill="D6E7F0"/>
                  <w:noWrap/>
                  <w:vAlign w:val="bottom"/>
                  <w:hideMark/>
                </w:tcPr>
                <w:p w14:paraId="407B7B58"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9,706</w:t>
                  </w:r>
                </w:p>
              </w:tc>
              <w:tc>
                <w:tcPr>
                  <w:tcW w:w="720" w:type="dxa"/>
                  <w:tcBorders>
                    <w:top w:val="single" w:sz="4" w:space="0" w:color="ADD6EA"/>
                    <w:left w:val="nil"/>
                    <w:bottom w:val="nil"/>
                    <w:right w:val="nil"/>
                  </w:tcBorders>
                  <w:shd w:val="clear" w:color="000000" w:fill="D6E7F0"/>
                  <w:noWrap/>
                  <w:vAlign w:val="bottom"/>
                  <w:hideMark/>
                </w:tcPr>
                <w:p w14:paraId="5C37A9F8"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3,832</w:t>
                  </w:r>
                </w:p>
              </w:tc>
              <w:tc>
                <w:tcPr>
                  <w:tcW w:w="720" w:type="dxa"/>
                  <w:tcBorders>
                    <w:top w:val="single" w:sz="4" w:space="0" w:color="ADD6EA"/>
                    <w:left w:val="nil"/>
                    <w:bottom w:val="nil"/>
                    <w:right w:val="nil"/>
                  </w:tcBorders>
                  <w:shd w:val="clear" w:color="000000" w:fill="D6E7F0"/>
                  <w:noWrap/>
                  <w:vAlign w:val="bottom"/>
                  <w:hideMark/>
                </w:tcPr>
                <w:p w14:paraId="5E80887A"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2,113</w:t>
                  </w:r>
                </w:p>
              </w:tc>
              <w:tc>
                <w:tcPr>
                  <w:tcW w:w="720" w:type="dxa"/>
                  <w:tcBorders>
                    <w:top w:val="single" w:sz="4" w:space="0" w:color="ADD6EA"/>
                    <w:left w:val="nil"/>
                    <w:bottom w:val="nil"/>
                    <w:right w:val="nil"/>
                  </w:tcBorders>
                  <w:shd w:val="clear" w:color="000000" w:fill="D6E7F0"/>
                  <w:noWrap/>
                  <w:vAlign w:val="bottom"/>
                  <w:hideMark/>
                </w:tcPr>
                <w:p w14:paraId="0400940E"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4,819</w:t>
                  </w:r>
                </w:p>
              </w:tc>
              <w:tc>
                <w:tcPr>
                  <w:tcW w:w="720" w:type="dxa"/>
                  <w:tcBorders>
                    <w:top w:val="single" w:sz="4" w:space="0" w:color="ADD6EA"/>
                    <w:left w:val="nil"/>
                    <w:bottom w:val="nil"/>
                    <w:right w:val="nil"/>
                  </w:tcBorders>
                  <w:shd w:val="clear" w:color="000000" w:fill="D6E7F0"/>
                  <w:noWrap/>
                  <w:vAlign w:val="bottom"/>
                  <w:hideMark/>
                </w:tcPr>
                <w:p w14:paraId="253C877F"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101,599</w:t>
                  </w:r>
                </w:p>
              </w:tc>
            </w:tr>
            <w:tr w:rsidR="00E25DF2" w:rsidRPr="00E25DF2" w14:paraId="2B7D00CC"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5544512A"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2026-27</w:t>
                  </w:r>
                </w:p>
              </w:tc>
              <w:tc>
                <w:tcPr>
                  <w:tcW w:w="720" w:type="dxa"/>
                  <w:tcBorders>
                    <w:top w:val="single" w:sz="4" w:space="0" w:color="ADD6EA"/>
                    <w:left w:val="nil"/>
                    <w:bottom w:val="nil"/>
                    <w:right w:val="nil"/>
                  </w:tcBorders>
                  <w:shd w:val="clear" w:color="000000" w:fill="FFFFFF"/>
                  <w:noWrap/>
                  <w:vAlign w:val="bottom"/>
                  <w:hideMark/>
                </w:tcPr>
                <w:p w14:paraId="38EAA5E1"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1CEA789D"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6A21EAA3"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3233539F"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761BBD85"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21429174"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11D2C59E"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5DF3F3E5"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72E08C8D"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r>
            <w:tr w:rsidR="00E25DF2" w:rsidRPr="00E25DF2" w14:paraId="66FA11FA"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75946A72"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bottom"/>
                  <w:hideMark/>
                </w:tcPr>
                <w:p w14:paraId="59C49D89"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26,123</w:t>
                  </w:r>
                </w:p>
              </w:tc>
              <w:tc>
                <w:tcPr>
                  <w:tcW w:w="720" w:type="dxa"/>
                  <w:tcBorders>
                    <w:top w:val="single" w:sz="4" w:space="0" w:color="ADD6EA"/>
                    <w:left w:val="nil"/>
                    <w:bottom w:val="nil"/>
                    <w:right w:val="nil"/>
                  </w:tcBorders>
                  <w:shd w:val="clear" w:color="000000" w:fill="FFFFFF"/>
                  <w:noWrap/>
                  <w:vAlign w:val="bottom"/>
                  <w:hideMark/>
                </w:tcPr>
                <w:p w14:paraId="66DC7000"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27,867</w:t>
                  </w:r>
                </w:p>
              </w:tc>
              <w:tc>
                <w:tcPr>
                  <w:tcW w:w="720" w:type="dxa"/>
                  <w:tcBorders>
                    <w:top w:val="single" w:sz="4" w:space="0" w:color="ADD6EA"/>
                    <w:left w:val="nil"/>
                    <w:bottom w:val="nil"/>
                    <w:right w:val="nil"/>
                  </w:tcBorders>
                  <w:shd w:val="clear" w:color="000000" w:fill="FFFFFF"/>
                  <w:noWrap/>
                  <w:vAlign w:val="bottom"/>
                  <w:hideMark/>
                </w:tcPr>
                <w:p w14:paraId="31C1AB09"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18,438</w:t>
                  </w:r>
                </w:p>
              </w:tc>
              <w:tc>
                <w:tcPr>
                  <w:tcW w:w="720" w:type="dxa"/>
                  <w:tcBorders>
                    <w:top w:val="single" w:sz="4" w:space="0" w:color="ADD6EA"/>
                    <w:left w:val="nil"/>
                    <w:bottom w:val="nil"/>
                    <w:right w:val="nil"/>
                  </w:tcBorders>
                  <w:shd w:val="clear" w:color="000000" w:fill="FFFFFF"/>
                  <w:noWrap/>
                  <w:vAlign w:val="bottom"/>
                  <w:hideMark/>
                </w:tcPr>
                <w:p w14:paraId="6DCB357C"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9,337</w:t>
                  </w:r>
                </w:p>
              </w:tc>
              <w:tc>
                <w:tcPr>
                  <w:tcW w:w="720" w:type="dxa"/>
                  <w:tcBorders>
                    <w:top w:val="single" w:sz="4" w:space="0" w:color="ADD6EA"/>
                    <w:left w:val="nil"/>
                    <w:bottom w:val="nil"/>
                    <w:right w:val="nil"/>
                  </w:tcBorders>
                  <w:shd w:val="clear" w:color="000000" w:fill="FFFFFF"/>
                  <w:noWrap/>
                  <w:vAlign w:val="bottom"/>
                  <w:hideMark/>
                </w:tcPr>
                <w:p w14:paraId="27CFBF3F"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9,548</w:t>
                  </w:r>
                </w:p>
              </w:tc>
              <w:tc>
                <w:tcPr>
                  <w:tcW w:w="720" w:type="dxa"/>
                  <w:tcBorders>
                    <w:top w:val="single" w:sz="4" w:space="0" w:color="ADD6EA"/>
                    <w:left w:val="nil"/>
                    <w:bottom w:val="nil"/>
                    <w:right w:val="nil"/>
                  </w:tcBorders>
                  <w:shd w:val="clear" w:color="000000" w:fill="FFFFFF"/>
                  <w:noWrap/>
                  <w:vAlign w:val="bottom"/>
                  <w:hideMark/>
                </w:tcPr>
                <w:p w14:paraId="67E8AE9F"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3,968</w:t>
                  </w:r>
                </w:p>
              </w:tc>
              <w:tc>
                <w:tcPr>
                  <w:tcW w:w="720" w:type="dxa"/>
                  <w:tcBorders>
                    <w:top w:val="single" w:sz="4" w:space="0" w:color="ADD6EA"/>
                    <w:left w:val="nil"/>
                    <w:bottom w:val="nil"/>
                    <w:right w:val="nil"/>
                  </w:tcBorders>
                  <w:shd w:val="clear" w:color="000000" w:fill="FFFFFF"/>
                  <w:noWrap/>
                  <w:vAlign w:val="bottom"/>
                  <w:hideMark/>
                </w:tcPr>
                <w:p w14:paraId="648008B0"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2,095</w:t>
                  </w:r>
                </w:p>
              </w:tc>
              <w:tc>
                <w:tcPr>
                  <w:tcW w:w="720" w:type="dxa"/>
                  <w:tcBorders>
                    <w:top w:val="single" w:sz="4" w:space="0" w:color="ADD6EA"/>
                    <w:left w:val="nil"/>
                    <w:bottom w:val="nil"/>
                    <w:right w:val="nil"/>
                  </w:tcBorders>
                  <w:shd w:val="clear" w:color="000000" w:fill="FFFFFF"/>
                  <w:noWrap/>
                  <w:vAlign w:val="bottom"/>
                  <w:hideMark/>
                </w:tcPr>
                <w:p w14:paraId="1EDA3C9A"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5,142</w:t>
                  </w:r>
                </w:p>
              </w:tc>
              <w:tc>
                <w:tcPr>
                  <w:tcW w:w="720" w:type="dxa"/>
                  <w:tcBorders>
                    <w:top w:val="single" w:sz="4" w:space="0" w:color="ADD6EA"/>
                    <w:left w:val="nil"/>
                    <w:bottom w:val="nil"/>
                    <w:right w:val="nil"/>
                  </w:tcBorders>
                  <w:shd w:val="clear" w:color="000000" w:fill="FFFFFF"/>
                  <w:noWrap/>
                  <w:vAlign w:val="bottom"/>
                  <w:hideMark/>
                </w:tcPr>
                <w:p w14:paraId="3553B2AB"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102,518</w:t>
                  </w:r>
                </w:p>
              </w:tc>
            </w:tr>
            <w:tr w:rsidR="00E25DF2" w:rsidRPr="00E25DF2" w14:paraId="4C028321"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22908514"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bottom"/>
                  <w:hideMark/>
                </w:tcPr>
                <w:p w14:paraId="1D4E2144"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2,125</w:t>
                  </w:r>
                </w:p>
              </w:tc>
              <w:tc>
                <w:tcPr>
                  <w:tcW w:w="720" w:type="dxa"/>
                  <w:tcBorders>
                    <w:top w:val="single" w:sz="4" w:space="0" w:color="ADD6EA"/>
                    <w:left w:val="nil"/>
                    <w:bottom w:val="nil"/>
                    <w:right w:val="nil"/>
                  </w:tcBorders>
                  <w:shd w:val="clear" w:color="000000" w:fill="FFFFFF"/>
                  <w:noWrap/>
                  <w:vAlign w:val="bottom"/>
                  <w:hideMark/>
                </w:tcPr>
                <w:p w14:paraId="595EEEBD"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1,753</w:t>
                  </w:r>
                </w:p>
              </w:tc>
              <w:tc>
                <w:tcPr>
                  <w:tcW w:w="720" w:type="dxa"/>
                  <w:tcBorders>
                    <w:top w:val="single" w:sz="4" w:space="0" w:color="ADD6EA"/>
                    <w:left w:val="nil"/>
                    <w:bottom w:val="nil"/>
                    <w:right w:val="nil"/>
                  </w:tcBorders>
                  <w:shd w:val="clear" w:color="000000" w:fill="FFFFFF"/>
                  <w:noWrap/>
                  <w:vAlign w:val="bottom"/>
                  <w:hideMark/>
                </w:tcPr>
                <w:p w14:paraId="29F9BBFA"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826</w:t>
                  </w:r>
                </w:p>
              </w:tc>
              <w:tc>
                <w:tcPr>
                  <w:tcW w:w="720" w:type="dxa"/>
                  <w:tcBorders>
                    <w:top w:val="single" w:sz="4" w:space="0" w:color="ADD6EA"/>
                    <w:left w:val="nil"/>
                    <w:bottom w:val="nil"/>
                    <w:right w:val="nil"/>
                  </w:tcBorders>
                  <w:shd w:val="clear" w:color="000000" w:fill="FFFFFF"/>
                  <w:noWrap/>
                  <w:vAlign w:val="bottom"/>
                  <w:hideMark/>
                </w:tcPr>
                <w:p w14:paraId="6CAD2E33"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bottom"/>
                  <w:hideMark/>
                </w:tcPr>
                <w:p w14:paraId="4AD24633"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466</w:t>
                  </w:r>
                </w:p>
              </w:tc>
              <w:tc>
                <w:tcPr>
                  <w:tcW w:w="720" w:type="dxa"/>
                  <w:tcBorders>
                    <w:top w:val="single" w:sz="4" w:space="0" w:color="ADD6EA"/>
                    <w:left w:val="nil"/>
                    <w:bottom w:val="nil"/>
                    <w:right w:val="nil"/>
                  </w:tcBorders>
                  <w:shd w:val="clear" w:color="000000" w:fill="FFFFFF"/>
                  <w:noWrap/>
                  <w:vAlign w:val="bottom"/>
                  <w:hideMark/>
                </w:tcPr>
                <w:p w14:paraId="7FDBED1D"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140</w:t>
                  </w:r>
                </w:p>
              </w:tc>
              <w:tc>
                <w:tcPr>
                  <w:tcW w:w="720" w:type="dxa"/>
                  <w:tcBorders>
                    <w:top w:val="single" w:sz="4" w:space="0" w:color="ADD6EA"/>
                    <w:left w:val="nil"/>
                    <w:bottom w:val="nil"/>
                    <w:right w:val="nil"/>
                  </w:tcBorders>
                  <w:shd w:val="clear" w:color="000000" w:fill="FFFFFF"/>
                  <w:noWrap/>
                  <w:vAlign w:val="bottom"/>
                  <w:hideMark/>
                </w:tcPr>
                <w:p w14:paraId="33246287"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120</w:t>
                  </w:r>
                </w:p>
              </w:tc>
              <w:tc>
                <w:tcPr>
                  <w:tcW w:w="720" w:type="dxa"/>
                  <w:tcBorders>
                    <w:top w:val="single" w:sz="4" w:space="0" w:color="ADD6EA"/>
                    <w:left w:val="nil"/>
                    <w:bottom w:val="nil"/>
                    <w:right w:val="nil"/>
                  </w:tcBorders>
                  <w:shd w:val="clear" w:color="000000" w:fill="FFFFFF"/>
                  <w:noWrap/>
                  <w:vAlign w:val="bottom"/>
                  <w:hideMark/>
                </w:tcPr>
                <w:p w14:paraId="15E4AB97"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64</w:t>
                  </w:r>
                </w:p>
              </w:tc>
              <w:tc>
                <w:tcPr>
                  <w:tcW w:w="720" w:type="dxa"/>
                  <w:tcBorders>
                    <w:top w:val="single" w:sz="4" w:space="0" w:color="ADD6EA"/>
                    <w:left w:val="nil"/>
                    <w:bottom w:val="nil"/>
                    <w:right w:val="nil"/>
                  </w:tcBorders>
                  <w:shd w:val="clear" w:color="000000" w:fill="FFFFFF"/>
                  <w:noWrap/>
                  <w:vAlign w:val="bottom"/>
                  <w:hideMark/>
                </w:tcPr>
                <w:p w14:paraId="00976B78"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5,492</w:t>
                  </w:r>
                </w:p>
              </w:tc>
            </w:tr>
            <w:tr w:rsidR="00E25DF2" w:rsidRPr="00E25DF2" w14:paraId="7007E65E" w14:textId="77777777" w:rsidTr="00E25DF2">
              <w:trPr>
                <w:trHeight w:val="315"/>
              </w:trPr>
              <w:tc>
                <w:tcPr>
                  <w:tcW w:w="2540" w:type="dxa"/>
                  <w:tcBorders>
                    <w:top w:val="single" w:sz="4" w:space="0" w:color="ADD6EA"/>
                    <w:left w:val="nil"/>
                    <w:bottom w:val="nil"/>
                    <w:right w:val="nil"/>
                  </w:tcBorders>
                  <w:shd w:val="clear" w:color="000000" w:fill="D6E7F0"/>
                  <w:vAlign w:val="bottom"/>
                  <w:hideMark/>
                </w:tcPr>
                <w:p w14:paraId="176D6D19" w14:textId="77777777" w:rsidR="00E25DF2" w:rsidRPr="00E25DF2" w:rsidRDefault="00E25DF2" w:rsidP="00E25DF2">
                  <w:pPr>
                    <w:tabs>
                      <w:tab w:val="clear" w:pos="567"/>
                    </w:tabs>
                    <w:spacing w:before="0" w:line="240" w:lineRule="auto"/>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 xml:space="preserve">    Total</w:t>
                  </w:r>
                </w:p>
              </w:tc>
              <w:tc>
                <w:tcPr>
                  <w:tcW w:w="720" w:type="dxa"/>
                  <w:tcBorders>
                    <w:top w:val="single" w:sz="4" w:space="0" w:color="ADD6EA"/>
                    <w:left w:val="nil"/>
                    <w:bottom w:val="nil"/>
                    <w:right w:val="nil"/>
                  </w:tcBorders>
                  <w:shd w:val="clear" w:color="000000" w:fill="D6E7F0"/>
                  <w:noWrap/>
                  <w:vAlign w:val="bottom"/>
                  <w:hideMark/>
                </w:tcPr>
                <w:p w14:paraId="5BFF0A6F"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28,248</w:t>
                  </w:r>
                </w:p>
              </w:tc>
              <w:tc>
                <w:tcPr>
                  <w:tcW w:w="720" w:type="dxa"/>
                  <w:tcBorders>
                    <w:top w:val="single" w:sz="4" w:space="0" w:color="ADD6EA"/>
                    <w:left w:val="nil"/>
                    <w:bottom w:val="nil"/>
                    <w:right w:val="nil"/>
                  </w:tcBorders>
                  <w:shd w:val="clear" w:color="000000" w:fill="D6E7F0"/>
                  <w:noWrap/>
                  <w:vAlign w:val="bottom"/>
                  <w:hideMark/>
                </w:tcPr>
                <w:p w14:paraId="6240208F"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29,619</w:t>
                  </w:r>
                </w:p>
              </w:tc>
              <w:tc>
                <w:tcPr>
                  <w:tcW w:w="720" w:type="dxa"/>
                  <w:tcBorders>
                    <w:top w:val="single" w:sz="4" w:space="0" w:color="ADD6EA"/>
                    <w:left w:val="nil"/>
                    <w:bottom w:val="nil"/>
                    <w:right w:val="nil"/>
                  </w:tcBorders>
                  <w:shd w:val="clear" w:color="000000" w:fill="D6E7F0"/>
                  <w:noWrap/>
                  <w:vAlign w:val="bottom"/>
                  <w:hideMark/>
                </w:tcPr>
                <w:p w14:paraId="512DFECA"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19,263</w:t>
                  </w:r>
                </w:p>
              </w:tc>
              <w:tc>
                <w:tcPr>
                  <w:tcW w:w="720" w:type="dxa"/>
                  <w:tcBorders>
                    <w:top w:val="single" w:sz="4" w:space="0" w:color="ADD6EA"/>
                    <w:left w:val="nil"/>
                    <w:bottom w:val="nil"/>
                    <w:right w:val="nil"/>
                  </w:tcBorders>
                  <w:shd w:val="clear" w:color="000000" w:fill="D6E7F0"/>
                  <w:noWrap/>
                  <w:vAlign w:val="bottom"/>
                  <w:hideMark/>
                </w:tcPr>
                <w:p w14:paraId="6C947A59"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9,337</w:t>
                  </w:r>
                </w:p>
              </w:tc>
              <w:tc>
                <w:tcPr>
                  <w:tcW w:w="720" w:type="dxa"/>
                  <w:tcBorders>
                    <w:top w:val="single" w:sz="4" w:space="0" w:color="ADD6EA"/>
                    <w:left w:val="nil"/>
                    <w:bottom w:val="nil"/>
                    <w:right w:val="nil"/>
                  </w:tcBorders>
                  <w:shd w:val="clear" w:color="000000" w:fill="D6E7F0"/>
                  <w:noWrap/>
                  <w:vAlign w:val="bottom"/>
                  <w:hideMark/>
                </w:tcPr>
                <w:p w14:paraId="1726A8E9"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10,014</w:t>
                  </w:r>
                </w:p>
              </w:tc>
              <w:tc>
                <w:tcPr>
                  <w:tcW w:w="720" w:type="dxa"/>
                  <w:tcBorders>
                    <w:top w:val="single" w:sz="4" w:space="0" w:color="ADD6EA"/>
                    <w:left w:val="nil"/>
                    <w:bottom w:val="nil"/>
                    <w:right w:val="nil"/>
                  </w:tcBorders>
                  <w:shd w:val="clear" w:color="000000" w:fill="D6E7F0"/>
                  <w:noWrap/>
                  <w:vAlign w:val="bottom"/>
                  <w:hideMark/>
                </w:tcPr>
                <w:p w14:paraId="412AC0CC"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4,108</w:t>
                  </w:r>
                </w:p>
              </w:tc>
              <w:tc>
                <w:tcPr>
                  <w:tcW w:w="720" w:type="dxa"/>
                  <w:tcBorders>
                    <w:top w:val="single" w:sz="4" w:space="0" w:color="ADD6EA"/>
                    <w:left w:val="nil"/>
                    <w:bottom w:val="nil"/>
                    <w:right w:val="nil"/>
                  </w:tcBorders>
                  <w:shd w:val="clear" w:color="000000" w:fill="D6E7F0"/>
                  <w:noWrap/>
                  <w:vAlign w:val="bottom"/>
                  <w:hideMark/>
                </w:tcPr>
                <w:p w14:paraId="203316E5"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2,215</w:t>
                  </w:r>
                </w:p>
              </w:tc>
              <w:tc>
                <w:tcPr>
                  <w:tcW w:w="720" w:type="dxa"/>
                  <w:tcBorders>
                    <w:top w:val="single" w:sz="4" w:space="0" w:color="ADD6EA"/>
                    <w:left w:val="nil"/>
                    <w:bottom w:val="nil"/>
                    <w:right w:val="nil"/>
                  </w:tcBorders>
                  <w:shd w:val="clear" w:color="000000" w:fill="D6E7F0"/>
                  <w:noWrap/>
                  <w:vAlign w:val="bottom"/>
                  <w:hideMark/>
                </w:tcPr>
                <w:p w14:paraId="63021F4A"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5,206</w:t>
                  </w:r>
                </w:p>
              </w:tc>
              <w:tc>
                <w:tcPr>
                  <w:tcW w:w="720" w:type="dxa"/>
                  <w:tcBorders>
                    <w:top w:val="single" w:sz="4" w:space="0" w:color="ADD6EA"/>
                    <w:left w:val="nil"/>
                    <w:bottom w:val="nil"/>
                    <w:right w:val="nil"/>
                  </w:tcBorders>
                  <w:shd w:val="clear" w:color="000000" w:fill="D6E7F0"/>
                  <w:noWrap/>
                  <w:vAlign w:val="bottom"/>
                  <w:hideMark/>
                </w:tcPr>
                <w:p w14:paraId="63773A63"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108,011</w:t>
                  </w:r>
                </w:p>
              </w:tc>
            </w:tr>
            <w:tr w:rsidR="00E25DF2" w:rsidRPr="00E25DF2" w14:paraId="0A4E6A26"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7A1D8E65"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xml:space="preserve">Difference </w:t>
                  </w:r>
                </w:p>
              </w:tc>
              <w:tc>
                <w:tcPr>
                  <w:tcW w:w="720" w:type="dxa"/>
                  <w:tcBorders>
                    <w:top w:val="single" w:sz="4" w:space="0" w:color="ADD6EA"/>
                    <w:left w:val="nil"/>
                    <w:bottom w:val="nil"/>
                    <w:right w:val="nil"/>
                  </w:tcBorders>
                  <w:shd w:val="clear" w:color="000000" w:fill="FFFFFF"/>
                  <w:vAlign w:val="bottom"/>
                  <w:hideMark/>
                </w:tcPr>
                <w:p w14:paraId="5AECA868"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44059764"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258DA99A"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46B03D5B"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722E9FAD"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01B0A4F7"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70B5479B"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75890822"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2509F6D1"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 </w:t>
                  </w:r>
                </w:p>
              </w:tc>
            </w:tr>
            <w:tr w:rsidR="00E25DF2" w:rsidRPr="00E25DF2" w14:paraId="2A69163E"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7D4AEC72"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GST distribution</w:t>
                  </w:r>
                </w:p>
              </w:tc>
              <w:tc>
                <w:tcPr>
                  <w:tcW w:w="720" w:type="dxa"/>
                  <w:tcBorders>
                    <w:top w:val="single" w:sz="4" w:space="0" w:color="ADD6EA"/>
                    <w:left w:val="nil"/>
                    <w:bottom w:val="nil"/>
                    <w:right w:val="nil"/>
                  </w:tcBorders>
                  <w:shd w:val="clear" w:color="000000" w:fill="FFFFFF"/>
                  <w:noWrap/>
                  <w:vAlign w:val="bottom"/>
                  <w:hideMark/>
                </w:tcPr>
                <w:p w14:paraId="3E5DDDE8"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316</w:t>
                  </w:r>
                </w:p>
              </w:tc>
              <w:tc>
                <w:tcPr>
                  <w:tcW w:w="720" w:type="dxa"/>
                  <w:tcBorders>
                    <w:top w:val="single" w:sz="4" w:space="0" w:color="ADD6EA"/>
                    <w:left w:val="nil"/>
                    <w:bottom w:val="nil"/>
                    <w:right w:val="nil"/>
                  </w:tcBorders>
                  <w:shd w:val="clear" w:color="000000" w:fill="FFFFFF"/>
                  <w:noWrap/>
                  <w:vAlign w:val="bottom"/>
                  <w:hideMark/>
                </w:tcPr>
                <w:p w14:paraId="3216D6F0"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1,494</w:t>
                  </w:r>
                </w:p>
              </w:tc>
              <w:tc>
                <w:tcPr>
                  <w:tcW w:w="720" w:type="dxa"/>
                  <w:tcBorders>
                    <w:top w:val="single" w:sz="4" w:space="0" w:color="ADD6EA"/>
                    <w:left w:val="nil"/>
                    <w:bottom w:val="nil"/>
                    <w:right w:val="nil"/>
                  </w:tcBorders>
                  <w:shd w:val="clear" w:color="000000" w:fill="FFFFFF"/>
                  <w:noWrap/>
                  <w:vAlign w:val="bottom"/>
                  <w:hideMark/>
                </w:tcPr>
                <w:p w14:paraId="31407DDF"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1,680</w:t>
                  </w:r>
                </w:p>
              </w:tc>
              <w:tc>
                <w:tcPr>
                  <w:tcW w:w="720" w:type="dxa"/>
                  <w:tcBorders>
                    <w:top w:val="single" w:sz="4" w:space="0" w:color="ADD6EA"/>
                    <w:left w:val="nil"/>
                    <w:bottom w:val="nil"/>
                    <w:right w:val="nil"/>
                  </w:tcBorders>
                  <w:shd w:val="clear" w:color="000000" w:fill="FFFFFF"/>
                  <w:noWrap/>
                  <w:vAlign w:val="bottom"/>
                  <w:hideMark/>
                </w:tcPr>
                <w:p w14:paraId="12298ED5"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1,347</w:t>
                  </w:r>
                </w:p>
              </w:tc>
              <w:tc>
                <w:tcPr>
                  <w:tcW w:w="720" w:type="dxa"/>
                  <w:tcBorders>
                    <w:top w:val="single" w:sz="4" w:space="0" w:color="ADD6EA"/>
                    <w:left w:val="nil"/>
                    <w:bottom w:val="nil"/>
                    <w:right w:val="nil"/>
                  </w:tcBorders>
                  <w:shd w:val="clear" w:color="000000" w:fill="FFFFFF"/>
                  <w:noWrap/>
                  <w:vAlign w:val="bottom"/>
                  <w:hideMark/>
                </w:tcPr>
                <w:p w14:paraId="5F594B68"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342</w:t>
                  </w:r>
                </w:p>
              </w:tc>
              <w:tc>
                <w:tcPr>
                  <w:tcW w:w="720" w:type="dxa"/>
                  <w:tcBorders>
                    <w:top w:val="single" w:sz="4" w:space="0" w:color="ADD6EA"/>
                    <w:left w:val="nil"/>
                    <w:bottom w:val="nil"/>
                    <w:right w:val="nil"/>
                  </w:tcBorders>
                  <w:shd w:val="clear" w:color="000000" w:fill="FFFFFF"/>
                  <w:noWrap/>
                  <w:vAlign w:val="bottom"/>
                  <w:hideMark/>
                </w:tcPr>
                <w:p w14:paraId="7FAEC04D"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286</w:t>
                  </w:r>
                </w:p>
              </w:tc>
              <w:tc>
                <w:tcPr>
                  <w:tcW w:w="720" w:type="dxa"/>
                  <w:tcBorders>
                    <w:top w:val="single" w:sz="4" w:space="0" w:color="ADD6EA"/>
                    <w:left w:val="nil"/>
                    <w:bottom w:val="nil"/>
                    <w:right w:val="nil"/>
                  </w:tcBorders>
                  <w:shd w:val="clear" w:color="000000" w:fill="FFFFFF"/>
                  <w:noWrap/>
                  <w:vAlign w:val="bottom"/>
                  <w:hideMark/>
                </w:tcPr>
                <w:p w14:paraId="6E143CE9"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110</w:t>
                  </w:r>
                </w:p>
              </w:tc>
              <w:tc>
                <w:tcPr>
                  <w:tcW w:w="720" w:type="dxa"/>
                  <w:tcBorders>
                    <w:top w:val="single" w:sz="4" w:space="0" w:color="ADD6EA"/>
                    <w:left w:val="nil"/>
                    <w:bottom w:val="nil"/>
                    <w:right w:val="nil"/>
                  </w:tcBorders>
                  <w:shd w:val="clear" w:color="000000" w:fill="FFFFFF"/>
                  <w:noWrap/>
                  <w:vAlign w:val="bottom"/>
                  <w:hideMark/>
                </w:tcPr>
                <w:p w14:paraId="1971A910"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389</w:t>
                  </w:r>
                </w:p>
              </w:tc>
              <w:tc>
                <w:tcPr>
                  <w:tcW w:w="720" w:type="dxa"/>
                  <w:tcBorders>
                    <w:top w:val="single" w:sz="4" w:space="0" w:color="ADD6EA"/>
                    <w:left w:val="nil"/>
                    <w:bottom w:val="nil"/>
                    <w:right w:val="nil"/>
                  </w:tcBorders>
                  <w:shd w:val="clear" w:color="000000" w:fill="FFFFFF"/>
                  <w:noWrap/>
                  <w:vAlign w:val="bottom"/>
                  <w:hideMark/>
                </w:tcPr>
                <w:p w14:paraId="386F8C60"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5,964</w:t>
                  </w:r>
                </w:p>
              </w:tc>
            </w:tr>
            <w:tr w:rsidR="00E25DF2" w:rsidRPr="00E25DF2" w14:paraId="64B9189A" w14:textId="77777777" w:rsidTr="00E25DF2">
              <w:trPr>
                <w:trHeight w:val="315"/>
              </w:trPr>
              <w:tc>
                <w:tcPr>
                  <w:tcW w:w="2540" w:type="dxa"/>
                  <w:tcBorders>
                    <w:top w:val="single" w:sz="4" w:space="0" w:color="ADD6EA"/>
                    <w:left w:val="nil"/>
                    <w:bottom w:val="nil"/>
                    <w:right w:val="nil"/>
                  </w:tcBorders>
                  <w:shd w:val="clear" w:color="000000" w:fill="FFFFFF"/>
                  <w:vAlign w:val="bottom"/>
                  <w:hideMark/>
                </w:tcPr>
                <w:p w14:paraId="1C871A6C" w14:textId="77777777" w:rsidR="00E25DF2" w:rsidRPr="00E25DF2" w:rsidRDefault="00E25DF2" w:rsidP="00E25DF2">
                  <w:pPr>
                    <w:tabs>
                      <w:tab w:val="clear" w:pos="567"/>
                    </w:tabs>
                    <w:spacing w:before="0" w:line="240" w:lineRule="auto"/>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bottom"/>
                  <w:hideMark/>
                </w:tcPr>
                <w:p w14:paraId="060D692B"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-151</w:t>
                  </w:r>
                </w:p>
              </w:tc>
              <w:tc>
                <w:tcPr>
                  <w:tcW w:w="720" w:type="dxa"/>
                  <w:tcBorders>
                    <w:top w:val="single" w:sz="4" w:space="0" w:color="ADD6EA"/>
                    <w:left w:val="nil"/>
                    <w:bottom w:val="nil"/>
                    <w:right w:val="nil"/>
                  </w:tcBorders>
                  <w:shd w:val="clear" w:color="000000" w:fill="FFFFFF"/>
                  <w:noWrap/>
                  <w:vAlign w:val="bottom"/>
                  <w:hideMark/>
                </w:tcPr>
                <w:p w14:paraId="4B88587C"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-117</w:t>
                  </w:r>
                </w:p>
              </w:tc>
              <w:tc>
                <w:tcPr>
                  <w:tcW w:w="720" w:type="dxa"/>
                  <w:tcBorders>
                    <w:top w:val="single" w:sz="4" w:space="0" w:color="ADD6EA"/>
                    <w:left w:val="nil"/>
                    <w:bottom w:val="nil"/>
                    <w:right w:val="nil"/>
                  </w:tcBorders>
                  <w:shd w:val="clear" w:color="000000" w:fill="FFFFFF"/>
                  <w:noWrap/>
                  <w:vAlign w:val="bottom"/>
                  <w:hideMark/>
                </w:tcPr>
                <w:p w14:paraId="48B759EC"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770</w:t>
                  </w:r>
                </w:p>
              </w:tc>
              <w:tc>
                <w:tcPr>
                  <w:tcW w:w="720" w:type="dxa"/>
                  <w:tcBorders>
                    <w:top w:val="single" w:sz="4" w:space="0" w:color="ADD6EA"/>
                    <w:left w:val="nil"/>
                    <w:bottom w:val="nil"/>
                    <w:right w:val="nil"/>
                  </w:tcBorders>
                  <w:shd w:val="clear" w:color="000000" w:fill="FFFFFF"/>
                  <w:noWrap/>
                  <w:vAlign w:val="bottom"/>
                  <w:hideMark/>
                </w:tcPr>
                <w:p w14:paraId="3D019A83"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bottom"/>
                  <w:hideMark/>
                </w:tcPr>
                <w:p w14:paraId="01915D06"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-34</w:t>
                  </w:r>
                </w:p>
              </w:tc>
              <w:tc>
                <w:tcPr>
                  <w:tcW w:w="720" w:type="dxa"/>
                  <w:tcBorders>
                    <w:top w:val="single" w:sz="4" w:space="0" w:color="ADD6EA"/>
                    <w:left w:val="nil"/>
                    <w:bottom w:val="nil"/>
                    <w:right w:val="nil"/>
                  </w:tcBorders>
                  <w:shd w:val="clear" w:color="000000" w:fill="FFFFFF"/>
                  <w:noWrap/>
                  <w:vAlign w:val="bottom"/>
                  <w:hideMark/>
                </w:tcPr>
                <w:p w14:paraId="40AA62F5"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-10</w:t>
                  </w:r>
                </w:p>
              </w:tc>
              <w:tc>
                <w:tcPr>
                  <w:tcW w:w="720" w:type="dxa"/>
                  <w:tcBorders>
                    <w:top w:val="single" w:sz="4" w:space="0" w:color="ADD6EA"/>
                    <w:left w:val="nil"/>
                    <w:bottom w:val="nil"/>
                    <w:right w:val="nil"/>
                  </w:tcBorders>
                  <w:shd w:val="clear" w:color="000000" w:fill="FFFFFF"/>
                  <w:noWrap/>
                  <w:vAlign w:val="bottom"/>
                  <w:hideMark/>
                </w:tcPr>
                <w:p w14:paraId="63A3182F"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-8</w:t>
                  </w:r>
                </w:p>
              </w:tc>
              <w:tc>
                <w:tcPr>
                  <w:tcW w:w="720" w:type="dxa"/>
                  <w:tcBorders>
                    <w:top w:val="single" w:sz="4" w:space="0" w:color="ADD6EA"/>
                    <w:left w:val="nil"/>
                    <w:bottom w:val="nil"/>
                    <w:right w:val="nil"/>
                  </w:tcBorders>
                  <w:shd w:val="clear" w:color="000000" w:fill="FFFFFF"/>
                  <w:noWrap/>
                  <w:vAlign w:val="bottom"/>
                  <w:hideMark/>
                </w:tcPr>
                <w:p w14:paraId="02E3BDD0"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-3</w:t>
                  </w:r>
                </w:p>
              </w:tc>
              <w:tc>
                <w:tcPr>
                  <w:tcW w:w="720" w:type="dxa"/>
                  <w:tcBorders>
                    <w:top w:val="single" w:sz="4" w:space="0" w:color="ADD6EA"/>
                    <w:left w:val="nil"/>
                    <w:bottom w:val="nil"/>
                    <w:right w:val="nil"/>
                  </w:tcBorders>
                  <w:shd w:val="clear" w:color="000000" w:fill="FFFFFF"/>
                  <w:noWrap/>
                  <w:vAlign w:val="bottom"/>
                  <w:hideMark/>
                </w:tcPr>
                <w:p w14:paraId="75F575E7" w14:textId="77777777" w:rsidR="00E25DF2" w:rsidRPr="00E25DF2" w:rsidRDefault="00E25DF2" w:rsidP="00E25DF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E25DF2">
                    <w:rPr>
                      <w:rFonts w:ascii="Open Sans Light" w:eastAsia="Times New Roman" w:hAnsi="Open Sans Light" w:cs="Open Sans Light"/>
                      <w:color w:val="000000"/>
                      <w:sz w:val="16"/>
                      <w:szCs w:val="16"/>
                      <w:lang w:eastAsia="en-AU"/>
                    </w:rPr>
                    <w:t>447</w:t>
                  </w:r>
                </w:p>
              </w:tc>
            </w:tr>
            <w:tr w:rsidR="00E25DF2" w:rsidRPr="00E25DF2" w14:paraId="269F379E" w14:textId="77777777" w:rsidTr="00E25DF2">
              <w:trPr>
                <w:trHeight w:val="315"/>
              </w:trPr>
              <w:tc>
                <w:tcPr>
                  <w:tcW w:w="2540" w:type="dxa"/>
                  <w:tcBorders>
                    <w:top w:val="single" w:sz="4" w:space="0" w:color="ADD6EA"/>
                    <w:left w:val="nil"/>
                    <w:bottom w:val="single" w:sz="4" w:space="0" w:color="ADD6EA"/>
                    <w:right w:val="nil"/>
                  </w:tcBorders>
                  <w:shd w:val="clear" w:color="000000" w:fill="D6E7F0"/>
                  <w:vAlign w:val="bottom"/>
                  <w:hideMark/>
                </w:tcPr>
                <w:p w14:paraId="2BF1BC44" w14:textId="77777777" w:rsidR="00E25DF2" w:rsidRPr="00E25DF2" w:rsidRDefault="00E25DF2" w:rsidP="00E25DF2">
                  <w:pPr>
                    <w:tabs>
                      <w:tab w:val="clear" w:pos="567"/>
                    </w:tabs>
                    <w:spacing w:before="0" w:line="240" w:lineRule="auto"/>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 xml:space="preserve">    Total ($m)</w:t>
                  </w:r>
                </w:p>
              </w:tc>
              <w:tc>
                <w:tcPr>
                  <w:tcW w:w="720" w:type="dxa"/>
                  <w:tcBorders>
                    <w:top w:val="single" w:sz="4" w:space="0" w:color="ADD6EA"/>
                    <w:left w:val="nil"/>
                    <w:bottom w:val="single" w:sz="4" w:space="0" w:color="ADD6EA"/>
                    <w:right w:val="nil"/>
                  </w:tcBorders>
                  <w:shd w:val="clear" w:color="000000" w:fill="D6E7F0"/>
                  <w:noWrap/>
                  <w:vAlign w:val="bottom"/>
                  <w:hideMark/>
                </w:tcPr>
                <w:p w14:paraId="73D03AE4"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166</w:t>
                  </w:r>
                </w:p>
              </w:tc>
              <w:tc>
                <w:tcPr>
                  <w:tcW w:w="720" w:type="dxa"/>
                  <w:tcBorders>
                    <w:top w:val="single" w:sz="4" w:space="0" w:color="ADD6EA"/>
                    <w:left w:val="nil"/>
                    <w:bottom w:val="single" w:sz="4" w:space="0" w:color="ADD6EA"/>
                    <w:right w:val="nil"/>
                  </w:tcBorders>
                  <w:shd w:val="clear" w:color="000000" w:fill="D6E7F0"/>
                  <w:noWrap/>
                  <w:vAlign w:val="bottom"/>
                  <w:hideMark/>
                </w:tcPr>
                <w:p w14:paraId="167033E4"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1,377</w:t>
                  </w:r>
                </w:p>
              </w:tc>
              <w:tc>
                <w:tcPr>
                  <w:tcW w:w="720" w:type="dxa"/>
                  <w:tcBorders>
                    <w:top w:val="single" w:sz="4" w:space="0" w:color="ADD6EA"/>
                    <w:left w:val="nil"/>
                    <w:bottom w:val="single" w:sz="4" w:space="0" w:color="ADD6EA"/>
                    <w:right w:val="nil"/>
                  </w:tcBorders>
                  <w:shd w:val="clear" w:color="000000" w:fill="D6E7F0"/>
                  <w:noWrap/>
                  <w:vAlign w:val="bottom"/>
                  <w:hideMark/>
                </w:tcPr>
                <w:p w14:paraId="69837D6E"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2,450</w:t>
                  </w:r>
                </w:p>
              </w:tc>
              <w:tc>
                <w:tcPr>
                  <w:tcW w:w="720" w:type="dxa"/>
                  <w:tcBorders>
                    <w:top w:val="single" w:sz="4" w:space="0" w:color="ADD6EA"/>
                    <w:left w:val="nil"/>
                    <w:bottom w:val="single" w:sz="4" w:space="0" w:color="ADD6EA"/>
                    <w:right w:val="nil"/>
                  </w:tcBorders>
                  <w:shd w:val="clear" w:color="000000" w:fill="D6E7F0"/>
                  <w:noWrap/>
                  <w:vAlign w:val="bottom"/>
                  <w:hideMark/>
                </w:tcPr>
                <w:p w14:paraId="746FC95D"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1,347</w:t>
                  </w:r>
                </w:p>
              </w:tc>
              <w:tc>
                <w:tcPr>
                  <w:tcW w:w="720" w:type="dxa"/>
                  <w:tcBorders>
                    <w:top w:val="single" w:sz="4" w:space="0" w:color="ADD6EA"/>
                    <w:left w:val="nil"/>
                    <w:bottom w:val="single" w:sz="4" w:space="0" w:color="ADD6EA"/>
                    <w:right w:val="nil"/>
                  </w:tcBorders>
                  <w:shd w:val="clear" w:color="000000" w:fill="D6E7F0"/>
                  <w:noWrap/>
                  <w:vAlign w:val="bottom"/>
                  <w:hideMark/>
                </w:tcPr>
                <w:p w14:paraId="7F8CDDE8"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308</w:t>
                  </w:r>
                </w:p>
              </w:tc>
              <w:tc>
                <w:tcPr>
                  <w:tcW w:w="720" w:type="dxa"/>
                  <w:tcBorders>
                    <w:top w:val="single" w:sz="4" w:space="0" w:color="ADD6EA"/>
                    <w:left w:val="nil"/>
                    <w:bottom w:val="single" w:sz="4" w:space="0" w:color="ADD6EA"/>
                    <w:right w:val="nil"/>
                  </w:tcBorders>
                  <w:shd w:val="clear" w:color="000000" w:fill="D6E7F0"/>
                  <w:noWrap/>
                  <w:vAlign w:val="bottom"/>
                  <w:hideMark/>
                </w:tcPr>
                <w:p w14:paraId="5A2A077D"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276</w:t>
                  </w:r>
                </w:p>
              </w:tc>
              <w:tc>
                <w:tcPr>
                  <w:tcW w:w="720" w:type="dxa"/>
                  <w:tcBorders>
                    <w:top w:val="single" w:sz="4" w:space="0" w:color="ADD6EA"/>
                    <w:left w:val="nil"/>
                    <w:bottom w:val="single" w:sz="4" w:space="0" w:color="ADD6EA"/>
                    <w:right w:val="nil"/>
                  </w:tcBorders>
                  <w:shd w:val="clear" w:color="000000" w:fill="D6E7F0"/>
                  <w:noWrap/>
                  <w:vAlign w:val="bottom"/>
                  <w:hideMark/>
                </w:tcPr>
                <w:p w14:paraId="196E2A24"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102</w:t>
                  </w:r>
                </w:p>
              </w:tc>
              <w:tc>
                <w:tcPr>
                  <w:tcW w:w="720" w:type="dxa"/>
                  <w:tcBorders>
                    <w:top w:val="single" w:sz="4" w:space="0" w:color="ADD6EA"/>
                    <w:left w:val="nil"/>
                    <w:bottom w:val="single" w:sz="4" w:space="0" w:color="ADD6EA"/>
                    <w:right w:val="nil"/>
                  </w:tcBorders>
                  <w:shd w:val="clear" w:color="000000" w:fill="D6E7F0"/>
                  <w:noWrap/>
                  <w:vAlign w:val="bottom"/>
                  <w:hideMark/>
                </w:tcPr>
                <w:p w14:paraId="325377DA"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386</w:t>
                  </w:r>
                </w:p>
              </w:tc>
              <w:tc>
                <w:tcPr>
                  <w:tcW w:w="720" w:type="dxa"/>
                  <w:tcBorders>
                    <w:top w:val="single" w:sz="4" w:space="0" w:color="ADD6EA"/>
                    <w:left w:val="nil"/>
                    <w:bottom w:val="single" w:sz="4" w:space="0" w:color="ADD6EA"/>
                    <w:right w:val="nil"/>
                  </w:tcBorders>
                  <w:shd w:val="clear" w:color="000000" w:fill="D6E7F0"/>
                  <w:noWrap/>
                  <w:vAlign w:val="bottom"/>
                  <w:hideMark/>
                </w:tcPr>
                <w:p w14:paraId="4729B8B1"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6,412</w:t>
                  </w:r>
                </w:p>
              </w:tc>
            </w:tr>
            <w:tr w:rsidR="00E25DF2" w:rsidRPr="00E25DF2" w14:paraId="01A1707E" w14:textId="77777777" w:rsidTr="00E25DF2">
              <w:trPr>
                <w:trHeight w:val="315"/>
              </w:trPr>
              <w:tc>
                <w:tcPr>
                  <w:tcW w:w="2540" w:type="dxa"/>
                  <w:tcBorders>
                    <w:top w:val="nil"/>
                    <w:left w:val="nil"/>
                    <w:bottom w:val="single" w:sz="4" w:space="0" w:color="ADD6EA"/>
                    <w:right w:val="nil"/>
                  </w:tcBorders>
                  <w:shd w:val="clear" w:color="000000" w:fill="D6E7F0"/>
                  <w:vAlign w:val="bottom"/>
                  <w:hideMark/>
                </w:tcPr>
                <w:p w14:paraId="45256FA8" w14:textId="77777777" w:rsidR="00E25DF2" w:rsidRPr="00E25DF2" w:rsidRDefault="00E25DF2" w:rsidP="00E25DF2">
                  <w:pPr>
                    <w:tabs>
                      <w:tab w:val="clear" w:pos="567"/>
                    </w:tabs>
                    <w:spacing w:before="0" w:line="240" w:lineRule="auto"/>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 xml:space="preserve">    Total ($pc)</w:t>
                  </w:r>
                </w:p>
              </w:tc>
              <w:tc>
                <w:tcPr>
                  <w:tcW w:w="720" w:type="dxa"/>
                  <w:tcBorders>
                    <w:top w:val="nil"/>
                    <w:left w:val="nil"/>
                    <w:bottom w:val="single" w:sz="4" w:space="0" w:color="ADD6EA"/>
                    <w:right w:val="nil"/>
                  </w:tcBorders>
                  <w:shd w:val="clear" w:color="000000" w:fill="D6E7F0"/>
                  <w:noWrap/>
                  <w:vAlign w:val="bottom"/>
                  <w:hideMark/>
                </w:tcPr>
                <w:p w14:paraId="48394FE8"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19</w:t>
                  </w:r>
                </w:p>
              </w:tc>
              <w:tc>
                <w:tcPr>
                  <w:tcW w:w="720" w:type="dxa"/>
                  <w:tcBorders>
                    <w:top w:val="nil"/>
                    <w:left w:val="nil"/>
                    <w:bottom w:val="single" w:sz="4" w:space="0" w:color="ADD6EA"/>
                    <w:right w:val="nil"/>
                  </w:tcBorders>
                  <w:shd w:val="clear" w:color="000000" w:fill="D6E7F0"/>
                  <w:noWrap/>
                  <w:vAlign w:val="bottom"/>
                  <w:hideMark/>
                </w:tcPr>
                <w:p w14:paraId="59BB42E2"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191</w:t>
                  </w:r>
                </w:p>
              </w:tc>
              <w:tc>
                <w:tcPr>
                  <w:tcW w:w="720" w:type="dxa"/>
                  <w:tcBorders>
                    <w:top w:val="nil"/>
                    <w:left w:val="nil"/>
                    <w:bottom w:val="single" w:sz="4" w:space="0" w:color="ADD6EA"/>
                    <w:right w:val="nil"/>
                  </w:tcBorders>
                  <w:shd w:val="clear" w:color="000000" w:fill="D6E7F0"/>
                  <w:noWrap/>
                  <w:vAlign w:val="bottom"/>
                  <w:hideMark/>
                </w:tcPr>
                <w:p w14:paraId="0001BC82"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423</w:t>
                  </w:r>
                </w:p>
              </w:tc>
              <w:tc>
                <w:tcPr>
                  <w:tcW w:w="720" w:type="dxa"/>
                  <w:tcBorders>
                    <w:top w:val="nil"/>
                    <w:left w:val="nil"/>
                    <w:bottom w:val="single" w:sz="4" w:space="0" w:color="ADD6EA"/>
                    <w:right w:val="nil"/>
                  </w:tcBorders>
                  <w:shd w:val="clear" w:color="000000" w:fill="D6E7F0"/>
                  <w:noWrap/>
                  <w:vAlign w:val="bottom"/>
                  <w:hideMark/>
                </w:tcPr>
                <w:p w14:paraId="5DA989FC"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431</w:t>
                  </w:r>
                </w:p>
              </w:tc>
              <w:tc>
                <w:tcPr>
                  <w:tcW w:w="720" w:type="dxa"/>
                  <w:tcBorders>
                    <w:top w:val="nil"/>
                    <w:left w:val="nil"/>
                    <w:bottom w:val="single" w:sz="4" w:space="0" w:color="ADD6EA"/>
                    <w:right w:val="nil"/>
                  </w:tcBorders>
                  <w:shd w:val="clear" w:color="000000" w:fill="D6E7F0"/>
                  <w:noWrap/>
                  <w:vAlign w:val="bottom"/>
                  <w:hideMark/>
                </w:tcPr>
                <w:p w14:paraId="4C1F82AE"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160</w:t>
                  </w:r>
                </w:p>
              </w:tc>
              <w:tc>
                <w:tcPr>
                  <w:tcW w:w="720" w:type="dxa"/>
                  <w:tcBorders>
                    <w:top w:val="nil"/>
                    <w:left w:val="nil"/>
                    <w:bottom w:val="single" w:sz="4" w:space="0" w:color="ADD6EA"/>
                    <w:right w:val="nil"/>
                  </w:tcBorders>
                  <w:shd w:val="clear" w:color="000000" w:fill="D6E7F0"/>
                  <w:noWrap/>
                  <w:vAlign w:val="bottom"/>
                  <w:hideMark/>
                </w:tcPr>
                <w:p w14:paraId="6FE537C2"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478</w:t>
                  </w:r>
                </w:p>
              </w:tc>
              <w:tc>
                <w:tcPr>
                  <w:tcW w:w="720" w:type="dxa"/>
                  <w:tcBorders>
                    <w:top w:val="nil"/>
                    <w:left w:val="nil"/>
                    <w:bottom w:val="single" w:sz="4" w:space="0" w:color="ADD6EA"/>
                    <w:right w:val="nil"/>
                  </w:tcBorders>
                  <w:shd w:val="clear" w:color="000000" w:fill="D6E7F0"/>
                  <w:noWrap/>
                  <w:vAlign w:val="bottom"/>
                  <w:hideMark/>
                </w:tcPr>
                <w:p w14:paraId="4798F28E"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206</w:t>
                  </w:r>
                </w:p>
              </w:tc>
              <w:tc>
                <w:tcPr>
                  <w:tcW w:w="720" w:type="dxa"/>
                  <w:tcBorders>
                    <w:top w:val="nil"/>
                    <w:left w:val="nil"/>
                    <w:bottom w:val="single" w:sz="4" w:space="0" w:color="ADD6EA"/>
                    <w:right w:val="nil"/>
                  </w:tcBorders>
                  <w:shd w:val="clear" w:color="000000" w:fill="D6E7F0"/>
                  <w:noWrap/>
                  <w:vAlign w:val="bottom"/>
                  <w:hideMark/>
                </w:tcPr>
                <w:p w14:paraId="519E0CC6"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1,436</w:t>
                  </w:r>
                </w:p>
              </w:tc>
              <w:tc>
                <w:tcPr>
                  <w:tcW w:w="720" w:type="dxa"/>
                  <w:tcBorders>
                    <w:top w:val="nil"/>
                    <w:left w:val="nil"/>
                    <w:bottom w:val="single" w:sz="4" w:space="0" w:color="ADD6EA"/>
                    <w:right w:val="nil"/>
                  </w:tcBorders>
                  <w:shd w:val="clear" w:color="000000" w:fill="D6E7F0"/>
                  <w:noWrap/>
                  <w:vAlign w:val="bottom"/>
                  <w:hideMark/>
                </w:tcPr>
                <w:p w14:paraId="375CE3F1" w14:textId="77777777" w:rsidR="00E25DF2" w:rsidRPr="00E25DF2" w:rsidRDefault="00E25DF2" w:rsidP="00E25DF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E25DF2">
                    <w:rPr>
                      <w:rFonts w:ascii="Open Sans Semibold" w:eastAsia="Times New Roman" w:hAnsi="Open Sans Semibold" w:cs="Open Sans Semibold"/>
                      <w:color w:val="000000"/>
                      <w:sz w:val="16"/>
                      <w:szCs w:val="16"/>
                      <w:lang w:eastAsia="en-AU"/>
                    </w:rPr>
                    <w:t>228</w:t>
                  </w:r>
                </w:p>
              </w:tc>
            </w:tr>
          </w:tbl>
          <w:p w14:paraId="5C91E6D7" w14:textId="77777777" w:rsidR="00B74E38" w:rsidRPr="00CD513B" w:rsidRDefault="00B74E38" w:rsidP="00E51790">
            <w:pPr>
              <w:pStyle w:val="CGC2025TableNote"/>
            </w:pPr>
            <w:r w:rsidRPr="00536963">
              <w:t>Note: Estimates subject to changes in the GST pool and populations.</w:t>
            </w:r>
            <w:r>
              <w:t xml:space="preserve"> </w:t>
            </w:r>
          </w:p>
          <w:p w14:paraId="6451B9B8" w14:textId="2ACBD614" w:rsidR="00B74E38" w:rsidRDefault="00B74E38" w:rsidP="00E51790">
            <w:pPr>
              <w:ind w:right="6"/>
            </w:pPr>
            <w:r w:rsidRPr="003E5686">
              <w:t xml:space="preserve">Queensland is </w:t>
            </w:r>
            <w:r>
              <w:t xml:space="preserve">the </w:t>
            </w:r>
            <w:r w:rsidRPr="003E5686">
              <w:t xml:space="preserve">only state </w:t>
            </w:r>
            <w:r>
              <w:t xml:space="preserve">estimated to have an increased </w:t>
            </w:r>
            <w:r w:rsidRPr="00F41C1E">
              <w:t xml:space="preserve">no worse off payment </w:t>
            </w:r>
            <w:r w:rsidR="001B7939">
              <w:t>in</w:t>
            </w:r>
            <w:r w:rsidRPr="00F41C1E">
              <w:t xml:space="preserve"> 2026</w:t>
            </w:r>
            <w:r w:rsidR="009E7672" w:rsidRPr="005C630A">
              <w:rPr>
                <w:rFonts w:ascii="Times New Roman" w:hAnsi="Times New Roman" w:cs="Times New Roman"/>
              </w:rPr>
              <w:t>‍</w:t>
            </w:r>
            <w:r w:rsidRPr="00F41C1E">
              <w:t>–</w:t>
            </w:r>
            <w:r w:rsidR="009E7672" w:rsidRPr="005C630A">
              <w:rPr>
                <w:rFonts w:ascii="Times New Roman" w:hAnsi="Times New Roman" w:cs="Times New Roman"/>
              </w:rPr>
              <w:t>‍</w:t>
            </w:r>
            <w:r w:rsidRPr="00F41C1E">
              <w:t xml:space="preserve">27 compared </w:t>
            </w:r>
            <w:r w:rsidR="007C774D">
              <w:t>with</w:t>
            </w:r>
            <w:r>
              <w:t xml:space="preserve"> </w:t>
            </w:r>
            <w:r w:rsidRPr="00F41C1E">
              <w:t>2025</w:t>
            </w:r>
            <w:r>
              <w:t>–</w:t>
            </w:r>
            <w:r w:rsidRPr="00F41C1E">
              <w:t xml:space="preserve">26. This is because, </w:t>
            </w:r>
            <w:r>
              <w:t>in</w:t>
            </w:r>
            <w:r w:rsidRPr="00F41C1E">
              <w:t xml:space="preserve"> 2025–26, Queensland benefited from having its </w:t>
            </w:r>
            <w:r>
              <w:t xml:space="preserve">assessed </w:t>
            </w:r>
            <w:r w:rsidRPr="00F41C1E">
              <w:t xml:space="preserve">relativity lifted to the standard state in </w:t>
            </w:r>
            <w:r>
              <w:t>all 3</w:t>
            </w:r>
            <w:r w:rsidRPr="00F41C1E">
              <w:t xml:space="preserve"> assessment years. However, in 2026–27, Queensland</w:t>
            </w:r>
            <w:r>
              <w:t xml:space="preserve">’s assessed </w:t>
            </w:r>
            <w:r w:rsidRPr="00F41C1E">
              <w:t xml:space="preserve">relativity </w:t>
            </w:r>
            <w:r>
              <w:t xml:space="preserve">is </w:t>
            </w:r>
            <w:r w:rsidRPr="00F41C1E">
              <w:t xml:space="preserve">lifted to </w:t>
            </w:r>
            <w:r>
              <w:t>the standard state</w:t>
            </w:r>
            <w:r w:rsidRPr="00F41C1E">
              <w:t xml:space="preserve"> in only 2</w:t>
            </w:r>
            <w:r>
              <w:t xml:space="preserve"> of</w:t>
            </w:r>
            <w:r w:rsidRPr="00F41C1E">
              <w:t xml:space="preserve"> the assessment years. In effect, the </w:t>
            </w:r>
            <w:r w:rsidR="00B77163" w:rsidRPr="00B77163">
              <w:t>2018 legislated changes</w:t>
            </w:r>
            <w:r w:rsidRPr="00F41C1E">
              <w:t xml:space="preserve"> reduc</w:t>
            </w:r>
            <w:r>
              <w:t>e</w:t>
            </w:r>
            <w:r w:rsidRPr="00F41C1E">
              <w:t xml:space="preserve"> Queensland’s GST relativity by </w:t>
            </w:r>
            <w:r w:rsidR="00B244A1">
              <w:t>more</w:t>
            </w:r>
            <w:r w:rsidRPr="00F41C1E">
              <w:t xml:space="preserve"> in 2026–27 than in 2025</w:t>
            </w:r>
            <w:r w:rsidR="009E7672" w:rsidRPr="005C630A">
              <w:rPr>
                <w:rFonts w:ascii="Times New Roman" w:hAnsi="Times New Roman" w:cs="Times New Roman"/>
              </w:rPr>
              <w:t>‍</w:t>
            </w:r>
            <w:r w:rsidRPr="00F41C1E">
              <w:t>–</w:t>
            </w:r>
            <w:r w:rsidR="009E7672" w:rsidRPr="005C630A">
              <w:rPr>
                <w:rFonts w:ascii="Times New Roman" w:hAnsi="Times New Roman" w:cs="Times New Roman"/>
              </w:rPr>
              <w:t>‍</w:t>
            </w:r>
            <w:r w:rsidRPr="00F41C1E">
              <w:t>26, th</w:t>
            </w:r>
            <w:r>
              <w:t>ereby</w:t>
            </w:r>
            <w:r w:rsidRPr="00F41C1E">
              <w:t xml:space="preserve"> increasing </w:t>
            </w:r>
            <w:r>
              <w:t>its</w:t>
            </w:r>
            <w:r w:rsidRPr="00F41C1E">
              <w:t xml:space="preserve"> no worse off payment.</w:t>
            </w:r>
          </w:p>
          <w:p w14:paraId="2E4EAC19" w14:textId="3F13237C" w:rsidR="00B74E38" w:rsidRDefault="00B74E38" w:rsidP="00E51790">
            <w:pPr>
              <w:pStyle w:val="Heading2"/>
            </w:pPr>
            <w:r>
              <w:t>Drivers of changes to state GST distributions</w:t>
            </w:r>
          </w:p>
          <w:p w14:paraId="1B2D1646" w14:textId="2D96EED2" w:rsidR="00B74E38" w:rsidRDefault="00B74E38" w:rsidP="00E51790">
            <w:pPr>
              <w:ind w:right="6"/>
            </w:pPr>
            <w:r>
              <w:t>Recommended GST relativities in 2026–27 reflect changes in state circumstances. These include spending on COVID-19 in 2021–22 dropping out of the assessment period, coal and iron ore royalt</w:t>
            </w:r>
            <w:r w:rsidR="005C7D62">
              <w:t>y revenue</w:t>
            </w:r>
            <w:r>
              <w:t xml:space="preserve"> falling between 2021–22 and 2024–25, and changes in the value of property being transferred. Downward revisions to some states’ natural disaster relief expenses and the 2018 </w:t>
            </w:r>
            <w:r w:rsidR="00905D4B" w:rsidRPr="00B77163">
              <w:t xml:space="preserve">legislated changes to determining </w:t>
            </w:r>
            <w:r w:rsidR="00905D4B" w:rsidRPr="00905D4B">
              <w:t>relativities</w:t>
            </w:r>
            <w:r>
              <w:t xml:space="preserve"> also impact the GST distribution.</w:t>
            </w:r>
          </w:p>
          <w:p w14:paraId="2BBC3114" w14:textId="152DF134" w:rsidR="00B74E38" w:rsidRDefault="00B74E38" w:rsidP="00E51790">
            <w:pPr>
              <w:ind w:right="6"/>
            </w:pPr>
            <w:r>
              <w:t>The largest single factor affecting states’ GST distribution</w:t>
            </w:r>
            <w:r w:rsidR="00957844">
              <w:t>s</w:t>
            </w:r>
            <w:r>
              <w:t xml:space="preserve"> in 2026</w:t>
            </w:r>
            <w:r w:rsidR="00726FD9" w:rsidRPr="005C630A">
              <w:rPr>
                <w:rFonts w:ascii="Times New Roman" w:hAnsi="Times New Roman" w:cs="Times New Roman"/>
              </w:rPr>
              <w:t>‍</w:t>
            </w:r>
            <w:r>
              <w:t>–</w:t>
            </w:r>
            <w:r w:rsidR="00726FD9" w:rsidRPr="005C630A">
              <w:rPr>
                <w:rFonts w:ascii="Times New Roman" w:hAnsi="Times New Roman" w:cs="Times New Roman"/>
              </w:rPr>
              <w:t>‍</w:t>
            </w:r>
            <w:r>
              <w:t xml:space="preserve">27 compared </w:t>
            </w:r>
            <w:r w:rsidR="00945218">
              <w:t>with</w:t>
            </w:r>
            <w:r>
              <w:t xml:space="preserve"> 2025–‍26 is growth in the GST pool. The GST pool (which does not include no worse off payments) is estimated to grow by almost $6</w:t>
            </w:r>
            <w:r w:rsidR="00390FAA">
              <w:t> </w:t>
            </w:r>
            <w:r>
              <w:t>billion in 2026–27, to around $103</w:t>
            </w:r>
            <w:r w:rsidR="00726FD9">
              <w:t> </w:t>
            </w:r>
            <w:r>
              <w:t>billion. Consequently, all states are expected to receive more GST in 2026</w:t>
            </w:r>
            <w:r w:rsidR="00726FD9" w:rsidRPr="005C630A">
              <w:rPr>
                <w:rFonts w:ascii="Times New Roman" w:hAnsi="Times New Roman" w:cs="Times New Roman"/>
              </w:rPr>
              <w:t>‍</w:t>
            </w:r>
            <w:r>
              <w:t>–</w:t>
            </w:r>
            <w:r w:rsidR="00726FD9" w:rsidRPr="005C630A">
              <w:rPr>
                <w:rFonts w:ascii="Times New Roman" w:hAnsi="Times New Roman" w:cs="Times New Roman"/>
              </w:rPr>
              <w:t>‍</w:t>
            </w:r>
            <w:r>
              <w:t>27, despite some states having a lower GST relativity.</w:t>
            </w:r>
          </w:p>
          <w:p w14:paraId="6DB3A833" w14:textId="184B2D8D" w:rsidR="00B74E38" w:rsidRDefault="00B74E38" w:rsidP="00E51790">
            <w:pPr>
              <w:ind w:right="6"/>
            </w:pPr>
            <w:r>
              <w:t>New South Wales and Victoria both have a lower GST relativity in 2026</w:t>
            </w:r>
            <w:r w:rsidR="00726FD9" w:rsidRPr="005C630A">
              <w:rPr>
                <w:rFonts w:ascii="Times New Roman" w:hAnsi="Times New Roman" w:cs="Times New Roman"/>
              </w:rPr>
              <w:t>‍</w:t>
            </w:r>
            <w:r>
              <w:t>–</w:t>
            </w:r>
            <w:r w:rsidR="00726FD9" w:rsidRPr="005C630A">
              <w:rPr>
                <w:rFonts w:ascii="Times New Roman" w:hAnsi="Times New Roman" w:cs="Times New Roman"/>
              </w:rPr>
              <w:t>‍</w:t>
            </w:r>
            <w:r>
              <w:t xml:space="preserve">27 compared </w:t>
            </w:r>
            <w:r w:rsidR="004C3E8A">
              <w:t>with</w:t>
            </w:r>
            <w:r>
              <w:t xml:space="preserve"> 2025</w:t>
            </w:r>
            <w:r w:rsidR="00726FD9" w:rsidRPr="005C630A">
              <w:rPr>
                <w:rFonts w:ascii="Times New Roman" w:hAnsi="Times New Roman" w:cs="Times New Roman"/>
              </w:rPr>
              <w:t>‍</w:t>
            </w:r>
            <w:r>
              <w:t>–</w:t>
            </w:r>
            <w:r w:rsidR="00726FD9" w:rsidRPr="005C630A">
              <w:rPr>
                <w:rFonts w:ascii="Times New Roman" w:hAnsi="Times New Roman" w:cs="Times New Roman"/>
              </w:rPr>
              <w:t>‍</w:t>
            </w:r>
            <w:r>
              <w:t xml:space="preserve">26. Contributing to the reduction in </w:t>
            </w:r>
            <w:r w:rsidRPr="001056DF">
              <w:t xml:space="preserve">their </w:t>
            </w:r>
            <w:r>
              <w:t xml:space="preserve">assessed GST needs </w:t>
            </w:r>
            <w:r w:rsidRPr="001056DF">
              <w:t>is</w:t>
            </w:r>
            <w:r>
              <w:t xml:space="preserve"> COVID-19</w:t>
            </w:r>
            <w:r w:rsidR="00FF1DEE">
              <w:t> </w:t>
            </w:r>
            <w:r>
              <w:t xml:space="preserve">spending </w:t>
            </w:r>
            <w:r>
              <w:lastRenderedPageBreak/>
              <w:t>dropping out of the assessment period (both states had above-average COVID-19 expenses</w:t>
            </w:r>
            <w:r w:rsidRPr="001056DF">
              <w:t>). Lower mining royalty</w:t>
            </w:r>
            <w:r>
              <w:t xml:space="preserve"> revenue </w:t>
            </w:r>
            <w:r w:rsidR="00E15F0C">
              <w:t xml:space="preserve">in </w:t>
            </w:r>
            <w:r w:rsidRPr="001056DF">
              <w:t xml:space="preserve">Queensland and </w:t>
            </w:r>
            <w:r>
              <w:t>Western Australia</w:t>
            </w:r>
            <w:r w:rsidR="00A61546">
              <w:t xml:space="preserve"> in 202</w:t>
            </w:r>
            <w:r w:rsidR="00F707D0">
              <w:t>4</w:t>
            </w:r>
            <w:r w:rsidR="00191264">
              <w:t>–</w:t>
            </w:r>
            <w:r w:rsidR="00A61546">
              <w:t>2</w:t>
            </w:r>
            <w:r w:rsidR="00F707D0">
              <w:t>5</w:t>
            </w:r>
            <w:r>
              <w:t xml:space="preserve"> </w:t>
            </w:r>
            <w:r w:rsidR="002F45FA">
              <w:t>have</w:t>
            </w:r>
            <w:r>
              <w:t xml:space="preserve"> </w:t>
            </w:r>
            <w:r w:rsidRPr="001056DF">
              <w:t>increased their assessed GST needs and reduced the needs of other states, including New South Wales and Victoria (see Box 2-1).</w:t>
            </w:r>
            <w:r>
              <w:t xml:space="preserve"> Revisions to natural disaster relief expenses (a large downward revision for New South Wales and an upward revision for Victoria) </w:t>
            </w:r>
            <w:r w:rsidR="00A42A46">
              <w:t xml:space="preserve">have </w:t>
            </w:r>
            <w:r>
              <w:t>reduced New</w:t>
            </w:r>
            <w:r w:rsidR="00FF1DEE">
              <w:t> </w:t>
            </w:r>
            <w:r>
              <w:t>South</w:t>
            </w:r>
            <w:r w:rsidR="00FF1DEE">
              <w:t> </w:t>
            </w:r>
            <w:proofErr w:type="spellStart"/>
            <w:r>
              <w:t>Wales’</w:t>
            </w:r>
            <w:proofErr w:type="spellEnd"/>
            <w:r>
              <w:t xml:space="preserve"> assessed GST needs and increased Victoria’s.</w:t>
            </w:r>
          </w:p>
          <w:p w14:paraId="2048A7DD" w14:textId="0ADCC4BF" w:rsidR="00B74E38" w:rsidRDefault="00B74E38" w:rsidP="00E51790">
            <w:pPr>
              <w:ind w:right="6"/>
            </w:pPr>
            <w:r>
              <w:t xml:space="preserve">Queensland </w:t>
            </w:r>
            <w:r w:rsidR="00686D00">
              <w:t xml:space="preserve">has </w:t>
            </w:r>
            <w:r>
              <w:t xml:space="preserve">experienced an increase in assessed GST needs between 2025–26 and 2026–27. This is due to </w:t>
            </w:r>
            <w:r w:rsidR="007C3AF4">
              <w:t>it</w:t>
            </w:r>
            <w:r>
              <w:t xml:space="preserve"> having below</w:t>
            </w:r>
            <w:r w:rsidR="00A34B03">
              <w:noBreakHyphen/>
            </w:r>
            <w:r>
              <w:t>average COVID-19</w:t>
            </w:r>
            <w:r w:rsidR="00AC0111">
              <w:t> </w:t>
            </w:r>
            <w:r>
              <w:t>expenses and a decrease in its capacity to raise revenue from mining royalties (particularly due to a fall in coal prices).</w:t>
            </w:r>
          </w:p>
          <w:p w14:paraId="1E5C7C2A" w14:textId="7BCFF5AC" w:rsidR="00B74E38" w:rsidRDefault="00B74E38" w:rsidP="00E51790">
            <w:r w:rsidRPr="00FF1C58">
              <w:t xml:space="preserve">Western Australia continues to have </w:t>
            </w:r>
            <w:r>
              <w:t xml:space="preserve">the </w:t>
            </w:r>
            <w:r w:rsidRPr="00FF1C58">
              <w:t>low</w:t>
            </w:r>
            <w:r>
              <w:t>est</w:t>
            </w:r>
            <w:r w:rsidRPr="00FF1C58">
              <w:t xml:space="preserve"> assessed GST needs, driven by its strong capacity to raise </w:t>
            </w:r>
            <w:r w:rsidR="00B91527">
              <w:t xml:space="preserve">revenue from </w:t>
            </w:r>
            <w:r w:rsidRPr="00FF1C58">
              <w:t xml:space="preserve">iron ore royalties. However, </w:t>
            </w:r>
            <w:r>
              <w:t xml:space="preserve">compared </w:t>
            </w:r>
            <w:r w:rsidR="00175E7B">
              <w:t>with</w:t>
            </w:r>
            <w:r>
              <w:t xml:space="preserve"> 2025–26</w:t>
            </w:r>
            <w:r w:rsidRPr="00FF1C58">
              <w:t>, Western</w:t>
            </w:r>
            <w:r>
              <w:t> </w:t>
            </w:r>
            <w:r w:rsidRPr="00FF1C58">
              <w:t xml:space="preserve">Australia’s assessed GST needs </w:t>
            </w:r>
            <w:r w:rsidR="00663C71">
              <w:t>have</w:t>
            </w:r>
            <w:r w:rsidRPr="00FF1C58">
              <w:t xml:space="preserve"> increased as iron ore prices fell over the assessment period.</w:t>
            </w:r>
          </w:p>
          <w:p w14:paraId="5D14178B" w14:textId="36BA7560" w:rsidR="00B74E38" w:rsidRDefault="00B74E38" w:rsidP="00E51790">
            <w:r>
              <w:t>In addition to the impact from COVID-19 spending, mining royalt</w:t>
            </w:r>
            <w:r w:rsidR="00BE25D6">
              <w:t>y revenue</w:t>
            </w:r>
            <w:r>
              <w:t xml:space="preserve"> and natural disaster relief expenses, the </w:t>
            </w:r>
            <w:r w:rsidRPr="00187820">
              <w:t xml:space="preserve">smaller states </w:t>
            </w:r>
            <w:r w:rsidR="007A604E" w:rsidRPr="00187820">
              <w:t xml:space="preserve">have been </w:t>
            </w:r>
            <w:r w:rsidR="003773DC" w:rsidRPr="00187820">
              <w:t>particularly</w:t>
            </w:r>
            <w:r w:rsidRPr="00187820">
              <w:t xml:space="preserve"> impacted</w:t>
            </w:r>
            <w:r>
              <w:t xml:space="preserve"> by changes to states’ shares of the value of property transferred, and changes in national spending on First Nations populations and Australians living in regional areas. Together, these decrease the assessed GST needs of South Australia and the ACT and increase them for Tasmania and the Northern Territory. </w:t>
            </w:r>
          </w:p>
          <w:p w14:paraId="66D829DA" w14:textId="1A6D3611" w:rsidR="00B74E38" w:rsidRDefault="00B74E38" w:rsidP="00E51790">
            <w:pPr>
              <w:ind w:right="6"/>
            </w:pPr>
            <w:r>
              <w:t xml:space="preserve">Alongside the major drivers of change mentioned above, estimated state populations for 2026–27 and method changes </w:t>
            </w:r>
            <w:r w:rsidR="00AC5BB0">
              <w:t xml:space="preserve">have </w:t>
            </w:r>
            <w:r>
              <w:t>also impacted states’ GST distributions. The impacts on GST distribution for all states from these major drivers of changes are included in the</w:t>
            </w:r>
            <w:r w:rsidDel="00060EB9">
              <w:t xml:space="preserve"> </w:t>
            </w:r>
            <w:r>
              <w:t>table below</w:t>
            </w:r>
            <w:r w:rsidDel="00EB671F">
              <w:t>.</w:t>
            </w:r>
          </w:p>
          <w:p w14:paraId="0DCA81CA" w14:textId="77777777" w:rsidR="00B74E38" w:rsidRDefault="00B74E38" w:rsidP="00E51790">
            <w:pPr>
              <w:pStyle w:val="CGC2025Caption"/>
            </w:pPr>
            <w:r w:rsidRPr="005375DC">
              <w:t>Major drivers of change in GST distribution, 2025–26 to 2026–27 (excludes no worse off payments)</w:t>
            </w:r>
          </w:p>
          <w:tbl>
            <w:tblPr>
              <w:tblW w:w="8920" w:type="dxa"/>
              <w:tblLook w:val="04A0" w:firstRow="1" w:lastRow="0" w:firstColumn="1" w:lastColumn="0" w:noHBand="0" w:noVBand="1"/>
            </w:tblPr>
            <w:tblGrid>
              <w:gridCol w:w="3365"/>
              <w:gridCol w:w="700"/>
              <w:gridCol w:w="625"/>
              <w:gridCol w:w="625"/>
              <w:gridCol w:w="625"/>
              <w:gridCol w:w="580"/>
              <w:gridCol w:w="580"/>
              <w:gridCol w:w="600"/>
              <w:gridCol w:w="520"/>
              <w:gridCol w:w="700"/>
            </w:tblGrid>
            <w:tr w:rsidR="00DA59A4" w:rsidRPr="00DA59A4" w14:paraId="2F9B62A5" w14:textId="77777777" w:rsidTr="00DA59A4">
              <w:trPr>
                <w:trHeight w:val="555"/>
              </w:trPr>
              <w:tc>
                <w:tcPr>
                  <w:tcW w:w="3500" w:type="dxa"/>
                  <w:tcBorders>
                    <w:top w:val="nil"/>
                    <w:left w:val="nil"/>
                    <w:bottom w:val="nil"/>
                    <w:right w:val="nil"/>
                  </w:tcBorders>
                  <w:shd w:val="clear" w:color="000000" w:fill="006991"/>
                  <w:vAlign w:val="bottom"/>
                  <w:hideMark/>
                </w:tcPr>
                <w:p w14:paraId="5102899F" w14:textId="77777777" w:rsidR="00DA59A4" w:rsidRPr="00DA59A4" w:rsidRDefault="00DA59A4" w:rsidP="00DA59A4">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31" w:name="RANGE!A4:J18"/>
                  <w:bookmarkStart w:id="32" w:name="RANGE!A4:D5"/>
                  <w:bookmarkEnd w:id="31"/>
                  <w:r w:rsidRPr="00DA59A4">
                    <w:rPr>
                      <w:rFonts w:ascii="Open Sans Semibold" w:eastAsia="Times New Roman" w:hAnsi="Open Sans Semibold" w:cs="Open Sans Semibold"/>
                      <w:color w:val="FFFFFF"/>
                      <w:sz w:val="16"/>
                      <w:szCs w:val="16"/>
                      <w:lang w:eastAsia="en-AU"/>
                    </w:rPr>
                    <w:t> </w:t>
                  </w:r>
                  <w:bookmarkEnd w:id="32"/>
                </w:p>
              </w:tc>
              <w:tc>
                <w:tcPr>
                  <w:tcW w:w="700" w:type="dxa"/>
                  <w:tcBorders>
                    <w:top w:val="nil"/>
                    <w:left w:val="nil"/>
                    <w:bottom w:val="nil"/>
                    <w:right w:val="nil"/>
                  </w:tcBorders>
                  <w:shd w:val="clear" w:color="000000" w:fill="006991"/>
                  <w:vAlign w:val="center"/>
                  <w:hideMark/>
                </w:tcPr>
                <w:p w14:paraId="69667AEA"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NSW</w:t>
                  </w:r>
                </w:p>
              </w:tc>
              <w:tc>
                <w:tcPr>
                  <w:tcW w:w="580" w:type="dxa"/>
                  <w:tcBorders>
                    <w:top w:val="nil"/>
                    <w:left w:val="nil"/>
                    <w:bottom w:val="nil"/>
                    <w:right w:val="nil"/>
                  </w:tcBorders>
                  <w:shd w:val="clear" w:color="000000" w:fill="006991"/>
                  <w:vAlign w:val="center"/>
                  <w:hideMark/>
                </w:tcPr>
                <w:p w14:paraId="1B866144"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Vic</w:t>
                  </w:r>
                </w:p>
              </w:tc>
              <w:tc>
                <w:tcPr>
                  <w:tcW w:w="580" w:type="dxa"/>
                  <w:tcBorders>
                    <w:top w:val="nil"/>
                    <w:left w:val="nil"/>
                    <w:bottom w:val="nil"/>
                    <w:right w:val="nil"/>
                  </w:tcBorders>
                  <w:shd w:val="clear" w:color="000000" w:fill="006991"/>
                  <w:vAlign w:val="center"/>
                  <w:hideMark/>
                </w:tcPr>
                <w:p w14:paraId="0D4E23A8"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Qld</w:t>
                  </w:r>
                </w:p>
              </w:tc>
              <w:tc>
                <w:tcPr>
                  <w:tcW w:w="580" w:type="dxa"/>
                  <w:tcBorders>
                    <w:top w:val="nil"/>
                    <w:left w:val="nil"/>
                    <w:bottom w:val="nil"/>
                    <w:right w:val="nil"/>
                  </w:tcBorders>
                  <w:shd w:val="clear" w:color="000000" w:fill="006991"/>
                  <w:vAlign w:val="center"/>
                  <w:hideMark/>
                </w:tcPr>
                <w:p w14:paraId="09BA8F1E"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WA</w:t>
                  </w:r>
                </w:p>
              </w:tc>
              <w:tc>
                <w:tcPr>
                  <w:tcW w:w="580" w:type="dxa"/>
                  <w:tcBorders>
                    <w:top w:val="nil"/>
                    <w:left w:val="nil"/>
                    <w:bottom w:val="nil"/>
                    <w:right w:val="nil"/>
                  </w:tcBorders>
                  <w:shd w:val="clear" w:color="000000" w:fill="006991"/>
                  <w:vAlign w:val="center"/>
                  <w:hideMark/>
                </w:tcPr>
                <w:p w14:paraId="55113662"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SA</w:t>
                  </w:r>
                </w:p>
              </w:tc>
              <w:tc>
                <w:tcPr>
                  <w:tcW w:w="580" w:type="dxa"/>
                  <w:tcBorders>
                    <w:top w:val="nil"/>
                    <w:left w:val="nil"/>
                    <w:bottom w:val="nil"/>
                    <w:right w:val="nil"/>
                  </w:tcBorders>
                  <w:shd w:val="clear" w:color="000000" w:fill="006991"/>
                  <w:vAlign w:val="center"/>
                  <w:hideMark/>
                </w:tcPr>
                <w:p w14:paraId="10602831"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Tas</w:t>
                  </w:r>
                </w:p>
              </w:tc>
              <w:tc>
                <w:tcPr>
                  <w:tcW w:w="600" w:type="dxa"/>
                  <w:tcBorders>
                    <w:top w:val="nil"/>
                    <w:left w:val="nil"/>
                    <w:bottom w:val="nil"/>
                    <w:right w:val="nil"/>
                  </w:tcBorders>
                  <w:shd w:val="clear" w:color="000000" w:fill="006991"/>
                  <w:vAlign w:val="center"/>
                  <w:hideMark/>
                </w:tcPr>
                <w:p w14:paraId="53F2AA6E"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ACT</w:t>
                  </w:r>
                </w:p>
              </w:tc>
              <w:tc>
                <w:tcPr>
                  <w:tcW w:w="520" w:type="dxa"/>
                  <w:tcBorders>
                    <w:top w:val="nil"/>
                    <w:left w:val="nil"/>
                    <w:bottom w:val="nil"/>
                    <w:right w:val="nil"/>
                  </w:tcBorders>
                  <w:shd w:val="clear" w:color="000000" w:fill="006991"/>
                  <w:vAlign w:val="center"/>
                  <w:hideMark/>
                </w:tcPr>
                <w:p w14:paraId="1F811481"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NT</w:t>
                  </w:r>
                </w:p>
              </w:tc>
              <w:tc>
                <w:tcPr>
                  <w:tcW w:w="700" w:type="dxa"/>
                  <w:tcBorders>
                    <w:top w:val="nil"/>
                    <w:left w:val="nil"/>
                    <w:bottom w:val="nil"/>
                    <w:right w:val="nil"/>
                  </w:tcBorders>
                  <w:shd w:val="clear" w:color="000000" w:fill="006991"/>
                  <w:vAlign w:val="center"/>
                  <w:hideMark/>
                </w:tcPr>
                <w:p w14:paraId="35FC6AD6"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DA59A4">
                    <w:rPr>
                      <w:rFonts w:ascii="Open Sans Semibold" w:eastAsia="Times New Roman" w:hAnsi="Open Sans Semibold" w:cs="Open Sans Semibold"/>
                      <w:color w:val="FFFFFF"/>
                      <w:sz w:val="16"/>
                      <w:szCs w:val="16"/>
                      <w:lang w:eastAsia="en-AU"/>
                    </w:rPr>
                    <w:t>Total effect</w:t>
                  </w:r>
                </w:p>
              </w:tc>
            </w:tr>
            <w:tr w:rsidR="00DA59A4" w:rsidRPr="00DA59A4" w14:paraId="64D46E5C" w14:textId="77777777" w:rsidTr="00DA59A4">
              <w:trPr>
                <w:trHeight w:val="255"/>
              </w:trPr>
              <w:tc>
                <w:tcPr>
                  <w:tcW w:w="3500" w:type="dxa"/>
                  <w:tcBorders>
                    <w:top w:val="single" w:sz="4" w:space="0" w:color="ADD6EA"/>
                    <w:left w:val="nil"/>
                    <w:bottom w:val="nil"/>
                    <w:right w:val="nil"/>
                  </w:tcBorders>
                  <w:shd w:val="clear" w:color="000000" w:fill="B6D5E4"/>
                  <w:vAlign w:val="bottom"/>
                  <w:hideMark/>
                </w:tcPr>
                <w:p w14:paraId="772411AE" w14:textId="77777777" w:rsidR="00DA59A4" w:rsidRPr="00DA59A4" w:rsidRDefault="00DA59A4" w:rsidP="00DA59A4">
                  <w:pPr>
                    <w:tabs>
                      <w:tab w:val="clear" w:pos="567"/>
                    </w:tabs>
                    <w:spacing w:before="0" w:line="240" w:lineRule="auto"/>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noWrap/>
                  <w:vAlign w:val="center"/>
                  <w:hideMark/>
                </w:tcPr>
                <w:p w14:paraId="3DC733D3"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c>
                <w:tcPr>
                  <w:tcW w:w="580" w:type="dxa"/>
                  <w:tcBorders>
                    <w:top w:val="single" w:sz="4" w:space="0" w:color="ADD6EA"/>
                    <w:left w:val="nil"/>
                    <w:bottom w:val="nil"/>
                    <w:right w:val="nil"/>
                  </w:tcBorders>
                  <w:shd w:val="clear" w:color="000000" w:fill="B6D5E4"/>
                  <w:noWrap/>
                  <w:vAlign w:val="center"/>
                  <w:hideMark/>
                </w:tcPr>
                <w:p w14:paraId="1E1C09FC"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c>
                <w:tcPr>
                  <w:tcW w:w="580" w:type="dxa"/>
                  <w:tcBorders>
                    <w:top w:val="single" w:sz="4" w:space="0" w:color="ADD6EA"/>
                    <w:left w:val="nil"/>
                    <w:bottom w:val="nil"/>
                    <w:right w:val="nil"/>
                  </w:tcBorders>
                  <w:shd w:val="clear" w:color="000000" w:fill="B6D5E4"/>
                  <w:noWrap/>
                  <w:vAlign w:val="center"/>
                  <w:hideMark/>
                </w:tcPr>
                <w:p w14:paraId="34B7C457"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c>
                <w:tcPr>
                  <w:tcW w:w="580" w:type="dxa"/>
                  <w:tcBorders>
                    <w:top w:val="single" w:sz="4" w:space="0" w:color="ADD6EA"/>
                    <w:left w:val="nil"/>
                    <w:bottom w:val="nil"/>
                    <w:right w:val="nil"/>
                  </w:tcBorders>
                  <w:shd w:val="clear" w:color="000000" w:fill="B6D5E4"/>
                  <w:noWrap/>
                  <w:vAlign w:val="center"/>
                  <w:hideMark/>
                </w:tcPr>
                <w:p w14:paraId="08F41580"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c>
                <w:tcPr>
                  <w:tcW w:w="580" w:type="dxa"/>
                  <w:tcBorders>
                    <w:top w:val="single" w:sz="4" w:space="0" w:color="ADD6EA"/>
                    <w:left w:val="nil"/>
                    <w:bottom w:val="nil"/>
                    <w:right w:val="nil"/>
                  </w:tcBorders>
                  <w:shd w:val="clear" w:color="000000" w:fill="B6D5E4"/>
                  <w:noWrap/>
                  <w:vAlign w:val="center"/>
                  <w:hideMark/>
                </w:tcPr>
                <w:p w14:paraId="16E98574"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c>
                <w:tcPr>
                  <w:tcW w:w="580" w:type="dxa"/>
                  <w:tcBorders>
                    <w:top w:val="single" w:sz="4" w:space="0" w:color="ADD6EA"/>
                    <w:left w:val="nil"/>
                    <w:bottom w:val="nil"/>
                    <w:right w:val="nil"/>
                  </w:tcBorders>
                  <w:shd w:val="clear" w:color="000000" w:fill="B6D5E4"/>
                  <w:noWrap/>
                  <w:vAlign w:val="center"/>
                  <w:hideMark/>
                </w:tcPr>
                <w:p w14:paraId="17B15E3A"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c>
                <w:tcPr>
                  <w:tcW w:w="600" w:type="dxa"/>
                  <w:tcBorders>
                    <w:top w:val="single" w:sz="4" w:space="0" w:color="ADD6EA"/>
                    <w:left w:val="nil"/>
                    <w:bottom w:val="nil"/>
                    <w:right w:val="nil"/>
                  </w:tcBorders>
                  <w:shd w:val="clear" w:color="000000" w:fill="B6D5E4"/>
                  <w:noWrap/>
                  <w:vAlign w:val="center"/>
                  <w:hideMark/>
                </w:tcPr>
                <w:p w14:paraId="0A789B8F"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c>
                <w:tcPr>
                  <w:tcW w:w="520" w:type="dxa"/>
                  <w:tcBorders>
                    <w:top w:val="single" w:sz="4" w:space="0" w:color="ADD6EA"/>
                    <w:left w:val="nil"/>
                    <w:bottom w:val="nil"/>
                    <w:right w:val="nil"/>
                  </w:tcBorders>
                  <w:shd w:val="clear" w:color="000000" w:fill="B6D5E4"/>
                  <w:noWrap/>
                  <w:vAlign w:val="center"/>
                  <w:hideMark/>
                </w:tcPr>
                <w:p w14:paraId="4FF4712C"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6FA695F9"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$m</w:t>
                  </w:r>
                </w:p>
              </w:tc>
            </w:tr>
            <w:tr w:rsidR="00DA59A4" w:rsidRPr="00DA59A4" w14:paraId="6FD51F1D"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449AB7D5" w14:textId="77777777" w:rsidR="00DA59A4" w:rsidRPr="00DA59A4" w:rsidRDefault="00DA59A4" w:rsidP="00DA59A4">
                  <w:pPr>
                    <w:tabs>
                      <w:tab w:val="clear" w:pos="567"/>
                    </w:tabs>
                    <w:spacing w:before="0" w:line="240" w:lineRule="auto"/>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Changes in fiscal capacities</w:t>
                  </w:r>
                </w:p>
              </w:tc>
              <w:tc>
                <w:tcPr>
                  <w:tcW w:w="700" w:type="dxa"/>
                  <w:tcBorders>
                    <w:top w:val="single" w:sz="4" w:space="0" w:color="ADD6EA"/>
                    <w:left w:val="nil"/>
                    <w:bottom w:val="nil"/>
                    <w:right w:val="nil"/>
                  </w:tcBorders>
                  <w:shd w:val="clear" w:color="000000" w:fill="FFFFFF"/>
                  <w:vAlign w:val="bottom"/>
                  <w:hideMark/>
                </w:tcPr>
                <w:p w14:paraId="7E8B3C3E"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w:t>
                  </w:r>
                </w:p>
              </w:tc>
              <w:tc>
                <w:tcPr>
                  <w:tcW w:w="580" w:type="dxa"/>
                  <w:tcBorders>
                    <w:top w:val="single" w:sz="4" w:space="0" w:color="ADD6EA"/>
                    <w:left w:val="nil"/>
                    <w:bottom w:val="nil"/>
                    <w:right w:val="nil"/>
                  </w:tcBorders>
                  <w:shd w:val="clear" w:color="000000" w:fill="FFFFFF"/>
                  <w:vAlign w:val="bottom"/>
                  <w:hideMark/>
                </w:tcPr>
                <w:p w14:paraId="3E931CDF"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xml:space="preserve"> </w:t>
                  </w:r>
                </w:p>
              </w:tc>
              <w:tc>
                <w:tcPr>
                  <w:tcW w:w="580" w:type="dxa"/>
                  <w:tcBorders>
                    <w:top w:val="single" w:sz="4" w:space="0" w:color="ADD6EA"/>
                    <w:left w:val="nil"/>
                    <w:bottom w:val="nil"/>
                    <w:right w:val="nil"/>
                  </w:tcBorders>
                  <w:shd w:val="clear" w:color="000000" w:fill="FFFFFF"/>
                  <w:vAlign w:val="bottom"/>
                  <w:hideMark/>
                </w:tcPr>
                <w:p w14:paraId="2CC764B7"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xml:space="preserve"> </w:t>
                  </w:r>
                </w:p>
              </w:tc>
              <w:tc>
                <w:tcPr>
                  <w:tcW w:w="580" w:type="dxa"/>
                  <w:tcBorders>
                    <w:top w:val="single" w:sz="4" w:space="0" w:color="ADD6EA"/>
                    <w:left w:val="nil"/>
                    <w:bottom w:val="nil"/>
                    <w:right w:val="nil"/>
                  </w:tcBorders>
                  <w:shd w:val="clear" w:color="000000" w:fill="FFFFFF"/>
                  <w:vAlign w:val="bottom"/>
                  <w:hideMark/>
                </w:tcPr>
                <w:p w14:paraId="786F81D1"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xml:space="preserve"> </w:t>
                  </w:r>
                </w:p>
              </w:tc>
              <w:tc>
                <w:tcPr>
                  <w:tcW w:w="580" w:type="dxa"/>
                  <w:tcBorders>
                    <w:top w:val="single" w:sz="4" w:space="0" w:color="ADD6EA"/>
                    <w:left w:val="nil"/>
                    <w:bottom w:val="nil"/>
                    <w:right w:val="nil"/>
                  </w:tcBorders>
                  <w:shd w:val="clear" w:color="000000" w:fill="FFFFFF"/>
                  <w:vAlign w:val="bottom"/>
                  <w:hideMark/>
                </w:tcPr>
                <w:p w14:paraId="68D417C0"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xml:space="preserve"> </w:t>
                  </w:r>
                </w:p>
              </w:tc>
              <w:tc>
                <w:tcPr>
                  <w:tcW w:w="580" w:type="dxa"/>
                  <w:tcBorders>
                    <w:top w:val="single" w:sz="4" w:space="0" w:color="ADD6EA"/>
                    <w:left w:val="nil"/>
                    <w:bottom w:val="nil"/>
                    <w:right w:val="nil"/>
                  </w:tcBorders>
                  <w:shd w:val="clear" w:color="000000" w:fill="FFFFFF"/>
                  <w:vAlign w:val="bottom"/>
                  <w:hideMark/>
                </w:tcPr>
                <w:p w14:paraId="2B9FFF16"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xml:space="preserve"> </w:t>
                  </w:r>
                </w:p>
              </w:tc>
              <w:tc>
                <w:tcPr>
                  <w:tcW w:w="600" w:type="dxa"/>
                  <w:tcBorders>
                    <w:top w:val="single" w:sz="4" w:space="0" w:color="ADD6EA"/>
                    <w:left w:val="nil"/>
                    <w:bottom w:val="nil"/>
                    <w:right w:val="nil"/>
                  </w:tcBorders>
                  <w:shd w:val="clear" w:color="000000" w:fill="FFFFFF"/>
                  <w:vAlign w:val="bottom"/>
                  <w:hideMark/>
                </w:tcPr>
                <w:p w14:paraId="3409BCC5"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xml:space="preserve"> </w:t>
                  </w:r>
                </w:p>
              </w:tc>
              <w:tc>
                <w:tcPr>
                  <w:tcW w:w="520" w:type="dxa"/>
                  <w:tcBorders>
                    <w:top w:val="single" w:sz="4" w:space="0" w:color="ADD6EA"/>
                    <w:left w:val="nil"/>
                    <w:bottom w:val="nil"/>
                    <w:right w:val="nil"/>
                  </w:tcBorders>
                  <w:shd w:val="clear" w:color="000000" w:fill="FFFFFF"/>
                  <w:vAlign w:val="bottom"/>
                  <w:hideMark/>
                </w:tcPr>
                <w:p w14:paraId="749B99DF"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xml:space="preserve"> </w:t>
                  </w:r>
                </w:p>
              </w:tc>
              <w:tc>
                <w:tcPr>
                  <w:tcW w:w="700" w:type="dxa"/>
                  <w:tcBorders>
                    <w:top w:val="single" w:sz="4" w:space="0" w:color="ADD6EA"/>
                    <w:left w:val="nil"/>
                    <w:bottom w:val="nil"/>
                    <w:right w:val="nil"/>
                  </w:tcBorders>
                  <w:shd w:val="clear" w:color="000000" w:fill="FFFFFF"/>
                  <w:vAlign w:val="bottom"/>
                  <w:hideMark/>
                </w:tcPr>
                <w:p w14:paraId="106AE4B8"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 xml:space="preserve"> </w:t>
                  </w:r>
                </w:p>
              </w:tc>
            </w:tr>
            <w:tr w:rsidR="00DA59A4" w:rsidRPr="00DA59A4" w14:paraId="20B68489" w14:textId="77777777" w:rsidTr="00DA59A4">
              <w:trPr>
                <w:trHeight w:val="555"/>
              </w:trPr>
              <w:tc>
                <w:tcPr>
                  <w:tcW w:w="3500" w:type="dxa"/>
                  <w:tcBorders>
                    <w:top w:val="single" w:sz="4" w:space="0" w:color="ADD6EA"/>
                    <w:left w:val="nil"/>
                    <w:bottom w:val="nil"/>
                    <w:right w:val="nil"/>
                  </w:tcBorders>
                  <w:shd w:val="clear" w:color="000000" w:fill="FFFFFF"/>
                  <w:vAlign w:val="bottom"/>
                  <w:hideMark/>
                </w:tcPr>
                <w:p w14:paraId="5E17852F" w14:textId="77885771"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 xml:space="preserve">Changes in circumstances - </w:t>
                  </w:r>
                  <w:r w:rsidR="00BD54DB">
                    <w:rPr>
                      <w:rFonts w:ascii="Open Sans Light" w:eastAsia="Times New Roman" w:hAnsi="Open Sans Light" w:cs="Open Sans Light"/>
                      <w:color w:val="000000"/>
                      <w:sz w:val="16"/>
                      <w:szCs w:val="16"/>
                      <w:lang w:eastAsia="en-AU"/>
                    </w:rPr>
                    <w:t>m</w:t>
                  </w:r>
                  <w:r w:rsidRPr="00DA59A4">
                    <w:rPr>
                      <w:rFonts w:ascii="Open Sans Light" w:eastAsia="Times New Roman" w:hAnsi="Open Sans Light" w:cs="Open Sans Light"/>
                      <w:color w:val="000000"/>
                      <w:sz w:val="16"/>
                      <w:szCs w:val="16"/>
                      <w:lang w:eastAsia="en-AU"/>
                    </w:rPr>
                    <w:t>ining production</w:t>
                  </w:r>
                </w:p>
              </w:tc>
              <w:tc>
                <w:tcPr>
                  <w:tcW w:w="700" w:type="dxa"/>
                  <w:tcBorders>
                    <w:top w:val="single" w:sz="4" w:space="0" w:color="ADD6EA"/>
                    <w:left w:val="nil"/>
                    <w:bottom w:val="nil"/>
                    <w:right w:val="nil"/>
                  </w:tcBorders>
                  <w:shd w:val="clear" w:color="000000" w:fill="FFFFFF"/>
                  <w:vAlign w:val="bottom"/>
                  <w:hideMark/>
                </w:tcPr>
                <w:p w14:paraId="475D3A69"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-381</w:t>
                  </w:r>
                </w:p>
              </w:tc>
              <w:tc>
                <w:tcPr>
                  <w:tcW w:w="580" w:type="dxa"/>
                  <w:tcBorders>
                    <w:top w:val="single" w:sz="4" w:space="0" w:color="ADD6EA"/>
                    <w:left w:val="nil"/>
                    <w:bottom w:val="nil"/>
                    <w:right w:val="nil"/>
                  </w:tcBorders>
                  <w:shd w:val="clear" w:color="000000" w:fill="FFFFFF"/>
                  <w:vAlign w:val="bottom"/>
                  <w:hideMark/>
                </w:tcPr>
                <w:p w14:paraId="5E969BEB"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-912</w:t>
                  </w:r>
                </w:p>
              </w:tc>
              <w:tc>
                <w:tcPr>
                  <w:tcW w:w="580" w:type="dxa"/>
                  <w:tcBorders>
                    <w:top w:val="single" w:sz="4" w:space="0" w:color="ADD6EA"/>
                    <w:left w:val="nil"/>
                    <w:bottom w:val="nil"/>
                    <w:right w:val="nil"/>
                  </w:tcBorders>
                  <w:shd w:val="clear" w:color="000000" w:fill="FFFFFF"/>
                  <w:vAlign w:val="bottom"/>
                  <w:hideMark/>
                </w:tcPr>
                <w:p w14:paraId="52E8750A"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284</w:t>
                  </w:r>
                </w:p>
              </w:tc>
              <w:tc>
                <w:tcPr>
                  <w:tcW w:w="580" w:type="dxa"/>
                  <w:tcBorders>
                    <w:top w:val="single" w:sz="4" w:space="0" w:color="ADD6EA"/>
                    <w:left w:val="nil"/>
                    <w:bottom w:val="nil"/>
                    <w:right w:val="nil"/>
                  </w:tcBorders>
                  <w:shd w:val="clear" w:color="000000" w:fill="FFFFFF"/>
                  <w:vAlign w:val="bottom"/>
                  <w:hideMark/>
                </w:tcPr>
                <w:p w14:paraId="3ADEE556"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1,390</w:t>
                  </w:r>
                </w:p>
              </w:tc>
              <w:tc>
                <w:tcPr>
                  <w:tcW w:w="580" w:type="dxa"/>
                  <w:tcBorders>
                    <w:top w:val="single" w:sz="4" w:space="0" w:color="ADD6EA"/>
                    <w:left w:val="nil"/>
                    <w:bottom w:val="nil"/>
                    <w:right w:val="nil"/>
                  </w:tcBorders>
                  <w:shd w:val="clear" w:color="000000" w:fill="FFFFFF"/>
                  <w:vAlign w:val="bottom"/>
                  <w:hideMark/>
                </w:tcPr>
                <w:p w14:paraId="1410F2E1"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-236</w:t>
                  </w:r>
                </w:p>
              </w:tc>
              <w:tc>
                <w:tcPr>
                  <w:tcW w:w="580" w:type="dxa"/>
                  <w:tcBorders>
                    <w:top w:val="single" w:sz="4" w:space="0" w:color="ADD6EA"/>
                    <w:left w:val="nil"/>
                    <w:bottom w:val="nil"/>
                    <w:right w:val="nil"/>
                  </w:tcBorders>
                  <w:shd w:val="clear" w:color="000000" w:fill="FFFFFF"/>
                  <w:vAlign w:val="bottom"/>
                  <w:hideMark/>
                </w:tcPr>
                <w:p w14:paraId="69426506"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-54</w:t>
                  </w:r>
                </w:p>
              </w:tc>
              <w:tc>
                <w:tcPr>
                  <w:tcW w:w="600" w:type="dxa"/>
                  <w:tcBorders>
                    <w:top w:val="single" w:sz="4" w:space="0" w:color="ADD6EA"/>
                    <w:left w:val="nil"/>
                    <w:bottom w:val="nil"/>
                    <w:right w:val="nil"/>
                  </w:tcBorders>
                  <w:shd w:val="clear" w:color="000000" w:fill="FFFFFF"/>
                  <w:vAlign w:val="bottom"/>
                  <w:hideMark/>
                </w:tcPr>
                <w:p w14:paraId="332A755E"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-64</w:t>
                  </w:r>
                </w:p>
              </w:tc>
              <w:tc>
                <w:tcPr>
                  <w:tcW w:w="520" w:type="dxa"/>
                  <w:tcBorders>
                    <w:top w:val="single" w:sz="4" w:space="0" w:color="ADD6EA"/>
                    <w:left w:val="nil"/>
                    <w:bottom w:val="nil"/>
                    <w:right w:val="nil"/>
                  </w:tcBorders>
                  <w:shd w:val="clear" w:color="000000" w:fill="FFFFFF"/>
                  <w:vAlign w:val="bottom"/>
                  <w:hideMark/>
                </w:tcPr>
                <w:p w14:paraId="7EE556F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-27</w:t>
                  </w:r>
                </w:p>
              </w:tc>
              <w:tc>
                <w:tcPr>
                  <w:tcW w:w="700" w:type="dxa"/>
                  <w:tcBorders>
                    <w:top w:val="single" w:sz="4" w:space="0" w:color="ADD6EA"/>
                    <w:left w:val="nil"/>
                    <w:bottom w:val="nil"/>
                    <w:right w:val="nil"/>
                  </w:tcBorders>
                  <w:shd w:val="clear" w:color="000000" w:fill="FFFFFF"/>
                  <w:vAlign w:val="bottom"/>
                  <w:hideMark/>
                </w:tcPr>
                <w:p w14:paraId="3F46F875"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1,674</w:t>
                  </w:r>
                </w:p>
              </w:tc>
            </w:tr>
            <w:tr w:rsidR="00DA59A4" w:rsidRPr="00DA59A4" w14:paraId="53448CCB"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1507420E" w14:textId="77777777"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Changes in circumstances - COVID-19</w:t>
                  </w:r>
                </w:p>
              </w:tc>
              <w:tc>
                <w:tcPr>
                  <w:tcW w:w="700" w:type="dxa"/>
                  <w:tcBorders>
                    <w:top w:val="single" w:sz="4" w:space="0" w:color="ADD6EA"/>
                    <w:left w:val="nil"/>
                    <w:bottom w:val="nil"/>
                    <w:right w:val="nil"/>
                  </w:tcBorders>
                  <w:shd w:val="clear" w:color="000000" w:fill="FFFFFF"/>
                  <w:vAlign w:val="bottom"/>
                  <w:hideMark/>
                </w:tcPr>
                <w:p w14:paraId="527DD519"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-674</w:t>
                  </w:r>
                </w:p>
              </w:tc>
              <w:tc>
                <w:tcPr>
                  <w:tcW w:w="580" w:type="dxa"/>
                  <w:tcBorders>
                    <w:top w:val="single" w:sz="4" w:space="0" w:color="ADD6EA"/>
                    <w:left w:val="nil"/>
                    <w:bottom w:val="nil"/>
                    <w:right w:val="nil"/>
                  </w:tcBorders>
                  <w:shd w:val="clear" w:color="000000" w:fill="FFFFFF"/>
                  <w:vAlign w:val="bottom"/>
                  <w:hideMark/>
                </w:tcPr>
                <w:p w14:paraId="4064FAE5"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-853</w:t>
                  </w:r>
                </w:p>
              </w:tc>
              <w:tc>
                <w:tcPr>
                  <w:tcW w:w="580" w:type="dxa"/>
                  <w:tcBorders>
                    <w:top w:val="single" w:sz="4" w:space="0" w:color="ADD6EA"/>
                    <w:left w:val="nil"/>
                    <w:bottom w:val="nil"/>
                    <w:right w:val="nil"/>
                  </w:tcBorders>
                  <w:shd w:val="clear" w:color="000000" w:fill="FFFFFF"/>
                  <w:vAlign w:val="bottom"/>
                  <w:hideMark/>
                </w:tcPr>
                <w:p w14:paraId="7CFA02B9"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829</w:t>
                  </w:r>
                </w:p>
              </w:tc>
              <w:tc>
                <w:tcPr>
                  <w:tcW w:w="580" w:type="dxa"/>
                  <w:tcBorders>
                    <w:top w:val="single" w:sz="4" w:space="0" w:color="ADD6EA"/>
                    <w:left w:val="nil"/>
                    <w:bottom w:val="nil"/>
                    <w:right w:val="nil"/>
                  </w:tcBorders>
                  <w:shd w:val="clear" w:color="000000" w:fill="FFFFFF"/>
                  <w:vAlign w:val="bottom"/>
                  <w:hideMark/>
                </w:tcPr>
                <w:p w14:paraId="1E4763C0"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365</w:t>
                  </w:r>
                </w:p>
              </w:tc>
              <w:tc>
                <w:tcPr>
                  <w:tcW w:w="580" w:type="dxa"/>
                  <w:tcBorders>
                    <w:top w:val="single" w:sz="4" w:space="0" w:color="ADD6EA"/>
                    <w:left w:val="nil"/>
                    <w:bottom w:val="nil"/>
                    <w:right w:val="nil"/>
                  </w:tcBorders>
                  <w:shd w:val="clear" w:color="000000" w:fill="FFFFFF"/>
                  <w:vAlign w:val="bottom"/>
                  <w:hideMark/>
                </w:tcPr>
                <w:p w14:paraId="33CA8FFF"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267</w:t>
                  </w:r>
                </w:p>
              </w:tc>
              <w:tc>
                <w:tcPr>
                  <w:tcW w:w="580" w:type="dxa"/>
                  <w:tcBorders>
                    <w:top w:val="single" w:sz="4" w:space="0" w:color="ADD6EA"/>
                    <w:left w:val="nil"/>
                    <w:bottom w:val="nil"/>
                    <w:right w:val="nil"/>
                  </w:tcBorders>
                  <w:shd w:val="clear" w:color="000000" w:fill="FFFFFF"/>
                  <w:vAlign w:val="bottom"/>
                  <w:hideMark/>
                </w:tcPr>
                <w:p w14:paraId="7D02FBE8"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60</w:t>
                  </w:r>
                </w:p>
              </w:tc>
              <w:tc>
                <w:tcPr>
                  <w:tcW w:w="600" w:type="dxa"/>
                  <w:tcBorders>
                    <w:top w:val="single" w:sz="4" w:space="0" w:color="ADD6EA"/>
                    <w:left w:val="nil"/>
                    <w:bottom w:val="nil"/>
                    <w:right w:val="nil"/>
                  </w:tcBorders>
                  <w:shd w:val="clear" w:color="000000" w:fill="FFFFFF"/>
                  <w:vAlign w:val="bottom"/>
                  <w:hideMark/>
                </w:tcPr>
                <w:p w14:paraId="7686DE0D"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-11</w:t>
                  </w:r>
                </w:p>
              </w:tc>
              <w:tc>
                <w:tcPr>
                  <w:tcW w:w="520" w:type="dxa"/>
                  <w:tcBorders>
                    <w:top w:val="single" w:sz="4" w:space="0" w:color="ADD6EA"/>
                    <w:left w:val="nil"/>
                    <w:bottom w:val="nil"/>
                    <w:right w:val="nil"/>
                  </w:tcBorders>
                  <w:shd w:val="clear" w:color="000000" w:fill="FFFFFF"/>
                  <w:vAlign w:val="bottom"/>
                  <w:hideMark/>
                </w:tcPr>
                <w:p w14:paraId="2F0192C8"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17</w:t>
                  </w:r>
                </w:p>
              </w:tc>
              <w:tc>
                <w:tcPr>
                  <w:tcW w:w="700" w:type="dxa"/>
                  <w:tcBorders>
                    <w:top w:val="single" w:sz="4" w:space="0" w:color="ADD6EA"/>
                    <w:left w:val="nil"/>
                    <w:bottom w:val="nil"/>
                    <w:right w:val="nil"/>
                  </w:tcBorders>
                  <w:shd w:val="clear" w:color="000000" w:fill="FFFFFF"/>
                  <w:vAlign w:val="bottom"/>
                  <w:hideMark/>
                </w:tcPr>
                <w:p w14:paraId="6A68D872"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1,538</w:t>
                  </w:r>
                </w:p>
              </w:tc>
            </w:tr>
            <w:tr w:rsidR="00DA59A4" w:rsidRPr="00DA59A4" w14:paraId="1705230D"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07DA197F" w14:textId="52F10330"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 xml:space="preserve">Changes in circumstances - </w:t>
                  </w:r>
                  <w:r w:rsidR="00BD54DB">
                    <w:rPr>
                      <w:rFonts w:ascii="Open Sans Light" w:eastAsia="Times New Roman" w:hAnsi="Open Sans Light" w:cs="Open Sans Light"/>
                      <w:color w:val="000000"/>
                      <w:sz w:val="16"/>
                      <w:szCs w:val="16"/>
                      <w:lang w:eastAsia="en-AU"/>
                    </w:rPr>
                    <w:t>p</w:t>
                  </w:r>
                  <w:r w:rsidRPr="00DA59A4">
                    <w:rPr>
                      <w:rFonts w:ascii="Open Sans Light" w:eastAsia="Times New Roman" w:hAnsi="Open Sans Light" w:cs="Open Sans Light"/>
                      <w:color w:val="000000"/>
                      <w:sz w:val="16"/>
                      <w:szCs w:val="16"/>
                      <w:lang w:eastAsia="en-AU"/>
                    </w:rPr>
                    <w:t>roperty sales</w:t>
                  </w:r>
                </w:p>
              </w:tc>
              <w:tc>
                <w:tcPr>
                  <w:tcW w:w="700" w:type="dxa"/>
                  <w:tcBorders>
                    <w:top w:val="single" w:sz="4" w:space="0" w:color="ADD6EA"/>
                    <w:left w:val="nil"/>
                    <w:bottom w:val="nil"/>
                    <w:right w:val="nil"/>
                  </w:tcBorders>
                  <w:shd w:val="clear" w:color="000000" w:fill="FFFFFF"/>
                  <w:vAlign w:val="bottom"/>
                  <w:hideMark/>
                </w:tcPr>
                <w:p w14:paraId="5510D721"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666</w:t>
                  </w:r>
                </w:p>
              </w:tc>
              <w:tc>
                <w:tcPr>
                  <w:tcW w:w="580" w:type="dxa"/>
                  <w:tcBorders>
                    <w:top w:val="single" w:sz="4" w:space="0" w:color="ADD6EA"/>
                    <w:left w:val="nil"/>
                    <w:bottom w:val="nil"/>
                    <w:right w:val="nil"/>
                  </w:tcBorders>
                  <w:shd w:val="clear" w:color="000000" w:fill="FFFFFF"/>
                  <w:vAlign w:val="bottom"/>
                  <w:hideMark/>
                </w:tcPr>
                <w:p w14:paraId="0219FD76"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429</w:t>
                  </w:r>
                </w:p>
              </w:tc>
              <w:tc>
                <w:tcPr>
                  <w:tcW w:w="580" w:type="dxa"/>
                  <w:tcBorders>
                    <w:top w:val="single" w:sz="4" w:space="0" w:color="ADD6EA"/>
                    <w:left w:val="nil"/>
                    <w:bottom w:val="nil"/>
                    <w:right w:val="nil"/>
                  </w:tcBorders>
                  <w:shd w:val="clear" w:color="000000" w:fill="FFFFFF"/>
                  <w:vAlign w:val="bottom"/>
                  <w:hideMark/>
                </w:tcPr>
                <w:p w14:paraId="3A1D3DA2"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-379</w:t>
                  </w:r>
                </w:p>
              </w:tc>
              <w:tc>
                <w:tcPr>
                  <w:tcW w:w="580" w:type="dxa"/>
                  <w:tcBorders>
                    <w:top w:val="single" w:sz="4" w:space="0" w:color="ADD6EA"/>
                    <w:left w:val="nil"/>
                    <w:bottom w:val="nil"/>
                    <w:right w:val="nil"/>
                  </w:tcBorders>
                  <w:shd w:val="clear" w:color="000000" w:fill="FFFFFF"/>
                  <w:vAlign w:val="bottom"/>
                  <w:hideMark/>
                </w:tcPr>
                <w:p w14:paraId="0ED23850"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-538</w:t>
                  </w:r>
                </w:p>
              </w:tc>
              <w:tc>
                <w:tcPr>
                  <w:tcW w:w="580" w:type="dxa"/>
                  <w:tcBorders>
                    <w:top w:val="single" w:sz="4" w:space="0" w:color="ADD6EA"/>
                    <w:left w:val="nil"/>
                    <w:bottom w:val="nil"/>
                    <w:right w:val="nil"/>
                  </w:tcBorders>
                  <w:shd w:val="clear" w:color="000000" w:fill="FFFFFF"/>
                  <w:vAlign w:val="bottom"/>
                  <w:hideMark/>
                </w:tcPr>
                <w:p w14:paraId="31C711FB"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-192</w:t>
                  </w:r>
                </w:p>
              </w:tc>
              <w:tc>
                <w:tcPr>
                  <w:tcW w:w="580" w:type="dxa"/>
                  <w:tcBorders>
                    <w:top w:val="single" w:sz="4" w:space="0" w:color="ADD6EA"/>
                    <w:left w:val="nil"/>
                    <w:bottom w:val="nil"/>
                    <w:right w:val="nil"/>
                  </w:tcBorders>
                  <w:shd w:val="clear" w:color="000000" w:fill="FFFFFF"/>
                  <w:vAlign w:val="bottom"/>
                  <w:hideMark/>
                </w:tcPr>
                <w:p w14:paraId="3D099783"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-33</w:t>
                  </w:r>
                </w:p>
              </w:tc>
              <w:tc>
                <w:tcPr>
                  <w:tcW w:w="600" w:type="dxa"/>
                  <w:tcBorders>
                    <w:top w:val="single" w:sz="4" w:space="0" w:color="ADD6EA"/>
                    <w:left w:val="nil"/>
                    <w:bottom w:val="nil"/>
                    <w:right w:val="nil"/>
                  </w:tcBorders>
                  <w:shd w:val="clear" w:color="000000" w:fill="FFFFFF"/>
                  <w:vAlign w:val="bottom"/>
                  <w:hideMark/>
                </w:tcPr>
                <w:p w14:paraId="34064173"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46</w:t>
                  </w:r>
                </w:p>
              </w:tc>
              <w:tc>
                <w:tcPr>
                  <w:tcW w:w="520" w:type="dxa"/>
                  <w:tcBorders>
                    <w:top w:val="single" w:sz="4" w:space="0" w:color="ADD6EA"/>
                    <w:left w:val="nil"/>
                    <w:bottom w:val="nil"/>
                    <w:right w:val="nil"/>
                  </w:tcBorders>
                  <w:shd w:val="clear" w:color="000000" w:fill="FFFFFF"/>
                  <w:vAlign w:val="bottom"/>
                  <w:hideMark/>
                </w:tcPr>
                <w:p w14:paraId="6F09AFD7"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w:t>
                  </w:r>
                </w:p>
              </w:tc>
              <w:tc>
                <w:tcPr>
                  <w:tcW w:w="700" w:type="dxa"/>
                  <w:tcBorders>
                    <w:top w:val="single" w:sz="4" w:space="0" w:color="ADD6EA"/>
                    <w:left w:val="nil"/>
                    <w:bottom w:val="nil"/>
                    <w:right w:val="nil"/>
                  </w:tcBorders>
                  <w:shd w:val="clear" w:color="000000" w:fill="FFFFFF"/>
                  <w:vAlign w:val="bottom"/>
                  <w:hideMark/>
                </w:tcPr>
                <w:p w14:paraId="61ABCDDB"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1,143</w:t>
                  </w:r>
                </w:p>
              </w:tc>
            </w:tr>
            <w:tr w:rsidR="00DA59A4" w:rsidRPr="00DA59A4" w14:paraId="549EE7C0"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3B1E710E" w14:textId="380EDCF9"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 xml:space="preserve">Data revisions - </w:t>
                  </w:r>
                  <w:r w:rsidR="00BD54DB">
                    <w:rPr>
                      <w:rFonts w:ascii="Open Sans Light" w:eastAsia="Times New Roman" w:hAnsi="Open Sans Light" w:cs="Open Sans Light"/>
                      <w:color w:val="000000"/>
                      <w:sz w:val="16"/>
                      <w:szCs w:val="16"/>
                      <w:lang w:eastAsia="en-AU"/>
                    </w:rPr>
                    <w:t>n</w:t>
                  </w:r>
                  <w:r w:rsidRPr="00DA59A4">
                    <w:rPr>
                      <w:rFonts w:ascii="Open Sans Light" w:eastAsia="Times New Roman" w:hAnsi="Open Sans Light" w:cs="Open Sans Light"/>
                      <w:color w:val="000000"/>
                      <w:sz w:val="16"/>
                      <w:szCs w:val="16"/>
                      <w:lang w:eastAsia="en-AU"/>
                    </w:rPr>
                    <w:t>atural disaster relief</w:t>
                  </w:r>
                </w:p>
              </w:tc>
              <w:tc>
                <w:tcPr>
                  <w:tcW w:w="700" w:type="dxa"/>
                  <w:tcBorders>
                    <w:top w:val="single" w:sz="4" w:space="0" w:color="ADD6EA"/>
                    <w:left w:val="nil"/>
                    <w:bottom w:val="nil"/>
                    <w:right w:val="nil"/>
                  </w:tcBorders>
                  <w:shd w:val="clear" w:color="000000" w:fill="FFFFFF"/>
                  <w:vAlign w:val="bottom"/>
                  <w:hideMark/>
                </w:tcPr>
                <w:p w14:paraId="19E3FCEE"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-770</w:t>
                  </w:r>
                </w:p>
              </w:tc>
              <w:tc>
                <w:tcPr>
                  <w:tcW w:w="580" w:type="dxa"/>
                  <w:tcBorders>
                    <w:top w:val="single" w:sz="4" w:space="0" w:color="ADD6EA"/>
                    <w:left w:val="nil"/>
                    <w:bottom w:val="nil"/>
                    <w:right w:val="nil"/>
                  </w:tcBorders>
                  <w:shd w:val="clear" w:color="000000" w:fill="FFFFFF"/>
                  <w:vAlign w:val="bottom"/>
                  <w:hideMark/>
                </w:tcPr>
                <w:p w14:paraId="5A6AFDF1"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558</w:t>
                  </w:r>
                </w:p>
              </w:tc>
              <w:tc>
                <w:tcPr>
                  <w:tcW w:w="580" w:type="dxa"/>
                  <w:tcBorders>
                    <w:top w:val="single" w:sz="4" w:space="0" w:color="ADD6EA"/>
                    <w:left w:val="nil"/>
                    <w:bottom w:val="nil"/>
                    <w:right w:val="nil"/>
                  </w:tcBorders>
                  <w:shd w:val="clear" w:color="000000" w:fill="FFFFFF"/>
                  <w:vAlign w:val="bottom"/>
                  <w:hideMark/>
                </w:tcPr>
                <w:p w14:paraId="559CEB54"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279</w:t>
                  </w:r>
                </w:p>
              </w:tc>
              <w:tc>
                <w:tcPr>
                  <w:tcW w:w="580" w:type="dxa"/>
                  <w:tcBorders>
                    <w:top w:val="single" w:sz="4" w:space="0" w:color="ADD6EA"/>
                    <w:left w:val="nil"/>
                    <w:bottom w:val="nil"/>
                    <w:right w:val="nil"/>
                  </w:tcBorders>
                  <w:shd w:val="clear" w:color="000000" w:fill="FFFFFF"/>
                  <w:vAlign w:val="bottom"/>
                  <w:hideMark/>
                </w:tcPr>
                <w:p w14:paraId="7FFCDB1D"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-171</w:t>
                  </w:r>
                </w:p>
              </w:tc>
              <w:tc>
                <w:tcPr>
                  <w:tcW w:w="580" w:type="dxa"/>
                  <w:tcBorders>
                    <w:top w:val="single" w:sz="4" w:space="0" w:color="ADD6EA"/>
                    <w:left w:val="nil"/>
                    <w:bottom w:val="nil"/>
                    <w:right w:val="nil"/>
                  </w:tcBorders>
                  <w:shd w:val="clear" w:color="000000" w:fill="FFFFFF"/>
                  <w:vAlign w:val="bottom"/>
                  <w:hideMark/>
                </w:tcPr>
                <w:p w14:paraId="226EF36E"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31</w:t>
                  </w:r>
                </w:p>
              </w:tc>
              <w:tc>
                <w:tcPr>
                  <w:tcW w:w="580" w:type="dxa"/>
                  <w:tcBorders>
                    <w:top w:val="single" w:sz="4" w:space="0" w:color="ADD6EA"/>
                    <w:left w:val="nil"/>
                    <w:bottom w:val="nil"/>
                    <w:right w:val="nil"/>
                  </w:tcBorders>
                  <w:shd w:val="clear" w:color="000000" w:fill="FFFFFF"/>
                  <w:vAlign w:val="bottom"/>
                  <w:hideMark/>
                </w:tcPr>
                <w:p w14:paraId="157D7B3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32</w:t>
                  </w:r>
                </w:p>
              </w:tc>
              <w:tc>
                <w:tcPr>
                  <w:tcW w:w="600" w:type="dxa"/>
                  <w:tcBorders>
                    <w:top w:val="single" w:sz="4" w:space="0" w:color="ADD6EA"/>
                    <w:left w:val="nil"/>
                    <w:bottom w:val="nil"/>
                    <w:right w:val="nil"/>
                  </w:tcBorders>
                  <w:shd w:val="clear" w:color="000000" w:fill="FFFFFF"/>
                  <w:vAlign w:val="bottom"/>
                  <w:hideMark/>
                </w:tcPr>
                <w:p w14:paraId="09ED7016"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28</w:t>
                  </w:r>
                </w:p>
              </w:tc>
              <w:tc>
                <w:tcPr>
                  <w:tcW w:w="520" w:type="dxa"/>
                  <w:tcBorders>
                    <w:top w:val="single" w:sz="4" w:space="0" w:color="ADD6EA"/>
                    <w:left w:val="nil"/>
                    <w:bottom w:val="nil"/>
                    <w:right w:val="nil"/>
                  </w:tcBorders>
                  <w:shd w:val="clear" w:color="000000" w:fill="FFFFFF"/>
                  <w:vAlign w:val="bottom"/>
                  <w:hideMark/>
                </w:tcPr>
                <w:p w14:paraId="74F1B3D0"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14</w:t>
                  </w:r>
                </w:p>
              </w:tc>
              <w:tc>
                <w:tcPr>
                  <w:tcW w:w="700" w:type="dxa"/>
                  <w:tcBorders>
                    <w:top w:val="single" w:sz="4" w:space="0" w:color="ADD6EA"/>
                    <w:left w:val="nil"/>
                    <w:bottom w:val="nil"/>
                    <w:right w:val="nil"/>
                  </w:tcBorders>
                  <w:shd w:val="clear" w:color="000000" w:fill="FFFFFF"/>
                  <w:vAlign w:val="bottom"/>
                  <w:hideMark/>
                </w:tcPr>
                <w:p w14:paraId="778C18C3"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942</w:t>
                  </w:r>
                </w:p>
              </w:tc>
            </w:tr>
            <w:tr w:rsidR="00DA59A4" w:rsidRPr="00DA59A4" w14:paraId="6F8A6C12"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6F2D94C7" w14:textId="77777777"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Other revisions</w:t>
                  </w:r>
                </w:p>
              </w:tc>
              <w:tc>
                <w:tcPr>
                  <w:tcW w:w="700" w:type="dxa"/>
                  <w:tcBorders>
                    <w:top w:val="single" w:sz="4" w:space="0" w:color="ADD6EA"/>
                    <w:left w:val="nil"/>
                    <w:bottom w:val="nil"/>
                    <w:right w:val="nil"/>
                  </w:tcBorders>
                  <w:shd w:val="clear" w:color="000000" w:fill="FFFFFF"/>
                  <w:vAlign w:val="bottom"/>
                  <w:hideMark/>
                </w:tcPr>
                <w:p w14:paraId="42B182F0"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279</w:t>
                  </w:r>
                </w:p>
              </w:tc>
              <w:tc>
                <w:tcPr>
                  <w:tcW w:w="580" w:type="dxa"/>
                  <w:tcBorders>
                    <w:top w:val="single" w:sz="4" w:space="0" w:color="ADD6EA"/>
                    <w:left w:val="nil"/>
                    <w:bottom w:val="nil"/>
                    <w:right w:val="nil"/>
                  </w:tcBorders>
                  <w:shd w:val="clear" w:color="000000" w:fill="FFFFFF"/>
                  <w:vAlign w:val="bottom"/>
                  <w:hideMark/>
                </w:tcPr>
                <w:p w14:paraId="2EF919B7"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87</w:t>
                  </w:r>
                </w:p>
              </w:tc>
              <w:tc>
                <w:tcPr>
                  <w:tcW w:w="580" w:type="dxa"/>
                  <w:tcBorders>
                    <w:top w:val="single" w:sz="4" w:space="0" w:color="ADD6EA"/>
                    <w:left w:val="nil"/>
                    <w:bottom w:val="nil"/>
                    <w:right w:val="nil"/>
                  </w:tcBorders>
                  <w:shd w:val="clear" w:color="000000" w:fill="FFFFFF"/>
                  <w:vAlign w:val="bottom"/>
                  <w:hideMark/>
                </w:tcPr>
                <w:p w14:paraId="255C43DE"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-221</w:t>
                  </w:r>
                </w:p>
              </w:tc>
              <w:tc>
                <w:tcPr>
                  <w:tcW w:w="580" w:type="dxa"/>
                  <w:tcBorders>
                    <w:top w:val="single" w:sz="4" w:space="0" w:color="ADD6EA"/>
                    <w:left w:val="nil"/>
                    <w:bottom w:val="nil"/>
                    <w:right w:val="nil"/>
                  </w:tcBorders>
                  <w:shd w:val="clear" w:color="000000" w:fill="FFFFFF"/>
                  <w:vAlign w:val="bottom"/>
                  <w:hideMark/>
                </w:tcPr>
                <w:p w14:paraId="5FA472F0"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30</w:t>
                  </w:r>
                </w:p>
              </w:tc>
              <w:tc>
                <w:tcPr>
                  <w:tcW w:w="580" w:type="dxa"/>
                  <w:tcBorders>
                    <w:top w:val="single" w:sz="4" w:space="0" w:color="ADD6EA"/>
                    <w:left w:val="nil"/>
                    <w:bottom w:val="nil"/>
                    <w:right w:val="nil"/>
                  </w:tcBorders>
                  <w:shd w:val="clear" w:color="000000" w:fill="FFFFFF"/>
                  <w:vAlign w:val="bottom"/>
                  <w:hideMark/>
                </w:tcPr>
                <w:p w14:paraId="42DA527B"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-56</w:t>
                  </w:r>
                </w:p>
              </w:tc>
              <w:tc>
                <w:tcPr>
                  <w:tcW w:w="580" w:type="dxa"/>
                  <w:tcBorders>
                    <w:top w:val="single" w:sz="4" w:space="0" w:color="ADD6EA"/>
                    <w:left w:val="nil"/>
                    <w:bottom w:val="nil"/>
                    <w:right w:val="nil"/>
                  </w:tcBorders>
                  <w:shd w:val="clear" w:color="000000" w:fill="FFFFFF"/>
                  <w:vAlign w:val="bottom"/>
                  <w:hideMark/>
                </w:tcPr>
                <w:p w14:paraId="4C9B04B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-144</w:t>
                  </w:r>
                </w:p>
              </w:tc>
              <w:tc>
                <w:tcPr>
                  <w:tcW w:w="600" w:type="dxa"/>
                  <w:tcBorders>
                    <w:top w:val="single" w:sz="4" w:space="0" w:color="ADD6EA"/>
                    <w:left w:val="nil"/>
                    <w:bottom w:val="nil"/>
                    <w:right w:val="nil"/>
                  </w:tcBorders>
                  <w:shd w:val="clear" w:color="000000" w:fill="FFFFFF"/>
                  <w:vAlign w:val="bottom"/>
                  <w:hideMark/>
                </w:tcPr>
                <w:p w14:paraId="72118825"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23</w:t>
                  </w:r>
                </w:p>
              </w:tc>
              <w:tc>
                <w:tcPr>
                  <w:tcW w:w="520" w:type="dxa"/>
                  <w:tcBorders>
                    <w:top w:val="single" w:sz="4" w:space="0" w:color="ADD6EA"/>
                    <w:left w:val="nil"/>
                    <w:bottom w:val="nil"/>
                    <w:right w:val="nil"/>
                  </w:tcBorders>
                  <w:shd w:val="clear" w:color="000000" w:fill="FFFFFF"/>
                  <w:vAlign w:val="bottom"/>
                  <w:hideMark/>
                </w:tcPr>
                <w:p w14:paraId="25A0EA34"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w:t>
                  </w:r>
                </w:p>
              </w:tc>
              <w:tc>
                <w:tcPr>
                  <w:tcW w:w="700" w:type="dxa"/>
                  <w:tcBorders>
                    <w:top w:val="single" w:sz="4" w:space="0" w:color="ADD6EA"/>
                    <w:left w:val="nil"/>
                    <w:bottom w:val="nil"/>
                    <w:right w:val="nil"/>
                  </w:tcBorders>
                  <w:shd w:val="clear" w:color="000000" w:fill="FFFFFF"/>
                  <w:vAlign w:val="bottom"/>
                  <w:hideMark/>
                </w:tcPr>
                <w:p w14:paraId="2945A2F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421</w:t>
                  </w:r>
                </w:p>
              </w:tc>
            </w:tr>
            <w:tr w:rsidR="00DA59A4" w:rsidRPr="00DA59A4" w14:paraId="0FE5533B"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2C60D62B" w14:textId="77777777"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Other changes in circumstances</w:t>
                  </w:r>
                </w:p>
              </w:tc>
              <w:tc>
                <w:tcPr>
                  <w:tcW w:w="700" w:type="dxa"/>
                  <w:tcBorders>
                    <w:top w:val="single" w:sz="4" w:space="0" w:color="ADD6EA"/>
                    <w:left w:val="nil"/>
                    <w:bottom w:val="nil"/>
                    <w:right w:val="nil"/>
                  </w:tcBorders>
                  <w:shd w:val="clear" w:color="000000" w:fill="FFFFFF"/>
                  <w:vAlign w:val="bottom"/>
                  <w:hideMark/>
                </w:tcPr>
                <w:p w14:paraId="1A04EB31"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-795</w:t>
                  </w:r>
                </w:p>
              </w:tc>
              <w:tc>
                <w:tcPr>
                  <w:tcW w:w="580" w:type="dxa"/>
                  <w:tcBorders>
                    <w:top w:val="single" w:sz="4" w:space="0" w:color="ADD6EA"/>
                    <w:left w:val="nil"/>
                    <w:bottom w:val="nil"/>
                    <w:right w:val="nil"/>
                  </w:tcBorders>
                  <w:shd w:val="clear" w:color="000000" w:fill="FFFFFF"/>
                  <w:vAlign w:val="bottom"/>
                  <w:hideMark/>
                </w:tcPr>
                <w:p w14:paraId="49BF79C9"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451</w:t>
                  </w:r>
                </w:p>
              </w:tc>
              <w:tc>
                <w:tcPr>
                  <w:tcW w:w="580" w:type="dxa"/>
                  <w:tcBorders>
                    <w:top w:val="single" w:sz="4" w:space="0" w:color="ADD6EA"/>
                    <w:left w:val="nil"/>
                    <w:bottom w:val="nil"/>
                    <w:right w:val="nil"/>
                  </w:tcBorders>
                  <w:shd w:val="clear" w:color="000000" w:fill="FFFFFF"/>
                  <w:vAlign w:val="bottom"/>
                  <w:hideMark/>
                </w:tcPr>
                <w:p w14:paraId="51AFFCB2"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463</w:t>
                  </w:r>
                </w:p>
              </w:tc>
              <w:tc>
                <w:tcPr>
                  <w:tcW w:w="580" w:type="dxa"/>
                  <w:tcBorders>
                    <w:top w:val="single" w:sz="4" w:space="0" w:color="ADD6EA"/>
                    <w:left w:val="nil"/>
                    <w:bottom w:val="nil"/>
                    <w:right w:val="nil"/>
                  </w:tcBorders>
                  <w:shd w:val="clear" w:color="000000" w:fill="FFFFFF"/>
                  <w:vAlign w:val="bottom"/>
                  <w:hideMark/>
                </w:tcPr>
                <w:p w14:paraId="677E08F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-294</w:t>
                  </w:r>
                </w:p>
              </w:tc>
              <w:tc>
                <w:tcPr>
                  <w:tcW w:w="580" w:type="dxa"/>
                  <w:tcBorders>
                    <w:top w:val="single" w:sz="4" w:space="0" w:color="ADD6EA"/>
                    <w:left w:val="nil"/>
                    <w:bottom w:val="nil"/>
                    <w:right w:val="nil"/>
                  </w:tcBorders>
                  <w:shd w:val="clear" w:color="000000" w:fill="FFFFFF"/>
                  <w:vAlign w:val="bottom"/>
                  <w:hideMark/>
                </w:tcPr>
                <w:p w14:paraId="692BA0F5"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-25</w:t>
                  </w:r>
                </w:p>
              </w:tc>
              <w:tc>
                <w:tcPr>
                  <w:tcW w:w="580" w:type="dxa"/>
                  <w:tcBorders>
                    <w:top w:val="single" w:sz="4" w:space="0" w:color="ADD6EA"/>
                    <w:left w:val="nil"/>
                    <w:bottom w:val="nil"/>
                    <w:right w:val="nil"/>
                  </w:tcBorders>
                  <w:shd w:val="clear" w:color="000000" w:fill="FFFFFF"/>
                  <w:vAlign w:val="bottom"/>
                  <w:hideMark/>
                </w:tcPr>
                <w:p w14:paraId="49CAC90B"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151</w:t>
                  </w:r>
                </w:p>
              </w:tc>
              <w:tc>
                <w:tcPr>
                  <w:tcW w:w="600" w:type="dxa"/>
                  <w:tcBorders>
                    <w:top w:val="single" w:sz="4" w:space="0" w:color="ADD6EA"/>
                    <w:left w:val="nil"/>
                    <w:bottom w:val="nil"/>
                    <w:right w:val="nil"/>
                  </w:tcBorders>
                  <w:shd w:val="clear" w:color="000000" w:fill="FFFFFF"/>
                  <w:vAlign w:val="bottom"/>
                  <w:hideMark/>
                </w:tcPr>
                <w:p w14:paraId="038F965F"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-38</w:t>
                  </w:r>
                </w:p>
              </w:tc>
              <w:tc>
                <w:tcPr>
                  <w:tcW w:w="520" w:type="dxa"/>
                  <w:tcBorders>
                    <w:top w:val="single" w:sz="4" w:space="0" w:color="ADD6EA"/>
                    <w:left w:val="nil"/>
                    <w:bottom w:val="nil"/>
                    <w:right w:val="nil"/>
                  </w:tcBorders>
                  <w:shd w:val="clear" w:color="000000" w:fill="FFFFFF"/>
                  <w:vAlign w:val="bottom"/>
                  <w:hideMark/>
                </w:tcPr>
                <w:p w14:paraId="36887927"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89</w:t>
                  </w:r>
                </w:p>
              </w:tc>
              <w:tc>
                <w:tcPr>
                  <w:tcW w:w="700" w:type="dxa"/>
                  <w:tcBorders>
                    <w:top w:val="single" w:sz="4" w:space="0" w:color="ADD6EA"/>
                    <w:left w:val="nil"/>
                    <w:bottom w:val="nil"/>
                    <w:right w:val="nil"/>
                  </w:tcBorders>
                  <w:shd w:val="clear" w:color="000000" w:fill="FFFFFF"/>
                  <w:vAlign w:val="bottom"/>
                  <w:hideMark/>
                </w:tcPr>
                <w:p w14:paraId="2C9CA150"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1,153</w:t>
                  </w:r>
                </w:p>
              </w:tc>
            </w:tr>
            <w:tr w:rsidR="00DA59A4" w:rsidRPr="00DA59A4" w14:paraId="186F8CE2"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6BB6B7C0" w14:textId="77777777"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Method changes</w:t>
                  </w:r>
                </w:p>
              </w:tc>
              <w:tc>
                <w:tcPr>
                  <w:tcW w:w="700" w:type="dxa"/>
                  <w:tcBorders>
                    <w:top w:val="single" w:sz="4" w:space="0" w:color="ADD6EA"/>
                    <w:left w:val="nil"/>
                    <w:bottom w:val="nil"/>
                    <w:right w:val="nil"/>
                  </w:tcBorders>
                  <w:shd w:val="clear" w:color="000000" w:fill="FFFFFF"/>
                  <w:vAlign w:val="bottom"/>
                  <w:hideMark/>
                </w:tcPr>
                <w:p w14:paraId="5BB43F3A"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145</w:t>
                  </w:r>
                </w:p>
              </w:tc>
              <w:tc>
                <w:tcPr>
                  <w:tcW w:w="580" w:type="dxa"/>
                  <w:tcBorders>
                    <w:top w:val="single" w:sz="4" w:space="0" w:color="ADD6EA"/>
                    <w:left w:val="nil"/>
                    <w:bottom w:val="nil"/>
                    <w:right w:val="nil"/>
                  </w:tcBorders>
                  <w:shd w:val="clear" w:color="000000" w:fill="FFFFFF"/>
                  <w:vAlign w:val="bottom"/>
                  <w:hideMark/>
                </w:tcPr>
                <w:p w14:paraId="2CEA854A"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-197</w:t>
                  </w:r>
                </w:p>
              </w:tc>
              <w:tc>
                <w:tcPr>
                  <w:tcW w:w="580" w:type="dxa"/>
                  <w:tcBorders>
                    <w:top w:val="single" w:sz="4" w:space="0" w:color="ADD6EA"/>
                    <w:left w:val="nil"/>
                    <w:bottom w:val="nil"/>
                    <w:right w:val="nil"/>
                  </w:tcBorders>
                  <w:shd w:val="clear" w:color="000000" w:fill="FFFFFF"/>
                  <w:vAlign w:val="bottom"/>
                  <w:hideMark/>
                </w:tcPr>
                <w:p w14:paraId="3C082CF8"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113</w:t>
                  </w:r>
                </w:p>
              </w:tc>
              <w:tc>
                <w:tcPr>
                  <w:tcW w:w="580" w:type="dxa"/>
                  <w:tcBorders>
                    <w:top w:val="single" w:sz="4" w:space="0" w:color="ADD6EA"/>
                    <w:left w:val="nil"/>
                    <w:bottom w:val="nil"/>
                    <w:right w:val="nil"/>
                  </w:tcBorders>
                  <w:shd w:val="clear" w:color="000000" w:fill="FFFFFF"/>
                  <w:vAlign w:val="bottom"/>
                  <w:hideMark/>
                </w:tcPr>
                <w:p w14:paraId="20B1EBB4"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-63</w:t>
                  </w:r>
                </w:p>
              </w:tc>
              <w:tc>
                <w:tcPr>
                  <w:tcW w:w="580" w:type="dxa"/>
                  <w:tcBorders>
                    <w:top w:val="single" w:sz="4" w:space="0" w:color="ADD6EA"/>
                    <w:left w:val="nil"/>
                    <w:bottom w:val="nil"/>
                    <w:right w:val="nil"/>
                  </w:tcBorders>
                  <w:shd w:val="clear" w:color="000000" w:fill="FFFFFF"/>
                  <w:vAlign w:val="bottom"/>
                  <w:hideMark/>
                </w:tcPr>
                <w:p w14:paraId="64AC286A"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-40</w:t>
                  </w:r>
                </w:p>
              </w:tc>
              <w:tc>
                <w:tcPr>
                  <w:tcW w:w="580" w:type="dxa"/>
                  <w:tcBorders>
                    <w:top w:val="single" w:sz="4" w:space="0" w:color="ADD6EA"/>
                    <w:left w:val="nil"/>
                    <w:bottom w:val="nil"/>
                    <w:right w:val="nil"/>
                  </w:tcBorders>
                  <w:shd w:val="clear" w:color="000000" w:fill="FFFFFF"/>
                  <w:vAlign w:val="bottom"/>
                  <w:hideMark/>
                </w:tcPr>
                <w:p w14:paraId="3B97440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66</w:t>
                  </w:r>
                </w:p>
              </w:tc>
              <w:tc>
                <w:tcPr>
                  <w:tcW w:w="600" w:type="dxa"/>
                  <w:tcBorders>
                    <w:top w:val="single" w:sz="4" w:space="0" w:color="ADD6EA"/>
                    <w:left w:val="nil"/>
                    <w:bottom w:val="nil"/>
                    <w:right w:val="nil"/>
                  </w:tcBorders>
                  <w:shd w:val="clear" w:color="000000" w:fill="FFFFFF"/>
                  <w:vAlign w:val="bottom"/>
                  <w:hideMark/>
                </w:tcPr>
                <w:p w14:paraId="351A5C86"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-15</w:t>
                  </w:r>
                </w:p>
              </w:tc>
              <w:tc>
                <w:tcPr>
                  <w:tcW w:w="520" w:type="dxa"/>
                  <w:tcBorders>
                    <w:top w:val="single" w:sz="4" w:space="0" w:color="ADD6EA"/>
                    <w:left w:val="nil"/>
                    <w:bottom w:val="nil"/>
                    <w:right w:val="nil"/>
                  </w:tcBorders>
                  <w:shd w:val="clear" w:color="000000" w:fill="FFFFFF"/>
                  <w:vAlign w:val="bottom"/>
                  <w:hideMark/>
                </w:tcPr>
                <w:p w14:paraId="4F5C4431"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-7</w:t>
                  </w:r>
                </w:p>
              </w:tc>
              <w:tc>
                <w:tcPr>
                  <w:tcW w:w="700" w:type="dxa"/>
                  <w:tcBorders>
                    <w:top w:val="single" w:sz="4" w:space="0" w:color="ADD6EA"/>
                    <w:left w:val="nil"/>
                    <w:bottom w:val="nil"/>
                    <w:right w:val="nil"/>
                  </w:tcBorders>
                  <w:shd w:val="clear" w:color="000000" w:fill="FFFFFF"/>
                  <w:vAlign w:val="bottom"/>
                  <w:hideMark/>
                </w:tcPr>
                <w:p w14:paraId="21B0D888"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323</w:t>
                  </w:r>
                </w:p>
              </w:tc>
            </w:tr>
            <w:tr w:rsidR="00DA59A4" w:rsidRPr="00DA59A4" w14:paraId="5764D603" w14:textId="77777777" w:rsidTr="00DA59A4">
              <w:trPr>
                <w:trHeight w:val="315"/>
              </w:trPr>
              <w:tc>
                <w:tcPr>
                  <w:tcW w:w="3500" w:type="dxa"/>
                  <w:tcBorders>
                    <w:top w:val="single" w:sz="4" w:space="0" w:color="ADD6EA"/>
                    <w:left w:val="nil"/>
                    <w:bottom w:val="single" w:sz="4" w:space="0" w:color="ADD6EA"/>
                    <w:right w:val="nil"/>
                  </w:tcBorders>
                  <w:shd w:val="clear" w:color="000000" w:fill="D6E7F0"/>
                  <w:vAlign w:val="bottom"/>
                  <w:hideMark/>
                </w:tcPr>
                <w:p w14:paraId="0A7C8BC7" w14:textId="77777777" w:rsidR="00DA59A4" w:rsidRPr="00DA59A4" w:rsidRDefault="00DA59A4" w:rsidP="00DA59A4">
                  <w:pPr>
                    <w:tabs>
                      <w:tab w:val="clear" w:pos="567"/>
                    </w:tabs>
                    <w:spacing w:before="0" w:line="240" w:lineRule="auto"/>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Total change in fiscal capacities</w:t>
                  </w:r>
                </w:p>
              </w:tc>
              <w:tc>
                <w:tcPr>
                  <w:tcW w:w="700" w:type="dxa"/>
                  <w:tcBorders>
                    <w:top w:val="single" w:sz="4" w:space="0" w:color="ADD6EA"/>
                    <w:left w:val="nil"/>
                    <w:bottom w:val="single" w:sz="4" w:space="0" w:color="ADD6EA"/>
                    <w:right w:val="nil"/>
                  </w:tcBorders>
                  <w:shd w:val="clear" w:color="000000" w:fill="D6E7F0"/>
                  <w:noWrap/>
                  <w:vAlign w:val="bottom"/>
                  <w:hideMark/>
                </w:tcPr>
                <w:p w14:paraId="670B0451"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-1,530</w:t>
                  </w:r>
                </w:p>
              </w:tc>
              <w:tc>
                <w:tcPr>
                  <w:tcW w:w="580" w:type="dxa"/>
                  <w:tcBorders>
                    <w:top w:val="single" w:sz="4" w:space="0" w:color="ADD6EA"/>
                    <w:left w:val="nil"/>
                    <w:bottom w:val="single" w:sz="4" w:space="0" w:color="ADD6EA"/>
                    <w:right w:val="nil"/>
                  </w:tcBorders>
                  <w:shd w:val="clear" w:color="000000" w:fill="D6E7F0"/>
                  <w:noWrap/>
                  <w:vAlign w:val="bottom"/>
                  <w:hideMark/>
                </w:tcPr>
                <w:p w14:paraId="2CB18C04"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-440</w:t>
                  </w:r>
                </w:p>
              </w:tc>
              <w:tc>
                <w:tcPr>
                  <w:tcW w:w="580" w:type="dxa"/>
                  <w:tcBorders>
                    <w:top w:val="single" w:sz="4" w:space="0" w:color="ADD6EA"/>
                    <w:left w:val="nil"/>
                    <w:bottom w:val="single" w:sz="4" w:space="0" w:color="ADD6EA"/>
                    <w:right w:val="nil"/>
                  </w:tcBorders>
                  <w:shd w:val="clear" w:color="000000" w:fill="D6E7F0"/>
                  <w:noWrap/>
                  <w:vAlign w:val="bottom"/>
                  <w:hideMark/>
                </w:tcPr>
                <w:p w14:paraId="32554135"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1,370</w:t>
                  </w:r>
                </w:p>
              </w:tc>
              <w:tc>
                <w:tcPr>
                  <w:tcW w:w="580" w:type="dxa"/>
                  <w:tcBorders>
                    <w:top w:val="single" w:sz="4" w:space="0" w:color="ADD6EA"/>
                    <w:left w:val="nil"/>
                    <w:bottom w:val="single" w:sz="4" w:space="0" w:color="ADD6EA"/>
                    <w:right w:val="nil"/>
                  </w:tcBorders>
                  <w:shd w:val="clear" w:color="000000" w:fill="D6E7F0"/>
                  <w:noWrap/>
                  <w:vAlign w:val="bottom"/>
                  <w:hideMark/>
                </w:tcPr>
                <w:p w14:paraId="0BB35A3C"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717</w:t>
                  </w:r>
                </w:p>
              </w:tc>
              <w:tc>
                <w:tcPr>
                  <w:tcW w:w="580" w:type="dxa"/>
                  <w:tcBorders>
                    <w:top w:val="single" w:sz="4" w:space="0" w:color="ADD6EA"/>
                    <w:left w:val="nil"/>
                    <w:bottom w:val="single" w:sz="4" w:space="0" w:color="ADD6EA"/>
                    <w:right w:val="nil"/>
                  </w:tcBorders>
                  <w:shd w:val="clear" w:color="000000" w:fill="D6E7F0"/>
                  <w:noWrap/>
                  <w:vAlign w:val="bottom"/>
                  <w:hideMark/>
                </w:tcPr>
                <w:p w14:paraId="7A996A50"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-253</w:t>
                  </w:r>
                </w:p>
              </w:tc>
              <w:tc>
                <w:tcPr>
                  <w:tcW w:w="580" w:type="dxa"/>
                  <w:tcBorders>
                    <w:top w:val="single" w:sz="4" w:space="0" w:color="ADD6EA"/>
                    <w:left w:val="nil"/>
                    <w:bottom w:val="single" w:sz="4" w:space="0" w:color="ADD6EA"/>
                    <w:right w:val="nil"/>
                  </w:tcBorders>
                  <w:shd w:val="clear" w:color="000000" w:fill="D6E7F0"/>
                  <w:noWrap/>
                  <w:vAlign w:val="bottom"/>
                  <w:hideMark/>
                </w:tcPr>
                <w:p w14:paraId="6A9079F1"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77</w:t>
                  </w:r>
                </w:p>
              </w:tc>
              <w:tc>
                <w:tcPr>
                  <w:tcW w:w="600" w:type="dxa"/>
                  <w:tcBorders>
                    <w:top w:val="single" w:sz="4" w:space="0" w:color="ADD6EA"/>
                    <w:left w:val="nil"/>
                    <w:bottom w:val="single" w:sz="4" w:space="0" w:color="ADD6EA"/>
                    <w:right w:val="nil"/>
                  </w:tcBorders>
                  <w:shd w:val="clear" w:color="000000" w:fill="D6E7F0"/>
                  <w:noWrap/>
                  <w:vAlign w:val="bottom"/>
                  <w:hideMark/>
                </w:tcPr>
                <w:p w14:paraId="43A30E8F"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-31</w:t>
                  </w:r>
                </w:p>
              </w:tc>
              <w:tc>
                <w:tcPr>
                  <w:tcW w:w="520" w:type="dxa"/>
                  <w:tcBorders>
                    <w:top w:val="single" w:sz="4" w:space="0" w:color="ADD6EA"/>
                    <w:left w:val="nil"/>
                    <w:bottom w:val="single" w:sz="4" w:space="0" w:color="ADD6EA"/>
                    <w:right w:val="nil"/>
                  </w:tcBorders>
                  <w:shd w:val="clear" w:color="000000" w:fill="D6E7F0"/>
                  <w:noWrap/>
                  <w:vAlign w:val="bottom"/>
                  <w:hideMark/>
                </w:tcPr>
                <w:p w14:paraId="61724F07"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89</w:t>
                  </w:r>
                </w:p>
              </w:tc>
              <w:tc>
                <w:tcPr>
                  <w:tcW w:w="700" w:type="dxa"/>
                  <w:tcBorders>
                    <w:top w:val="single" w:sz="4" w:space="0" w:color="ADD6EA"/>
                    <w:left w:val="nil"/>
                    <w:bottom w:val="single" w:sz="4" w:space="0" w:color="ADD6EA"/>
                    <w:right w:val="nil"/>
                  </w:tcBorders>
                  <w:shd w:val="clear" w:color="000000" w:fill="D6E7F0"/>
                  <w:noWrap/>
                  <w:vAlign w:val="bottom"/>
                  <w:hideMark/>
                </w:tcPr>
                <w:p w14:paraId="794E9987"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2,253</w:t>
                  </w:r>
                </w:p>
              </w:tc>
            </w:tr>
            <w:tr w:rsidR="00DA59A4" w:rsidRPr="00DA59A4" w14:paraId="23F05EE3" w14:textId="77777777" w:rsidTr="00DA59A4">
              <w:trPr>
                <w:trHeight w:val="555"/>
              </w:trPr>
              <w:tc>
                <w:tcPr>
                  <w:tcW w:w="3500" w:type="dxa"/>
                  <w:tcBorders>
                    <w:top w:val="nil"/>
                    <w:left w:val="nil"/>
                    <w:bottom w:val="nil"/>
                    <w:right w:val="nil"/>
                  </w:tcBorders>
                  <w:shd w:val="clear" w:color="000000" w:fill="FFFFFF"/>
                  <w:vAlign w:val="bottom"/>
                  <w:hideMark/>
                </w:tcPr>
                <w:p w14:paraId="5273289A" w14:textId="77777777"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2018 legislated changes to determining relativities</w:t>
                  </w:r>
                </w:p>
              </w:tc>
              <w:tc>
                <w:tcPr>
                  <w:tcW w:w="700" w:type="dxa"/>
                  <w:tcBorders>
                    <w:top w:val="nil"/>
                    <w:left w:val="nil"/>
                    <w:bottom w:val="nil"/>
                    <w:right w:val="nil"/>
                  </w:tcBorders>
                  <w:shd w:val="clear" w:color="000000" w:fill="FFFFFF"/>
                  <w:vAlign w:val="bottom"/>
                  <w:hideMark/>
                </w:tcPr>
                <w:p w14:paraId="26E96AE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298</w:t>
                  </w:r>
                </w:p>
              </w:tc>
              <w:tc>
                <w:tcPr>
                  <w:tcW w:w="580" w:type="dxa"/>
                  <w:tcBorders>
                    <w:top w:val="nil"/>
                    <w:left w:val="nil"/>
                    <w:bottom w:val="nil"/>
                    <w:right w:val="nil"/>
                  </w:tcBorders>
                  <w:shd w:val="clear" w:color="000000" w:fill="FFFFFF"/>
                  <w:vAlign w:val="bottom"/>
                  <w:hideMark/>
                </w:tcPr>
                <w:p w14:paraId="63B7A471"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249</w:t>
                  </w:r>
                </w:p>
              </w:tc>
              <w:tc>
                <w:tcPr>
                  <w:tcW w:w="580" w:type="dxa"/>
                  <w:tcBorders>
                    <w:top w:val="nil"/>
                    <w:left w:val="nil"/>
                    <w:bottom w:val="nil"/>
                    <w:right w:val="nil"/>
                  </w:tcBorders>
                  <w:shd w:val="clear" w:color="000000" w:fill="FFFFFF"/>
                  <w:vAlign w:val="bottom"/>
                  <w:hideMark/>
                </w:tcPr>
                <w:p w14:paraId="172C728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-763</w:t>
                  </w:r>
                </w:p>
              </w:tc>
              <w:tc>
                <w:tcPr>
                  <w:tcW w:w="580" w:type="dxa"/>
                  <w:tcBorders>
                    <w:top w:val="nil"/>
                    <w:left w:val="nil"/>
                    <w:bottom w:val="nil"/>
                    <w:right w:val="nil"/>
                  </w:tcBorders>
                  <w:shd w:val="clear" w:color="000000" w:fill="FFFFFF"/>
                  <w:vAlign w:val="bottom"/>
                  <w:hideMark/>
                </w:tcPr>
                <w:p w14:paraId="1F332321"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97</w:t>
                  </w:r>
                </w:p>
              </w:tc>
              <w:tc>
                <w:tcPr>
                  <w:tcW w:w="580" w:type="dxa"/>
                  <w:tcBorders>
                    <w:top w:val="nil"/>
                    <w:left w:val="nil"/>
                    <w:bottom w:val="nil"/>
                    <w:right w:val="nil"/>
                  </w:tcBorders>
                  <w:shd w:val="clear" w:color="000000" w:fill="FFFFFF"/>
                  <w:vAlign w:val="bottom"/>
                  <w:hideMark/>
                </w:tcPr>
                <w:p w14:paraId="07D75A4B"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68</w:t>
                  </w:r>
                </w:p>
              </w:tc>
              <w:tc>
                <w:tcPr>
                  <w:tcW w:w="580" w:type="dxa"/>
                  <w:tcBorders>
                    <w:top w:val="nil"/>
                    <w:left w:val="nil"/>
                    <w:bottom w:val="nil"/>
                    <w:right w:val="nil"/>
                  </w:tcBorders>
                  <w:shd w:val="clear" w:color="000000" w:fill="FFFFFF"/>
                  <w:vAlign w:val="bottom"/>
                  <w:hideMark/>
                </w:tcPr>
                <w:p w14:paraId="6BAFB6A7"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21</w:t>
                  </w:r>
                </w:p>
              </w:tc>
              <w:tc>
                <w:tcPr>
                  <w:tcW w:w="600" w:type="dxa"/>
                  <w:tcBorders>
                    <w:top w:val="nil"/>
                    <w:left w:val="nil"/>
                    <w:bottom w:val="nil"/>
                    <w:right w:val="nil"/>
                  </w:tcBorders>
                  <w:shd w:val="clear" w:color="000000" w:fill="FFFFFF"/>
                  <w:vAlign w:val="bottom"/>
                  <w:hideMark/>
                </w:tcPr>
                <w:p w14:paraId="4EFF027A"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17</w:t>
                  </w:r>
                </w:p>
              </w:tc>
              <w:tc>
                <w:tcPr>
                  <w:tcW w:w="520" w:type="dxa"/>
                  <w:tcBorders>
                    <w:top w:val="nil"/>
                    <w:left w:val="nil"/>
                    <w:bottom w:val="nil"/>
                    <w:right w:val="nil"/>
                  </w:tcBorders>
                  <w:shd w:val="clear" w:color="000000" w:fill="FFFFFF"/>
                  <w:vAlign w:val="bottom"/>
                  <w:hideMark/>
                </w:tcPr>
                <w:p w14:paraId="280EEC0C"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12</w:t>
                  </w:r>
                </w:p>
              </w:tc>
              <w:tc>
                <w:tcPr>
                  <w:tcW w:w="700" w:type="dxa"/>
                  <w:tcBorders>
                    <w:top w:val="nil"/>
                    <w:left w:val="nil"/>
                    <w:bottom w:val="nil"/>
                    <w:right w:val="nil"/>
                  </w:tcBorders>
                  <w:shd w:val="clear" w:color="000000" w:fill="FFFFFF"/>
                  <w:vAlign w:val="bottom"/>
                  <w:hideMark/>
                </w:tcPr>
                <w:p w14:paraId="5F824726"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763</w:t>
                  </w:r>
                </w:p>
              </w:tc>
            </w:tr>
            <w:tr w:rsidR="00DA59A4" w:rsidRPr="00DA59A4" w14:paraId="547022FD"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5774FB63" w14:textId="77777777"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Change in population</w:t>
                  </w:r>
                </w:p>
              </w:tc>
              <w:tc>
                <w:tcPr>
                  <w:tcW w:w="700" w:type="dxa"/>
                  <w:tcBorders>
                    <w:top w:val="single" w:sz="4" w:space="0" w:color="ADD6EA"/>
                    <w:left w:val="nil"/>
                    <w:bottom w:val="nil"/>
                    <w:right w:val="nil"/>
                  </w:tcBorders>
                  <w:shd w:val="clear" w:color="000000" w:fill="FFFFFF"/>
                  <w:noWrap/>
                  <w:vAlign w:val="bottom"/>
                  <w:hideMark/>
                </w:tcPr>
                <w:p w14:paraId="3DDCE566"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-44</w:t>
                  </w:r>
                </w:p>
              </w:tc>
              <w:tc>
                <w:tcPr>
                  <w:tcW w:w="580" w:type="dxa"/>
                  <w:tcBorders>
                    <w:top w:val="single" w:sz="4" w:space="0" w:color="ADD6EA"/>
                    <w:left w:val="nil"/>
                    <w:bottom w:val="nil"/>
                    <w:right w:val="nil"/>
                  </w:tcBorders>
                  <w:shd w:val="clear" w:color="000000" w:fill="FFFFFF"/>
                  <w:noWrap/>
                  <w:vAlign w:val="bottom"/>
                  <w:hideMark/>
                </w:tcPr>
                <w:p w14:paraId="5E594B20"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52</w:t>
                  </w:r>
                </w:p>
              </w:tc>
              <w:tc>
                <w:tcPr>
                  <w:tcW w:w="580" w:type="dxa"/>
                  <w:tcBorders>
                    <w:top w:val="single" w:sz="4" w:space="0" w:color="ADD6EA"/>
                    <w:left w:val="nil"/>
                    <w:bottom w:val="nil"/>
                    <w:right w:val="nil"/>
                  </w:tcBorders>
                  <w:shd w:val="clear" w:color="000000" w:fill="FFFFFF"/>
                  <w:noWrap/>
                  <w:vAlign w:val="bottom"/>
                  <w:hideMark/>
                </w:tcPr>
                <w:p w14:paraId="22A3F8FF"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36</w:t>
                  </w:r>
                </w:p>
              </w:tc>
              <w:tc>
                <w:tcPr>
                  <w:tcW w:w="580" w:type="dxa"/>
                  <w:tcBorders>
                    <w:top w:val="single" w:sz="4" w:space="0" w:color="ADD6EA"/>
                    <w:left w:val="nil"/>
                    <w:bottom w:val="nil"/>
                    <w:right w:val="nil"/>
                  </w:tcBorders>
                  <w:shd w:val="clear" w:color="000000" w:fill="FFFFFF"/>
                  <w:noWrap/>
                  <w:vAlign w:val="bottom"/>
                  <w:hideMark/>
                </w:tcPr>
                <w:p w14:paraId="07941779"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37</w:t>
                  </w:r>
                </w:p>
              </w:tc>
              <w:tc>
                <w:tcPr>
                  <w:tcW w:w="580" w:type="dxa"/>
                  <w:tcBorders>
                    <w:top w:val="single" w:sz="4" w:space="0" w:color="ADD6EA"/>
                    <w:left w:val="nil"/>
                    <w:bottom w:val="nil"/>
                    <w:right w:val="nil"/>
                  </w:tcBorders>
                  <w:shd w:val="clear" w:color="000000" w:fill="FFFFFF"/>
                  <w:noWrap/>
                  <w:vAlign w:val="bottom"/>
                  <w:hideMark/>
                </w:tcPr>
                <w:p w14:paraId="57551F59"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-40</w:t>
                  </w:r>
                </w:p>
              </w:tc>
              <w:tc>
                <w:tcPr>
                  <w:tcW w:w="580" w:type="dxa"/>
                  <w:tcBorders>
                    <w:top w:val="single" w:sz="4" w:space="0" w:color="ADD6EA"/>
                    <w:left w:val="nil"/>
                    <w:bottom w:val="nil"/>
                    <w:right w:val="nil"/>
                  </w:tcBorders>
                  <w:shd w:val="clear" w:color="000000" w:fill="FFFFFF"/>
                  <w:noWrap/>
                  <w:vAlign w:val="bottom"/>
                  <w:hideMark/>
                </w:tcPr>
                <w:p w14:paraId="77A0817B"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-37</w:t>
                  </w:r>
                </w:p>
              </w:tc>
              <w:tc>
                <w:tcPr>
                  <w:tcW w:w="600" w:type="dxa"/>
                  <w:tcBorders>
                    <w:top w:val="single" w:sz="4" w:space="0" w:color="ADD6EA"/>
                    <w:left w:val="nil"/>
                    <w:bottom w:val="nil"/>
                    <w:right w:val="nil"/>
                  </w:tcBorders>
                  <w:shd w:val="clear" w:color="000000" w:fill="FFFFFF"/>
                  <w:noWrap/>
                  <w:vAlign w:val="bottom"/>
                  <w:hideMark/>
                </w:tcPr>
                <w:p w14:paraId="639437F4"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w:t>
                  </w:r>
                </w:p>
              </w:tc>
              <w:tc>
                <w:tcPr>
                  <w:tcW w:w="520" w:type="dxa"/>
                  <w:tcBorders>
                    <w:top w:val="single" w:sz="4" w:space="0" w:color="ADD6EA"/>
                    <w:left w:val="nil"/>
                    <w:bottom w:val="nil"/>
                    <w:right w:val="nil"/>
                  </w:tcBorders>
                  <w:shd w:val="clear" w:color="000000" w:fill="FFFFFF"/>
                  <w:noWrap/>
                  <w:vAlign w:val="bottom"/>
                  <w:hideMark/>
                </w:tcPr>
                <w:p w14:paraId="4833779D"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-5</w:t>
                  </w:r>
                </w:p>
              </w:tc>
              <w:tc>
                <w:tcPr>
                  <w:tcW w:w="700" w:type="dxa"/>
                  <w:tcBorders>
                    <w:top w:val="single" w:sz="4" w:space="0" w:color="ADD6EA"/>
                    <w:left w:val="nil"/>
                    <w:bottom w:val="nil"/>
                    <w:right w:val="nil"/>
                  </w:tcBorders>
                  <w:shd w:val="clear" w:color="000000" w:fill="FFFFFF"/>
                  <w:noWrap/>
                  <w:vAlign w:val="bottom"/>
                  <w:hideMark/>
                </w:tcPr>
                <w:p w14:paraId="7980920E"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127</w:t>
                  </w:r>
                </w:p>
              </w:tc>
            </w:tr>
            <w:tr w:rsidR="00DA59A4" w:rsidRPr="00DA59A4" w14:paraId="3FB52EAC" w14:textId="77777777" w:rsidTr="00DA59A4">
              <w:trPr>
                <w:trHeight w:val="315"/>
              </w:trPr>
              <w:tc>
                <w:tcPr>
                  <w:tcW w:w="3500" w:type="dxa"/>
                  <w:tcBorders>
                    <w:top w:val="single" w:sz="4" w:space="0" w:color="ADD6EA"/>
                    <w:left w:val="nil"/>
                    <w:bottom w:val="nil"/>
                    <w:right w:val="nil"/>
                  </w:tcBorders>
                  <w:shd w:val="clear" w:color="000000" w:fill="FFFFFF"/>
                  <w:vAlign w:val="bottom"/>
                  <w:hideMark/>
                </w:tcPr>
                <w:p w14:paraId="6CFB2025" w14:textId="77777777" w:rsidR="00DA59A4" w:rsidRPr="00DA59A4" w:rsidRDefault="00DA59A4" w:rsidP="00DA59A4">
                  <w:pPr>
                    <w:tabs>
                      <w:tab w:val="clear" w:pos="567"/>
                    </w:tabs>
                    <w:spacing w:before="0" w:line="240" w:lineRule="auto"/>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Change in pool (a)</w:t>
                  </w:r>
                </w:p>
              </w:tc>
              <w:tc>
                <w:tcPr>
                  <w:tcW w:w="700" w:type="dxa"/>
                  <w:tcBorders>
                    <w:top w:val="single" w:sz="4" w:space="0" w:color="ADD6EA"/>
                    <w:left w:val="nil"/>
                    <w:bottom w:val="nil"/>
                    <w:right w:val="nil"/>
                  </w:tcBorders>
                  <w:shd w:val="clear" w:color="000000" w:fill="FFFFFF"/>
                  <w:noWrap/>
                  <w:vAlign w:val="bottom"/>
                  <w:hideMark/>
                </w:tcPr>
                <w:p w14:paraId="790D1C48"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1,591</w:t>
                  </w:r>
                </w:p>
              </w:tc>
              <w:tc>
                <w:tcPr>
                  <w:tcW w:w="580" w:type="dxa"/>
                  <w:tcBorders>
                    <w:top w:val="single" w:sz="4" w:space="0" w:color="ADD6EA"/>
                    <w:left w:val="nil"/>
                    <w:bottom w:val="nil"/>
                    <w:right w:val="nil"/>
                  </w:tcBorders>
                  <w:shd w:val="clear" w:color="000000" w:fill="FFFFFF"/>
                  <w:noWrap/>
                  <w:vAlign w:val="bottom"/>
                  <w:hideMark/>
                </w:tcPr>
                <w:p w14:paraId="0702E547"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1,632</w:t>
                  </w:r>
                </w:p>
              </w:tc>
              <w:tc>
                <w:tcPr>
                  <w:tcW w:w="580" w:type="dxa"/>
                  <w:tcBorders>
                    <w:top w:val="single" w:sz="4" w:space="0" w:color="ADD6EA"/>
                    <w:left w:val="nil"/>
                    <w:bottom w:val="nil"/>
                    <w:right w:val="nil"/>
                  </w:tcBorders>
                  <w:shd w:val="clear" w:color="000000" w:fill="FFFFFF"/>
                  <w:noWrap/>
                  <w:vAlign w:val="bottom"/>
                  <w:hideMark/>
                </w:tcPr>
                <w:p w14:paraId="152296A8"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1,037</w:t>
                  </w:r>
                </w:p>
              </w:tc>
              <w:tc>
                <w:tcPr>
                  <w:tcW w:w="580" w:type="dxa"/>
                  <w:tcBorders>
                    <w:top w:val="single" w:sz="4" w:space="0" w:color="ADD6EA"/>
                    <w:left w:val="nil"/>
                    <w:bottom w:val="nil"/>
                    <w:right w:val="nil"/>
                  </w:tcBorders>
                  <w:shd w:val="clear" w:color="000000" w:fill="FFFFFF"/>
                  <w:noWrap/>
                  <w:vAlign w:val="bottom"/>
                  <w:hideMark/>
                </w:tcPr>
                <w:p w14:paraId="6AFA77E8"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496</w:t>
                  </w:r>
                </w:p>
              </w:tc>
              <w:tc>
                <w:tcPr>
                  <w:tcW w:w="580" w:type="dxa"/>
                  <w:tcBorders>
                    <w:top w:val="single" w:sz="4" w:space="0" w:color="ADD6EA"/>
                    <w:left w:val="nil"/>
                    <w:bottom w:val="nil"/>
                    <w:right w:val="nil"/>
                  </w:tcBorders>
                  <w:shd w:val="clear" w:color="000000" w:fill="FFFFFF"/>
                  <w:noWrap/>
                  <w:vAlign w:val="bottom"/>
                  <w:hideMark/>
                </w:tcPr>
                <w:p w14:paraId="25D6E70F"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566</w:t>
                  </w:r>
                </w:p>
              </w:tc>
              <w:tc>
                <w:tcPr>
                  <w:tcW w:w="580" w:type="dxa"/>
                  <w:tcBorders>
                    <w:top w:val="single" w:sz="4" w:space="0" w:color="ADD6EA"/>
                    <w:left w:val="nil"/>
                    <w:bottom w:val="nil"/>
                    <w:right w:val="nil"/>
                  </w:tcBorders>
                  <w:shd w:val="clear" w:color="000000" w:fill="FFFFFF"/>
                  <w:noWrap/>
                  <w:vAlign w:val="bottom"/>
                  <w:hideMark/>
                </w:tcPr>
                <w:p w14:paraId="406AF3F4"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225</w:t>
                  </w:r>
                </w:p>
              </w:tc>
              <w:tc>
                <w:tcPr>
                  <w:tcW w:w="600" w:type="dxa"/>
                  <w:tcBorders>
                    <w:top w:val="single" w:sz="4" w:space="0" w:color="ADD6EA"/>
                    <w:left w:val="nil"/>
                    <w:bottom w:val="nil"/>
                    <w:right w:val="nil"/>
                  </w:tcBorders>
                  <w:shd w:val="clear" w:color="000000" w:fill="FFFFFF"/>
                  <w:noWrap/>
                  <w:vAlign w:val="bottom"/>
                  <w:hideMark/>
                </w:tcPr>
                <w:p w14:paraId="621DB8BF"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123</w:t>
                  </w:r>
                </w:p>
              </w:tc>
              <w:tc>
                <w:tcPr>
                  <w:tcW w:w="520" w:type="dxa"/>
                  <w:tcBorders>
                    <w:top w:val="single" w:sz="4" w:space="0" w:color="ADD6EA"/>
                    <w:left w:val="nil"/>
                    <w:bottom w:val="nil"/>
                    <w:right w:val="nil"/>
                  </w:tcBorders>
                  <w:shd w:val="clear" w:color="000000" w:fill="FFFFFF"/>
                  <w:noWrap/>
                  <w:vAlign w:val="bottom"/>
                  <w:hideMark/>
                </w:tcPr>
                <w:p w14:paraId="294560D0"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293</w:t>
                  </w:r>
                </w:p>
              </w:tc>
              <w:tc>
                <w:tcPr>
                  <w:tcW w:w="700" w:type="dxa"/>
                  <w:tcBorders>
                    <w:top w:val="single" w:sz="4" w:space="0" w:color="ADD6EA"/>
                    <w:left w:val="nil"/>
                    <w:bottom w:val="nil"/>
                    <w:right w:val="nil"/>
                  </w:tcBorders>
                  <w:shd w:val="clear" w:color="000000" w:fill="FFFFFF"/>
                  <w:noWrap/>
                  <w:vAlign w:val="bottom"/>
                  <w:hideMark/>
                </w:tcPr>
                <w:p w14:paraId="659FD4D7" w14:textId="77777777" w:rsidR="00DA59A4" w:rsidRPr="00DA59A4" w:rsidRDefault="00DA59A4" w:rsidP="00DA59A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DA59A4">
                    <w:rPr>
                      <w:rFonts w:ascii="Open Sans Light" w:eastAsia="Times New Roman" w:hAnsi="Open Sans Light" w:cs="Open Sans Light"/>
                      <w:color w:val="000000"/>
                      <w:sz w:val="16"/>
                      <w:szCs w:val="16"/>
                      <w:lang w:eastAsia="en-AU"/>
                    </w:rPr>
                    <w:t>5,964</w:t>
                  </w:r>
                </w:p>
              </w:tc>
            </w:tr>
            <w:tr w:rsidR="00DA59A4" w:rsidRPr="00DA59A4" w14:paraId="2CA93253" w14:textId="77777777" w:rsidTr="00DA59A4">
              <w:trPr>
                <w:trHeight w:val="315"/>
              </w:trPr>
              <w:tc>
                <w:tcPr>
                  <w:tcW w:w="3500" w:type="dxa"/>
                  <w:tcBorders>
                    <w:top w:val="single" w:sz="4" w:space="0" w:color="ADD6EA"/>
                    <w:left w:val="nil"/>
                    <w:bottom w:val="single" w:sz="4" w:space="0" w:color="ADD6EA"/>
                    <w:right w:val="nil"/>
                  </w:tcBorders>
                  <w:shd w:val="clear" w:color="000000" w:fill="D6E7F0"/>
                  <w:vAlign w:val="bottom"/>
                  <w:hideMark/>
                </w:tcPr>
                <w:p w14:paraId="24CC4BE9" w14:textId="77777777" w:rsidR="00DA59A4" w:rsidRPr="00DA59A4" w:rsidRDefault="00DA59A4" w:rsidP="00DA59A4">
                  <w:pPr>
                    <w:tabs>
                      <w:tab w:val="clear" w:pos="567"/>
                    </w:tabs>
                    <w:spacing w:before="0" w:line="240" w:lineRule="auto"/>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Total change in GST</w:t>
                  </w:r>
                </w:p>
              </w:tc>
              <w:tc>
                <w:tcPr>
                  <w:tcW w:w="700" w:type="dxa"/>
                  <w:tcBorders>
                    <w:top w:val="single" w:sz="4" w:space="0" w:color="ADD6EA"/>
                    <w:left w:val="nil"/>
                    <w:bottom w:val="single" w:sz="4" w:space="0" w:color="ADD6EA"/>
                    <w:right w:val="nil"/>
                  </w:tcBorders>
                  <w:shd w:val="clear" w:color="000000" w:fill="D6E7F0"/>
                  <w:noWrap/>
                  <w:vAlign w:val="bottom"/>
                  <w:hideMark/>
                </w:tcPr>
                <w:p w14:paraId="4C88F1CD"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316</w:t>
                  </w:r>
                </w:p>
              </w:tc>
              <w:tc>
                <w:tcPr>
                  <w:tcW w:w="580" w:type="dxa"/>
                  <w:tcBorders>
                    <w:top w:val="single" w:sz="4" w:space="0" w:color="ADD6EA"/>
                    <w:left w:val="nil"/>
                    <w:bottom w:val="single" w:sz="4" w:space="0" w:color="ADD6EA"/>
                    <w:right w:val="nil"/>
                  </w:tcBorders>
                  <w:shd w:val="clear" w:color="000000" w:fill="D6E7F0"/>
                  <w:noWrap/>
                  <w:vAlign w:val="bottom"/>
                  <w:hideMark/>
                </w:tcPr>
                <w:p w14:paraId="3CB11C3D"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1,494</w:t>
                  </w:r>
                </w:p>
              </w:tc>
              <w:tc>
                <w:tcPr>
                  <w:tcW w:w="580" w:type="dxa"/>
                  <w:tcBorders>
                    <w:top w:val="single" w:sz="4" w:space="0" w:color="ADD6EA"/>
                    <w:left w:val="nil"/>
                    <w:bottom w:val="single" w:sz="4" w:space="0" w:color="ADD6EA"/>
                    <w:right w:val="nil"/>
                  </w:tcBorders>
                  <w:shd w:val="clear" w:color="000000" w:fill="D6E7F0"/>
                  <w:noWrap/>
                  <w:vAlign w:val="bottom"/>
                  <w:hideMark/>
                </w:tcPr>
                <w:p w14:paraId="71953709"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1,680</w:t>
                  </w:r>
                </w:p>
              </w:tc>
              <w:tc>
                <w:tcPr>
                  <w:tcW w:w="580" w:type="dxa"/>
                  <w:tcBorders>
                    <w:top w:val="single" w:sz="4" w:space="0" w:color="ADD6EA"/>
                    <w:left w:val="nil"/>
                    <w:bottom w:val="single" w:sz="4" w:space="0" w:color="ADD6EA"/>
                    <w:right w:val="nil"/>
                  </w:tcBorders>
                  <w:shd w:val="clear" w:color="000000" w:fill="D6E7F0"/>
                  <w:noWrap/>
                  <w:vAlign w:val="bottom"/>
                  <w:hideMark/>
                </w:tcPr>
                <w:p w14:paraId="046D3D2C"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1,347</w:t>
                  </w:r>
                </w:p>
              </w:tc>
              <w:tc>
                <w:tcPr>
                  <w:tcW w:w="580" w:type="dxa"/>
                  <w:tcBorders>
                    <w:top w:val="single" w:sz="4" w:space="0" w:color="ADD6EA"/>
                    <w:left w:val="nil"/>
                    <w:bottom w:val="single" w:sz="4" w:space="0" w:color="ADD6EA"/>
                    <w:right w:val="nil"/>
                  </w:tcBorders>
                  <w:shd w:val="clear" w:color="000000" w:fill="D6E7F0"/>
                  <w:noWrap/>
                  <w:vAlign w:val="bottom"/>
                  <w:hideMark/>
                </w:tcPr>
                <w:p w14:paraId="6DD07FD9"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342</w:t>
                  </w:r>
                </w:p>
              </w:tc>
              <w:tc>
                <w:tcPr>
                  <w:tcW w:w="580" w:type="dxa"/>
                  <w:tcBorders>
                    <w:top w:val="single" w:sz="4" w:space="0" w:color="ADD6EA"/>
                    <w:left w:val="nil"/>
                    <w:bottom w:val="single" w:sz="4" w:space="0" w:color="ADD6EA"/>
                    <w:right w:val="nil"/>
                  </w:tcBorders>
                  <w:shd w:val="clear" w:color="000000" w:fill="D6E7F0"/>
                  <w:noWrap/>
                  <w:vAlign w:val="bottom"/>
                  <w:hideMark/>
                </w:tcPr>
                <w:p w14:paraId="72C590E1"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286</w:t>
                  </w:r>
                </w:p>
              </w:tc>
              <w:tc>
                <w:tcPr>
                  <w:tcW w:w="600" w:type="dxa"/>
                  <w:tcBorders>
                    <w:top w:val="single" w:sz="4" w:space="0" w:color="ADD6EA"/>
                    <w:left w:val="nil"/>
                    <w:bottom w:val="single" w:sz="4" w:space="0" w:color="ADD6EA"/>
                    <w:right w:val="nil"/>
                  </w:tcBorders>
                  <w:shd w:val="clear" w:color="000000" w:fill="D6E7F0"/>
                  <w:noWrap/>
                  <w:vAlign w:val="bottom"/>
                  <w:hideMark/>
                </w:tcPr>
                <w:p w14:paraId="2053FB0E"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110</w:t>
                  </w:r>
                </w:p>
              </w:tc>
              <w:tc>
                <w:tcPr>
                  <w:tcW w:w="520" w:type="dxa"/>
                  <w:tcBorders>
                    <w:top w:val="single" w:sz="4" w:space="0" w:color="ADD6EA"/>
                    <w:left w:val="nil"/>
                    <w:bottom w:val="single" w:sz="4" w:space="0" w:color="ADD6EA"/>
                    <w:right w:val="nil"/>
                  </w:tcBorders>
                  <w:shd w:val="clear" w:color="000000" w:fill="D6E7F0"/>
                  <w:noWrap/>
                  <w:vAlign w:val="bottom"/>
                  <w:hideMark/>
                </w:tcPr>
                <w:p w14:paraId="50D3108A"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389</w:t>
                  </w:r>
                </w:p>
              </w:tc>
              <w:tc>
                <w:tcPr>
                  <w:tcW w:w="700" w:type="dxa"/>
                  <w:tcBorders>
                    <w:top w:val="single" w:sz="4" w:space="0" w:color="ADD6EA"/>
                    <w:left w:val="nil"/>
                    <w:bottom w:val="single" w:sz="4" w:space="0" w:color="ADD6EA"/>
                    <w:right w:val="nil"/>
                  </w:tcBorders>
                  <w:shd w:val="clear" w:color="000000" w:fill="D6E7F0"/>
                  <w:noWrap/>
                  <w:vAlign w:val="bottom"/>
                  <w:hideMark/>
                </w:tcPr>
                <w:p w14:paraId="4C2E70C6" w14:textId="77777777" w:rsidR="00DA59A4" w:rsidRPr="00DA59A4" w:rsidRDefault="00DA59A4" w:rsidP="00DA59A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DA59A4">
                    <w:rPr>
                      <w:rFonts w:ascii="Open Sans Semibold" w:eastAsia="Times New Roman" w:hAnsi="Open Sans Semibold" w:cs="Open Sans Semibold"/>
                      <w:color w:val="000000"/>
                      <w:sz w:val="16"/>
                      <w:szCs w:val="16"/>
                      <w:lang w:eastAsia="en-AU"/>
                    </w:rPr>
                    <w:t>5,964</w:t>
                  </w:r>
                </w:p>
              </w:tc>
            </w:tr>
          </w:tbl>
          <w:p w14:paraId="4FB61499" w14:textId="77777777" w:rsidR="00B74E38" w:rsidRDefault="00B74E38" w:rsidP="003116B2">
            <w:pPr>
              <w:pStyle w:val="CGC2025TableNote"/>
              <w:numPr>
                <w:ilvl w:val="0"/>
                <w:numId w:val="7"/>
              </w:numPr>
            </w:pPr>
            <w:r>
              <w:t xml:space="preserve">Total effect from change in pool represents the sum of the effect for each state from total growth in GST and pool top-up payments, rather than the distribution of GST between states (net effect) shown for other drivers of change. </w:t>
            </w:r>
          </w:p>
          <w:p w14:paraId="33DAEEC2" w14:textId="77777777" w:rsidR="003C2C06" w:rsidRDefault="003C2C06" w:rsidP="003C2C06">
            <w:pPr>
              <w:pStyle w:val="CGC2025TableNote"/>
            </w:pPr>
          </w:p>
          <w:p w14:paraId="1AC32873" w14:textId="77777777" w:rsidR="00D1597B" w:rsidRDefault="00D1597B" w:rsidP="003C2C06">
            <w:pPr>
              <w:pStyle w:val="CGC2025TableNote"/>
            </w:pPr>
          </w:p>
          <w:p w14:paraId="5677C72E" w14:textId="77777777" w:rsidR="00D1597B" w:rsidRDefault="00D1597B" w:rsidP="003C2C06">
            <w:pPr>
              <w:pStyle w:val="CGC2025TableNote"/>
            </w:pPr>
          </w:p>
          <w:p w14:paraId="2CD3DCBD" w14:textId="77777777" w:rsidR="00D1597B" w:rsidRDefault="00D1597B" w:rsidP="003C2C06">
            <w:pPr>
              <w:pStyle w:val="CGC2025TableNote"/>
            </w:pPr>
          </w:p>
          <w:p w14:paraId="464B397F" w14:textId="113A3E8F" w:rsidR="00D1597B" w:rsidRDefault="00D1597B" w:rsidP="003C2C06">
            <w:pPr>
              <w:pStyle w:val="CGC2025TableNote"/>
            </w:pPr>
          </w:p>
        </w:tc>
      </w:tr>
    </w:tbl>
    <w:p w14:paraId="150019B8" w14:textId="77777777" w:rsidR="005A6549" w:rsidRPr="005A6549" w:rsidRDefault="005A6549" w:rsidP="005A6549">
      <w:pPr>
        <w:pStyle w:val="BodyText"/>
        <w:rPr>
          <w:lang w:eastAsia="en-US"/>
        </w:rPr>
      </w:pPr>
    </w:p>
    <w:p w14:paraId="1B03894C" w14:textId="0DC10F01" w:rsidR="009D088E" w:rsidRDefault="009D088E" w:rsidP="00577948">
      <w:pPr>
        <w:pStyle w:val="Heading1"/>
        <w:numPr>
          <w:ilvl w:val="0"/>
          <w:numId w:val="0"/>
        </w:numPr>
      </w:pPr>
      <w:bookmarkStart w:id="33" w:name="_Toc222762271"/>
      <w:r w:rsidRPr="0017514B">
        <w:lastRenderedPageBreak/>
        <w:t>Introduction</w:t>
      </w:r>
      <w:bookmarkEnd w:id="33"/>
    </w:p>
    <w:p w14:paraId="34635765" w14:textId="48BC1798" w:rsidR="00B857D2" w:rsidRPr="00CD513B" w:rsidRDefault="00B857D2" w:rsidP="00B857D2">
      <w:r>
        <w:t>On 21 January 2026, t</w:t>
      </w:r>
      <w:r w:rsidRPr="00BE4F41">
        <w:t xml:space="preserve">he Commonwealth Treasurer issued terms of reference asking the </w:t>
      </w:r>
      <w:r>
        <w:t>Commonwealth Grants</w:t>
      </w:r>
      <w:r w:rsidRPr="00BE4F41">
        <w:t xml:space="preserve"> Commission </w:t>
      </w:r>
      <w:r>
        <w:t>(the Commission)</w:t>
      </w:r>
      <w:r w:rsidRPr="00BE4F41">
        <w:t xml:space="preserve"> to </w:t>
      </w:r>
      <w:r w:rsidR="009A020E">
        <w:t>recommend</w:t>
      </w:r>
      <w:r w:rsidR="00D16654">
        <w:t xml:space="preserve"> GST sharing relativ</w:t>
      </w:r>
      <w:r w:rsidR="00762F6C">
        <w:t xml:space="preserve">ities </w:t>
      </w:r>
      <w:r w:rsidR="00B63151">
        <w:t xml:space="preserve">to </w:t>
      </w:r>
      <w:r w:rsidR="00744053">
        <w:t xml:space="preserve">be used </w:t>
      </w:r>
      <w:r w:rsidR="00144B99">
        <w:t>to</w:t>
      </w:r>
      <w:r w:rsidR="00802185">
        <w:t xml:space="preserve"> distribute </w:t>
      </w:r>
      <w:r w:rsidRPr="00BE4F41">
        <w:t>the Goods and Services Ta</w:t>
      </w:r>
      <w:r>
        <w:t>x</w:t>
      </w:r>
      <w:r w:rsidRPr="00BE4F41">
        <w:t xml:space="preserve"> (GST) revenue pool among the states in </w:t>
      </w:r>
      <w:r w:rsidRPr="00CD513B">
        <w:t>2026–27.</w:t>
      </w:r>
    </w:p>
    <w:p w14:paraId="621C9EF2" w14:textId="5E95CD7D" w:rsidR="00B857D2" w:rsidRDefault="00B857D2" w:rsidP="00B857D2">
      <w:pPr>
        <w:pStyle w:val="Heading2"/>
      </w:pPr>
      <w:r>
        <w:t xml:space="preserve">Commission’s </w:t>
      </w:r>
      <w:r w:rsidR="0091062F">
        <w:t>r</w:t>
      </w:r>
      <w:r>
        <w:t>ole</w:t>
      </w:r>
    </w:p>
    <w:p w14:paraId="7F0AA145" w14:textId="77777777" w:rsidR="00B857D2" w:rsidRDefault="00B857D2" w:rsidP="00B857D2">
      <w:r w:rsidRPr="00E56F3A">
        <w:t xml:space="preserve">The </w:t>
      </w:r>
      <w:r>
        <w:t>Commission</w:t>
      </w:r>
      <w:r w:rsidRPr="00E56F3A">
        <w:t xml:space="preserve"> provides independent advice to the Australian Government on how GST revenue should be distributed among the states. The distribution of GST revenue is governed by legislation and </w:t>
      </w:r>
      <w:r>
        <w:t xml:space="preserve">annual </w:t>
      </w:r>
      <w:r w:rsidRPr="00E56F3A">
        <w:t>terms of reference issued by the Commonwealth Treasurer, which require the Commission’s advice to be based on the objective of horizontal fiscal equalisation.</w:t>
      </w:r>
      <w:r w:rsidRPr="00E711BE">
        <w:rPr>
          <w:rStyle w:val="FootnoteReference"/>
          <w:szCs w:val="20"/>
          <w:vertAlign w:val="superscript"/>
        </w:rPr>
        <w:footnoteReference w:id="4"/>
      </w:r>
      <w:r w:rsidRPr="00E56F3A">
        <w:t xml:space="preserve"> This objective has been a feature of Australia’s federal financial arrangements for many decades. It seeks to provide each state with the financial capacity to provide services at a comparable standard if each made the same effort to raise revenue. In this way, all Australians</w:t>
      </w:r>
      <w:r>
        <w:t>, regardless of the state in which they live,</w:t>
      </w:r>
      <w:r w:rsidRPr="00E56F3A">
        <w:t xml:space="preserve"> </w:t>
      </w:r>
      <w:proofErr w:type="gramStart"/>
      <w:r w:rsidRPr="00E56F3A">
        <w:t>have the opportunity to</w:t>
      </w:r>
      <w:proofErr w:type="gramEnd"/>
      <w:r w:rsidRPr="00E56F3A">
        <w:t xml:space="preserve"> receive a comparable standard of service.</w:t>
      </w:r>
    </w:p>
    <w:p w14:paraId="55D9E1D4" w14:textId="77777777" w:rsidR="00B857D2" w:rsidRPr="00CD513B" w:rsidRDefault="00B857D2" w:rsidP="00B857D2">
      <w:pPr>
        <w:pStyle w:val="Heading2"/>
      </w:pPr>
      <w:r w:rsidRPr="00CD513B">
        <w:t xml:space="preserve">2025 </w:t>
      </w:r>
      <w:r>
        <w:t xml:space="preserve">Methodology </w:t>
      </w:r>
      <w:r w:rsidRPr="00CD513B">
        <w:t>Review</w:t>
      </w:r>
    </w:p>
    <w:p w14:paraId="22B97555" w14:textId="5713A6F3" w:rsidR="00B857D2" w:rsidRDefault="1777512B" w:rsidP="00B857D2">
      <w:r>
        <w:t>During the 2025 Methodology Review, the Commission delayed finalising and implementing method changes to the justice assessment until the 2026 </w:t>
      </w:r>
      <w:r w:rsidRPr="00187820">
        <w:t xml:space="preserve">Update. </w:t>
      </w:r>
      <w:r w:rsidR="00FE690A" w:rsidRPr="00187820">
        <w:t xml:space="preserve">This was to allow </w:t>
      </w:r>
      <w:r w:rsidR="006D4050" w:rsidRPr="00187820">
        <w:t xml:space="preserve">for </w:t>
      </w:r>
      <w:r w:rsidR="00FE690A" w:rsidRPr="00187820">
        <w:t>the inclusion of data for 2023</w:t>
      </w:r>
      <w:r w:rsidR="007A19A7" w:rsidRPr="00187820">
        <w:t>–</w:t>
      </w:r>
      <w:r w:rsidR="00FE690A" w:rsidRPr="00187820">
        <w:t>24 that were not unduly affected by the COVID-19 pandemic and not available at the time of the 2025 Review.</w:t>
      </w:r>
      <w:r w:rsidRPr="00187820">
        <w:t xml:space="preserve"> Changes made</w:t>
      </w:r>
      <w:r>
        <w:t xml:space="preserve"> to the justice assessment had implications for the Commission’s geography assessment. The 2026 Update includes the effects of these method changes on GST distribution.</w:t>
      </w:r>
    </w:p>
    <w:p w14:paraId="3FD70643" w14:textId="77777777" w:rsidR="00B857D2" w:rsidRDefault="00B857D2" w:rsidP="00B857D2">
      <w:r>
        <w:t xml:space="preserve">Further details on the changes to the justice assessment method are included in the justice – addendum chapter of the </w:t>
      </w:r>
      <w:hyperlink r:id="rId29" w:history="1">
        <w:r w:rsidRPr="00715CDD">
          <w:rPr>
            <w:rStyle w:val="Hyperlink"/>
            <w:i/>
          </w:rPr>
          <w:t xml:space="preserve">2025 Methodology Review – </w:t>
        </w:r>
        <w:r w:rsidRPr="00825B71">
          <w:rPr>
            <w:rStyle w:val="Hyperlink"/>
            <w:i/>
            <w:iCs/>
          </w:rPr>
          <w:t>Review Outcomes</w:t>
        </w:r>
      </w:hyperlink>
      <w:r>
        <w:t xml:space="preserve"> at Attachment A.</w:t>
      </w:r>
    </w:p>
    <w:p w14:paraId="3717FDA6" w14:textId="77777777" w:rsidR="00B857D2" w:rsidRPr="00E56F3A" w:rsidRDefault="00B857D2" w:rsidP="00B857D2">
      <w:pPr>
        <w:pStyle w:val="Heading2"/>
      </w:pPr>
      <w:r w:rsidRPr="00E56F3A">
        <w:t xml:space="preserve">2018 GST </w:t>
      </w:r>
      <w:r>
        <w:t>d</w:t>
      </w:r>
      <w:r w:rsidRPr="00E56F3A">
        <w:t>istribution legislation</w:t>
      </w:r>
    </w:p>
    <w:p w14:paraId="2E6AA3D2" w14:textId="0AA729C8" w:rsidR="00B857D2" w:rsidRPr="00F304BF" w:rsidRDefault="00B857D2" w:rsidP="00B857D2">
      <w:pPr>
        <w:rPr>
          <w:highlight w:val="yellow"/>
        </w:rPr>
      </w:pPr>
      <w:r w:rsidRPr="006E6258">
        <w:t xml:space="preserve">In </w:t>
      </w:r>
      <w:r w:rsidRPr="00430F08">
        <w:t>2018</w:t>
      </w:r>
      <w:r w:rsidRPr="006E6258">
        <w:t xml:space="preserve">, the Commonwealth Parliament legislated a new way to distribute GST revenue </w:t>
      </w:r>
      <w:r>
        <w:t>to</w:t>
      </w:r>
      <w:r w:rsidRPr="006E6258">
        <w:t xml:space="preserve"> the states.</w:t>
      </w:r>
      <w:r>
        <w:t xml:space="preserve"> The</w:t>
      </w:r>
      <w:r w:rsidRPr="00430F08">
        <w:t xml:space="preserve"> GST distribution legislation</w:t>
      </w:r>
      <w:r w:rsidRPr="001056DF">
        <w:t xml:space="preserve"> changed the GST distribution arrangements from a ‘full’ equalisation standard to a ‘reasonable’ equalisation standard. Under the legislation</w:t>
      </w:r>
      <w:r w:rsidRPr="00430F08">
        <w:t>, 2026–</w:t>
      </w:r>
      <w:r w:rsidRPr="001056DF">
        <w:rPr>
          <w:rFonts w:ascii="Times New Roman" w:hAnsi="Times New Roman" w:cs="Times New Roman"/>
        </w:rPr>
        <w:t>‍</w:t>
      </w:r>
      <w:r w:rsidRPr="001056DF">
        <w:t>27</w:t>
      </w:r>
      <w:r w:rsidRPr="00430F08">
        <w:t xml:space="preserve"> </w:t>
      </w:r>
      <w:r>
        <w:t>completes</w:t>
      </w:r>
      <w:r w:rsidRPr="00430F08">
        <w:t xml:space="preserve"> a 6</w:t>
      </w:r>
      <w:r w:rsidRPr="00430F08">
        <w:noBreakHyphen/>
        <w:t xml:space="preserve">year transition </w:t>
      </w:r>
      <w:r w:rsidRPr="001056DF">
        <w:t>to th</w:t>
      </w:r>
      <w:r w:rsidR="002855FB">
        <w:t>e</w:t>
      </w:r>
      <w:r w:rsidRPr="001056DF">
        <w:t xml:space="preserve"> ‘reasonable’ equalisation benchmark.</w:t>
      </w:r>
      <w:r w:rsidRPr="00430F08">
        <w:t xml:space="preserve"> From 2026–27, no state will have a GST relativity less than the lower of New</w:t>
      </w:r>
      <w:r w:rsidR="00D31B41">
        <w:t> </w:t>
      </w:r>
      <w:r w:rsidRPr="00430F08">
        <w:t>South Wales or Victoria (referred to as the ‘standard state’). For GST relativities in 2026–27, New South Wales is the standard state for all 3 assessment years (2022–23</w:t>
      </w:r>
      <w:r>
        <w:t>,</w:t>
      </w:r>
      <w:r w:rsidRPr="00430F08">
        <w:t xml:space="preserve"> 2023</w:t>
      </w:r>
      <w:bookmarkStart w:id="34" w:name="_Hlk219206788"/>
      <w:r w:rsidRPr="00430F08">
        <w:t>–</w:t>
      </w:r>
      <w:bookmarkEnd w:id="34"/>
      <w:r w:rsidRPr="00430F08">
        <w:rPr>
          <w:rFonts w:ascii="Times New Roman" w:hAnsi="Times New Roman" w:cs="Times New Roman" w:hint="eastAsia"/>
          <w:rtl/>
        </w:rPr>
        <w:t>‍</w:t>
      </w:r>
      <w:r w:rsidRPr="00430F08">
        <w:t>24</w:t>
      </w:r>
      <w:r>
        <w:t xml:space="preserve"> and 2024</w:t>
      </w:r>
      <w:r w:rsidRPr="00430F08">
        <w:t>–</w:t>
      </w:r>
      <w:r>
        <w:t>25</w:t>
      </w:r>
      <w:r w:rsidRPr="00430F08">
        <w:t xml:space="preserve">). </w:t>
      </w:r>
      <w:r>
        <w:t>After</w:t>
      </w:r>
      <w:r w:rsidRPr="00430F08">
        <w:t xml:space="preserve"> a state’s relativity is raised to the relativity of the standard state, the relativities of all states are reduced on a population share basis </w:t>
      </w:r>
      <w:r w:rsidR="00E250C8">
        <w:t>to accommodate the increase</w:t>
      </w:r>
      <w:r w:rsidR="00E250C8" w:rsidRPr="00430F08">
        <w:t xml:space="preserve"> </w:t>
      </w:r>
      <w:r w:rsidRPr="00430F08">
        <w:t xml:space="preserve">(see </w:t>
      </w:r>
      <w:r>
        <w:t>Appendix</w:t>
      </w:r>
      <w:r w:rsidRPr="00430F08">
        <w:t xml:space="preserve"> </w:t>
      </w:r>
      <w:r>
        <w:t>B</w:t>
      </w:r>
      <w:r w:rsidRPr="00430F08">
        <w:t xml:space="preserve"> for further detail).</w:t>
      </w:r>
    </w:p>
    <w:p w14:paraId="4C1B72F3" w14:textId="77777777" w:rsidR="00B857D2" w:rsidRPr="00433988" w:rsidRDefault="00B857D2" w:rsidP="00B857D2">
      <w:r w:rsidRPr="00433988">
        <w:t xml:space="preserve">The 2018 GST distribution legislation also provides for a </w:t>
      </w:r>
      <w:r>
        <w:t xml:space="preserve">permanent </w:t>
      </w:r>
      <w:r w:rsidRPr="00433988">
        <w:t xml:space="preserve">GST relativity floor of 0.75. For 2026–27, the GST floor </w:t>
      </w:r>
      <w:r>
        <w:t>has</w:t>
      </w:r>
      <w:r w:rsidRPr="00433988">
        <w:t xml:space="preserve"> not </w:t>
      </w:r>
      <w:r>
        <w:t>been</w:t>
      </w:r>
      <w:r w:rsidRPr="00433988">
        <w:t xml:space="preserve"> triggered</w:t>
      </w:r>
      <w:r>
        <w:t xml:space="preserve"> because</w:t>
      </w:r>
      <w:r w:rsidRPr="00C91877">
        <w:t xml:space="preserve"> all state</w:t>
      </w:r>
      <w:r>
        <w:t xml:space="preserve">s’ </w:t>
      </w:r>
      <w:r w:rsidRPr="00E95CDC">
        <w:t>relativities</w:t>
      </w:r>
      <w:r>
        <w:t xml:space="preserve">, after adjusting for the standard state, </w:t>
      </w:r>
      <w:r w:rsidRPr="00C91877">
        <w:t>are above t</w:t>
      </w:r>
      <w:r>
        <w:t>his</w:t>
      </w:r>
      <w:r w:rsidRPr="00C91877">
        <w:t xml:space="preserve"> floor.</w:t>
      </w:r>
    </w:p>
    <w:p w14:paraId="5415AEF1" w14:textId="7B759558" w:rsidR="00B857D2" w:rsidRPr="00433988" w:rsidRDefault="00B857D2" w:rsidP="00B857D2">
      <w:r w:rsidRPr="00433988">
        <w:t xml:space="preserve">The 2018 GST distribution legislation includes a guarantee that no state will be worse off under the new arrangements </w:t>
      </w:r>
      <w:r w:rsidR="009A1A77">
        <w:t>(</w:t>
      </w:r>
      <w:r w:rsidRPr="00433988">
        <w:t xml:space="preserve">GST pool top-up payments, a GST relativity floor </w:t>
      </w:r>
      <w:r w:rsidR="003D6EDE">
        <w:t>and</w:t>
      </w:r>
      <w:r w:rsidRPr="00433988">
        <w:t xml:space="preserve"> the standard state approach</w:t>
      </w:r>
      <w:r w:rsidR="009A1A77">
        <w:t>)</w:t>
      </w:r>
      <w:r w:rsidRPr="00433988">
        <w:t>. The legislated no worse off guarantee operates from 2021–22 until 2026–27, with no worse off payments calculated and provided by the Commonwealth in accordance with the legislation. Under an agreement between the Commonwealth and the states, no worse off payments will continue until 2029–30.</w:t>
      </w:r>
      <w:r w:rsidRPr="00433988">
        <w:rPr>
          <w:vertAlign w:val="superscript"/>
        </w:rPr>
        <w:footnoteReference w:id="5"/>
      </w:r>
    </w:p>
    <w:p w14:paraId="5EE52525" w14:textId="77777777" w:rsidR="00B857D2" w:rsidRPr="00E56F3A" w:rsidRDefault="00B857D2" w:rsidP="00B857D2">
      <w:pPr>
        <w:pStyle w:val="Heading2"/>
        <w:keepNext/>
      </w:pPr>
      <w:r w:rsidRPr="00E56F3A">
        <w:lastRenderedPageBreak/>
        <w:t>Report structure</w:t>
      </w:r>
    </w:p>
    <w:p w14:paraId="17CEF53B" w14:textId="757DBCFD" w:rsidR="00B857D2" w:rsidRPr="00E56F3A" w:rsidRDefault="00B857D2" w:rsidP="00B857D2">
      <w:bookmarkStart w:id="37" w:name="_Recommended_GST_relativities"/>
      <w:bookmarkEnd w:id="37"/>
      <w:r w:rsidRPr="008B18B8">
        <w:rPr>
          <w:b/>
          <w:bCs/>
        </w:rPr>
        <w:t>Chapter 1</w:t>
      </w:r>
      <w:r w:rsidRPr="00E56F3A">
        <w:t xml:space="preserve"> sets out the Commission’s recommended GST </w:t>
      </w:r>
      <w:r>
        <w:t xml:space="preserve">relativities and the estimated </w:t>
      </w:r>
      <w:r w:rsidR="00DE4F00">
        <w:t xml:space="preserve">GST </w:t>
      </w:r>
      <w:r w:rsidRPr="00E56F3A">
        <w:t>revenue distribution for 2026–27. It also provides relativities for the Commonwealth Treasurer to use in calculating no worse off payments.</w:t>
      </w:r>
    </w:p>
    <w:p w14:paraId="79A2846A" w14:textId="77777777" w:rsidR="00B857D2" w:rsidRPr="00E56F3A" w:rsidRDefault="00B857D2" w:rsidP="00B857D2">
      <w:r w:rsidRPr="008B18B8">
        <w:rPr>
          <w:b/>
          <w:bCs/>
        </w:rPr>
        <w:t>Chapter 2</w:t>
      </w:r>
      <w:r w:rsidRPr="00E56F3A">
        <w:t xml:space="preserve"> explains the main changes in the Commission’s assessment of each state’s GST needs since the 2025 Review.</w:t>
      </w:r>
    </w:p>
    <w:p w14:paraId="6ABEC83F" w14:textId="77777777" w:rsidR="00B857D2" w:rsidRPr="00E56F3A" w:rsidRDefault="00B857D2" w:rsidP="00B857D2">
      <w:r w:rsidRPr="008B18B8">
        <w:rPr>
          <w:b/>
          <w:bCs/>
        </w:rPr>
        <w:t>Chapter 3</w:t>
      </w:r>
      <w:r w:rsidRPr="00E56F3A">
        <w:t xml:space="preserve"> provides a snapshot of the main factors impacting each state’s </w:t>
      </w:r>
      <w:r>
        <w:t xml:space="preserve">GST relativity and </w:t>
      </w:r>
      <w:r w:rsidRPr="00E56F3A">
        <w:t>recommended GST distribution for 2026–27.</w:t>
      </w:r>
    </w:p>
    <w:p w14:paraId="34150EE6" w14:textId="77777777" w:rsidR="00B857D2" w:rsidRPr="00E56F3A" w:rsidRDefault="00B857D2" w:rsidP="00B857D2">
      <w:r w:rsidRPr="008B18B8">
        <w:rPr>
          <w:b/>
          <w:bCs/>
        </w:rPr>
        <w:t>Appendix A</w:t>
      </w:r>
      <w:r w:rsidRPr="001056DF">
        <w:t xml:space="preserve"> outlines the Commission’s approach to implementing horizontal fiscal equalisation and estimating states’ relative fiscal capacities.</w:t>
      </w:r>
      <w:r>
        <w:t xml:space="preserve"> </w:t>
      </w:r>
    </w:p>
    <w:p w14:paraId="26E96A9E" w14:textId="77777777" w:rsidR="00B857D2" w:rsidRPr="00E56F3A" w:rsidRDefault="00B857D2" w:rsidP="00B857D2">
      <w:r w:rsidRPr="008B18B8">
        <w:rPr>
          <w:b/>
          <w:bCs/>
        </w:rPr>
        <w:t>Appendix B</w:t>
      </w:r>
      <w:r w:rsidRPr="00E56F3A">
        <w:t xml:space="preserve"> provides additional detail on how the GST relativities are calculated.</w:t>
      </w:r>
    </w:p>
    <w:p w14:paraId="63ABF9CD" w14:textId="77777777" w:rsidR="00B857D2" w:rsidRPr="00E56F3A" w:rsidRDefault="00B857D2" w:rsidP="00B857D2">
      <w:r w:rsidRPr="008B18B8">
        <w:rPr>
          <w:b/>
          <w:bCs/>
        </w:rPr>
        <w:t>Appendix C</w:t>
      </w:r>
      <w:r w:rsidRPr="00E56F3A">
        <w:t xml:space="preserve"> contains information on states’ GST shares since 2000–01.</w:t>
      </w:r>
    </w:p>
    <w:p w14:paraId="579B1579" w14:textId="77777777" w:rsidR="00B857D2" w:rsidRDefault="00B857D2" w:rsidP="00B857D2">
      <w:r w:rsidRPr="008B18B8">
        <w:rPr>
          <w:b/>
          <w:bCs/>
        </w:rPr>
        <w:t>Appendix D</w:t>
      </w:r>
      <w:r w:rsidRPr="00E56F3A">
        <w:t xml:space="preserve"> </w:t>
      </w:r>
      <w:r>
        <w:t>outlines</w:t>
      </w:r>
      <w:r w:rsidRPr="00E56F3A">
        <w:t xml:space="preserve"> the Commission’s quality assurance process.</w:t>
      </w:r>
    </w:p>
    <w:p w14:paraId="7393A14A" w14:textId="48441188" w:rsidR="00B857D2" w:rsidRPr="00E56F3A" w:rsidRDefault="00B857D2" w:rsidP="00B857D2">
      <w:r w:rsidRPr="008B18B8">
        <w:rPr>
          <w:b/>
          <w:bCs/>
        </w:rPr>
        <w:t>Attachment A</w:t>
      </w:r>
      <w:r>
        <w:t xml:space="preserve"> contains the justice – addendum chapter of the </w:t>
      </w:r>
      <w:hyperlink r:id="rId30" w:history="1">
        <w:r w:rsidR="0010526F" w:rsidRPr="00053A10">
          <w:rPr>
            <w:rStyle w:val="Hyperlink"/>
            <w:i/>
          </w:rPr>
          <w:t>2025 Methodology Review –</w:t>
        </w:r>
        <w:r w:rsidR="0010526F" w:rsidRPr="00825B71">
          <w:rPr>
            <w:rStyle w:val="Hyperlink"/>
          </w:rPr>
          <w:t xml:space="preserve"> </w:t>
        </w:r>
        <w:r w:rsidR="0010526F" w:rsidRPr="00825B71">
          <w:rPr>
            <w:rStyle w:val="Hyperlink"/>
            <w:i/>
            <w:iCs/>
          </w:rPr>
          <w:t>Review Outcomes</w:t>
        </w:r>
      </w:hyperlink>
      <w:r>
        <w:t>.</w:t>
      </w:r>
    </w:p>
    <w:p w14:paraId="019F8807" w14:textId="74276062" w:rsidR="00B857D2" w:rsidRPr="00E56F3A" w:rsidRDefault="00B857D2" w:rsidP="00B857D2">
      <w:r w:rsidRPr="00E56F3A">
        <w:t xml:space="preserve">The Commission consulted with states on new issues arising in this update. State views and Commission responses are outlined in </w:t>
      </w:r>
      <w:r w:rsidRPr="00E56F3A">
        <w:rPr>
          <w:i/>
        </w:rPr>
        <w:t>New Issues in the 2026 Update</w:t>
      </w:r>
      <w:r w:rsidRPr="00E56F3A">
        <w:t>.</w:t>
      </w:r>
    </w:p>
    <w:p w14:paraId="7B78B02C" w14:textId="5E0AF26D" w:rsidR="000801E5" w:rsidRDefault="000801E5">
      <w:pPr>
        <w:tabs>
          <w:tab w:val="clear" w:pos="567"/>
        </w:tabs>
        <w:spacing w:before="0" w:line="240" w:lineRule="auto"/>
        <w:rPr>
          <w:rFonts w:ascii="Open Sans Light" w:eastAsia="Times New Roman" w:hAnsi="Open Sans Light" w:cs="Times New Roman"/>
          <w:szCs w:val="20"/>
        </w:rPr>
      </w:pPr>
      <w:r>
        <w:br w:type="page"/>
      </w:r>
    </w:p>
    <w:p w14:paraId="25957BE5" w14:textId="48D2E4FD" w:rsidR="000801E5" w:rsidRDefault="000801E5" w:rsidP="003116B2">
      <w:pPr>
        <w:pStyle w:val="Heading1"/>
        <w:numPr>
          <w:ilvl w:val="0"/>
          <w:numId w:val="5"/>
        </w:numPr>
      </w:pPr>
      <w:bookmarkStart w:id="38" w:name="Chapter_1"/>
      <w:bookmarkStart w:id="39" w:name="_Toc222762272"/>
      <w:r>
        <w:lastRenderedPageBreak/>
        <w:t>Recommended GST relativities</w:t>
      </w:r>
      <w:bookmarkEnd w:id="38"/>
      <w:bookmarkEnd w:id="3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8FF"/>
        <w:tblLayout w:type="fixed"/>
        <w:tblLook w:val="04A0" w:firstRow="1" w:lastRow="0" w:firstColumn="1" w:lastColumn="0" w:noHBand="0" w:noVBand="1"/>
      </w:tblPr>
      <w:tblGrid>
        <w:gridCol w:w="9185"/>
      </w:tblGrid>
      <w:tr w:rsidR="000801E5" w14:paraId="34ED7CAE" w14:textId="77777777" w:rsidTr="48BAC838">
        <w:tc>
          <w:tcPr>
            <w:tcW w:w="9185" w:type="dxa"/>
            <w:shd w:val="clear" w:color="auto" w:fill="E5F8FF"/>
          </w:tcPr>
          <w:p w14:paraId="72BEBDDB" w14:textId="77777777" w:rsidR="000801E5" w:rsidRPr="00607566" w:rsidRDefault="000801E5" w:rsidP="003116B2">
            <w:pPr>
              <w:pStyle w:val="Heading2"/>
              <w:numPr>
                <w:ilvl w:val="1"/>
                <w:numId w:val="5"/>
              </w:numPr>
            </w:pPr>
            <w:r w:rsidRPr="00607566">
              <w:t>Key points</w:t>
            </w:r>
          </w:p>
          <w:p w14:paraId="1A866735" w14:textId="77777777" w:rsidR="000801E5" w:rsidRDefault="000801E5" w:rsidP="00350854">
            <w:pPr>
              <w:pStyle w:val="CGCBulletPoints"/>
            </w:pPr>
            <w:r w:rsidRPr="00D26DCC">
              <w:t xml:space="preserve">All states are estimated </w:t>
            </w:r>
            <w:r>
              <w:t xml:space="preserve">to receive an </w:t>
            </w:r>
            <w:r w:rsidRPr="00D26DCC">
              <w:t>increase</w:t>
            </w:r>
            <w:r>
              <w:t>d</w:t>
            </w:r>
            <w:r w:rsidRPr="00D26DCC">
              <w:t xml:space="preserve"> </w:t>
            </w:r>
            <w:r>
              <w:t xml:space="preserve">GST distribution </w:t>
            </w:r>
            <w:r w:rsidRPr="00D26DCC">
              <w:t>in 2026–27</w:t>
            </w:r>
            <w:r>
              <w:t xml:space="preserve">. </w:t>
            </w:r>
            <w:r>
              <w:br/>
              <w:t>T</w:t>
            </w:r>
            <w:r w:rsidRPr="00D26DCC">
              <w:t xml:space="preserve">he GST pool </w:t>
            </w:r>
            <w:r>
              <w:t xml:space="preserve">is </w:t>
            </w:r>
            <w:r w:rsidRPr="00D26DCC">
              <w:t xml:space="preserve">estimated </w:t>
            </w:r>
            <w:r>
              <w:t xml:space="preserve">to </w:t>
            </w:r>
            <w:r w:rsidRPr="00D26DCC">
              <w:t xml:space="preserve">increase </w:t>
            </w:r>
            <w:r w:rsidRPr="003408F5">
              <w:t xml:space="preserve">from around </w:t>
            </w:r>
            <w:r w:rsidRPr="00D26DCC">
              <w:t>$9</w:t>
            </w:r>
            <w:r>
              <w:t>7</w:t>
            </w:r>
            <w:r w:rsidRPr="00D26DCC">
              <w:t> billion in 2025–26 to around $10</w:t>
            </w:r>
            <w:r>
              <w:t>3</w:t>
            </w:r>
            <w:r w:rsidRPr="00D26DCC">
              <w:t> billion in 2026–27.</w:t>
            </w:r>
          </w:p>
          <w:p w14:paraId="31321E6B" w14:textId="468C4213" w:rsidR="000801E5" w:rsidRDefault="0F1CE852" w:rsidP="00350854">
            <w:pPr>
              <w:pStyle w:val="CGCBulletPoints"/>
            </w:pPr>
            <w:r>
              <w:t>Based on the Commission’s 2026–27 recommended GST relativities, Queensland is estimated to receive the largest increase in GST distribution of $1.7 billion ($290 per capita). The Northern Territory is estimated to receive the largest increase in per capita terms of $1,446 per capita.</w:t>
            </w:r>
          </w:p>
          <w:p w14:paraId="6AC5B141" w14:textId="0E212741" w:rsidR="000801E5" w:rsidRDefault="000801E5" w:rsidP="00350854">
            <w:pPr>
              <w:pStyle w:val="CGCBulletPoints"/>
            </w:pPr>
            <w:r w:rsidRPr="00C03F53">
              <w:t xml:space="preserve">Under the 2018 </w:t>
            </w:r>
            <w:r w:rsidR="002773D0" w:rsidRPr="002773D0">
              <w:t>legislated changes to determining relativities</w:t>
            </w:r>
            <w:r w:rsidRPr="00C03F53">
              <w:t xml:space="preserve">, Western Australia’s GST relativity </w:t>
            </w:r>
            <w:r>
              <w:t>is l</w:t>
            </w:r>
            <w:r w:rsidRPr="007877AA">
              <w:t>ifted to the standard state</w:t>
            </w:r>
            <w:r>
              <w:t>, New South Wales, in all 3 assessment years</w:t>
            </w:r>
            <w:r w:rsidRPr="007877AA">
              <w:t>.</w:t>
            </w:r>
            <w:r>
              <w:t xml:space="preserve"> Queensland’s</w:t>
            </w:r>
            <w:r w:rsidRPr="00C03F53">
              <w:t xml:space="preserve"> GST relativity </w:t>
            </w:r>
            <w:r>
              <w:t>is l</w:t>
            </w:r>
            <w:r w:rsidRPr="007877AA">
              <w:t xml:space="preserve">ifted </w:t>
            </w:r>
            <w:r>
              <w:t>in 2</w:t>
            </w:r>
            <w:r w:rsidR="009042B0">
              <w:t> </w:t>
            </w:r>
            <w:r>
              <w:t>assessment years (2022–23 and 2023–24).</w:t>
            </w:r>
          </w:p>
          <w:p w14:paraId="43D74505" w14:textId="77777777" w:rsidR="001C2E18" w:rsidRDefault="000801E5" w:rsidP="00350854">
            <w:pPr>
              <w:pStyle w:val="CGCBulletPoints"/>
            </w:pPr>
            <w:r w:rsidRPr="00C03F53">
              <w:t>Western Australia is estimated to receive $6.</w:t>
            </w:r>
            <w:r>
              <w:t>6</w:t>
            </w:r>
            <w:r w:rsidRPr="00C03F53">
              <w:t xml:space="preserve"> billion </w:t>
            </w:r>
            <w:r>
              <w:t xml:space="preserve">more </w:t>
            </w:r>
            <w:r w:rsidRPr="00C03F53">
              <w:t>in 2026–27 than under the previous GST distribution arrangements.</w:t>
            </w:r>
            <w:r>
              <w:t xml:space="preserve"> </w:t>
            </w:r>
            <w:r w:rsidRPr="00B83346">
              <w:t>Before no</w:t>
            </w:r>
            <w:r>
              <w:t> </w:t>
            </w:r>
            <w:r w:rsidRPr="00B83346">
              <w:t>worse</w:t>
            </w:r>
            <w:r>
              <w:t> </w:t>
            </w:r>
            <w:r w:rsidRPr="00B83346">
              <w:t xml:space="preserve">off payments from the Commonwealth, all other states are estimated to receive less </w:t>
            </w:r>
            <w:r>
              <w:t>than under</w:t>
            </w:r>
            <w:r w:rsidRPr="00B83346">
              <w:t xml:space="preserve"> the previous GST distribution arrangements.</w:t>
            </w:r>
          </w:p>
          <w:p w14:paraId="6EF0E88C" w14:textId="60875082" w:rsidR="00CE2856" w:rsidRPr="00C15A7A" w:rsidRDefault="000A6D70" w:rsidP="00350854">
            <w:pPr>
              <w:pStyle w:val="CGCBulletPoints"/>
            </w:pPr>
            <w:r w:rsidRPr="005B5049">
              <w:t>As a result</w:t>
            </w:r>
            <w:r w:rsidR="00CE2856" w:rsidRPr="005B5049">
              <w:t xml:space="preserve"> of the 2018 GST distribution legislation, the total cost to the Commonwealth in 2026–27 is estimated to be $6.6 billion. This comprises $5.5</w:t>
            </w:r>
            <w:r w:rsidR="00225AC9">
              <w:t> </w:t>
            </w:r>
            <w:r w:rsidR="00CE2856" w:rsidRPr="005B5049">
              <w:t>billion in no worse off payments and $1.1 billion in GST pool top-up payments.</w:t>
            </w:r>
          </w:p>
          <w:p w14:paraId="2A000A12" w14:textId="77777777" w:rsidR="000801E5" w:rsidRPr="00372A64" w:rsidRDefault="000801E5" w:rsidP="00350854">
            <w:pPr>
              <w:pStyle w:val="CGCBulletPoints"/>
            </w:pPr>
            <w:r w:rsidRPr="00372A64">
              <w:t xml:space="preserve">Changes in the estimated GST distribution between 2025–26 and 2026–27 </w:t>
            </w:r>
            <w:r>
              <w:t>are</w:t>
            </w:r>
            <w:r w:rsidRPr="00372A64">
              <w:t xml:space="preserve"> driven by the combination of changes in GST relativities</w:t>
            </w:r>
            <w:r>
              <w:t>,</w:t>
            </w:r>
            <w:r w:rsidRPr="00372A64">
              <w:t xml:space="preserve"> changes in state population shares</w:t>
            </w:r>
            <w:r>
              <w:t xml:space="preserve"> and</w:t>
            </w:r>
            <w:r w:rsidRPr="00372A64">
              <w:t xml:space="preserve"> growth in the GST pool.</w:t>
            </w:r>
          </w:p>
          <w:p w14:paraId="256EB0BD" w14:textId="77777777" w:rsidR="000801E5" w:rsidRDefault="000801E5" w:rsidP="00350854">
            <w:pPr>
              <w:pStyle w:val="CGCBulletPoints"/>
            </w:pPr>
            <w:r w:rsidRPr="00F47AF8">
              <w:t xml:space="preserve">Changes in </w:t>
            </w:r>
            <w:r>
              <w:t xml:space="preserve">state </w:t>
            </w:r>
            <w:r w:rsidRPr="00F47AF8">
              <w:t>circumstances have a</w:t>
            </w:r>
            <w:r w:rsidRPr="00D8658E">
              <w:t xml:space="preserve"> significant </w:t>
            </w:r>
            <w:r w:rsidRPr="00F47AF8">
              <w:t>impact on</w:t>
            </w:r>
            <w:r w:rsidRPr="00D8658E">
              <w:t xml:space="preserve"> the 2026</w:t>
            </w:r>
            <w:r w:rsidRPr="00F47AF8">
              <w:t> </w:t>
            </w:r>
            <w:r w:rsidRPr="00D8658E">
              <w:t>Update</w:t>
            </w:r>
            <w:r>
              <w:t>,</w:t>
            </w:r>
            <w:r w:rsidRPr="00D8658E">
              <w:t xml:space="preserve"> </w:t>
            </w:r>
            <w:r>
              <w:t xml:space="preserve">with </w:t>
            </w:r>
            <w:r w:rsidRPr="00D8658E">
              <w:t>2021</w:t>
            </w:r>
            <w:r>
              <w:rPr>
                <w:rFonts w:ascii="Times New Roman" w:hAnsi="Times New Roman" w:cs="Times New Roman"/>
              </w:rPr>
              <w:t>‍</w:t>
            </w:r>
            <w:r w:rsidRPr="00D8658E">
              <w:t>–</w:t>
            </w:r>
            <w:r>
              <w:rPr>
                <w:rFonts w:ascii="Times New Roman" w:hAnsi="Times New Roman" w:cs="Times New Roman"/>
              </w:rPr>
              <w:t>‍</w:t>
            </w:r>
            <w:r w:rsidRPr="00D8658E">
              <w:t>22</w:t>
            </w:r>
            <w:r>
              <w:t xml:space="preserve"> dropping out of the assessment period and being replaced by </w:t>
            </w:r>
            <w:r w:rsidRPr="00D8658E">
              <w:t>2024</w:t>
            </w:r>
            <w:r>
              <w:rPr>
                <w:rFonts w:ascii="Times New Roman" w:hAnsi="Times New Roman" w:cs="Times New Roman"/>
              </w:rPr>
              <w:t>‍</w:t>
            </w:r>
            <w:r w:rsidRPr="00D8658E">
              <w:t>–</w:t>
            </w:r>
            <w:r>
              <w:rPr>
                <w:rFonts w:ascii="Times New Roman" w:hAnsi="Times New Roman" w:cs="Times New Roman"/>
              </w:rPr>
              <w:t>‍</w:t>
            </w:r>
            <w:r w:rsidRPr="00D8658E">
              <w:t>25</w:t>
            </w:r>
            <w:r>
              <w:t>.</w:t>
            </w:r>
          </w:p>
          <w:p w14:paraId="5E8F278F" w14:textId="77777777" w:rsidR="000801E5" w:rsidRDefault="000801E5" w:rsidP="000801E5">
            <w:pPr>
              <w:pStyle w:val="BulletPoints"/>
            </w:pPr>
          </w:p>
        </w:tc>
      </w:tr>
    </w:tbl>
    <w:p w14:paraId="65032786" w14:textId="223C9D1E" w:rsidR="000801E5" w:rsidRDefault="000801E5" w:rsidP="00B857D2">
      <w:pPr>
        <w:pStyle w:val="BodyText"/>
        <w:rPr>
          <w:lang w:eastAsia="en-US"/>
        </w:rPr>
      </w:pPr>
    </w:p>
    <w:p w14:paraId="0A644ABD" w14:textId="77777777" w:rsidR="000801E5" w:rsidRDefault="000801E5">
      <w:pPr>
        <w:tabs>
          <w:tab w:val="clear" w:pos="567"/>
        </w:tabs>
        <w:spacing w:before="0" w:line="240" w:lineRule="auto"/>
        <w:rPr>
          <w:rFonts w:ascii="Open Sans Light" w:eastAsia="Times New Roman" w:hAnsi="Open Sans Light" w:cs="Times New Roman"/>
          <w:szCs w:val="20"/>
        </w:rPr>
      </w:pPr>
      <w:r>
        <w:br w:type="page"/>
      </w:r>
    </w:p>
    <w:p w14:paraId="4493E909" w14:textId="77777777" w:rsidR="000801E5" w:rsidRPr="00607566" w:rsidRDefault="000801E5" w:rsidP="003116B2">
      <w:pPr>
        <w:pStyle w:val="Heading2"/>
        <w:numPr>
          <w:ilvl w:val="1"/>
          <w:numId w:val="5"/>
        </w:numPr>
      </w:pPr>
      <w:r w:rsidRPr="00607566">
        <w:lastRenderedPageBreak/>
        <w:t>Recommended GST relativities</w:t>
      </w:r>
    </w:p>
    <w:p w14:paraId="795FD6D5" w14:textId="686D27B8" w:rsidR="000801E5" w:rsidRPr="00E27071" w:rsidRDefault="0F1CE852" w:rsidP="000801E5">
      <w:pPr>
        <w:rPr>
          <w:highlight w:val="yellow"/>
        </w:rPr>
      </w:pPr>
      <w:r>
        <w:t>Consistent with the terms of reference, t</w:t>
      </w:r>
      <w:r w:rsidRPr="0044586C">
        <w:t>he Commission’s recommended GST relativities for 2026–27 are presented in Table 1</w:t>
      </w:r>
      <w:r w:rsidR="000801E5" w:rsidRPr="0044586C">
        <w:noBreakHyphen/>
        <w:t xml:space="preserve">1. This table also includes the states’ shares of the GST pool and the estimated GST pool </w:t>
      </w:r>
      <w:r w:rsidRPr="00E62CD0">
        <w:t>distribution, as well as comparisons with 2025</w:t>
      </w:r>
      <w:r w:rsidRPr="00E62CD0">
        <w:rPr>
          <w:rFonts w:cs="Times New Roman"/>
        </w:rPr>
        <w:t>‍</w:t>
      </w:r>
      <w:r w:rsidRPr="00E62CD0">
        <w:rPr>
          <w:rFonts w:ascii="Times New Roman" w:hAnsi="Times New Roman" w:cs="Times New Roman"/>
        </w:rPr>
        <w:t>‍</w:t>
      </w:r>
      <w:r w:rsidRPr="00E62CD0">
        <w:rPr>
          <w:rFonts w:cs="Times New Roman"/>
        </w:rPr>
        <w:t>–</w:t>
      </w:r>
      <w:r w:rsidRPr="00E62CD0">
        <w:t>26. The estimated GST distribution for 2026</w:t>
      </w:r>
      <w:r>
        <w:t>‍</w:t>
      </w:r>
      <w:r w:rsidRPr="00E62CD0">
        <w:t>–</w:t>
      </w:r>
      <w:r>
        <w:t>‍</w:t>
      </w:r>
      <w:r w:rsidRPr="00E62CD0">
        <w:t xml:space="preserve">27 </w:t>
      </w:r>
      <w:r>
        <w:t>is</w:t>
      </w:r>
      <w:r w:rsidRPr="00E62CD0">
        <w:t xml:space="preserve"> calculated by applying 2026–27 GST relativities to forecast state populations for 2026</w:t>
      </w:r>
      <w:r>
        <w:t>‍</w:t>
      </w:r>
      <w:r w:rsidRPr="00E62CD0">
        <w:t>–</w:t>
      </w:r>
      <w:r>
        <w:t>‍</w:t>
      </w:r>
      <w:r w:rsidRPr="00E62CD0">
        <w:t>27 and the estimated GST pool for 2026–27. The actual GST distribution each state receives in 2026–27 will be based on state populations and the GST pool determined after the 2026</w:t>
      </w:r>
      <w:r>
        <w:t>‍</w:t>
      </w:r>
      <w:r w:rsidRPr="00E62CD0">
        <w:t>–</w:t>
      </w:r>
      <w:r>
        <w:t>‍</w:t>
      </w:r>
      <w:r w:rsidRPr="00E62CD0">
        <w:t>27 Final Budget Outcome.</w:t>
      </w:r>
      <w:r w:rsidR="000801E5" w:rsidRPr="48BAC838">
        <w:rPr>
          <w:rStyle w:val="FootnoteReference"/>
          <w:vertAlign w:val="superscript"/>
        </w:rPr>
        <w:footnoteReference w:id="6"/>
      </w:r>
      <w:r w:rsidRPr="00E62CD0">
        <w:t xml:space="preserve"> The table does not include no worse off payments.</w:t>
      </w:r>
    </w:p>
    <w:p w14:paraId="6CC19E0A" w14:textId="77777777" w:rsidR="000801E5" w:rsidRDefault="000801E5" w:rsidP="000801E5">
      <w:pPr>
        <w:pStyle w:val="CGC2025Caption"/>
        <w:ind w:left="1440" w:hanging="1440"/>
      </w:pPr>
      <w:r w:rsidRPr="00E17791">
        <w:t>Table 1-1</w:t>
      </w:r>
      <w:r w:rsidRPr="00E17791">
        <w:tab/>
        <w:t>GST relativities, shares and estimated GST distribution, 2025</w:t>
      </w:r>
      <w:r>
        <w:t>‍</w:t>
      </w:r>
      <w:r w:rsidRPr="00E17791">
        <w:t>–</w:t>
      </w:r>
      <w:r>
        <w:t>‍</w:t>
      </w:r>
      <w:r w:rsidRPr="00E17791">
        <w:t>26 to 2026</w:t>
      </w:r>
      <w:r>
        <w:t>‍</w:t>
      </w:r>
      <w:r w:rsidRPr="00E17791">
        <w:t>–</w:t>
      </w:r>
      <w:r>
        <w:t>‍</w:t>
      </w:r>
      <w:r w:rsidRPr="00E17791">
        <w:t>27 (excludes no worse off payments)</w:t>
      </w:r>
    </w:p>
    <w:tbl>
      <w:tblPr>
        <w:tblW w:w="9040" w:type="dxa"/>
        <w:tblLook w:val="04A0" w:firstRow="1" w:lastRow="0" w:firstColumn="1" w:lastColumn="0" w:noHBand="0" w:noVBand="1"/>
      </w:tblPr>
      <w:tblGrid>
        <w:gridCol w:w="1768"/>
        <w:gridCol w:w="808"/>
        <w:gridCol w:w="808"/>
        <w:gridCol w:w="808"/>
        <w:gridCol w:w="808"/>
        <w:gridCol w:w="808"/>
        <w:gridCol w:w="808"/>
        <w:gridCol w:w="808"/>
        <w:gridCol w:w="808"/>
        <w:gridCol w:w="808"/>
      </w:tblGrid>
      <w:tr w:rsidR="008853F4" w:rsidRPr="008853F4" w14:paraId="70EF791E" w14:textId="77777777" w:rsidTr="008853F4">
        <w:trPr>
          <w:trHeight w:val="380"/>
        </w:trPr>
        <w:tc>
          <w:tcPr>
            <w:tcW w:w="2560" w:type="dxa"/>
            <w:tcBorders>
              <w:top w:val="nil"/>
              <w:left w:val="nil"/>
              <w:bottom w:val="nil"/>
              <w:right w:val="nil"/>
            </w:tcBorders>
            <w:shd w:val="clear" w:color="000000" w:fill="006991"/>
            <w:vAlign w:val="center"/>
            <w:hideMark/>
          </w:tcPr>
          <w:p w14:paraId="125ABCD9" w14:textId="77777777" w:rsidR="008853F4" w:rsidRPr="008853F4" w:rsidRDefault="008853F4" w:rsidP="008853F4">
            <w:pPr>
              <w:tabs>
                <w:tab w:val="clear" w:pos="567"/>
              </w:tabs>
              <w:spacing w:before="0" w:line="240" w:lineRule="auto"/>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 </w:t>
            </w:r>
          </w:p>
        </w:tc>
        <w:tc>
          <w:tcPr>
            <w:tcW w:w="720" w:type="dxa"/>
            <w:tcBorders>
              <w:top w:val="nil"/>
              <w:left w:val="nil"/>
              <w:bottom w:val="nil"/>
              <w:right w:val="nil"/>
            </w:tcBorders>
            <w:shd w:val="clear" w:color="000000" w:fill="006991"/>
            <w:vAlign w:val="center"/>
            <w:hideMark/>
          </w:tcPr>
          <w:p w14:paraId="3E0B9A0A"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5E2136DD"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3B42B632"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095463F3"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058B1535"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43B94102"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34FFD0C1"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54F84C96"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549EF37A"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8853F4">
              <w:rPr>
                <w:rFonts w:ascii="Open Sans Semibold" w:eastAsia="Times New Roman" w:hAnsi="Open Sans Semibold" w:cs="Open Sans Semibold"/>
                <w:color w:val="FFFFFF"/>
                <w:sz w:val="16"/>
                <w:szCs w:val="16"/>
                <w:lang w:eastAsia="en-AU"/>
              </w:rPr>
              <w:t>Total</w:t>
            </w:r>
          </w:p>
        </w:tc>
      </w:tr>
      <w:tr w:rsidR="008853F4" w:rsidRPr="008853F4" w14:paraId="7B6946AF" w14:textId="77777777" w:rsidTr="008853F4">
        <w:trPr>
          <w:trHeight w:val="315"/>
        </w:trPr>
        <w:tc>
          <w:tcPr>
            <w:tcW w:w="2560" w:type="dxa"/>
            <w:tcBorders>
              <w:top w:val="single" w:sz="4" w:space="0" w:color="ADD6EA"/>
              <w:left w:val="nil"/>
              <w:bottom w:val="single" w:sz="4" w:space="0" w:color="ADD6EA"/>
              <w:right w:val="nil"/>
            </w:tcBorders>
            <w:shd w:val="clear" w:color="000000" w:fill="B6D5E4"/>
            <w:vAlign w:val="bottom"/>
            <w:hideMark/>
          </w:tcPr>
          <w:p w14:paraId="2E066005" w14:textId="77777777" w:rsidR="008853F4" w:rsidRPr="008853F4" w:rsidRDefault="008853F4" w:rsidP="008853F4">
            <w:pPr>
              <w:tabs>
                <w:tab w:val="clear" w:pos="567"/>
              </w:tabs>
              <w:spacing w:before="0" w:line="240" w:lineRule="auto"/>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xml:space="preserve">GST relativities </w:t>
            </w:r>
          </w:p>
        </w:tc>
        <w:tc>
          <w:tcPr>
            <w:tcW w:w="720" w:type="dxa"/>
            <w:tcBorders>
              <w:top w:val="single" w:sz="4" w:space="0" w:color="ADD6EA"/>
              <w:left w:val="nil"/>
              <w:bottom w:val="single" w:sz="4" w:space="0" w:color="ADD6EA"/>
              <w:right w:val="nil"/>
            </w:tcBorders>
            <w:shd w:val="clear" w:color="000000" w:fill="B6D5E4"/>
            <w:vAlign w:val="bottom"/>
            <w:hideMark/>
          </w:tcPr>
          <w:p w14:paraId="459E7DDA" w14:textId="77777777" w:rsidR="008853F4" w:rsidRPr="008853F4" w:rsidRDefault="008853F4" w:rsidP="008853F4">
            <w:pPr>
              <w:tabs>
                <w:tab w:val="clear" w:pos="567"/>
              </w:tabs>
              <w:spacing w:before="0" w:line="240" w:lineRule="auto"/>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C4EEC75"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AD243A9"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F7A674F"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5DA3563"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F3F023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F43C294"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58C8B1F"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BC1F88F"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r>
      <w:tr w:rsidR="008853F4" w:rsidRPr="008853F4" w14:paraId="4633ACBD" w14:textId="77777777" w:rsidTr="008853F4">
        <w:trPr>
          <w:trHeight w:val="315"/>
        </w:trPr>
        <w:tc>
          <w:tcPr>
            <w:tcW w:w="2560" w:type="dxa"/>
            <w:tcBorders>
              <w:top w:val="nil"/>
              <w:left w:val="nil"/>
              <w:bottom w:val="nil"/>
              <w:right w:val="nil"/>
            </w:tcBorders>
            <w:shd w:val="clear" w:color="000000" w:fill="FFFFFF"/>
            <w:vAlign w:val="bottom"/>
            <w:hideMark/>
          </w:tcPr>
          <w:p w14:paraId="10C9A562" w14:textId="77777777" w:rsidR="008853F4" w:rsidRPr="008853F4" w:rsidRDefault="008853F4" w:rsidP="008853F4">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2025-26</w:t>
            </w:r>
          </w:p>
        </w:tc>
        <w:tc>
          <w:tcPr>
            <w:tcW w:w="720" w:type="dxa"/>
            <w:tcBorders>
              <w:top w:val="nil"/>
              <w:left w:val="nil"/>
              <w:bottom w:val="nil"/>
              <w:right w:val="nil"/>
            </w:tcBorders>
            <w:shd w:val="clear" w:color="000000" w:fill="FFFFFF"/>
            <w:vAlign w:val="bottom"/>
            <w:hideMark/>
          </w:tcPr>
          <w:p w14:paraId="22DA532E"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0.86034</w:t>
            </w:r>
          </w:p>
        </w:tc>
        <w:tc>
          <w:tcPr>
            <w:tcW w:w="720" w:type="dxa"/>
            <w:tcBorders>
              <w:top w:val="single" w:sz="4" w:space="0" w:color="ADD6EA"/>
              <w:left w:val="nil"/>
              <w:bottom w:val="single" w:sz="4" w:space="0" w:color="ADD6EA"/>
              <w:right w:val="nil"/>
            </w:tcBorders>
            <w:shd w:val="clear" w:color="000000" w:fill="FFFFFF"/>
            <w:vAlign w:val="bottom"/>
            <w:hideMark/>
          </w:tcPr>
          <w:p w14:paraId="2CB5D67E"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1.06722</w:t>
            </w:r>
          </w:p>
        </w:tc>
        <w:tc>
          <w:tcPr>
            <w:tcW w:w="720" w:type="dxa"/>
            <w:tcBorders>
              <w:top w:val="single" w:sz="4" w:space="0" w:color="ADD6EA"/>
              <w:left w:val="nil"/>
              <w:bottom w:val="nil"/>
              <w:right w:val="nil"/>
            </w:tcBorders>
            <w:shd w:val="clear" w:color="000000" w:fill="FFFFFF"/>
            <w:vAlign w:val="bottom"/>
            <w:hideMark/>
          </w:tcPr>
          <w:p w14:paraId="56F25DE3"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0.84571</w:t>
            </w:r>
          </w:p>
        </w:tc>
        <w:tc>
          <w:tcPr>
            <w:tcW w:w="720" w:type="dxa"/>
            <w:tcBorders>
              <w:top w:val="single" w:sz="4" w:space="0" w:color="ADD6EA"/>
              <w:left w:val="nil"/>
              <w:bottom w:val="nil"/>
              <w:right w:val="nil"/>
            </w:tcBorders>
            <w:shd w:val="clear" w:color="000000" w:fill="FFFFFF"/>
            <w:vAlign w:val="bottom"/>
            <w:hideMark/>
          </w:tcPr>
          <w:p w14:paraId="2B08BD8F"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0.75000</w:t>
            </w:r>
          </w:p>
        </w:tc>
        <w:tc>
          <w:tcPr>
            <w:tcW w:w="720" w:type="dxa"/>
            <w:tcBorders>
              <w:top w:val="single" w:sz="4" w:space="0" w:color="ADD6EA"/>
              <w:left w:val="nil"/>
              <w:bottom w:val="nil"/>
              <w:right w:val="nil"/>
            </w:tcBorders>
            <w:shd w:val="clear" w:color="000000" w:fill="FFFFFF"/>
            <w:vAlign w:val="bottom"/>
            <w:hideMark/>
          </w:tcPr>
          <w:p w14:paraId="095CE69A"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1.38876</w:t>
            </w:r>
          </w:p>
        </w:tc>
        <w:tc>
          <w:tcPr>
            <w:tcW w:w="720" w:type="dxa"/>
            <w:tcBorders>
              <w:top w:val="single" w:sz="4" w:space="0" w:color="ADD6EA"/>
              <w:left w:val="nil"/>
              <w:bottom w:val="nil"/>
              <w:right w:val="nil"/>
            </w:tcBorders>
            <w:shd w:val="clear" w:color="000000" w:fill="FFFFFF"/>
            <w:vAlign w:val="bottom"/>
            <w:hideMark/>
          </w:tcPr>
          <w:p w14:paraId="4C0758A4"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1.84053</w:t>
            </w:r>
          </w:p>
        </w:tc>
        <w:tc>
          <w:tcPr>
            <w:tcW w:w="720" w:type="dxa"/>
            <w:tcBorders>
              <w:top w:val="single" w:sz="4" w:space="0" w:color="ADD6EA"/>
              <w:left w:val="nil"/>
              <w:bottom w:val="nil"/>
              <w:right w:val="nil"/>
            </w:tcBorders>
            <w:shd w:val="clear" w:color="000000" w:fill="FFFFFF"/>
            <w:vAlign w:val="bottom"/>
            <w:hideMark/>
          </w:tcPr>
          <w:p w14:paraId="50E07C58"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1.17223</w:t>
            </w:r>
          </w:p>
        </w:tc>
        <w:tc>
          <w:tcPr>
            <w:tcW w:w="720" w:type="dxa"/>
            <w:tcBorders>
              <w:top w:val="single" w:sz="4" w:space="0" w:color="ADD6EA"/>
              <w:left w:val="nil"/>
              <w:bottom w:val="nil"/>
              <w:right w:val="nil"/>
            </w:tcBorders>
            <w:shd w:val="clear" w:color="000000" w:fill="FFFFFF"/>
            <w:vAlign w:val="bottom"/>
            <w:hideMark/>
          </w:tcPr>
          <w:p w14:paraId="4F0F23F8"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5.15112</w:t>
            </w:r>
          </w:p>
        </w:tc>
        <w:tc>
          <w:tcPr>
            <w:tcW w:w="720" w:type="dxa"/>
            <w:tcBorders>
              <w:top w:val="single" w:sz="4" w:space="0" w:color="ADD6EA"/>
              <w:left w:val="nil"/>
              <w:bottom w:val="nil"/>
              <w:right w:val="nil"/>
            </w:tcBorders>
            <w:shd w:val="clear" w:color="000000" w:fill="FFFFFF"/>
            <w:vAlign w:val="bottom"/>
            <w:hideMark/>
          </w:tcPr>
          <w:p w14:paraId="12E3BF6E"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1.00000</w:t>
            </w:r>
          </w:p>
        </w:tc>
      </w:tr>
      <w:tr w:rsidR="008853F4" w:rsidRPr="008853F4" w14:paraId="654B6E99" w14:textId="77777777" w:rsidTr="008853F4">
        <w:trPr>
          <w:trHeight w:val="315"/>
        </w:trPr>
        <w:tc>
          <w:tcPr>
            <w:tcW w:w="2560" w:type="dxa"/>
            <w:tcBorders>
              <w:top w:val="single" w:sz="4" w:space="0" w:color="ADD6EA"/>
              <w:left w:val="nil"/>
              <w:bottom w:val="nil"/>
              <w:right w:val="nil"/>
            </w:tcBorders>
            <w:shd w:val="clear" w:color="000000" w:fill="FFFFFF"/>
            <w:vAlign w:val="bottom"/>
            <w:hideMark/>
          </w:tcPr>
          <w:p w14:paraId="477696F7" w14:textId="77777777" w:rsidR="008853F4" w:rsidRPr="008853F4" w:rsidRDefault="008853F4" w:rsidP="008853F4">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2026-27</w:t>
            </w:r>
          </w:p>
        </w:tc>
        <w:tc>
          <w:tcPr>
            <w:tcW w:w="720" w:type="dxa"/>
            <w:tcBorders>
              <w:top w:val="single" w:sz="4" w:space="0" w:color="ADD6EA"/>
              <w:left w:val="nil"/>
              <w:bottom w:val="nil"/>
              <w:right w:val="nil"/>
            </w:tcBorders>
            <w:shd w:val="clear" w:color="000000" w:fill="FFFFFF"/>
            <w:vAlign w:val="bottom"/>
            <w:hideMark/>
          </w:tcPr>
          <w:p w14:paraId="2B8A667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0.81964</w:t>
            </w:r>
          </w:p>
        </w:tc>
        <w:tc>
          <w:tcPr>
            <w:tcW w:w="720" w:type="dxa"/>
            <w:tcBorders>
              <w:top w:val="nil"/>
              <w:left w:val="nil"/>
              <w:bottom w:val="nil"/>
              <w:right w:val="nil"/>
            </w:tcBorders>
            <w:shd w:val="clear" w:color="000000" w:fill="FFFFFF"/>
            <w:vAlign w:val="bottom"/>
            <w:hideMark/>
          </w:tcPr>
          <w:p w14:paraId="77888EF5"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1.05742</w:t>
            </w:r>
          </w:p>
        </w:tc>
        <w:tc>
          <w:tcPr>
            <w:tcW w:w="720" w:type="dxa"/>
            <w:tcBorders>
              <w:top w:val="single" w:sz="4" w:space="0" w:color="ADD6EA"/>
              <w:left w:val="nil"/>
              <w:bottom w:val="nil"/>
              <w:right w:val="nil"/>
            </w:tcBorders>
            <w:shd w:val="clear" w:color="000000" w:fill="FFFFFF"/>
            <w:vAlign w:val="bottom"/>
            <w:hideMark/>
          </w:tcPr>
          <w:p w14:paraId="4CE136A7"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0.87237</w:t>
            </w:r>
          </w:p>
        </w:tc>
        <w:tc>
          <w:tcPr>
            <w:tcW w:w="720" w:type="dxa"/>
            <w:tcBorders>
              <w:top w:val="single" w:sz="4" w:space="0" w:color="ADD6EA"/>
              <w:left w:val="nil"/>
              <w:bottom w:val="nil"/>
              <w:right w:val="nil"/>
            </w:tcBorders>
            <w:shd w:val="clear" w:color="000000" w:fill="FFFFFF"/>
            <w:vAlign w:val="bottom"/>
            <w:hideMark/>
          </w:tcPr>
          <w:p w14:paraId="76FA830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0.81964</w:t>
            </w:r>
          </w:p>
        </w:tc>
        <w:tc>
          <w:tcPr>
            <w:tcW w:w="720" w:type="dxa"/>
            <w:tcBorders>
              <w:top w:val="single" w:sz="4" w:space="0" w:color="ADD6EA"/>
              <w:left w:val="nil"/>
              <w:bottom w:val="nil"/>
              <w:right w:val="nil"/>
            </w:tcBorders>
            <w:shd w:val="clear" w:color="000000" w:fill="FFFFFF"/>
            <w:vAlign w:val="bottom"/>
            <w:hideMark/>
          </w:tcPr>
          <w:p w14:paraId="03808B25"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1.35920</w:t>
            </w:r>
          </w:p>
        </w:tc>
        <w:tc>
          <w:tcPr>
            <w:tcW w:w="720" w:type="dxa"/>
            <w:tcBorders>
              <w:top w:val="single" w:sz="4" w:space="0" w:color="ADD6EA"/>
              <w:left w:val="nil"/>
              <w:bottom w:val="nil"/>
              <w:right w:val="nil"/>
            </w:tcBorders>
            <w:shd w:val="clear" w:color="000000" w:fill="FFFFFF"/>
            <w:vAlign w:val="bottom"/>
            <w:hideMark/>
          </w:tcPr>
          <w:p w14:paraId="7566AC88"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1.88285</w:t>
            </w:r>
          </w:p>
        </w:tc>
        <w:tc>
          <w:tcPr>
            <w:tcW w:w="720" w:type="dxa"/>
            <w:tcBorders>
              <w:top w:val="single" w:sz="4" w:space="0" w:color="ADD6EA"/>
              <w:left w:val="nil"/>
              <w:bottom w:val="nil"/>
              <w:right w:val="nil"/>
            </w:tcBorders>
            <w:shd w:val="clear" w:color="000000" w:fill="FFFFFF"/>
            <w:vAlign w:val="bottom"/>
            <w:hideMark/>
          </w:tcPr>
          <w:p w14:paraId="7EF5D00B"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1.16179</w:t>
            </w:r>
          </w:p>
        </w:tc>
        <w:tc>
          <w:tcPr>
            <w:tcW w:w="720" w:type="dxa"/>
            <w:tcBorders>
              <w:top w:val="single" w:sz="4" w:space="0" w:color="ADD6EA"/>
              <w:left w:val="nil"/>
              <w:bottom w:val="nil"/>
              <w:right w:val="nil"/>
            </w:tcBorders>
            <w:shd w:val="clear" w:color="000000" w:fill="FFFFFF"/>
            <w:vAlign w:val="bottom"/>
            <w:hideMark/>
          </w:tcPr>
          <w:p w14:paraId="373B32E7"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5.24149</w:t>
            </w:r>
          </w:p>
        </w:tc>
        <w:tc>
          <w:tcPr>
            <w:tcW w:w="720" w:type="dxa"/>
            <w:tcBorders>
              <w:top w:val="single" w:sz="4" w:space="0" w:color="ADD6EA"/>
              <w:left w:val="nil"/>
              <w:bottom w:val="nil"/>
              <w:right w:val="nil"/>
            </w:tcBorders>
            <w:shd w:val="clear" w:color="000000" w:fill="FFFFFF"/>
            <w:vAlign w:val="bottom"/>
            <w:hideMark/>
          </w:tcPr>
          <w:p w14:paraId="751C99F6"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1.00000</w:t>
            </w:r>
          </w:p>
        </w:tc>
      </w:tr>
      <w:tr w:rsidR="008853F4" w:rsidRPr="008853F4" w14:paraId="6FC5B4A6" w14:textId="77777777" w:rsidTr="008853F4">
        <w:trPr>
          <w:trHeight w:val="315"/>
        </w:trPr>
        <w:tc>
          <w:tcPr>
            <w:tcW w:w="2560" w:type="dxa"/>
            <w:tcBorders>
              <w:top w:val="single" w:sz="4" w:space="0" w:color="ADD6EA"/>
              <w:left w:val="nil"/>
              <w:bottom w:val="single" w:sz="4" w:space="0" w:color="ADD6EA"/>
              <w:right w:val="nil"/>
            </w:tcBorders>
            <w:shd w:val="clear" w:color="000000" w:fill="B6D5E4"/>
            <w:vAlign w:val="bottom"/>
            <w:hideMark/>
          </w:tcPr>
          <w:p w14:paraId="19DEC3B8" w14:textId="77777777" w:rsidR="008853F4" w:rsidRPr="008853F4" w:rsidRDefault="008853F4" w:rsidP="008853F4">
            <w:pPr>
              <w:tabs>
                <w:tab w:val="clear" w:pos="567"/>
              </w:tabs>
              <w:spacing w:before="0" w:line="240" w:lineRule="auto"/>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GST shares (%)</w:t>
            </w:r>
          </w:p>
        </w:tc>
        <w:tc>
          <w:tcPr>
            <w:tcW w:w="720" w:type="dxa"/>
            <w:tcBorders>
              <w:top w:val="single" w:sz="4" w:space="0" w:color="ADD6EA"/>
              <w:left w:val="nil"/>
              <w:bottom w:val="single" w:sz="4" w:space="0" w:color="ADD6EA"/>
              <w:right w:val="nil"/>
            </w:tcBorders>
            <w:shd w:val="clear" w:color="000000" w:fill="B6D5E4"/>
            <w:vAlign w:val="bottom"/>
            <w:hideMark/>
          </w:tcPr>
          <w:p w14:paraId="12071F0C" w14:textId="77777777" w:rsidR="008853F4" w:rsidRPr="008853F4" w:rsidRDefault="008853F4" w:rsidP="008853F4">
            <w:pPr>
              <w:tabs>
                <w:tab w:val="clear" w:pos="567"/>
              </w:tabs>
              <w:spacing w:before="0" w:line="240" w:lineRule="auto"/>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63EC17D"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20919FBE"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DAA12DE"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0A29621"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86654C5"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8CEC8CE"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FFA6C5E"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151C0A59"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r>
      <w:tr w:rsidR="008853F4" w:rsidRPr="008853F4" w14:paraId="361F10C8" w14:textId="77777777" w:rsidTr="008853F4">
        <w:trPr>
          <w:trHeight w:val="315"/>
        </w:trPr>
        <w:tc>
          <w:tcPr>
            <w:tcW w:w="2560" w:type="dxa"/>
            <w:tcBorders>
              <w:top w:val="nil"/>
              <w:left w:val="nil"/>
              <w:bottom w:val="nil"/>
              <w:right w:val="nil"/>
            </w:tcBorders>
            <w:shd w:val="clear" w:color="000000" w:fill="FFFFFF"/>
            <w:vAlign w:val="bottom"/>
            <w:hideMark/>
          </w:tcPr>
          <w:p w14:paraId="0EB0269D" w14:textId="77777777" w:rsidR="008853F4" w:rsidRPr="008853F4" w:rsidRDefault="008853F4" w:rsidP="008853F4">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2025-26</w:t>
            </w:r>
          </w:p>
        </w:tc>
        <w:tc>
          <w:tcPr>
            <w:tcW w:w="720" w:type="dxa"/>
            <w:tcBorders>
              <w:top w:val="nil"/>
              <w:left w:val="nil"/>
              <w:bottom w:val="nil"/>
              <w:right w:val="nil"/>
            </w:tcBorders>
            <w:shd w:val="clear" w:color="000000" w:fill="FFFFFF"/>
            <w:vAlign w:val="bottom"/>
            <w:hideMark/>
          </w:tcPr>
          <w:p w14:paraId="16C61481"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26.7</w:t>
            </w:r>
          </w:p>
        </w:tc>
        <w:tc>
          <w:tcPr>
            <w:tcW w:w="720" w:type="dxa"/>
            <w:tcBorders>
              <w:top w:val="single" w:sz="4" w:space="0" w:color="ADD6EA"/>
              <w:left w:val="nil"/>
              <w:bottom w:val="nil"/>
              <w:right w:val="nil"/>
            </w:tcBorders>
            <w:shd w:val="clear" w:color="000000" w:fill="FFFFFF"/>
            <w:vAlign w:val="bottom"/>
            <w:hideMark/>
          </w:tcPr>
          <w:p w14:paraId="480D4692"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27.3</w:t>
            </w:r>
          </w:p>
        </w:tc>
        <w:tc>
          <w:tcPr>
            <w:tcW w:w="720" w:type="dxa"/>
            <w:tcBorders>
              <w:top w:val="single" w:sz="4" w:space="0" w:color="ADD6EA"/>
              <w:left w:val="nil"/>
              <w:bottom w:val="nil"/>
              <w:right w:val="nil"/>
            </w:tcBorders>
            <w:shd w:val="clear" w:color="000000" w:fill="FFFFFF"/>
            <w:vAlign w:val="bottom"/>
            <w:hideMark/>
          </w:tcPr>
          <w:p w14:paraId="4059213C"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17.4</w:t>
            </w:r>
          </w:p>
        </w:tc>
        <w:tc>
          <w:tcPr>
            <w:tcW w:w="720" w:type="dxa"/>
            <w:tcBorders>
              <w:top w:val="single" w:sz="4" w:space="0" w:color="ADD6EA"/>
              <w:left w:val="nil"/>
              <w:bottom w:val="nil"/>
              <w:right w:val="nil"/>
            </w:tcBorders>
            <w:shd w:val="clear" w:color="000000" w:fill="FFFFFF"/>
            <w:vAlign w:val="bottom"/>
            <w:hideMark/>
          </w:tcPr>
          <w:p w14:paraId="365CDE9A"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8.3</w:t>
            </w:r>
          </w:p>
        </w:tc>
        <w:tc>
          <w:tcPr>
            <w:tcW w:w="720" w:type="dxa"/>
            <w:tcBorders>
              <w:top w:val="single" w:sz="4" w:space="0" w:color="ADD6EA"/>
              <w:left w:val="nil"/>
              <w:bottom w:val="nil"/>
              <w:right w:val="nil"/>
            </w:tcBorders>
            <w:shd w:val="clear" w:color="000000" w:fill="FFFFFF"/>
            <w:vAlign w:val="bottom"/>
            <w:hideMark/>
          </w:tcPr>
          <w:p w14:paraId="23D491B0"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9.5</w:t>
            </w:r>
          </w:p>
        </w:tc>
        <w:tc>
          <w:tcPr>
            <w:tcW w:w="720" w:type="dxa"/>
            <w:tcBorders>
              <w:top w:val="single" w:sz="4" w:space="0" w:color="ADD6EA"/>
              <w:left w:val="nil"/>
              <w:bottom w:val="nil"/>
              <w:right w:val="nil"/>
            </w:tcBorders>
            <w:shd w:val="clear" w:color="000000" w:fill="FFFFFF"/>
            <w:vAlign w:val="bottom"/>
            <w:hideMark/>
          </w:tcPr>
          <w:p w14:paraId="2CE5DB50"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3.8</w:t>
            </w:r>
          </w:p>
        </w:tc>
        <w:tc>
          <w:tcPr>
            <w:tcW w:w="720" w:type="dxa"/>
            <w:tcBorders>
              <w:top w:val="single" w:sz="4" w:space="0" w:color="ADD6EA"/>
              <w:left w:val="nil"/>
              <w:bottom w:val="nil"/>
              <w:right w:val="nil"/>
            </w:tcBorders>
            <w:shd w:val="clear" w:color="000000" w:fill="FFFFFF"/>
            <w:vAlign w:val="bottom"/>
            <w:hideMark/>
          </w:tcPr>
          <w:p w14:paraId="091B65C1"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2.1</w:t>
            </w:r>
          </w:p>
        </w:tc>
        <w:tc>
          <w:tcPr>
            <w:tcW w:w="720" w:type="dxa"/>
            <w:tcBorders>
              <w:top w:val="single" w:sz="4" w:space="0" w:color="ADD6EA"/>
              <w:left w:val="nil"/>
              <w:bottom w:val="nil"/>
              <w:right w:val="nil"/>
            </w:tcBorders>
            <w:shd w:val="clear" w:color="000000" w:fill="FFFFFF"/>
            <w:vAlign w:val="bottom"/>
            <w:hideMark/>
          </w:tcPr>
          <w:p w14:paraId="7B1B60D8"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4.9</w:t>
            </w:r>
          </w:p>
        </w:tc>
        <w:tc>
          <w:tcPr>
            <w:tcW w:w="720" w:type="dxa"/>
            <w:tcBorders>
              <w:top w:val="single" w:sz="4" w:space="0" w:color="ADD6EA"/>
              <w:left w:val="nil"/>
              <w:bottom w:val="nil"/>
              <w:right w:val="nil"/>
            </w:tcBorders>
            <w:shd w:val="clear" w:color="000000" w:fill="FFFFFF"/>
            <w:vAlign w:val="bottom"/>
            <w:hideMark/>
          </w:tcPr>
          <w:p w14:paraId="645F4676"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100</w:t>
            </w:r>
          </w:p>
        </w:tc>
      </w:tr>
      <w:tr w:rsidR="008853F4" w:rsidRPr="008853F4" w14:paraId="24B0AABC" w14:textId="77777777" w:rsidTr="008853F4">
        <w:trPr>
          <w:trHeight w:val="315"/>
        </w:trPr>
        <w:tc>
          <w:tcPr>
            <w:tcW w:w="2560" w:type="dxa"/>
            <w:tcBorders>
              <w:top w:val="single" w:sz="4" w:space="0" w:color="ADD6EA"/>
              <w:left w:val="nil"/>
              <w:bottom w:val="nil"/>
              <w:right w:val="nil"/>
            </w:tcBorders>
            <w:shd w:val="clear" w:color="000000" w:fill="FFFFFF"/>
            <w:vAlign w:val="bottom"/>
            <w:hideMark/>
          </w:tcPr>
          <w:p w14:paraId="60D3A26B" w14:textId="77777777" w:rsidR="008853F4" w:rsidRPr="008853F4" w:rsidRDefault="008853F4" w:rsidP="008853F4">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2026-27</w:t>
            </w:r>
          </w:p>
        </w:tc>
        <w:tc>
          <w:tcPr>
            <w:tcW w:w="720" w:type="dxa"/>
            <w:tcBorders>
              <w:top w:val="single" w:sz="4" w:space="0" w:color="ADD6EA"/>
              <w:left w:val="nil"/>
              <w:bottom w:val="nil"/>
              <w:right w:val="nil"/>
            </w:tcBorders>
            <w:shd w:val="clear" w:color="000000" w:fill="FFFFFF"/>
            <w:vAlign w:val="bottom"/>
            <w:hideMark/>
          </w:tcPr>
          <w:p w14:paraId="320AD3F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25.5</w:t>
            </w:r>
          </w:p>
        </w:tc>
        <w:tc>
          <w:tcPr>
            <w:tcW w:w="720" w:type="dxa"/>
            <w:tcBorders>
              <w:top w:val="single" w:sz="4" w:space="0" w:color="ADD6EA"/>
              <w:left w:val="nil"/>
              <w:bottom w:val="nil"/>
              <w:right w:val="nil"/>
            </w:tcBorders>
            <w:shd w:val="clear" w:color="000000" w:fill="FFFFFF"/>
            <w:vAlign w:val="bottom"/>
            <w:hideMark/>
          </w:tcPr>
          <w:p w14:paraId="64717BB2"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27.2</w:t>
            </w:r>
          </w:p>
        </w:tc>
        <w:tc>
          <w:tcPr>
            <w:tcW w:w="720" w:type="dxa"/>
            <w:tcBorders>
              <w:top w:val="single" w:sz="4" w:space="0" w:color="ADD6EA"/>
              <w:left w:val="nil"/>
              <w:bottom w:val="nil"/>
              <w:right w:val="nil"/>
            </w:tcBorders>
            <w:shd w:val="clear" w:color="000000" w:fill="FFFFFF"/>
            <w:vAlign w:val="bottom"/>
            <w:hideMark/>
          </w:tcPr>
          <w:p w14:paraId="70A34FE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18.0</w:t>
            </w:r>
          </w:p>
        </w:tc>
        <w:tc>
          <w:tcPr>
            <w:tcW w:w="720" w:type="dxa"/>
            <w:tcBorders>
              <w:top w:val="single" w:sz="4" w:space="0" w:color="ADD6EA"/>
              <w:left w:val="nil"/>
              <w:bottom w:val="nil"/>
              <w:right w:val="nil"/>
            </w:tcBorders>
            <w:shd w:val="clear" w:color="000000" w:fill="FFFFFF"/>
            <w:vAlign w:val="bottom"/>
            <w:hideMark/>
          </w:tcPr>
          <w:p w14:paraId="443C3A03"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9.1</w:t>
            </w:r>
          </w:p>
        </w:tc>
        <w:tc>
          <w:tcPr>
            <w:tcW w:w="720" w:type="dxa"/>
            <w:tcBorders>
              <w:top w:val="single" w:sz="4" w:space="0" w:color="ADD6EA"/>
              <w:left w:val="nil"/>
              <w:bottom w:val="nil"/>
              <w:right w:val="nil"/>
            </w:tcBorders>
            <w:shd w:val="clear" w:color="000000" w:fill="FFFFFF"/>
            <w:vAlign w:val="bottom"/>
            <w:hideMark/>
          </w:tcPr>
          <w:p w14:paraId="558A65D2"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9.3</w:t>
            </w:r>
          </w:p>
        </w:tc>
        <w:tc>
          <w:tcPr>
            <w:tcW w:w="720" w:type="dxa"/>
            <w:tcBorders>
              <w:top w:val="single" w:sz="4" w:space="0" w:color="ADD6EA"/>
              <w:left w:val="nil"/>
              <w:bottom w:val="nil"/>
              <w:right w:val="nil"/>
            </w:tcBorders>
            <w:shd w:val="clear" w:color="000000" w:fill="FFFFFF"/>
            <w:vAlign w:val="bottom"/>
            <w:hideMark/>
          </w:tcPr>
          <w:p w14:paraId="3971163C"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3.9</w:t>
            </w:r>
          </w:p>
        </w:tc>
        <w:tc>
          <w:tcPr>
            <w:tcW w:w="720" w:type="dxa"/>
            <w:tcBorders>
              <w:top w:val="single" w:sz="4" w:space="0" w:color="ADD6EA"/>
              <w:left w:val="nil"/>
              <w:bottom w:val="nil"/>
              <w:right w:val="nil"/>
            </w:tcBorders>
            <w:shd w:val="clear" w:color="000000" w:fill="FFFFFF"/>
            <w:vAlign w:val="bottom"/>
            <w:hideMark/>
          </w:tcPr>
          <w:p w14:paraId="426ED9AF"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2.0</w:t>
            </w:r>
          </w:p>
        </w:tc>
        <w:tc>
          <w:tcPr>
            <w:tcW w:w="720" w:type="dxa"/>
            <w:tcBorders>
              <w:top w:val="single" w:sz="4" w:space="0" w:color="ADD6EA"/>
              <w:left w:val="nil"/>
              <w:bottom w:val="nil"/>
              <w:right w:val="nil"/>
            </w:tcBorders>
            <w:shd w:val="clear" w:color="000000" w:fill="FFFFFF"/>
            <w:vAlign w:val="bottom"/>
            <w:hideMark/>
          </w:tcPr>
          <w:p w14:paraId="31A1D8E7"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5.0</w:t>
            </w:r>
          </w:p>
        </w:tc>
        <w:tc>
          <w:tcPr>
            <w:tcW w:w="720" w:type="dxa"/>
            <w:tcBorders>
              <w:top w:val="single" w:sz="4" w:space="0" w:color="ADD6EA"/>
              <w:left w:val="nil"/>
              <w:bottom w:val="nil"/>
              <w:right w:val="nil"/>
            </w:tcBorders>
            <w:shd w:val="clear" w:color="000000" w:fill="FFFFFF"/>
            <w:vAlign w:val="bottom"/>
            <w:hideMark/>
          </w:tcPr>
          <w:p w14:paraId="290AF6F4"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100</w:t>
            </w:r>
          </w:p>
        </w:tc>
      </w:tr>
      <w:tr w:rsidR="008853F4" w:rsidRPr="008853F4" w14:paraId="62DEFEA9" w14:textId="77777777" w:rsidTr="008853F4">
        <w:trPr>
          <w:trHeight w:val="315"/>
        </w:trPr>
        <w:tc>
          <w:tcPr>
            <w:tcW w:w="3280" w:type="dxa"/>
            <w:gridSpan w:val="2"/>
            <w:tcBorders>
              <w:top w:val="single" w:sz="4" w:space="0" w:color="ADD6EA"/>
              <w:left w:val="nil"/>
              <w:bottom w:val="single" w:sz="4" w:space="0" w:color="ADD6EA"/>
              <w:right w:val="nil"/>
            </w:tcBorders>
            <w:shd w:val="clear" w:color="000000" w:fill="B6D5E4"/>
            <w:vAlign w:val="bottom"/>
            <w:hideMark/>
          </w:tcPr>
          <w:p w14:paraId="2892BBB3" w14:textId="77777777" w:rsidR="008853F4" w:rsidRPr="008853F4" w:rsidRDefault="008853F4" w:rsidP="008853F4">
            <w:pPr>
              <w:tabs>
                <w:tab w:val="clear" w:pos="567"/>
              </w:tabs>
              <w:spacing w:before="0" w:line="240" w:lineRule="auto"/>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GST distribution ($m)</w:t>
            </w:r>
          </w:p>
        </w:tc>
        <w:tc>
          <w:tcPr>
            <w:tcW w:w="720" w:type="dxa"/>
            <w:tcBorders>
              <w:top w:val="single" w:sz="4" w:space="0" w:color="ADD6EA"/>
              <w:left w:val="nil"/>
              <w:bottom w:val="nil"/>
              <w:right w:val="nil"/>
            </w:tcBorders>
            <w:shd w:val="clear" w:color="000000" w:fill="B6D5E4"/>
            <w:vAlign w:val="bottom"/>
            <w:hideMark/>
          </w:tcPr>
          <w:p w14:paraId="20378DDB"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0E49DD82"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42C37AA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60442104"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30B38EF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37F6A05"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7A13440A"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vAlign w:val="bottom"/>
            <w:hideMark/>
          </w:tcPr>
          <w:p w14:paraId="50262825"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 </w:t>
            </w:r>
          </w:p>
        </w:tc>
      </w:tr>
      <w:tr w:rsidR="008853F4" w:rsidRPr="008853F4" w14:paraId="299FF221" w14:textId="77777777" w:rsidTr="008853F4">
        <w:trPr>
          <w:trHeight w:val="315"/>
        </w:trPr>
        <w:tc>
          <w:tcPr>
            <w:tcW w:w="2560" w:type="dxa"/>
            <w:tcBorders>
              <w:top w:val="nil"/>
              <w:left w:val="nil"/>
              <w:bottom w:val="nil"/>
              <w:right w:val="nil"/>
            </w:tcBorders>
            <w:shd w:val="clear" w:color="000000" w:fill="FFFFFF"/>
            <w:vAlign w:val="bottom"/>
            <w:hideMark/>
          </w:tcPr>
          <w:p w14:paraId="1FDC96D4" w14:textId="77777777" w:rsidR="008853F4" w:rsidRPr="008853F4" w:rsidRDefault="008853F4" w:rsidP="008853F4">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2025-26</w:t>
            </w:r>
          </w:p>
        </w:tc>
        <w:tc>
          <w:tcPr>
            <w:tcW w:w="720" w:type="dxa"/>
            <w:tcBorders>
              <w:top w:val="nil"/>
              <w:left w:val="nil"/>
              <w:bottom w:val="nil"/>
              <w:right w:val="nil"/>
            </w:tcBorders>
            <w:shd w:val="clear" w:color="000000" w:fill="FFFFFF"/>
            <w:vAlign w:val="bottom"/>
            <w:hideMark/>
          </w:tcPr>
          <w:p w14:paraId="6C92F909"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25,807</w:t>
            </w:r>
          </w:p>
        </w:tc>
        <w:tc>
          <w:tcPr>
            <w:tcW w:w="720" w:type="dxa"/>
            <w:tcBorders>
              <w:top w:val="single" w:sz="4" w:space="0" w:color="ADD6EA"/>
              <w:left w:val="nil"/>
              <w:bottom w:val="nil"/>
              <w:right w:val="nil"/>
            </w:tcBorders>
            <w:shd w:val="clear" w:color="000000" w:fill="FFFFFF"/>
            <w:vAlign w:val="bottom"/>
            <w:hideMark/>
          </w:tcPr>
          <w:p w14:paraId="5D68CD0C"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26,373</w:t>
            </w:r>
          </w:p>
        </w:tc>
        <w:tc>
          <w:tcPr>
            <w:tcW w:w="720" w:type="dxa"/>
            <w:tcBorders>
              <w:top w:val="single" w:sz="4" w:space="0" w:color="ADD6EA"/>
              <w:left w:val="nil"/>
              <w:bottom w:val="nil"/>
              <w:right w:val="nil"/>
            </w:tcBorders>
            <w:shd w:val="clear" w:color="000000" w:fill="FFFFFF"/>
            <w:vAlign w:val="bottom"/>
            <w:hideMark/>
          </w:tcPr>
          <w:p w14:paraId="188F2C17"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16,758</w:t>
            </w:r>
          </w:p>
        </w:tc>
        <w:tc>
          <w:tcPr>
            <w:tcW w:w="720" w:type="dxa"/>
            <w:tcBorders>
              <w:top w:val="single" w:sz="4" w:space="0" w:color="ADD6EA"/>
              <w:left w:val="nil"/>
              <w:bottom w:val="nil"/>
              <w:right w:val="nil"/>
            </w:tcBorders>
            <w:shd w:val="clear" w:color="000000" w:fill="FFFFFF"/>
            <w:vAlign w:val="bottom"/>
            <w:hideMark/>
          </w:tcPr>
          <w:p w14:paraId="479B22F4"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7,990</w:t>
            </w:r>
          </w:p>
        </w:tc>
        <w:tc>
          <w:tcPr>
            <w:tcW w:w="720" w:type="dxa"/>
            <w:tcBorders>
              <w:top w:val="single" w:sz="4" w:space="0" w:color="ADD6EA"/>
              <w:left w:val="nil"/>
              <w:bottom w:val="nil"/>
              <w:right w:val="nil"/>
            </w:tcBorders>
            <w:shd w:val="clear" w:color="000000" w:fill="FFFFFF"/>
            <w:vAlign w:val="bottom"/>
            <w:hideMark/>
          </w:tcPr>
          <w:p w14:paraId="2598D81D"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9,206</w:t>
            </w:r>
          </w:p>
        </w:tc>
        <w:tc>
          <w:tcPr>
            <w:tcW w:w="720" w:type="dxa"/>
            <w:tcBorders>
              <w:top w:val="single" w:sz="4" w:space="0" w:color="ADD6EA"/>
              <w:left w:val="nil"/>
              <w:bottom w:val="nil"/>
              <w:right w:val="nil"/>
            </w:tcBorders>
            <w:shd w:val="clear" w:color="000000" w:fill="FFFFFF"/>
            <w:vAlign w:val="bottom"/>
            <w:hideMark/>
          </w:tcPr>
          <w:p w14:paraId="73A79278"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3,682</w:t>
            </w:r>
          </w:p>
        </w:tc>
        <w:tc>
          <w:tcPr>
            <w:tcW w:w="720" w:type="dxa"/>
            <w:tcBorders>
              <w:top w:val="single" w:sz="4" w:space="0" w:color="ADD6EA"/>
              <w:left w:val="nil"/>
              <w:bottom w:val="nil"/>
              <w:right w:val="nil"/>
            </w:tcBorders>
            <w:shd w:val="clear" w:color="000000" w:fill="FFFFFF"/>
            <w:vAlign w:val="bottom"/>
            <w:hideMark/>
          </w:tcPr>
          <w:p w14:paraId="7EAAFFCC"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1,985</w:t>
            </w:r>
          </w:p>
        </w:tc>
        <w:tc>
          <w:tcPr>
            <w:tcW w:w="720" w:type="dxa"/>
            <w:tcBorders>
              <w:top w:val="single" w:sz="4" w:space="0" w:color="ADD6EA"/>
              <w:left w:val="nil"/>
              <w:bottom w:val="nil"/>
              <w:right w:val="nil"/>
            </w:tcBorders>
            <w:shd w:val="clear" w:color="000000" w:fill="FFFFFF"/>
            <w:vAlign w:val="bottom"/>
            <w:hideMark/>
          </w:tcPr>
          <w:p w14:paraId="01243F35"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4,753</w:t>
            </w:r>
          </w:p>
        </w:tc>
        <w:tc>
          <w:tcPr>
            <w:tcW w:w="720" w:type="dxa"/>
            <w:tcBorders>
              <w:top w:val="single" w:sz="4" w:space="0" w:color="ADD6EA"/>
              <w:left w:val="nil"/>
              <w:bottom w:val="nil"/>
              <w:right w:val="nil"/>
            </w:tcBorders>
            <w:shd w:val="clear" w:color="000000" w:fill="FFFFFF"/>
            <w:vAlign w:val="bottom"/>
            <w:hideMark/>
          </w:tcPr>
          <w:p w14:paraId="66997EBC" w14:textId="77777777" w:rsidR="008853F4" w:rsidRPr="008853F4" w:rsidRDefault="008853F4" w:rsidP="008853F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8853F4">
              <w:rPr>
                <w:rFonts w:ascii="Open Sans Light" w:eastAsia="Times New Roman" w:hAnsi="Open Sans Light" w:cs="Open Sans Light"/>
                <w:color w:val="000000"/>
                <w:sz w:val="16"/>
                <w:szCs w:val="16"/>
                <w:lang w:eastAsia="en-AU"/>
              </w:rPr>
              <w:t>96,554</w:t>
            </w:r>
          </w:p>
        </w:tc>
      </w:tr>
      <w:tr w:rsidR="008853F4" w:rsidRPr="008853F4" w14:paraId="3629A101" w14:textId="77777777" w:rsidTr="008853F4">
        <w:trPr>
          <w:trHeight w:val="315"/>
        </w:trPr>
        <w:tc>
          <w:tcPr>
            <w:tcW w:w="2560" w:type="dxa"/>
            <w:tcBorders>
              <w:top w:val="single" w:sz="4" w:space="0" w:color="ADD6EA"/>
              <w:left w:val="nil"/>
              <w:bottom w:val="nil"/>
              <w:right w:val="nil"/>
            </w:tcBorders>
            <w:shd w:val="clear" w:color="000000" w:fill="FFFFFF"/>
            <w:vAlign w:val="bottom"/>
            <w:hideMark/>
          </w:tcPr>
          <w:p w14:paraId="78189648" w14:textId="77777777" w:rsidR="008853F4" w:rsidRPr="008853F4" w:rsidRDefault="008853F4" w:rsidP="008853F4">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2026-27</w:t>
            </w:r>
          </w:p>
        </w:tc>
        <w:tc>
          <w:tcPr>
            <w:tcW w:w="720" w:type="dxa"/>
            <w:tcBorders>
              <w:top w:val="single" w:sz="4" w:space="0" w:color="ADD6EA"/>
              <w:left w:val="nil"/>
              <w:bottom w:val="nil"/>
              <w:right w:val="nil"/>
            </w:tcBorders>
            <w:shd w:val="clear" w:color="000000" w:fill="FFFFFF"/>
            <w:vAlign w:val="bottom"/>
            <w:hideMark/>
          </w:tcPr>
          <w:p w14:paraId="624A2E22"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26,123</w:t>
            </w:r>
          </w:p>
        </w:tc>
        <w:tc>
          <w:tcPr>
            <w:tcW w:w="720" w:type="dxa"/>
            <w:tcBorders>
              <w:top w:val="single" w:sz="4" w:space="0" w:color="ADD6EA"/>
              <w:left w:val="nil"/>
              <w:bottom w:val="nil"/>
              <w:right w:val="nil"/>
            </w:tcBorders>
            <w:shd w:val="clear" w:color="000000" w:fill="FFFFFF"/>
            <w:vAlign w:val="bottom"/>
            <w:hideMark/>
          </w:tcPr>
          <w:p w14:paraId="52D8B06F"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27,867</w:t>
            </w:r>
          </w:p>
        </w:tc>
        <w:tc>
          <w:tcPr>
            <w:tcW w:w="720" w:type="dxa"/>
            <w:tcBorders>
              <w:top w:val="single" w:sz="4" w:space="0" w:color="ADD6EA"/>
              <w:left w:val="nil"/>
              <w:bottom w:val="nil"/>
              <w:right w:val="nil"/>
            </w:tcBorders>
            <w:shd w:val="clear" w:color="000000" w:fill="FFFFFF"/>
            <w:vAlign w:val="bottom"/>
            <w:hideMark/>
          </w:tcPr>
          <w:p w14:paraId="5DF5633F"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18,438</w:t>
            </w:r>
          </w:p>
        </w:tc>
        <w:tc>
          <w:tcPr>
            <w:tcW w:w="720" w:type="dxa"/>
            <w:tcBorders>
              <w:top w:val="single" w:sz="4" w:space="0" w:color="ADD6EA"/>
              <w:left w:val="nil"/>
              <w:bottom w:val="nil"/>
              <w:right w:val="nil"/>
            </w:tcBorders>
            <w:shd w:val="clear" w:color="000000" w:fill="FFFFFF"/>
            <w:vAlign w:val="bottom"/>
            <w:hideMark/>
          </w:tcPr>
          <w:p w14:paraId="29ED4852"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9,337</w:t>
            </w:r>
          </w:p>
        </w:tc>
        <w:tc>
          <w:tcPr>
            <w:tcW w:w="720" w:type="dxa"/>
            <w:tcBorders>
              <w:top w:val="single" w:sz="4" w:space="0" w:color="ADD6EA"/>
              <w:left w:val="nil"/>
              <w:bottom w:val="nil"/>
              <w:right w:val="nil"/>
            </w:tcBorders>
            <w:shd w:val="clear" w:color="000000" w:fill="FFFFFF"/>
            <w:vAlign w:val="bottom"/>
            <w:hideMark/>
          </w:tcPr>
          <w:p w14:paraId="0EFC42DD"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9,548</w:t>
            </w:r>
          </w:p>
        </w:tc>
        <w:tc>
          <w:tcPr>
            <w:tcW w:w="720" w:type="dxa"/>
            <w:tcBorders>
              <w:top w:val="single" w:sz="4" w:space="0" w:color="ADD6EA"/>
              <w:left w:val="nil"/>
              <w:bottom w:val="nil"/>
              <w:right w:val="nil"/>
            </w:tcBorders>
            <w:shd w:val="clear" w:color="000000" w:fill="FFFFFF"/>
            <w:vAlign w:val="bottom"/>
            <w:hideMark/>
          </w:tcPr>
          <w:p w14:paraId="7E9DE04A"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3,968</w:t>
            </w:r>
          </w:p>
        </w:tc>
        <w:tc>
          <w:tcPr>
            <w:tcW w:w="720" w:type="dxa"/>
            <w:tcBorders>
              <w:top w:val="single" w:sz="4" w:space="0" w:color="ADD6EA"/>
              <w:left w:val="nil"/>
              <w:bottom w:val="nil"/>
              <w:right w:val="nil"/>
            </w:tcBorders>
            <w:shd w:val="clear" w:color="000000" w:fill="FFFFFF"/>
            <w:vAlign w:val="bottom"/>
            <w:hideMark/>
          </w:tcPr>
          <w:p w14:paraId="09B26614"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2,095</w:t>
            </w:r>
          </w:p>
        </w:tc>
        <w:tc>
          <w:tcPr>
            <w:tcW w:w="720" w:type="dxa"/>
            <w:tcBorders>
              <w:top w:val="single" w:sz="4" w:space="0" w:color="ADD6EA"/>
              <w:left w:val="nil"/>
              <w:bottom w:val="nil"/>
              <w:right w:val="nil"/>
            </w:tcBorders>
            <w:shd w:val="clear" w:color="000000" w:fill="FFFFFF"/>
            <w:vAlign w:val="bottom"/>
            <w:hideMark/>
          </w:tcPr>
          <w:p w14:paraId="1C02D606"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5,142</w:t>
            </w:r>
          </w:p>
        </w:tc>
        <w:tc>
          <w:tcPr>
            <w:tcW w:w="720" w:type="dxa"/>
            <w:tcBorders>
              <w:top w:val="single" w:sz="4" w:space="0" w:color="ADD6EA"/>
              <w:left w:val="nil"/>
              <w:bottom w:val="nil"/>
              <w:right w:val="nil"/>
            </w:tcBorders>
            <w:shd w:val="clear" w:color="000000" w:fill="FFFFFF"/>
            <w:vAlign w:val="bottom"/>
            <w:hideMark/>
          </w:tcPr>
          <w:p w14:paraId="33D965F8"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102,518</w:t>
            </w:r>
          </w:p>
        </w:tc>
      </w:tr>
      <w:tr w:rsidR="008853F4" w:rsidRPr="008853F4" w14:paraId="5DC46F31" w14:textId="77777777" w:rsidTr="008853F4">
        <w:trPr>
          <w:trHeight w:val="315"/>
        </w:trPr>
        <w:tc>
          <w:tcPr>
            <w:tcW w:w="2560" w:type="dxa"/>
            <w:tcBorders>
              <w:top w:val="single" w:sz="4" w:space="0" w:color="ADD6EA"/>
              <w:left w:val="nil"/>
              <w:bottom w:val="single" w:sz="4" w:space="0" w:color="ADD6EA"/>
              <w:right w:val="nil"/>
            </w:tcBorders>
            <w:shd w:val="clear" w:color="000000" w:fill="D6E7F0"/>
            <w:vAlign w:val="bottom"/>
            <w:hideMark/>
          </w:tcPr>
          <w:p w14:paraId="761268E5" w14:textId="77777777" w:rsidR="008853F4" w:rsidRPr="008853F4" w:rsidRDefault="008853F4" w:rsidP="008853F4">
            <w:pPr>
              <w:tabs>
                <w:tab w:val="clear" w:pos="567"/>
              </w:tabs>
              <w:spacing w:before="0" w:line="240" w:lineRule="auto"/>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Difference</w:t>
            </w:r>
          </w:p>
        </w:tc>
        <w:tc>
          <w:tcPr>
            <w:tcW w:w="720" w:type="dxa"/>
            <w:tcBorders>
              <w:top w:val="single" w:sz="4" w:space="0" w:color="ADD6EA"/>
              <w:left w:val="nil"/>
              <w:bottom w:val="single" w:sz="4" w:space="0" w:color="ADD6EA"/>
              <w:right w:val="nil"/>
            </w:tcBorders>
            <w:shd w:val="clear" w:color="000000" w:fill="D6E7F0"/>
            <w:vAlign w:val="bottom"/>
            <w:hideMark/>
          </w:tcPr>
          <w:p w14:paraId="3B4F089C"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316</w:t>
            </w:r>
          </w:p>
        </w:tc>
        <w:tc>
          <w:tcPr>
            <w:tcW w:w="720" w:type="dxa"/>
            <w:tcBorders>
              <w:top w:val="single" w:sz="4" w:space="0" w:color="ADD6EA"/>
              <w:left w:val="nil"/>
              <w:bottom w:val="single" w:sz="4" w:space="0" w:color="ADD6EA"/>
              <w:right w:val="nil"/>
            </w:tcBorders>
            <w:shd w:val="clear" w:color="000000" w:fill="D6E7F0"/>
            <w:vAlign w:val="bottom"/>
            <w:hideMark/>
          </w:tcPr>
          <w:p w14:paraId="620A2668"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1,494</w:t>
            </w:r>
          </w:p>
        </w:tc>
        <w:tc>
          <w:tcPr>
            <w:tcW w:w="720" w:type="dxa"/>
            <w:tcBorders>
              <w:top w:val="single" w:sz="4" w:space="0" w:color="ADD6EA"/>
              <w:left w:val="nil"/>
              <w:bottom w:val="single" w:sz="4" w:space="0" w:color="ADD6EA"/>
              <w:right w:val="nil"/>
            </w:tcBorders>
            <w:shd w:val="clear" w:color="000000" w:fill="D6E7F0"/>
            <w:vAlign w:val="bottom"/>
            <w:hideMark/>
          </w:tcPr>
          <w:p w14:paraId="3A70468A"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1,680</w:t>
            </w:r>
          </w:p>
        </w:tc>
        <w:tc>
          <w:tcPr>
            <w:tcW w:w="720" w:type="dxa"/>
            <w:tcBorders>
              <w:top w:val="single" w:sz="4" w:space="0" w:color="ADD6EA"/>
              <w:left w:val="nil"/>
              <w:bottom w:val="single" w:sz="4" w:space="0" w:color="ADD6EA"/>
              <w:right w:val="nil"/>
            </w:tcBorders>
            <w:shd w:val="clear" w:color="000000" w:fill="D6E7F0"/>
            <w:vAlign w:val="bottom"/>
            <w:hideMark/>
          </w:tcPr>
          <w:p w14:paraId="004EDF0C"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1,347</w:t>
            </w:r>
          </w:p>
        </w:tc>
        <w:tc>
          <w:tcPr>
            <w:tcW w:w="720" w:type="dxa"/>
            <w:tcBorders>
              <w:top w:val="single" w:sz="4" w:space="0" w:color="ADD6EA"/>
              <w:left w:val="nil"/>
              <w:bottom w:val="single" w:sz="4" w:space="0" w:color="ADD6EA"/>
              <w:right w:val="nil"/>
            </w:tcBorders>
            <w:shd w:val="clear" w:color="000000" w:fill="D6E7F0"/>
            <w:vAlign w:val="bottom"/>
            <w:hideMark/>
          </w:tcPr>
          <w:p w14:paraId="6CCF8AB3"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342</w:t>
            </w:r>
          </w:p>
        </w:tc>
        <w:tc>
          <w:tcPr>
            <w:tcW w:w="720" w:type="dxa"/>
            <w:tcBorders>
              <w:top w:val="single" w:sz="4" w:space="0" w:color="ADD6EA"/>
              <w:left w:val="nil"/>
              <w:bottom w:val="nil"/>
              <w:right w:val="nil"/>
            </w:tcBorders>
            <w:shd w:val="clear" w:color="000000" w:fill="D6E7F0"/>
            <w:vAlign w:val="bottom"/>
            <w:hideMark/>
          </w:tcPr>
          <w:p w14:paraId="7108EFD5"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286</w:t>
            </w:r>
          </w:p>
        </w:tc>
        <w:tc>
          <w:tcPr>
            <w:tcW w:w="720" w:type="dxa"/>
            <w:tcBorders>
              <w:top w:val="single" w:sz="4" w:space="0" w:color="ADD6EA"/>
              <w:left w:val="nil"/>
              <w:bottom w:val="single" w:sz="4" w:space="0" w:color="ADD6EA"/>
              <w:right w:val="nil"/>
            </w:tcBorders>
            <w:shd w:val="clear" w:color="000000" w:fill="D6E7F0"/>
            <w:vAlign w:val="bottom"/>
            <w:hideMark/>
          </w:tcPr>
          <w:p w14:paraId="7EE5C1E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110</w:t>
            </w:r>
          </w:p>
        </w:tc>
        <w:tc>
          <w:tcPr>
            <w:tcW w:w="720" w:type="dxa"/>
            <w:tcBorders>
              <w:top w:val="single" w:sz="4" w:space="0" w:color="ADD6EA"/>
              <w:left w:val="nil"/>
              <w:bottom w:val="single" w:sz="4" w:space="0" w:color="ADD6EA"/>
              <w:right w:val="nil"/>
            </w:tcBorders>
            <w:shd w:val="clear" w:color="000000" w:fill="D6E7F0"/>
            <w:vAlign w:val="bottom"/>
            <w:hideMark/>
          </w:tcPr>
          <w:p w14:paraId="4F4BA62F"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389</w:t>
            </w:r>
          </w:p>
        </w:tc>
        <w:tc>
          <w:tcPr>
            <w:tcW w:w="720" w:type="dxa"/>
            <w:tcBorders>
              <w:top w:val="single" w:sz="4" w:space="0" w:color="ADD6EA"/>
              <w:left w:val="nil"/>
              <w:bottom w:val="single" w:sz="4" w:space="0" w:color="ADD6EA"/>
              <w:right w:val="nil"/>
            </w:tcBorders>
            <w:shd w:val="clear" w:color="000000" w:fill="D6E7F0"/>
            <w:vAlign w:val="bottom"/>
            <w:hideMark/>
          </w:tcPr>
          <w:p w14:paraId="2433440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5,964</w:t>
            </w:r>
          </w:p>
        </w:tc>
      </w:tr>
      <w:tr w:rsidR="008853F4" w:rsidRPr="008853F4" w14:paraId="72E3DAC4" w14:textId="77777777" w:rsidTr="008853F4">
        <w:trPr>
          <w:trHeight w:val="255"/>
        </w:trPr>
        <w:tc>
          <w:tcPr>
            <w:tcW w:w="2560" w:type="dxa"/>
            <w:tcBorders>
              <w:top w:val="nil"/>
              <w:left w:val="nil"/>
              <w:bottom w:val="single" w:sz="4" w:space="0" w:color="ADD6EA"/>
              <w:right w:val="nil"/>
            </w:tcBorders>
            <w:shd w:val="clear" w:color="000000" w:fill="D6E7F0"/>
            <w:vAlign w:val="bottom"/>
            <w:hideMark/>
          </w:tcPr>
          <w:p w14:paraId="53EA97AC" w14:textId="77777777" w:rsidR="008853F4" w:rsidRPr="008853F4" w:rsidRDefault="008853F4" w:rsidP="008853F4">
            <w:pPr>
              <w:tabs>
                <w:tab w:val="clear" w:pos="567"/>
              </w:tabs>
              <w:spacing w:before="0" w:line="240" w:lineRule="auto"/>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Difference ($pc)</w:t>
            </w:r>
          </w:p>
        </w:tc>
        <w:tc>
          <w:tcPr>
            <w:tcW w:w="720" w:type="dxa"/>
            <w:tcBorders>
              <w:top w:val="nil"/>
              <w:left w:val="nil"/>
              <w:bottom w:val="single" w:sz="4" w:space="0" w:color="ADD6EA"/>
              <w:right w:val="nil"/>
            </w:tcBorders>
            <w:shd w:val="clear" w:color="000000" w:fill="D6E7F0"/>
            <w:vAlign w:val="bottom"/>
            <w:hideMark/>
          </w:tcPr>
          <w:p w14:paraId="69C97866"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36</w:t>
            </w:r>
          </w:p>
        </w:tc>
        <w:tc>
          <w:tcPr>
            <w:tcW w:w="720" w:type="dxa"/>
            <w:tcBorders>
              <w:top w:val="nil"/>
              <w:left w:val="nil"/>
              <w:bottom w:val="single" w:sz="4" w:space="0" w:color="ADD6EA"/>
              <w:right w:val="nil"/>
            </w:tcBorders>
            <w:shd w:val="clear" w:color="000000" w:fill="D6E7F0"/>
            <w:vAlign w:val="bottom"/>
            <w:hideMark/>
          </w:tcPr>
          <w:p w14:paraId="711CD5DD"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207</w:t>
            </w:r>
          </w:p>
        </w:tc>
        <w:tc>
          <w:tcPr>
            <w:tcW w:w="720" w:type="dxa"/>
            <w:tcBorders>
              <w:top w:val="nil"/>
              <w:left w:val="nil"/>
              <w:bottom w:val="single" w:sz="4" w:space="0" w:color="ADD6EA"/>
              <w:right w:val="nil"/>
            </w:tcBorders>
            <w:shd w:val="clear" w:color="000000" w:fill="D6E7F0"/>
            <w:vAlign w:val="bottom"/>
            <w:hideMark/>
          </w:tcPr>
          <w:p w14:paraId="7A45864D"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290</w:t>
            </w:r>
          </w:p>
        </w:tc>
        <w:tc>
          <w:tcPr>
            <w:tcW w:w="720" w:type="dxa"/>
            <w:tcBorders>
              <w:top w:val="nil"/>
              <w:left w:val="nil"/>
              <w:bottom w:val="single" w:sz="4" w:space="0" w:color="ADD6EA"/>
              <w:right w:val="nil"/>
            </w:tcBorders>
            <w:shd w:val="clear" w:color="000000" w:fill="D6E7F0"/>
            <w:vAlign w:val="bottom"/>
            <w:hideMark/>
          </w:tcPr>
          <w:p w14:paraId="583E4476"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431</w:t>
            </w:r>
          </w:p>
        </w:tc>
        <w:tc>
          <w:tcPr>
            <w:tcW w:w="720" w:type="dxa"/>
            <w:tcBorders>
              <w:top w:val="nil"/>
              <w:left w:val="nil"/>
              <w:bottom w:val="single" w:sz="4" w:space="0" w:color="ADD6EA"/>
              <w:right w:val="nil"/>
            </w:tcBorders>
            <w:shd w:val="clear" w:color="000000" w:fill="D6E7F0"/>
            <w:vAlign w:val="bottom"/>
            <w:hideMark/>
          </w:tcPr>
          <w:p w14:paraId="67D552E2"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178</w:t>
            </w:r>
          </w:p>
        </w:tc>
        <w:tc>
          <w:tcPr>
            <w:tcW w:w="720" w:type="dxa"/>
            <w:tcBorders>
              <w:top w:val="single" w:sz="4" w:space="0" w:color="ADD6EA"/>
              <w:left w:val="nil"/>
              <w:bottom w:val="single" w:sz="4" w:space="0" w:color="ADD6EA"/>
              <w:right w:val="nil"/>
            </w:tcBorders>
            <w:shd w:val="clear" w:color="000000" w:fill="D6E7F0"/>
            <w:vAlign w:val="bottom"/>
            <w:hideMark/>
          </w:tcPr>
          <w:p w14:paraId="7DD99724"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496</w:t>
            </w:r>
          </w:p>
        </w:tc>
        <w:tc>
          <w:tcPr>
            <w:tcW w:w="720" w:type="dxa"/>
            <w:tcBorders>
              <w:top w:val="nil"/>
              <w:left w:val="nil"/>
              <w:bottom w:val="single" w:sz="4" w:space="0" w:color="ADD6EA"/>
              <w:right w:val="nil"/>
            </w:tcBorders>
            <w:shd w:val="clear" w:color="000000" w:fill="D6E7F0"/>
            <w:vAlign w:val="bottom"/>
            <w:hideMark/>
          </w:tcPr>
          <w:p w14:paraId="1F8847A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222</w:t>
            </w:r>
          </w:p>
        </w:tc>
        <w:tc>
          <w:tcPr>
            <w:tcW w:w="720" w:type="dxa"/>
            <w:tcBorders>
              <w:top w:val="nil"/>
              <w:left w:val="nil"/>
              <w:bottom w:val="single" w:sz="4" w:space="0" w:color="ADD6EA"/>
              <w:right w:val="nil"/>
            </w:tcBorders>
            <w:shd w:val="clear" w:color="000000" w:fill="D6E7F0"/>
            <w:vAlign w:val="bottom"/>
            <w:hideMark/>
          </w:tcPr>
          <w:p w14:paraId="4A308F3B"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1,446</w:t>
            </w:r>
          </w:p>
        </w:tc>
        <w:tc>
          <w:tcPr>
            <w:tcW w:w="720" w:type="dxa"/>
            <w:tcBorders>
              <w:top w:val="nil"/>
              <w:left w:val="nil"/>
              <w:bottom w:val="single" w:sz="4" w:space="0" w:color="ADD6EA"/>
              <w:right w:val="nil"/>
            </w:tcBorders>
            <w:shd w:val="clear" w:color="000000" w:fill="D6E7F0"/>
            <w:vAlign w:val="bottom"/>
            <w:hideMark/>
          </w:tcPr>
          <w:p w14:paraId="43F39690" w14:textId="77777777" w:rsidR="008853F4" w:rsidRPr="008853F4" w:rsidRDefault="008853F4" w:rsidP="008853F4">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8853F4">
              <w:rPr>
                <w:rFonts w:ascii="Open Sans Semibold" w:eastAsia="Times New Roman" w:hAnsi="Open Sans Semibold" w:cs="Open Sans Semibold"/>
                <w:color w:val="000000"/>
                <w:sz w:val="16"/>
                <w:szCs w:val="16"/>
                <w:lang w:eastAsia="en-AU"/>
              </w:rPr>
              <w:t>212</w:t>
            </w:r>
          </w:p>
        </w:tc>
      </w:tr>
    </w:tbl>
    <w:p w14:paraId="74502D48" w14:textId="55C456E4" w:rsidR="000801E5" w:rsidRPr="00650C7E" w:rsidRDefault="000801E5" w:rsidP="00A42F0D">
      <w:pPr>
        <w:pStyle w:val="CGC2025TableNote"/>
        <w:tabs>
          <w:tab w:val="clear" w:pos="567"/>
          <w:tab w:val="left" w:pos="709"/>
        </w:tabs>
        <w:rPr>
          <w:color w:val="FF0000"/>
        </w:rPr>
      </w:pPr>
      <w:r w:rsidRPr="00650C7E">
        <w:t>Note:</w:t>
      </w:r>
      <w:r w:rsidRPr="00650C7E">
        <w:tab/>
        <w:t xml:space="preserve">Estimates subject to changes in the GST pool and populations. </w:t>
      </w:r>
    </w:p>
    <w:p w14:paraId="42E6193E" w14:textId="77777777" w:rsidR="000801E5" w:rsidRPr="00C1522A" w:rsidRDefault="000801E5" w:rsidP="000801E5">
      <w:pPr>
        <w:pStyle w:val="CGC2025TableNote"/>
        <w:ind w:left="680" w:hanging="567"/>
      </w:pPr>
      <w:r w:rsidRPr="00C1522A">
        <w:t>Source:</w:t>
      </w:r>
      <w:r w:rsidRPr="00C1522A">
        <w:tab/>
        <w:t>2025–26 and 2026–27 GST pool estimates and 2025–26 population estimates were taken from the</w:t>
      </w:r>
      <w:r w:rsidRPr="00C1522A">
        <w:rPr>
          <w:sz w:val="20"/>
        </w:rPr>
        <w:t xml:space="preserve"> </w:t>
      </w:r>
      <w:hyperlink r:id="rId31" w:history="1">
        <w:r w:rsidRPr="00C1522A">
          <w:rPr>
            <w:rStyle w:val="Hyperlink"/>
            <w:i/>
            <w:iCs/>
          </w:rPr>
          <w:t>Mid-Year Economic and Fiscal Outloo</w:t>
        </w:r>
        <w:bookmarkStart w:id="40" w:name="_Hlt219988142"/>
        <w:bookmarkStart w:id="41" w:name="_Hlt219988143"/>
        <w:r w:rsidRPr="00C1522A">
          <w:rPr>
            <w:rStyle w:val="Hyperlink"/>
            <w:i/>
            <w:iCs/>
          </w:rPr>
          <w:t>k</w:t>
        </w:r>
        <w:bookmarkEnd w:id="40"/>
        <w:bookmarkEnd w:id="41"/>
        <w:r w:rsidRPr="00C1522A">
          <w:rPr>
            <w:rStyle w:val="Hyperlink"/>
            <w:i/>
            <w:iCs/>
          </w:rPr>
          <w:t xml:space="preserve"> 2025–26</w:t>
        </w:r>
      </w:hyperlink>
      <w:r w:rsidRPr="00C1522A">
        <w:t>. 2026–27 population estimates were provided by the Commonwealth Treasury.</w:t>
      </w:r>
    </w:p>
    <w:p w14:paraId="1063438E" w14:textId="77777777" w:rsidR="000801E5" w:rsidRPr="00B40643" w:rsidRDefault="000801E5" w:rsidP="000801E5">
      <w:r>
        <w:t>All states are estimated to receive an increase in GST distribution in 2026–27. Queensland will receive the largest increase in GST distribution of $1.7 billion ($290 per capita). The Northern Territory will receive the largest increase in per capita terms of $1,446.</w:t>
      </w:r>
    </w:p>
    <w:p w14:paraId="4B2364DE" w14:textId="1A265F22" w:rsidR="000801E5" w:rsidRPr="00ED4708" w:rsidRDefault="000801E5" w:rsidP="000801E5">
      <w:r>
        <w:t>Total</w:t>
      </w:r>
      <w:r w:rsidRPr="00ED4708">
        <w:t xml:space="preserve"> payments to the states will </w:t>
      </w:r>
      <w:r>
        <w:t>also</w:t>
      </w:r>
      <w:r w:rsidRPr="00ED4708">
        <w:t xml:space="preserve"> include no</w:t>
      </w:r>
      <w:r>
        <w:t> </w:t>
      </w:r>
      <w:r w:rsidRPr="00ED4708">
        <w:t>worse</w:t>
      </w:r>
      <w:r>
        <w:t> </w:t>
      </w:r>
      <w:r w:rsidRPr="00ED4708">
        <w:t xml:space="preserve">off payments, which ensure no state is worse off than it would have been </w:t>
      </w:r>
      <w:r>
        <w:t xml:space="preserve">under the GST arrangements that </w:t>
      </w:r>
      <w:r w:rsidR="00992B67">
        <w:t>existed</w:t>
      </w:r>
      <w:r>
        <w:t xml:space="preserve"> prior to</w:t>
      </w:r>
      <w:r w:rsidRPr="00ED4708">
        <w:t xml:space="preserve"> the 2018 GST distribution legislation. </w:t>
      </w:r>
      <w:r>
        <w:t xml:space="preserve">All states, other than Western Australia, are estimated to receive a no worse off payment in 2026–27. </w:t>
      </w:r>
    </w:p>
    <w:p w14:paraId="27E18106" w14:textId="77777777" w:rsidR="000801E5" w:rsidRPr="00386E48" w:rsidRDefault="000801E5" w:rsidP="000801E5">
      <w:r w:rsidRPr="003C2C06">
        <w:t>Appendix B provides further details on how GST relativities are calculated.</w:t>
      </w:r>
    </w:p>
    <w:p w14:paraId="111F9DFF" w14:textId="77777777" w:rsidR="000801E5" w:rsidRPr="00607566" w:rsidRDefault="000801E5" w:rsidP="003116B2">
      <w:pPr>
        <w:pStyle w:val="Heading2"/>
        <w:numPr>
          <w:ilvl w:val="1"/>
          <w:numId w:val="5"/>
        </w:numPr>
      </w:pPr>
      <w:r>
        <w:t>Movements in the GST distribution</w:t>
      </w:r>
    </w:p>
    <w:p w14:paraId="04FCF8D0" w14:textId="77777777" w:rsidR="000801E5" w:rsidRPr="00BD1869" w:rsidRDefault="000801E5" w:rsidP="000801E5">
      <w:r w:rsidRPr="00BD1869">
        <w:t>Table 1</w:t>
      </w:r>
      <w:r w:rsidRPr="00BD1869">
        <w:noBreakHyphen/>
        <w:t>2 shows the estimated change in GST distribution from changes to population shares, the GST pool and GST relativities between 2025–26 and 2026–27.</w:t>
      </w:r>
    </w:p>
    <w:p w14:paraId="77E1E760" w14:textId="77777777" w:rsidR="000801E5" w:rsidRPr="00E27071" w:rsidRDefault="000801E5" w:rsidP="000801E5">
      <w:pPr>
        <w:tabs>
          <w:tab w:val="clear" w:pos="567"/>
        </w:tabs>
        <w:spacing w:before="0" w:after="200" w:line="276" w:lineRule="auto"/>
        <w:rPr>
          <w:b/>
          <w:highlight w:val="yellow"/>
        </w:rPr>
      </w:pPr>
      <w:r w:rsidRPr="00E27071">
        <w:rPr>
          <w:highlight w:val="yellow"/>
        </w:rPr>
        <w:br w:type="page"/>
      </w:r>
    </w:p>
    <w:p w14:paraId="30764756" w14:textId="77777777" w:rsidR="000801E5" w:rsidRDefault="000801E5" w:rsidP="000801E5">
      <w:pPr>
        <w:pStyle w:val="CGC2025Caption"/>
        <w:ind w:left="1440" w:hanging="1440"/>
      </w:pPr>
      <w:r w:rsidRPr="00BD1869">
        <w:lastRenderedPageBreak/>
        <w:t>Table 1-2</w:t>
      </w:r>
      <w:r w:rsidRPr="00BD1869">
        <w:tab/>
        <w:t>Change in GST distribution, 2025–26 to 2026–27 (excludes no worse off payments)</w:t>
      </w:r>
    </w:p>
    <w:tbl>
      <w:tblPr>
        <w:tblW w:w="8960" w:type="dxa"/>
        <w:tblLook w:val="04A0" w:firstRow="1" w:lastRow="0" w:firstColumn="1" w:lastColumn="0" w:noHBand="0" w:noVBand="1"/>
      </w:tblPr>
      <w:tblGrid>
        <w:gridCol w:w="2939"/>
        <w:gridCol w:w="708"/>
        <w:gridCol w:w="708"/>
        <w:gridCol w:w="708"/>
        <w:gridCol w:w="625"/>
        <w:gridCol w:w="616"/>
        <w:gridCol w:w="616"/>
        <w:gridCol w:w="616"/>
        <w:gridCol w:w="625"/>
        <w:gridCol w:w="799"/>
      </w:tblGrid>
      <w:tr w:rsidR="00A87C12" w:rsidRPr="00A87C12" w14:paraId="7D23E248" w14:textId="77777777" w:rsidTr="00A87C12">
        <w:trPr>
          <w:trHeight w:val="380"/>
        </w:trPr>
        <w:tc>
          <w:tcPr>
            <w:tcW w:w="3160" w:type="dxa"/>
            <w:tcBorders>
              <w:top w:val="nil"/>
              <w:left w:val="nil"/>
              <w:bottom w:val="nil"/>
              <w:right w:val="nil"/>
            </w:tcBorders>
            <w:shd w:val="clear" w:color="000000" w:fill="006991"/>
            <w:vAlign w:val="center"/>
            <w:hideMark/>
          </w:tcPr>
          <w:p w14:paraId="371F80D8" w14:textId="77777777" w:rsidR="00A87C12" w:rsidRPr="00A87C12" w:rsidRDefault="00A87C12" w:rsidP="00A87C12">
            <w:pPr>
              <w:tabs>
                <w:tab w:val="clear" w:pos="567"/>
              </w:tabs>
              <w:spacing w:before="0" w:line="240" w:lineRule="auto"/>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 </w:t>
            </w:r>
          </w:p>
        </w:tc>
        <w:tc>
          <w:tcPr>
            <w:tcW w:w="700" w:type="dxa"/>
            <w:tcBorders>
              <w:top w:val="nil"/>
              <w:left w:val="nil"/>
              <w:bottom w:val="nil"/>
              <w:right w:val="nil"/>
            </w:tcBorders>
            <w:shd w:val="clear" w:color="000000" w:fill="006991"/>
            <w:vAlign w:val="center"/>
            <w:hideMark/>
          </w:tcPr>
          <w:p w14:paraId="4E9EA2E1"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NSW</w:t>
            </w:r>
          </w:p>
        </w:tc>
        <w:tc>
          <w:tcPr>
            <w:tcW w:w="700" w:type="dxa"/>
            <w:tcBorders>
              <w:top w:val="nil"/>
              <w:left w:val="nil"/>
              <w:bottom w:val="nil"/>
              <w:right w:val="nil"/>
            </w:tcBorders>
            <w:shd w:val="clear" w:color="000000" w:fill="006991"/>
            <w:vAlign w:val="center"/>
            <w:hideMark/>
          </w:tcPr>
          <w:p w14:paraId="36DB655C"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Vic</w:t>
            </w:r>
          </w:p>
        </w:tc>
        <w:tc>
          <w:tcPr>
            <w:tcW w:w="700" w:type="dxa"/>
            <w:tcBorders>
              <w:top w:val="nil"/>
              <w:left w:val="nil"/>
              <w:bottom w:val="nil"/>
              <w:right w:val="nil"/>
            </w:tcBorders>
            <w:shd w:val="clear" w:color="000000" w:fill="006991"/>
            <w:vAlign w:val="center"/>
            <w:hideMark/>
          </w:tcPr>
          <w:p w14:paraId="19CC492D"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Qld</w:t>
            </w:r>
          </w:p>
        </w:tc>
        <w:tc>
          <w:tcPr>
            <w:tcW w:w="600" w:type="dxa"/>
            <w:tcBorders>
              <w:top w:val="nil"/>
              <w:left w:val="nil"/>
              <w:bottom w:val="nil"/>
              <w:right w:val="nil"/>
            </w:tcBorders>
            <w:shd w:val="clear" w:color="000000" w:fill="006991"/>
            <w:vAlign w:val="center"/>
            <w:hideMark/>
          </w:tcPr>
          <w:p w14:paraId="4D1FF327"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WA</w:t>
            </w:r>
          </w:p>
        </w:tc>
        <w:tc>
          <w:tcPr>
            <w:tcW w:w="600" w:type="dxa"/>
            <w:tcBorders>
              <w:top w:val="nil"/>
              <w:left w:val="nil"/>
              <w:bottom w:val="nil"/>
              <w:right w:val="nil"/>
            </w:tcBorders>
            <w:shd w:val="clear" w:color="000000" w:fill="006991"/>
            <w:vAlign w:val="center"/>
            <w:hideMark/>
          </w:tcPr>
          <w:p w14:paraId="5DBFF4A9"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SA</w:t>
            </w:r>
          </w:p>
        </w:tc>
        <w:tc>
          <w:tcPr>
            <w:tcW w:w="600" w:type="dxa"/>
            <w:tcBorders>
              <w:top w:val="nil"/>
              <w:left w:val="nil"/>
              <w:bottom w:val="nil"/>
              <w:right w:val="nil"/>
            </w:tcBorders>
            <w:shd w:val="clear" w:color="000000" w:fill="006991"/>
            <w:vAlign w:val="center"/>
            <w:hideMark/>
          </w:tcPr>
          <w:p w14:paraId="2819DAE7"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Tas</w:t>
            </w:r>
          </w:p>
        </w:tc>
        <w:tc>
          <w:tcPr>
            <w:tcW w:w="600" w:type="dxa"/>
            <w:tcBorders>
              <w:top w:val="nil"/>
              <w:left w:val="nil"/>
              <w:bottom w:val="nil"/>
              <w:right w:val="nil"/>
            </w:tcBorders>
            <w:shd w:val="clear" w:color="000000" w:fill="006991"/>
            <w:vAlign w:val="center"/>
            <w:hideMark/>
          </w:tcPr>
          <w:p w14:paraId="02EF8BCA"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ACT</w:t>
            </w:r>
          </w:p>
        </w:tc>
        <w:tc>
          <w:tcPr>
            <w:tcW w:w="600" w:type="dxa"/>
            <w:tcBorders>
              <w:top w:val="nil"/>
              <w:left w:val="nil"/>
              <w:bottom w:val="nil"/>
              <w:right w:val="nil"/>
            </w:tcBorders>
            <w:shd w:val="clear" w:color="000000" w:fill="006991"/>
            <w:vAlign w:val="center"/>
            <w:hideMark/>
          </w:tcPr>
          <w:p w14:paraId="3AD27CE1"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NT</w:t>
            </w:r>
          </w:p>
        </w:tc>
        <w:tc>
          <w:tcPr>
            <w:tcW w:w="700" w:type="dxa"/>
            <w:tcBorders>
              <w:top w:val="nil"/>
              <w:left w:val="nil"/>
              <w:bottom w:val="nil"/>
              <w:right w:val="nil"/>
            </w:tcBorders>
            <w:shd w:val="clear" w:color="000000" w:fill="006991"/>
            <w:vAlign w:val="center"/>
            <w:hideMark/>
          </w:tcPr>
          <w:p w14:paraId="380D9BEF"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87C12">
              <w:rPr>
                <w:rFonts w:ascii="Open Sans Semibold" w:eastAsia="Times New Roman" w:hAnsi="Open Sans Semibold" w:cs="Open Sans Semibold"/>
                <w:color w:val="FFFFFF"/>
                <w:sz w:val="16"/>
                <w:szCs w:val="16"/>
                <w:lang w:eastAsia="en-AU"/>
              </w:rPr>
              <w:t>Total</w:t>
            </w:r>
          </w:p>
        </w:tc>
      </w:tr>
      <w:tr w:rsidR="00A87C12" w:rsidRPr="00A87C12" w14:paraId="6F7D64E2" w14:textId="77777777" w:rsidTr="00A87C12">
        <w:trPr>
          <w:trHeight w:val="260"/>
        </w:trPr>
        <w:tc>
          <w:tcPr>
            <w:tcW w:w="3160" w:type="dxa"/>
            <w:tcBorders>
              <w:top w:val="single" w:sz="4" w:space="0" w:color="ADD6EA"/>
              <w:left w:val="nil"/>
              <w:bottom w:val="nil"/>
              <w:right w:val="nil"/>
            </w:tcBorders>
            <w:shd w:val="clear" w:color="000000" w:fill="B6D5E4"/>
            <w:vAlign w:val="center"/>
            <w:hideMark/>
          </w:tcPr>
          <w:p w14:paraId="64ACE8C7" w14:textId="77777777" w:rsidR="00A87C12" w:rsidRPr="00A87C12" w:rsidRDefault="00A87C12" w:rsidP="00A87C12">
            <w:pPr>
              <w:tabs>
                <w:tab w:val="clear" w:pos="567"/>
              </w:tabs>
              <w:spacing w:before="0" w:line="240" w:lineRule="auto"/>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noWrap/>
            <w:vAlign w:val="center"/>
            <w:hideMark/>
          </w:tcPr>
          <w:p w14:paraId="586B079D"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1D0FEC67"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06ECE125"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c>
          <w:tcPr>
            <w:tcW w:w="600" w:type="dxa"/>
            <w:tcBorders>
              <w:top w:val="single" w:sz="4" w:space="0" w:color="ADD6EA"/>
              <w:left w:val="nil"/>
              <w:bottom w:val="nil"/>
              <w:right w:val="nil"/>
            </w:tcBorders>
            <w:shd w:val="clear" w:color="000000" w:fill="B6D5E4"/>
            <w:noWrap/>
            <w:vAlign w:val="center"/>
            <w:hideMark/>
          </w:tcPr>
          <w:p w14:paraId="488604FC"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c>
          <w:tcPr>
            <w:tcW w:w="600" w:type="dxa"/>
            <w:tcBorders>
              <w:top w:val="single" w:sz="4" w:space="0" w:color="ADD6EA"/>
              <w:left w:val="nil"/>
              <w:bottom w:val="nil"/>
              <w:right w:val="nil"/>
            </w:tcBorders>
            <w:shd w:val="clear" w:color="000000" w:fill="B6D5E4"/>
            <w:noWrap/>
            <w:vAlign w:val="center"/>
            <w:hideMark/>
          </w:tcPr>
          <w:p w14:paraId="587A0865"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c>
          <w:tcPr>
            <w:tcW w:w="600" w:type="dxa"/>
            <w:tcBorders>
              <w:top w:val="single" w:sz="4" w:space="0" w:color="ADD6EA"/>
              <w:left w:val="nil"/>
              <w:bottom w:val="nil"/>
              <w:right w:val="nil"/>
            </w:tcBorders>
            <w:shd w:val="clear" w:color="000000" w:fill="B6D5E4"/>
            <w:noWrap/>
            <w:vAlign w:val="center"/>
            <w:hideMark/>
          </w:tcPr>
          <w:p w14:paraId="5CA0E428"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c>
          <w:tcPr>
            <w:tcW w:w="600" w:type="dxa"/>
            <w:tcBorders>
              <w:top w:val="single" w:sz="4" w:space="0" w:color="ADD6EA"/>
              <w:left w:val="nil"/>
              <w:bottom w:val="nil"/>
              <w:right w:val="nil"/>
            </w:tcBorders>
            <w:shd w:val="clear" w:color="000000" w:fill="B6D5E4"/>
            <w:noWrap/>
            <w:vAlign w:val="center"/>
            <w:hideMark/>
          </w:tcPr>
          <w:p w14:paraId="235DA7BA"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c>
          <w:tcPr>
            <w:tcW w:w="600" w:type="dxa"/>
            <w:tcBorders>
              <w:top w:val="single" w:sz="4" w:space="0" w:color="ADD6EA"/>
              <w:left w:val="nil"/>
              <w:bottom w:val="nil"/>
              <w:right w:val="nil"/>
            </w:tcBorders>
            <w:shd w:val="clear" w:color="000000" w:fill="B6D5E4"/>
            <w:noWrap/>
            <w:vAlign w:val="center"/>
            <w:hideMark/>
          </w:tcPr>
          <w:p w14:paraId="5AF85233"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center"/>
            <w:hideMark/>
          </w:tcPr>
          <w:p w14:paraId="0376613F"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$m</w:t>
            </w:r>
          </w:p>
        </w:tc>
      </w:tr>
      <w:tr w:rsidR="00A87C12" w:rsidRPr="00A87C12" w14:paraId="05F1772F" w14:textId="77777777" w:rsidTr="00A87C12">
        <w:trPr>
          <w:trHeight w:val="315"/>
        </w:trPr>
        <w:tc>
          <w:tcPr>
            <w:tcW w:w="3160" w:type="dxa"/>
            <w:tcBorders>
              <w:top w:val="single" w:sz="4" w:space="0" w:color="ADD6EA"/>
              <w:left w:val="nil"/>
              <w:bottom w:val="nil"/>
              <w:right w:val="nil"/>
            </w:tcBorders>
            <w:vAlign w:val="bottom"/>
            <w:hideMark/>
          </w:tcPr>
          <w:p w14:paraId="38941861" w14:textId="77777777" w:rsidR="00A87C12" w:rsidRPr="00A87C12" w:rsidRDefault="00A87C12" w:rsidP="00A87C12">
            <w:pPr>
              <w:tabs>
                <w:tab w:val="clear" w:pos="567"/>
              </w:tabs>
              <w:spacing w:before="0" w:line="240" w:lineRule="auto"/>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Estimated 2025-26 distribution</w:t>
            </w:r>
          </w:p>
        </w:tc>
        <w:tc>
          <w:tcPr>
            <w:tcW w:w="700" w:type="dxa"/>
            <w:tcBorders>
              <w:top w:val="single" w:sz="4" w:space="0" w:color="ADD6EA"/>
              <w:left w:val="nil"/>
              <w:bottom w:val="nil"/>
              <w:right w:val="nil"/>
            </w:tcBorders>
            <w:vAlign w:val="bottom"/>
            <w:hideMark/>
          </w:tcPr>
          <w:p w14:paraId="247818D5"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25,807</w:t>
            </w:r>
          </w:p>
        </w:tc>
        <w:tc>
          <w:tcPr>
            <w:tcW w:w="700" w:type="dxa"/>
            <w:tcBorders>
              <w:top w:val="single" w:sz="4" w:space="0" w:color="ADD6EA"/>
              <w:left w:val="nil"/>
              <w:bottom w:val="nil"/>
              <w:right w:val="nil"/>
            </w:tcBorders>
            <w:vAlign w:val="bottom"/>
            <w:hideMark/>
          </w:tcPr>
          <w:p w14:paraId="2E5D63D2"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26,373</w:t>
            </w:r>
          </w:p>
        </w:tc>
        <w:tc>
          <w:tcPr>
            <w:tcW w:w="700" w:type="dxa"/>
            <w:tcBorders>
              <w:top w:val="single" w:sz="4" w:space="0" w:color="ADD6EA"/>
              <w:left w:val="nil"/>
              <w:bottom w:val="nil"/>
              <w:right w:val="nil"/>
            </w:tcBorders>
            <w:vAlign w:val="bottom"/>
            <w:hideMark/>
          </w:tcPr>
          <w:p w14:paraId="4FCB2ADB"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16,758</w:t>
            </w:r>
          </w:p>
        </w:tc>
        <w:tc>
          <w:tcPr>
            <w:tcW w:w="600" w:type="dxa"/>
            <w:tcBorders>
              <w:top w:val="single" w:sz="4" w:space="0" w:color="ADD6EA"/>
              <w:left w:val="nil"/>
              <w:bottom w:val="nil"/>
              <w:right w:val="nil"/>
            </w:tcBorders>
            <w:vAlign w:val="bottom"/>
            <w:hideMark/>
          </w:tcPr>
          <w:p w14:paraId="4037FCE8"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7,990</w:t>
            </w:r>
          </w:p>
        </w:tc>
        <w:tc>
          <w:tcPr>
            <w:tcW w:w="600" w:type="dxa"/>
            <w:tcBorders>
              <w:top w:val="single" w:sz="4" w:space="0" w:color="ADD6EA"/>
              <w:left w:val="nil"/>
              <w:bottom w:val="nil"/>
              <w:right w:val="nil"/>
            </w:tcBorders>
            <w:vAlign w:val="bottom"/>
            <w:hideMark/>
          </w:tcPr>
          <w:p w14:paraId="3EEE38F5"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9,206</w:t>
            </w:r>
          </w:p>
        </w:tc>
        <w:tc>
          <w:tcPr>
            <w:tcW w:w="600" w:type="dxa"/>
            <w:tcBorders>
              <w:top w:val="single" w:sz="4" w:space="0" w:color="ADD6EA"/>
              <w:left w:val="nil"/>
              <w:bottom w:val="nil"/>
              <w:right w:val="nil"/>
            </w:tcBorders>
            <w:vAlign w:val="bottom"/>
            <w:hideMark/>
          </w:tcPr>
          <w:p w14:paraId="540BDF53"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3,682</w:t>
            </w:r>
          </w:p>
        </w:tc>
        <w:tc>
          <w:tcPr>
            <w:tcW w:w="600" w:type="dxa"/>
            <w:tcBorders>
              <w:top w:val="single" w:sz="4" w:space="0" w:color="ADD6EA"/>
              <w:left w:val="nil"/>
              <w:bottom w:val="nil"/>
              <w:right w:val="nil"/>
            </w:tcBorders>
            <w:vAlign w:val="bottom"/>
            <w:hideMark/>
          </w:tcPr>
          <w:p w14:paraId="66836890"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1,985</w:t>
            </w:r>
          </w:p>
        </w:tc>
        <w:tc>
          <w:tcPr>
            <w:tcW w:w="600" w:type="dxa"/>
            <w:tcBorders>
              <w:top w:val="single" w:sz="4" w:space="0" w:color="ADD6EA"/>
              <w:left w:val="nil"/>
              <w:bottom w:val="nil"/>
              <w:right w:val="nil"/>
            </w:tcBorders>
            <w:vAlign w:val="bottom"/>
            <w:hideMark/>
          </w:tcPr>
          <w:p w14:paraId="5A4F4E5A"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4,753</w:t>
            </w:r>
          </w:p>
        </w:tc>
        <w:tc>
          <w:tcPr>
            <w:tcW w:w="700" w:type="dxa"/>
            <w:tcBorders>
              <w:top w:val="single" w:sz="4" w:space="0" w:color="ADD6EA"/>
              <w:left w:val="nil"/>
              <w:bottom w:val="nil"/>
              <w:right w:val="nil"/>
            </w:tcBorders>
            <w:vAlign w:val="bottom"/>
            <w:hideMark/>
          </w:tcPr>
          <w:p w14:paraId="2F7DBE12"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96,554</w:t>
            </w:r>
          </w:p>
        </w:tc>
      </w:tr>
      <w:tr w:rsidR="00A87C12" w:rsidRPr="00A87C12" w14:paraId="6F611033" w14:textId="77777777" w:rsidTr="00A87C12">
        <w:trPr>
          <w:trHeight w:val="315"/>
        </w:trPr>
        <w:tc>
          <w:tcPr>
            <w:tcW w:w="3160" w:type="dxa"/>
            <w:tcBorders>
              <w:top w:val="single" w:sz="4" w:space="0" w:color="ADD6EA"/>
              <w:left w:val="nil"/>
              <w:bottom w:val="nil"/>
              <w:right w:val="nil"/>
            </w:tcBorders>
            <w:vAlign w:val="bottom"/>
            <w:hideMark/>
          </w:tcPr>
          <w:p w14:paraId="1B75F3DC" w14:textId="77777777" w:rsidR="00A87C12" w:rsidRPr="00A87C12" w:rsidRDefault="00A87C12" w:rsidP="00A87C12">
            <w:pPr>
              <w:tabs>
                <w:tab w:val="clear" w:pos="567"/>
              </w:tabs>
              <w:spacing w:before="0" w:line="240" w:lineRule="auto"/>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Estimated 2026-27 distribution</w:t>
            </w:r>
          </w:p>
        </w:tc>
        <w:tc>
          <w:tcPr>
            <w:tcW w:w="700" w:type="dxa"/>
            <w:tcBorders>
              <w:top w:val="single" w:sz="4" w:space="0" w:color="ADD6EA"/>
              <w:left w:val="nil"/>
              <w:bottom w:val="nil"/>
              <w:right w:val="nil"/>
            </w:tcBorders>
            <w:vAlign w:val="bottom"/>
            <w:hideMark/>
          </w:tcPr>
          <w:p w14:paraId="1718F1BA"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26,123</w:t>
            </w:r>
          </w:p>
        </w:tc>
        <w:tc>
          <w:tcPr>
            <w:tcW w:w="700" w:type="dxa"/>
            <w:tcBorders>
              <w:top w:val="single" w:sz="4" w:space="0" w:color="ADD6EA"/>
              <w:left w:val="nil"/>
              <w:bottom w:val="nil"/>
              <w:right w:val="nil"/>
            </w:tcBorders>
            <w:vAlign w:val="bottom"/>
            <w:hideMark/>
          </w:tcPr>
          <w:p w14:paraId="32FE25E4"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27,867</w:t>
            </w:r>
          </w:p>
        </w:tc>
        <w:tc>
          <w:tcPr>
            <w:tcW w:w="700" w:type="dxa"/>
            <w:tcBorders>
              <w:top w:val="single" w:sz="4" w:space="0" w:color="ADD6EA"/>
              <w:left w:val="nil"/>
              <w:bottom w:val="nil"/>
              <w:right w:val="nil"/>
            </w:tcBorders>
            <w:vAlign w:val="bottom"/>
            <w:hideMark/>
          </w:tcPr>
          <w:p w14:paraId="5B0073F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18,438</w:t>
            </w:r>
          </w:p>
        </w:tc>
        <w:tc>
          <w:tcPr>
            <w:tcW w:w="600" w:type="dxa"/>
            <w:tcBorders>
              <w:top w:val="single" w:sz="4" w:space="0" w:color="ADD6EA"/>
              <w:left w:val="nil"/>
              <w:bottom w:val="nil"/>
              <w:right w:val="nil"/>
            </w:tcBorders>
            <w:vAlign w:val="bottom"/>
            <w:hideMark/>
          </w:tcPr>
          <w:p w14:paraId="3B6CD5C5"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9,337</w:t>
            </w:r>
          </w:p>
        </w:tc>
        <w:tc>
          <w:tcPr>
            <w:tcW w:w="600" w:type="dxa"/>
            <w:tcBorders>
              <w:top w:val="single" w:sz="4" w:space="0" w:color="ADD6EA"/>
              <w:left w:val="nil"/>
              <w:bottom w:val="nil"/>
              <w:right w:val="nil"/>
            </w:tcBorders>
            <w:vAlign w:val="bottom"/>
            <w:hideMark/>
          </w:tcPr>
          <w:p w14:paraId="5951ABA6"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9,548</w:t>
            </w:r>
          </w:p>
        </w:tc>
        <w:tc>
          <w:tcPr>
            <w:tcW w:w="600" w:type="dxa"/>
            <w:tcBorders>
              <w:top w:val="single" w:sz="4" w:space="0" w:color="ADD6EA"/>
              <w:left w:val="nil"/>
              <w:bottom w:val="nil"/>
              <w:right w:val="nil"/>
            </w:tcBorders>
            <w:vAlign w:val="bottom"/>
            <w:hideMark/>
          </w:tcPr>
          <w:p w14:paraId="2D32EB47"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3,968</w:t>
            </w:r>
          </w:p>
        </w:tc>
        <w:tc>
          <w:tcPr>
            <w:tcW w:w="600" w:type="dxa"/>
            <w:tcBorders>
              <w:top w:val="single" w:sz="4" w:space="0" w:color="ADD6EA"/>
              <w:left w:val="nil"/>
              <w:bottom w:val="nil"/>
              <w:right w:val="nil"/>
            </w:tcBorders>
            <w:vAlign w:val="bottom"/>
            <w:hideMark/>
          </w:tcPr>
          <w:p w14:paraId="1578D2D2"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2,095</w:t>
            </w:r>
          </w:p>
        </w:tc>
        <w:tc>
          <w:tcPr>
            <w:tcW w:w="600" w:type="dxa"/>
            <w:tcBorders>
              <w:top w:val="single" w:sz="4" w:space="0" w:color="ADD6EA"/>
              <w:left w:val="nil"/>
              <w:bottom w:val="nil"/>
              <w:right w:val="nil"/>
            </w:tcBorders>
            <w:vAlign w:val="bottom"/>
            <w:hideMark/>
          </w:tcPr>
          <w:p w14:paraId="573C7577"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5,142</w:t>
            </w:r>
          </w:p>
        </w:tc>
        <w:tc>
          <w:tcPr>
            <w:tcW w:w="700" w:type="dxa"/>
            <w:tcBorders>
              <w:top w:val="single" w:sz="4" w:space="0" w:color="ADD6EA"/>
              <w:left w:val="nil"/>
              <w:bottom w:val="nil"/>
              <w:right w:val="nil"/>
            </w:tcBorders>
            <w:vAlign w:val="bottom"/>
            <w:hideMark/>
          </w:tcPr>
          <w:p w14:paraId="45733264"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102,518</w:t>
            </w:r>
          </w:p>
        </w:tc>
      </w:tr>
      <w:tr w:rsidR="00A87C12" w:rsidRPr="00A87C12" w14:paraId="34FABA43" w14:textId="77777777" w:rsidTr="00A87C12">
        <w:trPr>
          <w:trHeight w:val="315"/>
        </w:trPr>
        <w:tc>
          <w:tcPr>
            <w:tcW w:w="3160" w:type="dxa"/>
            <w:tcBorders>
              <w:top w:val="single" w:sz="4" w:space="0" w:color="ADD6EA"/>
              <w:left w:val="nil"/>
              <w:bottom w:val="nil"/>
              <w:right w:val="nil"/>
            </w:tcBorders>
            <w:vAlign w:val="bottom"/>
            <w:hideMark/>
          </w:tcPr>
          <w:p w14:paraId="79B7679D" w14:textId="77777777" w:rsidR="00A87C12" w:rsidRPr="00A87C12" w:rsidRDefault="00A87C12" w:rsidP="00A87C12">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Change caused by:</w:t>
            </w:r>
          </w:p>
        </w:tc>
        <w:tc>
          <w:tcPr>
            <w:tcW w:w="700" w:type="dxa"/>
            <w:tcBorders>
              <w:top w:val="single" w:sz="4" w:space="0" w:color="ADD6EA"/>
              <w:left w:val="nil"/>
              <w:bottom w:val="nil"/>
              <w:right w:val="nil"/>
            </w:tcBorders>
            <w:vAlign w:val="bottom"/>
            <w:hideMark/>
          </w:tcPr>
          <w:p w14:paraId="0C0EF23E"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vAlign w:val="bottom"/>
            <w:hideMark/>
          </w:tcPr>
          <w:p w14:paraId="346FDFE8"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vAlign w:val="bottom"/>
            <w:hideMark/>
          </w:tcPr>
          <w:p w14:paraId="42EDA7A4"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c>
          <w:tcPr>
            <w:tcW w:w="600" w:type="dxa"/>
            <w:tcBorders>
              <w:top w:val="single" w:sz="4" w:space="0" w:color="ADD6EA"/>
              <w:left w:val="nil"/>
              <w:bottom w:val="nil"/>
              <w:right w:val="nil"/>
            </w:tcBorders>
            <w:vAlign w:val="bottom"/>
            <w:hideMark/>
          </w:tcPr>
          <w:p w14:paraId="324508AF"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c>
          <w:tcPr>
            <w:tcW w:w="600" w:type="dxa"/>
            <w:tcBorders>
              <w:top w:val="single" w:sz="4" w:space="0" w:color="ADD6EA"/>
              <w:left w:val="nil"/>
              <w:bottom w:val="nil"/>
              <w:right w:val="nil"/>
            </w:tcBorders>
            <w:vAlign w:val="bottom"/>
            <w:hideMark/>
          </w:tcPr>
          <w:p w14:paraId="1D6AEDB4"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c>
          <w:tcPr>
            <w:tcW w:w="600" w:type="dxa"/>
            <w:tcBorders>
              <w:top w:val="single" w:sz="4" w:space="0" w:color="ADD6EA"/>
              <w:left w:val="nil"/>
              <w:bottom w:val="nil"/>
              <w:right w:val="nil"/>
            </w:tcBorders>
            <w:vAlign w:val="bottom"/>
            <w:hideMark/>
          </w:tcPr>
          <w:p w14:paraId="2A2DDAD9"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c>
          <w:tcPr>
            <w:tcW w:w="600" w:type="dxa"/>
            <w:tcBorders>
              <w:top w:val="single" w:sz="4" w:space="0" w:color="ADD6EA"/>
              <w:left w:val="nil"/>
              <w:bottom w:val="nil"/>
              <w:right w:val="nil"/>
            </w:tcBorders>
            <w:vAlign w:val="bottom"/>
            <w:hideMark/>
          </w:tcPr>
          <w:p w14:paraId="3C31831C"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c>
          <w:tcPr>
            <w:tcW w:w="600" w:type="dxa"/>
            <w:tcBorders>
              <w:top w:val="single" w:sz="4" w:space="0" w:color="ADD6EA"/>
              <w:left w:val="nil"/>
              <w:bottom w:val="nil"/>
              <w:right w:val="nil"/>
            </w:tcBorders>
            <w:vAlign w:val="bottom"/>
            <w:hideMark/>
          </w:tcPr>
          <w:p w14:paraId="527F9F90"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c>
          <w:tcPr>
            <w:tcW w:w="700" w:type="dxa"/>
            <w:tcBorders>
              <w:top w:val="single" w:sz="4" w:space="0" w:color="ADD6EA"/>
              <w:left w:val="nil"/>
              <w:bottom w:val="nil"/>
              <w:right w:val="nil"/>
            </w:tcBorders>
            <w:vAlign w:val="bottom"/>
            <w:hideMark/>
          </w:tcPr>
          <w:p w14:paraId="051941B7"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 </w:t>
            </w:r>
          </w:p>
        </w:tc>
      </w:tr>
      <w:tr w:rsidR="00A87C12" w:rsidRPr="00A87C12" w14:paraId="7A85DE68" w14:textId="77777777" w:rsidTr="00A87C12">
        <w:trPr>
          <w:trHeight w:val="315"/>
        </w:trPr>
        <w:tc>
          <w:tcPr>
            <w:tcW w:w="3160" w:type="dxa"/>
            <w:tcBorders>
              <w:top w:val="single" w:sz="4" w:space="0" w:color="ADD6EA"/>
              <w:left w:val="nil"/>
              <w:bottom w:val="nil"/>
              <w:right w:val="nil"/>
            </w:tcBorders>
            <w:vAlign w:val="bottom"/>
            <w:hideMark/>
          </w:tcPr>
          <w:p w14:paraId="11C85956" w14:textId="77777777" w:rsidR="00A87C12" w:rsidRPr="00A87C12" w:rsidRDefault="00A87C12" w:rsidP="00A87C12">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Population (a)</w:t>
            </w:r>
          </w:p>
        </w:tc>
        <w:tc>
          <w:tcPr>
            <w:tcW w:w="700" w:type="dxa"/>
            <w:tcBorders>
              <w:top w:val="single" w:sz="4" w:space="0" w:color="ADD6EA"/>
              <w:left w:val="nil"/>
              <w:bottom w:val="nil"/>
              <w:right w:val="nil"/>
            </w:tcBorders>
            <w:noWrap/>
            <w:vAlign w:val="bottom"/>
            <w:hideMark/>
          </w:tcPr>
          <w:p w14:paraId="4E17E62C"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-44</w:t>
            </w:r>
          </w:p>
        </w:tc>
        <w:tc>
          <w:tcPr>
            <w:tcW w:w="700" w:type="dxa"/>
            <w:tcBorders>
              <w:top w:val="single" w:sz="4" w:space="0" w:color="ADD6EA"/>
              <w:left w:val="nil"/>
              <w:bottom w:val="nil"/>
              <w:right w:val="nil"/>
            </w:tcBorders>
            <w:noWrap/>
            <w:vAlign w:val="bottom"/>
            <w:hideMark/>
          </w:tcPr>
          <w:p w14:paraId="05E60D17"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52</w:t>
            </w:r>
          </w:p>
        </w:tc>
        <w:tc>
          <w:tcPr>
            <w:tcW w:w="700" w:type="dxa"/>
            <w:tcBorders>
              <w:top w:val="single" w:sz="4" w:space="0" w:color="ADD6EA"/>
              <w:left w:val="nil"/>
              <w:bottom w:val="nil"/>
              <w:right w:val="nil"/>
            </w:tcBorders>
            <w:noWrap/>
            <w:vAlign w:val="bottom"/>
            <w:hideMark/>
          </w:tcPr>
          <w:p w14:paraId="6590DC6E"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36</w:t>
            </w:r>
          </w:p>
        </w:tc>
        <w:tc>
          <w:tcPr>
            <w:tcW w:w="600" w:type="dxa"/>
            <w:tcBorders>
              <w:top w:val="single" w:sz="4" w:space="0" w:color="ADD6EA"/>
              <w:left w:val="nil"/>
              <w:bottom w:val="nil"/>
              <w:right w:val="nil"/>
            </w:tcBorders>
            <w:noWrap/>
            <w:vAlign w:val="bottom"/>
            <w:hideMark/>
          </w:tcPr>
          <w:p w14:paraId="0165673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37</w:t>
            </w:r>
          </w:p>
        </w:tc>
        <w:tc>
          <w:tcPr>
            <w:tcW w:w="600" w:type="dxa"/>
            <w:tcBorders>
              <w:top w:val="single" w:sz="4" w:space="0" w:color="ADD6EA"/>
              <w:left w:val="nil"/>
              <w:bottom w:val="nil"/>
              <w:right w:val="nil"/>
            </w:tcBorders>
            <w:noWrap/>
            <w:vAlign w:val="bottom"/>
            <w:hideMark/>
          </w:tcPr>
          <w:p w14:paraId="2A34869D"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-40</w:t>
            </w:r>
          </w:p>
        </w:tc>
        <w:tc>
          <w:tcPr>
            <w:tcW w:w="600" w:type="dxa"/>
            <w:tcBorders>
              <w:top w:val="single" w:sz="4" w:space="0" w:color="ADD6EA"/>
              <w:left w:val="nil"/>
              <w:bottom w:val="nil"/>
              <w:right w:val="nil"/>
            </w:tcBorders>
            <w:noWrap/>
            <w:vAlign w:val="bottom"/>
            <w:hideMark/>
          </w:tcPr>
          <w:p w14:paraId="3C1CF746"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-37</w:t>
            </w:r>
          </w:p>
        </w:tc>
        <w:tc>
          <w:tcPr>
            <w:tcW w:w="600" w:type="dxa"/>
            <w:tcBorders>
              <w:top w:val="single" w:sz="4" w:space="0" w:color="ADD6EA"/>
              <w:left w:val="nil"/>
              <w:bottom w:val="nil"/>
              <w:right w:val="nil"/>
            </w:tcBorders>
            <w:noWrap/>
            <w:vAlign w:val="bottom"/>
            <w:hideMark/>
          </w:tcPr>
          <w:p w14:paraId="3E470D49"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w:t>
            </w:r>
          </w:p>
        </w:tc>
        <w:tc>
          <w:tcPr>
            <w:tcW w:w="600" w:type="dxa"/>
            <w:tcBorders>
              <w:top w:val="single" w:sz="4" w:space="0" w:color="ADD6EA"/>
              <w:left w:val="nil"/>
              <w:bottom w:val="nil"/>
              <w:right w:val="nil"/>
            </w:tcBorders>
            <w:noWrap/>
            <w:vAlign w:val="bottom"/>
            <w:hideMark/>
          </w:tcPr>
          <w:p w14:paraId="46D58B60"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-5</w:t>
            </w:r>
          </w:p>
        </w:tc>
        <w:tc>
          <w:tcPr>
            <w:tcW w:w="700" w:type="dxa"/>
            <w:tcBorders>
              <w:top w:val="single" w:sz="4" w:space="0" w:color="ADD6EA"/>
              <w:left w:val="nil"/>
              <w:bottom w:val="nil"/>
              <w:right w:val="nil"/>
            </w:tcBorders>
            <w:noWrap/>
            <w:vAlign w:val="bottom"/>
            <w:hideMark/>
          </w:tcPr>
          <w:p w14:paraId="0950C442"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0</w:t>
            </w:r>
          </w:p>
        </w:tc>
      </w:tr>
      <w:tr w:rsidR="00A87C12" w:rsidRPr="00A87C12" w14:paraId="4D3B4CC9" w14:textId="77777777" w:rsidTr="00A87C12">
        <w:trPr>
          <w:trHeight w:val="315"/>
        </w:trPr>
        <w:tc>
          <w:tcPr>
            <w:tcW w:w="3160" w:type="dxa"/>
            <w:tcBorders>
              <w:top w:val="single" w:sz="4" w:space="0" w:color="ADD6EA"/>
              <w:left w:val="nil"/>
              <w:bottom w:val="nil"/>
              <w:right w:val="nil"/>
            </w:tcBorders>
            <w:vAlign w:val="bottom"/>
            <w:hideMark/>
          </w:tcPr>
          <w:p w14:paraId="7CB23217" w14:textId="77777777" w:rsidR="00A87C12" w:rsidRPr="00A87C12" w:rsidRDefault="00A87C12" w:rsidP="00A87C12">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Pool (b)</w:t>
            </w:r>
          </w:p>
        </w:tc>
        <w:tc>
          <w:tcPr>
            <w:tcW w:w="700" w:type="dxa"/>
            <w:tcBorders>
              <w:top w:val="single" w:sz="4" w:space="0" w:color="ADD6EA"/>
              <w:left w:val="nil"/>
              <w:bottom w:val="nil"/>
              <w:right w:val="nil"/>
            </w:tcBorders>
            <w:noWrap/>
            <w:vAlign w:val="bottom"/>
            <w:hideMark/>
          </w:tcPr>
          <w:p w14:paraId="5B38955D"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1,591</w:t>
            </w:r>
          </w:p>
        </w:tc>
        <w:tc>
          <w:tcPr>
            <w:tcW w:w="700" w:type="dxa"/>
            <w:tcBorders>
              <w:top w:val="single" w:sz="4" w:space="0" w:color="ADD6EA"/>
              <w:left w:val="nil"/>
              <w:bottom w:val="nil"/>
              <w:right w:val="nil"/>
            </w:tcBorders>
            <w:noWrap/>
            <w:vAlign w:val="bottom"/>
            <w:hideMark/>
          </w:tcPr>
          <w:p w14:paraId="24C6F81D"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1,632</w:t>
            </w:r>
          </w:p>
        </w:tc>
        <w:tc>
          <w:tcPr>
            <w:tcW w:w="700" w:type="dxa"/>
            <w:tcBorders>
              <w:top w:val="single" w:sz="4" w:space="0" w:color="ADD6EA"/>
              <w:left w:val="nil"/>
              <w:bottom w:val="nil"/>
              <w:right w:val="nil"/>
            </w:tcBorders>
            <w:noWrap/>
            <w:vAlign w:val="bottom"/>
            <w:hideMark/>
          </w:tcPr>
          <w:p w14:paraId="00293686"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1,037</w:t>
            </w:r>
          </w:p>
        </w:tc>
        <w:tc>
          <w:tcPr>
            <w:tcW w:w="600" w:type="dxa"/>
            <w:tcBorders>
              <w:top w:val="single" w:sz="4" w:space="0" w:color="ADD6EA"/>
              <w:left w:val="nil"/>
              <w:bottom w:val="nil"/>
              <w:right w:val="nil"/>
            </w:tcBorders>
            <w:noWrap/>
            <w:vAlign w:val="bottom"/>
            <w:hideMark/>
          </w:tcPr>
          <w:p w14:paraId="481D58D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496</w:t>
            </w:r>
          </w:p>
        </w:tc>
        <w:tc>
          <w:tcPr>
            <w:tcW w:w="600" w:type="dxa"/>
            <w:tcBorders>
              <w:top w:val="single" w:sz="4" w:space="0" w:color="ADD6EA"/>
              <w:left w:val="nil"/>
              <w:bottom w:val="nil"/>
              <w:right w:val="nil"/>
            </w:tcBorders>
            <w:noWrap/>
            <w:vAlign w:val="bottom"/>
            <w:hideMark/>
          </w:tcPr>
          <w:p w14:paraId="28E5353A"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566</w:t>
            </w:r>
          </w:p>
        </w:tc>
        <w:tc>
          <w:tcPr>
            <w:tcW w:w="600" w:type="dxa"/>
            <w:tcBorders>
              <w:top w:val="single" w:sz="4" w:space="0" w:color="ADD6EA"/>
              <w:left w:val="nil"/>
              <w:bottom w:val="nil"/>
              <w:right w:val="nil"/>
            </w:tcBorders>
            <w:noWrap/>
            <w:vAlign w:val="bottom"/>
            <w:hideMark/>
          </w:tcPr>
          <w:p w14:paraId="7C37B820"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225</w:t>
            </w:r>
          </w:p>
        </w:tc>
        <w:tc>
          <w:tcPr>
            <w:tcW w:w="600" w:type="dxa"/>
            <w:tcBorders>
              <w:top w:val="single" w:sz="4" w:space="0" w:color="ADD6EA"/>
              <w:left w:val="nil"/>
              <w:bottom w:val="nil"/>
              <w:right w:val="nil"/>
            </w:tcBorders>
            <w:noWrap/>
            <w:vAlign w:val="bottom"/>
            <w:hideMark/>
          </w:tcPr>
          <w:p w14:paraId="009F9D76"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123</w:t>
            </w:r>
          </w:p>
        </w:tc>
        <w:tc>
          <w:tcPr>
            <w:tcW w:w="600" w:type="dxa"/>
            <w:tcBorders>
              <w:top w:val="single" w:sz="4" w:space="0" w:color="ADD6EA"/>
              <w:left w:val="nil"/>
              <w:bottom w:val="nil"/>
              <w:right w:val="nil"/>
            </w:tcBorders>
            <w:noWrap/>
            <w:vAlign w:val="bottom"/>
            <w:hideMark/>
          </w:tcPr>
          <w:p w14:paraId="066878D5"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293</w:t>
            </w:r>
          </w:p>
        </w:tc>
        <w:tc>
          <w:tcPr>
            <w:tcW w:w="700" w:type="dxa"/>
            <w:tcBorders>
              <w:top w:val="single" w:sz="4" w:space="0" w:color="ADD6EA"/>
              <w:left w:val="nil"/>
              <w:bottom w:val="nil"/>
              <w:right w:val="nil"/>
            </w:tcBorders>
            <w:noWrap/>
            <w:vAlign w:val="bottom"/>
            <w:hideMark/>
          </w:tcPr>
          <w:p w14:paraId="70F0495C"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5,964</w:t>
            </w:r>
          </w:p>
        </w:tc>
      </w:tr>
      <w:tr w:rsidR="00A87C12" w:rsidRPr="00A87C12" w14:paraId="5473AC75" w14:textId="77777777" w:rsidTr="00A87C12">
        <w:trPr>
          <w:trHeight w:val="315"/>
        </w:trPr>
        <w:tc>
          <w:tcPr>
            <w:tcW w:w="3160" w:type="dxa"/>
            <w:tcBorders>
              <w:top w:val="single" w:sz="4" w:space="0" w:color="ADD6EA"/>
              <w:left w:val="nil"/>
              <w:bottom w:val="nil"/>
              <w:right w:val="nil"/>
            </w:tcBorders>
            <w:vAlign w:val="bottom"/>
            <w:hideMark/>
          </w:tcPr>
          <w:p w14:paraId="76FD8712" w14:textId="77777777" w:rsidR="00A87C12" w:rsidRPr="00A87C12" w:rsidRDefault="00A87C12" w:rsidP="00A87C12">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GST relativities (c)</w:t>
            </w:r>
          </w:p>
        </w:tc>
        <w:tc>
          <w:tcPr>
            <w:tcW w:w="700" w:type="dxa"/>
            <w:tcBorders>
              <w:top w:val="single" w:sz="4" w:space="0" w:color="ADD6EA"/>
              <w:left w:val="nil"/>
              <w:bottom w:val="nil"/>
              <w:right w:val="nil"/>
            </w:tcBorders>
            <w:noWrap/>
            <w:vAlign w:val="bottom"/>
            <w:hideMark/>
          </w:tcPr>
          <w:p w14:paraId="7733A563"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-1,231</w:t>
            </w:r>
          </w:p>
        </w:tc>
        <w:tc>
          <w:tcPr>
            <w:tcW w:w="700" w:type="dxa"/>
            <w:tcBorders>
              <w:top w:val="single" w:sz="4" w:space="0" w:color="ADD6EA"/>
              <w:left w:val="nil"/>
              <w:bottom w:val="nil"/>
              <w:right w:val="nil"/>
            </w:tcBorders>
            <w:noWrap/>
            <w:vAlign w:val="bottom"/>
            <w:hideMark/>
          </w:tcPr>
          <w:p w14:paraId="135CBDE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-191</w:t>
            </w:r>
          </w:p>
        </w:tc>
        <w:tc>
          <w:tcPr>
            <w:tcW w:w="700" w:type="dxa"/>
            <w:tcBorders>
              <w:top w:val="single" w:sz="4" w:space="0" w:color="ADD6EA"/>
              <w:left w:val="nil"/>
              <w:bottom w:val="nil"/>
              <w:right w:val="nil"/>
            </w:tcBorders>
            <w:noWrap/>
            <w:vAlign w:val="bottom"/>
            <w:hideMark/>
          </w:tcPr>
          <w:p w14:paraId="67ED1E67"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606</w:t>
            </w:r>
          </w:p>
        </w:tc>
        <w:tc>
          <w:tcPr>
            <w:tcW w:w="600" w:type="dxa"/>
            <w:tcBorders>
              <w:top w:val="single" w:sz="4" w:space="0" w:color="ADD6EA"/>
              <w:left w:val="nil"/>
              <w:bottom w:val="nil"/>
              <w:right w:val="nil"/>
            </w:tcBorders>
            <w:noWrap/>
            <w:vAlign w:val="bottom"/>
            <w:hideMark/>
          </w:tcPr>
          <w:p w14:paraId="0EB4421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814</w:t>
            </w:r>
          </w:p>
        </w:tc>
        <w:tc>
          <w:tcPr>
            <w:tcW w:w="600" w:type="dxa"/>
            <w:tcBorders>
              <w:top w:val="single" w:sz="4" w:space="0" w:color="ADD6EA"/>
              <w:left w:val="nil"/>
              <w:bottom w:val="nil"/>
              <w:right w:val="nil"/>
            </w:tcBorders>
            <w:noWrap/>
            <w:vAlign w:val="bottom"/>
            <w:hideMark/>
          </w:tcPr>
          <w:p w14:paraId="34574830"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-184</w:t>
            </w:r>
          </w:p>
        </w:tc>
        <w:tc>
          <w:tcPr>
            <w:tcW w:w="600" w:type="dxa"/>
            <w:tcBorders>
              <w:top w:val="single" w:sz="4" w:space="0" w:color="ADD6EA"/>
              <w:left w:val="nil"/>
              <w:bottom w:val="nil"/>
              <w:right w:val="nil"/>
            </w:tcBorders>
            <w:noWrap/>
            <w:vAlign w:val="bottom"/>
            <w:hideMark/>
          </w:tcPr>
          <w:p w14:paraId="1379344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99</w:t>
            </w:r>
          </w:p>
        </w:tc>
        <w:tc>
          <w:tcPr>
            <w:tcW w:w="600" w:type="dxa"/>
            <w:tcBorders>
              <w:top w:val="single" w:sz="4" w:space="0" w:color="ADD6EA"/>
              <w:left w:val="nil"/>
              <w:bottom w:val="nil"/>
              <w:right w:val="nil"/>
            </w:tcBorders>
            <w:noWrap/>
            <w:vAlign w:val="bottom"/>
            <w:hideMark/>
          </w:tcPr>
          <w:p w14:paraId="2BD65AC9"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-14</w:t>
            </w:r>
          </w:p>
        </w:tc>
        <w:tc>
          <w:tcPr>
            <w:tcW w:w="600" w:type="dxa"/>
            <w:tcBorders>
              <w:top w:val="single" w:sz="4" w:space="0" w:color="ADD6EA"/>
              <w:left w:val="nil"/>
              <w:bottom w:val="nil"/>
              <w:right w:val="nil"/>
            </w:tcBorders>
            <w:noWrap/>
            <w:vAlign w:val="bottom"/>
            <w:hideMark/>
          </w:tcPr>
          <w:p w14:paraId="59659B33"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101</w:t>
            </w:r>
          </w:p>
        </w:tc>
        <w:tc>
          <w:tcPr>
            <w:tcW w:w="700" w:type="dxa"/>
            <w:tcBorders>
              <w:top w:val="single" w:sz="4" w:space="0" w:color="ADD6EA"/>
              <w:left w:val="nil"/>
              <w:bottom w:val="nil"/>
              <w:right w:val="nil"/>
            </w:tcBorders>
            <w:noWrap/>
            <w:vAlign w:val="bottom"/>
            <w:hideMark/>
          </w:tcPr>
          <w:p w14:paraId="29FFC6A0"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0</w:t>
            </w:r>
          </w:p>
        </w:tc>
      </w:tr>
      <w:tr w:rsidR="00A87C12" w:rsidRPr="00A87C12" w14:paraId="481A765F" w14:textId="77777777" w:rsidTr="00A87C12">
        <w:trPr>
          <w:trHeight w:val="315"/>
        </w:trPr>
        <w:tc>
          <w:tcPr>
            <w:tcW w:w="3160" w:type="dxa"/>
            <w:tcBorders>
              <w:top w:val="single" w:sz="4" w:space="0" w:color="ADD6EA"/>
              <w:left w:val="nil"/>
              <w:bottom w:val="nil"/>
              <w:right w:val="nil"/>
            </w:tcBorders>
            <w:vAlign w:val="bottom"/>
            <w:hideMark/>
          </w:tcPr>
          <w:p w14:paraId="74ABF784" w14:textId="77777777" w:rsidR="00A87C12" w:rsidRPr="00A87C12" w:rsidRDefault="00A87C12" w:rsidP="00A87C12">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Assessed relativities (d)</w:t>
            </w:r>
          </w:p>
        </w:tc>
        <w:tc>
          <w:tcPr>
            <w:tcW w:w="700" w:type="dxa"/>
            <w:tcBorders>
              <w:top w:val="single" w:sz="4" w:space="0" w:color="ADD6EA"/>
              <w:left w:val="nil"/>
              <w:bottom w:val="nil"/>
              <w:right w:val="nil"/>
            </w:tcBorders>
            <w:noWrap/>
            <w:vAlign w:val="bottom"/>
            <w:hideMark/>
          </w:tcPr>
          <w:p w14:paraId="04437C3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-1,530</w:t>
            </w:r>
          </w:p>
        </w:tc>
        <w:tc>
          <w:tcPr>
            <w:tcW w:w="700" w:type="dxa"/>
            <w:tcBorders>
              <w:top w:val="single" w:sz="4" w:space="0" w:color="ADD6EA"/>
              <w:left w:val="nil"/>
              <w:bottom w:val="nil"/>
              <w:right w:val="nil"/>
            </w:tcBorders>
            <w:noWrap/>
            <w:vAlign w:val="bottom"/>
            <w:hideMark/>
          </w:tcPr>
          <w:p w14:paraId="2C001362"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-440</w:t>
            </w:r>
          </w:p>
        </w:tc>
        <w:tc>
          <w:tcPr>
            <w:tcW w:w="700" w:type="dxa"/>
            <w:tcBorders>
              <w:top w:val="single" w:sz="4" w:space="0" w:color="ADD6EA"/>
              <w:left w:val="nil"/>
              <w:bottom w:val="nil"/>
              <w:right w:val="nil"/>
            </w:tcBorders>
            <w:noWrap/>
            <w:vAlign w:val="bottom"/>
            <w:hideMark/>
          </w:tcPr>
          <w:p w14:paraId="19F4573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1,370</w:t>
            </w:r>
          </w:p>
        </w:tc>
        <w:tc>
          <w:tcPr>
            <w:tcW w:w="600" w:type="dxa"/>
            <w:tcBorders>
              <w:top w:val="single" w:sz="4" w:space="0" w:color="ADD6EA"/>
              <w:left w:val="nil"/>
              <w:bottom w:val="nil"/>
              <w:right w:val="nil"/>
            </w:tcBorders>
            <w:noWrap/>
            <w:vAlign w:val="bottom"/>
            <w:hideMark/>
          </w:tcPr>
          <w:p w14:paraId="4DC1BC4E"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717</w:t>
            </w:r>
          </w:p>
        </w:tc>
        <w:tc>
          <w:tcPr>
            <w:tcW w:w="600" w:type="dxa"/>
            <w:tcBorders>
              <w:top w:val="single" w:sz="4" w:space="0" w:color="ADD6EA"/>
              <w:left w:val="nil"/>
              <w:bottom w:val="nil"/>
              <w:right w:val="nil"/>
            </w:tcBorders>
            <w:noWrap/>
            <w:vAlign w:val="bottom"/>
            <w:hideMark/>
          </w:tcPr>
          <w:p w14:paraId="1C61DD72"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-253</w:t>
            </w:r>
          </w:p>
        </w:tc>
        <w:tc>
          <w:tcPr>
            <w:tcW w:w="600" w:type="dxa"/>
            <w:tcBorders>
              <w:top w:val="single" w:sz="4" w:space="0" w:color="ADD6EA"/>
              <w:left w:val="nil"/>
              <w:bottom w:val="nil"/>
              <w:right w:val="nil"/>
            </w:tcBorders>
            <w:noWrap/>
            <w:vAlign w:val="bottom"/>
            <w:hideMark/>
          </w:tcPr>
          <w:p w14:paraId="71792179"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77</w:t>
            </w:r>
          </w:p>
        </w:tc>
        <w:tc>
          <w:tcPr>
            <w:tcW w:w="600" w:type="dxa"/>
            <w:tcBorders>
              <w:top w:val="single" w:sz="4" w:space="0" w:color="ADD6EA"/>
              <w:left w:val="nil"/>
              <w:bottom w:val="nil"/>
              <w:right w:val="nil"/>
            </w:tcBorders>
            <w:noWrap/>
            <w:vAlign w:val="bottom"/>
            <w:hideMark/>
          </w:tcPr>
          <w:p w14:paraId="4F060E99"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-31</w:t>
            </w:r>
          </w:p>
        </w:tc>
        <w:tc>
          <w:tcPr>
            <w:tcW w:w="600" w:type="dxa"/>
            <w:tcBorders>
              <w:top w:val="single" w:sz="4" w:space="0" w:color="ADD6EA"/>
              <w:left w:val="nil"/>
              <w:bottom w:val="nil"/>
              <w:right w:val="nil"/>
            </w:tcBorders>
            <w:noWrap/>
            <w:vAlign w:val="bottom"/>
            <w:hideMark/>
          </w:tcPr>
          <w:p w14:paraId="366AF64C"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89</w:t>
            </w:r>
          </w:p>
        </w:tc>
        <w:tc>
          <w:tcPr>
            <w:tcW w:w="700" w:type="dxa"/>
            <w:tcBorders>
              <w:top w:val="single" w:sz="4" w:space="0" w:color="ADD6EA"/>
              <w:left w:val="nil"/>
              <w:bottom w:val="nil"/>
              <w:right w:val="nil"/>
            </w:tcBorders>
            <w:noWrap/>
            <w:vAlign w:val="bottom"/>
            <w:hideMark/>
          </w:tcPr>
          <w:p w14:paraId="40779EF8"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0</w:t>
            </w:r>
          </w:p>
        </w:tc>
      </w:tr>
      <w:tr w:rsidR="00A87C12" w:rsidRPr="00A87C12" w14:paraId="5AFCCAF7" w14:textId="77777777" w:rsidTr="00A87C12">
        <w:trPr>
          <w:trHeight w:val="555"/>
        </w:trPr>
        <w:tc>
          <w:tcPr>
            <w:tcW w:w="3160" w:type="dxa"/>
            <w:tcBorders>
              <w:top w:val="single" w:sz="4" w:space="0" w:color="ADD6EA"/>
              <w:left w:val="nil"/>
              <w:bottom w:val="nil"/>
              <w:right w:val="nil"/>
            </w:tcBorders>
            <w:vAlign w:val="bottom"/>
            <w:hideMark/>
          </w:tcPr>
          <w:p w14:paraId="3A3BF207" w14:textId="77777777" w:rsidR="00A87C12" w:rsidRPr="00A87C12" w:rsidRDefault="00A87C12" w:rsidP="00AB7106">
            <w:pPr>
              <w:tabs>
                <w:tab w:val="clear" w:pos="567"/>
              </w:tabs>
              <w:spacing w:before="0" w:line="240" w:lineRule="auto"/>
              <w:ind w:left="316"/>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2018 legislated changes to determining relativities (e)</w:t>
            </w:r>
          </w:p>
        </w:tc>
        <w:tc>
          <w:tcPr>
            <w:tcW w:w="700" w:type="dxa"/>
            <w:tcBorders>
              <w:top w:val="single" w:sz="4" w:space="0" w:color="ADD6EA"/>
              <w:left w:val="nil"/>
              <w:bottom w:val="nil"/>
              <w:right w:val="nil"/>
            </w:tcBorders>
            <w:noWrap/>
            <w:vAlign w:val="bottom"/>
            <w:hideMark/>
          </w:tcPr>
          <w:p w14:paraId="28C0D661"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298</w:t>
            </w:r>
          </w:p>
        </w:tc>
        <w:tc>
          <w:tcPr>
            <w:tcW w:w="700" w:type="dxa"/>
            <w:tcBorders>
              <w:top w:val="single" w:sz="4" w:space="0" w:color="ADD6EA"/>
              <w:left w:val="nil"/>
              <w:bottom w:val="nil"/>
              <w:right w:val="nil"/>
            </w:tcBorders>
            <w:noWrap/>
            <w:vAlign w:val="bottom"/>
            <w:hideMark/>
          </w:tcPr>
          <w:p w14:paraId="08ED06EE"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249</w:t>
            </w:r>
          </w:p>
        </w:tc>
        <w:tc>
          <w:tcPr>
            <w:tcW w:w="700" w:type="dxa"/>
            <w:tcBorders>
              <w:top w:val="single" w:sz="4" w:space="0" w:color="ADD6EA"/>
              <w:left w:val="nil"/>
              <w:bottom w:val="nil"/>
              <w:right w:val="nil"/>
            </w:tcBorders>
            <w:noWrap/>
            <w:vAlign w:val="bottom"/>
            <w:hideMark/>
          </w:tcPr>
          <w:p w14:paraId="082F9B13"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-763</w:t>
            </w:r>
          </w:p>
        </w:tc>
        <w:tc>
          <w:tcPr>
            <w:tcW w:w="600" w:type="dxa"/>
            <w:tcBorders>
              <w:top w:val="single" w:sz="4" w:space="0" w:color="ADD6EA"/>
              <w:left w:val="nil"/>
              <w:bottom w:val="nil"/>
              <w:right w:val="nil"/>
            </w:tcBorders>
            <w:noWrap/>
            <w:vAlign w:val="bottom"/>
            <w:hideMark/>
          </w:tcPr>
          <w:p w14:paraId="255CEDBD"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97</w:t>
            </w:r>
          </w:p>
        </w:tc>
        <w:tc>
          <w:tcPr>
            <w:tcW w:w="600" w:type="dxa"/>
            <w:tcBorders>
              <w:top w:val="single" w:sz="4" w:space="0" w:color="ADD6EA"/>
              <w:left w:val="nil"/>
              <w:bottom w:val="nil"/>
              <w:right w:val="nil"/>
            </w:tcBorders>
            <w:noWrap/>
            <w:vAlign w:val="bottom"/>
            <w:hideMark/>
          </w:tcPr>
          <w:p w14:paraId="79192A39"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68</w:t>
            </w:r>
          </w:p>
        </w:tc>
        <w:tc>
          <w:tcPr>
            <w:tcW w:w="600" w:type="dxa"/>
            <w:tcBorders>
              <w:top w:val="single" w:sz="4" w:space="0" w:color="ADD6EA"/>
              <w:left w:val="nil"/>
              <w:bottom w:val="nil"/>
              <w:right w:val="nil"/>
            </w:tcBorders>
            <w:noWrap/>
            <w:vAlign w:val="bottom"/>
            <w:hideMark/>
          </w:tcPr>
          <w:p w14:paraId="5575C03F"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21</w:t>
            </w:r>
          </w:p>
        </w:tc>
        <w:tc>
          <w:tcPr>
            <w:tcW w:w="600" w:type="dxa"/>
            <w:tcBorders>
              <w:top w:val="single" w:sz="4" w:space="0" w:color="ADD6EA"/>
              <w:left w:val="nil"/>
              <w:bottom w:val="nil"/>
              <w:right w:val="nil"/>
            </w:tcBorders>
            <w:noWrap/>
            <w:vAlign w:val="bottom"/>
            <w:hideMark/>
          </w:tcPr>
          <w:p w14:paraId="215D0E53"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17</w:t>
            </w:r>
          </w:p>
        </w:tc>
        <w:tc>
          <w:tcPr>
            <w:tcW w:w="600" w:type="dxa"/>
            <w:tcBorders>
              <w:top w:val="single" w:sz="4" w:space="0" w:color="ADD6EA"/>
              <w:left w:val="nil"/>
              <w:bottom w:val="nil"/>
              <w:right w:val="nil"/>
            </w:tcBorders>
            <w:noWrap/>
            <w:vAlign w:val="bottom"/>
            <w:hideMark/>
          </w:tcPr>
          <w:p w14:paraId="09FB4D0A"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12</w:t>
            </w:r>
          </w:p>
        </w:tc>
        <w:tc>
          <w:tcPr>
            <w:tcW w:w="700" w:type="dxa"/>
            <w:tcBorders>
              <w:top w:val="single" w:sz="4" w:space="0" w:color="ADD6EA"/>
              <w:left w:val="nil"/>
              <w:bottom w:val="nil"/>
              <w:right w:val="nil"/>
            </w:tcBorders>
            <w:noWrap/>
            <w:vAlign w:val="bottom"/>
            <w:hideMark/>
          </w:tcPr>
          <w:p w14:paraId="08C725AB" w14:textId="77777777" w:rsidR="00A87C12" w:rsidRPr="00A87C12" w:rsidRDefault="00A87C12" w:rsidP="00A87C12">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87C12">
              <w:rPr>
                <w:rFonts w:ascii="Open Sans Light" w:eastAsia="Times New Roman" w:hAnsi="Open Sans Light" w:cs="Open Sans Light"/>
                <w:color w:val="000000"/>
                <w:sz w:val="16"/>
                <w:szCs w:val="16"/>
                <w:lang w:eastAsia="en-AU"/>
              </w:rPr>
              <w:t>0</w:t>
            </w:r>
          </w:p>
        </w:tc>
      </w:tr>
      <w:tr w:rsidR="00A87C12" w:rsidRPr="00A87C12" w14:paraId="1A44486F" w14:textId="77777777" w:rsidTr="00A87C12">
        <w:trPr>
          <w:trHeight w:val="315"/>
        </w:trPr>
        <w:tc>
          <w:tcPr>
            <w:tcW w:w="3160" w:type="dxa"/>
            <w:tcBorders>
              <w:top w:val="single" w:sz="4" w:space="0" w:color="ADD6EA"/>
              <w:left w:val="nil"/>
              <w:bottom w:val="nil"/>
              <w:right w:val="nil"/>
            </w:tcBorders>
            <w:shd w:val="clear" w:color="000000" w:fill="D6E7F0"/>
            <w:vAlign w:val="bottom"/>
            <w:hideMark/>
          </w:tcPr>
          <w:p w14:paraId="2F034843" w14:textId="77777777" w:rsidR="00A87C12" w:rsidRPr="00A87C12" w:rsidRDefault="00A87C12" w:rsidP="00A87C12">
            <w:pPr>
              <w:tabs>
                <w:tab w:val="clear" w:pos="567"/>
              </w:tabs>
              <w:spacing w:before="0" w:line="240" w:lineRule="auto"/>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Change ($m)</w:t>
            </w:r>
          </w:p>
        </w:tc>
        <w:tc>
          <w:tcPr>
            <w:tcW w:w="700" w:type="dxa"/>
            <w:tcBorders>
              <w:top w:val="single" w:sz="4" w:space="0" w:color="ADD6EA"/>
              <w:left w:val="nil"/>
              <w:bottom w:val="nil"/>
              <w:right w:val="nil"/>
            </w:tcBorders>
            <w:shd w:val="clear" w:color="000000" w:fill="D6E7F0"/>
            <w:noWrap/>
            <w:vAlign w:val="bottom"/>
            <w:hideMark/>
          </w:tcPr>
          <w:p w14:paraId="2BF806B6"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316</w:t>
            </w:r>
          </w:p>
        </w:tc>
        <w:tc>
          <w:tcPr>
            <w:tcW w:w="700" w:type="dxa"/>
            <w:tcBorders>
              <w:top w:val="single" w:sz="4" w:space="0" w:color="ADD6EA"/>
              <w:left w:val="nil"/>
              <w:bottom w:val="nil"/>
              <w:right w:val="nil"/>
            </w:tcBorders>
            <w:shd w:val="clear" w:color="000000" w:fill="D6E7F0"/>
            <w:noWrap/>
            <w:vAlign w:val="bottom"/>
            <w:hideMark/>
          </w:tcPr>
          <w:p w14:paraId="65263BD2"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1,494</w:t>
            </w:r>
          </w:p>
        </w:tc>
        <w:tc>
          <w:tcPr>
            <w:tcW w:w="700" w:type="dxa"/>
            <w:tcBorders>
              <w:top w:val="single" w:sz="4" w:space="0" w:color="ADD6EA"/>
              <w:left w:val="nil"/>
              <w:bottom w:val="nil"/>
              <w:right w:val="nil"/>
            </w:tcBorders>
            <w:shd w:val="clear" w:color="000000" w:fill="D6E7F0"/>
            <w:noWrap/>
            <w:vAlign w:val="bottom"/>
            <w:hideMark/>
          </w:tcPr>
          <w:p w14:paraId="06D1E0FA"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1,680</w:t>
            </w:r>
          </w:p>
        </w:tc>
        <w:tc>
          <w:tcPr>
            <w:tcW w:w="600" w:type="dxa"/>
            <w:tcBorders>
              <w:top w:val="single" w:sz="4" w:space="0" w:color="ADD6EA"/>
              <w:left w:val="nil"/>
              <w:bottom w:val="nil"/>
              <w:right w:val="nil"/>
            </w:tcBorders>
            <w:shd w:val="clear" w:color="000000" w:fill="D6E7F0"/>
            <w:noWrap/>
            <w:vAlign w:val="bottom"/>
            <w:hideMark/>
          </w:tcPr>
          <w:p w14:paraId="3CB089B2"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1,347</w:t>
            </w:r>
          </w:p>
        </w:tc>
        <w:tc>
          <w:tcPr>
            <w:tcW w:w="600" w:type="dxa"/>
            <w:tcBorders>
              <w:top w:val="single" w:sz="4" w:space="0" w:color="ADD6EA"/>
              <w:left w:val="nil"/>
              <w:bottom w:val="nil"/>
              <w:right w:val="nil"/>
            </w:tcBorders>
            <w:shd w:val="clear" w:color="000000" w:fill="D6E7F0"/>
            <w:noWrap/>
            <w:vAlign w:val="bottom"/>
            <w:hideMark/>
          </w:tcPr>
          <w:p w14:paraId="5B9F5851"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342</w:t>
            </w:r>
          </w:p>
        </w:tc>
        <w:tc>
          <w:tcPr>
            <w:tcW w:w="600" w:type="dxa"/>
            <w:tcBorders>
              <w:top w:val="single" w:sz="4" w:space="0" w:color="ADD6EA"/>
              <w:left w:val="nil"/>
              <w:bottom w:val="nil"/>
              <w:right w:val="nil"/>
            </w:tcBorders>
            <w:shd w:val="clear" w:color="000000" w:fill="D6E7F0"/>
            <w:noWrap/>
            <w:vAlign w:val="bottom"/>
            <w:hideMark/>
          </w:tcPr>
          <w:p w14:paraId="0B0BEF6D"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286</w:t>
            </w:r>
          </w:p>
        </w:tc>
        <w:tc>
          <w:tcPr>
            <w:tcW w:w="600" w:type="dxa"/>
            <w:tcBorders>
              <w:top w:val="single" w:sz="4" w:space="0" w:color="ADD6EA"/>
              <w:left w:val="nil"/>
              <w:bottom w:val="nil"/>
              <w:right w:val="nil"/>
            </w:tcBorders>
            <w:shd w:val="clear" w:color="000000" w:fill="D6E7F0"/>
            <w:noWrap/>
            <w:vAlign w:val="bottom"/>
            <w:hideMark/>
          </w:tcPr>
          <w:p w14:paraId="63ECCD76"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110</w:t>
            </w:r>
          </w:p>
        </w:tc>
        <w:tc>
          <w:tcPr>
            <w:tcW w:w="600" w:type="dxa"/>
            <w:tcBorders>
              <w:top w:val="single" w:sz="4" w:space="0" w:color="ADD6EA"/>
              <w:left w:val="nil"/>
              <w:bottom w:val="nil"/>
              <w:right w:val="nil"/>
            </w:tcBorders>
            <w:shd w:val="clear" w:color="000000" w:fill="D6E7F0"/>
            <w:noWrap/>
            <w:vAlign w:val="bottom"/>
            <w:hideMark/>
          </w:tcPr>
          <w:p w14:paraId="0E930FCC"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389</w:t>
            </w:r>
          </w:p>
        </w:tc>
        <w:tc>
          <w:tcPr>
            <w:tcW w:w="700" w:type="dxa"/>
            <w:tcBorders>
              <w:top w:val="single" w:sz="4" w:space="0" w:color="ADD6EA"/>
              <w:left w:val="nil"/>
              <w:bottom w:val="nil"/>
              <w:right w:val="nil"/>
            </w:tcBorders>
            <w:shd w:val="clear" w:color="000000" w:fill="D6E7F0"/>
            <w:noWrap/>
            <w:vAlign w:val="bottom"/>
            <w:hideMark/>
          </w:tcPr>
          <w:p w14:paraId="3AD1B61D"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5,964</w:t>
            </w:r>
          </w:p>
        </w:tc>
      </w:tr>
      <w:tr w:rsidR="00A87C12" w:rsidRPr="00A87C12" w14:paraId="474D6598" w14:textId="77777777" w:rsidTr="00A87C12">
        <w:trPr>
          <w:trHeight w:val="270"/>
        </w:trPr>
        <w:tc>
          <w:tcPr>
            <w:tcW w:w="3160" w:type="dxa"/>
            <w:tcBorders>
              <w:top w:val="single" w:sz="4" w:space="0" w:color="ADD6EA"/>
              <w:left w:val="nil"/>
              <w:bottom w:val="single" w:sz="4" w:space="0" w:color="ADD6EA"/>
              <w:right w:val="nil"/>
            </w:tcBorders>
            <w:shd w:val="clear" w:color="000000" w:fill="D6E7F0"/>
            <w:vAlign w:val="bottom"/>
            <w:hideMark/>
          </w:tcPr>
          <w:p w14:paraId="489B9241" w14:textId="77777777" w:rsidR="00A87C12" w:rsidRPr="00A87C12" w:rsidRDefault="00A87C12" w:rsidP="00A87C12">
            <w:pPr>
              <w:tabs>
                <w:tab w:val="clear" w:pos="567"/>
              </w:tabs>
              <w:spacing w:before="0" w:line="240" w:lineRule="auto"/>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Change ($pc)</w:t>
            </w:r>
          </w:p>
        </w:tc>
        <w:tc>
          <w:tcPr>
            <w:tcW w:w="700" w:type="dxa"/>
            <w:tcBorders>
              <w:top w:val="single" w:sz="4" w:space="0" w:color="ADD6EA"/>
              <w:left w:val="nil"/>
              <w:bottom w:val="single" w:sz="4" w:space="0" w:color="ADD6EA"/>
              <w:right w:val="nil"/>
            </w:tcBorders>
            <w:shd w:val="clear" w:color="000000" w:fill="D6E7F0"/>
            <w:noWrap/>
            <w:vAlign w:val="bottom"/>
            <w:hideMark/>
          </w:tcPr>
          <w:p w14:paraId="1346AFD7"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36</w:t>
            </w:r>
          </w:p>
        </w:tc>
        <w:tc>
          <w:tcPr>
            <w:tcW w:w="700" w:type="dxa"/>
            <w:tcBorders>
              <w:top w:val="single" w:sz="4" w:space="0" w:color="ADD6EA"/>
              <w:left w:val="nil"/>
              <w:bottom w:val="single" w:sz="4" w:space="0" w:color="ADD6EA"/>
              <w:right w:val="nil"/>
            </w:tcBorders>
            <w:shd w:val="clear" w:color="000000" w:fill="D6E7F0"/>
            <w:noWrap/>
            <w:vAlign w:val="bottom"/>
            <w:hideMark/>
          </w:tcPr>
          <w:p w14:paraId="19D497FC"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207</w:t>
            </w:r>
          </w:p>
        </w:tc>
        <w:tc>
          <w:tcPr>
            <w:tcW w:w="700" w:type="dxa"/>
            <w:tcBorders>
              <w:top w:val="single" w:sz="4" w:space="0" w:color="ADD6EA"/>
              <w:left w:val="nil"/>
              <w:bottom w:val="single" w:sz="4" w:space="0" w:color="ADD6EA"/>
              <w:right w:val="nil"/>
            </w:tcBorders>
            <w:shd w:val="clear" w:color="000000" w:fill="D6E7F0"/>
            <w:noWrap/>
            <w:vAlign w:val="bottom"/>
            <w:hideMark/>
          </w:tcPr>
          <w:p w14:paraId="0BD75FF6"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290</w:t>
            </w:r>
          </w:p>
        </w:tc>
        <w:tc>
          <w:tcPr>
            <w:tcW w:w="600" w:type="dxa"/>
            <w:tcBorders>
              <w:top w:val="single" w:sz="4" w:space="0" w:color="ADD6EA"/>
              <w:left w:val="nil"/>
              <w:bottom w:val="single" w:sz="4" w:space="0" w:color="ADD6EA"/>
              <w:right w:val="nil"/>
            </w:tcBorders>
            <w:shd w:val="clear" w:color="000000" w:fill="D6E7F0"/>
            <w:noWrap/>
            <w:vAlign w:val="bottom"/>
            <w:hideMark/>
          </w:tcPr>
          <w:p w14:paraId="608929CC"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431</w:t>
            </w:r>
          </w:p>
        </w:tc>
        <w:tc>
          <w:tcPr>
            <w:tcW w:w="600" w:type="dxa"/>
            <w:tcBorders>
              <w:top w:val="single" w:sz="4" w:space="0" w:color="ADD6EA"/>
              <w:left w:val="nil"/>
              <w:bottom w:val="single" w:sz="4" w:space="0" w:color="ADD6EA"/>
              <w:right w:val="nil"/>
            </w:tcBorders>
            <w:shd w:val="clear" w:color="000000" w:fill="D6E7F0"/>
            <w:noWrap/>
            <w:vAlign w:val="bottom"/>
            <w:hideMark/>
          </w:tcPr>
          <w:p w14:paraId="09155140"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178</w:t>
            </w:r>
          </w:p>
        </w:tc>
        <w:tc>
          <w:tcPr>
            <w:tcW w:w="600" w:type="dxa"/>
            <w:tcBorders>
              <w:top w:val="single" w:sz="4" w:space="0" w:color="ADD6EA"/>
              <w:left w:val="nil"/>
              <w:bottom w:val="single" w:sz="4" w:space="0" w:color="ADD6EA"/>
              <w:right w:val="nil"/>
            </w:tcBorders>
            <w:shd w:val="clear" w:color="000000" w:fill="D6E7F0"/>
            <w:noWrap/>
            <w:vAlign w:val="bottom"/>
            <w:hideMark/>
          </w:tcPr>
          <w:p w14:paraId="11DACB6F"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496</w:t>
            </w:r>
          </w:p>
        </w:tc>
        <w:tc>
          <w:tcPr>
            <w:tcW w:w="600" w:type="dxa"/>
            <w:tcBorders>
              <w:top w:val="single" w:sz="4" w:space="0" w:color="ADD6EA"/>
              <w:left w:val="nil"/>
              <w:bottom w:val="single" w:sz="4" w:space="0" w:color="ADD6EA"/>
              <w:right w:val="nil"/>
            </w:tcBorders>
            <w:shd w:val="clear" w:color="000000" w:fill="D6E7F0"/>
            <w:noWrap/>
            <w:vAlign w:val="bottom"/>
            <w:hideMark/>
          </w:tcPr>
          <w:p w14:paraId="11BB2A3C"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222</w:t>
            </w:r>
          </w:p>
        </w:tc>
        <w:tc>
          <w:tcPr>
            <w:tcW w:w="600" w:type="dxa"/>
            <w:tcBorders>
              <w:top w:val="single" w:sz="4" w:space="0" w:color="ADD6EA"/>
              <w:left w:val="nil"/>
              <w:bottom w:val="single" w:sz="4" w:space="0" w:color="ADD6EA"/>
              <w:right w:val="nil"/>
            </w:tcBorders>
            <w:shd w:val="clear" w:color="000000" w:fill="D6E7F0"/>
            <w:noWrap/>
            <w:vAlign w:val="bottom"/>
            <w:hideMark/>
          </w:tcPr>
          <w:p w14:paraId="544FE928"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1,446</w:t>
            </w:r>
          </w:p>
        </w:tc>
        <w:tc>
          <w:tcPr>
            <w:tcW w:w="700" w:type="dxa"/>
            <w:tcBorders>
              <w:top w:val="single" w:sz="4" w:space="0" w:color="ADD6EA"/>
              <w:left w:val="nil"/>
              <w:bottom w:val="single" w:sz="4" w:space="0" w:color="ADD6EA"/>
              <w:right w:val="nil"/>
            </w:tcBorders>
            <w:shd w:val="clear" w:color="000000" w:fill="D6E7F0"/>
            <w:noWrap/>
            <w:vAlign w:val="bottom"/>
            <w:hideMark/>
          </w:tcPr>
          <w:p w14:paraId="18B08790" w14:textId="77777777" w:rsidR="00A87C12" w:rsidRPr="00A87C12" w:rsidRDefault="00A87C12" w:rsidP="00A87C12">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87C12">
              <w:rPr>
                <w:rFonts w:ascii="Open Sans Semibold" w:eastAsia="Times New Roman" w:hAnsi="Open Sans Semibold" w:cs="Open Sans Semibold"/>
                <w:color w:val="000000"/>
                <w:sz w:val="16"/>
                <w:szCs w:val="16"/>
                <w:lang w:eastAsia="en-AU"/>
              </w:rPr>
              <w:t>212</w:t>
            </w:r>
          </w:p>
        </w:tc>
      </w:tr>
    </w:tbl>
    <w:p w14:paraId="43733E7D" w14:textId="77777777" w:rsidR="000801E5" w:rsidRPr="0075169B" w:rsidRDefault="000801E5" w:rsidP="00FD7ED4">
      <w:pPr>
        <w:pStyle w:val="CGC2025TableNote"/>
        <w:numPr>
          <w:ilvl w:val="0"/>
          <w:numId w:val="10"/>
        </w:numPr>
        <w:tabs>
          <w:tab w:val="clear" w:pos="567"/>
          <w:tab w:val="clear" w:pos="680"/>
          <w:tab w:val="left" w:pos="1276"/>
          <w:tab w:val="left" w:pos="1418"/>
        </w:tabs>
        <w:ind w:left="490" w:hanging="377"/>
      </w:pPr>
      <w:bookmarkStart w:id="42" w:name="RANGE!A4:J20"/>
      <w:bookmarkEnd w:id="42"/>
      <w:r w:rsidRPr="0075169B">
        <w:t>Effects on the distribution of the 2025–26 GST pool of using estimated state populations for 2026–27 instead of 2025–26, with 2025 relativities.</w:t>
      </w:r>
    </w:p>
    <w:p w14:paraId="3731193A" w14:textId="77777777" w:rsidR="000801E5" w:rsidRPr="0075169B" w:rsidRDefault="000801E5" w:rsidP="00FD7ED4">
      <w:pPr>
        <w:pStyle w:val="CGC2025TableNote"/>
        <w:numPr>
          <w:ilvl w:val="0"/>
          <w:numId w:val="10"/>
        </w:numPr>
        <w:tabs>
          <w:tab w:val="clear" w:pos="567"/>
          <w:tab w:val="clear" w:pos="680"/>
          <w:tab w:val="left" w:pos="1276"/>
          <w:tab w:val="left" w:pos="1418"/>
        </w:tabs>
        <w:ind w:left="490" w:hanging="377"/>
      </w:pPr>
      <w:r w:rsidRPr="0075169B">
        <w:t>Effects of applying the 2025 relativities to the estimated 2026–27 GST pool</w:t>
      </w:r>
      <w:r w:rsidRPr="00CA1016">
        <w:t xml:space="preserve"> instead of the estimated 2025–26 GST pool</w:t>
      </w:r>
      <w:r>
        <w:t>.</w:t>
      </w:r>
    </w:p>
    <w:p w14:paraId="71A19B69" w14:textId="614BE7E5" w:rsidR="000801E5" w:rsidRPr="00BE0D4C" w:rsidRDefault="000801E5" w:rsidP="00FD7ED4">
      <w:pPr>
        <w:pStyle w:val="CGC2025TableNote"/>
        <w:numPr>
          <w:ilvl w:val="0"/>
          <w:numId w:val="10"/>
        </w:numPr>
        <w:tabs>
          <w:tab w:val="clear" w:pos="567"/>
          <w:tab w:val="clear" w:pos="680"/>
          <w:tab w:val="left" w:pos="1276"/>
          <w:tab w:val="left" w:pos="1418"/>
        </w:tabs>
        <w:ind w:left="490" w:hanging="377"/>
      </w:pPr>
      <w:r w:rsidRPr="00BE0D4C">
        <w:t xml:space="preserve">Effects on the distribution of the 2026–27 GST pool of using </w:t>
      </w:r>
      <w:r w:rsidR="00C13903">
        <w:t xml:space="preserve">the </w:t>
      </w:r>
      <w:r w:rsidRPr="00BE0D4C">
        <w:t xml:space="preserve">2026 GST relativities instead of </w:t>
      </w:r>
      <w:r w:rsidR="00E532FA">
        <w:t xml:space="preserve">the </w:t>
      </w:r>
      <w:r w:rsidRPr="00BE0D4C">
        <w:t>2025 GST relativities.</w:t>
      </w:r>
    </w:p>
    <w:p w14:paraId="5FD40713" w14:textId="77777777" w:rsidR="000801E5" w:rsidRPr="00C06E42" w:rsidRDefault="000801E5" w:rsidP="00FD7ED4">
      <w:pPr>
        <w:pStyle w:val="CGC2025TableNote"/>
        <w:numPr>
          <w:ilvl w:val="0"/>
          <w:numId w:val="10"/>
        </w:numPr>
        <w:tabs>
          <w:tab w:val="clear" w:pos="567"/>
          <w:tab w:val="clear" w:pos="680"/>
          <w:tab w:val="left" w:pos="1276"/>
          <w:tab w:val="left" w:pos="1418"/>
        </w:tabs>
        <w:ind w:left="490" w:hanging="377"/>
      </w:pPr>
      <w:r w:rsidRPr="00C06E42">
        <w:t>Effects on the distribution of the 2026–27 GST pool of using the 2026 assessed relativities instead of the 2025 assessed relativities.</w:t>
      </w:r>
    </w:p>
    <w:p w14:paraId="64204E86" w14:textId="239794AE" w:rsidR="000801E5" w:rsidRPr="00627EB9" w:rsidRDefault="000801E5" w:rsidP="00FD7ED4">
      <w:pPr>
        <w:pStyle w:val="CGC2025TableNote"/>
        <w:numPr>
          <w:ilvl w:val="0"/>
          <w:numId w:val="10"/>
        </w:numPr>
        <w:tabs>
          <w:tab w:val="clear" w:pos="567"/>
          <w:tab w:val="clear" w:pos="680"/>
          <w:tab w:val="left" w:pos="1276"/>
          <w:tab w:val="left" w:pos="1418"/>
        </w:tabs>
        <w:ind w:left="490" w:hanging="377"/>
      </w:pPr>
      <w:r>
        <w:t>Effects on the distribution of the 2026–27 GST pool of using the 2026 standard state relativities instead of the 2025</w:t>
      </w:r>
      <w:r w:rsidR="0068492F">
        <w:t> </w:t>
      </w:r>
      <w:r>
        <w:t>blended relativities and GST relativity floor.</w:t>
      </w:r>
    </w:p>
    <w:p w14:paraId="467156BA" w14:textId="77777777" w:rsidR="000801E5" w:rsidRPr="00E27071" w:rsidRDefault="000801E5" w:rsidP="000801E5">
      <w:pPr>
        <w:pStyle w:val="CGC2025TableNote"/>
        <w:ind w:left="680" w:hanging="567"/>
        <w:rPr>
          <w:highlight w:val="yellow"/>
        </w:rPr>
      </w:pPr>
      <w:r w:rsidRPr="005B4417">
        <w:t>Source: 2025</w:t>
      </w:r>
      <w:r w:rsidRPr="00C1522A">
        <w:t>–26 and 2026–27 GST pool estimates and 2025–26 population estimates were taken from the</w:t>
      </w:r>
      <w:r w:rsidRPr="00C1522A">
        <w:rPr>
          <w:sz w:val="20"/>
        </w:rPr>
        <w:t xml:space="preserve"> </w:t>
      </w:r>
      <w:hyperlink r:id="rId32" w:history="1">
        <w:r w:rsidRPr="00C1522A">
          <w:rPr>
            <w:rStyle w:val="Hyperlink"/>
            <w:i/>
            <w:iCs/>
          </w:rPr>
          <w:t>Mid-Year Economic and Fiscal Outlook 20</w:t>
        </w:r>
        <w:bookmarkStart w:id="43" w:name="_Hlt219988290"/>
        <w:bookmarkStart w:id="44" w:name="_Hlt219988291"/>
        <w:r w:rsidRPr="00C1522A">
          <w:rPr>
            <w:rStyle w:val="Hyperlink"/>
            <w:i/>
            <w:iCs/>
          </w:rPr>
          <w:t>2</w:t>
        </w:r>
        <w:bookmarkEnd w:id="43"/>
        <w:bookmarkEnd w:id="44"/>
        <w:r w:rsidRPr="00C1522A">
          <w:rPr>
            <w:rStyle w:val="Hyperlink"/>
            <w:i/>
            <w:iCs/>
          </w:rPr>
          <w:t>5–26</w:t>
        </w:r>
      </w:hyperlink>
      <w:r w:rsidRPr="00C1522A">
        <w:t>. 2026–27 population estimates were provided by the Commonwealth Treasury.</w:t>
      </w:r>
    </w:p>
    <w:p w14:paraId="0518F491" w14:textId="77777777" w:rsidR="000801E5" w:rsidRPr="008C71C1" w:rsidRDefault="000801E5" w:rsidP="000801E5">
      <w:r w:rsidRPr="008C71C1">
        <w:t xml:space="preserve">Changes in estimated GST payments between 2025–26 and 2026–27 are driven by the following. </w:t>
      </w:r>
    </w:p>
    <w:p w14:paraId="296B0DBC" w14:textId="0E56A7BF" w:rsidR="000801E5" w:rsidRPr="003B1402" w:rsidRDefault="000801E5" w:rsidP="00350854">
      <w:pPr>
        <w:pStyle w:val="CGCBulletPoints"/>
      </w:pPr>
      <w:r w:rsidRPr="003B1402">
        <w:t>Changes to state populations</w:t>
      </w:r>
      <w:r w:rsidR="00F325A3">
        <w:t>:</w:t>
      </w:r>
      <w:r w:rsidRPr="003B1402">
        <w:t xml:space="preserve"> the GST distribution is determined by applying GST relativities to state populations. The estimated 2026–27 GST distribution is based on Commonwealth estimates of state populations for 2026–27 at the time of </w:t>
      </w:r>
      <w:r>
        <w:t xml:space="preserve">the </w:t>
      </w:r>
      <w:hyperlink r:id="rId33" w:history="1">
        <w:r w:rsidRPr="00970CAE">
          <w:rPr>
            <w:rStyle w:val="Hyperlink"/>
            <w:i/>
            <w:iCs/>
          </w:rPr>
          <w:t>Mid</w:t>
        </w:r>
        <w:r w:rsidRPr="00970CAE">
          <w:rPr>
            <w:rStyle w:val="Hyperlink"/>
            <w:i/>
            <w:iCs/>
          </w:rPr>
          <w:noBreakHyphen/>
          <w:t>Year Economic and Fiscal Outlook 2025–26</w:t>
        </w:r>
      </w:hyperlink>
      <w:r w:rsidRPr="003B1402">
        <w:rPr>
          <w:i/>
          <w:iCs/>
        </w:rPr>
        <w:t xml:space="preserve">. </w:t>
      </w:r>
      <w:r>
        <w:t>E</w:t>
      </w:r>
      <w:r w:rsidRPr="001C172F">
        <w:t>xpected</w:t>
      </w:r>
      <w:r w:rsidRPr="003C069C">
        <w:t xml:space="preserve"> changes in state</w:t>
      </w:r>
      <w:r w:rsidRPr="0075200B">
        <w:rPr>
          <w:i/>
          <w:iCs/>
        </w:rPr>
        <w:t xml:space="preserve"> </w:t>
      </w:r>
      <w:r w:rsidRPr="003B1402">
        <w:t>populations between 2025–26 and 2026–27 impact the estimated GST distribution.</w:t>
      </w:r>
    </w:p>
    <w:p w14:paraId="0AFA9B79" w14:textId="77777777" w:rsidR="000801E5" w:rsidRPr="003B1402" w:rsidRDefault="000801E5" w:rsidP="00350854">
      <w:pPr>
        <w:pStyle w:val="CGCBulletPoints-Level2"/>
      </w:pPr>
      <w:r w:rsidRPr="003B1402">
        <w:t xml:space="preserve">Slower forecast population growth between these years in New South Wales, South Australia, Tasmania and the Northern Territory </w:t>
      </w:r>
      <w:proofErr w:type="gramStart"/>
      <w:r w:rsidRPr="003B1402">
        <w:t>reduce</w:t>
      </w:r>
      <w:r>
        <w:t>s</w:t>
      </w:r>
      <w:proofErr w:type="gramEnd"/>
      <w:r w:rsidRPr="003B1402">
        <w:t xml:space="preserve"> their estimated GST distribution.</w:t>
      </w:r>
      <w:r>
        <w:t xml:space="preserve"> </w:t>
      </w:r>
      <w:r w:rsidRPr="002766C5">
        <w:t>Higher</w:t>
      </w:r>
      <w:r>
        <w:t xml:space="preserve"> </w:t>
      </w:r>
      <w:r w:rsidRPr="003B1402">
        <w:t xml:space="preserve">forecast population growth in Victoria, Queensland, Western Australia and the ACT </w:t>
      </w:r>
      <w:proofErr w:type="gramStart"/>
      <w:r w:rsidRPr="003B1402">
        <w:t>increase</w:t>
      </w:r>
      <w:r>
        <w:t>s</w:t>
      </w:r>
      <w:proofErr w:type="gramEnd"/>
      <w:r w:rsidRPr="003B1402">
        <w:t xml:space="preserve"> their estimated GST distribution.</w:t>
      </w:r>
    </w:p>
    <w:p w14:paraId="4B2B30F2" w14:textId="31A4BACF" w:rsidR="000801E5" w:rsidRPr="003B1402" w:rsidRDefault="000801E5" w:rsidP="00350854">
      <w:pPr>
        <w:pStyle w:val="CGCBulletPoints-Level2"/>
      </w:pPr>
      <w:r w:rsidRPr="003B1402">
        <w:t>Changes to state populations also impact the Commission’s assessment of state</w:t>
      </w:r>
      <w:r w:rsidR="00216F00">
        <w:t>s’</w:t>
      </w:r>
      <w:r w:rsidRPr="003B1402">
        <w:t xml:space="preserve"> GST needs. These impacts are separately captured in the changes to GST relativities (see below).</w:t>
      </w:r>
    </w:p>
    <w:p w14:paraId="53019266" w14:textId="134E2B47" w:rsidR="000801E5" w:rsidRPr="003B1402" w:rsidRDefault="000801E5" w:rsidP="003116B2">
      <w:pPr>
        <w:pStyle w:val="BulletPoints"/>
        <w:numPr>
          <w:ilvl w:val="0"/>
          <w:numId w:val="2"/>
        </w:numPr>
        <w:ind w:left="714" w:hanging="357"/>
      </w:pPr>
      <w:r w:rsidRPr="003B1402">
        <w:t>Growth in the GST pool</w:t>
      </w:r>
      <w:r w:rsidR="00F11CDB">
        <w:t>:</w:t>
      </w:r>
      <w:r>
        <w:t xml:space="preserve"> </w:t>
      </w:r>
      <w:r w:rsidRPr="003B1402">
        <w:t xml:space="preserve">in the </w:t>
      </w:r>
      <w:hyperlink r:id="rId34" w:history="1">
        <w:r w:rsidRPr="00970CAE">
          <w:rPr>
            <w:rStyle w:val="Hyperlink"/>
            <w:i/>
            <w:iCs/>
          </w:rPr>
          <w:t>Mid-Year Economic and Fiscal Outlook 2025–26</w:t>
        </w:r>
      </w:hyperlink>
      <w:r w:rsidRPr="003B1402">
        <w:t>, the Australian Government estimate</w:t>
      </w:r>
      <w:r>
        <w:t>d</w:t>
      </w:r>
      <w:r w:rsidRPr="003B1402">
        <w:t xml:space="preserve"> an increase in the GST pool from around $9</w:t>
      </w:r>
      <w:r>
        <w:t>7</w:t>
      </w:r>
      <w:r w:rsidRPr="003B1402">
        <w:t> billion in 2025–26 to around $10</w:t>
      </w:r>
      <w:r>
        <w:t>3</w:t>
      </w:r>
      <w:r w:rsidRPr="003B1402">
        <w:t> billion in 2026–27.</w:t>
      </w:r>
      <w:r w:rsidRPr="00CC7FC1">
        <w:rPr>
          <w:szCs w:val="20"/>
          <w:vertAlign w:val="superscript"/>
        </w:rPr>
        <w:footnoteReference w:id="7"/>
      </w:r>
      <w:r w:rsidRPr="003B1402">
        <w:t xml:space="preserve"> Growth in the pool is distributed among states using their population shares, weighted by their </w:t>
      </w:r>
      <w:r w:rsidRPr="004449A6">
        <w:t>202</w:t>
      </w:r>
      <w:r>
        <w:t>6–</w:t>
      </w:r>
      <w:r w:rsidRPr="004449A6">
        <w:t>2</w:t>
      </w:r>
      <w:r>
        <w:t xml:space="preserve">7 </w:t>
      </w:r>
      <w:r w:rsidRPr="003B1402">
        <w:t>relativit</w:t>
      </w:r>
      <w:r>
        <w:t>ies</w:t>
      </w:r>
      <w:r w:rsidRPr="003B1402">
        <w:t>.</w:t>
      </w:r>
      <w:r>
        <w:t xml:space="preserve"> </w:t>
      </w:r>
    </w:p>
    <w:p w14:paraId="7E5A2EC3" w14:textId="4AEC996C" w:rsidR="000801E5" w:rsidRPr="005C5AD6" w:rsidRDefault="000801E5" w:rsidP="002076AC">
      <w:pPr>
        <w:pStyle w:val="CGCBulletPoints-Level2"/>
      </w:pPr>
      <w:r w:rsidRPr="005C5AD6">
        <w:t>All states benefit from anticipated growth in the GST pool in 202</w:t>
      </w:r>
      <w:r>
        <w:t>6</w:t>
      </w:r>
      <w:r w:rsidRPr="005C5AD6">
        <w:t>–2</w:t>
      </w:r>
      <w:r>
        <w:t>7</w:t>
      </w:r>
      <w:r w:rsidRPr="005C5AD6">
        <w:t xml:space="preserve">. States with a higher </w:t>
      </w:r>
      <w:r w:rsidR="00786D21">
        <w:t xml:space="preserve">GST </w:t>
      </w:r>
      <w:r w:rsidRPr="005C5AD6">
        <w:t xml:space="preserve">relativity, </w:t>
      </w:r>
      <w:proofErr w:type="gramStart"/>
      <w:r w:rsidRPr="005C5AD6">
        <w:t>in particular</w:t>
      </w:r>
      <w:proofErr w:type="gramEnd"/>
      <w:r w:rsidRPr="005C5AD6">
        <w:t xml:space="preserve"> the Northern Territory, but also Tasmania and South Australia, benefit more on a per capita basis than states with a lower </w:t>
      </w:r>
      <w:r w:rsidR="00742F03">
        <w:t xml:space="preserve">GST </w:t>
      </w:r>
      <w:r w:rsidRPr="005C5AD6">
        <w:t>relativity.</w:t>
      </w:r>
    </w:p>
    <w:p w14:paraId="6C591F68" w14:textId="77777777" w:rsidR="001F5E1B" w:rsidRDefault="001F5E1B">
      <w:pPr>
        <w:tabs>
          <w:tab w:val="clear" w:pos="567"/>
        </w:tabs>
        <w:spacing w:before="0" w:line="240" w:lineRule="auto"/>
        <w:rPr>
          <w:rFonts w:eastAsia="Calibri" w:cs="Arial"/>
        </w:rPr>
      </w:pPr>
      <w:r>
        <w:br w:type="page"/>
      </w:r>
    </w:p>
    <w:p w14:paraId="64C0FBA1" w14:textId="1847158B" w:rsidR="000801E5" w:rsidRPr="007B3FF2" w:rsidRDefault="000801E5" w:rsidP="002076AC">
      <w:pPr>
        <w:pStyle w:val="CGCBulletPoints"/>
      </w:pPr>
      <w:r w:rsidRPr="007B3FF2">
        <w:lastRenderedPageBreak/>
        <w:t>Changes to the GST relativities</w:t>
      </w:r>
      <w:r w:rsidR="00C967E9">
        <w:t>:</w:t>
      </w:r>
      <w:r w:rsidRPr="007B3FF2">
        <w:t xml:space="preserve"> change</w:t>
      </w:r>
      <w:r w:rsidR="006C6E82">
        <w:t>s</w:t>
      </w:r>
      <w:r w:rsidRPr="007B3FF2">
        <w:t xml:space="preserve"> in </w:t>
      </w:r>
      <w:r>
        <w:t xml:space="preserve">GST </w:t>
      </w:r>
      <w:r w:rsidRPr="007B3FF2">
        <w:t xml:space="preserve">relativities reflect changes in assessed relativities (influenced by method changes, data revisions and changes in state circumstances), as well as the application of the 2018 </w:t>
      </w:r>
      <w:r w:rsidR="000C4D95" w:rsidRPr="000C4D95">
        <w:t>legislated changes to determining relativities</w:t>
      </w:r>
      <w:r w:rsidRPr="007B3FF2">
        <w:t>.</w:t>
      </w:r>
    </w:p>
    <w:p w14:paraId="5A823504" w14:textId="77777777" w:rsidR="000801E5" w:rsidRDefault="000801E5" w:rsidP="002076AC">
      <w:pPr>
        <w:pStyle w:val="CGCBulletPoints-Level2"/>
      </w:pPr>
      <w:r w:rsidRPr="00685E1F">
        <w:t xml:space="preserve">Compared with 2025–26, the recommended GST relativities for 2026–27 (excluding the impact of changes in populations and changes in </w:t>
      </w:r>
      <w:r>
        <w:t xml:space="preserve">the </w:t>
      </w:r>
      <w:r w:rsidRPr="00685E1F">
        <w:t>GST pool), increase the GST distribution to Queensland, Western</w:t>
      </w:r>
      <w:r>
        <w:t> </w:t>
      </w:r>
      <w:r w:rsidRPr="00685E1F">
        <w:t>Australia, Tasmania and the Northern Territory and decrease the GST</w:t>
      </w:r>
      <w:r>
        <w:t> </w:t>
      </w:r>
      <w:r w:rsidRPr="00685E1F">
        <w:t xml:space="preserve">distribution to New South Wales, Victoria, South Australia and the ACT. </w:t>
      </w:r>
    </w:p>
    <w:p w14:paraId="5038B903" w14:textId="44847728" w:rsidR="000801E5" w:rsidRDefault="000801E5" w:rsidP="002076AC">
      <w:pPr>
        <w:pStyle w:val="CGCBulletPoints-Level2"/>
      </w:pPr>
      <w:r>
        <w:t>New South Wales has the largest decrease in GST distribution from changes to the GST relativities. New South </w:t>
      </w:r>
      <w:proofErr w:type="spellStart"/>
      <w:r>
        <w:t>Wales’</w:t>
      </w:r>
      <w:proofErr w:type="spellEnd"/>
      <w:r>
        <w:t xml:space="preserve"> GST relativity is its lowest since the introduction of the GST in 2000</w:t>
      </w:r>
      <w:r w:rsidR="00B778EF">
        <w:t>–</w:t>
      </w:r>
      <w:r>
        <w:t>01.</w:t>
      </w:r>
    </w:p>
    <w:p w14:paraId="2B1E8AC6" w14:textId="26C95AD7" w:rsidR="000801E5" w:rsidRPr="00903A87" w:rsidRDefault="00C617E5" w:rsidP="002076AC">
      <w:pPr>
        <w:pStyle w:val="CGCBulletPoints-Level2"/>
      </w:pPr>
      <w:r w:rsidRPr="001367F7">
        <w:t xml:space="preserve">In </w:t>
      </w:r>
      <w:r w:rsidR="000801E5" w:rsidRPr="001367F7">
        <w:t>2025–26</w:t>
      </w:r>
      <w:r w:rsidR="005D186B" w:rsidRPr="001367F7">
        <w:t>,</w:t>
      </w:r>
      <w:r w:rsidR="000801E5" w:rsidDel="005D186B">
        <w:t xml:space="preserve"> </w:t>
      </w:r>
      <w:r w:rsidR="005D186B">
        <w:t>Queensland’s</w:t>
      </w:r>
      <w:r w:rsidR="000801E5">
        <w:t xml:space="preserve"> relativity was lifted to the standard state in all 3 assessment years, whereas in 2026–27 it is </w:t>
      </w:r>
      <w:r w:rsidR="00A42BA3">
        <w:t xml:space="preserve">only </w:t>
      </w:r>
      <w:r w:rsidR="000801E5">
        <w:t xml:space="preserve">lifted in </w:t>
      </w:r>
      <w:r w:rsidR="00B978AB">
        <w:t xml:space="preserve">the first </w:t>
      </w:r>
      <w:r w:rsidR="000801E5">
        <w:t xml:space="preserve">2 assessment years. </w:t>
      </w:r>
      <w:r w:rsidR="002356F0">
        <w:t xml:space="preserve">This means the </w:t>
      </w:r>
      <w:r w:rsidR="00D20674">
        <w:t xml:space="preserve">2018 </w:t>
      </w:r>
      <w:r w:rsidR="002356F0">
        <w:t>legislat</w:t>
      </w:r>
      <w:r w:rsidR="004D2CE0">
        <w:t>ed changes</w:t>
      </w:r>
      <w:r w:rsidR="002356F0">
        <w:t xml:space="preserve"> </w:t>
      </w:r>
      <w:r w:rsidR="00130FEA">
        <w:t xml:space="preserve">result in a bigger reduction in </w:t>
      </w:r>
      <w:r w:rsidR="00E71100">
        <w:t xml:space="preserve">Queensland’s </w:t>
      </w:r>
      <w:r w:rsidR="00130FEA">
        <w:t>GST</w:t>
      </w:r>
      <w:r w:rsidR="00E71100">
        <w:t xml:space="preserve"> in 2026</w:t>
      </w:r>
      <w:r w:rsidR="00BE42C6">
        <w:t>–</w:t>
      </w:r>
      <w:r w:rsidR="00E71100">
        <w:t xml:space="preserve">27 than </w:t>
      </w:r>
      <w:r w:rsidR="005675B0">
        <w:t xml:space="preserve">in </w:t>
      </w:r>
      <w:r w:rsidR="00BE42C6">
        <w:t>2025–26</w:t>
      </w:r>
      <w:r w:rsidR="005D186B">
        <w:t>.</w:t>
      </w:r>
    </w:p>
    <w:p w14:paraId="4DBE89DF" w14:textId="77777777" w:rsidR="000801E5" w:rsidRDefault="000801E5" w:rsidP="002076AC">
      <w:pPr>
        <w:pStyle w:val="CGCBulletPoints-Level2"/>
      </w:pPr>
      <w:r w:rsidRPr="00333EC9">
        <w:t>Chapter 2 provides details on the main drivers of the changes to</w:t>
      </w:r>
      <w:r>
        <w:t xml:space="preserve"> assessed</w:t>
      </w:r>
      <w:r w:rsidRPr="00333EC9">
        <w:t xml:space="preserve"> GST</w:t>
      </w:r>
      <w:r>
        <w:t xml:space="preserve"> needs</w:t>
      </w:r>
      <w:r w:rsidRPr="00333EC9">
        <w:t>.</w:t>
      </w:r>
    </w:p>
    <w:p w14:paraId="21BC15D7" w14:textId="77777777" w:rsidR="000801E5" w:rsidRDefault="000801E5" w:rsidP="000801E5">
      <w:r w:rsidRPr="00C606CB">
        <w:t>Appendix C provides an analysis of how the GST distribution has changed since the</w:t>
      </w:r>
      <w:r w:rsidRPr="00333EC9">
        <w:t xml:space="preserve"> introduction of the GST in 2000–01.</w:t>
      </w:r>
    </w:p>
    <w:p w14:paraId="479EAD2D" w14:textId="39579CDD" w:rsidR="000801E5" w:rsidRPr="00E56F3A" w:rsidRDefault="000801E5" w:rsidP="003116B2">
      <w:pPr>
        <w:pStyle w:val="Heading2"/>
        <w:keepNext/>
      </w:pPr>
      <w:r>
        <w:t xml:space="preserve">Impact of replacing 2021–22 data with 2024–25 data </w:t>
      </w:r>
    </w:p>
    <w:p w14:paraId="2D66698C" w14:textId="1B80AF71" w:rsidR="000801E5" w:rsidRDefault="000801E5" w:rsidP="000801E5">
      <w:r>
        <w:t xml:space="preserve">The Commission’s aim, to the extent reliable data allow, is that the </w:t>
      </w:r>
      <w:r w:rsidR="00617AB2">
        <w:t xml:space="preserve">GST </w:t>
      </w:r>
      <w:r>
        <w:t xml:space="preserve">distribution provided to states in a year reflects state circumstances. Given robust data for the application year are not available until the application year has passed, the Commission bases its recommendations on historical data. The 3-year lagged, moving average </w:t>
      </w:r>
      <w:r w:rsidR="00B92B84">
        <w:t xml:space="preserve">of state fiscal capacities </w:t>
      </w:r>
      <w:r>
        <w:t>provides a balance between contemporaneity, predictability and smoothing the impacts of fiscal shocks.</w:t>
      </w:r>
    </w:p>
    <w:p w14:paraId="4CEBDD4D" w14:textId="653E90F8" w:rsidR="000801E5" w:rsidRDefault="00EE249E" w:rsidP="000801E5">
      <w:r>
        <w:t>Under</w:t>
      </w:r>
      <w:r w:rsidR="000801E5">
        <w:t xml:space="preserve"> this approach, each update </w:t>
      </w:r>
      <w:r w:rsidR="002D2CDF">
        <w:t>is</w:t>
      </w:r>
      <w:r w:rsidR="00D5030A">
        <w:t xml:space="preserve"> </w:t>
      </w:r>
      <w:r w:rsidR="000801E5">
        <w:t xml:space="preserve">impacted by </w:t>
      </w:r>
      <w:r w:rsidR="008436D0">
        <w:t xml:space="preserve">differences </w:t>
      </w:r>
      <w:r w:rsidR="004279F5">
        <w:t>between</w:t>
      </w:r>
      <w:r w:rsidR="008436D0">
        <w:t xml:space="preserve"> </w:t>
      </w:r>
      <w:r w:rsidR="000801E5">
        <w:t xml:space="preserve">the year being removed from the Commission’s calculations and the </w:t>
      </w:r>
      <w:r w:rsidR="00BE7C29">
        <w:t xml:space="preserve">year </w:t>
      </w:r>
      <w:r w:rsidR="005107A3">
        <w:t>replacing it</w:t>
      </w:r>
      <w:r w:rsidR="000801E5">
        <w:t xml:space="preserve">. In the 2026 Update, 2021–22 data have been removed and 2024–25 data have been introduced. </w:t>
      </w:r>
      <w:r w:rsidR="000801E5" w:rsidRPr="00A24F1F">
        <w:t xml:space="preserve">Some notable state experiences in these years are </w:t>
      </w:r>
      <w:r w:rsidR="000801E5">
        <w:t xml:space="preserve">outlined </w:t>
      </w:r>
      <w:r w:rsidR="000801E5" w:rsidRPr="00A24F1F">
        <w:t>below.</w:t>
      </w:r>
    </w:p>
    <w:p w14:paraId="0F95AAB8" w14:textId="77777777" w:rsidR="000801E5" w:rsidRPr="00A24F1F" w:rsidRDefault="000801E5" w:rsidP="000801E5">
      <w:r>
        <w:t>In 2021–22</w:t>
      </w:r>
      <w:r w:rsidRPr="00A24F1F">
        <w:t>:</w:t>
      </w:r>
    </w:p>
    <w:p w14:paraId="7BC2FCDA" w14:textId="7E2BD635" w:rsidR="000801E5" w:rsidRPr="00A24F1F" w:rsidRDefault="0F1CE852" w:rsidP="002076AC">
      <w:pPr>
        <w:pStyle w:val="CGCBulletPoints"/>
      </w:pPr>
      <w:r>
        <w:t xml:space="preserve">states’ spending on the COVID-19 public health response and business support varied significantly, with some states spending much </w:t>
      </w:r>
      <w:r w:rsidR="00477660">
        <w:t xml:space="preserve">more </w:t>
      </w:r>
      <w:r>
        <w:t>than others</w:t>
      </w:r>
    </w:p>
    <w:p w14:paraId="026B3740" w14:textId="77777777" w:rsidR="000801E5" w:rsidRPr="00A24F1F" w:rsidRDefault="000801E5" w:rsidP="002076AC">
      <w:pPr>
        <w:pStyle w:val="CGCBulletPoints"/>
      </w:pPr>
      <w:r w:rsidRPr="00A24F1F">
        <w:t xml:space="preserve">the </w:t>
      </w:r>
      <w:r>
        <w:t>COVID-19 pandemic had large impacts on population movements, both into Australia and between states</w:t>
      </w:r>
    </w:p>
    <w:p w14:paraId="6633560F" w14:textId="77777777" w:rsidR="000801E5" w:rsidRPr="00A24F1F" w:rsidRDefault="000801E5" w:rsidP="002076AC">
      <w:pPr>
        <w:pStyle w:val="CGCBulletPoints"/>
      </w:pPr>
      <w:r>
        <w:t xml:space="preserve">there were high commodity prices, </w:t>
      </w:r>
      <w:r w:rsidRPr="00A24F1F">
        <w:t xml:space="preserve">particularly </w:t>
      </w:r>
      <w:r>
        <w:t>for coal</w:t>
      </w:r>
    </w:p>
    <w:p w14:paraId="5A79660D" w14:textId="77777777" w:rsidR="000801E5" w:rsidRDefault="000801E5" w:rsidP="002076AC">
      <w:pPr>
        <w:pStyle w:val="CGCBulletPoints"/>
      </w:pPr>
      <w:r w:rsidRPr="00A24F1F">
        <w:t>there was</w:t>
      </w:r>
      <w:r>
        <w:t xml:space="preserve"> a significant property boom across Australia, particularly impacting Sydney and Melbourne.</w:t>
      </w:r>
    </w:p>
    <w:p w14:paraId="7E4CE114" w14:textId="77777777" w:rsidR="000801E5" w:rsidRPr="00A24F1F" w:rsidRDefault="000801E5" w:rsidP="000801E5">
      <w:pPr>
        <w:pStyle w:val="CGC2025Bullet1"/>
        <w:ind w:left="0" w:firstLine="0"/>
      </w:pPr>
      <w:r w:rsidRPr="00A24F1F">
        <w:t xml:space="preserve">Comparably, in </w:t>
      </w:r>
      <w:r>
        <w:t>2024–25</w:t>
      </w:r>
      <w:r w:rsidRPr="00A24F1F">
        <w:t>:</w:t>
      </w:r>
    </w:p>
    <w:p w14:paraId="6663ACBB" w14:textId="77777777" w:rsidR="000801E5" w:rsidRDefault="000801E5" w:rsidP="002076AC">
      <w:pPr>
        <w:pStyle w:val="CGCBulletPoints"/>
      </w:pPr>
      <w:proofErr w:type="gramStart"/>
      <w:r>
        <w:t>the majority of</w:t>
      </w:r>
      <w:proofErr w:type="gramEnd"/>
      <w:r>
        <w:t xml:space="preserve"> COVID-19 health and business support spending had </w:t>
      </w:r>
      <w:r w:rsidRPr="00A24F1F">
        <w:t>finished</w:t>
      </w:r>
    </w:p>
    <w:p w14:paraId="18E67480" w14:textId="77777777" w:rsidR="000801E5" w:rsidRPr="00A24F1F" w:rsidRDefault="000801E5" w:rsidP="002076AC">
      <w:pPr>
        <w:pStyle w:val="CGCBulletPoints"/>
      </w:pPr>
      <w:r w:rsidRPr="00A24F1F">
        <w:t>population</w:t>
      </w:r>
      <w:r>
        <w:t xml:space="preserve"> movements continued to return towards long-term trends following the COVID-19 pandemic effect</w:t>
      </w:r>
    </w:p>
    <w:p w14:paraId="5C1021EC" w14:textId="77777777" w:rsidR="000801E5" w:rsidRPr="00A24F1F" w:rsidRDefault="000801E5" w:rsidP="002076AC">
      <w:pPr>
        <w:pStyle w:val="CGCBulletPoints"/>
      </w:pPr>
      <w:r>
        <w:t xml:space="preserve">commodity prices had fallen, </w:t>
      </w:r>
      <w:r w:rsidRPr="00A24F1F">
        <w:t xml:space="preserve">particularly </w:t>
      </w:r>
      <w:r>
        <w:t>for coal and iron ore</w:t>
      </w:r>
    </w:p>
    <w:p w14:paraId="71F24940" w14:textId="77777777" w:rsidR="000801E5" w:rsidRPr="00A24F1F" w:rsidRDefault="000801E5" w:rsidP="002076AC">
      <w:pPr>
        <w:pStyle w:val="CGCBulletPoints"/>
      </w:pPr>
      <w:r w:rsidRPr="00A24F1F">
        <w:t>property</w:t>
      </w:r>
      <w:r>
        <w:t xml:space="preserve"> prices were more stable in Sydney and Melbourne but there were property booms in other areas of Australia, particularly Perth, Brisbane and Adelaide</w:t>
      </w:r>
    </w:p>
    <w:p w14:paraId="76F11961" w14:textId="77777777" w:rsidR="000801E5" w:rsidRDefault="000801E5" w:rsidP="002076AC">
      <w:pPr>
        <w:pStyle w:val="CGCBulletPoints"/>
      </w:pPr>
      <w:r w:rsidRPr="00A24F1F">
        <w:t>the</w:t>
      </w:r>
      <w:r>
        <w:t xml:space="preserve"> Commonwealth and states agreed to education funding reforms, requiring a different treatment of Commonwealth education payments by the Commission.</w:t>
      </w:r>
    </w:p>
    <w:p w14:paraId="1A678544" w14:textId="77777777" w:rsidR="000801E5" w:rsidRDefault="000801E5" w:rsidP="000801E5">
      <w:r>
        <w:lastRenderedPageBreak/>
        <w:t xml:space="preserve">These changes had a significant impact on states’ relative circumstances. Replacing </w:t>
      </w:r>
      <w:r>
        <w:br/>
        <w:t>2021–22 data with 2024–25 data in the 2026 Update increases the assessed GST needs of Queensland, Western Australia, Tasmania and the Northern Territory, and reduces the assessed GST needs of the other states.</w:t>
      </w:r>
    </w:p>
    <w:p w14:paraId="10705241" w14:textId="77777777" w:rsidR="000801E5" w:rsidRDefault="000801E5" w:rsidP="003116B2">
      <w:pPr>
        <w:pStyle w:val="Heading2"/>
        <w:numPr>
          <w:ilvl w:val="1"/>
          <w:numId w:val="5"/>
        </w:numPr>
      </w:pPr>
      <w:r>
        <w:t>Impact of the 2018 GST distribution legislation</w:t>
      </w:r>
    </w:p>
    <w:p w14:paraId="40104534" w14:textId="77777777" w:rsidR="000801E5" w:rsidRDefault="000801E5" w:rsidP="000801E5">
      <w:r w:rsidRPr="00937249">
        <w:t>Under the 2018 GST distribution legislation, 2026</w:t>
      </w:r>
      <w:r>
        <w:rPr>
          <w:rFonts w:ascii="Times New Roman" w:hAnsi="Times New Roman" w:cs="Times New Roman"/>
        </w:rPr>
        <w:t>‍</w:t>
      </w:r>
      <w:r w:rsidRPr="00937249">
        <w:t>–</w:t>
      </w:r>
      <w:r w:rsidRPr="00937249">
        <w:rPr>
          <w:rFonts w:ascii="Times New Roman" w:hAnsi="Times New Roman" w:cs="Times New Roman"/>
        </w:rPr>
        <w:t>‍</w:t>
      </w:r>
      <w:r w:rsidRPr="00937249">
        <w:t xml:space="preserve">27 completes </w:t>
      </w:r>
      <w:r>
        <w:t>the</w:t>
      </w:r>
      <w:r w:rsidRPr="00937249">
        <w:t xml:space="preserve"> 6-year transition away from distributing the GST pool based solely on the Commission’s assessment of states’ relative fiscal capacities. From this update, no state will have a GST relativity less than the lower of New South Wales or Victoria (referred to as the ‘standard state’)</w:t>
      </w:r>
      <w:r>
        <w:t xml:space="preserve"> or below the GST floor of 0.75</w:t>
      </w:r>
      <w:r w:rsidRPr="00937249">
        <w:t>. In 2026–27, New South Wales is the standard state in all assessment years (2022–23, 2023–24 and 2024–25)</w:t>
      </w:r>
      <w:r>
        <w:t xml:space="preserve"> and the floor is not triggered</w:t>
      </w:r>
      <w:r w:rsidRPr="00937249">
        <w:t>.</w:t>
      </w:r>
    </w:p>
    <w:p w14:paraId="4B3BC191" w14:textId="7C462DD5" w:rsidR="000801E5" w:rsidRDefault="000801E5" w:rsidP="000801E5">
      <w:r>
        <w:t xml:space="preserve">Table 1-3 </w:t>
      </w:r>
      <w:r w:rsidRPr="00FA49F4">
        <w:t>compares the estimated distribution from the GST pool (including pool top</w:t>
      </w:r>
      <w:r w:rsidRPr="00FA49F4">
        <w:noBreakHyphen/>
        <w:t>ups but excluding no worse off payments) in 2026–27 with the Commission’s estimate of what each state would have received if the 2018 GST distribution legislation had not been enacted.</w:t>
      </w:r>
      <w:r>
        <w:t xml:space="preserve"> It shows t</w:t>
      </w:r>
      <w:r w:rsidRPr="00E312D4">
        <w:t xml:space="preserve">he </w:t>
      </w:r>
      <w:r>
        <w:t>total</w:t>
      </w:r>
      <w:r w:rsidRPr="00E312D4">
        <w:t xml:space="preserve"> difference </w:t>
      </w:r>
      <w:r>
        <w:t xml:space="preserve">is </w:t>
      </w:r>
      <w:r w:rsidRPr="00E312D4">
        <w:t>$1</w:t>
      </w:r>
      <w:r>
        <w:t>.</w:t>
      </w:r>
      <w:r w:rsidRPr="00E312D4">
        <w:t>1</w:t>
      </w:r>
      <w:r>
        <w:t xml:space="preserve"> billion, which </w:t>
      </w:r>
      <w:r w:rsidRPr="00E312D4">
        <w:t>reflects the Commonwealth’s estimated top-up to the GST pool in 2026–27</w:t>
      </w:r>
      <w:r>
        <w:t>.</w:t>
      </w:r>
    </w:p>
    <w:p w14:paraId="4E7DC42C" w14:textId="77777777" w:rsidR="000801E5" w:rsidRDefault="000801E5" w:rsidP="000801E5">
      <w:pPr>
        <w:pStyle w:val="CGC2025Caption"/>
        <w:keepNext/>
        <w:ind w:left="1440" w:hanging="1440"/>
      </w:pPr>
      <w:r w:rsidRPr="0048379F">
        <w:t>Table 1-</w:t>
      </w:r>
      <w:r>
        <w:t>3</w:t>
      </w:r>
      <w:r w:rsidRPr="0048379F">
        <w:t xml:space="preserve"> </w:t>
      </w:r>
      <w:r w:rsidRPr="0048379F">
        <w:tab/>
        <w:t>Impact of 2018 GST distribution legislation on the distribution of the GST pool, 2026–27 (excludes no worse off payments)</w:t>
      </w:r>
    </w:p>
    <w:tbl>
      <w:tblPr>
        <w:tblW w:w="9040" w:type="dxa"/>
        <w:tblLook w:val="04A0" w:firstRow="1" w:lastRow="0" w:firstColumn="1" w:lastColumn="0" w:noHBand="0" w:noVBand="1"/>
      </w:tblPr>
      <w:tblGrid>
        <w:gridCol w:w="2609"/>
        <w:gridCol w:w="708"/>
        <w:gridCol w:w="708"/>
        <w:gridCol w:w="708"/>
        <w:gridCol w:w="700"/>
        <w:gridCol w:w="708"/>
        <w:gridCol w:w="700"/>
        <w:gridCol w:w="700"/>
        <w:gridCol w:w="700"/>
        <w:gridCol w:w="799"/>
      </w:tblGrid>
      <w:tr w:rsidR="00A91F28" w:rsidRPr="00A91F28" w14:paraId="39D5E332" w14:textId="77777777" w:rsidTr="00A91F28">
        <w:trPr>
          <w:trHeight w:val="375"/>
        </w:trPr>
        <w:tc>
          <w:tcPr>
            <w:tcW w:w="2740" w:type="dxa"/>
            <w:tcBorders>
              <w:top w:val="nil"/>
              <w:left w:val="nil"/>
              <w:bottom w:val="nil"/>
              <w:right w:val="nil"/>
            </w:tcBorders>
            <w:shd w:val="clear" w:color="000000" w:fill="006991"/>
            <w:vAlign w:val="bottom"/>
            <w:hideMark/>
          </w:tcPr>
          <w:p w14:paraId="7BA310C7" w14:textId="77777777" w:rsidR="00A91F28" w:rsidRPr="00A91F28" w:rsidRDefault="00A91F28" w:rsidP="00A91F28">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47" w:name="RANGE!A4:J8"/>
            <w:bookmarkStart w:id="48" w:name="RANGE!A4:J7"/>
            <w:bookmarkEnd w:id="47"/>
            <w:r w:rsidRPr="00A91F28">
              <w:rPr>
                <w:rFonts w:ascii="Open Sans Semibold" w:eastAsia="Times New Roman" w:hAnsi="Open Sans Semibold" w:cs="Open Sans Semibold"/>
                <w:color w:val="FFFFFF"/>
                <w:sz w:val="16"/>
                <w:szCs w:val="16"/>
                <w:lang w:eastAsia="en-AU"/>
              </w:rPr>
              <w:t> </w:t>
            </w:r>
            <w:bookmarkEnd w:id="48"/>
          </w:p>
        </w:tc>
        <w:tc>
          <w:tcPr>
            <w:tcW w:w="700" w:type="dxa"/>
            <w:tcBorders>
              <w:top w:val="nil"/>
              <w:left w:val="nil"/>
              <w:bottom w:val="nil"/>
              <w:right w:val="nil"/>
            </w:tcBorders>
            <w:shd w:val="clear" w:color="000000" w:fill="006991"/>
            <w:vAlign w:val="center"/>
            <w:hideMark/>
          </w:tcPr>
          <w:p w14:paraId="39C79648"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NSW</w:t>
            </w:r>
          </w:p>
        </w:tc>
        <w:tc>
          <w:tcPr>
            <w:tcW w:w="700" w:type="dxa"/>
            <w:tcBorders>
              <w:top w:val="nil"/>
              <w:left w:val="nil"/>
              <w:bottom w:val="nil"/>
              <w:right w:val="nil"/>
            </w:tcBorders>
            <w:shd w:val="clear" w:color="000000" w:fill="006991"/>
            <w:vAlign w:val="center"/>
            <w:hideMark/>
          </w:tcPr>
          <w:p w14:paraId="38DD28E4"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Vic</w:t>
            </w:r>
          </w:p>
        </w:tc>
        <w:tc>
          <w:tcPr>
            <w:tcW w:w="700" w:type="dxa"/>
            <w:tcBorders>
              <w:top w:val="nil"/>
              <w:left w:val="nil"/>
              <w:bottom w:val="nil"/>
              <w:right w:val="nil"/>
            </w:tcBorders>
            <w:shd w:val="clear" w:color="000000" w:fill="006991"/>
            <w:vAlign w:val="center"/>
            <w:hideMark/>
          </w:tcPr>
          <w:p w14:paraId="1776796A"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Qld</w:t>
            </w:r>
          </w:p>
        </w:tc>
        <w:tc>
          <w:tcPr>
            <w:tcW w:w="700" w:type="dxa"/>
            <w:tcBorders>
              <w:top w:val="nil"/>
              <w:left w:val="nil"/>
              <w:bottom w:val="nil"/>
              <w:right w:val="nil"/>
            </w:tcBorders>
            <w:shd w:val="clear" w:color="000000" w:fill="006991"/>
            <w:vAlign w:val="center"/>
            <w:hideMark/>
          </w:tcPr>
          <w:p w14:paraId="371C8F08"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WA</w:t>
            </w:r>
          </w:p>
        </w:tc>
        <w:tc>
          <w:tcPr>
            <w:tcW w:w="700" w:type="dxa"/>
            <w:tcBorders>
              <w:top w:val="nil"/>
              <w:left w:val="nil"/>
              <w:bottom w:val="nil"/>
              <w:right w:val="nil"/>
            </w:tcBorders>
            <w:shd w:val="clear" w:color="000000" w:fill="006991"/>
            <w:vAlign w:val="center"/>
            <w:hideMark/>
          </w:tcPr>
          <w:p w14:paraId="5DA7F03C"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SA</w:t>
            </w:r>
          </w:p>
        </w:tc>
        <w:tc>
          <w:tcPr>
            <w:tcW w:w="700" w:type="dxa"/>
            <w:tcBorders>
              <w:top w:val="nil"/>
              <w:left w:val="nil"/>
              <w:bottom w:val="nil"/>
              <w:right w:val="nil"/>
            </w:tcBorders>
            <w:shd w:val="clear" w:color="000000" w:fill="006991"/>
            <w:vAlign w:val="center"/>
            <w:hideMark/>
          </w:tcPr>
          <w:p w14:paraId="0EB80ED5"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Tas</w:t>
            </w:r>
          </w:p>
        </w:tc>
        <w:tc>
          <w:tcPr>
            <w:tcW w:w="700" w:type="dxa"/>
            <w:tcBorders>
              <w:top w:val="nil"/>
              <w:left w:val="nil"/>
              <w:bottom w:val="nil"/>
              <w:right w:val="nil"/>
            </w:tcBorders>
            <w:shd w:val="clear" w:color="000000" w:fill="006991"/>
            <w:vAlign w:val="center"/>
            <w:hideMark/>
          </w:tcPr>
          <w:p w14:paraId="461DBD79"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ACT</w:t>
            </w:r>
          </w:p>
        </w:tc>
        <w:tc>
          <w:tcPr>
            <w:tcW w:w="700" w:type="dxa"/>
            <w:tcBorders>
              <w:top w:val="nil"/>
              <w:left w:val="nil"/>
              <w:bottom w:val="nil"/>
              <w:right w:val="nil"/>
            </w:tcBorders>
            <w:shd w:val="clear" w:color="000000" w:fill="006991"/>
            <w:vAlign w:val="center"/>
            <w:hideMark/>
          </w:tcPr>
          <w:p w14:paraId="7DFA985B"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NT</w:t>
            </w:r>
          </w:p>
        </w:tc>
        <w:tc>
          <w:tcPr>
            <w:tcW w:w="700" w:type="dxa"/>
            <w:tcBorders>
              <w:top w:val="nil"/>
              <w:left w:val="nil"/>
              <w:bottom w:val="nil"/>
              <w:right w:val="nil"/>
            </w:tcBorders>
            <w:shd w:val="clear" w:color="000000" w:fill="006991"/>
            <w:vAlign w:val="center"/>
            <w:hideMark/>
          </w:tcPr>
          <w:p w14:paraId="11B3CD41"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A91F28">
              <w:rPr>
                <w:rFonts w:ascii="Open Sans Semibold" w:eastAsia="Times New Roman" w:hAnsi="Open Sans Semibold" w:cs="Open Sans Semibold"/>
                <w:color w:val="FFFFFF"/>
                <w:sz w:val="16"/>
                <w:szCs w:val="16"/>
                <w:lang w:eastAsia="en-AU"/>
              </w:rPr>
              <w:t>Total</w:t>
            </w:r>
          </w:p>
        </w:tc>
      </w:tr>
      <w:tr w:rsidR="00A91F28" w:rsidRPr="00A91F28" w14:paraId="359D8EEB" w14:textId="77777777" w:rsidTr="00A91F28">
        <w:trPr>
          <w:trHeight w:val="260"/>
        </w:trPr>
        <w:tc>
          <w:tcPr>
            <w:tcW w:w="2740" w:type="dxa"/>
            <w:tcBorders>
              <w:top w:val="single" w:sz="4" w:space="0" w:color="ADD6EA"/>
              <w:left w:val="nil"/>
              <w:bottom w:val="nil"/>
              <w:right w:val="nil"/>
            </w:tcBorders>
            <w:shd w:val="clear" w:color="000000" w:fill="B6D5E4"/>
            <w:vAlign w:val="bottom"/>
            <w:hideMark/>
          </w:tcPr>
          <w:p w14:paraId="5D79D1EC" w14:textId="77777777" w:rsidR="00A91F28" w:rsidRPr="00A91F28" w:rsidRDefault="00A91F28" w:rsidP="00A91F28">
            <w:pPr>
              <w:tabs>
                <w:tab w:val="clear" w:pos="567"/>
              </w:tabs>
              <w:spacing w:before="0" w:line="240" w:lineRule="auto"/>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 </w:t>
            </w:r>
          </w:p>
        </w:tc>
        <w:tc>
          <w:tcPr>
            <w:tcW w:w="700" w:type="dxa"/>
            <w:tcBorders>
              <w:top w:val="single" w:sz="4" w:space="0" w:color="ADD6EA"/>
              <w:left w:val="nil"/>
              <w:bottom w:val="nil"/>
              <w:right w:val="nil"/>
            </w:tcBorders>
            <w:shd w:val="clear" w:color="000000" w:fill="B6D5E4"/>
            <w:noWrap/>
            <w:vAlign w:val="bottom"/>
            <w:hideMark/>
          </w:tcPr>
          <w:p w14:paraId="257745FE"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6BC4F364"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7DBA4686"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6E3084FA"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566A663A"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4AE09F34"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26486974"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43025FA2"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c>
          <w:tcPr>
            <w:tcW w:w="700" w:type="dxa"/>
            <w:tcBorders>
              <w:top w:val="single" w:sz="4" w:space="0" w:color="ADD6EA"/>
              <w:left w:val="nil"/>
              <w:bottom w:val="nil"/>
              <w:right w:val="nil"/>
            </w:tcBorders>
            <w:shd w:val="clear" w:color="000000" w:fill="B6D5E4"/>
            <w:noWrap/>
            <w:vAlign w:val="bottom"/>
            <w:hideMark/>
          </w:tcPr>
          <w:p w14:paraId="4D1B912F"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$m</w:t>
            </w:r>
          </w:p>
        </w:tc>
      </w:tr>
      <w:tr w:rsidR="00A91F28" w:rsidRPr="00A91F28" w14:paraId="3365ADC6" w14:textId="77777777" w:rsidTr="00A91F28">
        <w:trPr>
          <w:trHeight w:val="315"/>
        </w:trPr>
        <w:tc>
          <w:tcPr>
            <w:tcW w:w="2740" w:type="dxa"/>
            <w:tcBorders>
              <w:top w:val="single" w:sz="4" w:space="0" w:color="ADD6EA"/>
              <w:left w:val="nil"/>
              <w:bottom w:val="nil"/>
              <w:right w:val="nil"/>
            </w:tcBorders>
            <w:vAlign w:val="bottom"/>
            <w:hideMark/>
          </w:tcPr>
          <w:p w14:paraId="788094D9" w14:textId="77777777" w:rsidR="00A91F28" w:rsidRPr="00A91F28" w:rsidRDefault="00A91F28" w:rsidP="00A91F28">
            <w:pPr>
              <w:tabs>
                <w:tab w:val="clear" w:pos="567"/>
              </w:tabs>
              <w:spacing w:before="0" w:line="240" w:lineRule="auto"/>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Estimated GST pool distribution</w:t>
            </w:r>
          </w:p>
        </w:tc>
        <w:tc>
          <w:tcPr>
            <w:tcW w:w="700" w:type="dxa"/>
            <w:tcBorders>
              <w:top w:val="single" w:sz="4" w:space="0" w:color="ADD6EA"/>
              <w:left w:val="nil"/>
              <w:bottom w:val="nil"/>
              <w:right w:val="nil"/>
            </w:tcBorders>
            <w:vAlign w:val="bottom"/>
            <w:hideMark/>
          </w:tcPr>
          <w:p w14:paraId="77DB53F9"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26,123</w:t>
            </w:r>
          </w:p>
        </w:tc>
        <w:tc>
          <w:tcPr>
            <w:tcW w:w="700" w:type="dxa"/>
            <w:tcBorders>
              <w:top w:val="single" w:sz="4" w:space="0" w:color="ADD6EA"/>
              <w:left w:val="nil"/>
              <w:bottom w:val="nil"/>
              <w:right w:val="nil"/>
            </w:tcBorders>
            <w:vAlign w:val="bottom"/>
            <w:hideMark/>
          </w:tcPr>
          <w:p w14:paraId="34315D23"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27,867</w:t>
            </w:r>
          </w:p>
        </w:tc>
        <w:tc>
          <w:tcPr>
            <w:tcW w:w="700" w:type="dxa"/>
            <w:tcBorders>
              <w:top w:val="single" w:sz="4" w:space="0" w:color="ADD6EA"/>
              <w:left w:val="nil"/>
              <w:bottom w:val="nil"/>
              <w:right w:val="nil"/>
            </w:tcBorders>
            <w:vAlign w:val="bottom"/>
            <w:hideMark/>
          </w:tcPr>
          <w:p w14:paraId="64CECDEC"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18,438</w:t>
            </w:r>
          </w:p>
        </w:tc>
        <w:tc>
          <w:tcPr>
            <w:tcW w:w="700" w:type="dxa"/>
            <w:tcBorders>
              <w:top w:val="single" w:sz="4" w:space="0" w:color="ADD6EA"/>
              <w:left w:val="nil"/>
              <w:bottom w:val="nil"/>
              <w:right w:val="nil"/>
            </w:tcBorders>
            <w:vAlign w:val="bottom"/>
            <w:hideMark/>
          </w:tcPr>
          <w:p w14:paraId="6CBEB824"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9,337</w:t>
            </w:r>
          </w:p>
        </w:tc>
        <w:tc>
          <w:tcPr>
            <w:tcW w:w="700" w:type="dxa"/>
            <w:tcBorders>
              <w:top w:val="single" w:sz="4" w:space="0" w:color="ADD6EA"/>
              <w:left w:val="nil"/>
              <w:bottom w:val="nil"/>
              <w:right w:val="nil"/>
            </w:tcBorders>
            <w:vAlign w:val="bottom"/>
            <w:hideMark/>
          </w:tcPr>
          <w:p w14:paraId="6BAB1C03"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9,548</w:t>
            </w:r>
          </w:p>
        </w:tc>
        <w:tc>
          <w:tcPr>
            <w:tcW w:w="700" w:type="dxa"/>
            <w:tcBorders>
              <w:top w:val="single" w:sz="4" w:space="0" w:color="ADD6EA"/>
              <w:left w:val="nil"/>
              <w:bottom w:val="nil"/>
              <w:right w:val="nil"/>
            </w:tcBorders>
            <w:vAlign w:val="bottom"/>
            <w:hideMark/>
          </w:tcPr>
          <w:p w14:paraId="1E5E7E53"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3,968</w:t>
            </w:r>
          </w:p>
        </w:tc>
        <w:tc>
          <w:tcPr>
            <w:tcW w:w="700" w:type="dxa"/>
            <w:tcBorders>
              <w:top w:val="single" w:sz="4" w:space="0" w:color="ADD6EA"/>
              <w:left w:val="nil"/>
              <w:bottom w:val="nil"/>
              <w:right w:val="nil"/>
            </w:tcBorders>
            <w:vAlign w:val="bottom"/>
            <w:hideMark/>
          </w:tcPr>
          <w:p w14:paraId="2A210AE6"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2,095</w:t>
            </w:r>
          </w:p>
        </w:tc>
        <w:tc>
          <w:tcPr>
            <w:tcW w:w="700" w:type="dxa"/>
            <w:tcBorders>
              <w:top w:val="single" w:sz="4" w:space="0" w:color="ADD6EA"/>
              <w:left w:val="nil"/>
              <w:bottom w:val="nil"/>
              <w:right w:val="nil"/>
            </w:tcBorders>
            <w:vAlign w:val="bottom"/>
            <w:hideMark/>
          </w:tcPr>
          <w:p w14:paraId="50ABDDBD"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5,142</w:t>
            </w:r>
          </w:p>
        </w:tc>
        <w:tc>
          <w:tcPr>
            <w:tcW w:w="700" w:type="dxa"/>
            <w:tcBorders>
              <w:top w:val="single" w:sz="4" w:space="0" w:color="ADD6EA"/>
              <w:left w:val="nil"/>
              <w:bottom w:val="nil"/>
              <w:right w:val="nil"/>
            </w:tcBorders>
            <w:vAlign w:val="bottom"/>
            <w:hideMark/>
          </w:tcPr>
          <w:p w14:paraId="6C6680BC"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102,518</w:t>
            </w:r>
          </w:p>
        </w:tc>
      </w:tr>
      <w:tr w:rsidR="00A91F28" w:rsidRPr="00A91F28" w14:paraId="39E8E83F" w14:textId="77777777" w:rsidTr="00A91F28">
        <w:trPr>
          <w:trHeight w:val="555"/>
        </w:trPr>
        <w:tc>
          <w:tcPr>
            <w:tcW w:w="2740" w:type="dxa"/>
            <w:tcBorders>
              <w:top w:val="single" w:sz="4" w:space="0" w:color="ADD6EA"/>
              <w:left w:val="nil"/>
              <w:bottom w:val="nil"/>
              <w:right w:val="nil"/>
            </w:tcBorders>
            <w:vAlign w:val="bottom"/>
            <w:hideMark/>
          </w:tcPr>
          <w:p w14:paraId="5EC859F9" w14:textId="77777777" w:rsidR="00A91F28" w:rsidRPr="00A91F28" w:rsidRDefault="00A91F28" w:rsidP="00A91F28">
            <w:pPr>
              <w:tabs>
                <w:tab w:val="clear" w:pos="567"/>
              </w:tabs>
              <w:spacing w:before="0" w:line="240" w:lineRule="auto"/>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Distribution under previous arrangements</w:t>
            </w:r>
          </w:p>
        </w:tc>
        <w:tc>
          <w:tcPr>
            <w:tcW w:w="700" w:type="dxa"/>
            <w:tcBorders>
              <w:top w:val="single" w:sz="4" w:space="0" w:color="ADD6EA"/>
              <w:left w:val="nil"/>
              <w:bottom w:val="nil"/>
              <w:right w:val="nil"/>
            </w:tcBorders>
            <w:vAlign w:val="bottom"/>
            <w:hideMark/>
          </w:tcPr>
          <w:p w14:paraId="47308584"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28,248</w:t>
            </w:r>
          </w:p>
        </w:tc>
        <w:tc>
          <w:tcPr>
            <w:tcW w:w="700" w:type="dxa"/>
            <w:tcBorders>
              <w:top w:val="single" w:sz="4" w:space="0" w:color="ADD6EA"/>
              <w:left w:val="nil"/>
              <w:bottom w:val="nil"/>
              <w:right w:val="nil"/>
            </w:tcBorders>
            <w:vAlign w:val="bottom"/>
            <w:hideMark/>
          </w:tcPr>
          <w:p w14:paraId="2B7EED8C"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29,619</w:t>
            </w:r>
          </w:p>
        </w:tc>
        <w:tc>
          <w:tcPr>
            <w:tcW w:w="700" w:type="dxa"/>
            <w:tcBorders>
              <w:top w:val="single" w:sz="4" w:space="0" w:color="ADD6EA"/>
              <w:left w:val="nil"/>
              <w:bottom w:val="nil"/>
              <w:right w:val="nil"/>
            </w:tcBorders>
            <w:vAlign w:val="bottom"/>
            <w:hideMark/>
          </w:tcPr>
          <w:p w14:paraId="3F6BF079"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19,263</w:t>
            </w:r>
          </w:p>
        </w:tc>
        <w:tc>
          <w:tcPr>
            <w:tcW w:w="700" w:type="dxa"/>
            <w:tcBorders>
              <w:top w:val="single" w:sz="4" w:space="0" w:color="ADD6EA"/>
              <w:left w:val="nil"/>
              <w:bottom w:val="nil"/>
              <w:right w:val="nil"/>
            </w:tcBorders>
            <w:vAlign w:val="bottom"/>
            <w:hideMark/>
          </w:tcPr>
          <w:p w14:paraId="2AF518EA"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2,737</w:t>
            </w:r>
          </w:p>
        </w:tc>
        <w:tc>
          <w:tcPr>
            <w:tcW w:w="700" w:type="dxa"/>
            <w:tcBorders>
              <w:top w:val="single" w:sz="4" w:space="0" w:color="ADD6EA"/>
              <w:left w:val="nil"/>
              <w:bottom w:val="nil"/>
              <w:right w:val="nil"/>
            </w:tcBorders>
            <w:vAlign w:val="bottom"/>
            <w:hideMark/>
          </w:tcPr>
          <w:p w14:paraId="17C9A360"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10,014</w:t>
            </w:r>
          </w:p>
        </w:tc>
        <w:tc>
          <w:tcPr>
            <w:tcW w:w="700" w:type="dxa"/>
            <w:tcBorders>
              <w:top w:val="single" w:sz="4" w:space="0" w:color="ADD6EA"/>
              <w:left w:val="nil"/>
              <w:bottom w:val="nil"/>
              <w:right w:val="nil"/>
            </w:tcBorders>
            <w:vAlign w:val="bottom"/>
            <w:hideMark/>
          </w:tcPr>
          <w:p w14:paraId="2D8D4F9A"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4,108</w:t>
            </w:r>
          </w:p>
        </w:tc>
        <w:tc>
          <w:tcPr>
            <w:tcW w:w="700" w:type="dxa"/>
            <w:tcBorders>
              <w:top w:val="single" w:sz="4" w:space="0" w:color="ADD6EA"/>
              <w:left w:val="nil"/>
              <w:bottom w:val="nil"/>
              <w:right w:val="nil"/>
            </w:tcBorders>
            <w:vAlign w:val="bottom"/>
            <w:hideMark/>
          </w:tcPr>
          <w:p w14:paraId="2133837D"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2,215</w:t>
            </w:r>
          </w:p>
        </w:tc>
        <w:tc>
          <w:tcPr>
            <w:tcW w:w="700" w:type="dxa"/>
            <w:tcBorders>
              <w:top w:val="single" w:sz="4" w:space="0" w:color="ADD6EA"/>
              <w:left w:val="nil"/>
              <w:bottom w:val="nil"/>
              <w:right w:val="nil"/>
            </w:tcBorders>
            <w:vAlign w:val="bottom"/>
            <w:hideMark/>
          </w:tcPr>
          <w:p w14:paraId="50482342"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5,206</w:t>
            </w:r>
          </w:p>
        </w:tc>
        <w:tc>
          <w:tcPr>
            <w:tcW w:w="700" w:type="dxa"/>
            <w:tcBorders>
              <w:top w:val="single" w:sz="4" w:space="0" w:color="ADD6EA"/>
              <w:left w:val="nil"/>
              <w:bottom w:val="nil"/>
              <w:right w:val="nil"/>
            </w:tcBorders>
            <w:vAlign w:val="bottom"/>
            <w:hideMark/>
          </w:tcPr>
          <w:p w14:paraId="7A7D7470" w14:textId="77777777" w:rsidR="00A91F28" w:rsidRPr="00A91F28" w:rsidRDefault="00A91F28" w:rsidP="00A91F28">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A91F28">
              <w:rPr>
                <w:rFonts w:ascii="Open Sans Light" w:eastAsia="Times New Roman" w:hAnsi="Open Sans Light" w:cs="Open Sans Light"/>
                <w:color w:val="000000"/>
                <w:sz w:val="16"/>
                <w:szCs w:val="16"/>
                <w:lang w:eastAsia="en-AU"/>
              </w:rPr>
              <w:t>101,410</w:t>
            </w:r>
          </w:p>
        </w:tc>
      </w:tr>
      <w:tr w:rsidR="00A91F28" w:rsidRPr="00A91F28" w14:paraId="2A43D728" w14:textId="77777777" w:rsidTr="00A91F28">
        <w:trPr>
          <w:trHeight w:val="315"/>
        </w:trPr>
        <w:tc>
          <w:tcPr>
            <w:tcW w:w="2740" w:type="dxa"/>
            <w:tcBorders>
              <w:top w:val="single" w:sz="4" w:space="0" w:color="ADD6EA"/>
              <w:left w:val="nil"/>
              <w:bottom w:val="single" w:sz="4" w:space="0" w:color="ADD6EA"/>
              <w:right w:val="nil"/>
            </w:tcBorders>
            <w:shd w:val="clear" w:color="000000" w:fill="D6E7F0"/>
            <w:vAlign w:val="bottom"/>
            <w:hideMark/>
          </w:tcPr>
          <w:p w14:paraId="37228098" w14:textId="77777777" w:rsidR="00A91F28" w:rsidRPr="00A91F28" w:rsidRDefault="00A91F28" w:rsidP="00A91F28">
            <w:pPr>
              <w:tabs>
                <w:tab w:val="clear" w:pos="567"/>
              </w:tabs>
              <w:spacing w:before="0" w:line="240" w:lineRule="auto"/>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Difference</w:t>
            </w:r>
          </w:p>
        </w:tc>
        <w:tc>
          <w:tcPr>
            <w:tcW w:w="700" w:type="dxa"/>
            <w:tcBorders>
              <w:top w:val="single" w:sz="4" w:space="0" w:color="ADD6EA"/>
              <w:left w:val="nil"/>
              <w:bottom w:val="single" w:sz="4" w:space="0" w:color="ADD6EA"/>
              <w:right w:val="nil"/>
            </w:tcBorders>
            <w:shd w:val="clear" w:color="000000" w:fill="D6E7F0"/>
            <w:noWrap/>
            <w:vAlign w:val="bottom"/>
            <w:hideMark/>
          </w:tcPr>
          <w:p w14:paraId="41AC1A8A"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-2,125</w:t>
            </w:r>
          </w:p>
        </w:tc>
        <w:tc>
          <w:tcPr>
            <w:tcW w:w="700" w:type="dxa"/>
            <w:tcBorders>
              <w:top w:val="single" w:sz="4" w:space="0" w:color="ADD6EA"/>
              <w:left w:val="nil"/>
              <w:bottom w:val="single" w:sz="4" w:space="0" w:color="ADD6EA"/>
              <w:right w:val="nil"/>
            </w:tcBorders>
            <w:shd w:val="clear" w:color="000000" w:fill="D6E7F0"/>
            <w:noWrap/>
            <w:vAlign w:val="bottom"/>
            <w:hideMark/>
          </w:tcPr>
          <w:p w14:paraId="0282F960"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-1,753</w:t>
            </w:r>
          </w:p>
        </w:tc>
        <w:tc>
          <w:tcPr>
            <w:tcW w:w="700" w:type="dxa"/>
            <w:tcBorders>
              <w:top w:val="single" w:sz="4" w:space="0" w:color="ADD6EA"/>
              <w:left w:val="nil"/>
              <w:bottom w:val="single" w:sz="4" w:space="0" w:color="ADD6EA"/>
              <w:right w:val="nil"/>
            </w:tcBorders>
            <w:shd w:val="clear" w:color="000000" w:fill="D6E7F0"/>
            <w:noWrap/>
            <w:vAlign w:val="bottom"/>
            <w:hideMark/>
          </w:tcPr>
          <w:p w14:paraId="75A59829"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-826</w:t>
            </w:r>
          </w:p>
        </w:tc>
        <w:tc>
          <w:tcPr>
            <w:tcW w:w="700" w:type="dxa"/>
            <w:tcBorders>
              <w:top w:val="single" w:sz="4" w:space="0" w:color="ADD6EA"/>
              <w:left w:val="nil"/>
              <w:bottom w:val="single" w:sz="4" w:space="0" w:color="ADD6EA"/>
              <w:right w:val="nil"/>
            </w:tcBorders>
            <w:shd w:val="clear" w:color="000000" w:fill="D6E7F0"/>
            <w:noWrap/>
            <w:vAlign w:val="bottom"/>
            <w:hideMark/>
          </w:tcPr>
          <w:p w14:paraId="6CCB5741"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6,601</w:t>
            </w:r>
          </w:p>
        </w:tc>
        <w:tc>
          <w:tcPr>
            <w:tcW w:w="700" w:type="dxa"/>
            <w:tcBorders>
              <w:top w:val="single" w:sz="4" w:space="0" w:color="ADD6EA"/>
              <w:left w:val="nil"/>
              <w:bottom w:val="single" w:sz="4" w:space="0" w:color="ADD6EA"/>
              <w:right w:val="nil"/>
            </w:tcBorders>
            <w:shd w:val="clear" w:color="000000" w:fill="D6E7F0"/>
            <w:noWrap/>
            <w:vAlign w:val="bottom"/>
            <w:hideMark/>
          </w:tcPr>
          <w:p w14:paraId="4FDF3AD8"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-466</w:t>
            </w:r>
          </w:p>
        </w:tc>
        <w:tc>
          <w:tcPr>
            <w:tcW w:w="700" w:type="dxa"/>
            <w:tcBorders>
              <w:top w:val="single" w:sz="4" w:space="0" w:color="ADD6EA"/>
              <w:left w:val="nil"/>
              <w:bottom w:val="single" w:sz="4" w:space="0" w:color="ADD6EA"/>
              <w:right w:val="nil"/>
            </w:tcBorders>
            <w:shd w:val="clear" w:color="000000" w:fill="D6E7F0"/>
            <w:noWrap/>
            <w:vAlign w:val="bottom"/>
            <w:hideMark/>
          </w:tcPr>
          <w:p w14:paraId="41E14F67"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-140</w:t>
            </w:r>
          </w:p>
        </w:tc>
        <w:tc>
          <w:tcPr>
            <w:tcW w:w="700" w:type="dxa"/>
            <w:tcBorders>
              <w:top w:val="single" w:sz="4" w:space="0" w:color="ADD6EA"/>
              <w:left w:val="nil"/>
              <w:bottom w:val="single" w:sz="4" w:space="0" w:color="ADD6EA"/>
              <w:right w:val="nil"/>
            </w:tcBorders>
            <w:shd w:val="clear" w:color="000000" w:fill="D6E7F0"/>
            <w:noWrap/>
            <w:vAlign w:val="bottom"/>
            <w:hideMark/>
          </w:tcPr>
          <w:p w14:paraId="7BB00193"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-120</w:t>
            </w:r>
          </w:p>
        </w:tc>
        <w:tc>
          <w:tcPr>
            <w:tcW w:w="700" w:type="dxa"/>
            <w:tcBorders>
              <w:top w:val="single" w:sz="4" w:space="0" w:color="ADD6EA"/>
              <w:left w:val="nil"/>
              <w:bottom w:val="single" w:sz="4" w:space="0" w:color="ADD6EA"/>
              <w:right w:val="nil"/>
            </w:tcBorders>
            <w:shd w:val="clear" w:color="000000" w:fill="D6E7F0"/>
            <w:noWrap/>
            <w:vAlign w:val="bottom"/>
            <w:hideMark/>
          </w:tcPr>
          <w:p w14:paraId="2A395878"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-64</w:t>
            </w:r>
          </w:p>
        </w:tc>
        <w:tc>
          <w:tcPr>
            <w:tcW w:w="700" w:type="dxa"/>
            <w:tcBorders>
              <w:top w:val="single" w:sz="4" w:space="0" w:color="ADD6EA"/>
              <w:left w:val="nil"/>
              <w:bottom w:val="single" w:sz="4" w:space="0" w:color="ADD6EA"/>
              <w:right w:val="nil"/>
            </w:tcBorders>
            <w:shd w:val="clear" w:color="000000" w:fill="D6E7F0"/>
            <w:noWrap/>
            <w:vAlign w:val="bottom"/>
            <w:hideMark/>
          </w:tcPr>
          <w:p w14:paraId="7503B501" w14:textId="77777777" w:rsidR="00A91F28" w:rsidRPr="00A91F28" w:rsidRDefault="00A91F28" w:rsidP="00A91F28">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91F28">
              <w:rPr>
                <w:rFonts w:ascii="Open Sans Semibold" w:eastAsia="Times New Roman" w:hAnsi="Open Sans Semibold" w:cs="Open Sans Semibold"/>
                <w:color w:val="000000"/>
                <w:sz w:val="16"/>
                <w:szCs w:val="16"/>
                <w:lang w:eastAsia="en-AU"/>
              </w:rPr>
              <w:t>1,108</w:t>
            </w:r>
          </w:p>
        </w:tc>
      </w:tr>
    </w:tbl>
    <w:p w14:paraId="4E43FB0F" w14:textId="72B0D57A" w:rsidR="000801E5" w:rsidRDefault="000801E5" w:rsidP="000801E5">
      <w:r>
        <w:t>Western Australia is estimated to receive around $6.6 billion more in GST payments in 2026–</w:t>
      </w:r>
      <w:r w:rsidRPr="46DE0E02">
        <w:rPr>
          <w:rFonts w:ascii="Times New Roman" w:hAnsi="Times New Roman" w:cs="Times New Roman"/>
        </w:rPr>
        <w:t>‍</w:t>
      </w:r>
      <w:r>
        <w:t xml:space="preserve">27 than under the </w:t>
      </w:r>
      <w:bookmarkStart w:id="49" w:name="_Hlk220409540"/>
      <w:r>
        <w:t>previous GST distribution arrangements</w:t>
      </w:r>
      <w:bookmarkEnd w:id="49"/>
      <w:r>
        <w:t>. This reflects Western</w:t>
      </w:r>
      <w:r w:rsidR="00062B80">
        <w:t> </w:t>
      </w:r>
      <w:r>
        <w:t xml:space="preserve">Australia’s relativity being lifted to New South </w:t>
      </w:r>
      <w:proofErr w:type="spellStart"/>
      <w:r>
        <w:t>Wales</w:t>
      </w:r>
      <w:r w:rsidR="0082322D">
        <w:t>’</w:t>
      </w:r>
      <w:proofErr w:type="spellEnd"/>
      <w:r>
        <w:t xml:space="preserve"> relativity.</w:t>
      </w:r>
    </w:p>
    <w:p w14:paraId="21035182" w14:textId="77777777" w:rsidR="000801E5" w:rsidRDefault="000801E5" w:rsidP="000801E5">
      <w:r>
        <w:t>Before no worse off payments from the Commonwealth, all other states are estimated to receive less than under the previous GST distribution arrangements.</w:t>
      </w:r>
      <w:r w:rsidDel="005B7D2B">
        <w:t xml:space="preserve"> </w:t>
      </w:r>
    </w:p>
    <w:p w14:paraId="175AA0A6" w14:textId="77777777" w:rsidR="000801E5" w:rsidRDefault="000801E5" w:rsidP="003116B2">
      <w:pPr>
        <w:pStyle w:val="Heading2"/>
        <w:numPr>
          <w:ilvl w:val="1"/>
          <w:numId w:val="5"/>
        </w:numPr>
      </w:pPr>
      <w:r>
        <w:t>Relativities to determine no worse off payments</w:t>
      </w:r>
    </w:p>
    <w:p w14:paraId="0AD1D188" w14:textId="6B6DBF75" w:rsidR="000801E5" w:rsidRPr="00307846" w:rsidRDefault="000801E5" w:rsidP="000801E5">
      <w:r w:rsidRPr="00307846">
        <w:t>The Terms</w:t>
      </w:r>
      <w:r>
        <w:t> </w:t>
      </w:r>
      <w:r w:rsidRPr="00307846">
        <w:t>of</w:t>
      </w:r>
      <w:r>
        <w:t> </w:t>
      </w:r>
      <w:r w:rsidRPr="00307846">
        <w:t xml:space="preserve">Reference </w:t>
      </w:r>
      <w:r w:rsidR="000103D5">
        <w:t>for the 2026 Update</w:t>
      </w:r>
      <w:r w:rsidRPr="00307846">
        <w:t xml:space="preserve"> ask</w:t>
      </w:r>
      <w:r w:rsidR="00845869">
        <w:t>s</w:t>
      </w:r>
      <w:r w:rsidRPr="00307846">
        <w:t xml:space="preserve"> the Commission to provide the relativities that would have applied had the 2018 GST distribution legislation not been enacted. These relativities are used by the Commonwealth to determine whether to make a no worse off payment to a state. The estimated no worse off relativities for 2026–27 are shown in Table 1</w:t>
      </w:r>
      <w:r w:rsidRPr="00307846">
        <w:noBreakHyphen/>
      </w:r>
      <w:r>
        <w:t>4</w:t>
      </w:r>
      <w:r w:rsidRPr="00307846">
        <w:t xml:space="preserve">. </w:t>
      </w:r>
    </w:p>
    <w:p w14:paraId="2E5FFDFD" w14:textId="77777777" w:rsidR="000801E5" w:rsidRDefault="000801E5" w:rsidP="000801E5">
      <w:pPr>
        <w:pStyle w:val="CGC2025Caption"/>
      </w:pPr>
      <w:r w:rsidRPr="00307846">
        <w:t>Table 1-</w:t>
      </w:r>
      <w:r>
        <w:t>4</w:t>
      </w:r>
      <w:r w:rsidRPr="00307846">
        <w:tab/>
        <w:t xml:space="preserve">No worse off relativities, 2026–27 </w:t>
      </w:r>
    </w:p>
    <w:tbl>
      <w:tblPr>
        <w:tblW w:w="8940" w:type="dxa"/>
        <w:tblLook w:val="04A0" w:firstRow="1" w:lastRow="0" w:firstColumn="1" w:lastColumn="0" w:noHBand="0" w:noVBand="1"/>
      </w:tblPr>
      <w:tblGrid>
        <w:gridCol w:w="972"/>
        <w:gridCol w:w="840"/>
        <w:gridCol w:w="900"/>
        <w:gridCol w:w="900"/>
        <w:gridCol w:w="900"/>
        <w:gridCol w:w="900"/>
        <w:gridCol w:w="900"/>
        <w:gridCol w:w="900"/>
        <w:gridCol w:w="900"/>
        <w:gridCol w:w="900"/>
      </w:tblGrid>
      <w:tr w:rsidR="00325074" w:rsidRPr="00325074" w14:paraId="7E6D4995" w14:textId="77777777" w:rsidTr="00325074">
        <w:trPr>
          <w:trHeight w:val="375"/>
        </w:trPr>
        <w:tc>
          <w:tcPr>
            <w:tcW w:w="900" w:type="dxa"/>
            <w:tcBorders>
              <w:top w:val="nil"/>
              <w:left w:val="nil"/>
              <w:bottom w:val="nil"/>
              <w:right w:val="nil"/>
            </w:tcBorders>
            <w:shd w:val="clear" w:color="000000" w:fill="006991"/>
            <w:vAlign w:val="center"/>
            <w:hideMark/>
          </w:tcPr>
          <w:p w14:paraId="4AB1B721" w14:textId="77777777" w:rsidR="00325074" w:rsidRPr="00325074" w:rsidRDefault="00325074" w:rsidP="00325074">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50" w:name="RANGE!A4:J5"/>
            <w:r w:rsidRPr="00325074">
              <w:rPr>
                <w:rFonts w:ascii="Open Sans Semibold" w:eastAsia="Times New Roman" w:hAnsi="Open Sans Semibold" w:cs="Open Sans Semibold"/>
                <w:color w:val="FFFFFF"/>
                <w:sz w:val="16"/>
                <w:szCs w:val="16"/>
                <w:lang w:eastAsia="en-AU"/>
              </w:rPr>
              <w:t> </w:t>
            </w:r>
            <w:bookmarkEnd w:id="50"/>
          </w:p>
        </w:tc>
        <w:tc>
          <w:tcPr>
            <w:tcW w:w="840" w:type="dxa"/>
            <w:tcBorders>
              <w:top w:val="nil"/>
              <w:left w:val="nil"/>
              <w:bottom w:val="nil"/>
              <w:right w:val="nil"/>
            </w:tcBorders>
            <w:shd w:val="clear" w:color="000000" w:fill="006991"/>
            <w:vAlign w:val="center"/>
            <w:hideMark/>
          </w:tcPr>
          <w:p w14:paraId="1ECB410F"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NSW</w:t>
            </w:r>
          </w:p>
        </w:tc>
        <w:tc>
          <w:tcPr>
            <w:tcW w:w="900" w:type="dxa"/>
            <w:tcBorders>
              <w:top w:val="nil"/>
              <w:left w:val="nil"/>
              <w:bottom w:val="nil"/>
              <w:right w:val="nil"/>
            </w:tcBorders>
            <w:shd w:val="clear" w:color="000000" w:fill="006991"/>
            <w:vAlign w:val="center"/>
            <w:hideMark/>
          </w:tcPr>
          <w:p w14:paraId="768BAEA4"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Vic</w:t>
            </w:r>
          </w:p>
        </w:tc>
        <w:tc>
          <w:tcPr>
            <w:tcW w:w="900" w:type="dxa"/>
            <w:tcBorders>
              <w:top w:val="nil"/>
              <w:left w:val="nil"/>
              <w:bottom w:val="nil"/>
              <w:right w:val="nil"/>
            </w:tcBorders>
            <w:shd w:val="clear" w:color="000000" w:fill="006991"/>
            <w:vAlign w:val="center"/>
            <w:hideMark/>
          </w:tcPr>
          <w:p w14:paraId="67B7D3BE"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Qld</w:t>
            </w:r>
          </w:p>
        </w:tc>
        <w:tc>
          <w:tcPr>
            <w:tcW w:w="900" w:type="dxa"/>
            <w:tcBorders>
              <w:top w:val="nil"/>
              <w:left w:val="nil"/>
              <w:bottom w:val="nil"/>
              <w:right w:val="nil"/>
            </w:tcBorders>
            <w:shd w:val="clear" w:color="000000" w:fill="006991"/>
            <w:vAlign w:val="center"/>
            <w:hideMark/>
          </w:tcPr>
          <w:p w14:paraId="12431E22"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WA</w:t>
            </w:r>
          </w:p>
        </w:tc>
        <w:tc>
          <w:tcPr>
            <w:tcW w:w="900" w:type="dxa"/>
            <w:tcBorders>
              <w:top w:val="nil"/>
              <w:left w:val="nil"/>
              <w:bottom w:val="nil"/>
              <w:right w:val="nil"/>
            </w:tcBorders>
            <w:shd w:val="clear" w:color="000000" w:fill="006991"/>
            <w:vAlign w:val="center"/>
            <w:hideMark/>
          </w:tcPr>
          <w:p w14:paraId="33E7A65D"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SA</w:t>
            </w:r>
          </w:p>
        </w:tc>
        <w:tc>
          <w:tcPr>
            <w:tcW w:w="900" w:type="dxa"/>
            <w:tcBorders>
              <w:top w:val="nil"/>
              <w:left w:val="nil"/>
              <w:bottom w:val="nil"/>
              <w:right w:val="nil"/>
            </w:tcBorders>
            <w:shd w:val="clear" w:color="000000" w:fill="006991"/>
            <w:vAlign w:val="center"/>
            <w:hideMark/>
          </w:tcPr>
          <w:p w14:paraId="58E61779"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Tas</w:t>
            </w:r>
          </w:p>
        </w:tc>
        <w:tc>
          <w:tcPr>
            <w:tcW w:w="900" w:type="dxa"/>
            <w:tcBorders>
              <w:top w:val="nil"/>
              <w:left w:val="nil"/>
              <w:bottom w:val="nil"/>
              <w:right w:val="nil"/>
            </w:tcBorders>
            <w:shd w:val="clear" w:color="000000" w:fill="006991"/>
            <w:vAlign w:val="center"/>
            <w:hideMark/>
          </w:tcPr>
          <w:p w14:paraId="0E1F670F"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ACT</w:t>
            </w:r>
          </w:p>
        </w:tc>
        <w:tc>
          <w:tcPr>
            <w:tcW w:w="900" w:type="dxa"/>
            <w:tcBorders>
              <w:top w:val="nil"/>
              <w:left w:val="nil"/>
              <w:bottom w:val="nil"/>
              <w:right w:val="nil"/>
            </w:tcBorders>
            <w:shd w:val="clear" w:color="000000" w:fill="006991"/>
            <w:vAlign w:val="center"/>
            <w:hideMark/>
          </w:tcPr>
          <w:p w14:paraId="65C165B7"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NT</w:t>
            </w:r>
          </w:p>
        </w:tc>
        <w:tc>
          <w:tcPr>
            <w:tcW w:w="900" w:type="dxa"/>
            <w:tcBorders>
              <w:top w:val="nil"/>
              <w:left w:val="nil"/>
              <w:bottom w:val="nil"/>
              <w:right w:val="nil"/>
            </w:tcBorders>
            <w:shd w:val="clear" w:color="000000" w:fill="006991"/>
            <w:vAlign w:val="center"/>
            <w:hideMark/>
          </w:tcPr>
          <w:p w14:paraId="47681152" w14:textId="77777777" w:rsidR="00325074" w:rsidRPr="00325074" w:rsidRDefault="00325074" w:rsidP="00325074">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25074">
              <w:rPr>
                <w:rFonts w:ascii="Open Sans Semibold" w:eastAsia="Times New Roman" w:hAnsi="Open Sans Semibold" w:cs="Open Sans Semibold"/>
                <w:color w:val="FFFFFF"/>
                <w:sz w:val="16"/>
                <w:szCs w:val="16"/>
                <w:lang w:eastAsia="en-AU"/>
              </w:rPr>
              <w:t>Total</w:t>
            </w:r>
          </w:p>
        </w:tc>
      </w:tr>
      <w:tr w:rsidR="00325074" w:rsidRPr="00325074" w14:paraId="017195E3" w14:textId="77777777" w:rsidTr="00325074">
        <w:trPr>
          <w:trHeight w:val="315"/>
        </w:trPr>
        <w:tc>
          <w:tcPr>
            <w:tcW w:w="900" w:type="dxa"/>
            <w:tcBorders>
              <w:top w:val="single" w:sz="4" w:space="0" w:color="ADD6EA"/>
              <w:left w:val="nil"/>
              <w:bottom w:val="single" w:sz="4" w:space="0" w:color="ADD6EA"/>
              <w:right w:val="nil"/>
            </w:tcBorders>
            <w:vAlign w:val="bottom"/>
            <w:hideMark/>
          </w:tcPr>
          <w:p w14:paraId="41ACCE51" w14:textId="77777777" w:rsidR="00325074" w:rsidRPr="00325074" w:rsidRDefault="00325074" w:rsidP="00325074">
            <w:pPr>
              <w:tabs>
                <w:tab w:val="clear" w:pos="567"/>
              </w:tabs>
              <w:spacing w:before="0" w:line="240" w:lineRule="auto"/>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Relativities</w:t>
            </w:r>
          </w:p>
        </w:tc>
        <w:tc>
          <w:tcPr>
            <w:tcW w:w="840" w:type="dxa"/>
            <w:tcBorders>
              <w:top w:val="single" w:sz="4" w:space="0" w:color="ADD6EA"/>
              <w:left w:val="nil"/>
              <w:bottom w:val="single" w:sz="4" w:space="0" w:color="ADD6EA"/>
              <w:right w:val="nil"/>
            </w:tcBorders>
            <w:noWrap/>
            <w:vAlign w:val="bottom"/>
            <w:hideMark/>
          </w:tcPr>
          <w:p w14:paraId="1D73D690"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0.89478</w:t>
            </w:r>
          </w:p>
        </w:tc>
        <w:tc>
          <w:tcPr>
            <w:tcW w:w="900" w:type="dxa"/>
            <w:tcBorders>
              <w:top w:val="single" w:sz="4" w:space="0" w:color="ADD6EA"/>
              <w:left w:val="nil"/>
              <w:bottom w:val="single" w:sz="4" w:space="0" w:color="ADD6EA"/>
              <w:right w:val="nil"/>
            </w:tcBorders>
            <w:noWrap/>
            <w:vAlign w:val="bottom"/>
            <w:hideMark/>
          </w:tcPr>
          <w:p w14:paraId="7FFB23AE"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1.13465</w:t>
            </w:r>
          </w:p>
        </w:tc>
        <w:tc>
          <w:tcPr>
            <w:tcW w:w="900" w:type="dxa"/>
            <w:tcBorders>
              <w:top w:val="single" w:sz="4" w:space="0" w:color="ADD6EA"/>
              <w:left w:val="nil"/>
              <w:bottom w:val="single" w:sz="4" w:space="0" w:color="ADD6EA"/>
              <w:right w:val="nil"/>
            </w:tcBorders>
            <w:noWrap/>
            <w:vAlign w:val="bottom"/>
            <w:hideMark/>
          </w:tcPr>
          <w:p w14:paraId="6094D474"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0.92013</w:t>
            </w:r>
          </w:p>
        </w:tc>
        <w:tc>
          <w:tcPr>
            <w:tcW w:w="900" w:type="dxa"/>
            <w:tcBorders>
              <w:top w:val="single" w:sz="4" w:space="0" w:color="ADD6EA"/>
              <w:left w:val="nil"/>
              <w:bottom w:val="single" w:sz="4" w:space="0" w:color="ADD6EA"/>
              <w:right w:val="nil"/>
            </w:tcBorders>
            <w:noWrap/>
            <w:vAlign w:val="bottom"/>
            <w:hideMark/>
          </w:tcPr>
          <w:p w14:paraId="48A744ED"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0.24251</w:t>
            </w:r>
          </w:p>
        </w:tc>
        <w:tc>
          <w:tcPr>
            <w:tcW w:w="900" w:type="dxa"/>
            <w:tcBorders>
              <w:top w:val="single" w:sz="4" w:space="0" w:color="ADD6EA"/>
              <w:left w:val="nil"/>
              <w:bottom w:val="single" w:sz="4" w:space="0" w:color="ADD6EA"/>
              <w:right w:val="nil"/>
            </w:tcBorders>
            <w:noWrap/>
            <w:vAlign w:val="bottom"/>
            <w:hideMark/>
          </w:tcPr>
          <w:p w14:paraId="540C0952"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1.43916</w:t>
            </w:r>
          </w:p>
        </w:tc>
        <w:tc>
          <w:tcPr>
            <w:tcW w:w="900" w:type="dxa"/>
            <w:tcBorders>
              <w:top w:val="single" w:sz="4" w:space="0" w:color="ADD6EA"/>
              <w:left w:val="nil"/>
              <w:bottom w:val="single" w:sz="4" w:space="0" w:color="ADD6EA"/>
              <w:right w:val="nil"/>
            </w:tcBorders>
            <w:noWrap/>
            <w:vAlign w:val="bottom"/>
            <w:hideMark/>
          </w:tcPr>
          <w:p w14:paraId="6CCE64BB"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1.96772</w:t>
            </w:r>
          </w:p>
        </w:tc>
        <w:tc>
          <w:tcPr>
            <w:tcW w:w="900" w:type="dxa"/>
            <w:tcBorders>
              <w:top w:val="single" w:sz="4" w:space="0" w:color="ADD6EA"/>
              <w:left w:val="nil"/>
              <w:bottom w:val="single" w:sz="4" w:space="0" w:color="ADD6EA"/>
              <w:right w:val="nil"/>
            </w:tcBorders>
            <w:noWrap/>
            <w:vAlign w:val="bottom"/>
            <w:hideMark/>
          </w:tcPr>
          <w:p w14:paraId="44FB40E3"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1.24006</w:t>
            </w:r>
          </w:p>
        </w:tc>
        <w:tc>
          <w:tcPr>
            <w:tcW w:w="900" w:type="dxa"/>
            <w:tcBorders>
              <w:top w:val="single" w:sz="4" w:space="0" w:color="ADD6EA"/>
              <w:left w:val="nil"/>
              <w:bottom w:val="single" w:sz="4" w:space="0" w:color="ADD6EA"/>
              <w:right w:val="nil"/>
            </w:tcBorders>
            <w:noWrap/>
            <w:vAlign w:val="bottom"/>
            <w:hideMark/>
          </w:tcPr>
          <w:p w14:paraId="75F50E1E"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5.35688</w:t>
            </w:r>
          </w:p>
        </w:tc>
        <w:tc>
          <w:tcPr>
            <w:tcW w:w="900" w:type="dxa"/>
            <w:tcBorders>
              <w:top w:val="single" w:sz="4" w:space="0" w:color="ADD6EA"/>
              <w:left w:val="nil"/>
              <w:bottom w:val="single" w:sz="4" w:space="0" w:color="ADD6EA"/>
              <w:right w:val="nil"/>
            </w:tcBorders>
            <w:noWrap/>
            <w:vAlign w:val="bottom"/>
            <w:hideMark/>
          </w:tcPr>
          <w:p w14:paraId="552B83F1" w14:textId="77777777" w:rsidR="00325074" w:rsidRPr="00325074" w:rsidRDefault="00325074" w:rsidP="00325074">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25074">
              <w:rPr>
                <w:rFonts w:ascii="Open Sans Light" w:eastAsia="Times New Roman" w:hAnsi="Open Sans Light" w:cs="Open Sans Light"/>
                <w:color w:val="000000"/>
                <w:sz w:val="16"/>
                <w:szCs w:val="16"/>
                <w:lang w:eastAsia="en-AU"/>
              </w:rPr>
              <w:t>1.00000</w:t>
            </w:r>
          </w:p>
        </w:tc>
      </w:tr>
    </w:tbl>
    <w:p w14:paraId="05E43E73" w14:textId="77777777" w:rsidR="000801E5" w:rsidRDefault="000801E5" w:rsidP="000801E5">
      <w:r w:rsidRPr="00D804DE">
        <w:t xml:space="preserve">The 2026–27 no worse off relativities differ from assessed relativities because they include adjustments to remove the impact of the Commonwealth’s legislated top-ups to the GST pool. </w:t>
      </w:r>
    </w:p>
    <w:p w14:paraId="203C636C" w14:textId="77777777" w:rsidR="000801E5" w:rsidRDefault="000801E5" w:rsidP="00C606CB">
      <w:pPr>
        <w:pStyle w:val="Heading2"/>
        <w:keepNext/>
        <w:numPr>
          <w:ilvl w:val="1"/>
          <w:numId w:val="5"/>
        </w:numPr>
      </w:pPr>
      <w:r>
        <w:lastRenderedPageBreak/>
        <w:t>Estimated total payments to the states in 2026–27</w:t>
      </w:r>
    </w:p>
    <w:p w14:paraId="47BEEF11" w14:textId="77777777" w:rsidR="000801E5" w:rsidRPr="0048379F" w:rsidRDefault="000801E5" w:rsidP="000801E5">
      <w:r w:rsidRPr="0048379F">
        <w:t xml:space="preserve">The Commission has </w:t>
      </w:r>
      <w:r>
        <w:t xml:space="preserve">calculated </w:t>
      </w:r>
      <w:r w:rsidRPr="0048379F">
        <w:t>indicative estimates of total payments from the GST pool and no worse off payments (see Table 1-5).</w:t>
      </w:r>
      <w:r w:rsidRPr="00B10ABA">
        <w:rPr>
          <w:rStyle w:val="FootnoteReference"/>
          <w:vertAlign w:val="superscript"/>
        </w:rPr>
        <w:footnoteReference w:id="8"/>
      </w:r>
    </w:p>
    <w:p w14:paraId="02E627EF" w14:textId="77777777" w:rsidR="000801E5" w:rsidRDefault="000801E5" w:rsidP="000801E5">
      <w:r w:rsidRPr="00861DF3">
        <w:t>All states are estimated to receive more in total GST and no worse off payments than they received in 2025–26.</w:t>
      </w:r>
      <w:r>
        <w:t xml:space="preserve"> </w:t>
      </w:r>
      <w:r w:rsidRPr="00861DF3">
        <w:t>All states except Western Australia are estimated to receive a no worse off payment in 2026–27.</w:t>
      </w:r>
    </w:p>
    <w:p w14:paraId="5296BD9C" w14:textId="6D24C4E7" w:rsidR="000801E5" w:rsidRDefault="000801E5" w:rsidP="000801E5">
      <w:r w:rsidRPr="00192FD0">
        <w:t>Queensland is the only state to have an increase</w:t>
      </w:r>
      <w:r>
        <w:t>d</w:t>
      </w:r>
      <w:r w:rsidRPr="00192FD0" w:rsidDel="00D150CF">
        <w:t xml:space="preserve"> </w:t>
      </w:r>
      <w:r w:rsidRPr="00192FD0">
        <w:t xml:space="preserve">estimated no worse off payment </w:t>
      </w:r>
      <w:r w:rsidR="003F2679">
        <w:t>in</w:t>
      </w:r>
      <w:r w:rsidRPr="00192FD0">
        <w:t xml:space="preserve"> 2026–27</w:t>
      </w:r>
      <w:r>
        <w:t>,</w:t>
      </w:r>
      <w:r w:rsidRPr="00192FD0">
        <w:t xml:space="preserve"> compared </w:t>
      </w:r>
      <w:r>
        <w:t xml:space="preserve">with </w:t>
      </w:r>
      <w:r w:rsidRPr="00192FD0">
        <w:t>2025</w:t>
      </w:r>
      <w:r>
        <w:t>–</w:t>
      </w:r>
      <w:r w:rsidRPr="00192FD0">
        <w:t xml:space="preserve">26. This is because, </w:t>
      </w:r>
      <w:r>
        <w:t>in</w:t>
      </w:r>
      <w:r w:rsidRPr="00192FD0">
        <w:t xml:space="preserve"> 2025–26, Queensland benefited from having its relativity lifted to that of New South Wales under the standard state approach in all </w:t>
      </w:r>
      <w:r>
        <w:t xml:space="preserve">3 </w:t>
      </w:r>
      <w:r w:rsidRPr="00192FD0">
        <w:t>assessment years. However, in 2026–27, Queensland</w:t>
      </w:r>
      <w:r>
        <w:t>’s</w:t>
      </w:r>
      <w:r w:rsidRPr="00192FD0" w:rsidDel="000B3578">
        <w:t xml:space="preserve"> </w:t>
      </w:r>
      <w:r w:rsidRPr="00192FD0">
        <w:t xml:space="preserve">relativity </w:t>
      </w:r>
      <w:r>
        <w:t xml:space="preserve">is </w:t>
      </w:r>
      <w:r w:rsidRPr="00192FD0">
        <w:t>lifted to the standard state</w:t>
      </w:r>
      <w:r>
        <w:t xml:space="preserve"> </w:t>
      </w:r>
      <w:r w:rsidRPr="00192FD0">
        <w:t xml:space="preserve">in only 2 </w:t>
      </w:r>
      <w:r>
        <w:t xml:space="preserve">of the </w:t>
      </w:r>
      <w:r w:rsidRPr="00192FD0">
        <w:t xml:space="preserve">assessment years. In effect, </w:t>
      </w:r>
      <w:r w:rsidR="00D64C06">
        <w:t xml:space="preserve">the </w:t>
      </w:r>
      <w:r w:rsidR="006D31E3" w:rsidRPr="00B77163">
        <w:t>2018 legislated changes</w:t>
      </w:r>
      <w:r w:rsidRPr="00192FD0">
        <w:t xml:space="preserve"> reduc</w:t>
      </w:r>
      <w:r>
        <w:t>e</w:t>
      </w:r>
      <w:r w:rsidRPr="00192FD0">
        <w:t xml:space="preserve"> Queensland’s GST relativity by a greater amount in 2026–27 than in 2025–26, </w:t>
      </w:r>
      <w:r>
        <w:t xml:space="preserve">thereby </w:t>
      </w:r>
      <w:r w:rsidRPr="00192FD0">
        <w:t>increasing its no worse off payment</w:t>
      </w:r>
      <w:r>
        <w:t>.</w:t>
      </w:r>
    </w:p>
    <w:p w14:paraId="0CDF65D7" w14:textId="3BA92AD7" w:rsidR="00645C21" w:rsidRDefault="0009333A" w:rsidP="000801E5">
      <w:r w:rsidRPr="00193BDD">
        <w:t>As a result</w:t>
      </w:r>
      <w:r w:rsidR="00B870A0" w:rsidRPr="00193BDD">
        <w:t xml:space="preserve"> </w:t>
      </w:r>
      <w:r w:rsidR="00645C21" w:rsidRPr="00193BDD">
        <w:t xml:space="preserve">of the 2018 </w:t>
      </w:r>
      <w:r w:rsidR="00B15F23" w:rsidRPr="00193BDD">
        <w:t>GST distribution legislation</w:t>
      </w:r>
      <w:r w:rsidR="00B870A0" w:rsidRPr="00193BDD">
        <w:t>, the total cost to the Commonwealth in 2026–27 is estimated to be $6.6 billion. This comprises $5.5 billion in no worse off payments and $1.1 billion in GST pool top-up payments</w:t>
      </w:r>
      <w:r w:rsidR="00645C21" w:rsidRPr="00193BDD">
        <w:t>.</w:t>
      </w:r>
    </w:p>
    <w:p w14:paraId="7BF4F5F1" w14:textId="77777777" w:rsidR="000801E5" w:rsidRDefault="000801E5" w:rsidP="000801E5">
      <w:pPr>
        <w:pStyle w:val="CGC2025Caption"/>
        <w:ind w:left="1440" w:hanging="1440"/>
      </w:pPr>
      <w:r w:rsidRPr="00DA0255">
        <w:t>Table 1-5</w:t>
      </w:r>
      <w:r w:rsidRPr="00DA0255">
        <w:tab/>
        <w:t>Estimated total payments to states from GST distribution and no worse off payments</w:t>
      </w:r>
    </w:p>
    <w:tbl>
      <w:tblPr>
        <w:tblW w:w="9020" w:type="dxa"/>
        <w:tblLook w:val="04A0" w:firstRow="1" w:lastRow="0" w:firstColumn="1" w:lastColumn="0" w:noHBand="0" w:noVBand="1"/>
      </w:tblPr>
      <w:tblGrid>
        <w:gridCol w:w="2453"/>
        <w:gridCol w:w="720"/>
        <w:gridCol w:w="720"/>
        <w:gridCol w:w="720"/>
        <w:gridCol w:w="720"/>
        <w:gridCol w:w="720"/>
        <w:gridCol w:w="720"/>
        <w:gridCol w:w="720"/>
        <w:gridCol w:w="720"/>
        <w:gridCol w:w="807"/>
      </w:tblGrid>
      <w:tr w:rsidR="00302E95" w:rsidRPr="00302E95" w14:paraId="54DC0B7A" w14:textId="77777777" w:rsidTr="00302E95">
        <w:trPr>
          <w:trHeight w:val="380"/>
        </w:trPr>
        <w:tc>
          <w:tcPr>
            <w:tcW w:w="2540" w:type="dxa"/>
            <w:tcBorders>
              <w:top w:val="nil"/>
              <w:left w:val="nil"/>
              <w:bottom w:val="nil"/>
              <w:right w:val="nil"/>
            </w:tcBorders>
            <w:shd w:val="clear" w:color="000000" w:fill="006991"/>
            <w:vAlign w:val="bottom"/>
            <w:hideMark/>
          </w:tcPr>
          <w:p w14:paraId="55B6626A" w14:textId="77777777" w:rsidR="00302E95" w:rsidRPr="00302E95" w:rsidRDefault="00302E95" w:rsidP="00302E95">
            <w:pPr>
              <w:tabs>
                <w:tab w:val="clear" w:pos="567"/>
              </w:tabs>
              <w:spacing w:before="0" w:line="240" w:lineRule="auto"/>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 </w:t>
            </w:r>
          </w:p>
        </w:tc>
        <w:tc>
          <w:tcPr>
            <w:tcW w:w="720" w:type="dxa"/>
            <w:tcBorders>
              <w:top w:val="nil"/>
              <w:left w:val="nil"/>
              <w:bottom w:val="nil"/>
              <w:right w:val="nil"/>
            </w:tcBorders>
            <w:shd w:val="clear" w:color="000000" w:fill="006991"/>
            <w:vAlign w:val="center"/>
            <w:hideMark/>
          </w:tcPr>
          <w:p w14:paraId="50EA6794"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NSW</w:t>
            </w:r>
          </w:p>
        </w:tc>
        <w:tc>
          <w:tcPr>
            <w:tcW w:w="720" w:type="dxa"/>
            <w:tcBorders>
              <w:top w:val="nil"/>
              <w:left w:val="nil"/>
              <w:bottom w:val="nil"/>
              <w:right w:val="nil"/>
            </w:tcBorders>
            <w:shd w:val="clear" w:color="000000" w:fill="006991"/>
            <w:vAlign w:val="center"/>
            <w:hideMark/>
          </w:tcPr>
          <w:p w14:paraId="4B948842"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Vic</w:t>
            </w:r>
          </w:p>
        </w:tc>
        <w:tc>
          <w:tcPr>
            <w:tcW w:w="720" w:type="dxa"/>
            <w:tcBorders>
              <w:top w:val="nil"/>
              <w:left w:val="nil"/>
              <w:bottom w:val="nil"/>
              <w:right w:val="nil"/>
            </w:tcBorders>
            <w:shd w:val="clear" w:color="000000" w:fill="006991"/>
            <w:vAlign w:val="center"/>
            <w:hideMark/>
          </w:tcPr>
          <w:p w14:paraId="1C3C309C"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Qld</w:t>
            </w:r>
          </w:p>
        </w:tc>
        <w:tc>
          <w:tcPr>
            <w:tcW w:w="720" w:type="dxa"/>
            <w:tcBorders>
              <w:top w:val="nil"/>
              <w:left w:val="nil"/>
              <w:bottom w:val="nil"/>
              <w:right w:val="nil"/>
            </w:tcBorders>
            <w:shd w:val="clear" w:color="000000" w:fill="006991"/>
            <w:vAlign w:val="center"/>
            <w:hideMark/>
          </w:tcPr>
          <w:p w14:paraId="4C2181F9"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WA</w:t>
            </w:r>
          </w:p>
        </w:tc>
        <w:tc>
          <w:tcPr>
            <w:tcW w:w="720" w:type="dxa"/>
            <w:tcBorders>
              <w:top w:val="nil"/>
              <w:left w:val="nil"/>
              <w:bottom w:val="nil"/>
              <w:right w:val="nil"/>
            </w:tcBorders>
            <w:shd w:val="clear" w:color="000000" w:fill="006991"/>
            <w:vAlign w:val="center"/>
            <w:hideMark/>
          </w:tcPr>
          <w:p w14:paraId="3C841B3A"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SA</w:t>
            </w:r>
          </w:p>
        </w:tc>
        <w:tc>
          <w:tcPr>
            <w:tcW w:w="720" w:type="dxa"/>
            <w:tcBorders>
              <w:top w:val="nil"/>
              <w:left w:val="nil"/>
              <w:bottom w:val="nil"/>
              <w:right w:val="nil"/>
            </w:tcBorders>
            <w:shd w:val="clear" w:color="000000" w:fill="006991"/>
            <w:vAlign w:val="center"/>
            <w:hideMark/>
          </w:tcPr>
          <w:p w14:paraId="33155DE2"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Tas</w:t>
            </w:r>
          </w:p>
        </w:tc>
        <w:tc>
          <w:tcPr>
            <w:tcW w:w="720" w:type="dxa"/>
            <w:tcBorders>
              <w:top w:val="nil"/>
              <w:left w:val="nil"/>
              <w:bottom w:val="nil"/>
              <w:right w:val="nil"/>
            </w:tcBorders>
            <w:shd w:val="clear" w:color="000000" w:fill="006991"/>
            <w:vAlign w:val="center"/>
            <w:hideMark/>
          </w:tcPr>
          <w:p w14:paraId="55BF6A76"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ACT</w:t>
            </w:r>
          </w:p>
        </w:tc>
        <w:tc>
          <w:tcPr>
            <w:tcW w:w="720" w:type="dxa"/>
            <w:tcBorders>
              <w:top w:val="nil"/>
              <w:left w:val="nil"/>
              <w:bottom w:val="nil"/>
              <w:right w:val="nil"/>
            </w:tcBorders>
            <w:shd w:val="clear" w:color="000000" w:fill="006991"/>
            <w:vAlign w:val="center"/>
            <w:hideMark/>
          </w:tcPr>
          <w:p w14:paraId="2B641606"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NT</w:t>
            </w:r>
          </w:p>
        </w:tc>
        <w:tc>
          <w:tcPr>
            <w:tcW w:w="720" w:type="dxa"/>
            <w:tcBorders>
              <w:top w:val="nil"/>
              <w:left w:val="nil"/>
              <w:bottom w:val="nil"/>
              <w:right w:val="nil"/>
            </w:tcBorders>
            <w:shd w:val="clear" w:color="000000" w:fill="006991"/>
            <w:vAlign w:val="center"/>
            <w:hideMark/>
          </w:tcPr>
          <w:p w14:paraId="39AD9FE6"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302E95">
              <w:rPr>
                <w:rFonts w:ascii="Open Sans Semibold" w:eastAsia="Times New Roman" w:hAnsi="Open Sans Semibold" w:cs="Open Sans Semibold"/>
                <w:color w:val="FFFFFF"/>
                <w:sz w:val="16"/>
                <w:szCs w:val="16"/>
                <w:lang w:eastAsia="en-AU"/>
              </w:rPr>
              <w:t>Total</w:t>
            </w:r>
          </w:p>
        </w:tc>
      </w:tr>
      <w:tr w:rsidR="00302E95" w:rsidRPr="00302E95" w14:paraId="18C54811" w14:textId="77777777" w:rsidTr="00302E95">
        <w:trPr>
          <w:trHeight w:val="260"/>
        </w:trPr>
        <w:tc>
          <w:tcPr>
            <w:tcW w:w="2540" w:type="dxa"/>
            <w:tcBorders>
              <w:top w:val="single" w:sz="4" w:space="0" w:color="ADD6EA"/>
              <w:left w:val="nil"/>
              <w:bottom w:val="nil"/>
              <w:right w:val="nil"/>
            </w:tcBorders>
            <w:shd w:val="clear" w:color="000000" w:fill="B6D5E4"/>
            <w:vAlign w:val="bottom"/>
            <w:hideMark/>
          </w:tcPr>
          <w:p w14:paraId="18B127C1" w14:textId="77777777" w:rsidR="00302E95" w:rsidRPr="00302E95" w:rsidRDefault="00302E95" w:rsidP="00302E95">
            <w:pPr>
              <w:tabs>
                <w:tab w:val="clear" w:pos="567"/>
              </w:tabs>
              <w:spacing w:before="0" w:line="240" w:lineRule="auto"/>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noWrap/>
            <w:vAlign w:val="center"/>
            <w:hideMark/>
          </w:tcPr>
          <w:p w14:paraId="5F4EE82F"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712E4171"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16917B3F"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6631E8A4"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23B6C3BB"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357FA2D8"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7C96FE00"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479B356B"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noWrap/>
            <w:vAlign w:val="center"/>
            <w:hideMark/>
          </w:tcPr>
          <w:p w14:paraId="285D279C"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$m</w:t>
            </w:r>
          </w:p>
        </w:tc>
      </w:tr>
      <w:tr w:rsidR="00302E95" w:rsidRPr="00302E95" w14:paraId="1B24F29A"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636A7716"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2025-26</w:t>
            </w:r>
          </w:p>
        </w:tc>
        <w:tc>
          <w:tcPr>
            <w:tcW w:w="720" w:type="dxa"/>
            <w:tcBorders>
              <w:top w:val="single" w:sz="4" w:space="0" w:color="ADD6EA"/>
              <w:left w:val="nil"/>
              <w:bottom w:val="nil"/>
              <w:right w:val="nil"/>
            </w:tcBorders>
            <w:shd w:val="clear" w:color="000000" w:fill="FFFFFF"/>
            <w:noWrap/>
            <w:vAlign w:val="bottom"/>
            <w:hideMark/>
          </w:tcPr>
          <w:p w14:paraId="066768B4"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48286F79"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524943A2"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5FB46D0D"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27C86557"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4DE4775F"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50C45D43"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183AC6CF"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21E9A328"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r>
      <w:tr w:rsidR="00302E95" w:rsidRPr="00302E95" w14:paraId="7A85D253"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737BB2D8"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bottom"/>
            <w:hideMark/>
          </w:tcPr>
          <w:p w14:paraId="6B88EB72"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25,807</w:t>
            </w:r>
          </w:p>
        </w:tc>
        <w:tc>
          <w:tcPr>
            <w:tcW w:w="720" w:type="dxa"/>
            <w:tcBorders>
              <w:top w:val="single" w:sz="4" w:space="0" w:color="ADD6EA"/>
              <w:left w:val="nil"/>
              <w:bottom w:val="nil"/>
              <w:right w:val="nil"/>
            </w:tcBorders>
            <w:shd w:val="clear" w:color="000000" w:fill="FFFFFF"/>
            <w:noWrap/>
            <w:vAlign w:val="bottom"/>
            <w:hideMark/>
          </w:tcPr>
          <w:p w14:paraId="7EBD72AA"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26,373</w:t>
            </w:r>
          </w:p>
        </w:tc>
        <w:tc>
          <w:tcPr>
            <w:tcW w:w="720" w:type="dxa"/>
            <w:tcBorders>
              <w:top w:val="single" w:sz="4" w:space="0" w:color="ADD6EA"/>
              <w:left w:val="nil"/>
              <w:bottom w:val="nil"/>
              <w:right w:val="nil"/>
            </w:tcBorders>
            <w:shd w:val="clear" w:color="000000" w:fill="FFFFFF"/>
            <w:noWrap/>
            <w:vAlign w:val="bottom"/>
            <w:hideMark/>
          </w:tcPr>
          <w:p w14:paraId="44E4E682"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16,758</w:t>
            </w:r>
          </w:p>
        </w:tc>
        <w:tc>
          <w:tcPr>
            <w:tcW w:w="720" w:type="dxa"/>
            <w:tcBorders>
              <w:top w:val="single" w:sz="4" w:space="0" w:color="ADD6EA"/>
              <w:left w:val="nil"/>
              <w:bottom w:val="nil"/>
              <w:right w:val="nil"/>
            </w:tcBorders>
            <w:shd w:val="clear" w:color="000000" w:fill="FFFFFF"/>
            <w:noWrap/>
            <w:vAlign w:val="bottom"/>
            <w:hideMark/>
          </w:tcPr>
          <w:p w14:paraId="1C6BE1B8"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7,990</w:t>
            </w:r>
          </w:p>
        </w:tc>
        <w:tc>
          <w:tcPr>
            <w:tcW w:w="720" w:type="dxa"/>
            <w:tcBorders>
              <w:top w:val="single" w:sz="4" w:space="0" w:color="ADD6EA"/>
              <w:left w:val="nil"/>
              <w:bottom w:val="nil"/>
              <w:right w:val="nil"/>
            </w:tcBorders>
            <w:shd w:val="clear" w:color="000000" w:fill="FFFFFF"/>
            <w:noWrap/>
            <w:vAlign w:val="bottom"/>
            <w:hideMark/>
          </w:tcPr>
          <w:p w14:paraId="71BF172C"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9,206</w:t>
            </w:r>
          </w:p>
        </w:tc>
        <w:tc>
          <w:tcPr>
            <w:tcW w:w="720" w:type="dxa"/>
            <w:tcBorders>
              <w:top w:val="single" w:sz="4" w:space="0" w:color="ADD6EA"/>
              <w:left w:val="nil"/>
              <w:bottom w:val="nil"/>
              <w:right w:val="nil"/>
            </w:tcBorders>
            <w:shd w:val="clear" w:color="000000" w:fill="FFFFFF"/>
            <w:noWrap/>
            <w:vAlign w:val="bottom"/>
            <w:hideMark/>
          </w:tcPr>
          <w:p w14:paraId="4AE8F030"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3,682</w:t>
            </w:r>
          </w:p>
        </w:tc>
        <w:tc>
          <w:tcPr>
            <w:tcW w:w="720" w:type="dxa"/>
            <w:tcBorders>
              <w:top w:val="single" w:sz="4" w:space="0" w:color="ADD6EA"/>
              <w:left w:val="nil"/>
              <w:bottom w:val="nil"/>
              <w:right w:val="nil"/>
            </w:tcBorders>
            <w:shd w:val="clear" w:color="000000" w:fill="FFFFFF"/>
            <w:noWrap/>
            <w:vAlign w:val="bottom"/>
            <w:hideMark/>
          </w:tcPr>
          <w:p w14:paraId="65534F5B"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1,985</w:t>
            </w:r>
          </w:p>
        </w:tc>
        <w:tc>
          <w:tcPr>
            <w:tcW w:w="720" w:type="dxa"/>
            <w:tcBorders>
              <w:top w:val="single" w:sz="4" w:space="0" w:color="ADD6EA"/>
              <w:left w:val="nil"/>
              <w:bottom w:val="nil"/>
              <w:right w:val="nil"/>
            </w:tcBorders>
            <w:shd w:val="clear" w:color="000000" w:fill="FFFFFF"/>
            <w:noWrap/>
            <w:vAlign w:val="bottom"/>
            <w:hideMark/>
          </w:tcPr>
          <w:p w14:paraId="481841CE"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4,753</w:t>
            </w:r>
          </w:p>
        </w:tc>
        <w:tc>
          <w:tcPr>
            <w:tcW w:w="720" w:type="dxa"/>
            <w:tcBorders>
              <w:top w:val="single" w:sz="4" w:space="0" w:color="ADD6EA"/>
              <w:left w:val="nil"/>
              <w:bottom w:val="nil"/>
              <w:right w:val="nil"/>
            </w:tcBorders>
            <w:shd w:val="clear" w:color="000000" w:fill="FFFFFF"/>
            <w:noWrap/>
            <w:vAlign w:val="bottom"/>
            <w:hideMark/>
          </w:tcPr>
          <w:p w14:paraId="65A15D51"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96,554</w:t>
            </w:r>
          </w:p>
        </w:tc>
      </w:tr>
      <w:tr w:rsidR="00302E95" w:rsidRPr="00302E95" w14:paraId="6048ADBC"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7AE2BB8D"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bottom"/>
            <w:hideMark/>
          </w:tcPr>
          <w:p w14:paraId="674204BC"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2,276</w:t>
            </w:r>
          </w:p>
        </w:tc>
        <w:tc>
          <w:tcPr>
            <w:tcW w:w="720" w:type="dxa"/>
            <w:tcBorders>
              <w:top w:val="single" w:sz="4" w:space="0" w:color="ADD6EA"/>
              <w:left w:val="nil"/>
              <w:bottom w:val="nil"/>
              <w:right w:val="nil"/>
            </w:tcBorders>
            <w:shd w:val="clear" w:color="000000" w:fill="FFFFFF"/>
            <w:noWrap/>
            <w:vAlign w:val="bottom"/>
            <w:hideMark/>
          </w:tcPr>
          <w:p w14:paraId="6ABC8B84"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1,870</w:t>
            </w:r>
          </w:p>
        </w:tc>
        <w:tc>
          <w:tcPr>
            <w:tcW w:w="720" w:type="dxa"/>
            <w:tcBorders>
              <w:top w:val="single" w:sz="4" w:space="0" w:color="ADD6EA"/>
              <w:left w:val="nil"/>
              <w:bottom w:val="nil"/>
              <w:right w:val="nil"/>
            </w:tcBorders>
            <w:shd w:val="clear" w:color="000000" w:fill="FFFFFF"/>
            <w:noWrap/>
            <w:vAlign w:val="bottom"/>
            <w:hideMark/>
          </w:tcPr>
          <w:p w14:paraId="5E414462"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55</w:t>
            </w:r>
          </w:p>
        </w:tc>
        <w:tc>
          <w:tcPr>
            <w:tcW w:w="720" w:type="dxa"/>
            <w:tcBorders>
              <w:top w:val="single" w:sz="4" w:space="0" w:color="ADD6EA"/>
              <w:left w:val="nil"/>
              <w:bottom w:val="nil"/>
              <w:right w:val="nil"/>
            </w:tcBorders>
            <w:shd w:val="clear" w:color="000000" w:fill="FFFFFF"/>
            <w:noWrap/>
            <w:vAlign w:val="bottom"/>
            <w:hideMark/>
          </w:tcPr>
          <w:p w14:paraId="08E93FFE"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bottom"/>
            <w:hideMark/>
          </w:tcPr>
          <w:p w14:paraId="7748A553"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500</w:t>
            </w:r>
          </w:p>
        </w:tc>
        <w:tc>
          <w:tcPr>
            <w:tcW w:w="720" w:type="dxa"/>
            <w:tcBorders>
              <w:top w:val="single" w:sz="4" w:space="0" w:color="ADD6EA"/>
              <w:left w:val="nil"/>
              <w:bottom w:val="nil"/>
              <w:right w:val="nil"/>
            </w:tcBorders>
            <w:shd w:val="clear" w:color="000000" w:fill="FFFFFF"/>
            <w:noWrap/>
            <w:vAlign w:val="bottom"/>
            <w:hideMark/>
          </w:tcPr>
          <w:p w14:paraId="38FB47E1"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150</w:t>
            </w:r>
          </w:p>
        </w:tc>
        <w:tc>
          <w:tcPr>
            <w:tcW w:w="720" w:type="dxa"/>
            <w:tcBorders>
              <w:top w:val="single" w:sz="4" w:space="0" w:color="ADD6EA"/>
              <w:left w:val="nil"/>
              <w:bottom w:val="nil"/>
              <w:right w:val="nil"/>
            </w:tcBorders>
            <w:shd w:val="clear" w:color="000000" w:fill="FFFFFF"/>
            <w:noWrap/>
            <w:vAlign w:val="bottom"/>
            <w:hideMark/>
          </w:tcPr>
          <w:p w14:paraId="1B015DC7"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128</w:t>
            </w:r>
          </w:p>
        </w:tc>
        <w:tc>
          <w:tcPr>
            <w:tcW w:w="720" w:type="dxa"/>
            <w:tcBorders>
              <w:top w:val="single" w:sz="4" w:space="0" w:color="ADD6EA"/>
              <w:left w:val="nil"/>
              <w:bottom w:val="nil"/>
              <w:right w:val="nil"/>
            </w:tcBorders>
            <w:shd w:val="clear" w:color="000000" w:fill="FFFFFF"/>
            <w:noWrap/>
            <w:vAlign w:val="bottom"/>
            <w:hideMark/>
          </w:tcPr>
          <w:p w14:paraId="1E77695F"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66</w:t>
            </w:r>
          </w:p>
        </w:tc>
        <w:tc>
          <w:tcPr>
            <w:tcW w:w="720" w:type="dxa"/>
            <w:tcBorders>
              <w:top w:val="single" w:sz="4" w:space="0" w:color="ADD6EA"/>
              <w:left w:val="nil"/>
              <w:bottom w:val="nil"/>
              <w:right w:val="nil"/>
            </w:tcBorders>
            <w:shd w:val="clear" w:color="000000" w:fill="FFFFFF"/>
            <w:noWrap/>
            <w:vAlign w:val="bottom"/>
            <w:hideMark/>
          </w:tcPr>
          <w:p w14:paraId="66121F53"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5,045</w:t>
            </w:r>
          </w:p>
        </w:tc>
      </w:tr>
      <w:tr w:rsidR="00302E95" w:rsidRPr="00302E95" w14:paraId="06733DB6" w14:textId="77777777" w:rsidTr="00302E95">
        <w:trPr>
          <w:trHeight w:val="315"/>
        </w:trPr>
        <w:tc>
          <w:tcPr>
            <w:tcW w:w="2540" w:type="dxa"/>
            <w:tcBorders>
              <w:top w:val="single" w:sz="4" w:space="0" w:color="ADD6EA"/>
              <w:left w:val="nil"/>
              <w:bottom w:val="nil"/>
              <w:right w:val="nil"/>
            </w:tcBorders>
            <w:shd w:val="clear" w:color="000000" w:fill="D6E7F0"/>
            <w:vAlign w:val="bottom"/>
            <w:hideMark/>
          </w:tcPr>
          <w:p w14:paraId="5F3DE56E" w14:textId="43162B40" w:rsidR="00302E95" w:rsidRPr="00302E95" w:rsidRDefault="00302E95" w:rsidP="00302E95">
            <w:pPr>
              <w:tabs>
                <w:tab w:val="clear" w:pos="567"/>
              </w:tabs>
              <w:spacing w:before="0" w:line="240" w:lineRule="auto"/>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Total</w:t>
            </w:r>
          </w:p>
        </w:tc>
        <w:tc>
          <w:tcPr>
            <w:tcW w:w="720" w:type="dxa"/>
            <w:tcBorders>
              <w:top w:val="single" w:sz="4" w:space="0" w:color="ADD6EA"/>
              <w:left w:val="nil"/>
              <w:bottom w:val="nil"/>
              <w:right w:val="nil"/>
            </w:tcBorders>
            <w:shd w:val="clear" w:color="000000" w:fill="D6E7F0"/>
            <w:noWrap/>
            <w:vAlign w:val="bottom"/>
            <w:hideMark/>
          </w:tcPr>
          <w:p w14:paraId="64978885"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28,082</w:t>
            </w:r>
          </w:p>
        </w:tc>
        <w:tc>
          <w:tcPr>
            <w:tcW w:w="720" w:type="dxa"/>
            <w:tcBorders>
              <w:top w:val="single" w:sz="4" w:space="0" w:color="ADD6EA"/>
              <w:left w:val="nil"/>
              <w:bottom w:val="nil"/>
              <w:right w:val="nil"/>
            </w:tcBorders>
            <w:shd w:val="clear" w:color="000000" w:fill="D6E7F0"/>
            <w:noWrap/>
            <w:vAlign w:val="bottom"/>
            <w:hideMark/>
          </w:tcPr>
          <w:p w14:paraId="245D552C"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28,243</w:t>
            </w:r>
          </w:p>
        </w:tc>
        <w:tc>
          <w:tcPr>
            <w:tcW w:w="720" w:type="dxa"/>
            <w:tcBorders>
              <w:top w:val="single" w:sz="4" w:space="0" w:color="ADD6EA"/>
              <w:left w:val="nil"/>
              <w:bottom w:val="nil"/>
              <w:right w:val="nil"/>
            </w:tcBorders>
            <w:shd w:val="clear" w:color="000000" w:fill="D6E7F0"/>
            <w:noWrap/>
            <w:vAlign w:val="bottom"/>
            <w:hideMark/>
          </w:tcPr>
          <w:p w14:paraId="2B994051"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16,813</w:t>
            </w:r>
          </w:p>
        </w:tc>
        <w:tc>
          <w:tcPr>
            <w:tcW w:w="720" w:type="dxa"/>
            <w:tcBorders>
              <w:top w:val="single" w:sz="4" w:space="0" w:color="ADD6EA"/>
              <w:left w:val="nil"/>
              <w:bottom w:val="nil"/>
              <w:right w:val="nil"/>
            </w:tcBorders>
            <w:shd w:val="clear" w:color="000000" w:fill="D6E7F0"/>
            <w:noWrap/>
            <w:vAlign w:val="bottom"/>
            <w:hideMark/>
          </w:tcPr>
          <w:p w14:paraId="31453A45"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7,990</w:t>
            </w:r>
          </w:p>
        </w:tc>
        <w:tc>
          <w:tcPr>
            <w:tcW w:w="720" w:type="dxa"/>
            <w:tcBorders>
              <w:top w:val="single" w:sz="4" w:space="0" w:color="ADD6EA"/>
              <w:left w:val="nil"/>
              <w:bottom w:val="nil"/>
              <w:right w:val="nil"/>
            </w:tcBorders>
            <w:shd w:val="clear" w:color="000000" w:fill="D6E7F0"/>
            <w:noWrap/>
            <w:vAlign w:val="bottom"/>
            <w:hideMark/>
          </w:tcPr>
          <w:p w14:paraId="47D9308C"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9,706</w:t>
            </w:r>
          </w:p>
        </w:tc>
        <w:tc>
          <w:tcPr>
            <w:tcW w:w="720" w:type="dxa"/>
            <w:tcBorders>
              <w:top w:val="single" w:sz="4" w:space="0" w:color="ADD6EA"/>
              <w:left w:val="nil"/>
              <w:bottom w:val="nil"/>
              <w:right w:val="nil"/>
            </w:tcBorders>
            <w:shd w:val="clear" w:color="000000" w:fill="D6E7F0"/>
            <w:noWrap/>
            <w:vAlign w:val="bottom"/>
            <w:hideMark/>
          </w:tcPr>
          <w:p w14:paraId="72284FA3"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3,832</w:t>
            </w:r>
          </w:p>
        </w:tc>
        <w:tc>
          <w:tcPr>
            <w:tcW w:w="720" w:type="dxa"/>
            <w:tcBorders>
              <w:top w:val="single" w:sz="4" w:space="0" w:color="ADD6EA"/>
              <w:left w:val="nil"/>
              <w:bottom w:val="nil"/>
              <w:right w:val="nil"/>
            </w:tcBorders>
            <w:shd w:val="clear" w:color="000000" w:fill="D6E7F0"/>
            <w:noWrap/>
            <w:vAlign w:val="bottom"/>
            <w:hideMark/>
          </w:tcPr>
          <w:p w14:paraId="0F8405D2"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2,113</w:t>
            </w:r>
          </w:p>
        </w:tc>
        <w:tc>
          <w:tcPr>
            <w:tcW w:w="720" w:type="dxa"/>
            <w:tcBorders>
              <w:top w:val="single" w:sz="4" w:space="0" w:color="ADD6EA"/>
              <w:left w:val="nil"/>
              <w:bottom w:val="nil"/>
              <w:right w:val="nil"/>
            </w:tcBorders>
            <w:shd w:val="clear" w:color="000000" w:fill="D6E7F0"/>
            <w:noWrap/>
            <w:vAlign w:val="bottom"/>
            <w:hideMark/>
          </w:tcPr>
          <w:p w14:paraId="56E00874"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4,819</w:t>
            </w:r>
          </w:p>
        </w:tc>
        <w:tc>
          <w:tcPr>
            <w:tcW w:w="720" w:type="dxa"/>
            <w:tcBorders>
              <w:top w:val="single" w:sz="4" w:space="0" w:color="ADD6EA"/>
              <w:left w:val="nil"/>
              <w:bottom w:val="nil"/>
              <w:right w:val="nil"/>
            </w:tcBorders>
            <w:shd w:val="clear" w:color="000000" w:fill="D6E7F0"/>
            <w:noWrap/>
            <w:vAlign w:val="bottom"/>
            <w:hideMark/>
          </w:tcPr>
          <w:p w14:paraId="6BB128B3"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101,599</w:t>
            </w:r>
          </w:p>
        </w:tc>
      </w:tr>
      <w:tr w:rsidR="00302E95" w:rsidRPr="00302E95" w14:paraId="75842DF4"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0E132B23"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2026-27</w:t>
            </w:r>
          </w:p>
        </w:tc>
        <w:tc>
          <w:tcPr>
            <w:tcW w:w="720" w:type="dxa"/>
            <w:tcBorders>
              <w:top w:val="single" w:sz="4" w:space="0" w:color="ADD6EA"/>
              <w:left w:val="nil"/>
              <w:bottom w:val="nil"/>
              <w:right w:val="nil"/>
            </w:tcBorders>
            <w:shd w:val="clear" w:color="000000" w:fill="FFFFFF"/>
            <w:noWrap/>
            <w:vAlign w:val="bottom"/>
            <w:hideMark/>
          </w:tcPr>
          <w:p w14:paraId="106AA427"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662815C0"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2AD75FB0"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237E9CDC"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4B54670F"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00027AB4"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7A29ED1B"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357A1AF9"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noWrap/>
            <w:vAlign w:val="bottom"/>
            <w:hideMark/>
          </w:tcPr>
          <w:p w14:paraId="286994F4"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r>
      <w:tr w:rsidR="00302E95" w:rsidRPr="00302E95" w14:paraId="6A5D88F6"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6AE3D742"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Total GST distribution</w:t>
            </w:r>
          </w:p>
        </w:tc>
        <w:tc>
          <w:tcPr>
            <w:tcW w:w="720" w:type="dxa"/>
            <w:tcBorders>
              <w:top w:val="single" w:sz="4" w:space="0" w:color="ADD6EA"/>
              <w:left w:val="nil"/>
              <w:bottom w:val="nil"/>
              <w:right w:val="nil"/>
            </w:tcBorders>
            <w:shd w:val="clear" w:color="000000" w:fill="FFFFFF"/>
            <w:noWrap/>
            <w:vAlign w:val="bottom"/>
            <w:hideMark/>
          </w:tcPr>
          <w:p w14:paraId="41C5F54A"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26,123</w:t>
            </w:r>
          </w:p>
        </w:tc>
        <w:tc>
          <w:tcPr>
            <w:tcW w:w="720" w:type="dxa"/>
            <w:tcBorders>
              <w:top w:val="single" w:sz="4" w:space="0" w:color="ADD6EA"/>
              <w:left w:val="nil"/>
              <w:bottom w:val="nil"/>
              <w:right w:val="nil"/>
            </w:tcBorders>
            <w:shd w:val="clear" w:color="000000" w:fill="FFFFFF"/>
            <w:noWrap/>
            <w:vAlign w:val="bottom"/>
            <w:hideMark/>
          </w:tcPr>
          <w:p w14:paraId="625FEA87"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27,867</w:t>
            </w:r>
          </w:p>
        </w:tc>
        <w:tc>
          <w:tcPr>
            <w:tcW w:w="720" w:type="dxa"/>
            <w:tcBorders>
              <w:top w:val="single" w:sz="4" w:space="0" w:color="ADD6EA"/>
              <w:left w:val="nil"/>
              <w:bottom w:val="nil"/>
              <w:right w:val="nil"/>
            </w:tcBorders>
            <w:shd w:val="clear" w:color="000000" w:fill="FFFFFF"/>
            <w:noWrap/>
            <w:vAlign w:val="bottom"/>
            <w:hideMark/>
          </w:tcPr>
          <w:p w14:paraId="14B5244C"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18,438</w:t>
            </w:r>
          </w:p>
        </w:tc>
        <w:tc>
          <w:tcPr>
            <w:tcW w:w="720" w:type="dxa"/>
            <w:tcBorders>
              <w:top w:val="single" w:sz="4" w:space="0" w:color="ADD6EA"/>
              <w:left w:val="nil"/>
              <w:bottom w:val="nil"/>
              <w:right w:val="nil"/>
            </w:tcBorders>
            <w:shd w:val="clear" w:color="000000" w:fill="FFFFFF"/>
            <w:noWrap/>
            <w:vAlign w:val="bottom"/>
            <w:hideMark/>
          </w:tcPr>
          <w:p w14:paraId="043E36A1"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9,337</w:t>
            </w:r>
          </w:p>
        </w:tc>
        <w:tc>
          <w:tcPr>
            <w:tcW w:w="720" w:type="dxa"/>
            <w:tcBorders>
              <w:top w:val="single" w:sz="4" w:space="0" w:color="ADD6EA"/>
              <w:left w:val="nil"/>
              <w:bottom w:val="nil"/>
              <w:right w:val="nil"/>
            </w:tcBorders>
            <w:shd w:val="clear" w:color="000000" w:fill="FFFFFF"/>
            <w:noWrap/>
            <w:vAlign w:val="bottom"/>
            <w:hideMark/>
          </w:tcPr>
          <w:p w14:paraId="61C268BF"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9,548</w:t>
            </w:r>
          </w:p>
        </w:tc>
        <w:tc>
          <w:tcPr>
            <w:tcW w:w="720" w:type="dxa"/>
            <w:tcBorders>
              <w:top w:val="single" w:sz="4" w:space="0" w:color="ADD6EA"/>
              <w:left w:val="nil"/>
              <w:bottom w:val="nil"/>
              <w:right w:val="nil"/>
            </w:tcBorders>
            <w:shd w:val="clear" w:color="000000" w:fill="FFFFFF"/>
            <w:noWrap/>
            <w:vAlign w:val="bottom"/>
            <w:hideMark/>
          </w:tcPr>
          <w:p w14:paraId="7A39524E"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3,968</w:t>
            </w:r>
          </w:p>
        </w:tc>
        <w:tc>
          <w:tcPr>
            <w:tcW w:w="720" w:type="dxa"/>
            <w:tcBorders>
              <w:top w:val="single" w:sz="4" w:space="0" w:color="ADD6EA"/>
              <w:left w:val="nil"/>
              <w:bottom w:val="nil"/>
              <w:right w:val="nil"/>
            </w:tcBorders>
            <w:shd w:val="clear" w:color="000000" w:fill="FFFFFF"/>
            <w:noWrap/>
            <w:vAlign w:val="bottom"/>
            <w:hideMark/>
          </w:tcPr>
          <w:p w14:paraId="04178243"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2,095</w:t>
            </w:r>
          </w:p>
        </w:tc>
        <w:tc>
          <w:tcPr>
            <w:tcW w:w="720" w:type="dxa"/>
            <w:tcBorders>
              <w:top w:val="single" w:sz="4" w:space="0" w:color="ADD6EA"/>
              <w:left w:val="nil"/>
              <w:bottom w:val="nil"/>
              <w:right w:val="nil"/>
            </w:tcBorders>
            <w:shd w:val="clear" w:color="000000" w:fill="FFFFFF"/>
            <w:noWrap/>
            <w:vAlign w:val="bottom"/>
            <w:hideMark/>
          </w:tcPr>
          <w:p w14:paraId="14ECE4A3"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5,142</w:t>
            </w:r>
          </w:p>
        </w:tc>
        <w:tc>
          <w:tcPr>
            <w:tcW w:w="720" w:type="dxa"/>
            <w:tcBorders>
              <w:top w:val="single" w:sz="4" w:space="0" w:color="ADD6EA"/>
              <w:left w:val="nil"/>
              <w:bottom w:val="nil"/>
              <w:right w:val="nil"/>
            </w:tcBorders>
            <w:shd w:val="clear" w:color="000000" w:fill="FFFFFF"/>
            <w:noWrap/>
            <w:vAlign w:val="bottom"/>
            <w:hideMark/>
          </w:tcPr>
          <w:p w14:paraId="5F0BFFB4"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102,518</w:t>
            </w:r>
          </w:p>
        </w:tc>
      </w:tr>
      <w:tr w:rsidR="00302E95" w:rsidRPr="00302E95" w14:paraId="5EC58432"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215C26C7"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bottom"/>
            <w:hideMark/>
          </w:tcPr>
          <w:p w14:paraId="674858DD"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2,125</w:t>
            </w:r>
          </w:p>
        </w:tc>
        <w:tc>
          <w:tcPr>
            <w:tcW w:w="720" w:type="dxa"/>
            <w:tcBorders>
              <w:top w:val="single" w:sz="4" w:space="0" w:color="ADD6EA"/>
              <w:left w:val="nil"/>
              <w:bottom w:val="nil"/>
              <w:right w:val="nil"/>
            </w:tcBorders>
            <w:shd w:val="clear" w:color="000000" w:fill="FFFFFF"/>
            <w:noWrap/>
            <w:vAlign w:val="bottom"/>
            <w:hideMark/>
          </w:tcPr>
          <w:p w14:paraId="5D85F571"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1,753</w:t>
            </w:r>
          </w:p>
        </w:tc>
        <w:tc>
          <w:tcPr>
            <w:tcW w:w="720" w:type="dxa"/>
            <w:tcBorders>
              <w:top w:val="single" w:sz="4" w:space="0" w:color="ADD6EA"/>
              <w:left w:val="nil"/>
              <w:bottom w:val="nil"/>
              <w:right w:val="nil"/>
            </w:tcBorders>
            <w:shd w:val="clear" w:color="000000" w:fill="FFFFFF"/>
            <w:noWrap/>
            <w:vAlign w:val="bottom"/>
            <w:hideMark/>
          </w:tcPr>
          <w:p w14:paraId="7725E41D"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826</w:t>
            </w:r>
          </w:p>
        </w:tc>
        <w:tc>
          <w:tcPr>
            <w:tcW w:w="720" w:type="dxa"/>
            <w:tcBorders>
              <w:top w:val="single" w:sz="4" w:space="0" w:color="ADD6EA"/>
              <w:left w:val="nil"/>
              <w:bottom w:val="nil"/>
              <w:right w:val="nil"/>
            </w:tcBorders>
            <w:shd w:val="clear" w:color="000000" w:fill="FFFFFF"/>
            <w:noWrap/>
            <w:vAlign w:val="bottom"/>
            <w:hideMark/>
          </w:tcPr>
          <w:p w14:paraId="03AD143D"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bottom"/>
            <w:hideMark/>
          </w:tcPr>
          <w:p w14:paraId="21EE2AA0"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466</w:t>
            </w:r>
          </w:p>
        </w:tc>
        <w:tc>
          <w:tcPr>
            <w:tcW w:w="720" w:type="dxa"/>
            <w:tcBorders>
              <w:top w:val="single" w:sz="4" w:space="0" w:color="ADD6EA"/>
              <w:left w:val="nil"/>
              <w:bottom w:val="nil"/>
              <w:right w:val="nil"/>
            </w:tcBorders>
            <w:shd w:val="clear" w:color="000000" w:fill="FFFFFF"/>
            <w:noWrap/>
            <w:vAlign w:val="bottom"/>
            <w:hideMark/>
          </w:tcPr>
          <w:p w14:paraId="48E5F405"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140</w:t>
            </w:r>
          </w:p>
        </w:tc>
        <w:tc>
          <w:tcPr>
            <w:tcW w:w="720" w:type="dxa"/>
            <w:tcBorders>
              <w:top w:val="single" w:sz="4" w:space="0" w:color="ADD6EA"/>
              <w:left w:val="nil"/>
              <w:bottom w:val="nil"/>
              <w:right w:val="nil"/>
            </w:tcBorders>
            <w:shd w:val="clear" w:color="000000" w:fill="FFFFFF"/>
            <w:noWrap/>
            <w:vAlign w:val="bottom"/>
            <w:hideMark/>
          </w:tcPr>
          <w:p w14:paraId="38CF50FD"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120</w:t>
            </w:r>
          </w:p>
        </w:tc>
        <w:tc>
          <w:tcPr>
            <w:tcW w:w="720" w:type="dxa"/>
            <w:tcBorders>
              <w:top w:val="single" w:sz="4" w:space="0" w:color="ADD6EA"/>
              <w:left w:val="nil"/>
              <w:bottom w:val="nil"/>
              <w:right w:val="nil"/>
            </w:tcBorders>
            <w:shd w:val="clear" w:color="000000" w:fill="FFFFFF"/>
            <w:noWrap/>
            <w:vAlign w:val="bottom"/>
            <w:hideMark/>
          </w:tcPr>
          <w:p w14:paraId="0462C657"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64</w:t>
            </w:r>
          </w:p>
        </w:tc>
        <w:tc>
          <w:tcPr>
            <w:tcW w:w="720" w:type="dxa"/>
            <w:tcBorders>
              <w:top w:val="single" w:sz="4" w:space="0" w:color="ADD6EA"/>
              <w:left w:val="nil"/>
              <w:bottom w:val="nil"/>
              <w:right w:val="nil"/>
            </w:tcBorders>
            <w:shd w:val="clear" w:color="000000" w:fill="FFFFFF"/>
            <w:noWrap/>
            <w:vAlign w:val="bottom"/>
            <w:hideMark/>
          </w:tcPr>
          <w:p w14:paraId="5C5FB592"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5,492</w:t>
            </w:r>
          </w:p>
        </w:tc>
      </w:tr>
      <w:tr w:rsidR="00302E95" w:rsidRPr="00302E95" w14:paraId="0EFD6017" w14:textId="77777777" w:rsidTr="00302E95">
        <w:trPr>
          <w:trHeight w:val="315"/>
        </w:trPr>
        <w:tc>
          <w:tcPr>
            <w:tcW w:w="2540" w:type="dxa"/>
            <w:tcBorders>
              <w:top w:val="single" w:sz="4" w:space="0" w:color="ADD6EA"/>
              <w:left w:val="nil"/>
              <w:bottom w:val="nil"/>
              <w:right w:val="nil"/>
            </w:tcBorders>
            <w:shd w:val="clear" w:color="000000" w:fill="D6E7F0"/>
            <w:vAlign w:val="bottom"/>
            <w:hideMark/>
          </w:tcPr>
          <w:p w14:paraId="5A6D4A0E" w14:textId="289C1AB9" w:rsidR="00302E95" w:rsidRPr="00302E95" w:rsidRDefault="00302E95" w:rsidP="00302E95">
            <w:pPr>
              <w:tabs>
                <w:tab w:val="clear" w:pos="567"/>
              </w:tabs>
              <w:spacing w:before="0" w:line="240" w:lineRule="auto"/>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Total</w:t>
            </w:r>
          </w:p>
        </w:tc>
        <w:tc>
          <w:tcPr>
            <w:tcW w:w="720" w:type="dxa"/>
            <w:tcBorders>
              <w:top w:val="single" w:sz="4" w:space="0" w:color="ADD6EA"/>
              <w:left w:val="nil"/>
              <w:bottom w:val="nil"/>
              <w:right w:val="nil"/>
            </w:tcBorders>
            <w:shd w:val="clear" w:color="000000" w:fill="D6E7F0"/>
            <w:noWrap/>
            <w:vAlign w:val="bottom"/>
            <w:hideMark/>
          </w:tcPr>
          <w:p w14:paraId="2DBED766"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28,248</w:t>
            </w:r>
          </w:p>
        </w:tc>
        <w:tc>
          <w:tcPr>
            <w:tcW w:w="720" w:type="dxa"/>
            <w:tcBorders>
              <w:top w:val="single" w:sz="4" w:space="0" w:color="ADD6EA"/>
              <w:left w:val="nil"/>
              <w:bottom w:val="nil"/>
              <w:right w:val="nil"/>
            </w:tcBorders>
            <w:shd w:val="clear" w:color="000000" w:fill="D6E7F0"/>
            <w:noWrap/>
            <w:vAlign w:val="bottom"/>
            <w:hideMark/>
          </w:tcPr>
          <w:p w14:paraId="0D5A3581"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29,619</w:t>
            </w:r>
          </w:p>
        </w:tc>
        <w:tc>
          <w:tcPr>
            <w:tcW w:w="720" w:type="dxa"/>
            <w:tcBorders>
              <w:top w:val="single" w:sz="4" w:space="0" w:color="ADD6EA"/>
              <w:left w:val="nil"/>
              <w:bottom w:val="nil"/>
              <w:right w:val="nil"/>
            </w:tcBorders>
            <w:shd w:val="clear" w:color="000000" w:fill="D6E7F0"/>
            <w:noWrap/>
            <w:vAlign w:val="bottom"/>
            <w:hideMark/>
          </w:tcPr>
          <w:p w14:paraId="58C35A59"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19,263</w:t>
            </w:r>
          </w:p>
        </w:tc>
        <w:tc>
          <w:tcPr>
            <w:tcW w:w="720" w:type="dxa"/>
            <w:tcBorders>
              <w:top w:val="single" w:sz="4" w:space="0" w:color="ADD6EA"/>
              <w:left w:val="nil"/>
              <w:bottom w:val="nil"/>
              <w:right w:val="nil"/>
            </w:tcBorders>
            <w:shd w:val="clear" w:color="000000" w:fill="D6E7F0"/>
            <w:noWrap/>
            <w:vAlign w:val="bottom"/>
            <w:hideMark/>
          </w:tcPr>
          <w:p w14:paraId="596DE2EB"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9,337</w:t>
            </w:r>
          </w:p>
        </w:tc>
        <w:tc>
          <w:tcPr>
            <w:tcW w:w="720" w:type="dxa"/>
            <w:tcBorders>
              <w:top w:val="single" w:sz="4" w:space="0" w:color="ADD6EA"/>
              <w:left w:val="nil"/>
              <w:bottom w:val="nil"/>
              <w:right w:val="nil"/>
            </w:tcBorders>
            <w:shd w:val="clear" w:color="000000" w:fill="D6E7F0"/>
            <w:noWrap/>
            <w:vAlign w:val="bottom"/>
            <w:hideMark/>
          </w:tcPr>
          <w:p w14:paraId="67A7425C"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10,014</w:t>
            </w:r>
          </w:p>
        </w:tc>
        <w:tc>
          <w:tcPr>
            <w:tcW w:w="720" w:type="dxa"/>
            <w:tcBorders>
              <w:top w:val="single" w:sz="4" w:space="0" w:color="ADD6EA"/>
              <w:left w:val="nil"/>
              <w:bottom w:val="nil"/>
              <w:right w:val="nil"/>
            </w:tcBorders>
            <w:shd w:val="clear" w:color="000000" w:fill="D6E7F0"/>
            <w:noWrap/>
            <w:vAlign w:val="bottom"/>
            <w:hideMark/>
          </w:tcPr>
          <w:p w14:paraId="16A9C055"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4,108</w:t>
            </w:r>
          </w:p>
        </w:tc>
        <w:tc>
          <w:tcPr>
            <w:tcW w:w="720" w:type="dxa"/>
            <w:tcBorders>
              <w:top w:val="single" w:sz="4" w:space="0" w:color="ADD6EA"/>
              <w:left w:val="nil"/>
              <w:bottom w:val="nil"/>
              <w:right w:val="nil"/>
            </w:tcBorders>
            <w:shd w:val="clear" w:color="000000" w:fill="D6E7F0"/>
            <w:noWrap/>
            <w:vAlign w:val="bottom"/>
            <w:hideMark/>
          </w:tcPr>
          <w:p w14:paraId="0944287E"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2,215</w:t>
            </w:r>
          </w:p>
        </w:tc>
        <w:tc>
          <w:tcPr>
            <w:tcW w:w="720" w:type="dxa"/>
            <w:tcBorders>
              <w:top w:val="single" w:sz="4" w:space="0" w:color="ADD6EA"/>
              <w:left w:val="nil"/>
              <w:bottom w:val="nil"/>
              <w:right w:val="nil"/>
            </w:tcBorders>
            <w:shd w:val="clear" w:color="000000" w:fill="D6E7F0"/>
            <w:noWrap/>
            <w:vAlign w:val="bottom"/>
            <w:hideMark/>
          </w:tcPr>
          <w:p w14:paraId="16D21250"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5,206</w:t>
            </w:r>
          </w:p>
        </w:tc>
        <w:tc>
          <w:tcPr>
            <w:tcW w:w="720" w:type="dxa"/>
            <w:tcBorders>
              <w:top w:val="single" w:sz="4" w:space="0" w:color="ADD6EA"/>
              <w:left w:val="nil"/>
              <w:bottom w:val="nil"/>
              <w:right w:val="nil"/>
            </w:tcBorders>
            <w:shd w:val="clear" w:color="000000" w:fill="D6E7F0"/>
            <w:noWrap/>
            <w:vAlign w:val="bottom"/>
            <w:hideMark/>
          </w:tcPr>
          <w:p w14:paraId="141544CE"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108,011</w:t>
            </w:r>
          </w:p>
        </w:tc>
      </w:tr>
      <w:tr w:rsidR="00302E95" w:rsidRPr="00302E95" w14:paraId="2F49F1CC"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295C103F"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xml:space="preserve">Difference </w:t>
            </w:r>
          </w:p>
        </w:tc>
        <w:tc>
          <w:tcPr>
            <w:tcW w:w="720" w:type="dxa"/>
            <w:tcBorders>
              <w:top w:val="single" w:sz="4" w:space="0" w:color="ADD6EA"/>
              <w:left w:val="nil"/>
              <w:bottom w:val="nil"/>
              <w:right w:val="nil"/>
            </w:tcBorders>
            <w:shd w:val="clear" w:color="000000" w:fill="FFFFFF"/>
            <w:vAlign w:val="bottom"/>
            <w:hideMark/>
          </w:tcPr>
          <w:p w14:paraId="4BE81C13"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2289E0EB"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1E864CF2"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2142B4E3"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17221B32"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1279FF85"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6D4C4730"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2253ED48"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c>
          <w:tcPr>
            <w:tcW w:w="720" w:type="dxa"/>
            <w:tcBorders>
              <w:top w:val="single" w:sz="4" w:space="0" w:color="ADD6EA"/>
              <w:left w:val="nil"/>
              <w:bottom w:val="nil"/>
              <w:right w:val="nil"/>
            </w:tcBorders>
            <w:shd w:val="clear" w:color="000000" w:fill="FFFFFF"/>
            <w:vAlign w:val="bottom"/>
            <w:hideMark/>
          </w:tcPr>
          <w:p w14:paraId="08C2ABEA"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 </w:t>
            </w:r>
          </w:p>
        </w:tc>
      </w:tr>
      <w:tr w:rsidR="00302E95" w:rsidRPr="00302E95" w14:paraId="5B6A40CB"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42CDE505"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GST distribution</w:t>
            </w:r>
          </w:p>
        </w:tc>
        <w:tc>
          <w:tcPr>
            <w:tcW w:w="720" w:type="dxa"/>
            <w:tcBorders>
              <w:top w:val="single" w:sz="4" w:space="0" w:color="ADD6EA"/>
              <w:left w:val="nil"/>
              <w:bottom w:val="nil"/>
              <w:right w:val="nil"/>
            </w:tcBorders>
            <w:shd w:val="clear" w:color="000000" w:fill="FFFFFF"/>
            <w:noWrap/>
            <w:vAlign w:val="bottom"/>
            <w:hideMark/>
          </w:tcPr>
          <w:p w14:paraId="6FD7B659"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316</w:t>
            </w:r>
          </w:p>
        </w:tc>
        <w:tc>
          <w:tcPr>
            <w:tcW w:w="720" w:type="dxa"/>
            <w:tcBorders>
              <w:top w:val="single" w:sz="4" w:space="0" w:color="ADD6EA"/>
              <w:left w:val="nil"/>
              <w:bottom w:val="nil"/>
              <w:right w:val="nil"/>
            </w:tcBorders>
            <w:shd w:val="clear" w:color="000000" w:fill="FFFFFF"/>
            <w:noWrap/>
            <w:vAlign w:val="bottom"/>
            <w:hideMark/>
          </w:tcPr>
          <w:p w14:paraId="417B63C0"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1,494</w:t>
            </w:r>
          </w:p>
        </w:tc>
        <w:tc>
          <w:tcPr>
            <w:tcW w:w="720" w:type="dxa"/>
            <w:tcBorders>
              <w:top w:val="single" w:sz="4" w:space="0" w:color="ADD6EA"/>
              <w:left w:val="nil"/>
              <w:bottom w:val="nil"/>
              <w:right w:val="nil"/>
            </w:tcBorders>
            <w:shd w:val="clear" w:color="000000" w:fill="FFFFFF"/>
            <w:noWrap/>
            <w:vAlign w:val="bottom"/>
            <w:hideMark/>
          </w:tcPr>
          <w:p w14:paraId="35AE9A7C"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1,680</w:t>
            </w:r>
          </w:p>
        </w:tc>
        <w:tc>
          <w:tcPr>
            <w:tcW w:w="720" w:type="dxa"/>
            <w:tcBorders>
              <w:top w:val="single" w:sz="4" w:space="0" w:color="ADD6EA"/>
              <w:left w:val="nil"/>
              <w:bottom w:val="nil"/>
              <w:right w:val="nil"/>
            </w:tcBorders>
            <w:shd w:val="clear" w:color="000000" w:fill="FFFFFF"/>
            <w:noWrap/>
            <w:vAlign w:val="bottom"/>
            <w:hideMark/>
          </w:tcPr>
          <w:p w14:paraId="066969CE"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1,347</w:t>
            </w:r>
          </w:p>
        </w:tc>
        <w:tc>
          <w:tcPr>
            <w:tcW w:w="720" w:type="dxa"/>
            <w:tcBorders>
              <w:top w:val="single" w:sz="4" w:space="0" w:color="ADD6EA"/>
              <w:left w:val="nil"/>
              <w:bottom w:val="nil"/>
              <w:right w:val="nil"/>
            </w:tcBorders>
            <w:shd w:val="clear" w:color="000000" w:fill="FFFFFF"/>
            <w:noWrap/>
            <w:vAlign w:val="bottom"/>
            <w:hideMark/>
          </w:tcPr>
          <w:p w14:paraId="150CC6C0"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342</w:t>
            </w:r>
          </w:p>
        </w:tc>
        <w:tc>
          <w:tcPr>
            <w:tcW w:w="720" w:type="dxa"/>
            <w:tcBorders>
              <w:top w:val="single" w:sz="4" w:space="0" w:color="ADD6EA"/>
              <w:left w:val="nil"/>
              <w:bottom w:val="nil"/>
              <w:right w:val="nil"/>
            </w:tcBorders>
            <w:shd w:val="clear" w:color="000000" w:fill="FFFFFF"/>
            <w:noWrap/>
            <w:vAlign w:val="bottom"/>
            <w:hideMark/>
          </w:tcPr>
          <w:p w14:paraId="26316F18"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286</w:t>
            </w:r>
          </w:p>
        </w:tc>
        <w:tc>
          <w:tcPr>
            <w:tcW w:w="720" w:type="dxa"/>
            <w:tcBorders>
              <w:top w:val="single" w:sz="4" w:space="0" w:color="ADD6EA"/>
              <w:left w:val="nil"/>
              <w:bottom w:val="nil"/>
              <w:right w:val="nil"/>
            </w:tcBorders>
            <w:shd w:val="clear" w:color="000000" w:fill="FFFFFF"/>
            <w:noWrap/>
            <w:vAlign w:val="bottom"/>
            <w:hideMark/>
          </w:tcPr>
          <w:p w14:paraId="517FC02A"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110</w:t>
            </w:r>
          </w:p>
        </w:tc>
        <w:tc>
          <w:tcPr>
            <w:tcW w:w="720" w:type="dxa"/>
            <w:tcBorders>
              <w:top w:val="single" w:sz="4" w:space="0" w:color="ADD6EA"/>
              <w:left w:val="nil"/>
              <w:bottom w:val="nil"/>
              <w:right w:val="nil"/>
            </w:tcBorders>
            <w:shd w:val="clear" w:color="000000" w:fill="FFFFFF"/>
            <w:noWrap/>
            <w:vAlign w:val="bottom"/>
            <w:hideMark/>
          </w:tcPr>
          <w:p w14:paraId="2CFBD9EF"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389</w:t>
            </w:r>
          </w:p>
        </w:tc>
        <w:tc>
          <w:tcPr>
            <w:tcW w:w="720" w:type="dxa"/>
            <w:tcBorders>
              <w:top w:val="single" w:sz="4" w:space="0" w:color="ADD6EA"/>
              <w:left w:val="nil"/>
              <w:bottom w:val="nil"/>
              <w:right w:val="nil"/>
            </w:tcBorders>
            <w:shd w:val="clear" w:color="000000" w:fill="FFFFFF"/>
            <w:noWrap/>
            <w:vAlign w:val="bottom"/>
            <w:hideMark/>
          </w:tcPr>
          <w:p w14:paraId="54E47506"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5,964</w:t>
            </w:r>
          </w:p>
        </w:tc>
      </w:tr>
      <w:tr w:rsidR="00302E95" w:rsidRPr="00302E95" w14:paraId="117D73FF" w14:textId="77777777" w:rsidTr="00302E95">
        <w:trPr>
          <w:trHeight w:val="315"/>
        </w:trPr>
        <w:tc>
          <w:tcPr>
            <w:tcW w:w="2540" w:type="dxa"/>
            <w:tcBorders>
              <w:top w:val="single" w:sz="4" w:space="0" w:color="ADD6EA"/>
              <w:left w:val="nil"/>
              <w:bottom w:val="nil"/>
              <w:right w:val="nil"/>
            </w:tcBorders>
            <w:shd w:val="clear" w:color="000000" w:fill="FFFFFF"/>
            <w:vAlign w:val="bottom"/>
            <w:hideMark/>
          </w:tcPr>
          <w:p w14:paraId="16448EE1" w14:textId="77777777" w:rsidR="00302E95" w:rsidRPr="00302E95" w:rsidRDefault="00302E95" w:rsidP="00302E95">
            <w:pPr>
              <w:tabs>
                <w:tab w:val="clear" w:pos="567"/>
              </w:tabs>
              <w:spacing w:before="0" w:line="240" w:lineRule="auto"/>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No worse off payments</w:t>
            </w:r>
          </w:p>
        </w:tc>
        <w:tc>
          <w:tcPr>
            <w:tcW w:w="720" w:type="dxa"/>
            <w:tcBorders>
              <w:top w:val="single" w:sz="4" w:space="0" w:color="ADD6EA"/>
              <w:left w:val="nil"/>
              <w:bottom w:val="nil"/>
              <w:right w:val="nil"/>
            </w:tcBorders>
            <w:shd w:val="clear" w:color="000000" w:fill="FFFFFF"/>
            <w:noWrap/>
            <w:vAlign w:val="bottom"/>
            <w:hideMark/>
          </w:tcPr>
          <w:p w14:paraId="5F2A0D20"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-151</w:t>
            </w:r>
          </w:p>
        </w:tc>
        <w:tc>
          <w:tcPr>
            <w:tcW w:w="720" w:type="dxa"/>
            <w:tcBorders>
              <w:top w:val="single" w:sz="4" w:space="0" w:color="ADD6EA"/>
              <w:left w:val="nil"/>
              <w:bottom w:val="nil"/>
              <w:right w:val="nil"/>
            </w:tcBorders>
            <w:shd w:val="clear" w:color="000000" w:fill="FFFFFF"/>
            <w:noWrap/>
            <w:vAlign w:val="bottom"/>
            <w:hideMark/>
          </w:tcPr>
          <w:p w14:paraId="6B467816"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-117</w:t>
            </w:r>
          </w:p>
        </w:tc>
        <w:tc>
          <w:tcPr>
            <w:tcW w:w="720" w:type="dxa"/>
            <w:tcBorders>
              <w:top w:val="single" w:sz="4" w:space="0" w:color="ADD6EA"/>
              <w:left w:val="nil"/>
              <w:bottom w:val="nil"/>
              <w:right w:val="nil"/>
            </w:tcBorders>
            <w:shd w:val="clear" w:color="000000" w:fill="FFFFFF"/>
            <w:noWrap/>
            <w:vAlign w:val="bottom"/>
            <w:hideMark/>
          </w:tcPr>
          <w:p w14:paraId="0979E0AD"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770</w:t>
            </w:r>
          </w:p>
        </w:tc>
        <w:tc>
          <w:tcPr>
            <w:tcW w:w="720" w:type="dxa"/>
            <w:tcBorders>
              <w:top w:val="single" w:sz="4" w:space="0" w:color="ADD6EA"/>
              <w:left w:val="nil"/>
              <w:bottom w:val="nil"/>
              <w:right w:val="nil"/>
            </w:tcBorders>
            <w:shd w:val="clear" w:color="000000" w:fill="FFFFFF"/>
            <w:noWrap/>
            <w:vAlign w:val="bottom"/>
            <w:hideMark/>
          </w:tcPr>
          <w:p w14:paraId="23AD09EB"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0</w:t>
            </w:r>
          </w:p>
        </w:tc>
        <w:tc>
          <w:tcPr>
            <w:tcW w:w="720" w:type="dxa"/>
            <w:tcBorders>
              <w:top w:val="single" w:sz="4" w:space="0" w:color="ADD6EA"/>
              <w:left w:val="nil"/>
              <w:bottom w:val="nil"/>
              <w:right w:val="nil"/>
            </w:tcBorders>
            <w:shd w:val="clear" w:color="000000" w:fill="FFFFFF"/>
            <w:noWrap/>
            <w:vAlign w:val="bottom"/>
            <w:hideMark/>
          </w:tcPr>
          <w:p w14:paraId="40623145"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-34</w:t>
            </w:r>
          </w:p>
        </w:tc>
        <w:tc>
          <w:tcPr>
            <w:tcW w:w="720" w:type="dxa"/>
            <w:tcBorders>
              <w:top w:val="single" w:sz="4" w:space="0" w:color="ADD6EA"/>
              <w:left w:val="nil"/>
              <w:bottom w:val="nil"/>
              <w:right w:val="nil"/>
            </w:tcBorders>
            <w:shd w:val="clear" w:color="000000" w:fill="FFFFFF"/>
            <w:noWrap/>
            <w:vAlign w:val="bottom"/>
            <w:hideMark/>
          </w:tcPr>
          <w:p w14:paraId="1209070D"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-10</w:t>
            </w:r>
          </w:p>
        </w:tc>
        <w:tc>
          <w:tcPr>
            <w:tcW w:w="720" w:type="dxa"/>
            <w:tcBorders>
              <w:top w:val="single" w:sz="4" w:space="0" w:color="ADD6EA"/>
              <w:left w:val="nil"/>
              <w:bottom w:val="nil"/>
              <w:right w:val="nil"/>
            </w:tcBorders>
            <w:shd w:val="clear" w:color="000000" w:fill="FFFFFF"/>
            <w:noWrap/>
            <w:vAlign w:val="bottom"/>
            <w:hideMark/>
          </w:tcPr>
          <w:p w14:paraId="7F602F2C"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-8</w:t>
            </w:r>
          </w:p>
        </w:tc>
        <w:tc>
          <w:tcPr>
            <w:tcW w:w="720" w:type="dxa"/>
            <w:tcBorders>
              <w:top w:val="single" w:sz="4" w:space="0" w:color="ADD6EA"/>
              <w:left w:val="nil"/>
              <w:bottom w:val="nil"/>
              <w:right w:val="nil"/>
            </w:tcBorders>
            <w:shd w:val="clear" w:color="000000" w:fill="FFFFFF"/>
            <w:noWrap/>
            <w:vAlign w:val="bottom"/>
            <w:hideMark/>
          </w:tcPr>
          <w:p w14:paraId="27FEA6B1"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-3</w:t>
            </w:r>
          </w:p>
        </w:tc>
        <w:tc>
          <w:tcPr>
            <w:tcW w:w="720" w:type="dxa"/>
            <w:tcBorders>
              <w:top w:val="single" w:sz="4" w:space="0" w:color="ADD6EA"/>
              <w:left w:val="nil"/>
              <w:bottom w:val="nil"/>
              <w:right w:val="nil"/>
            </w:tcBorders>
            <w:shd w:val="clear" w:color="000000" w:fill="FFFFFF"/>
            <w:noWrap/>
            <w:vAlign w:val="bottom"/>
            <w:hideMark/>
          </w:tcPr>
          <w:p w14:paraId="6F4DA9F1" w14:textId="77777777" w:rsidR="00302E95" w:rsidRPr="00302E95" w:rsidRDefault="00302E95" w:rsidP="00302E9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302E95">
              <w:rPr>
                <w:rFonts w:ascii="Open Sans Light" w:eastAsia="Times New Roman" w:hAnsi="Open Sans Light" w:cs="Open Sans Light"/>
                <w:color w:val="000000"/>
                <w:sz w:val="16"/>
                <w:szCs w:val="16"/>
                <w:lang w:eastAsia="en-AU"/>
              </w:rPr>
              <w:t>447</w:t>
            </w:r>
          </w:p>
        </w:tc>
      </w:tr>
      <w:tr w:rsidR="00302E95" w:rsidRPr="00302E95" w14:paraId="398785C8" w14:textId="77777777" w:rsidTr="00302E95">
        <w:trPr>
          <w:trHeight w:val="315"/>
        </w:trPr>
        <w:tc>
          <w:tcPr>
            <w:tcW w:w="2540" w:type="dxa"/>
            <w:tcBorders>
              <w:top w:val="single" w:sz="4" w:space="0" w:color="ADD6EA"/>
              <w:left w:val="nil"/>
              <w:bottom w:val="single" w:sz="4" w:space="0" w:color="ADD6EA"/>
              <w:right w:val="nil"/>
            </w:tcBorders>
            <w:shd w:val="clear" w:color="000000" w:fill="D6E7F0"/>
            <w:vAlign w:val="bottom"/>
            <w:hideMark/>
          </w:tcPr>
          <w:p w14:paraId="14D7B16A" w14:textId="168BC872" w:rsidR="00302E95" w:rsidRPr="00302E95" w:rsidRDefault="00E97B6A" w:rsidP="00302E95">
            <w:pPr>
              <w:tabs>
                <w:tab w:val="clear" w:pos="567"/>
              </w:tabs>
              <w:spacing w:before="0" w:line="240" w:lineRule="auto"/>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T</w:t>
            </w:r>
            <w:r w:rsidR="00302E95" w:rsidRPr="00302E95">
              <w:rPr>
                <w:rFonts w:ascii="Open Sans Semibold" w:eastAsia="Times New Roman" w:hAnsi="Open Sans Semibold" w:cs="Open Sans Semibold"/>
                <w:color w:val="000000"/>
                <w:sz w:val="16"/>
                <w:szCs w:val="16"/>
                <w:lang w:eastAsia="en-AU"/>
              </w:rPr>
              <w:t>otal ($m)</w:t>
            </w:r>
          </w:p>
        </w:tc>
        <w:tc>
          <w:tcPr>
            <w:tcW w:w="720" w:type="dxa"/>
            <w:tcBorders>
              <w:top w:val="single" w:sz="4" w:space="0" w:color="ADD6EA"/>
              <w:left w:val="nil"/>
              <w:bottom w:val="single" w:sz="4" w:space="0" w:color="ADD6EA"/>
              <w:right w:val="nil"/>
            </w:tcBorders>
            <w:shd w:val="clear" w:color="000000" w:fill="D6E7F0"/>
            <w:noWrap/>
            <w:vAlign w:val="bottom"/>
            <w:hideMark/>
          </w:tcPr>
          <w:p w14:paraId="31BDF6B1"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166</w:t>
            </w:r>
          </w:p>
        </w:tc>
        <w:tc>
          <w:tcPr>
            <w:tcW w:w="720" w:type="dxa"/>
            <w:tcBorders>
              <w:top w:val="single" w:sz="4" w:space="0" w:color="ADD6EA"/>
              <w:left w:val="nil"/>
              <w:bottom w:val="single" w:sz="4" w:space="0" w:color="ADD6EA"/>
              <w:right w:val="nil"/>
            </w:tcBorders>
            <w:shd w:val="clear" w:color="000000" w:fill="D6E7F0"/>
            <w:noWrap/>
            <w:vAlign w:val="bottom"/>
            <w:hideMark/>
          </w:tcPr>
          <w:p w14:paraId="5FADAD34"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1,377</w:t>
            </w:r>
          </w:p>
        </w:tc>
        <w:tc>
          <w:tcPr>
            <w:tcW w:w="720" w:type="dxa"/>
            <w:tcBorders>
              <w:top w:val="single" w:sz="4" w:space="0" w:color="ADD6EA"/>
              <w:left w:val="nil"/>
              <w:bottom w:val="single" w:sz="4" w:space="0" w:color="ADD6EA"/>
              <w:right w:val="nil"/>
            </w:tcBorders>
            <w:shd w:val="clear" w:color="000000" w:fill="D6E7F0"/>
            <w:noWrap/>
            <w:vAlign w:val="bottom"/>
            <w:hideMark/>
          </w:tcPr>
          <w:p w14:paraId="24DA99FB"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2,450</w:t>
            </w:r>
          </w:p>
        </w:tc>
        <w:tc>
          <w:tcPr>
            <w:tcW w:w="720" w:type="dxa"/>
            <w:tcBorders>
              <w:top w:val="single" w:sz="4" w:space="0" w:color="ADD6EA"/>
              <w:left w:val="nil"/>
              <w:bottom w:val="single" w:sz="4" w:space="0" w:color="ADD6EA"/>
              <w:right w:val="nil"/>
            </w:tcBorders>
            <w:shd w:val="clear" w:color="000000" w:fill="D6E7F0"/>
            <w:noWrap/>
            <w:vAlign w:val="bottom"/>
            <w:hideMark/>
          </w:tcPr>
          <w:p w14:paraId="7151EFD9"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1,347</w:t>
            </w:r>
          </w:p>
        </w:tc>
        <w:tc>
          <w:tcPr>
            <w:tcW w:w="720" w:type="dxa"/>
            <w:tcBorders>
              <w:top w:val="single" w:sz="4" w:space="0" w:color="ADD6EA"/>
              <w:left w:val="nil"/>
              <w:bottom w:val="single" w:sz="4" w:space="0" w:color="ADD6EA"/>
              <w:right w:val="nil"/>
            </w:tcBorders>
            <w:shd w:val="clear" w:color="000000" w:fill="D6E7F0"/>
            <w:noWrap/>
            <w:vAlign w:val="bottom"/>
            <w:hideMark/>
          </w:tcPr>
          <w:p w14:paraId="6F6B447A"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308</w:t>
            </w:r>
          </w:p>
        </w:tc>
        <w:tc>
          <w:tcPr>
            <w:tcW w:w="720" w:type="dxa"/>
            <w:tcBorders>
              <w:top w:val="single" w:sz="4" w:space="0" w:color="ADD6EA"/>
              <w:left w:val="nil"/>
              <w:bottom w:val="single" w:sz="4" w:space="0" w:color="ADD6EA"/>
              <w:right w:val="nil"/>
            </w:tcBorders>
            <w:shd w:val="clear" w:color="000000" w:fill="D6E7F0"/>
            <w:noWrap/>
            <w:vAlign w:val="bottom"/>
            <w:hideMark/>
          </w:tcPr>
          <w:p w14:paraId="012EE4D9"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276</w:t>
            </w:r>
          </w:p>
        </w:tc>
        <w:tc>
          <w:tcPr>
            <w:tcW w:w="720" w:type="dxa"/>
            <w:tcBorders>
              <w:top w:val="single" w:sz="4" w:space="0" w:color="ADD6EA"/>
              <w:left w:val="nil"/>
              <w:bottom w:val="single" w:sz="4" w:space="0" w:color="ADD6EA"/>
              <w:right w:val="nil"/>
            </w:tcBorders>
            <w:shd w:val="clear" w:color="000000" w:fill="D6E7F0"/>
            <w:noWrap/>
            <w:vAlign w:val="bottom"/>
            <w:hideMark/>
          </w:tcPr>
          <w:p w14:paraId="7F0E1B4A"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102</w:t>
            </w:r>
          </w:p>
        </w:tc>
        <w:tc>
          <w:tcPr>
            <w:tcW w:w="720" w:type="dxa"/>
            <w:tcBorders>
              <w:top w:val="single" w:sz="4" w:space="0" w:color="ADD6EA"/>
              <w:left w:val="nil"/>
              <w:bottom w:val="single" w:sz="4" w:space="0" w:color="ADD6EA"/>
              <w:right w:val="nil"/>
            </w:tcBorders>
            <w:shd w:val="clear" w:color="000000" w:fill="D6E7F0"/>
            <w:noWrap/>
            <w:vAlign w:val="bottom"/>
            <w:hideMark/>
          </w:tcPr>
          <w:p w14:paraId="5B39EA81"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386</w:t>
            </w:r>
          </w:p>
        </w:tc>
        <w:tc>
          <w:tcPr>
            <w:tcW w:w="720" w:type="dxa"/>
            <w:tcBorders>
              <w:top w:val="single" w:sz="4" w:space="0" w:color="ADD6EA"/>
              <w:left w:val="nil"/>
              <w:bottom w:val="single" w:sz="4" w:space="0" w:color="ADD6EA"/>
              <w:right w:val="nil"/>
            </w:tcBorders>
            <w:shd w:val="clear" w:color="000000" w:fill="D6E7F0"/>
            <w:noWrap/>
            <w:vAlign w:val="bottom"/>
            <w:hideMark/>
          </w:tcPr>
          <w:p w14:paraId="57E64F92"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6,412</w:t>
            </w:r>
          </w:p>
        </w:tc>
      </w:tr>
      <w:tr w:rsidR="00302E95" w:rsidRPr="00302E95" w14:paraId="210AEC64" w14:textId="77777777" w:rsidTr="00302E95">
        <w:trPr>
          <w:trHeight w:val="315"/>
        </w:trPr>
        <w:tc>
          <w:tcPr>
            <w:tcW w:w="2540" w:type="dxa"/>
            <w:tcBorders>
              <w:top w:val="nil"/>
              <w:left w:val="nil"/>
              <w:bottom w:val="single" w:sz="4" w:space="0" w:color="ADD6EA"/>
              <w:right w:val="nil"/>
            </w:tcBorders>
            <w:shd w:val="clear" w:color="000000" w:fill="D6E7F0"/>
            <w:vAlign w:val="bottom"/>
            <w:hideMark/>
          </w:tcPr>
          <w:p w14:paraId="1F241928" w14:textId="3BF39BDE" w:rsidR="00302E95" w:rsidRPr="00302E95" w:rsidRDefault="00302E95" w:rsidP="00302E95">
            <w:pPr>
              <w:tabs>
                <w:tab w:val="clear" w:pos="567"/>
              </w:tabs>
              <w:spacing w:before="0" w:line="240" w:lineRule="auto"/>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Total ($pc)</w:t>
            </w:r>
          </w:p>
        </w:tc>
        <w:tc>
          <w:tcPr>
            <w:tcW w:w="720" w:type="dxa"/>
            <w:tcBorders>
              <w:top w:val="nil"/>
              <w:left w:val="nil"/>
              <w:bottom w:val="single" w:sz="4" w:space="0" w:color="ADD6EA"/>
              <w:right w:val="nil"/>
            </w:tcBorders>
            <w:shd w:val="clear" w:color="000000" w:fill="D6E7F0"/>
            <w:noWrap/>
            <w:vAlign w:val="bottom"/>
            <w:hideMark/>
          </w:tcPr>
          <w:p w14:paraId="46E5E2A8"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19</w:t>
            </w:r>
          </w:p>
        </w:tc>
        <w:tc>
          <w:tcPr>
            <w:tcW w:w="720" w:type="dxa"/>
            <w:tcBorders>
              <w:top w:val="nil"/>
              <w:left w:val="nil"/>
              <w:bottom w:val="single" w:sz="4" w:space="0" w:color="ADD6EA"/>
              <w:right w:val="nil"/>
            </w:tcBorders>
            <w:shd w:val="clear" w:color="000000" w:fill="D6E7F0"/>
            <w:noWrap/>
            <w:vAlign w:val="bottom"/>
            <w:hideMark/>
          </w:tcPr>
          <w:p w14:paraId="7C3519AC"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191</w:t>
            </w:r>
          </w:p>
        </w:tc>
        <w:tc>
          <w:tcPr>
            <w:tcW w:w="720" w:type="dxa"/>
            <w:tcBorders>
              <w:top w:val="nil"/>
              <w:left w:val="nil"/>
              <w:bottom w:val="single" w:sz="4" w:space="0" w:color="ADD6EA"/>
              <w:right w:val="nil"/>
            </w:tcBorders>
            <w:shd w:val="clear" w:color="000000" w:fill="D6E7F0"/>
            <w:noWrap/>
            <w:vAlign w:val="bottom"/>
            <w:hideMark/>
          </w:tcPr>
          <w:p w14:paraId="1C26E91A"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423</w:t>
            </w:r>
          </w:p>
        </w:tc>
        <w:tc>
          <w:tcPr>
            <w:tcW w:w="720" w:type="dxa"/>
            <w:tcBorders>
              <w:top w:val="nil"/>
              <w:left w:val="nil"/>
              <w:bottom w:val="single" w:sz="4" w:space="0" w:color="ADD6EA"/>
              <w:right w:val="nil"/>
            </w:tcBorders>
            <w:shd w:val="clear" w:color="000000" w:fill="D6E7F0"/>
            <w:noWrap/>
            <w:vAlign w:val="bottom"/>
            <w:hideMark/>
          </w:tcPr>
          <w:p w14:paraId="1BC9499D"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431</w:t>
            </w:r>
          </w:p>
        </w:tc>
        <w:tc>
          <w:tcPr>
            <w:tcW w:w="720" w:type="dxa"/>
            <w:tcBorders>
              <w:top w:val="nil"/>
              <w:left w:val="nil"/>
              <w:bottom w:val="single" w:sz="4" w:space="0" w:color="ADD6EA"/>
              <w:right w:val="nil"/>
            </w:tcBorders>
            <w:shd w:val="clear" w:color="000000" w:fill="D6E7F0"/>
            <w:noWrap/>
            <w:vAlign w:val="bottom"/>
            <w:hideMark/>
          </w:tcPr>
          <w:p w14:paraId="1419C43C"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160</w:t>
            </w:r>
          </w:p>
        </w:tc>
        <w:tc>
          <w:tcPr>
            <w:tcW w:w="720" w:type="dxa"/>
            <w:tcBorders>
              <w:top w:val="nil"/>
              <w:left w:val="nil"/>
              <w:bottom w:val="single" w:sz="4" w:space="0" w:color="ADD6EA"/>
              <w:right w:val="nil"/>
            </w:tcBorders>
            <w:shd w:val="clear" w:color="000000" w:fill="D6E7F0"/>
            <w:noWrap/>
            <w:vAlign w:val="bottom"/>
            <w:hideMark/>
          </w:tcPr>
          <w:p w14:paraId="3B89EE1D"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478</w:t>
            </w:r>
          </w:p>
        </w:tc>
        <w:tc>
          <w:tcPr>
            <w:tcW w:w="720" w:type="dxa"/>
            <w:tcBorders>
              <w:top w:val="nil"/>
              <w:left w:val="nil"/>
              <w:bottom w:val="single" w:sz="4" w:space="0" w:color="ADD6EA"/>
              <w:right w:val="nil"/>
            </w:tcBorders>
            <w:shd w:val="clear" w:color="000000" w:fill="D6E7F0"/>
            <w:noWrap/>
            <w:vAlign w:val="bottom"/>
            <w:hideMark/>
          </w:tcPr>
          <w:p w14:paraId="3580B0D8"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206</w:t>
            </w:r>
          </w:p>
        </w:tc>
        <w:tc>
          <w:tcPr>
            <w:tcW w:w="720" w:type="dxa"/>
            <w:tcBorders>
              <w:top w:val="nil"/>
              <w:left w:val="nil"/>
              <w:bottom w:val="single" w:sz="4" w:space="0" w:color="ADD6EA"/>
              <w:right w:val="nil"/>
            </w:tcBorders>
            <w:shd w:val="clear" w:color="000000" w:fill="D6E7F0"/>
            <w:noWrap/>
            <w:vAlign w:val="bottom"/>
            <w:hideMark/>
          </w:tcPr>
          <w:p w14:paraId="250D0DEF"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1,436</w:t>
            </w:r>
          </w:p>
        </w:tc>
        <w:tc>
          <w:tcPr>
            <w:tcW w:w="720" w:type="dxa"/>
            <w:tcBorders>
              <w:top w:val="nil"/>
              <w:left w:val="nil"/>
              <w:bottom w:val="single" w:sz="4" w:space="0" w:color="ADD6EA"/>
              <w:right w:val="nil"/>
            </w:tcBorders>
            <w:shd w:val="clear" w:color="000000" w:fill="D6E7F0"/>
            <w:noWrap/>
            <w:vAlign w:val="bottom"/>
            <w:hideMark/>
          </w:tcPr>
          <w:p w14:paraId="00DC5DE6" w14:textId="77777777" w:rsidR="00302E95" w:rsidRPr="00302E95" w:rsidRDefault="00302E95" w:rsidP="00302E9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302E95">
              <w:rPr>
                <w:rFonts w:ascii="Open Sans Semibold" w:eastAsia="Times New Roman" w:hAnsi="Open Sans Semibold" w:cs="Open Sans Semibold"/>
                <w:color w:val="000000"/>
                <w:sz w:val="16"/>
                <w:szCs w:val="16"/>
                <w:lang w:eastAsia="en-AU"/>
              </w:rPr>
              <w:t>228</w:t>
            </w:r>
          </w:p>
        </w:tc>
      </w:tr>
    </w:tbl>
    <w:p w14:paraId="1040D51E" w14:textId="74C25711" w:rsidR="002373FE" w:rsidRDefault="002373FE" w:rsidP="00B857D2">
      <w:pPr>
        <w:pStyle w:val="BodyText"/>
        <w:rPr>
          <w:lang w:eastAsia="en-US"/>
        </w:rPr>
      </w:pPr>
    </w:p>
    <w:p w14:paraId="5E93117F" w14:textId="77777777" w:rsidR="002373FE" w:rsidRDefault="002373FE">
      <w:pPr>
        <w:tabs>
          <w:tab w:val="clear" w:pos="567"/>
        </w:tabs>
        <w:spacing w:before="0" w:line="240" w:lineRule="auto"/>
        <w:rPr>
          <w:rFonts w:ascii="Open Sans Light" w:eastAsia="Times New Roman" w:hAnsi="Open Sans Light" w:cs="Times New Roman"/>
          <w:szCs w:val="20"/>
        </w:rPr>
      </w:pPr>
      <w:r>
        <w:br w:type="page"/>
      </w:r>
    </w:p>
    <w:p w14:paraId="26987021" w14:textId="77777777" w:rsidR="002373FE" w:rsidRDefault="002373FE" w:rsidP="002373FE">
      <w:pPr>
        <w:pStyle w:val="Heading1"/>
        <w:numPr>
          <w:ilvl w:val="0"/>
          <w:numId w:val="0"/>
        </w:numPr>
      </w:pPr>
      <w:bookmarkStart w:id="51" w:name="_Ref159428160"/>
      <w:bookmarkStart w:id="52" w:name="_Toc222762273"/>
      <w:r>
        <w:lastRenderedPageBreak/>
        <w:t>2. Drivers of GST distribution</w:t>
      </w:r>
      <w:bookmarkEnd w:id="51"/>
      <w:bookmarkEnd w:id="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8FF"/>
        <w:tblLook w:val="04A0" w:firstRow="1" w:lastRow="0" w:firstColumn="1" w:lastColumn="0" w:noHBand="0" w:noVBand="1"/>
      </w:tblPr>
      <w:tblGrid>
        <w:gridCol w:w="9054"/>
      </w:tblGrid>
      <w:tr w:rsidR="002373FE" w14:paraId="00B0ABB0" w14:textId="77777777" w:rsidTr="00E51790">
        <w:tc>
          <w:tcPr>
            <w:tcW w:w="9054" w:type="dxa"/>
            <w:shd w:val="clear" w:color="auto" w:fill="E5F8FF"/>
          </w:tcPr>
          <w:p w14:paraId="411277B5" w14:textId="77777777" w:rsidR="002373FE" w:rsidRPr="00607566" w:rsidRDefault="002373FE" w:rsidP="00E51790">
            <w:pPr>
              <w:pStyle w:val="Heading2"/>
            </w:pPr>
            <w:r w:rsidRPr="00607566">
              <w:t>Key points</w:t>
            </w:r>
          </w:p>
          <w:p w14:paraId="7C872CCC" w14:textId="77777777" w:rsidR="002373FE" w:rsidRPr="007A1183" w:rsidRDefault="002373FE" w:rsidP="00251F0B">
            <w:pPr>
              <w:pStyle w:val="CGCBulletPoints"/>
            </w:pPr>
            <w:r w:rsidRPr="007A1183">
              <w:t xml:space="preserve">Changes in </w:t>
            </w:r>
            <w:r>
              <w:t>state</w:t>
            </w:r>
            <w:r w:rsidRPr="007A1183">
              <w:t xml:space="preserve"> circumstances have a significant impact on the 2026 Update</w:t>
            </w:r>
            <w:r>
              <w:t>,</w:t>
            </w:r>
            <w:r w:rsidRPr="007A1183">
              <w:t xml:space="preserve"> with 2021</w:t>
            </w:r>
            <w:r w:rsidRPr="007A1183">
              <w:rPr>
                <w:rFonts w:ascii="Times New Roman" w:hAnsi="Times New Roman" w:cs="Times New Roman"/>
              </w:rPr>
              <w:t>‍</w:t>
            </w:r>
            <w:r w:rsidRPr="007A1183">
              <w:t>–</w:t>
            </w:r>
            <w:r w:rsidRPr="007A1183">
              <w:rPr>
                <w:rFonts w:ascii="Times New Roman" w:hAnsi="Times New Roman" w:cs="Times New Roman"/>
              </w:rPr>
              <w:t>‍</w:t>
            </w:r>
            <w:r w:rsidRPr="007A1183">
              <w:t>22 dropping out of the assessment period and being replaced by 2024</w:t>
            </w:r>
            <w:r w:rsidRPr="007A1183">
              <w:rPr>
                <w:rFonts w:ascii="Times New Roman" w:hAnsi="Times New Roman" w:cs="Times New Roman"/>
              </w:rPr>
              <w:t>‍</w:t>
            </w:r>
            <w:r w:rsidRPr="007A1183">
              <w:t>–</w:t>
            </w:r>
            <w:r w:rsidRPr="007A1183">
              <w:rPr>
                <w:rFonts w:ascii="Times New Roman" w:hAnsi="Times New Roman" w:cs="Times New Roman"/>
              </w:rPr>
              <w:t>‍</w:t>
            </w:r>
            <w:r w:rsidRPr="007A1183">
              <w:t>25.</w:t>
            </w:r>
          </w:p>
          <w:p w14:paraId="68CE8A57" w14:textId="3784C843" w:rsidR="002373FE" w:rsidRPr="007A1183" w:rsidRDefault="002373FE" w:rsidP="00251F0B">
            <w:pPr>
              <w:pStyle w:val="CGCBulletPoints-Level2"/>
            </w:pPr>
            <w:r w:rsidRPr="007A1183">
              <w:t>COVID-19 expenses were largest in 2021–22 and declined significantly in subsequent years. States with above-average COVID</w:t>
            </w:r>
            <w:r>
              <w:t>-</w:t>
            </w:r>
            <w:r w:rsidRPr="007A1183">
              <w:t>19 expenses</w:t>
            </w:r>
            <w:r w:rsidR="00F97386">
              <w:t>,</w:t>
            </w:r>
            <w:r w:rsidRPr="007A1183">
              <w:t xml:space="preserve"> </w:t>
            </w:r>
            <w:r w:rsidR="00F61A8B">
              <w:t>notably</w:t>
            </w:r>
            <w:r w:rsidR="00F61A8B" w:rsidRPr="007A1183">
              <w:t xml:space="preserve"> </w:t>
            </w:r>
            <w:r w:rsidRPr="007A1183">
              <w:t>New South Wales, Victoria and the ACT, now have lower assessed GST needs.</w:t>
            </w:r>
          </w:p>
          <w:p w14:paraId="569E0BBD" w14:textId="77777777" w:rsidR="002373FE" w:rsidRPr="007A1183" w:rsidRDefault="002373FE" w:rsidP="00251F0B">
            <w:pPr>
              <w:pStyle w:val="CGCBulletPoints-Level2"/>
            </w:pPr>
            <w:r w:rsidRPr="007A1183">
              <w:t>Coal and iron ore prices fell between 2021–22 and 2024–25. This decrease</w:t>
            </w:r>
            <w:r>
              <w:t>s</w:t>
            </w:r>
            <w:r w:rsidRPr="007A1183">
              <w:t xml:space="preserve"> Queensland’s and Western Australia’s revenue raising capacities and increase</w:t>
            </w:r>
            <w:r>
              <w:t>s</w:t>
            </w:r>
            <w:r w:rsidRPr="007A1183">
              <w:t xml:space="preserve"> </w:t>
            </w:r>
            <w:r>
              <w:t xml:space="preserve">their </w:t>
            </w:r>
            <w:r w:rsidRPr="007A1183">
              <w:t>assessed GST needs.</w:t>
            </w:r>
          </w:p>
          <w:p w14:paraId="08352D3A" w14:textId="1200FBBE" w:rsidR="002373FE" w:rsidRPr="007A1183" w:rsidRDefault="002373FE" w:rsidP="00251F0B">
            <w:pPr>
              <w:pStyle w:val="CGCBulletPoints-Level2"/>
            </w:pPr>
            <w:r>
              <w:t>N</w:t>
            </w:r>
            <w:r w:rsidRPr="007A1183">
              <w:t>ew South Wales, Victoria, the ACT and the Northern Territory had a larger than average fall in the value of property transfer</w:t>
            </w:r>
            <w:r w:rsidR="002615DC">
              <w:t>red</w:t>
            </w:r>
            <w:r>
              <w:t>. This</w:t>
            </w:r>
            <w:r w:rsidRPr="007A1183">
              <w:t xml:space="preserve"> lower</w:t>
            </w:r>
            <w:r>
              <w:t>s their</w:t>
            </w:r>
            <w:r w:rsidRPr="007A1183">
              <w:t xml:space="preserve"> relative revenue raising capacit</w:t>
            </w:r>
            <w:r>
              <w:t>ies,</w:t>
            </w:r>
            <w:r w:rsidRPr="007A1183">
              <w:t xml:space="preserve"> which increase</w:t>
            </w:r>
            <w:r>
              <w:t>s</w:t>
            </w:r>
            <w:r w:rsidRPr="007A1183">
              <w:t xml:space="preserve"> </w:t>
            </w:r>
            <w:r>
              <w:t xml:space="preserve">their </w:t>
            </w:r>
            <w:r w:rsidRPr="007A1183">
              <w:t>assessed GST needs.</w:t>
            </w:r>
          </w:p>
          <w:p w14:paraId="7B14BC32" w14:textId="3F7ADCEC" w:rsidR="002373FE" w:rsidRPr="00C57807" w:rsidRDefault="002373FE" w:rsidP="00251F0B">
            <w:pPr>
              <w:pStyle w:val="CGCBulletPoints"/>
            </w:pPr>
            <w:r w:rsidRPr="00AB0E0A">
              <w:t>Revisions by</w:t>
            </w:r>
            <w:r>
              <w:t xml:space="preserve"> </w:t>
            </w:r>
            <w:r w:rsidRPr="00AB0E0A">
              <w:t>states</w:t>
            </w:r>
            <w:r w:rsidRPr="00C57807">
              <w:t xml:space="preserve"> to </w:t>
            </w:r>
            <w:r w:rsidRPr="00AB0E0A">
              <w:t>their</w:t>
            </w:r>
            <w:r w:rsidRPr="00C57807">
              <w:t xml:space="preserve"> natural disaster relief </w:t>
            </w:r>
            <w:r w:rsidRPr="00AB0E0A">
              <w:t xml:space="preserve">data </w:t>
            </w:r>
            <w:r>
              <w:t xml:space="preserve">have </w:t>
            </w:r>
            <w:r w:rsidRPr="00AB0E0A">
              <w:t>result</w:t>
            </w:r>
            <w:r>
              <w:t>ed</w:t>
            </w:r>
            <w:r w:rsidRPr="00AB0E0A">
              <w:t xml:space="preserve"> in large changes to assessed GST needs. </w:t>
            </w:r>
            <w:r>
              <w:t>In particular, New South Wales made a s</w:t>
            </w:r>
            <w:r w:rsidRPr="00AB0E0A">
              <w:t xml:space="preserve">ignificant downward revision to </w:t>
            </w:r>
            <w:r>
              <w:t xml:space="preserve">its 2022–23 </w:t>
            </w:r>
            <w:r w:rsidRPr="00AB0E0A">
              <w:t>expenses</w:t>
            </w:r>
            <w:r>
              <w:t xml:space="preserve">, which has </w:t>
            </w:r>
            <w:r w:rsidRPr="00C57807">
              <w:t>decrease</w:t>
            </w:r>
            <w:r>
              <w:t>d</w:t>
            </w:r>
            <w:r w:rsidRPr="00C57807">
              <w:t xml:space="preserve"> its assessed GST needs.</w:t>
            </w:r>
            <w:r>
              <w:t xml:space="preserve"> </w:t>
            </w:r>
            <w:r w:rsidR="00AD01AE">
              <w:t>R</w:t>
            </w:r>
            <w:r>
              <w:t>evisions have also been made to investment and health data for all states.</w:t>
            </w:r>
          </w:p>
          <w:p w14:paraId="6584B7DB" w14:textId="7D3D42EF" w:rsidR="002373FE" w:rsidRDefault="002373FE" w:rsidP="00251F0B">
            <w:pPr>
              <w:pStyle w:val="CGCBulletPoints"/>
            </w:pPr>
            <w:r>
              <w:t>The</w:t>
            </w:r>
            <w:r w:rsidR="00D83152">
              <w:t xml:space="preserve"> Commission made</w:t>
            </w:r>
            <w:r>
              <w:t xml:space="preserve"> c</w:t>
            </w:r>
            <w:r w:rsidRPr="00C369AD">
              <w:t>hanges to the justice</w:t>
            </w:r>
            <w:r>
              <w:t xml:space="preserve"> assessment</w:t>
            </w:r>
            <w:r w:rsidRPr="00C369AD">
              <w:t xml:space="preserve"> as part of the 2025</w:t>
            </w:r>
            <w:r>
              <w:t xml:space="preserve"> Methodology </w:t>
            </w:r>
            <w:r w:rsidRPr="00C369AD">
              <w:t>Review</w:t>
            </w:r>
            <w:r>
              <w:t>. These involved changes to methods as well as updating 5</w:t>
            </w:r>
            <w:r>
              <w:noBreakHyphen/>
              <w:t>yearly data that inform the assessment.</w:t>
            </w:r>
            <w:r w:rsidRPr="00C369AD">
              <w:t xml:space="preserve"> </w:t>
            </w:r>
            <w:r>
              <w:t xml:space="preserve">These changes </w:t>
            </w:r>
            <w:r w:rsidRPr="00C369AD">
              <w:t>increase the assessed GST needs of New South Wales, Queensland and Tasmania.</w:t>
            </w:r>
          </w:p>
          <w:p w14:paraId="2F8E49C4" w14:textId="77777777" w:rsidR="002373FE" w:rsidRDefault="002373FE" w:rsidP="00E51790">
            <w:pPr>
              <w:pStyle w:val="BulletPoints"/>
              <w:ind w:left="720" w:hanging="360"/>
            </w:pPr>
          </w:p>
        </w:tc>
      </w:tr>
    </w:tbl>
    <w:p w14:paraId="14B73D5B" w14:textId="77777777" w:rsidR="002373FE" w:rsidRPr="008E733A" w:rsidRDefault="002373FE" w:rsidP="002373FE">
      <w:pPr>
        <w:pStyle w:val="BodyText"/>
        <w:rPr>
          <w:lang w:eastAsia="en-US"/>
        </w:rPr>
      </w:pPr>
    </w:p>
    <w:p w14:paraId="54B98B4C" w14:textId="77777777" w:rsidR="002373FE" w:rsidRDefault="002373FE" w:rsidP="002373FE">
      <w:pPr>
        <w:tabs>
          <w:tab w:val="clear" w:pos="567"/>
        </w:tabs>
        <w:spacing w:before="0" w:line="240" w:lineRule="auto"/>
        <w:rPr>
          <w:rFonts w:eastAsiaTheme="majorEastAsia" w:cs="Open Sans"/>
          <w:bCs/>
          <w:color w:val="006991"/>
          <w:sz w:val="40"/>
          <w:szCs w:val="40"/>
        </w:rPr>
      </w:pPr>
    </w:p>
    <w:p w14:paraId="139D6B16" w14:textId="77777777" w:rsidR="002373FE" w:rsidRPr="00DC23FC" w:rsidRDefault="002373FE" w:rsidP="002373FE">
      <w:pPr>
        <w:pStyle w:val="Heading2"/>
      </w:pPr>
      <w:r>
        <w:br w:type="page"/>
      </w:r>
      <w:r w:rsidRPr="00DC23FC">
        <w:lastRenderedPageBreak/>
        <w:t>Why GST shares have changed</w:t>
      </w:r>
    </w:p>
    <w:p w14:paraId="1921ED9B" w14:textId="05B30EF7" w:rsidR="002373FE" w:rsidRPr="00BE3F8D" w:rsidRDefault="002373FE" w:rsidP="002373FE">
      <w:r w:rsidRPr="00BE3F8D">
        <w:t xml:space="preserve">Chapter 1 </w:t>
      </w:r>
      <w:r>
        <w:t>outlined how</w:t>
      </w:r>
      <w:r w:rsidRPr="00BE3F8D">
        <w:t xml:space="preserve"> changes in GST distribution since 2025–26 </w:t>
      </w:r>
      <w:proofErr w:type="gramStart"/>
      <w:r w:rsidRPr="00BE3F8D">
        <w:t>are</w:t>
      </w:r>
      <w:proofErr w:type="gramEnd"/>
      <w:r w:rsidRPr="00BE3F8D">
        <w:t xml:space="preserve"> driven by changes to GST relativities</w:t>
      </w:r>
      <w:r>
        <w:t>,</w:t>
      </w:r>
      <w:r w:rsidRPr="00BE3F8D">
        <w:t xml:space="preserve"> population</w:t>
      </w:r>
      <w:r>
        <w:t xml:space="preserve"> and</w:t>
      </w:r>
      <w:r w:rsidRPr="00BE3F8D">
        <w:t xml:space="preserve"> the GST pool. </w:t>
      </w:r>
      <w:r>
        <w:t>In turn, c</w:t>
      </w:r>
      <w:r w:rsidRPr="00BE3F8D">
        <w:t xml:space="preserve">hanges in GST relativities are driven by the Commission’s assessment of </w:t>
      </w:r>
      <w:r>
        <w:t xml:space="preserve">states’ </w:t>
      </w:r>
      <w:r w:rsidRPr="00BE3F8D">
        <w:t xml:space="preserve">GST needs and the </w:t>
      </w:r>
      <w:r w:rsidR="002654C7">
        <w:t>application</w:t>
      </w:r>
      <w:r w:rsidRPr="00BE3F8D">
        <w:t xml:space="preserve"> of the 2018 </w:t>
      </w:r>
      <w:r w:rsidR="009A5398" w:rsidRPr="00B77163">
        <w:t xml:space="preserve">legislated changes to determining </w:t>
      </w:r>
      <w:r w:rsidR="009A5398" w:rsidRPr="002654C7">
        <w:t>relativities</w:t>
      </w:r>
      <w:r w:rsidRPr="00BE3F8D">
        <w:t>.</w:t>
      </w:r>
    </w:p>
    <w:p w14:paraId="45A51924" w14:textId="77777777" w:rsidR="002373FE" w:rsidRPr="00BE3F8D" w:rsidRDefault="002373FE" w:rsidP="002373FE">
      <w:r w:rsidRPr="00BE3F8D">
        <w:t>This chapter focuses on the main drivers of change</w:t>
      </w:r>
      <w:r>
        <w:t>s</w:t>
      </w:r>
      <w:r w:rsidRPr="00BE3F8D">
        <w:t xml:space="preserve"> to assessed GST needs</w:t>
      </w:r>
      <w:r>
        <w:t>.</w:t>
      </w:r>
      <w:r w:rsidRPr="00BE3F8D" w:rsidDel="002B2681">
        <w:t xml:space="preserve"> </w:t>
      </w:r>
      <w:r w:rsidRPr="003A6B55">
        <w:t>Table 2</w:t>
      </w:r>
      <w:r w:rsidRPr="003A6B55">
        <w:noBreakHyphen/>
        <w:t>1</w:t>
      </w:r>
      <w:r>
        <w:t xml:space="preserve"> shows that, at the highest level, c</w:t>
      </w:r>
      <w:r w:rsidRPr="00BE3F8D">
        <w:t xml:space="preserve">hanges occurred for 3 reasons. </w:t>
      </w:r>
    </w:p>
    <w:p w14:paraId="69C25F01" w14:textId="5E806190" w:rsidR="002373FE" w:rsidRPr="00071413" w:rsidRDefault="002373FE" w:rsidP="00345974">
      <w:pPr>
        <w:pStyle w:val="CGCBulletPoints"/>
        <w:rPr>
          <w:szCs w:val="20"/>
        </w:rPr>
      </w:pPr>
      <w:r w:rsidRPr="00BE3F8D">
        <w:t>Method changes – as part of the 2025 Review, the Commission delay</w:t>
      </w:r>
      <w:r>
        <w:t>ed</w:t>
      </w:r>
      <w:r w:rsidRPr="00BE3F8D">
        <w:t xml:space="preserve"> implementing changes to the justice assessment </w:t>
      </w:r>
      <w:r>
        <w:t>until</w:t>
      </w:r>
      <w:r w:rsidRPr="00BE3F8D">
        <w:t xml:space="preserve"> the 2026 Update.</w:t>
      </w:r>
      <w:r w:rsidRPr="00071413">
        <w:t xml:space="preserve"> </w:t>
      </w:r>
      <w:r w:rsidRPr="004B09D4">
        <w:rPr>
          <w:rStyle w:val="cf01"/>
          <w:rFonts w:ascii="Work Sans" w:hAnsi="Work Sans"/>
          <w:sz w:val="20"/>
          <w:szCs w:val="20"/>
        </w:rPr>
        <w:t>The Commission also made a data-related method change to the urban transport assessment</w:t>
      </w:r>
      <w:r w:rsidR="009963A8">
        <w:rPr>
          <w:rStyle w:val="cf01"/>
          <w:rFonts w:ascii="Work Sans" w:hAnsi="Work Sans"/>
          <w:sz w:val="20"/>
          <w:szCs w:val="20"/>
        </w:rPr>
        <w:t>.</w:t>
      </w:r>
    </w:p>
    <w:p w14:paraId="60C39CE7" w14:textId="77777777" w:rsidR="002373FE" w:rsidRPr="00BE3F8D" w:rsidRDefault="002373FE" w:rsidP="00345974">
      <w:pPr>
        <w:pStyle w:val="CGCBulletPoints"/>
      </w:pPr>
      <w:r w:rsidRPr="00BE3F8D">
        <w:t xml:space="preserve">Revisions – data providers released updated data for 2021–22 to 2023–24, which </w:t>
      </w:r>
      <w:r>
        <w:t>have been</w:t>
      </w:r>
      <w:r w:rsidRPr="00BE3F8D">
        <w:t xml:space="preserve"> incorporated.</w:t>
      </w:r>
    </w:p>
    <w:p w14:paraId="4F57D533" w14:textId="4151C544" w:rsidR="002373FE" w:rsidRPr="00BE3F8D" w:rsidRDefault="002373FE" w:rsidP="00345974">
      <w:pPr>
        <w:pStyle w:val="CGCBulletPoints"/>
      </w:pPr>
      <w:r w:rsidRPr="00BE3F8D">
        <w:t xml:space="preserve">Changes in state circumstances – states’ economic and socio-demographic circumstances change over time. </w:t>
      </w:r>
      <w:r>
        <w:t>The Commission uses a 3-year lagged</w:t>
      </w:r>
      <w:r w:rsidR="00AE2DAA">
        <w:t>,</w:t>
      </w:r>
      <w:r>
        <w:t xml:space="preserve"> moving average of state fiscal capacities. </w:t>
      </w:r>
      <w:r w:rsidRPr="00BE3F8D">
        <w:t xml:space="preserve">For the 2026–27 GST relativities, states’ GST needs </w:t>
      </w:r>
      <w:r>
        <w:t>have been</w:t>
      </w:r>
      <w:r w:rsidRPr="00BE3F8D">
        <w:t xml:space="preserve"> assessed using data </w:t>
      </w:r>
      <w:r>
        <w:t>from</w:t>
      </w:r>
      <w:r w:rsidRPr="00BE3F8D">
        <w:t xml:space="preserve"> 2022–23 to 2024–25.</w:t>
      </w:r>
      <w:r w:rsidRPr="00BE3F8D" w:rsidDel="00522E83">
        <w:t xml:space="preserve"> </w:t>
      </w:r>
      <w:r>
        <w:t>There are significant d</w:t>
      </w:r>
      <w:r w:rsidRPr="00BE3F8D">
        <w:t>ifferences in state circumstances between the year brought into the 3</w:t>
      </w:r>
      <w:r w:rsidRPr="00BE3F8D">
        <w:noBreakHyphen/>
        <w:t>year average (2024–25) and the year removed (2021–22)</w:t>
      </w:r>
      <w:r>
        <w:t>.</w:t>
      </w:r>
      <w:r w:rsidRPr="00BE3F8D">
        <w:t xml:space="preserve"> </w:t>
      </w:r>
      <w:r>
        <w:t>The difference in state circumstances between these 2 years</w:t>
      </w:r>
      <w:r w:rsidRPr="00BE3F8D">
        <w:t xml:space="preserve"> </w:t>
      </w:r>
      <w:r>
        <w:t>has the largest total impact on estimated GST distribution</w:t>
      </w:r>
      <w:r w:rsidRPr="00BE3F8D">
        <w:t>.</w:t>
      </w:r>
    </w:p>
    <w:p w14:paraId="779AE129" w14:textId="77777777" w:rsidR="002373FE" w:rsidRDefault="002373FE" w:rsidP="009963A8">
      <w:pPr>
        <w:pStyle w:val="CGC2025Caption"/>
      </w:pPr>
      <w:r w:rsidRPr="00FA7B18">
        <w:t xml:space="preserve">Table 2-1 </w:t>
      </w:r>
      <w:r w:rsidRPr="00FA7B18">
        <w:tab/>
        <w:t>Change in assessed GST needs by source of change, 2025–</w:t>
      </w:r>
      <w:r w:rsidRPr="00FA7B18">
        <w:rPr>
          <w:rFonts w:ascii="Times New Roman" w:hAnsi="Times New Roman" w:cs="Times New Roman" w:hint="eastAsia"/>
          <w:rtl/>
        </w:rPr>
        <w:t>‍</w:t>
      </w:r>
      <w:r w:rsidRPr="00FA7B18">
        <w:t>26 to 2026–</w:t>
      </w:r>
      <w:r w:rsidRPr="00FA7B18">
        <w:rPr>
          <w:rFonts w:ascii="Times New Roman" w:hAnsi="Times New Roman" w:cs="Times New Roman" w:hint="eastAsia"/>
          <w:rtl/>
        </w:rPr>
        <w:t>‍</w:t>
      </w:r>
      <w:r w:rsidRPr="00FA7B18">
        <w:t>27</w:t>
      </w:r>
    </w:p>
    <w:tbl>
      <w:tblPr>
        <w:tblW w:w="9040" w:type="dxa"/>
        <w:tblLook w:val="04A0" w:firstRow="1" w:lastRow="0" w:firstColumn="1" w:lastColumn="0" w:noHBand="0" w:noVBand="1"/>
      </w:tblPr>
      <w:tblGrid>
        <w:gridCol w:w="2920"/>
        <w:gridCol w:w="680"/>
        <w:gridCol w:w="680"/>
        <w:gridCol w:w="680"/>
        <w:gridCol w:w="680"/>
        <w:gridCol w:w="680"/>
        <w:gridCol w:w="680"/>
        <w:gridCol w:w="680"/>
        <w:gridCol w:w="680"/>
        <w:gridCol w:w="680"/>
      </w:tblGrid>
      <w:tr w:rsidR="001808A1" w:rsidRPr="001808A1" w14:paraId="3836E1BC" w14:textId="77777777" w:rsidTr="001808A1">
        <w:trPr>
          <w:trHeight w:val="555"/>
        </w:trPr>
        <w:tc>
          <w:tcPr>
            <w:tcW w:w="2920" w:type="dxa"/>
            <w:tcBorders>
              <w:top w:val="nil"/>
              <w:left w:val="nil"/>
              <w:bottom w:val="nil"/>
              <w:right w:val="nil"/>
            </w:tcBorders>
            <w:shd w:val="clear" w:color="000000" w:fill="006991"/>
            <w:vAlign w:val="center"/>
            <w:hideMark/>
          </w:tcPr>
          <w:p w14:paraId="067D9278" w14:textId="77777777" w:rsidR="001808A1" w:rsidRPr="001808A1" w:rsidRDefault="001808A1" w:rsidP="001808A1">
            <w:pPr>
              <w:tabs>
                <w:tab w:val="clear" w:pos="567"/>
              </w:tabs>
              <w:spacing w:before="0" w:line="240" w:lineRule="auto"/>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 </w:t>
            </w:r>
          </w:p>
        </w:tc>
        <w:tc>
          <w:tcPr>
            <w:tcW w:w="680" w:type="dxa"/>
            <w:tcBorders>
              <w:top w:val="nil"/>
              <w:left w:val="nil"/>
              <w:bottom w:val="nil"/>
              <w:right w:val="nil"/>
            </w:tcBorders>
            <w:shd w:val="clear" w:color="000000" w:fill="006991"/>
            <w:vAlign w:val="center"/>
            <w:hideMark/>
          </w:tcPr>
          <w:p w14:paraId="1A68AE35"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3CEFEBF7"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5B3C2BDC"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2E6B7B8D"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6C6FA7E3"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12889D3D"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1E04E4AF"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3CC5D7E7"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0CF899F4"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808A1">
              <w:rPr>
                <w:rFonts w:ascii="Open Sans Semibold" w:eastAsia="Times New Roman" w:hAnsi="Open Sans Semibold" w:cs="Open Sans Semibold"/>
                <w:color w:val="FFFFFF"/>
                <w:sz w:val="16"/>
                <w:szCs w:val="16"/>
                <w:lang w:eastAsia="en-AU"/>
              </w:rPr>
              <w:t>Total effect</w:t>
            </w:r>
          </w:p>
        </w:tc>
      </w:tr>
      <w:tr w:rsidR="001808A1" w:rsidRPr="001808A1" w14:paraId="42E4A9F4" w14:textId="77777777" w:rsidTr="001808A1">
        <w:trPr>
          <w:trHeight w:val="260"/>
        </w:trPr>
        <w:tc>
          <w:tcPr>
            <w:tcW w:w="2920" w:type="dxa"/>
            <w:tcBorders>
              <w:top w:val="single" w:sz="4" w:space="0" w:color="ADD6EA"/>
              <w:left w:val="nil"/>
              <w:bottom w:val="nil"/>
              <w:right w:val="nil"/>
            </w:tcBorders>
            <w:shd w:val="clear" w:color="000000" w:fill="B6D5E4"/>
            <w:vAlign w:val="bottom"/>
            <w:hideMark/>
          </w:tcPr>
          <w:p w14:paraId="2C7EB6B3" w14:textId="77777777" w:rsidR="001808A1" w:rsidRPr="001808A1" w:rsidRDefault="001808A1" w:rsidP="001808A1">
            <w:pPr>
              <w:tabs>
                <w:tab w:val="clear" w:pos="567"/>
              </w:tabs>
              <w:spacing w:before="0" w:line="240" w:lineRule="auto"/>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vAlign w:val="center"/>
            <w:hideMark/>
          </w:tcPr>
          <w:p w14:paraId="1433BCDC"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1FE0F082"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137761A1"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65E90C04"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387EEDF0"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787AED05"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1EE3DB0B"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26570326"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vAlign w:val="center"/>
            <w:hideMark/>
          </w:tcPr>
          <w:p w14:paraId="73208D96"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$m</w:t>
            </w:r>
          </w:p>
        </w:tc>
      </w:tr>
      <w:tr w:rsidR="001808A1" w:rsidRPr="001808A1" w14:paraId="54515DFD" w14:textId="77777777" w:rsidTr="001808A1">
        <w:trPr>
          <w:trHeight w:val="315"/>
        </w:trPr>
        <w:tc>
          <w:tcPr>
            <w:tcW w:w="2920" w:type="dxa"/>
            <w:tcBorders>
              <w:top w:val="single" w:sz="4" w:space="0" w:color="ADD6EA"/>
              <w:left w:val="nil"/>
              <w:bottom w:val="nil"/>
              <w:right w:val="nil"/>
            </w:tcBorders>
            <w:shd w:val="clear" w:color="000000" w:fill="FFFFFF"/>
            <w:vAlign w:val="bottom"/>
            <w:hideMark/>
          </w:tcPr>
          <w:p w14:paraId="5958D639" w14:textId="77777777" w:rsidR="001808A1" w:rsidRPr="001808A1" w:rsidRDefault="001808A1" w:rsidP="001808A1">
            <w:pPr>
              <w:tabs>
                <w:tab w:val="clear" w:pos="567"/>
              </w:tabs>
              <w:spacing w:before="0" w:line="240" w:lineRule="auto"/>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Method changes</w:t>
            </w:r>
          </w:p>
        </w:tc>
        <w:tc>
          <w:tcPr>
            <w:tcW w:w="680" w:type="dxa"/>
            <w:tcBorders>
              <w:top w:val="single" w:sz="4" w:space="0" w:color="ADD6EA"/>
              <w:left w:val="nil"/>
              <w:bottom w:val="nil"/>
              <w:right w:val="nil"/>
            </w:tcBorders>
            <w:shd w:val="clear" w:color="000000" w:fill="FFFFFF"/>
            <w:vAlign w:val="bottom"/>
            <w:hideMark/>
          </w:tcPr>
          <w:p w14:paraId="401F27B7"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145</w:t>
            </w:r>
          </w:p>
        </w:tc>
        <w:tc>
          <w:tcPr>
            <w:tcW w:w="680" w:type="dxa"/>
            <w:tcBorders>
              <w:top w:val="single" w:sz="4" w:space="0" w:color="ADD6EA"/>
              <w:left w:val="nil"/>
              <w:bottom w:val="nil"/>
              <w:right w:val="nil"/>
            </w:tcBorders>
            <w:shd w:val="clear" w:color="000000" w:fill="FFFFFF"/>
            <w:vAlign w:val="bottom"/>
            <w:hideMark/>
          </w:tcPr>
          <w:p w14:paraId="06437D9D"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-197</w:t>
            </w:r>
          </w:p>
        </w:tc>
        <w:tc>
          <w:tcPr>
            <w:tcW w:w="680" w:type="dxa"/>
            <w:tcBorders>
              <w:top w:val="single" w:sz="4" w:space="0" w:color="ADD6EA"/>
              <w:left w:val="nil"/>
              <w:bottom w:val="nil"/>
              <w:right w:val="nil"/>
            </w:tcBorders>
            <w:shd w:val="clear" w:color="000000" w:fill="FFFFFF"/>
            <w:vAlign w:val="bottom"/>
            <w:hideMark/>
          </w:tcPr>
          <w:p w14:paraId="66369340"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113</w:t>
            </w:r>
          </w:p>
        </w:tc>
        <w:tc>
          <w:tcPr>
            <w:tcW w:w="680" w:type="dxa"/>
            <w:tcBorders>
              <w:top w:val="single" w:sz="4" w:space="0" w:color="ADD6EA"/>
              <w:left w:val="nil"/>
              <w:bottom w:val="nil"/>
              <w:right w:val="nil"/>
            </w:tcBorders>
            <w:shd w:val="clear" w:color="000000" w:fill="FFFFFF"/>
            <w:vAlign w:val="bottom"/>
            <w:hideMark/>
          </w:tcPr>
          <w:p w14:paraId="56BBE653"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-63</w:t>
            </w:r>
          </w:p>
        </w:tc>
        <w:tc>
          <w:tcPr>
            <w:tcW w:w="680" w:type="dxa"/>
            <w:tcBorders>
              <w:top w:val="single" w:sz="4" w:space="0" w:color="ADD6EA"/>
              <w:left w:val="nil"/>
              <w:bottom w:val="nil"/>
              <w:right w:val="nil"/>
            </w:tcBorders>
            <w:shd w:val="clear" w:color="000000" w:fill="FFFFFF"/>
            <w:vAlign w:val="bottom"/>
            <w:hideMark/>
          </w:tcPr>
          <w:p w14:paraId="017FE376"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-40</w:t>
            </w:r>
          </w:p>
        </w:tc>
        <w:tc>
          <w:tcPr>
            <w:tcW w:w="680" w:type="dxa"/>
            <w:tcBorders>
              <w:top w:val="single" w:sz="4" w:space="0" w:color="ADD6EA"/>
              <w:left w:val="nil"/>
              <w:bottom w:val="nil"/>
              <w:right w:val="nil"/>
            </w:tcBorders>
            <w:shd w:val="clear" w:color="000000" w:fill="FFFFFF"/>
            <w:vAlign w:val="bottom"/>
            <w:hideMark/>
          </w:tcPr>
          <w:p w14:paraId="2245C929"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66</w:t>
            </w:r>
          </w:p>
        </w:tc>
        <w:tc>
          <w:tcPr>
            <w:tcW w:w="680" w:type="dxa"/>
            <w:tcBorders>
              <w:top w:val="single" w:sz="4" w:space="0" w:color="ADD6EA"/>
              <w:left w:val="nil"/>
              <w:bottom w:val="nil"/>
              <w:right w:val="nil"/>
            </w:tcBorders>
            <w:shd w:val="clear" w:color="000000" w:fill="FFFFFF"/>
            <w:vAlign w:val="bottom"/>
            <w:hideMark/>
          </w:tcPr>
          <w:p w14:paraId="6A42F293"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-15</w:t>
            </w:r>
          </w:p>
        </w:tc>
        <w:tc>
          <w:tcPr>
            <w:tcW w:w="680" w:type="dxa"/>
            <w:tcBorders>
              <w:top w:val="single" w:sz="4" w:space="0" w:color="ADD6EA"/>
              <w:left w:val="nil"/>
              <w:bottom w:val="nil"/>
              <w:right w:val="nil"/>
            </w:tcBorders>
            <w:shd w:val="clear" w:color="000000" w:fill="FFFFFF"/>
            <w:vAlign w:val="bottom"/>
            <w:hideMark/>
          </w:tcPr>
          <w:p w14:paraId="2560DE16"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-7</w:t>
            </w:r>
          </w:p>
        </w:tc>
        <w:tc>
          <w:tcPr>
            <w:tcW w:w="680" w:type="dxa"/>
            <w:tcBorders>
              <w:top w:val="single" w:sz="4" w:space="0" w:color="ADD6EA"/>
              <w:left w:val="nil"/>
              <w:bottom w:val="nil"/>
              <w:right w:val="nil"/>
            </w:tcBorders>
            <w:shd w:val="clear" w:color="000000" w:fill="FFFFFF"/>
            <w:vAlign w:val="bottom"/>
            <w:hideMark/>
          </w:tcPr>
          <w:p w14:paraId="1034CAB6"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323</w:t>
            </w:r>
          </w:p>
        </w:tc>
      </w:tr>
      <w:tr w:rsidR="001808A1" w:rsidRPr="001808A1" w14:paraId="7EB20278" w14:textId="77777777" w:rsidTr="001808A1">
        <w:trPr>
          <w:trHeight w:val="315"/>
        </w:trPr>
        <w:tc>
          <w:tcPr>
            <w:tcW w:w="2920" w:type="dxa"/>
            <w:tcBorders>
              <w:top w:val="single" w:sz="4" w:space="0" w:color="ADD6EA"/>
              <w:left w:val="nil"/>
              <w:bottom w:val="nil"/>
              <w:right w:val="nil"/>
            </w:tcBorders>
            <w:shd w:val="clear" w:color="000000" w:fill="FFFFFF"/>
            <w:vAlign w:val="bottom"/>
            <w:hideMark/>
          </w:tcPr>
          <w:p w14:paraId="508FA3C0" w14:textId="77777777" w:rsidR="001808A1" w:rsidRPr="001808A1" w:rsidRDefault="001808A1" w:rsidP="001808A1">
            <w:pPr>
              <w:tabs>
                <w:tab w:val="clear" w:pos="567"/>
              </w:tabs>
              <w:spacing w:before="0" w:line="240" w:lineRule="auto"/>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Data revisions (a)</w:t>
            </w:r>
          </w:p>
        </w:tc>
        <w:tc>
          <w:tcPr>
            <w:tcW w:w="680" w:type="dxa"/>
            <w:tcBorders>
              <w:top w:val="single" w:sz="4" w:space="0" w:color="ADD6EA"/>
              <w:left w:val="nil"/>
              <w:bottom w:val="nil"/>
              <w:right w:val="nil"/>
            </w:tcBorders>
            <w:shd w:val="clear" w:color="000000" w:fill="FFFFFF"/>
            <w:vAlign w:val="bottom"/>
            <w:hideMark/>
          </w:tcPr>
          <w:p w14:paraId="3189EBB8"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-492</w:t>
            </w:r>
          </w:p>
        </w:tc>
        <w:tc>
          <w:tcPr>
            <w:tcW w:w="680" w:type="dxa"/>
            <w:tcBorders>
              <w:top w:val="single" w:sz="4" w:space="0" w:color="ADD6EA"/>
              <w:left w:val="nil"/>
              <w:bottom w:val="nil"/>
              <w:right w:val="nil"/>
            </w:tcBorders>
            <w:shd w:val="clear" w:color="000000" w:fill="FFFFFF"/>
            <w:vAlign w:val="bottom"/>
            <w:hideMark/>
          </w:tcPr>
          <w:p w14:paraId="1324CC0F"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645</w:t>
            </w:r>
          </w:p>
        </w:tc>
        <w:tc>
          <w:tcPr>
            <w:tcW w:w="680" w:type="dxa"/>
            <w:tcBorders>
              <w:top w:val="single" w:sz="4" w:space="0" w:color="ADD6EA"/>
              <w:left w:val="nil"/>
              <w:bottom w:val="nil"/>
              <w:right w:val="nil"/>
            </w:tcBorders>
            <w:shd w:val="clear" w:color="000000" w:fill="FFFFFF"/>
            <w:vAlign w:val="bottom"/>
            <w:hideMark/>
          </w:tcPr>
          <w:p w14:paraId="05B5299A"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59</w:t>
            </w:r>
          </w:p>
        </w:tc>
        <w:tc>
          <w:tcPr>
            <w:tcW w:w="680" w:type="dxa"/>
            <w:tcBorders>
              <w:top w:val="single" w:sz="4" w:space="0" w:color="ADD6EA"/>
              <w:left w:val="nil"/>
              <w:bottom w:val="nil"/>
              <w:right w:val="nil"/>
            </w:tcBorders>
            <w:shd w:val="clear" w:color="000000" w:fill="FFFFFF"/>
            <w:vAlign w:val="bottom"/>
            <w:hideMark/>
          </w:tcPr>
          <w:p w14:paraId="1209BDBC"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-141</w:t>
            </w:r>
          </w:p>
        </w:tc>
        <w:tc>
          <w:tcPr>
            <w:tcW w:w="680" w:type="dxa"/>
            <w:tcBorders>
              <w:top w:val="single" w:sz="4" w:space="0" w:color="ADD6EA"/>
              <w:left w:val="nil"/>
              <w:bottom w:val="nil"/>
              <w:right w:val="nil"/>
            </w:tcBorders>
            <w:shd w:val="clear" w:color="000000" w:fill="FFFFFF"/>
            <w:vAlign w:val="bottom"/>
            <w:hideMark/>
          </w:tcPr>
          <w:p w14:paraId="1AC07F09"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-25</w:t>
            </w:r>
          </w:p>
        </w:tc>
        <w:tc>
          <w:tcPr>
            <w:tcW w:w="680" w:type="dxa"/>
            <w:tcBorders>
              <w:top w:val="single" w:sz="4" w:space="0" w:color="ADD6EA"/>
              <w:left w:val="nil"/>
              <w:bottom w:val="nil"/>
              <w:right w:val="nil"/>
            </w:tcBorders>
            <w:shd w:val="clear" w:color="000000" w:fill="FFFFFF"/>
            <w:vAlign w:val="bottom"/>
            <w:hideMark/>
          </w:tcPr>
          <w:p w14:paraId="65D63669"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-112</w:t>
            </w:r>
          </w:p>
        </w:tc>
        <w:tc>
          <w:tcPr>
            <w:tcW w:w="680" w:type="dxa"/>
            <w:tcBorders>
              <w:top w:val="single" w:sz="4" w:space="0" w:color="ADD6EA"/>
              <w:left w:val="nil"/>
              <w:bottom w:val="nil"/>
              <w:right w:val="nil"/>
            </w:tcBorders>
            <w:shd w:val="clear" w:color="000000" w:fill="FFFFFF"/>
            <w:vAlign w:val="bottom"/>
            <w:hideMark/>
          </w:tcPr>
          <w:p w14:paraId="65F2588C"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51</w:t>
            </w:r>
          </w:p>
        </w:tc>
        <w:tc>
          <w:tcPr>
            <w:tcW w:w="680" w:type="dxa"/>
            <w:tcBorders>
              <w:top w:val="single" w:sz="4" w:space="0" w:color="ADD6EA"/>
              <w:left w:val="nil"/>
              <w:bottom w:val="nil"/>
              <w:right w:val="nil"/>
            </w:tcBorders>
            <w:shd w:val="clear" w:color="000000" w:fill="FFFFFF"/>
            <w:vAlign w:val="bottom"/>
            <w:hideMark/>
          </w:tcPr>
          <w:p w14:paraId="1D3BDD1C"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16</w:t>
            </w:r>
          </w:p>
        </w:tc>
        <w:tc>
          <w:tcPr>
            <w:tcW w:w="680" w:type="dxa"/>
            <w:tcBorders>
              <w:top w:val="single" w:sz="4" w:space="0" w:color="ADD6EA"/>
              <w:left w:val="nil"/>
              <w:bottom w:val="nil"/>
              <w:right w:val="nil"/>
            </w:tcBorders>
            <w:shd w:val="clear" w:color="000000" w:fill="FFFFFF"/>
            <w:vAlign w:val="bottom"/>
            <w:hideMark/>
          </w:tcPr>
          <w:p w14:paraId="1C9E4461"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770</w:t>
            </w:r>
          </w:p>
        </w:tc>
      </w:tr>
      <w:tr w:rsidR="001808A1" w:rsidRPr="001808A1" w14:paraId="67FE48AE" w14:textId="77777777" w:rsidTr="001808A1">
        <w:trPr>
          <w:trHeight w:val="315"/>
        </w:trPr>
        <w:tc>
          <w:tcPr>
            <w:tcW w:w="2920" w:type="dxa"/>
            <w:tcBorders>
              <w:top w:val="single" w:sz="4" w:space="0" w:color="ADD6EA"/>
              <w:left w:val="nil"/>
              <w:bottom w:val="nil"/>
              <w:right w:val="nil"/>
            </w:tcBorders>
            <w:shd w:val="clear" w:color="000000" w:fill="FFFFFF"/>
            <w:vAlign w:val="bottom"/>
            <w:hideMark/>
          </w:tcPr>
          <w:p w14:paraId="0E15AF81" w14:textId="6BAD7A54" w:rsidR="001808A1" w:rsidRPr="001808A1" w:rsidRDefault="001808A1" w:rsidP="001808A1">
            <w:pPr>
              <w:tabs>
                <w:tab w:val="clear" w:pos="567"/>
              </w:tabs>
              <w:spacing w:before="0" w:line="240" w:lineRule="auto"/>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Changes in circumstances (b)</w:t>
            </w:r>
          </w:p>
        </w:tc>
        <w:tc>
          <w:tcPr>
            <w:tcW w:w="680" w:type="dxa"/>
            <w:tcBorders>
              <w:top w:val="single" w:sz="4" w:space="0" w:color="ADD6EA"/>
              <w:left w:val="nil"/>
              <w:bottom w:val="nil"/>
              <w:right w:val="nil"/>
            </w:tcBorders>
            <w:shd w:val="clear" w:color="000000" w:fill="FFFFFF"/>
            <w:vAlign w:val="bottom"/>
            <w:hideMark/>
          </w:tcPr>
          <w:p w14:paraId="70FAAFB8"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-1,182</w:t>
            </w:r>
          </w:p>
        </w:tc>
        <w:tc>
          <w:tcPr>
            <w:tcW w:w="680" w:type="dxa"/>
            <w:tcBorders>
              <w:top w:val="single" w:sz="4" w:space="0" w:color="ADD6EA"/>
              <w:left w:val="nil"/>
              <w:bottom w:val="nil"/>
              <w:right w:val="nil"/>
            </w:tcBorders>
            <w:shd w:val="clear" w:color="000000" w:fill="FFFFFF"/>
            <w:vAlign w:val="bottom"/>
            <w:hideMark/>
          </w:tcPr>
          <w:p w14:paraId="5C340719"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-888</w:t>
            </w:r>
          </w:p>
        </w:tc>
        <w:tc>
          <w:tcPr>
            <w:tcW w:w="680" w:type="dxa"/>
            <w:tcBorders>
              <w:top w:val="single" w:sz="4" w:space="0" w:color="ADD6EA"/>
              <w:left w:val="nil"/>
              <w:bottom w:val="nil"/>
              <w:right w:val="nil"/>
            </w:tcBorders>
            <w:shd w:val="clear" w:color="000000" w:fill="FFFFFF"/>
            <w:vAlign w:val="bottom"/>
            <w:hideMark/>
          </w:tcPr>
          <w:p w14:paraId="53014198"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1,198</w:t>
            </w:r>
          </w:p>
        </w:tc>
        <w:tc>
          <w:tcPr>
            <w:tcW w:w="680" w:type="dxa"/>
            <w:tcBorders>
              <w:top w:val="single" w:sz="4" w:space="0" w:color="ADD6EA"/>
              <w:left w:val="nil"/>
              <w:bottom w:val="nil"/>
              <w:right w:val="nil"/>
            </w:tcBorders>
            <w:shd w:val="clear" w:color="000000" w:fill="FFFFFF"/>
            <w:vAlign w:val="bottom"/>
            <w:hideMark/>
          </w:tcPr>
          <w:p w14:paraId="723E3331"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921</w:t>
            </w:r>
          </w:p>
        </w:tc>
        <w:tc>
          <w:tcPr>
            <w:tcW w:w="680" w:type="dxa"/>
            <w:tcBorders>
              <w:top w:val="single" w:sz="4" w:space="0" w:color="ADD6EA"/>
              <w:left w:val="nil"/>
              <w:bottom w:val="nil"/>
              <w:right w:val="nil"/>
            </w:tcBorders>
            <w:shd w:val="clear" w:color="000000" w:fill="FFFFFF"/>
            <w:vAlign w:val="bottom"/>
            <w:hideMark/>
          </w:tcPr>
          <w:p w14:paraId="573EC9DF"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-188</w:t>
            </w:r>
          </w:p>
        </w:tc>
        <w:tc>
          <w:tcPr>
            <w:tcW w:w="680" w:type="dxa"/>
            <w:tcBorders>
              <w:top w:val="single" w:sz="4" w:space="0" w:color="ADD6EA"/>
              <w:left w:val="nil"/>
              <w:bottom w:val="nil"/>
              <w:right w:val="nil"/>
            </w:tcBorders>
            <w:shd w:val="clear" w:color="000000" w:fill="FFFFFF"/>
            <w:vAlign w:val="bottom"/>
            <w:hideMark/>
          </w:tcPr>
          <w:p w14:paraId="1ED35F95"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124</w:t>
            </w:r>
          </w:p>
        </w:tc>
        <w:tc>
          <w:tcPr>
            <w:tcW w:w="680" w:type="dxa"/>
            <w:tcBorders>
              <w:top w:val="single" w:sz="4" w:space="0" w:color="ADD6EA"/>
              <w:left w:val="nil"/>
              <w:bottom w:val="nil"/>
              <w:right w:val="nil"/>
            </w:tcBorders>
            <w:shd w:val="clear" w:color="000000" w:fill="FFFFFF"/>
            <w:vAlign w:val="bottom"/>
            <w:hideMark/>
          </w:tcPr>
          <w:p w14:paraId="2E069C5D"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-67</w:t>
            </w:r>
          </w:p>
        </w:tc>
        <w:tc>
          <w:tcPr>
            <w:tcW w:w="680" w:type="dxa"/>
            <w:tcBorders>
              <w:top w:val="single" w:sz="4" w:space="0" w:color="ADD6EA"/>
              <w:left w:val="nil"/>
              <w:bottom w:val="nil"/>
              <w:right w:val="nil"/>
            </w:tcBorders>
            <w:shd w:val="clear" w:color="000000" w:fill="FFFFFF"/>
            <w:vAlign w:val="bottom"/>
            <w:hideMark/>
          </w:tcPr>
          <w:p w14:paraId="4EA96F54"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80</w:t>
            </w:r>
          </w:p>
        </w:tc>
        <w:tc>
          <w:tcPr>
            <w:tcW w:w="680" w:type="dxa"/>
            <w:tcBorders>
              <w:top w:val="single" w:sz="4" w:space="0" w:color="ADD6EA"/>
              <w:left w:val="nil"/>
              <w:bottom w:val="nil"/>
              <w:right w:val="nil"/>
            </w:tcBorders>
            <w:shd w:val="clear" w:color="000000" w:fill="FFFFFF"/>
            <w:vAlign w:val="bottom"/>
            <w:hideMark/>
          </w:tcPr>
          <w:p w14:paraId="5520D7A9" w14:textId="77777777" w:rsidR="001808A1" w:rsidRPr="001808A1" w:rsidRDefault="001808A1" w:rsidP="001808A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808A1">
              <w:rPr>
                <w:rFonts w:ascii="Open Sans Light" w:eastAsia="Times New Roman" w:hAnsi="Open Sans Light" w:cs="Open Sans Light"/>
                <w:color w:val="000000"/>
                <w:sz w:val="16"/>
                <w:szCs w:val="16"/>
                <w:lang w:eastAsia="en-AU"/>
              </w:rPr>
              <w:t>2,324</w:t>
            </w:r>
          </w:p>
        </w:tc>
      </w:tr>
      <w:tr w:rsidR="001808A1" w:rsidRPr="001808A1" w14:paraId="4C122015" w14:textId="77777777" w:rsidTr="001808A1">
        <w:trPr>
          <w:trHeight w:val="315"/>
        </w:trPr>
        <w:tc>
          <w:tcPr>
            <w:tcW w:w="2920" w:type="dxa"/>
            <w:tcBorders>
              <w:top w:val="single" w:sz="4" w:space="0" w:color="ADD6EA"/>
              <w:left w:val="nil"/>
              <w:bottom w:val="single" w:sz="4" w:space="0" w:color="ADD6EA"/>
              <w:right w:val="nil"/>
            </w:tcBorders>
            <w:shd w:val="clear" w:color="000000" w:fill="D6E7F0"/>
            <w:vAlign w:val="bottom"/>
            <w:hideMark/>
          </w:tcPr>
          <w:p w14:paraId="213736B2" w14:textId="77777777" w:rsidR="001808A1" w:rsidRPr="001808A1" w:rsidRDefault="001808A1" w:rsidP="001808A1">
            <w:pPr>
              <w:tabs>
                <w:tab w:val="clear" w:pos="567"/>
              </w:tabs>
              <w:spacing w:before="0" w:line="240" w:lineRule="auto"/>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Total change</w:t>
            </w:r>
          </w:p>
        </w:tc>
        <w:tc>
          <w:tcPr>
            <w:tcW w:w="680" w:type="dxa"/>
            <w:tcBorders>
              <w:top w:val="single" w:sz="4" w:space="0" w:color="ADD6EA"/>
              <w:left w:val="nil"/>
              <w:bottom w:val="single" w:sz="4" w:space="0" w:color="ADD6EA"/>
              <w:right w:val="nil"/>
            </w:tcBorders>
            <w:shd w:val="clear" w:color="000000" w:fill="D6E7F0"/>
            <w:vAlign w:val="bottom"/>
            <w:hideMark/>
          </w:tcPr>
          <w:p w14:paraId="5E3A0B53"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-1,530</w:t>
            </w:r>
          </w:p>
        </w:tc>
        <w:tc>
          <w:tcPr>
            <w:tcW w:w="680" w:type="dxa"/>
            <w:tcBorders>
              <w:top w:val="single" w:sz="4" w:space="0" w:color="ADD6EA"/>
              <w:left w:val="nil"/>
              <w:bottom w:val="single" w:sz="4" w:space="0" w:color="ADD6EA"/>
              <w:right w:val="nil"/>
            </w:tcBorders>
            <w:shd w:val="clear" w:color="000000" w:fill="D6E7F0"/>
            <w:vAlign w:val="bottom"/>
            <w:hideMark/>
          </w:tcPr>
          <w:p w14:paraId="73D165FC"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-440</w:t>
            </w:r>
          </w:p>
        </w:tc>
        <w:tc>
          <w:tcPr>
            <w:tcW w:w="680" w:type="dxa"/>
            <w:tcBorders>
              <w:top w:val="single" w:sz="4" w:space="0" w:color="ADD6EA"/>
              <w:left w:val="nil"/>
              <w:bottom w:val="single" w:sz="4" w:space="0" w:color="ADD6EA"/>
              <w:right w:val="nil"/>
            </w:tcBorders>
            <w:shd w:val="clear" w:color="000000" w:fill="D6E7F0"/>
            <w:vAlign w:val="bottom"/>
            <w:hideMark/>
          </w:tcPr>
          <w:p w14:paraId="434277E5"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1,370</w:t>
            </w:r>
          </w:p>
        </w:tc>
        <w:tc>
          <w:tcPr>
            <w:tcW w:w="680" w:type="dxa"/>
            <w:tcBorders>
              <w:top w:val="single" w:sz="4" w:space="0" w:color="ADD6EA"/>
              <w:left w:val="nil"/>
              <w:bottom w:val="single" w:sz="4" w:space="0" w:color="ADD6EA"/>
              <w:right w:val="nil"/>
            </w:tcBorders>
            <w:shd w:val="clear" w:color="000000" w:fill="D6E7F0"/>
            <w:vAlign w:val="bottom"/>
            <w:hideMark/>
          </w:tcPr>
          <w:p w14:paraId="67FE7610"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717</w:t>
            </w:r>
          </w:p>
        </w:tc>
        <w:tc>
          <w:tcPr>
            <w:tcW w:w="680" w:type="dxa"/>
            <w:tcBorders>
              <w:top w:val="single" w:sz="4" w:space="0" w:color="ADD6EA"/>
              <w:left w:val="nil"/>
              <w:bottom w:val="single" w:sz="4" w:space="0" w:color="ADD6EA"/>
              <w:right w:val="nil"/>
            </w:tcBorders>
            <w:shd w:val="clear" w:color="000000" w:fill="D6E7F0"/>
            <w:vAlign w:val="bottom"/>
            <w:hideMark/>
          </w:tcPr>
          <w:p w14:paraId="280436E7"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-253</w:t>
            </w:r>
          </w:p>
        </w:tc>
        <w:tc>
          <w:tcPr>
            <w:tcW w:w="680" w:type="dxa"/>
            <w:tcBorders>
              <w:top w:val="single" w:sz="4" w:space="0" w:color="ADD6EA"/>
              <w:left w:val="nil"/>
              <w:bottom w:val="single" w:sz="4" w:space="0" w:color="ADD6EA"/>
              <w:right w:val="nil"/>
            </w:tcBorders>
            <w:shd w:val="clear" w:color="000000" w:fill="D6E7F0"/>
            <w:vAlign w:val="bottom"/>
            <w:hideMark/>
          </w:tcPr>
          <w:p w14:paraId="44BB15C2"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77</w:t>
            </w:r>
          </w:p>
        </w:tc>
        <w:tc>
          <w:tcPr>
            <w:tcW w:w="680" w:type="dxa"/>
            <w:tcBorders>
              <w:top w:val="single" w:sz="4" w:space="0" w:color="ADD6EA"/>
              <w:left w:val="nil"/>
              <w:bottom w:val="single" w:sz="4" w:space="0" w:color="ADD6EA"/>
              <w:right w:val="nil"/>
            </w:tcBorders>
            <w:shd w:val="clear" w:color="000000" w:fill="D6E7F0"/>
            <w:vAlign w:val="bottom"/>
            <w:hideMark/>
          </w:tcPr>
          <w:p w14:paraId="583E8526"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-31</w:t>
            </w:r>
          </w:p>
        </w:tc>
        <w:tc>
          <w:tcPr>
            <w:tcW w:w="680" w:type="dxa"/>
            <w:tcBorders>
              <w:top w:val="single" w:sz="4" w:space="0" w:color="ADD6EA"/>
              <w:left w:val="nil"/>
              <w:bottom w:val="single" w:sz="4" w:space="0" w:color="ADD6EA"/>
              <w:right w:val="nil"/>
            </w:tcBorders>
            <w:shd w:val="clear" w:color="000000" w:fill="D6E7F0"/>
            <w:vAlign w:val="bottom"/>
            <w:hideMark/>
          </w:tcPr>
          <w:p w14:paraId="7186DC31"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89</w:t>
            </w:r>
          </w:p>
        </w:tc>
        <w:tc>
          <w:tcPr>
            <w:tcW w:w="680" w:type="dxa"/>
            <w:tcBorders>
              <w:top w:val="single" w:sz="4" w:space="0" w:color="ADD6EA"/>
              <w:left w:val="nil"/>
              <w:bottom w:val="single" w:sz="4" w:space="0" w:color="ADD6EA"/>
              <w:right w:val="nil"/>
            </w:tcBorders>
            <w:shd w:val="clear" w:color="000000" w:fill="D6E7F0"/>
            <w:vAlign w:val="bottom"/>
            <w:hideMark/>
          </w:tcPr>
          <w:p w14:paraId="5DBA3863" w14:textId="77777777" w:rsidR="001808A1" w:rsidRPr="001808A1" w:rsidRDefault="001808A1" w:rsidP="001808A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808A1">
              <w:rPr>
                <w:rFonts w:ascii="Open Sans Semibold" w:eastAsia="Times New Roman" w:hAnsi="Open Sans Semibold" w:cs="Open Sans Semibold"/>
                <w:color w:val="000000"/>
                <w:sz w:val="16"/>
                <w:szCs w:val="16"/>
                <w:lang w:eastAsia="en-AU"/>
              </w:rPr>
              <w:t>2,253</w:t>
            </w:r>
          </w:p>
        </w:tc>
      </w:tr>
    </w:tbl>
    <w:p w14:paraId="3B4B8AD5" w14:textId="77777777" w:rsidR="002373FE" w:rsidRPr="0001307B" w:rsidRDefault="002373FE" w:rsidP="00875495">
      <w:pPr>
        <w:pStyle w:val="CGC2025TableNote"/>
        <w:numPr>
          <w:ilvl w:val="0"/>
          <w:numId w:val="11"/>
        </w:numPr>
      </w:pPr>
      <w:r w:rsidRPr="0001307B">
        <w:t>Includes revisions in relative state circumstances and revisions in how much states collectively spend or raise.</w:t>
      </w:r>
    </w:p>
    <w:p w14:paraId="5C19CEDD" w14:textId="77777777" w:rsidR="002373FE" w:rsidRPr="0001307B" w:rsidRDefault="002373FE" w:rsidP="003116B2">
      <w:pPr>
        <w:pStyle w:val="CGC2025TableNote"/>
        <w:numPr>
          <w:ilvl w:val="0"/>
          <w:numId w:val="11"/>
        </w:numPr>
      </w:pPr>
      <w:r w:rsidRPr="0001307B">
        <w:t>Includes changes in relative state circumstances and changes in how much states collectively spend or raise.</w:t>
      </w:r>
    </w:p>
    <w:p w14:paraId="6521EB0B" w14:textId="77777777" w:rsidR="002373FE" w:rsidRDefault="002373FE" w:rsidP="002373FE">
      <w:pPr>
        <w:pStyle w:val="Heading3"/>
      </w:pPr>
      <w:r>
        <w:t>Composition of total change</w:t>
      </w:r>
    </w:p>
    <w:p w14:paraId="61430160" w14:textId="7EBDEEAB" w:rsidR="002373FE" w:rsidRPr="00B9735B" w:rsidRDefault="002373FE" w:rsidP="002373FE">
      <w:r>
        <w:t>The Commission measures the source</w:t>
      </w:r>
      <w:r w:rsidR="00CA2018">
        <w:t>s</w:t>
      </w:r>
      <w:r>
        <w:t xml:space="preserve"> of change to GST distribution within each of its assessments. These can be grouped by type of assessment, such as revenues or expenses. In estimating the total change in GST distribution, the Commission also measures the impact </w:t>
      </w:r>
      <w:r w:rsidRPr="004924A7">
        <w:t>of the 2018 legislat</w:t>
      </w:r>
      <w:r>
        <w:t xml:space="preserve">ed </w:t>
      </w:r>
      <w:r w:rsidR="00366066" w:rsidRPr="00650ED7">
        <w:t>changes to determining relativities</w:t>
      </w:r>
      <w:r>
        <w:t xml:space="preserve">. </w:t>
      </w:r>
      <w:r w:rsidRPr="0001307B">
        <w:t>Changes in states’ expense needs ha</w:t>
      </w:r>
      <w:r>
        <w:t>ve</w:t>
      </w:r>
      <w:r w:rsidRPr="0001307B">
        <w:t xml:space="preserve"> the largest impacts on GST distribution </w:t>
      </w:r>
      <w:r w:rsidR="00ED19AC">
        <w:t xml:space="preserve">in 2026–27 </w:t>
      </w:r>
      <w:r w:rsidRPr="0001307B">
        <w:t xml:space="preserve">(see </w:t>
      </w:r>
      <w:r w:rsidRPr="00B9735B">
        <w:t>Table 2-2).</w:t>
      </w:r>
    </w:p>
    <w:p w14:paraId="6298ADCB" w14:textId="77777777" w:rsidR="002373FE" w:rsidRDefault="002373FE" w:rsidP="002418B3">
      <w:pPr>
        <w:pStyle w:val="CGC2025Caption"/>
        <w:keepNext/>
      </w:pPr>
      <w:r w:rsidRPr="00B9735B">
        <w:lastRenderedPageBreak/>
        <w:t>Table 2-2</w:t>
      </w:r>
      <w:r w:rsidRPr="009B6AF8">
        <w:tab/>
        <w:t>Composition of estimated changes in GST distribution, 2025–26 to 2026–</w:t>
      </w:r>
      <w:r w:rsidRPr="009B6AF8">
        <w:rPr>
          <w:rFonts w:ascii="Times New Roman" w:hAnsi="Times New Roman" w:cs="Times New Roman" w:hint="eastAsia"/>
          <w:rtl/>
        </w:rPr>
        <w:t>‍</w:t>
      </w:r>
      <w:r w:rsidRPr="009B6AF8">
        <w:t>27</w:t>
      </w:r>
    </w:p>
    <w:tbl>
      <w:tblPr>
        <w:tblW w:w="9040" w:type="dxa"/>
        <w:tblLook w:val="04A0" w:firstRow="1" w:lastRow="0" w:firstColumn="1" w:lastColumn="0" w:noHBand="0" w:noVBand="1"/>
      </w:tblPr>
      <w:tblGrid>
        <w:gridCol w:w="2920"/>
        <w:gridCol w:w="680"/>
        <w:gridCol w:w="680"/>
        <w:gridCol w:w="680"/>
        <w:gridCol w:w="680"/>
        <w:gridCol w:w="680"/>
        <w:gridCol w:w="680"/>
        <w:gridCol w:w="680"/>
        <w:gridCol w:w="680"/>
        <w:gridCol w:w="680"/>
      </w:tblGrid>
      <w:tr w:rsidR="00953A0E" w:rsidRPr="00953A0E" w14:paraId="335E9B75" w14:textId="77777777" w:rsidTr="00953A0E">
        <w:trPr>
          <w:trHeight w:val="555"/>
        </w:trPr>
        <w:tc>
          <w:tcPr>
            <w:tcW w:w="2920" w:type="dxa"/>
            <w:tcBorders>
              <w:top w:val="nil"/>
              <w:left w:val="nil"/>
              <w:bottom w:val="nil"/>
              <w:right w:val="nil"/>
            </w:tcBorders>
            <w:shd w:val="clear" w:color="000000" w:fill="006991"/>
            <w:vAlign w:val="center"/>
            <w:hideMark/>
          </w:tcPr>
          <w:p w14:paraId="40747B94" w14:textId="77777777" w:rsidR="00953A0E" w:rsidRPr="00953A0E" w:rsidRDefault="00953A0E" w:rsidP="002418B3">
            <w:pPr>
              <w:keepNext/>
              <w:tabs>
                <w:tab w:val="clear" w:pos="567"/>
              </w:tabs>
              <w:spacing w:before="0" w:line="240" w:lineRule="auto"/>
              <w:rPr>
                <w:rFonts w:ascii="Open Sans Semibold" w:eastAsia="Times New Roman" w:hAnsi="Open Sans Semibold" w:cs="Open Sans Semibold"/>
                <w:color w:val="FFFFFF"/>
                <w:sz w:val="16"/>
                <w:szCs w:val="16"/>
                <w:lang w:eastAsia="en-AU"/>
              </w:rPr>
            </w:pPr>
            <w:bookmarkStart w:id="53" w:name="RANGE!A5:J14"/>
            <w:r w:rsidRPr="00953A0E">
              <w:rPr>
                <w:rFonts w:ascii="Open Sans Semibold" w:eastAsia="Times New Roman" w:hAnsi="Open Sans Semibold" w:cs="Open Sans Semibold"/>
                <w:color w:val="FFFFFF"/>
                <w:sz w:val="16"/>
                <w:szCs w:val="16"/>
                <w:lang w:eastAsia="en-AU"/>
              </w:rPr>
              <w:t> </w:t>
            </w:r>
            <w:bookmarkEnd w:id="53"/>
          </w:p>
        </w:tc>
        <w:tc>
          <w:tcPr>
            <w:tcW w:w="680" w:type="dxa"/>
            <w:tcBorders>
              <w:top w:val="nil"/>
              <w:left w:val="nil"/>
              <w:bottom w:val="nil"/>
              <w:right w:val="nil"/>
            </w:tcBorders>
            <w:shd w:val="clear" w:color="000000" w:fill="006991"/>
            <w:vAlign w:val="center"/>
            <w:hideMark/>
          </w:tcPr>
          <w:p w14:paraId="4FB5B1BC"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08705264"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581578AE"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4AC38773"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4A301141"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3112D995"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3B320358"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08B7151F"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72B20B0B"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953A0E">
              <w:rPr>
                <w:rFonts w:ascii="Open Sans Semibold" w:eastAsia="Times New Roman" w:hAnsi="Open Sans Semibold" w:cs="Open Sans Semibold"/>
                <w:color w:val="FFFFFF"/>
                <w:sz w:val="16"/>
                <w:szCs w:val="16"/>
                <w:lang w:eastAsia="en-AU"/>
              </w:rPr>
              <w:t>Total effect</w:t>
            </w:r>
          </w:p>
        </w:tc>
      </w:tr>
      <w:tr w:rsidR="00953A0E" w:rsidRPr="00953A0E" w14:paraId="363DDA7C" w14:textId="77777777" w:rsidTr="00953A0E">
        <w:trPr>
          <w:trHeight w:val="260"/>
        </w:trPr>
        <w:tc>
          <w:tcPr>
            <w:tcW w:w="2920" w:type="dxa"/>
            <w:tcBorders>
              <w:top w:val="single" w:sz="4" w:space="0" w:color="ADD6EA"/>
              <w:left w:val="nil"/>
              <w:bottom w:val="nil"/>
              <w:right w:val="nil"/>
            </w:tcBorders>
            <w:shd w:val="clear" w:color="000000" w:fill="B6D5E4"/>
            <w:vAlign w:val="center"/>
            <w:hideMark/>
          </w:tcPr>
          <w:p w14:paraId="4F7EB816" w14:textId="77777777" w:rsidR="00953A0E" w:rsidRPr="00953A0E" w:rsidRDefault="00953A0E" w:rsidP="002418B3">
            <w:pPr>
              <w:keepNext/>
              <w:tabs>
                <w:tab w:val="clear" w:pos="567"/>
              </w:tabs>
              <w:spacing w:before="0" w:line="240" w:lineRule="auto"/>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noWrap/>
            <w:vAlign w:val="center"/>
            <w:hideMark/>
          </w:tcPr>
          <w:p w14:paraId="4B690300"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16A4FD21"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528FA491"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BA936C0"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55A6490D"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74D67BD"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1F91ACB5"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329B5693"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0C550F6F"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$m</w:t>
            </w:r>
          </w:p>
        </w:tc>
      </w:tr>
      <w:tr w:rsidR="00953A0E" w:rsidRPr="00953A0E" w14:paraId="10EC1CA8" w14:textId="77777777" w:rsidTr="00953A0E">
        <w:trPr>
          <w:trHeight w:val="315"/>
        </w:trPr>
        <w:tc>
          <w:tcPr>
            <w:tcW w:w="2920" w:type="dxa"/>
            <w:tcBorders>
              <w:top w:val="single" w:sz="4" w:space="0" w:color="ADD6EA"/>
              <w:left w:val="nil"/>
              <w:bottom w:val="nil"/>
              <w:right w:val="nil"/>
            </w:tcBorders>
            <w:vAlign w:val="bottom"/>
            <w:hideMark/>
          </w:tcPr>
          <w:p w14:paraId="7DF3939F" w14:textId="77777777" w:rsidR="00953A0E" w:rsidRPr="00953A0E" w:rsidRDefault="00953A0E"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Expense needs</w:t>
            </w:r>
          </w:p>
        </w:tc>
        <w:tc>
          <w:tcPr>
            <w:tcW w:w="680" w:type="dxa"/>
            <w:tcBorders>
              <w:top w:val="single" w:sz="4" w:space="0" w:color="ADD6EA"/>
              <w:left w:val="nil"/>
              <w:bottom w:val="nil"/>
              <w:right w:val="nil"/>
            </w:tcBorders>
            <w:noWrap/>
            <w:vAlign w:val="bottom"/>
            <w:hideMark/>
          </w:tcPr>
          <w:p w14:paraId="04732D08"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-1,489</w:t>
            </w:r>
          </w:p>
        </w:tc>
        <w:tc>
          <w:tcPr>
            <w:tcW w:w="680" w:type="dxa"/>
            <w:tcBorders>
              <w:top w:val="single" w:sz="4" w:space="0" w:color="ADD6EA"/>
              <w:left w:val="nil"/>
              <w:bottom w:val="nil"/>
              <w:right w:val="nil"/>
            </w:tcBorders>
            <w:noWrap/>
            <w:vAlign w:val="bottom"/>
            <w:hideMark/>
          </w:tcPr>
          <w:p w14:paraId="51933F88"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-778</w:t>
            </w:r>
          </w:p>
        </w:tc>
        <w:tc>
          <w:tcPr>
            <w:tcW w:w="680" w:type="dxa"/>
            <w:tcBorders>
              <w:top w:val="single" w:sz="4" w:space="0" w:color="ADD6EA"/>
              <w:left w:val="nil"/>
              <w:bottom w:val="nil"/>
              <w:right w:val="nil"/>
            </w:tcBorders>
            <w:noWrap/>
            <w:vAlign w:val="bottom"/>
            <w:hideMark/>
          </w:tcPr>
          <w:p w14:paraId="18F92404"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1,715</w:t>
            </w:r>
          </w:p>
        </w:tc>
        <w:tc>
          <w:tcPr>
            <w:tcW w:w="680" w:type="dxa"/>
            <w:tcBorders>
              <w:top w:val="single" w:sz="4" w:space="0" w:color="ADD6EA"/>
              <w:left w:val="nil"/>
              <w:bottom w:val="nil"/>
              <w:right w:val="nil"/>
            </w:tcBorders>
            <w:noWrap/>
            <w:vAlign w:val="bottom"/>
            <w:hideMark/>
          </w:tcPr>
          <w:p w14:paraId="28E77E9A"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118</w:t>
            </w:r>
          </w:p>
        </w:tc>
        <w:tc>
          <w:tcPr>
            <w:tcW w:w="680" w:type="dxa"/>
            <w:tcBorders>
              <w:top w:val="single" w:sz="4" w:space="0" w:color="ADD6EA"/>
              <w:left w:val="nil"/>
              <w:bottom w:val="nil"/>
              <w:right w:val="nil"/>
            </w:tcBorders>
            <w:noWrap/>
            <w:vAlign w:val="bottom"/>
            <w:hideMark/>
          </w:tcPr>
          <w:p w14:paraId="53F0A8EB"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269</w:t>
            </w:r>
          </w:p>
        </w:tc>
        <w:tc>
          <w:tcPr>
            <w:tcW w:w="680" w:type="dxa"/>
            <w:tcBorders>
              <w:top w:val="single" w:sz="4" w:space="0" w:color="ADD6EA"/>
              <w:left w:val="nil"/>
              <w:bottom w:val="nil"/>
              <w:right w:val="nil"/>
            </w:tcBorders>
            <w:noWrap/>
            <w:vAlign w:val="bottom"/>
            <w:hideMark/>
          </w:tcPr>
          <w:p w14:paraId="528D2A71"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187</w:t>
            </w:r>
          </w:p>
        </w:tc>
        <w:tc>
          <w:tcPr>
            <w:tcW w:w="680" w:type="dxa"/>
            <w:tcBorders>
              <w:top w:val="single" w:sz="4" w:space="0" w:color="ADD6EA"/>
              <w:left w:val="nil"/>
              <w:bottom w:val="nil"/>
              <w:right w:val="nil"/>
            </w:tcBorders>
            <w:noWrap/>
            <w:vAlign w:val="bottom"/>
            <w:hideMark/>
          </w:tcPr>
          <w:p w14:paraId="0CA2208C"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-41</w:t>
            </w:r>
          </w:p>
        </w:tc>
        <w:tc>
          <w:tcPr>
            <w:tcW w:w="680" w:type="dxa"/>
            <w:tcBorders>
              <w:top w:val="single" w:sz="4" w:space="0" w:color="ADD6EA"/>
              <w:left w:val="nil"/>
              <w:bottom w:val="nil"/>
              <w:right w:val="nil"/>
            </w:tcBorders>
            <w:noWrap/>
            <w:vAlign w:val="bottom"/>
            <w:hideMark/>
          </w:tcPr>
          <w:p w14:paraId="42C75920"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20</w:t>
            </w:r>
          </w:p>
        </w:tc>
        <w:tc>
          <w:tcPr>
            <w:tcW w:w="680" w:type="dxa"/>
            <w:tcBorders>
              <w:top w:val="single" w:sz="4" w:space="0" w:color="ADD6EA"/>
              <w:left w:val="nil"/>
              <w:bottom w:val="nil"/>
              <w:right w:val="nil"/>
            </w:tcBorders>
            <w:noWrap/>
            <w:vAlign w:val="bottom"/>
            <w:hideMark/>
          </w:tcPr>
          <w:p w14:paraId="74B2F84A"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2,308</w:t>
            </w:r>
          </w:p>
        </w:tc>
      </w:tr>
      <w:tr w:rsidR="00953A0E" w:rsidRPr="00953A0E" w14:paraId="21C0987E" w14:textId="77777777" w:rsidTr="00953A0E">
        <w:trPr>
          <w:trHeight w:val="315"/>
        </w:trPr>
        <w:tc>
          <w:tcPr>
            <w:tcW w:w="2920" w:type="dxa"/>
            <w:tcBorders>
              <w:top w:val="single" w:sz="4" w:space="0" w:color="ADD6EA"/>
              <w:left w:val="nil"/>
              <w:bottom w:val="nil"/>
              <w:right w:val="nil"/>
            </w:tcBorders>
            <w:vAlign w:val="bottom"/>
            <w:hideMark/>
          </w:tcPr>
          <w:p w14:paraId="4D14108D" w14:textId="77777777" w:rsidR="00953A0E" w:rsidRPr="00953A0E" w:rsidRDefault="00953A0E"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Investment needs</w:t>
            </w:r>
          </w:p>
        </w:tc>
        <w:tc>
          <w:tcPr>
            <w:tcW w:w="680" w:type="dxa"/>
            <w:tcBorders>
              <w:top w:val="single" w:sz="4" w:space="0" w:color="ADD6EA"/>
              <w:left w:val="nil"/>
              <w:bottom w:val="nil"/>
              <w:right w:val="nil"/>
            </w:tcBorders>
            <w:noWrap/>
            <w:vAlign w:val="bottom"/>
            <w:hideMark/>
          </w:tcPr>
          <w:p w14:paraId="15CBE1EB"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-304</w:t>
            </w:r>
          </w:p>
        </w:tc>
        <w:tc>
          <w:tcPr>
            <w:tcW w:w="680" w:type="dxa"/>
            <w:tcBorders>
              <w:top w:val="single" w:sz="4" w:space="0" w:color="ADD6EA"/>
              <w:left w:val="nil"/>
              <w:bottom w:val="nil"/>
              <w:right w:val="nil"/>
            </w:tcBorders>
            <w:noWrap/>
            <w:vAlign w:val="bottom"/>
            <w:hideMark/>
          </w:tcPr>
          <w:p w14:paraId="49A6AF0A"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491</w:t>
            </w:r>
          </w:p>
        </w:tc>
        <w:tc>
          <w:tcPr>
            <w:tcW w:w="680" w:type="dxa"/>
            <w:tcBorders>
              <w:top w:val="single" w:sz="4" w:space="0" w:color="ADD6EA"/>
              <w:left w:val="nil"/>
              <w:bottom w:val="nil"/>
              <w:right w:val="nil"/>
            </w:tcBorders>
            <w:noWrap/>
            <w:vAlign w:val="bottom"/>
            <w:hideMark/>
          </w:tcPr>
          <w:p w14:paraId="1A95F517"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-126</w:t>
            </w:r>
          </w:p>
        </w:tc>
        <w:tc>
          <w:tcPr>
            <w:tcW w:w="680" w:type="dxa"/>
            <w:tcBorders>
              <w:top w:val="single" w:sz="4" w:space="0" w:color="ADD6EA"/>
              <w:left w:val="nil"/>
              <w:bottom w:val="nil"/>
              <w:right w:val="nil"/>
            </w:tcBorders>
            <w:noWrap/>
            <w:vAlign w:val="bottom"/>
            <w:hideMark/>
          </w:tcPr>
          <w:p w14:paraId="05E840C3"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111</w:t>
            </w:r>
          </w:p>
        </w:tc>
        <w:tc>
          <w:tcPr>
            <w:tcW w:w="680" w:type="dxa"/>
            <w:tcBorders>
              <w:top w:val="single" w:sz="4" w:space="0" w:color="ADD6EA"/>
              <w:left w:val="nil"/>
              <w:bottom w:val="nil"/>
              <w:right w:val="nil"/>
            </w:tcBorders>
            <w:noWrap/>
            <w:vAlign w:val="bottom"/>
            <w:hideMark/>
          </w:tcPr>
          <w:p w14:paraId="3A091E4E"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-110</w:t>
            </w:r>
          </w:p>
        </w:tc>
        <w:tc>
          <w:tcPr>
            <w:tcW w:w="680" w:type="dxa"/>
            <w:tcBorders>
              <w:top w:val="single" w:sz="4" w:space="0" w:color="ADD6EA"/>
              <w:left w:val="nil"/>
              <w:bottom w:val="nil"/>
              <w:right w:val="nil"/>
            </w:tcBorders>
            <w:noWrap/>
            <w:vAlign w:val="bottom"/>
            <w:hideMark/>
          </w:tcPr>
          <w:p w14:paraId="0ADC6949"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-81</w:t>
            </w:r>
          </w:p>
        </w:tc>
        <w:tc>
          <w:tcPr>
            <w:tcW w:w="680" w:type="dxa"/>
            <w:tcBorders>
              <w:top w:val="single" w:sz="4" w:space="0" w:color="ADD6EA"/>
              <w:left w:val="nil"/>
              <w:bottom w:val="nil"/>
              <w:right w:val="nil"/>
            </w:tcBorders>
            <w:noWrap/>
            <w:vAlign w:val="bottom"/>
            <w:hideMark/>
          </w:tcPr>
          <w:p w14:paraId="44BFCBEB"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-59</w:t>
            </w:r>
          </w:p>
        </w:tc>
        <w:tc>
          <w:tcPr>
            <w:tcW w:w="680" w:type="dxa"/>
            <w:tcBorders>
              <w:top w:val="single" w:sz="4" w:space="0" w:color="ADD6EA"/>
              <w:left w:val="nil"/>
              <w:bottom w:val="nil"/>
              <w:right w:val="nil"/>
            </w:tcBorders>
            <w:noWrap/>
            <w:vAlign w:val="bottom"/>
            <w:hideMark/>
          </w:tcPr>
          <w:p w14:paraId="0CFECB45"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78</w:t>
            </w:r>
          </w:p>
        </w:tc>
        <w:tc>
          <w:tcPr>
            <w:tcW w:w="680" w:type="dxa"/>
            <w:tcBorders>
              <w:top w:val="single" w:sz="4" w:space="0" w:color="ADD6EA"/>
              <w:left w:val="nil"/>
              <w:bottom w:val="nil"/>
              <w:right w:val="nil"/>
            </w:tcBorders>
            <w:noWrap/>
            <w:vAlign w:val="bottom"/>
            <w:hideMark/>
          </w:tcPr>
          <w:p w14:paraId="25C8C1D4"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681</w:t>
            </w:r>
          </w:p>
        </w:tc>
      </w:tr>
      <w:tr w:rsidR="00953A0E" w:rsidRPr="00953A0E" w14:paraId="2B0EC5F5" w14:textId="77777777" w:rsidTr="00953A0E">
        <w:trPr>
          <w:trHeight w:val="315"/>
        </w:trPr>
        <w:tc>
          <w:tcPr>
            <w:tcW w:w="2920" w:type="dxa"/>
            <w:tcBorders>
              <w:top w:val="single" w:sz="4" w:space="0" w:color="ADD6EA"/>
              <w:left w:val="nil"/>
              <w:bottom w:val="nil"/>
              <w:right w:val="nil"/>
            </w:tcBorders>
            <w:vAlign w:val="bottom"/>
            <w:hideMark/>
          </w:tcPr>
          <w:p w14:paraId="74A6CF45" w14:textId="77777777" w:rsidR="00953A0E" w:rsidRPr="00953A0E" w:rsidRDefault="00953A0E"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Net borrowing</w:t>
            </w:r>
          </w:p>
        </w:tc>
        <w:tc>
          <w:tcPr>
            <w:tcW w:w="680" w:type="dxa"/>
            <w:tcBorders>
              <w:top w:val="single" w:sz="4" w:space="0" w:color="ADD6EA"/>
              <w:left w:val="nil"/>
              <w:bottom w:val="nil"/>
              <w:right w:val="nil"/>
            </w:tcBorders>
            <w:noWrap/>
            <w:vAlign w:val="bottom"/>
            <w:hideMark/>
          </w:tcPr>
          <w:p w14:paraId="3E6A7E6E"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57</w:t>
            </w:r>
          </w:p>
        </w:tc>
        <w:tc>
          <w:tcPr>
            <w:tcW w:w="680" w:type="dxa"/>
            <w:tcBorders>
              <w:top w:val="single" w:sz="4" w:space="0" w:color="ADD6EA"/>
              <w:left w:val="nil"/>
              <w:bottom w:val="nil"/>
              <w:right w:val="nil"/>
            </w:tcBorders>
            <w:noWrap/>
            <w:vAlign w:val="bottom"/>
            <w:hideMark/>
          </w:tcPr>
          <w:p w14:paraId="16811F40"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-116</w:t>
            </w:r>
          </w:p>
        </w:tc>
        <w:tc>
          <w:tcPr>
            <w:tcW w:w="680" w:type="dxa"/>
            <w:tcBorders>
              <w:top w:val="single" w:sz="4" w:space="0" w:color="ADD6EA"/>
              <w:left w:val="nil"/>
              <w:bottom w:val="nil"/>
              <w:right w:val="nil"/>
            </w:tcBorders>
            <w:noWrap/>
            <w:vAlign w:val="bottom"/>
            <w:hideMark/>
          </w:tcPr>
          <w:p w14:paraId="72989331"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70</w:t>
            </w:r>
          </w:p>
        </w:tc>
        <w:tc>
          <w:tcPr>
            <w:tcW w:w="680" w:type="dxa"/>
            <w:tcBorders>
              <w:top w:val="single" w:sz="4" w:space="0" w:color="ADD6EA"/>
              <w:left w:val="nil"/>
              <w:bottom w:val="nil"/>
              <w:right w:val="nil"/>
            </w:tcBorders>
            <w:noWrap/>
            <w:vAlign w:val="bottom"/>
            <w:hideMark/>
          </w:tcPr>
          <w:p w14:paraId="6253C0CD"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-57</w:t>
            </w:r>
          </w:p>
        </w:tc>
        <w:tc>
          <w:tcPr>
            <w:tcW w:w="680" w:type="dxa"/>
            <w:tcBorders>
              <w:top w:val="single" w:sz="4" w:space="0" w:color="ADD6EA"/>
              <w:left w:val="nil"/>
              <w:bottom w:val="nil"/>
              <w:right w:val="nil"/>
            </w:tcBorders>
            <w:noWrap/>
            <w:vAlign w:val="bottom"/>
            <w:hideMark/>
          </w:tcPr>
          <w:p w14:paraId="42185802"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noWrap/>
            <w:vAlign w:val="bottom"/>
            <w:hideMark/>
          </w:tcPr>
          <w:p w14:paraId="3AF50EE8"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33</w:t>
            </w:r>
          </w:p>
        </w:tc>
        <w:tc>
          <w:tcPr>
            <w:tcW w:w="680" w:type="dxa"/>
            <w:tcBorders>
              <w:top w:val="single" w:sz="4" w:space="0" w:color="ADD6EA"/>
              <w:left w:val="nil"/>
              <w:bottom w:val="nil"/>
              <w:right w:val="nil"/>
            </w:tcBorders>
            <w:noWrap/>
            <w:vAlign w:val="bottom"/>
            <w:hideMark/>
          </w:tcPr>
          <w:p w14:paraId="6649AD60"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6</w:t>
            </w:r>
          </w:p>
        </w:tc>
        <w:tc>
          <w:tcPr>
            <w:tcW w:w="680" w:type="dxa"/>
            <w:tcBorders>
              <w:top w:val="single" w:sz="4" w:space="0" w:color="ADD6EA"/>
              <w:left w:val="nil"/>
              <w:bottom w:val="nil"/>
              <w:right w:val="nil"/>
            </w:tcBorders>
            <w:noWrap/>
            <w:vAlign w:val="bottom"/>
            <w:hideMark/>
          </w:tcPr>
          <w:p w14:paraId="338D2693"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-14</w:t>
            </w:r>
          </w:p>
        </w:tc>
        <w:tc>
          <w:tcPr>
            <w:tcW w:w="680" w:type="dxa"/>
            <w:tcBorders>
              <w:top w:val="single" w:sz="4" w:space="0" w:color="ADD6EA"/>
              <w:left w:val="nil"/>
              <w:bottom w:val="nil"/>
              <w:right w:val="nil"/>
            </w:tcBorders>
            <w:noWrap/>
            <w:vAlign w:val="bottom"/>
            <w:hideMark/>
          </w:tcPr>
          <w:p w14:paraId="490DA20E"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187</w:t>
            </w:r>
          </w:p>
        </w:tc>
      </w:tr>
      <w:tr w:rsidR="00953A0E" w:rsidRPr="00953A0E" w14:paraId="13516E1A" w14:textId="77777777" w:rsidTr="00953A0E">
        <w:trPr>
          <w:trHeight w:val="315"/>
        </w:trPr>
        <w:tc>
          <w:tcPr>
            <w:tcW w:w="2920" w:type="dxa"/>
            <w:tcBorders>
              <w:top w:val="single" w:sz="4" w:space="0" w:color="ADD6EA"/>
              <w:left w:val="nil"/>
              <w:bottom w:val="nil"/>
              <w:right w:val="nil"/>
            </w:tcBorders>
            <w:vAlign w:val="bottom"/>
            <w:hideMark/>
          </w:tcPr>
          <w:p w14:paraId="70CD1DCB" w14:textId="77777777" w:rsidR="00953A0E" w:rsidRPr="00953A0E" w:rsidRDefault="00953A0E"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Revenue raising capacity</w:t>
            </w:r>
          </w:p>
        </w:tc>
        <w:tc>
          <w:tcPr>
            <w:tcW w:w="680" w:type="dxa"/>
            <w:tcBorders>
              <w:top w:val="single" w:sz="4" w:space="0" w:color="ADD6EA"/>
              <w:left w:val="nil"/>
              <w:bottom w:val="nil"/>
              <w:right w:val="nil"/>
            </w:tcBorders>
            <w:vAlign w:val="bottom"/>
            <w:hideMark/>
          </w:tcPr>
          <w:p w14:paraId="07FCF421"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87</w:t>
            </w:r>
          </w:p>
        </w:tc>
        <w:tc>
          <w:tcPr>
            <w:tcW w:w="680" w:type="dxa"/>
            <w:tcBorders>
              <w:top w:val="single" w:sz="4" w:space="0" w:color="ADD6EA"/>
              <w:left w:val="nil"/>
              <w:bottom w:val="nil"/>
              <w:right w:val="nil"/>
            </w:tcBorders>
            <w:vAlign w:val="bottom"/>
            <w:hideMark/>
          </w:tcPr>
          <w:p w14:paraId="0E2E4160"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-182</w:t>
            </w:r>
          </w:p>
        </w:tc>
        <w:tc>
          <w:tcPr>
            <w:tcW w:w="680" w:type="dxa"/>
            <w:tcBorders>
              <w:top w:val="single" w:sz="4" w:space="0" w:color="ADD6EA"/>
              <w:left w:val="nil"/>
              <w:bottom w:val="nil"/>
              <w:right w:val="nil"/>
            </w:tcBorders>
            <w:vAlign w:val="bottom"/>
            <w:hideMark/>
          </w:tcPr>
          <w:p w14:paraId="1F8EB9DF"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-341</w:t>
            </w:r>
          </w:p>
        </w:tc>
        <w:tc>
          <w:tcPr>
            <w:tcW w:w="680" w:type="dxa"/>
            <w:tcBorders>
              <w:top w:val="single" w:sz="4" w:space="0" w:color="ADD6EA"/>
              <w:left w:val="nil"/>
              <w:bottom w:val="nil"/>
              <w:right w:val="nil"/>
            </w:tcBorders>
            <w:vAlign w:val="bottom"/>
            <w:hideMark/>
          </w:tcPr>
          <w:p w14:paraId="417D6A1E"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848</w:t>
            </w:r>
          </w:p>
        </w:tc>
        <w:tc>
          <w:tcPr>
            <w:tcW w:w="680" w:type="dxa"/>
            <w:tcBorders>
              <w:top w:val="single" w:sz="4" w:space="0" w:color="ADD6EA"/>
              <w:left w:val="nil"/>
              <w:bottom w:val="nil"/>
              <w:right w:val="nil"/>
            </w:tcBorders>
            <w:vAlign w:val="bottom"/>
            <w:hideMark/>
          </w:tcPr>
          <w:p w14:paraId="035CCD08"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-403</w:t>
            </w:r>
          </w:p>
        </w:tc>
        <w:tc>
          <w:tcPr>
            <w:tcW w:w="680" w:type="dxa"/>
            <w:tcBorders>
              <w:top w:val="single" w:sz="4" w:space="0" w:color="ADD6EA"/>
              <w:left w:val="nil"/>
              <w:bottom w:val="nil"/>
              <w:right w:val="nil"/>
            </w:tcBorders>
            <w:vAlign w:val="bottom"/>
            <w:hideMark/>
          </w:tcPr>
          <w:p w14:paraId="1A324E00"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-68</w:t>
            </w:r>
          </w:p>
        </w:tc>
        <w:tc>
          <w:tcPr>
            <w:tcW w:w="680" w:type="dxa"/>
            <w:tcBorders>
              <w:top w:val="single" w:sz="4" w:space="0" w:color="ADD6EA"/>
              <w:left w:val="nil"/>
              <w:bottom w:val="nil"/>
              <w:right w:val="nil"/>
            </w:tcBorders>
            <w:vAlign w:val="bottom"/>
            <w:hideMark/>
          </w:tcPr>
          <w:p w14:paraId="16E72248"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40</w:t>
            </w:r>
          </w:p>
        </w:tc>
        <w:tc>
          <w:tcPr>
            <w:tcW w:w="680" w:type="dxa"/>
            <w:tcBorders>
              <w:top w:val="single" w:sz="4" w:space="0" w:color="ADD6EA"/>
              <w:left w:val="nil"/>
              <w:bottom w:val="nil"/>
              <w:right w:val="nil"/>
            </w:tcBorders>
            <w:vAlign w:val="bottom"/>
            <w:hideMark/>
          </w:tcPr>
          <w:p w14:paraId="3C1AD430"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19</w:t>
            </w:r>
          </w:p>
        </w:tc>
        <w:tc>
          <w:tcPr>
            <w:tcW w:w="680" w:type="dxa"/>
            <w:tcBorders>
              <w:top w:val="single" w:sz="4" w:space="0" w:color="ADD6EA"/>
              <w:left w:val="nil"/>
              <w:bottom w:val="nil"/>
              <w:right w:val="nil"/>
            </w:tcBorders>
            <w:vAlign w:val="bottom"/>
            <w:hideMark/>
          </w:tcPr>
          <w:p w14:paraId="6C4AF978"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994</w:t>
            </w:r>
          </w:p>
        </w:tc>
      </w:tr>
      <w:tr w:rsidR="00953A0E" w:rsidRPr="00953A0E" w14:paraId="0C756E6C" w14:textId="77777777" w:rsidTr="00953A0E">
        <w:trPr>
          <w:trHeight w:val="315"/>
        </w:trPr>
        <w:tc>
          <w:tcPr>
            <w:tcW w:w="2920" w:type="dxa"/>
            <w:tcBorders>
              <w:top w:val="single" w:sz="4" w:space="0" w:color="ADD6EA"/>
              <w:left w:val="nil"/>
              <w:bottom w:val="nil"/>
              <w:right w:val="nil"/>
            </w:tcBorders>
            <w:vAlign w:val="bottom"/>
            <w:hideMark/>
          </w:tcPr>
          <w:p w14:paraId="35F99883" w14:textId="77777777" w:rsidR="00953A0E" w:rsidRPr="00953A0E" w:rsidRDefault="00953A0E"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Commonwealth payments (a)</w:t>
            </w:r>
          </w:p>
        </w:tc>
        <w:tc>
          <w:tcPr>
            <w:tcW w:w="680" w:type="dxa"/>
            <w:tcBorders>
              <w:top w:val="single" w:sz="4" w:space="0" w:color="ADD6EA"/>
              <w:left w:val="nil"/>
              <w:bottom w:val="nil"/>
              <w:right w:val="nil"/>
            </w:tcBorders>
            <w:noWrap/>
            <w:vAlign w:val="bottom"/>
            <w:hideMark/>
          </w:tcPr>
          <w:p w14:paraId="435CB4DA"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118</w:t>
            </w:r>
          </w:p>
        </w:tc>
        <w:tc>
          <w:tcPr>
            <w:tcW w:w="680" w:type="dxa"/>
            <w:tcBorders>
              <w:top w:val="single" w:sz="4" w:space="0" w:color="ADD6EA"/>
              <w:left w:val="nil"/>
              <w:bottom w:val="nil"/>
              <w:right w:val="nil"/>
            </w:tcBorders>
            <w:noWrap/>
            <w:vAlign w:val="bottom"/>
            <w:hideMark/>
          </w:tcPr>
          <w:p w14:paraId="5692F22D"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147</w:t>
            </w:r>
          </w:p>
        </w:tc>
        <w:tc>
          <w:tcPr>
            <w:tcW w:w="680" w:type="dxa"/>
            <w:tcBorders>
              <w:top w:val="single" w:sz="4" w:space="0" w:color="ADD6EA"/>
              <w:left w:val="nil"/>
              <w:bottom w:val="nil"/>
              <w:right w:val="nil"/>
            </w:tcBorders>
            <w:noWrap/>
            <w:vAlign w:val="bottom"/>
            <w:hideMark/>
          </w:tcPr>
          <w:p w14:paraId="5E618029"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50</w:t>
            </w:r>
          </w:p>
        </w:tc>
        <w:tc>
          <w:tcPr>
            <w:tcW w:w="680" w:type="dxa"/>
            <w:tcBorders>
              <w:top w:val="single" w:sz="4" w:space="0" w:color="ADD6EA"/>
              <w:left w:val="nil"/>
              <w:bottom w:val="nil"/>
              <w:right w:val="nil"/>
            </w:tcBorders>
            <w:noWrap/>
            <w:vAlign w:val="bottom"/>
            <w:hideMark/>
          </w:tcPr>
          <w:p w14:paraId="5D7EA09A"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-302</w:t>
            </w:r>
          </w:p>
        </w:tc>
        <w:tc>
          <w:tcPr>
            <w:tcW w:w="680" w:type="dxa"/>
            <w:tcBorders>
              <w:top w:val="single" w:sz="4" w:space="0" w:color="ADD6EA"/>
              <w:left w:val="nil"/>
              <w:bottom w:val="nil"/>
              <w:right w:val="nil"/>
            </w:tcBorders>
            <w:noWrap/>
            <w:vAlign w:val="bottom"/>
            <w:hideMark/>
          </w:tcPr>
          <w:p w14:paraId="5DE40983"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-30</w:t>
            </w:r>
          </w:p>
        </w:tc>
        <w:tc>
          <w:tcPr>
            <w:tcW w:w="680" w:type="dxa"/>
            <w:tcBorders>
              <w:top w:val="single" w:sz="4" w:space="0" w:color="ADD6EA"/>
              <w:left w:val="nil"/>
              <w:bottom w:val="nil"/>
              <w:right w:val="nil"/>
            </w:tcBorders>
            <w:noWrap/>
            <w:vAlign w:val="bottom"/>
            <w:hideMark/>
          </w:tcPr>
          <w:p w14:paraId="104DD111"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8</w:t>
            </w:r>
          </w:p>
        </w:tc>
        <w:tc>
          <w:tcPr>
            <w:tcW w:w="680" w:type="dxa"/>
            <w:tcBorders>
              <w:top w:val="single" w:sz="4" w:space="0" w:color="ADD6EA"/>
              <w:left w:val="nil"/>
              <w:bottom w:val="nil"/>
              <w:right w:val="nil"/>
            </w:tcBorders>
            <w:noWrap/>
            <w:vAlign w:val="bottom"/>
            <w:hideMark/>
          </w:tcPr>
          <w:p w14:paraId="145A30ED"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24</w:t>
            </w:r>
          </w:p>
        </w:tc>
        <w:tc>
          <w:tcPr>
            <w:tcW w:w="680" w:type="dxa"/>
            <w:tcBorders>
              <w:top w:val="single" w:sz="4" w:space="0" w:color="ADD6EA"/>
              <w:left w:val="nil"/>
              <w:bottom w:val="nil"/>
              <w:right w:val="nil"/>
            </w:tcBorders>
            <w:noWrap/>
            <w:vAlign w:val="bottom"/>
            <w:hideMark/>
          </w:tcPr>
          <w:p w14:paraId="6313ACF7"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-15</w:t>
            </w:r>
          </w:p>
        </w:tc>
        <w:tc>
          <w:tcPr>
            <w:tcW w:w="680" w:type="dxa"/>
            <w:tcBorders>
              <w:top w:val="single" w:sz="4" w:space="0" w:color="ADD6EA"/>
              <w:left w:val="nil"/>
              <w:bottom w:val="nil"/>
              <w:right w:val="nil"/>
            </w:tcBorders>
            <w:noWrap/>
            <w:vAlign w:val="bottom"/>
            <w:hideMark/>
          </w:tcPr>
          <w:p w14:paraId="04DF7AC4"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347</w:t>
            </w:r>
          </w:p>
        </w:tc>
      </w:tr>
      <w:tr w:rsidR="00953A0E" w:rsidRPr="00953A0E" w14:paraId="0D4DE0E6" w14:textId="77777777" w:rsidTr="00953A0E">
        <w:trPr>
          <w:trHeight w:val="315"/>
        </w:trPr>
        <w:tc>
          <w:tcPr>
            <w:tcW w:w="2920" w:type="dxa"/>
            <w:tcBorders>
              <w:top w:val="single" w:sz="4" w:space="0" w:color="ADD6EA"/>
              <w:left w:val="nil"/>
              <w:bottom w:val="single" w:sz="4" w:space="0" w:color="ADD6EA"/>
              <w:right w:val="nil"/>
            </w:tcBorders>
            <w:shd w:val="clear" w:color="000000" w:fill="D6E7F0"/>
            <w:vAlign w:val="bottom"/>
            <w:hideMark/>
          </w:tcPr>
          <w:p w14:paraId="1019E813" w14:textId="77777777" w:rsidR="00953A0E" w:rsidRPr="00953A0E" w:rsidRDefault="00953A0E" w:rsidP="002418B3">
            <w:pPr>
              <w:keepNext/>
              <w:tabs>
                <w:tab w:val="clear" w:pos="567"/>
              </w:tabs>
              <w:spacing w:before="0" w:line="240" w:lineRule="auto"/>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Total change</w:t>
            </w:r>
          </w:p>
        </w:tc>
        <w:tc>
          <w:tcPr>
            <w:tcW w:w="680" w:type="dxa"/>
            <w:tcBorders>
              <w:top w:val="single" w:sz="4" w:space="0" w:color="ADD6EA"/>
              <w:left w:val="nil"/>
              <w:bottom w:val="single" w:sz="4" w:space="0" w:color="ADD6EA"/>
              <w:right w:val="nil"/>
            </w:tcBorders>
            <w:shd w:val="clear" w:color="000000" w:fill="D6E7F0"/>
            <w:noWrap/>
            <w:vAlign w:val="bottom"/>
            <w:hideMark/>
          </w:tcPr>
          <w:p w14:paraId="4CE8D547"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-1,530</w:t>
            </w:r>
          </w:p>
        </w:tc>
        <w:tc>
          <w:tcPr>
            <w:tcW w:w="680" w:type="dxa"/>
            <w:tcBorders>
              <w:top w:val="single" w:sz="4" w:space="0" w:color="ADD6EA"/>
              <w:left w:val="nil"/>
              <w:bottom w:val="single" w:sz="4" w:space="0" w:color="ADD6EA"/>
              <w:right w:val="nil"/>
            </w:tcBorders>
            <w:shd w:val="clear" w:color="000000" w:fill="D6E7F0"/>
            <w:noWrap/>
            <w:vAlign w:val="bottom"/>
            <w:hideMark/>
          </w:tcPr>
          <w:p w14:paraId="1B4ADD5C"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-440</w:t>
            </w:r>
          </w:p>
        </w:tc>
        <w:tc>
          <w:tcPr>
            <w:tcW w:w="680" w:type="dxa"/>
            <w:tcBorders>
              <w:top w:val="single" w:sz="4" w:space="0" w:color="ADD6EA"/>
              <w:left w:val="nil"/>
              <w:bottom w:val="single" w:sz="4" w:space="0" w:color="ADD6EA"/>
              <w:right w:val="nil"/>
            </w:tcBorders>
            <w:shd w:val="clear" w:color="000000" w:fill="D6E7F0"/>
            <w:noWrap/>
            <w:vAlign w:val="bottom"/>
            <w:hideMark/>
          </w:tcPr>
          <w:p w14:paraId="221AE0B9"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1,370</w:t>
            </w:r>
          </w:p>
        </w:tc>
        <w:tc>
          <w:tcPr>
            <w:tcW w:w="680" w:type="dxa"/>
            <w:tcBorders>
              <w:top w:val="single" w:sz="4" w:space="0" w:color="ADD6EA"/>
              <w:left w:val="nil"/>
              <w:bottom w:val="single" w:sz="4" w:space="0" w:color="ADD6EA"/>
              <w:right w:val="nil"/>
            </w:tcBorders>
            <w:shd w:val="clear" w:color="000000" w:fill="D6E7F0"/>
            <w:noWrap/>
            <w:vAlign w:val="bottom"/>
            <w:hideMark/>
          </w:tcPr>
          <w:p w14:paraId="7C2BEBED"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717</w:t>
            </w:r>
          </w:p>
        </w:tc>
        <w:tc>
          <w:tcPr>
            <w:tcW w:w="680" w:type="dxa"/>
            <w:tcBorders>
              <w:top w:val="single" w:sz="4" w:space="0" w:color="ADD6EA"/>
              <w:left w:val="nil"/>
              <w:bottom w:val="single" w:sz="4" w:space="0" w:color="ADD6EA"/>
              <w:right w:val="nil"/>
            </w:tcBorders>
            <w:shd w:val="clear" w:color="000000" w:fill="D6E7F0"/>
            <w:noWrap/>
            <w:vAlign w:val="bottom"/>
            <w:hideMark/>
          </w:tcPr>
          <w:p w14:paraId="3C06D151"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-253</w:t>
            </w:r>
          </w:p>
        </w:tc>
        <w:tc>
          <w:tcPr>
            <w:tcW w:w="680" w:type="dxa"/>
            <w:tcBorders>
              <w:top w:val="single" w:sz="4" w:space="0" w:color="ADD6EA"/>
              <w:left w:val="nil"/>
              <w:bottom w:val="single" w:sz="4" w:space="0" w:color="ADD6EA"/>
              <w:right w:val="nil"/>
            </w:tcBorders>
            <w:shd w:val="clear" w:color="000000" w:fill="D6E7F0"/>
            <w:noWrap/>
            <w:vAlign w:val="bottom"/>
            <w:hideMark/>
          </w:tcPr>
          <w:p w14:paraId="6C98F1C1"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77</w:t>
            </w:r>
          </w:p>
        </w:tc>
        <w:tc>
          <w:tcPr>
            <w:tcW w:w="680" w:type="dxa"/>
            <w:tcBorders>
              <w:top w:val="single" w:sz="4" w:space="0" w:color="ADD6EA"/>
              <w:left w:val="nil"/>
              <w:bottom w:val="single" w:sz="4" w:space="0" w:color="ADD6EA"/>
              <w:right w:val="nil"/>
            </w:tcBorders>
            <w:shd w:val="clear" w:color="000000" w:fill="D6E7F0"/>
            <w:noWrap/>
            <w:vAlign w:val="bottom"/>
            <w:hideMark/>
          </w:tcPr>
          <w:p w14:paraId="427F7771"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-31</w:t>
            </w:r>
          </w:p>
        </w:tc>
        <w:tc>
          <w:tcPr>
            <w:tcW w:w="680" w:type="dxa"/>
            <w:tcBorders>
              <w:top w:val="single" w:sz="4" w:space="0" w:color="ADD6EA"/>
              <w:left w:val="nil"/>
              <w:bottom w:val="single" w:sz="4" w:space="0" w:color="ADD6EA"/>
              <w:right w:val="nil"/>
            </w:tcBorders>
            <w:shd w:val="clear" w:color="000000" w:fill="D6E7F0"/>
            <w:noWrap/>
            <w:vAlign w:val="bottom"/>
            <w:hideMark/>
          </w:tcPr>
          <w:p w14:paraId="2F160D7B"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89</w:t>
            </w:r>
          </w:p>
        </w:tc>
        <w:tc>
          <w:tcPr>
            <w:tcW w:w="680" w:type="dxa"/>
            <w:tcBorders>
              <w:top w:val="single" w:sz="4" w:space="0" w:color="ADD6EA"/>
              <w:left w:val="nil"/>
              <w:bottom w:val="single" w:sz="4" w:space="0" w:color="ADD6EA"/>
              <w:right w:val="nil"/>
            </w:tcBorders>
            <w:shd w:val="clear" w:color="000000" w:fill="D6E7F0"/>
            <w:noWrap/>
            <w:vAlign w:val="bottom"/>
            <w:hideMark/>
          </w:tcPr>
          <w:p w14:paraId="7C1002F1"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2,253</w:t>
            </w:r>
          </w:p>
        </w:tc>
      </w:tr>
      <w:tr w:rsidR="00953A0E" w:rsidRPr="00953A0E" w14:paraId="725E5E03" w14:textId="77777777" w:rsidTr="00953A0E">
        <w:trPr>
          <w:trHeight w:val="555"/>
        </w:trPr>
        <w:tc>
          <w:tcPr>
            <w:tcW w:w="2920" w:type="dxa"/>
            <w:tcBorders>
              <w:top w:val="nil"/>
              <w:left w:val="nil"/>
              <w:bottom w:val="nil"/>
              <w:right w:val="nil"/>
            </w:tcBorders>
            <w:vAlign w:val="bottom"/>
            <w:hideMark/>
          </w:tcPr>
          <w:p w14:paraId="7FB98914" w14:textId="77777777" w:rsidR="00953A0E" w:rsidRPr="00953A0E" w:rsidRDefault="00953A0E"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2018 legislated changes to determining relativities</w:t>
            </w:r>
          </w:p>
        </w:tc>
        <w:tc>
          <w:tcPr>
            <w:tcW w:w="680" w:type="dxa"/>
            <w:tcBorders>
              <w:top w:val="nil"/>
              <w:left w:val="nil"/>
              <w:bottom w:val="nil"/>
              <w:right w:val="nil"/>
            </w:tcBorders>
            <w:vAlign w:val="bottom"/>
            <w:hideMark/>
          </w:tcPr>
          <w:p w14:paraId="0BCCC6F2"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298</w:t>
            </w:r>
          </w:p>
        </w:tc>
        <w:tc>
          <w:tcPr>
            <w:tcW w:w="680" w:type="dxa"/>
            <w:tcBorders>
              <w:top w:val="nil"/>
              <w:left w:val="nil"/>
              <w:bottom w:val="nil"/>
              <w:right w:val="nil"/>
            </w:tcBorders>
            <w:vAlign w:val="bottom"/>
            <w:hideMark/>
          </w:tcPr>
          <w:p w14:paraId="49F8DCFF"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249</w:t>
            </w:r>
          </w:p>
        </w:tc>
        <w:tc>
          <w:tcPr>
            <w:tcW w:w="680" w:type="dxa"/>
            <w:tcBorders>
              <w:top w:val="nil"/>
              <w:left w:val="nil"/>
              <w:bottom w:val="nil"/>
              <w:right w:val="nil"/>
            </w:tcBorders>
            <w:vAlign w:val="bottom"/>
            <w:hideMark/>
          </w:tcPr>
          <w:p w14:paraId="6B430D7B"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-763</w:t>
            </w:r>
          </w:p>
        </w:tc>
        <w:tc>
          <w:tcPr>
            <w:tcW w:w="680" w:type="dxa"/>
            <w:tcBorders>
              <w:top w:val="nil"/>
              <w:left w:val="nil"/>
              <w:bottom w:val="nil"/>
              <w:right w:val="nil"/>
            </w:tcBorders>
            <w:vAlign w:val="bottom"/>
            <w:hideMark/>
          </w:tcPr>
          <w:p w14:paraId="066928A4"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97</w:t>
            </w:r>
          </w:p>
        </w:tc>
        <w:tc>
          <w:tcPr>
            <w:tcW w:w="680" w:type="dxa"/>
            <w:tcBorders>
              <w:top w:val="nil"/>
              <w:left w:val="nil"/>
              <w:bottom w:val="nil"/>
              <w:right w:val="nil"/>
            </w:tcBorders>
            <w:vAlign w:val="bottom"/>
            <w:hideMark/>
          </w:tcPr>
          <w:p w14:paraId="0B48BFEC"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68</w:t>
            </w:r>
          </w:p>
        </w:tc>
        <w:tc>
          <w:tcPr>
            <w:tcW w:w="680" w:type="dxa"/>
            <w:tcBorders>
              <w:top w:val="nil"/>
              <w:left w:val="nil"/>
              <w:bottom w:val="nil"/>
              <w:right w:val="nil"/>
            </w:tcBorders>
            <w:vAlign w:val="bottom"/>
            <w:hideMark/>
          </w:tcPr>
          <w:p w14:paraId="00F777E3"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21</w:t>
            </w:r>
          </w:p>
        </w:tc>
        <w:tc>
          <w:tcPr>
            <w:tcW w:w="680" w:type="dxa"/>
            <w:tcBorders>
              <w:top w:val="nil"/>
              <w:left w:val="nil"/>
              <w:bottom w:val="nil"/>
              <w:right w:val="nil"/>
            </w:tcBorders>
            <w:vAlign w:val="bottom"/>
            <w:hideMark/>
          </w:tcPr>
          <w:p w14:paraId="30BEE6F4"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17</w:t>
            </w:r>
          </w:p>
        </w:tc>
        <w:tc>
          <w:tcPr>
            <w:tcW w:w="680" w:type="dxa"/>
            <w:tcBorders>
              <w:top w:val="nil"/>
              <w:left w:val="nil"/>
              <w:bottom w:val="nil"/>
              <w:right w:val="nil"/>
            </w:tcBorders>
            <w:vAlign w:val="bottom"/>
            <w:hideMark/>
          </w:tcPr>
          <w:p w14:paraId="26AEEDEB"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12</w:t>
            </w:r>
          </w:p>
        </w:tc>
        <w:tc>
          <w:tcPr>
            <w:tcW w:w="680" w:type="dxa"/>
            <w:tcBorders>
              <w:top w:val="nil"/>
              <w:left w:val="nil"/>
              <w:bottom w:val="nil"/>
              <w:right w:val="nil"/>
            </w:tcBorders>
            <w:vAlign w:val="bottom"/>
            <w:hideMark/>
          </w:tcPr>
          <w:p w14:paraId="1FEA1618" w14:textId="77777777" w:rsidR="00953A0E" w:rsidRPr="00953A0E" w:rsidRDefault="00953A0E"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953A0E">
              <w:rPr>
                <w:rFonts w:ascii="Open Sans Light" w:eastAsia="Times New Roman" w:hAnsi="Open Sans Light" w:cs="Open Sans Light"/>
                <w:color w:val="000000"/>
                <w:sz w:val="16"/>
                <w:szCs w:val="16"/>
                <w:lang w:eastAsia="en-AU"/>
              </w:rPr>
              <w:t>763</w:t>
            </w:r>
          </w:p>
        </w:tc>
      </w:tr>
      <w:tr w:rsidR="00953A0E" w:rsidRPr="00953A0E" w14:paraId="4D7479C8" w14:textId="77777777" w:rsidTr="00953A0E">
        <w:trPr>
          <w:trHeight w:val="315"/>
        </w:trPr>
        <w:tc>
          <w:tcPr>
            <w:tcW w:w="2920" w:type="dxa"/>
            <w:tcBorders>
              <w:top w:val="single" w:sz="4" w:space="0" w:color="ADD6EA"/>
              <w:left w:val="nil"/>
              <w:bottom w:val="single" w:sz="4" w:space="0" w:color="ADD6EA"/>
              <w:right w:val="nil"/>
            </w:tcBorders>
            <w:shd w:val="clear" w:color="000000" w:fill="D6E7F0"/>
            <w:vAlign w:val="bottom"/>
            <w:hideMark/>
          </w:tcPr>
          <w:p w14:paraId="29497FA2" w14:textId="77777777" w:rsidR="00953A0E" w:rsidRPr="00953A0E" w:rsidRDefault="00953A0E" w:rsidP="002418B3">
            <w:pPr>
              <w:keepNext/>
              <w:tabs>
                <w:tab w:val="clear" w:pos="567"/>
              </w:tabs>
              <w:spacing w:before="0" w:line="240" w:lineRule="auto"/>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Change in GST relativities</w:t>
            </w:r>
          </w:p>
        </w:tc>
        <w:tc>
          <w:tcPr>
            <w:tcW w:w="680" w:type="dxa"/>
            <w:tcBorders>
              <w:top w:val="single" w:sz="4" w:space="0" w:color="ADD6EA"/>
              <w:left w:val="nil"/>
              <w:bottom w:val="single" w:sz="4" w:space="0" w:color="ADD6EA"/>
              <w:right w:val="nil"/>
            </w:tcBorders>
            <w:shd w:val="clear" w:color="000000" w:fill="D6E7F0"/>
            <w:noWrap/>
            <w:vAlign w:val="bottom"/>
            <w:hideMark/>
          </w:tcPr>
          <w:p w14:paraId="03B22054"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-1,231</w:t>
            </w:r>
          </w:p>
        </w:tc>
        <w:tc>
          <w:tcPr>
            <w:tcW w:w="680" w:type="dxa"/>
            <w:tcBorders>
              <w:top w:val="single" w:sz="4" w:space="0" w:color="ADD6EA"/>
              <w:left w:val="nil"/>
              <w:bottom w:val="single" w:sz="4" w:space="0" w:color="ADD6EA"/>
              <w:right w:val="nil"/>
            </w:tcBorders>
            <w:shd w:val="clear" w:color="000000" w:fill="D6E7F0"/>
            <w:noWrap/>
            <w:vAlign w:val="bottom"/>
            <w:hideMark/>
          </w:tcPr>
          <w:p w14:paraId="638EEC03"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-191</w:t>
            </w:r>
          </w:p>
        </w:tc>
        <w:tc>
          <w:tcPr>
            <w:tcW w:w="680" w:type="dxa"/>
            <w:tcBorders>
              <w:top w:val="single" w:sz="4" w:space="0" w:color="ADD6EA"/>
              <w:left w:val="nil"/>
              <w:bottom w:val="single" w:sz="4" w:space="0" w:color="ADD6EA"/>
              <w:right w:val="nil"/>
            </w:tcBorders>
            <w:shd w:val="clear" w:color="000000" w:fill="D6E7F0"/>
            <w:noWrap/>
            <w:vAlign w:val="bottom"/>
            <w:hideMark/>
          </w:tcPr>
          <w:p w14:paraId="7D012373"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606</w:t>
            </w:r>
          </w:p>
        </w:tc>
        <w:tc>
          <w:tcPr>
            <w:tcW w:w="680" w:type="dxa"/>
            <w:tcBorders>
              <w:top w:val="single" w:sz="4" w:space="0" w:color="ADD6EA"/>
              <w:left w:val="nil"/>
              <w:bottom w:val="single" w:sz="4" w:space="0" w:color="ADD6EA"/>
              <w:right w:val="nil"/>
            </w:tcBorders>
            <w:shd w:val="clear" w:color="000000" w:fill="D6E7F0"/>
            <w:noWrap/>
            <w:vAlign w:val="bottom"/>
            <w:hideMark/>
          </w:tcPr>
          <w:p w14:paraId="2FB9F65A"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814</w:t>
            </w:r>
          </w:p>
        </w:tc>
        <w:tc>
          <w:tcPr>
            <w:tcW w:w="680" w:type="dxa"/>
            <w:tcBorders>
              <w:top w:val="single" w:sz="4" w:space="0" w:color="ADD6EA"/>
              <w:left w:val="nil"/>
              <w:bottom w:val="single" w:sz="4" w:space="0" w:color="ADD6EA"/>
              <w:right w:val="nil"/>
            </w:tcBorders>
            <w:shd w:val="clear" w:color="000000" w:fill="D6E7F0"/>
            <w:noWrap/>
            <w:vAlign w:val="bottom"/>
            <w:hideMark/>
          </w:tcPr>
          <w:p w14:paraId="0C2CB30A"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-184</w:t>
            </w:r>
          </w:p>
        </w:tc>
        <w:tc>
          <w:tcPr>
            <w:tcW w:w="680" w:type="dxa"/>
            <w:tcBorders>
              <w:top w:val="single" w:sz="4" w:space="0" w:color="ADD6EA"/>
              <w:left w:val="nil"/>
              <w:bottom w:val="single" w:sz="4" w:space="0" w:color="ADD6EA"/>
              <w:right w:val="nil"/>
            </w:tcBorders>
            <w:shd w:val="clear" w:color="000000" w:fill="D6E7F0"/>
            <w:noWrap/>
            <w:vAlign w:val="bottom"/>
            <w:hideMark/>
          </w:tcPr>
          <w:p w14:paraId="29DD4008"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99</w:t>
            </w:r>
          </w:p>
        </w:tc>
        <w:tc>
          <w:tcPr>
            <w:tcW w:w="680" w:type="dxa"/>
            <w:tcBorders>
              <w:top w:val="single" w:sz="4" w:space="0" w:color="ADD6EA"/>
              <w:left w:val="nil"/>
              <w:bottom w:val="single" w:sz="4" w:space="0" w:color="ADD6EA"/>
              <w:right w:val="nil"/>
            </w:tcBorders>
            <w:shd w:val="clear" w:color="000000" w:fill="D6E7F0"/>
            <w:noWrap/>
            <w:vAlign w:val="bottom"/>
            <w:hideMark/>
          </w:tcPr>
          <w:p w14:paraId="27EE2BA1"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-14</w:t>
            </w:r>
          </w:p>
        </w:tc>
        <w:tc>
          <w:tcPr>
            <w:tcW w:w="680" w:type="dxa"/>
            <w:tcBorders>
              <w:top w:val="single" w:sz="4" w:space="0" w:color="ADD6EA"/>
              <w:left w:val="nil"/>
              <w:bottom w:val="single" w:sz="4" w:space="0" w:color="ADD6EA"/>
              <w:right w:val="nil"/>
            </w:tcBorders>
            <w:shd w:val="clear" w:color="000000" w:fill="D6E7F0"/>
            <w:noWrap/>
            <w:vAlign w:val="bottom"/>
            <w:hideMark/>
          </w:tcPr>
          <w:p w14:paraId="770C8638"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101</w:t>
            </w:r>
          </w:p>
        </w:tc>
        <w:tc>
          <w:tcPr>
            <w:tcW w:w="680" w:type="dxa"/>
            <w:tcBorders>
              <w:top w:val="single" w:sz="4" w:space="0" w:color="ADD6EA"/>
              <w:left w:val="nil"/>
              <w:bottom w:val="single" w:sz="4" w:space="0" w:color="ADD6EA"/>
              <w:right w:val="nil"/>
            </w:tcBorders>
            <w:shd w:val="clear" w:color="000000" w:fill="D6E7F0"/>
            <w:noWrap/>
            <w:vAlign w:val="bottom"/>
            <w:hideMark/>
          </w:tcPr>
          <w:p w14:paraId="3685FE2B" w14:textId="77777777" w:rsidR="00953A0E" w:rsidRPr="00953A0E" w:rsidRDefault="00953A0E"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953A0E">
              <w:rPr>
                <w:rFonts w:ascii="Open Sans Semibold" w:eastAsia="Times New Roman" w:hAnsi="Open Sans Semibold" w:cs="Open Sans Semibold"/>
                <w:color w:val="000000"/>
                <w:sz w:val="16"/>
                <w:szCs w:val="16"/>
                <w:lang w:eastAsia="en-AU"/>
              </w:rPr>
              <w:t>1,620</w:t>
            </w:r>
          </w:p>
        </w:tc>
      </w:tr>
    </w:tbl>
    <w:p w14:paraId="648B348E" w14:textId="77777777" w:rsidR="002373FE" w:rsidRPr="002E7C86" w:rsidRDefault="002373FE" w:rsidP="006255EE">
      <w:pPr>
        <w:pStyle w:val="CGC2025TableNote"/>
        <w:numPr>
          <w:ilvl w:val="0"/>
          <w:numId w:val="22"/>
        </w:numPr>
      </w:pPr>
      <w:bookmarkStart w:id="54" w:name="_Hlk218760538"/>
      <w:r w:rsidRPr="002E7C86">
        <w:t xml:space="preserve">The effects of changing Commonwealth payments for COVID-19 and the Better and Fairer </w:t>
      </w:r>
      <w:r>
        <w:t>Schools Agreement</w:t>
      </w:r>
      <w:r w:rsidRPr="002E7C86">
        <w:t xml:space="preserve"> are included in the changes to expense needs.</w:t>
      </w:r>
    </w:p>
    <w:bookmarkEnd w:id="54"/>
    <w:p w14:paraId="0DEA4C4D" w14:textId="77777777" w:rsidR="002373FE" w:rsidRPr="00090DBD" w:rsidRDefault="002373FE" w:rsidP="002373FE">
      <w:pPr>
        <w:pStyle w:val="Heading3"/>
      </w:pPr>
      <w:r w:rsidRPr="00090DBD">
        <w:t>Method changes</w:t>
      </w:r>
    </w:p>
    <w:p w14:paraId="707DEB47" w14:textId="313E9C98" w:rsidR="002373FE" w:rsidRDefault="002373FE" w:rsidP="002373FE">
      <w:r>
        <w:t xml:space="preserve">The Commission has implemented method changes in the justice and transport assessments. Changes to the justice assessment complete the Commission’s work undertaken as part of the 2025 Methodology Review. Changes to the </w:t>
      </w:r>
      <w:r w:rsidR="0041461C">
        <w:t xml:space="preserve">urban </w:t>
      </w:r>
      <w:r>
        <w:t>transport assessment were made as part of the New Issues process for the 2026 Update.</w:t>
      </w:r>
    </w:p>
    <w:p w14:paraId="29B803AC" w14:textId="77777777" w:rsidR="002373FE" w:rsidRDefault="002373FE" w:rsidP="002373FE">
      <w:pPr>
        <w:pStyle w:val="CGC2025Caption"/>
        <w:ind w:left="1418" w:hanging="1418"/>
      </w:pPr>
      <w:r w:rsidRPr="00D76842">
        <w:t>Table 2-3</w:t>
      </w:r>
      <w:r w:rsidRPr="00D76842">
        <w:tab/>
        <w:t xml:space="preserve">Change to </w:t>
      </w:r>
      <w:r>
        <w:t>assessed GST needs</w:t>
      </w:r>
      <w:r w:rsidRPr="00217853">
        <w:t xml:space="preserve"> due to </w:t>
      </w:r>
      <w:r>
        <w:t>method changes</w:t>
      </w:r>
      <w:r w:rsidRPr="00217853">
        <w:t>, 2025–</w:t>
      </w:r>
      <w:r w:rsidRPr="00217853">
        <w:rPr>
          <w:rFonts w:ascii="Times New Roman" w:hAnsi="Times New Roman" w:cs="Times New Roman" w:hint="eastAsia"/>
          <w:rtl/>
        </w:rPr>
        <w:t>‍</w:t>
      </w:r>
      <w:r w:rsidRPr="00217853">
        <w:t>26 to 2026–</w:t>
      </w:r>
      <w:r w:rsidRPr="00217853">
        <w:rPr>
          <w:rFonts w:ascii="Times New Roman" w:hAnsi="Times New Roman" w:cs="Times New Roman" w:hint="eastAsia"/>
          <w:rtl/>
        </w:rPr>
        <w:t>‍</w:t>
      </w:r>
      <w:r w:rsidRPr="00217853">
        <w:t>27</w:t>
      </w:r>
    </w:p>
    <w:tbl>
      <w:tblPr>
        <w:tblW w:w="8980" w:type="dxa"/>
        <w:tblLook w:val="04A0" w:firstRow="1" w:lastRow="0" w:firstColumn="1" w:lastColumn="0" w:noHBand="0" w:noVBand="1"/>
      </w:tblPr>
      <w:tblGrid>
        <w:gridCol w:w="3361"/>
        <w:gridCol w:w="620"/>
        <w:gridCol w:w="620"/>
        <w:gridCol w:w="620"/>
        <w:gridCol w:w="620"/>
        <w:gridCol w:w="620"/>
        <w:gridCol w:w="620"/>
        <w:gridCol w:w="620"/>
        <w:gridCol w:w="620"/>
        <w:gridCol w:w="659"/>
      </w:tblGrid>
      <w:tr w:rsidR="00692AC5" w:rsidRPr="00692AC5" w14:paraId="6D02366C" w14:textId="77777777" w:rsidTr="00692AC5">
        <w:trPr>
          <w:trHeight w:val="555"/>
        </w:trPr>
        <w:tc>
          <w:tcPr>
            <w:tcW w:w="3400" w:type="dxa"/>
            <w:tcBorders>
              <w:top w:val="nil"/>
              <w:left w:val="nil"/>
              <w:bottom w:val="nil"/>
              <w:right w:val="nil"/>
            </w:tcBorders>
            <w:shd w:val="clear" w:color="000000" w:fill="006991"/>
            <w:vAlign w:val="bottom"/>
            <w:hideMark/>
          </w:tcPr>
          <w:p w14:paraId="094092E2" w14:textId="77777777" w:rsidR="00692AC5" w:rsidRPr="00692AC5" w:rsidRDefault="00692AC5" w:rsidP="00692AC5">
            <w:pPr>
              <w:tabs>
                <w:tab w:val="clear" w:pos="567"/>
              </w:tabs>
              <w:spacing w:before="0" w:line="240" w:lineRule="auto"/>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 </w:t>
            </w:r>
          </w:p>
        </w:tc>
        <w:tc>
          <w:tcPr>
            <w:tcW w:w="620" w:type="dxa"/>
            <w:tcBorders>
              <w:top w:val="nil"/>
              <w:left w:val="nil"/>
              <w:bottom w:val="nil"/>
              <w:right w:val="nil"/>
            </w:tcBorders>
            <w:shd w:val="clear" w:color="000000" w:fill="006991"/>
            <w:vAlign w:val="center"/>
            <w:hideMark/>
          </w:tcPr>
          <w:p w14:paraId="0D4FA76B"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NSW</w:t>
            </w:r>
          </w:p>
        </w:tc>
        <w:tc>
          <w:tcPr>
            <w:tcW w:w="620" w:type="dxa"/>
            <w:tcBorders>
              <w:top w:val="nil"/>
              <w:left w:val="nil"/>
              <w:bottom w:val="nil"/>
              <w:right w:val="nil"/>
            </w:tcBorders>
            <w:shd w:val="clear" w:color="000000" w:fill="006991"/>
            <w:vAlign w:val="center"/>
            <w:hideMark/>
          </w:tcPr>
          <w:p w14:paraId="43D67A01"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Vic</w:t>
            </w:r>
          </w:p>
        </w:tc>
        <w:tc>
          <w:tcPr>
            <w:tcW w:w="620" w:type="dxa"/>
            <w:tcBorders>
              <w:top w:val="nil"/>
              <w:left w:val="nil"/>
              <w:bottom w:val="nil"/>
              <w:right w:val="nil"/>
            </w:tcBorders>
            <w:shd w:val="clear" w:color="000000" w:fill="006991"/>
            <w:vAlign w:val="center"/>
            <w:hideMark/>
          </w:tcPr>
          <w:p w14:paraId="161352CE"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Qld</w:t>
            </w:r>
          </w:p>
        </w:tc>
        <w:tc>
          <w:tcPr>
            <w:tcW w:w="620" w:type="dxa"/>
            <w:tcBorders>
              <w:top w:val="nil"/>
              <w:left w:val="nil"/>
              <w:bottom w:val="nil"/>
              <w:right w:val="nil"/>
            </w:tcBorders>
            <w:shd w:val="clear" w:color="000000" w:fill="006991"/>
            <w:vAlign w:val="center"/>
            <w:hideMark/>
          </w:tcPr>
          <w:p w14:paraId="7E5C6586"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WA</w:t>
            </w:r>
          </w:p>
        </w:tc>
        <w:tc>
          <w:tcPr>
            <w:tcW w:w="620" w:type="dxa"/>
            <w:tcBorders>
              <w:top w:val="nil"/>
              <w:left w:val="nil"/>
              <w:bottom w:val="nil"/>
              <w:right w:val="nil"/>
            </w:tcBorders>
            <w:shd w:val="clear" w:color="000000" w:fill="006991"/>
            <w:vAlign w:val="center"/>
            <w:hideMark/>
          </w:tcPr>
          <w:p w14:paraId="39AFCAD4"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SA</w:t>
            </w:r>
          </w:p>
        </w:tc>
        <w:tc>
          <w:tcPr>
            <w:tcW w:w="620" w:type="dxa"/>
            <w:tcBorders>
              <w:top w:val="nil"/>
              <w:left w:val="nil"/>
              <w:bottom w:val="nil"/>
              <w:right w:val="nil"/>
            </w:tcBorders>
            <w:shd w:val="clear" w:color="000000" w:fill="006991"/>
            <w:vAlign w:val="center"/>
            <w:hideMark/>
          </w:tcPr>
          <w:p w14:paraId="2804F851"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Tas</w:t>
            </w:r>
          </w:p>
        </w:tc>
        <w:tc>
          <w:tcPr>
            <w:tcW w:w="620" w:type="dxa"/>
            <w:tcBorders>
              <w:top w:val="nil"/>
              <w:left w:val="nil"/>
              <w:bottom w:val="nil"/>
              <w:right w:val="nil"/>
            </w:tcBorders>
            <w:shd w:val="clear" w:color="000000" w:fill="006991"/>
            <w:vAlign w:val="center"/>
            <w:hideMark/>
          </w:tcPr>
          <w:p w14:paraId="61B6F1F9"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ACT</w:t>
            </w:r>
          </w:p>
        </w:tc>
        <w:tc>
          <w:tcPr>
            <w:tcW w:w="620" w:type="dxa"/>
            <w:tcBorders>
              <w:top w:val="nil"/>
              <w:left w:val="nil"/>
              <w:bottom w:val="nil"/>
              <w:right w:val="nil"/>
            </w:tcBorders>
            <w:shd w:val="clear" w:color="000000" w:fill="006991"/>
            <w:vAlign w:val="center"/>
            <w:hideMark/>
          </w:tcPr>
          <w:p w14:paraId="426DC04A"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NT</w:t>
            </w:r>
          </w:p>
        </w:tc>
        <w:tc>
          <w:tcPr>
            <w:tcW w:w="620" w:type="dxa"/>
            <w:tcBorders>
              <w:top w:val="nil"/>
              <w:left w:val="nil"/>
              <w:bottom w:val="nil"/>
              <w:right w:val="nil"/>
            </w:tcBorders>
            <w:shd w:val="clear" w:color="000000" w:fill="006991"/>
            <w:vAlign w:val="center"/>
            <w:hideMark/>
          </w:tcPr>
          <w:p w14:paraId="0776A0C4"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92AC5">
              <w:rPr>
                <w:rFonts w:ascii="Open Sans Semibold" w:eastAsia="Times New Roman" w:hAnsi="Open Sans Semibold" w:cs="Open Sans Semibold"/>
                <w:color w:val="FFFFFF"/>
                <w:sz w:val="16"/>
                <w:szCs w:val="16"/>
                <w:lang w:eastAsia="en-AU"/>
              </w:rPr>
              <w:t>Total effect</w:t>
            </w:r>
          </w:p>
        </w:tc>
      </w:tr>
      <w:tr w:rsidR="00692AC5" w:rsidRPr="00692AC5" w14:paraId="7BA6925C" w14:textId="77777777" w:rsidTr="00692AC5">
        <w:trPr>
          <w:trHeight w:val="260"/>
        </w:trPr>
        <w:tc>
          <w:tcPr>
            <w:tcW w:w="3400" w:type="dxa"/>
            <w:tcBorders>
              <w:top w:val="single" w:sz="4" w:space="0" w:color="ADD6EA"/>
              <w:left w:val="nil"/>
              <w:bottom w:val="nil"/>
              <w:right w:val="nil"/>
            </w:tcBorders>
            <w:shd w:val="clear" w:color="000000" w:fill="B6D5E4"/>
            <w:vAlign w:val="bottom"/>
            <w:hideMark/>
          </w:tcPr>
          <w:p w14:paraId="08EEC86C" w14:textId="77777777" w:rsidR="00692AC5" w:rsidRPr="00692AC5" w:rsidRDefault="00692AC5" w:rsidP="00692AC5">
            <w:pPr>
              <w:tabs>
                <w:tab w:val="clear" w:pos="567"/>
              </w:tabs>
              <w:spacing w:before="0" w:line="240" w:lineRule="auto"/>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 </w:t>
            </w:r>
          </w:p>
        </w:tc>
        <w:tc>
          <w:tcPr>
            <w:tcW w:w="620" w:type="dxa"/>
            <w:tcBorders>
              <w:top w:val="single" w:sz="4" w:space="0" w:color="ADD6EA"/>
              <w:left w:val="nil"/>
              <w:bottom w:val="nil"/>
              <w:right w:val="nil"/>
            </w:tcBorders>
            <w:shd w:val="clear" w:color="000000" w:fill="B6D5E4"/>
            <w:noWrap/>
            <w:vAlign w:val="bottom"/>
            <w:hideMark/>
          </w:tcPr>
          <w:p w14:paraId="4B8B7C06"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c>
          <w:tcPr>
            <w:tcW w:w="620" w:type="dxa"/>
            <w:tcBorders>
              <w:top w:val="single" w:sz="4" w:space="0" w:color="ADD6EA"/>
              <w:left w:val="nil"/>
              <w:bottom w:val="nil"/>
              <w:right w:val="nil"/>
            </w:tcBorders>
            <w:shd w:val="clear" w:color="000000" w:fill="B6D5E4"/>
            <w:noWrap/>
            <w:vAlign w:val="bottom"/>
            <w:hideMark/>
          </w:tcPr>
          <w:p w14:paraId="4121D323"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c>
          <w:tcPr>
            <w:tcW w:w="620" w:type="dxa"/>
            <w:tcBorders>
              <w:top w:val="single" w:sz="4" w:space="0" w:color="ADD6EA"/>
              <w:left w:val="nil"/>
              <w:bottom w:val="nil"/>
              <w:right w:val="nil"/>
            </w:tcBorders>
            <w:shd w:val="clear" w:color="000000" w:fill="B6D5E4"/>
            <w:noWrap/>
            <w:vAlign w:val="bottom"/>
            <w:hideMark/>
          </w:tcPr>
          <w:p w14:paraId="49ADC134"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c>
          <w:tcPr>
            <w:tcW w:w="620" w:type="dxa"/>
            <w:tcBorders>
              <w:top w:val="single" w:sz="4" w:space="0" w:color="ADD6EA"/>
              <w:left w:val="nil"/>
              <w:bottom w:val="nil"/>
              <w:right w:val="nil"/>
            </w:tcBorders>
            <w:shd w:val="clear" w:color="000000" w:fill="B6D5E4"/>
            <w:noWrap/>
            <w:vAlign w:val="bottom"/>
            <w:hideMark/>
          </w:tcPr>
          <w:p w14:paraId="29D9B96A"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c>
          <w:tcPr>
            <w:tcW w:w="620" w:type="dxa"/>
            <w:tcBorders>
              <w:top w:val="single" w:sz="4" w:space="0" w:color="ADD6EA"/>
              <w:left w:val="nil"/>
              <w:bottom w:val="nil"/>
              <w:right w:val="nil"/>
            </w:tcBorders>
            <w:shd w:val="clear" w:color="000000" w:fill="B6D5E4"/>
            <w:noWrap/>
            <w:vAlign w:val="bottom"/>
            <w:hideMark/>
          </w:tcPr>
          <w:p w14:paraId="20AAE2F6"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c>
          <w:tcPr>
            <w:tcW w:w="620" w:type="dxa"/>
            <w:tcBorders>
              <w:top w:val="single" w:sz="4" w:space="0" w:color="ADD6EA"/>
              <w:left w:val="nil"/>
              <w:bottom w:val="nil"/>
              <w:right w:val="nil"/>
            </w:tcBorders>
            <w:shd w:val="clear" w:color="000000" w:fill="B6D5E4"/>
            <w:noWrap/>
            <w:vAlign w:val="bottom"/>
            <w:hideMark/>
          </w:tcPr>
          <w:p w14:paraId="56D1CDD5"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c>
          <w:tcPr>
            <w:tcW w:w="620" w:type="dxa"/>
            <w:tcBorders>
              <w:top w:val="single" w:sz="4" w:space="0" w:color="ADD6EA"/>
              <w:left w:val="nil"/>
              <w:bottom w:val="nil"/>
              <w:right w:val="nil"/>
            </w:tcBorders>
            <w:shd w:val="clear" w:color="000000" w:fill="B6D5E4"/>
            <w:noWrap/>
            <w:vAlign w:val="bottom"/>
            <w:hideMark/>
          </w:tcPr>
          <w:p w14:paraId="49D255BF"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c>
          <w:tcPr>
            <w:tcW w:w="620" w:type="dxa"/>
            <w:tcBorders>
              <w:top w:val="single" w:sz="4" w:space="0" w:color="ADD6EA"/>
              <w:left w:val="nil"/>
              <w:bottom w:val="nil"/>
              <w:right w:val="nil"/>
            </w:tcBorders>
            <w:shd w:val="clear" w:color="000000" w:fill="B6D5E4"/>
            <w:noWrap/>
            <w:vAlign w:val="bottom"/>
            <w:hideMark/>
          </w:tcPr>
          <w:p w14:paraId="25305369"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c>
          <w:tcPr>
            <w:tcW w:w="620" w:type="dxa"/>
            <w:tcBorders>
              <w:top w:val="single" w:sz="4" w:space="0" w:color="ADD6EA"/>
              <w:left w:val="nil"/>
              <w:bottom w:val="nil"/>
              <w:right w:val="nil"/>
            </w:tcBorders>
            <w:shd w:val="clear" w:color="000000" w:fill="B6D5E4"/>
            <w:noWrap/>
            <w:vAlign w:val="bottom"/>
            <w:hideMark/>
          </w:tcPr>
          <w:p w14:paraId="49FCA083"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$m</w:t>
            </w:r>
          </w:p>
        </w:tc>
      </w:tr>
      <w:tr w:rsidR="00692AC5" w:rsidRPr="00692AC5" w14:paraId="77FFB155" w14:textId="77777777" w:rsidTr="00692AC5">
        <w:trPr>
          <w:trHeight w:val="315"/>
        </w:trPr>
        <w:tc>
          <w:tcPr>
            <w:tcW w:w="3400" w:type="dxa"/>
            <w:tcBorders>
              <w:top w:val="single" w:sz="4" w:space="0" w:color="ADD6EA"/>
              <w:left w:val="nil"/>
              <w:bottom w:val="nil"/>
              <w:right w:val="nil"/>
            </w:tcBorders>
            <w:vAlign w:val="bottom"/>
            <w:hideMark/>
          </w:tcPr>
          <w:p w14:paraId="4049CC48"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Changes to justice assessment</w:t>
            </w:r>
          </w:p>
        </w:tc>
        <w:tc>
          <w:tcPr>
            <w:tcW w:w="620" w:type="dxa"/>
            <w:tcBorders>
              <w:top w:val="single" w:sz="4" w:space="0" w:color="ADD6EA"/>
              <w:left w:val="nil"/>
              <w:bottom w:val="nil"/>
              <w:right w:val="nil"/>
            </w:tcBorders>
            <w:noWrap/>
            <w:vAlign w:val="bottom"/>
            <w:hideMark/>
          </w:tcPr>
          <w:p w14:paraId="6A2EBF8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single" w:sz="4" w:space="0" w:color="ADD6EA"/>
              <w:left w:val="nil"/>
              <w:bottom w:val="nil"/>
              <w:right w:val="nil"/>
            </w:tcBorders>
            <w:noWrap/>
            <w:vAlign w:val="bottom"/>
            <w:hideMark/>
          </w:tcPr>
          <w:p w14:paraId="1E772C16"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single" w:sz="4" w:space="0" w:color="ADD6EA"/>
              <w:left w:val="nil"/>
              <w:bottom w:val="nil"/>
              <w:right w:val="nil"/>
            </w:tcBorders>
            <w:noWrap/>
            <w:vAlign w:val="bottom"/>
            <w:hideMark/>
          </w:tcPr>
          <w:p w14:paraId="5CE313BE"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single" w:sz="4" w:space="0" w:color="ADD6EA"/>
              <w:left w:val="nil"/>
              <w:bottom w:val="nil"/>
              <w:right w:val="nil"/>
            </w:tcBorders>
            <w:noWrap/>
            <w:vAlign w:val="bottom"/>
            <w:hideMark/>
          </w:tcPr>
          <w:p w14:paraId="0E79525E"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single" w:sz="4" w:space="0" w:color="ADD6EA"/>
              <w:left w:val="nil"/>
              <w:bottom w:val="nil"/>
              <w:right w:val="nil"/>
            </w:tcBorders>
            <w:noWrap/>
            <w:vAlign w:val="bottom"/>
            <w:hideMark/>
          </w:tcPr>
          <w:p w14:paraId="5F599AAA"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single" w:sz="4" w:space="0" w:color="ADD6EA"/>
              <w:left w:val="nil"/>
              <w:bottom w:val="nil"/>
              <w:right w:val="nil"/>
            </w:tcBorders>
            <w:noWrap/>
            <w:vAlign w:val="bottom"/>
            <w:hideMark/>
          </w:tcPr>
          <w:p w14:paraId="0B8F66A5"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single" w:sz="4" w:space="0" w:color="ADD6EA"/>
              <w:left w:val="nil"/>
              <w:bottom w:val="nil"/>
              <w:right w:val="nil"/>
            </w:tcBorders>
            <w:noWrap/>
            <w:vAlign w:val="bottom"/>
            <w:hideMark/>
          </w:tcPr>
          <w:p w14:paraId="17617739"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single" w:sz="4" w:space="0" w:color="ADD6EA"/>
              <w:left w:val="nil"/>
              <w:bottom w:val="nil"/>
              <w:right w:val="nil"/>
            </w:tcBorders>
            <w:noWrap/>
            <w:vAlign w:val="bottom"/>
            <w:hideMark/>
          </w:tcPr>
          <w:p w14:paraId="112790CA"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single" w:sz="4" w:space="0" w:color="ADD6EA"/>
              <w:left w:val="nil"/>
              <w:bottom w:val="nil"/>
              <w:right w:val="nil"/>
            </w:tcBorders>
            <w:noWrap/>
            <w:vAlign w:val="bottom"/>
            <w:hideMark/>
          </w:tcPr>
          <w:p w14:paraId="35EA4902"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r>
      <w:tr w:rsidR="00692AC5" w:rsidRPr="00692AC5" w14:paraId="5CF17F83" w14:textId="77777777" w:rsidTr="00692AC5">
        <w:trPr>
          <w:trHeight w:val="315"/>
        </w:trPr>
        <w:tc>
          <w:tcPr>
            <w:tcW w:w="3400" w:type="dxa"/>
            <w:tcBorders>
              <w:top w:val="single" w:sz="4" w:space="0" w:color="ADD6EA"/>
              <w:left w:val="nil"/>
              <w:bottom w:val="nil"/>
              <w:right w:val="nil"/>
            </w:tcBorders>
            <w:vAlign w:val="bottom"/>
            <w:hideMark/>
          </w:tcPr>
          <w:p w14:paraId="27430164" w14:textId="77777777" w:rsidR="00692AC5" w:rsidRPr="00692AC5" w:rsidRDefault="00692AC5" w:rsidP="00692AC5">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Recurrent justice expenses</w:t>
            </w:r>
          </w:p>
        </w:tc>
        <w:tc>
          <w:tcPr>
            <w:tcW w:w="620" w:type="dxa"/>
            <w:tcBorders>
              <w:top w:val="single" w:sz="4" w:space="0" w:color="ADD6EA"/>
              <w:left w:val="nil"/>
              <w:bottom w:val="nil"/>
              <w:right w:val="nil"/>
            </w:tcBorders>
            <w:noWrap/>
            <w:vAlign w:val="bottom"/>
            <w:hideMark/>
          </w:tcPr>
          <w:p w14:paraId="50992860"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218</w:t>
            </w:r>
          </w:p>
        </w:tc>
        <w:tc>
          <w:tcPr>
            <w:tcW w:w="620" w:type="dxa"/>
            <w:tcBorders>
              <w:top w:val="single" w:sz="4" w:space="0" w:color="ADD6EA"/>
              <w:left w:val="nil"/>
              <w:bottom w:val="nil"/>
              <w:right w:val="nil"/>
            </w:tcBorders>
            <w:noWrap/>
            <w:vAlign w:val="bottom"/>
            <w:hideMark/>
          </w:tcPr>
          <w:p w14:paraId="1EAEDCE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-232</w:t>
            </w:r>
          </w:p>
        </w:tc>
        <w:tc>
          <w:tcPr>
            <w:tcW w:w="620" w:type="dxa"/>
            <w:tcBorders>
              <w:top w:val="single" w:sz="4" w:space="0" w:color="ADD6EA"/>
              <w:left w:val="nil"/>
              <w:bottom w:val="nil"/>
              <w:right w:val="nil"/>
            </w:tcBorders>
            <w:noWrap/>
            <w:vAlign w:val="bottom"/>
            <w:hideMark/>
          </w:tcPr>
          <w:p w14:paraId="355DE862"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97</w:t>
            </w:r>
          </w:p>
        </w:tc>
        <w:tc>
          <w:tcPr>
            <w:tcW w:w="620" w:type="dxa"/>
            <w:tcBorders>
              <w:top w:val="single" w:sz="4" w:space="0" w:color="ADD6EA"/>
              <w:left w:val="nil"/>
              <w:bottom w:val="nil"/>
              <w:right w:val="nil"/>
            </w:tcBorders>
            <w:noWrap/>
            <w:vAlign w:val="bottom"/>
            <w:hideMark/>
          </w:tcPr>
          <w:p w14:paraId="6EA8B63D"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-68</w:t>
            </w:r>
          </w:p>
        </w:tc>
        <w:tc>
          <w:tcPr>
            <w:tcW w:w="620" w:type="dxa"/>
            <w:tcBorders>
              <w:top w:val="single" w:sz="4" w:space="0" w:color="ADD6EA"/>
              <w:left w:val="nil"/>
              <w:bottom w:val="nil"/>
              <w:right w:val="nil"/>
            </w:tcBorders>
            <w:noWrap/>
            <w:vAlign w:val="bottom"/>
            <w:hideMark/>
          </w:tcPr>
          <w:p w14:paraId="59643CA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-40</w:t>
            </w:r>
          </w:p>
        </w:tc>
        <w:tc>
          <w:tcPr>
            <w:tcW w:w="620" w:type="dxa"/>
            <w:tcBorders>
              <w:top w:val="single" w:sz="4" w:space="0" w:color="ADD6EA"/>
              <w:left w:val="nil"/>
              <w:bottom w:val="nil"/>
              <w:right w:val="nil"/>
            </w:tcBorders>
            <w:noWrap/>
            <w:vAlign w:val="bottom"/>
            <w:hideMark/>
          </w:tcPr>
          <w:p w14:paraId="7578455C"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55</w:t>
            </w:r>
          </w:p>
        </w:tc>
        <w:tc>
          <w:tcPr>
            <w:tcW w:w="620" w:type="dxa"/>
            <w:tcBorders>
              <w:top w:val="single" w:sz="4" w:space="0" w:color="ADD6EA"/>
              <w:left w:val="nil"/>
              <w:bottom w:val="nil"/>
              <w:right w:val="nil"/>
            </w:tcBorders>
            <w:noWrap/>
            <w:vAlign w:val="bottom"/>
            <w:hideMark/>
          </w:tcPr>
          <w:p w14:paraId="2209C113"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-15</w:t>
            </w:r>
          </w:p>
        </w:tc>
        <w:tc>
          <w:tcPr>
            <w:tcW w:w="620" w:type="dxa"/>
            <w:tcBorders>
              <w:top w:val="single" w:sz="4" w:space="0" w:color="ADD6EA"/>
              <w:left w:val="nil"/>
              <w:bottom w:val="nil"/>
              <w:right w:val="nil"/>
            </w:tcBorders>
            <w:noWrap/>
            <w:vAlign w:val="bottom"/>
            <w:hideMark/>
          </w:tcPr>
          <w:p w14:paraId="6B40CA0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-15</w:t>
            </w:r>
          </w:p>
        </w:tc>
        <w:tc>
          <w:tcPr>
            <w:tcW w:w="620" w:type="dxa"/>
            <w:tcBorders>
              <w:top w:val="single" w:sz="4" w:space="0" w:color="ADD6EA"/>
              <w:left w:val="nil"/>
              <w:bottom w:val="nil"/>
              <w:right w:val="nil"/>
            </w:tcBorders>
            <w:noWrap/>
            <w:vAlign w:val="bottom"/>
            <w:hideMark/>
          </w:tcPr>
          <w:p w14:paraId="2F940786"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370</w:t>
            </w:r>
          </w:p>
        </w:tc>
      </w:tr>
      <w:tr w:rsidR="00692AC5" w:rsidRPr="00692AC5" w14:paraId="47F7D440" w14:textId="77777777" w:rsidTr="00692AC5">
        <w:trPr>
          <w:trHeight w:val="315"/>
        </w:trPr>
        <w:tc>
          <w:tcPr>
            <w:tcW w:w="3400" w:type="dxa"/>
            <w:tcBorders>
              <w:top w:val="single" w:sz="4" w:space="0" w:color="ADD6EA"/>
              <w:left w:val="nil"/>
              <w:bottom w:val="nil"/>
              <w:right w:val="nil"/>
            </w:tcBorders>
            <w:vAlign w:val="bottom"/>
            <w:hideMark/>
          </w:tcPr>
          <w:p w14:paraId="37B5AAA5" w14:textId="77777777" w:rsidR="00692AC5" w:rsidRPr="00692AC5" w:rsidRDefault="00692AC5" w:rsidP="00692AC5">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Investment in justice</w:t>
            </w:r>
          </w:p>
        </w:tc>
        <w:tc>
          <w:tcPr>
            <w:tcW w:w="620" w:type="dxa"/>
            <w:tcBorders>
              <w:top w:val="single" w:sz="4" w:space="0" w:color="ADD6EA"/>
              <w:left w:val="nil"/>
              <w:bottom w:val="nil"/>
              <w:right w:val="nil"/>
            </w:tcBorders>
            <w:noWrap/>
            <w:vAlign w:val="bottom"/>
            <w:hideMark/>
          </w:tcPr>
          <w:p w14:paraId="4F603E8D"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32</w:t>
            </w:r>
          </w:p>
        </w:tc>
        <w:tc>
          <w:tcPr>
            <w:tcW w:w="620" w:type="dxa"/>
            <w:tcBorders>
              <w:top w:val="single" w:sz="4" w:space="0" w:color="ADD6EA"/>
              <w:left w:val="nil"/>
              <w:bottom w:val="nil"/>
              <w:right w:val="nil"/>
            </w:tcBorders>
            <w:noWrap/>
            <w:vAlign w:val="bottom"/>
            <w:hideMark/>
          </w:tcPr>
          <w:p w14:paraId="3A4C936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-19</w:t>
            </w:r>
          </w:p>
        </w:tc>
        <w:tc>
          <w:tcPr>
            <w:tcW w:w="620" w:type="dxa"/>
            <w:tcBorders>
              <w:top w:val="single" w:sz="4" w:space="0" w:color="ADD6EA"/>
              <w:left w:val="nil"/>
              <w:bottom w:val="nil"/>
              <w:right w:val="nil"/>
            </w:tcBorders>
            <w:noWrap/>
            <w:vAlign w:val="bottom"/>
            <w:hideMark/>
          </w:tcPr>
          <w:p w14:paraId="26C054CD"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3</w:t>
            </w:r>
          </w:p>
        </w:tc>
        <w:tc>
          <w:tcPr>
            <w:tcW w:w="620" w:type="dxa"/>
            <w:tcBorders>
              <w:top w:val="single" w:sz="4" w:space="0" w:color="ADD6EA"/>
              <w:left w:val="nil"/>
              <w:bottom w:val="nil"/>
              <w:right w:val="nil"/>
            </w:tcBorders>
            <w:noWrap/>
            <w:vAlign w:val="bottom"/>
            <w:hideMark/>
          </w:tcPr>
          <w:p w14:paraId="3B8209A6"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-15</w:t>
            </w:r>
          </w:p>
        </w:tc>
        <w:tc>
          <w:tcPr>
            <w:tcW w:w="620" w:type="dxa"/>
            <w:tcBorders>
              <w:top w:val="single" w:sz="4" w:space="0" w:color="ADD6EA"/>
              <w:left w:val="nil"/>
              <w:bottom w:val="nil"/>
              <w:right w:val="nil"/>
            </w:tcBorders>
            <w:noWrap/>
            <w:vAlign w:val="bottom"/>
            <w:hideMark/>
          </w:tcPr>
          <w:p w14:paraId="06B90298"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-2</w:t>
            </w:r>
          </w:p>
        </w:tc>
        <w:tc>
          <w:tcPr>
            <w:tcW w:w="620" w:type="dxa"/>
            <w:tcBorders>
              <w:top w:val="single" w:sz="4" w:space="0" w:color="ADD6EA"/>
              <w:left w:val="nil"/>
              <w:bottom w:val="nil"/>
              <w:right w:val="nil"/>
            </w:tcBorders>
            <w:noWrap/>
            <w:vAlign w:val="bottom"/>
            <w:hideMark/>
          </w:tcPr>
          <w:p w14:paraId="02A53A2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6</w:t>
            </w:r>
          </w:p>
        </w:tc>
        <w:tc>
          <w:tcPr>
            <w:tcW w:w="620" w:type="dxa"/>
            <w:tcBorders>
              <w:top w:val="single" w:sz="4" w:space="0" w:color="ADD6EA"/>
              <w:left w:val="nil"/>
              <w:bottom w:val="nil"/>
              <w:right w:val="nil"/>
            </w:tcBorders>
            <w:noWrap/>
            <w:vAlign w:val="bottom"/>
            <w:hideMark/>
          </w:tcPr>
          <w:p w14:paraId="17B538E6"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w:t>
            </w:r>
          </w:p>
        </w:tc>
        <w:tc>
          <w:tcPr>
            <w:tcW w:w="620" w:type="dxa"/>
            <w:tcBorders>
              <w:top w:val="single" w:sz="4" w:space="0" w:color="ADD6EA"/>
              <w:left w:val="nil"/>
              <w:bottom w:val="nil"/>
              <w:right w:val="nil"/>
            </w:tcBorders>
            <w:noWrap/>
            <w:vAlign w:val="bottom"/>
            <w:hideMark/>
          </w:tcPr>
          <w:p w14:paraId="1E5488A8"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-4</w:t>
            </w:r>
          </w:p>
        </w:tc>
        <w:tc>
          <w:tcPr>
            <w:tcW w:w="620" w:type="dxa"/>
            <w:tcBorders>
              <w:top w:val="single" w:sz="4" w:space="0" w:color="ADD6EA"/>
              <w:left w:val="nil"/>
              <w:bottom w:val="nil"/>
              <w:right w:val="nil"/>
            </w:tcBorders>
            <w:noWrap/>
            <w:vAlign w:val="bottom"/>
            <w:hideMark/>
          </w:tcPr>
          <w:p w14:paraId="2C0B48E2"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41</w:t>
            </w:r>
          </w:p>
        </w:tc>
      </w:tr>
      <w:tr w:rsidR="00692AC5" w:rsidRPr="00692AC5" w14:paraId="727B76B0" w14:textId="77777777" w:rsidTr="00692AC5">
        <w:trPr>
          <w:trHeight w:val="555"/>
        </w:trPr>
        <w:tc>
          <w:tcPr>
            <w:tcW w:w="3400" w:type="dxa"/>
            <w:tcBorders>
              <w:top w:val="single" w:sz="4" w:space="0" w:color="ADD6EA"/>
              <w:left w:val="nil"/>
              <w:bottom w:val="nil"/>
              <w:right w:val="nil"/>
            </w:tcBorders>
            <w:vAlign w:val="bottom"/>
            <w:hideMark/>
          </w:tcPr>
          <w:p w14:paraId="09968667" w14:textId="77777777" w:rsidR="00692AC5" w:rsidRPr="00692AC5" w:rsidRDefault="00692AC5" w:rsidP="00AB7106">
            <w:pPr>
              <w:tabs>
                <w:tab w:val="clear" w:pos="567"/>
              </w:tabs>
              <w:spacing w:before="0" w:line="240" w:lineRule="auto"/>
              <w:ind w:left="174"/>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General gradient changes to other assessments</w:t>
            </w:r>
          </w:p>
        </w:tc>
        <w:tc>
          <w:tcPr>
            <w:tcW w:w="620" w:type="dxa"/>
            <w:tcBorders>
              <w:top w:val="single" w:sz="4" w:space="0" w:color="ADD6EA"/>
              <w:left w:val="nil"/>
              <w:bottom w:val="nil"/>
              <w:right w:val="nil"/>
            </w:tcBorders>
            <w:vAlign w:val="bottom"/>
            <w:hideMark/>
          </w:tcPr>
          <w:p w14:paraId="6EAEC727"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-8</w:t>
            </w:r>
          </w:p>
        </w:tc>
        <w:tc>
          <w:tcPr>
            <w:tcW w:w="620" w:type="dxa"/>
            <w:tcBorders>
              <w:top w:val="single" w:sz="4" w:space="0" w:color="ADD6EA"/>
              <w:left w:val="nil"/>
              <w:bottom w:val="nil"/>
              <w:right w:val="nil"/>
            </w:tcBorders>
            <w:vAlign w:val="bottom"/>
            <w:hideMark/>
          </w:tcPr>
          <w:p w14:paraId="421B03AD"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-6</w:t>
            </w:r>
          </w:p>
        </w:tc>
        <w:tc>
          <w:tcPr>
            <w:tcW w:w="620" w:type="dxa"/>
            <w:tcBorders>
              <w:top w:val="single" w:sz="4" w:space="0" w:color="ADD6EA"/>
              <w:left w:val="nil"/>
              <w:bottom w:val="nil"/>
              <w:right w:val="nil"/>
            </w:tcBorders>
            <w:vAlign w:val="bottom"/>
            <w:hideMark/>
          </w:tcPr>
          <w:p w14:paraId="2168DBE4"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2</w:t>
            </w:r>
          </w:p>
        </w:tc>
        <w:tc>
          <w:tcPr>
            <w:tcW w:w="620" w:type="dxa"/>
            <w:tcBorders>
              <w:top w:val="single" w:sz="4" w:space="0" w:color="ADD6EA"/>
              <w:left w:val="nil"/>
              <w:bottom w:val="nil"/>
              <w:right w:val="nil"/>
            </w:tcBorders>
            <w:vAlign w:val="bottom"/>
            <w:hideMark/>
          </w:tcPr>
          <w:p w14:paraId="4EC87DB6"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3</w:t>
            </w:r>
          </w:p>
        </w:tc>
        <w:tc>
          <w:tcPr>
            <w:tcW w:w="620" w:type="dxa"/>
            <w:tcBorders>
              <w:top w:val="single" w:sz="4" w:space="0" w:color="ADD6EA"/>
              <w:left w:val="nil"/>
              <w:bottom w:val="nil"/>
              <w:right w:val="nil"/>
            </w:tcBorders>
            <w:vAlign w:val="bottom"/>
            <w:hideMark/>
          </w:tcPr>
          <w:p w14:paraId="7C8B9EAF"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0</w:t>
            </w:r>
          </w:p>
        </w:tc>
        <w:tc>
          <w:tcPr>
            <w:tcW w:w="620" w:type="dxa"/>
            <w:tcBorders>
              <w:top w:val="single" w:sz="4" w:space="0" w:color="ADD6EA"/>
              <w:left w:val="nil"/>
              <w:bottom w:val="nil"/>
              <w:right w:val="nil"/>
            </w:tcBorders>
            <w:vAlign w:val="bottom"/>
            <w:hideMark/>
          </w:tcPr>
          <w:p w14:paraId="13538B2D"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w:t>
            </w:r>
          </w:p>
        </w:tc>
        <w:tc>
          <w:tcPr>
            <w:tcW w:w="620" w:type="dxa"/>
            <w:tcBorders>
              <w:top w:val="single" w:sz="4" w:space="0" w:color="ADD6EA"/>
              <w:left w:val="nil"/>
              <w:bottom w:val="nil"/>
              <w:right w:val="nil"/>
            </w:tcBorders>
            <w:vAlign w:val="bottom"/>
            <w:hideMark/>
          </w:tcPr>
          <w:p w14:paraId="070EEA89"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w:t>
            </w:r>
          </w:p>
        </w:tc>
        <w:tc>
          <w:tcPr>
            <w:tcW w:w="620" w:type="dxa"/>
            <w:tcBorders>
              <w:top w:val="single" w:sz="4" w:space="0" w:color="ADD6EA"/>
              <w:left w:val="nil"/>
              <w:bottom w:val="nil"/>
              <w:right w:val="nil"/>
            </w:tcBorders>
            <w:vAlign w:val="bottom"/>
            <w:hideMark/>
          </w:tcPr>
          <w:p w14:paraId="62482B30"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8</w:t>
            </w:r>
          </w:p>
        </w:tc>
        <w:tc>
          <w:tcPr>
            <w:tcW w:w="620" w:type="dxa"/>
            <w:tcBorders>
              <w:top w:val="single" w:sz="4" w:space="0" w:color="ADD6EA"/>
              <w:left w:val="nil"/>
              <w:bottom w:val="nil"/>
              <w:right w:val="nil"/>
            </w:tcBorders>
            <w:vAlign w:val="bottom"/>
            <w:hideMark/>
          </w:tcPr>
          <w:p w14:paraId="05ADAAB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14</w:t>
            </w:r>
          </w:p>
        </w:tc>
      </w:tr>
      <w:tr w:rsidR="00692AC5" w:rsidRPr="00692AC5" w14:paraId="6C1CEE03" w14:textId="77777777" w:rsidTr="00692AC5">
        <w:trPr>
          <w:trHeight w:val="315"/>
        </w:trPr>
        <w:tc>
          <w:tcPr>
            <w:tcW w:w="3400" w:type="dxa"/>
            <w:tcBorders>
              <w:top w:val="single" w:sz="4" w:space="0" w:color="ADD6EA"/>
              <w:left w:val="nil"/>
              <w:bottom w:val="single" w:sz="4" w:space="0" w:color="ADD6EA"/>
              <w:right w:val="nil"/>
            </w:tcBorders>
            <w:shd w:val="clear" w:color="000000" w:fill="D6E7F0"/>
            <w:vAlign w:val="center"/>
            <w:hideMark/>
          </w:tcPr>
          <w:p w14:paraId="058524F8" w14:textId="77777777" w:rsidR="00692AC5" w:rsidRPr="00692AC5" w:rsidRDefault="00692AC5" w:rsidP="00692AC5">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Total</w:t>
            </w:r>
          </w:p>
        </w:tc>
        <w:tc>
          <w:tcPr>
            <w:tcW w:w="620" w:type="dxa"/>
            <w:tcBorders>
              <w:top w:val="single" w:sz="4" w:space="0" w:color="ADD6EA"/>
              <w:left w:val="nil"/>
              <w:bottom w:val="single" w:sz="4" w:space="0" w:color="ADD6EA"/>
              <w:right w:val="nil"/>
            </w:tcBorders>
            <w:shd w:val="clear" w:color="000000" w:fill="D6E7F0"/>
            <w:vAlign w:val="center"/>
            <w:hideMark/>
          </w:tcPr>
          <w:p w14:paraId="5FE7E847"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242</w:t>
            </w:r>
          </w:p>
        </w:tc>
        <w:tc>
          <w:tcPr>
            <w:tcW w:w="620" w:type="dxa"/>
            <w:tcBorders>
              <w:top w:val="single" w:sz="4" w:space="0" w:color="ADD6EA"/>
              <w:left w:val="nil"/>
              <w:bottom w:val="single" w:sz="4" w:space="0" w:color="ADD6EA"/>
              <w:right w:val="nil"/>
            </w:tcBorders>
            <w:shd w:val="clear" w:color="000000" w:fill="D6E7F0"/>
            <w:vAlign w:val="center"/>
            <w:hideMark/>
          </w:tcPr>
          <w:p w14:paraId="5EC6CFBF"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-257</w:t>
            </w:r>
          </w:p>
        </w:tc>
        <w:tc>
          <w:tcPr>
            <w:tcW w:w="620" w:type="dxa"/>
            <w:tcBorders>
              <w:top w:val="single" w:sz="4" w:space="0" w:color="ADD6EA"/>
              <w:left w:val="nil"/>
              <w:bottom w:val="single" w:sz="4" w:space="0" w:color="ADD6EA"/>
              <w:right w:val="nil"/>
            </w:tcBorders>
            <w:shd w:val="clear" w:color="000000" w:fill="D6E7F0"/>
            <w:vAlign w:val="center"/>
            <w:hideMark/>
          </w:tcPr>
          <w:p w14:paraId="0C1CB811"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102</w:t>
            </w:r>
          </w:p>
        </w:tc>
        <w:tc>
          <w:tcPr>
            <w:tcW w:w="620" w:type="dxa"/>
            <w:tcBorders>
              <w:top w:val="single" w:sz="4" w:space="0" w:color="ADD6EA"/>
              <w:left w:val="nil"/>
              <w:bottom w:val="single" w:sz="4" w:space="0" w:color="ADD6EA"/>
              <w:right w:val="nil"/>
            </w:tcBorders>
            <w:shd w:val="clear" w:color="000000" w:fill="D6E7F0"/>
            <w:vAlign w:val="center"/>
            <w:hideMark/>
          </w:tcPr>
          <w:p w14:paraId="44CE2A4F"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-81</w:t>
            </w:r>
          </w:p>
        </w:tc>
        <w:tc>
          <w:tcPr>
            <w:tcW w:w="620" w:type="dxa"/>
            <w:tcBorders>
              <w:top w:val="single" w:sz="4" w:space="0" w:color="ADD6EA"/>
              <w:left w:val="nil"/>
              <w:bottom w:val="single" w:sz="4" w:space="0" w:color="ADD6EA"/>
              <w:right w:val="nil"/>
            </w:tcBorders>
            <w:shd w:val="clear" w:color="000000" w:fill="D6E7F0"/>
            <w:vAlign w:val="center"/>
            <w:hideMark/>
          </w:tcPr>
          <w:p w14:paraId="3439F324"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-43</w:t>
            </w:r>
          </w:p>
        </w:tc>
        <w:tc>
          <w:tcPr>
            <w:tcW w:w="620" w:type="dxa"/>
            <w:tcBorders>
              <w:top w:val="single" w:sz="4" w:space="0" w:color="ADD6EA"/>
              <w:left w:val="nil"/>
              <w:bottom w:val="single" w:sz="4" w:space="0" w:color="ADD6EA"/>
              <w:right w:val="nil"/>
            </w:tcBorders>
            <w:shd w:val="clear" w:color="000000" w:fill="D6E7F0"/>
            <w:vAlign w:val="center"/>
            <w:hideMark/>
          </w:tcPr>
          <w:p w14:paraId="2E3168C5"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62</w:t>
            </w:r>
          </w:p>
        </w:tc>
        <w:tc>
          <w:tcPr>
            <w:tcW w:w="620" w:type="dxa"/>
            <w:tcBorders>
              <w:top w:val="single" w:sz="4" w:space="0" w:color="ADD6EA"/>
              <w:left w:val="nil"/>
              <w:bottom w:val="single" w:sz="4" w:space="0" w:color="ADD6EA"/>
              <w:right w:val="nil"/>
            </w:tcBorders>
            <w:shd w:val="clear" w:color="000000" w:fill="D6E7F0"/>
            <w:vAlign w:val="center"/>
            <w:hideMark/>
          </w:tcPr>
          <w:p w14:paraId="388D2C5A"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-17</w:t>
            </w:r>
          </w:p>
        </w:tc>
        <w:tc>
          <w:tcPr>
            <w:tcW w:w="620" w:type="dxa"/>
            <w:tcBorders>
              <w:top w:val="single" w:sz="4" w:space="0" w:color="ADD6EA"/>
              <w:left w:val="nil"/>
              <w:bottom w:val="single" w:sz="4" w:space="0" w:color="ADD6EA"/>
              <w:right w:val="nil"/>
            </w:tcBorders>
            <w:shd w:val="clear" w:color="000000" w:fill="D6E7F0"/>
            <w:vAlign w:val="center"/>
            <w:hideMark/>
          </w:tcPr>
          <w:p w14:paraId="1AEB49EC"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-10</w:t>
            </w:r>
          </w:p>
        </w:tc>
        <w:tc>
          <w:tcPr>
            <w:tcW w:w="620" w:type="dxa"/>
            <w:tcBorders>
              <w:top w:val="single" w:sz="4" w:space="0" w:color="ADD6EA"/>
              <w:left w:val="nil"/>
              <w:bottom w:val="single" w:sz="4" w:space="0" w:color="ADD6EA"/>
              <w:right w:val="nil"/>
            </w:tcBorders>
            <w:shd w:val="clear" w:color="000000" w:fill="D6E7F0"/>
            <w:vAlign w:val="center"/>
            <w:hideMark/>
          </w:tcPr>
          <w:p w14:paraId="4F7F9250"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407</w:t>
            </w:r>
          </w:p>
        </w:tc>
      </w:tr>
      <w:tr w:rsidR="00692AC5" w:rsidRPr="00692AC5" w14:paraId="7B4EECE3" w14:textId="77777777" w:rsidTr="00692AC5">
        <w:trPr>
          <w:trHeight w:val="315"/>
        </w:trPr>
        <w:tc>
          <w:tcPr>
            <w:tcW w:w="3400" w:type="dxa"/>
            <w:tcBorders>
              <w:top w:val="nil"/>
              <w:left w:val="nil"/>
              <w:bottom w:val="nil"/>
              <w:right w:val="nil"/>
            </w:tcBorders>
            <w:vAlign w:val="bottom"/>
            <w:hideMark/>
          </w:tcPr>
          <w:p w14:paraId="2CE3D8F6"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Changes to blending in urban transport</w:t>
            </w:r>
          </w:p>
        </w:tc>
        <w:tc>
          <w:tcPr>
            <w:tcW w:w="620" w:type="dxa"/>
            <w:tcBorders>
              <w:top w:val="nil"/>
              <w:left w:val="nil"/>
              <w:bottom w:val="nil"/>
              <w:right w:val="nil"/>
            </w:tcBorders>
            <w:noWrap/>
            <w:vAlign w:val="bottom"/>
            <w:hideMark/>
          </w:tcPr>
          <w:p w14:paraId="3C071030"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nil"/>
              <w:left w:val="nil"/>
              <w:bottom w:val="nil"/>
              <w:right w:val="nil"/>
            </w:tcBorders>
            <w:noWrap/>
            <w:vAlign w:val="bottom"/>
            <w:hideMark/>
          </w:tcPr>
          <w:p w14:paraId="7604CB77"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nil"/>
              <w:left w:val="nil"/>
              <w:bottom w:val="nil"/>
              <w:right w:val="nil"/>
            </w:tcBorders>
            <w:noWrap/>
            <w:vAlign w:val="bottom"/>
            <w:hideMark/>
          </w:tcPr>
          <w:p w14:paraId="30FE7FC1"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nil"/>
              <w:left w:val="nil"/>
              <w:bottom w:val="nil"/>
              <w:right w:val="nil"/>
            </w:tcBorders>
            <w:noWrap/>
            <w:vAlign w:val="bottom"/>
            <w:hideMark/>
          </w:tcPr>
          <w:p w14:paraId="2E77DBC4"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nil"/>
              <w:left w:val="nil"/>
              <w:bottom w:val="nil"/>
              <w:right w:val="nil"/>
            </w:tcBorders>
            <w:noWrap/>
            <w:vAlign w:val="bottom"/>
            <w:hideMark/>
          </w:tcPr>
          <w:p w14:paraId="4736C113"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nil"/>
              <w:left w:val="nil"/>
              <w:bottom w:val="nil"/>
              <w:right w:val="nil"/>
            </w:tcBorders>
            <w:noWrap/>
            <w:vAlign w:val="bottom"/>
            <w:hideMark/>
          </w:tcPr>
          <w:p w14:paraId="1A99CBB3"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nil"/>
              <w:left w:val="nil"/>
              <w:bottom w:val="nil"/>
              <w:right w:val="nil"/>
            </w:tcBorders>
            <w:noWrap/>
            <w:vAlign w:val="bottom"/>
            <w:hideMark/>
          </w:tcPr>
          <w:p w14:paraId="192844AE"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nil"/>
              <w:left w:val="nil"/>
              <w:bottom w:val="nil"/>
              <w:right w:val="nil"/>
            </w:tcBorders>
            <w:noWrap/>
            <w:vAlign w:val="bottom"/>
            <w:hideMark/>
          </w:tcPr>
          <w:p w14:paraId="38DF98F5"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c>
          <w:tcPr>
            <w:tcW w:w="620" w:type="dxa"/>
            <w:tcBorders>
              <w:top w:val="nil"/>
              <w:left w:val="nil"/>
              <w:bottom w:val="nil"/>
              <w:right w:val="nil"/>
            </w:tcBorders>
            <w:noWrap/>
            <w:vAlign w:val="bottom"/>
            <w:hideMark/>
          </w:tcPr>
          <w:p w14:paraId="74FBCF5C" w14:textId="77777777" w:rsidR="00692AC5" w:rsidRPr="00692AC5" w:rsidRDefault="00692AC5" w:rsidP="00692AC5">
            <w:pPr>
              <w:tabs>
                <w:tab w:val="clear" w:pos="567"/>
              </w:tabs>
              <w:spacing w:before="0" w:line="240" w:lineRule="auto"/>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 </w:t>
            </w:r>
          </w:p>
        </w:tc>
      </w:tr>
      <w:tr w:rsidR="00692AC5" w:rsidRPr="00692AC5" w14:paraId="3A4F755C" w14:textId="77777777" w:rsidTr="00692AC5">
        <w:trPr>
          <w:trHeight w:val="315"/>
        </w:trPr>
        <w:tc>
          <w:tcPr>
            <w:tcW w:w="3400" w:type="dxa"/>
            <w:tcBorders>
              <w:top w:val="single" w:sz="4" w:space="0" w:color="ADD6EA"/>
              <w:left w:val="nil"/>
              <w:bottom w:val="nil"/>
              <w:right w:val="nil"/>
            </w:tcBorders>
            <w:vAlign w:val="bottom"/>
            <w:hideMark/>
          </w:tcPr>
          <w:p w14:paraId="1DE2B308" w14:textId="77777777" w:rsidR="00692AC5" w:rsidRPr="00692AC5" w:rsidRDefault="00692AC5" w:rsidP="00692AC5">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Recurrent urban transport expenses</w:t>
            </w:r>
          </w:p>
        </w:tc>
        <w:tc>
          <w:tcPr>
            <w:tcW w:w="620" w:type="dxa"/>
            <w:tcBorders>
              <w:top w:val="single" w:sz="4" w:space="0" w:color="ADD6EA"/>
              <w:left w:val="nil"/>
              <w:bottom w:val="nil"/>
              <w:right w:val="nil"/>
            </w:tcBorders>
            <w:noWrap/>
            <w:vAlign w:val="bottom"/>
            <w:hideMark/>
          </w:tcPr>
          <w:p w14:paraId="1CFB0968"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-84</w:t>
            </w:r>
          </w:p>
        </w:tc>
        <w:tc>
          <w:tcPr>
            <w:tcW w:w="620" w:type="dxa"/>
            <w:tcBorders>
              <w:top w:val="single" w:sz="4" w:space="0" w:color="ADD6EA"/>
              <w:left w:val="nil"/>
              <w:bottom w:val="nil"/>
              <w:right w:val="nil"/>
            </w:tcBorders>
            <w:noWrap/>
            <w:vAlign w:val="bottom"/>
            <w:hideMark/>
          </w:tcPr>
          <w:p w14:paraId="65A4A9E7"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-29</w:t>
            </w:r>
          </w:p>
        </w:tc>
        <w:tc>
          <w:tcPr>
            <w:tcW w:w="620" w:type="dxa"/>
            <w:tcBorders>
              <w:top w:val="single" w:sz="4" w:space="0" w:color="ADD6EA"/>
              <w:left w:val="nil"/>
              <w:bottom w:val="nil"/>
              <w:right w:val="nil"/>
            </w:tcBorders>
            <w:noWrap/>
            <w:vAlign w:val="bottom"/>
            <w:hideMark/>
          </w:tcPr>
          <w:p w14:paraId="7916FBED"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49</w:t>
            </w:r>
          </w:p>
        </w:tc>
        <w:tc>
          <w:tcPr>
            <w:tcW w:w="620" w:type="dxa"/>
            <w:tcBorders>
              <w:top w:val="single" w:sz="4" w:space="0" w:color="ADD6EA"/>
              <w:left w:val="nil"/>
              <w:bottom w:val="nil"/>
              <w:right w:val="nil"/>
            </w:tcBorders>
            <w:noWrap/>
            <w:vAlign w:val="bottom"/>
            <w:hideMark/>
          </w:tcPr>
          <w:p w14:paraId="01CB9A5A"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22</w:t>
            </w:r>
          </w:p>
        </w:tc>
        <w:tc>
          <w:tcPr>
            <w:tcW w:w="620" w:type="dxa"/>
            <w:tcBorders>
              <w:top w:val="single" w:sz="4" w:space="0" w:color="ADD6EA"/>
              <w:left w:val="nil"/>
              <w:bottom w:val="nil"/>
              <w:right w:val="nil"/>
            </w:tcBorders>
            <w:noWrap/>
            <w:vAlign w:val="bottom"/>
            <w:hideMark/>
          </w:tcPr>
          <w:p w14:paraId="7AED2DD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19</w:t>
            </w:r>
          </w:p>
        </w:tc>
        <w:tc>
          <w:tcPr>
            <w:tcW w:w="620" w:type="dxa"/>
            <w:tcBorders>
              <w:top w:val="single" w:sz="4" w:space="0" w:color="ADD6EA"/>
              <w:left w:val="nil"/>
              <w:bottom w:val="nil"/>
              <w:right w:val="nil"/>
            </w:tcBorders>
            <w:noWrap/>
            <w:vAlign w:val="bottom"/>
            <w:hideMark/>
          </w:tcPr>
          <w:p w14:paraId="78052F7B"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9</w:t>
            </w:r>
          </w:p>
        </w:tc>
        <w:tc>
          <w:tcPr>
            <w:tcW w:w="620" w:type="dxa"/>
            <w:tcBorders>
              <w:top w:val="single" w:sz="4" w:space="0" w:color="ADD6EA"/>
              <w:left w:val="nil"/>
              <w:bottom w:val="nil"/>
              <w:right w:val="nil"/>
            </w:tcBorders>
            <w:noWrap/>
            <w:vAlign w:val="bottom"/>
            <w:hideMark/>
          </w:tcPr>
          <w:p w14:paraId="79FB7B70"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9</w:t>
            </w:r>
          </w:p>
        </w:tc>
        <w:tc>
          <w:tcPr>
            <w:tcW w:w="620" w:type="dxa"/>
            <w:tcBorders>
              <w:top w:val="single" w:sz="4" w:space="0" w:color="ADD6EA"/>
              <w:left w:val="nil"/>
              <w:bottom w:val="nil"/>
              <w:right w:val="nil"/>
            </w:tcBorders>
            <w:noWrap/>
            <w:vAlign w:val="bottom"/>
            <w:hideMark/>
          </w:tcPr>
          <w:p w14:paraId="3FBB7E56"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5</w:t>
            </w:r>
          </w:p>
        </w:tc>
        <w:tc>
          <w:tcPr>
            <w:tcW w:w="620" w:type="dxa"/>
            <w:tcBorders>
              <w:top w:val="single" w:sz="4" w:space="0" w:color="ADD6EA"/>
              <w:left w:val="nil"/>
              <w:bottom w:val="nil"/>
              <w:right w:val="nil"/>
            </w:tcBorders>
            <w:noWrap/>
            <w:vAlign w:val="bottom"/>
            <w:hideMark/>
          </w:tcPr>
          <w:p w14:paraId="16EA6C75"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113</w:t>
            </w:r>
          </w:p>
        </w:tc>
      </w:tr>
      <w:tr w:rsidR="00692AC5" w:rsidRPr="00692AC5" w14:paraId="1AE68DCE" w14:textId="77777777" w:rsidTr="00692AC5">
        <w:trPr>
          <w:trHeight w:val="315"/>
        </w:trPr>
        <w:tc>
          <w:tcPr>
            <w:tcW w:w="3400" w:type="dxa"/>
            <w:tcBorders>
              <w:top w:val="single" w:sz="4" w:space="0" w:color="ADD6EA"/>
              <w:left w:val="nil"/>
              <w:bottom w:val="nil"/>
              <w:right w:val="nil"/>
            </w:tcBorders>
            <w:vAlign w:val="bottom"/>
            <w:hideMark/>
          </w:tcPr>
          <w:p w14:paraId="15560E63" w14:textId="77777777" w:rsidR="00692AC5" w:rsidRPr="00692AC5" w:rsidRDefault="00692AC5" w:rsidP="00692AC5">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Investment in urban transport</w:t>
            </w:r>
          </w:p>
        </w:tc>
        <w:tc>
          <w:tcPr>
            <w:tcW w:w="620" w:type="dxa"/>
            <w:tcBorders>
              <w:top w:val="single" w:sz="4" w:space="0" w:color="ADD6EA"/>
              <w:left w:val="nil"/>
              <w:bottom w:val="nil"/>
              <w:right w:val="nil"/>
            </w:tcBorders>
            <w:noWrap/>
            <w:vAlign w:val="bottom"/>
            <w:hideMark/>
          </w:tcPr>
          <w:p w14:paraId="217295C7"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-14</w:t>
            </w:r>
          </w:p>
        </w:tc>
        <w:tc>
          <w:tcPr>
            <w:tcW w:w="620" w:type="dxa"/>
            <w:tcBorders>
              <w:top w:val="single" w:sz="4" w:space="0" w:color="ADD6EA"/>
              <w:left w:val="nil"/>
              <w:bottom w:val="nil"/>
              <w:right w:val="nil"/>
            </w:tcBorders>
            <w:noWrap/>
            <w:vAlign w:val="bottom"/>
            <w:hideMark/>
          </w:tcPr>
          <w:p w14:paraId="43E8B468"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88</w:t>
            </w:r>
          </w:p>
        </w:tc>
        <w:tc>
          <w:tcPr>
            <w:tcW w:w="620" w:type="dxa"/>
            <w:tcBorders>
              <w:top w:val="single" w:sz="4" w:space="0" w:color="ADD6EA"/>
              <w:left w:val="nil"/>
              <w:bottom w:val="nil"/>
              <w:right w:val="nil"/>
            </w:tcBorders>
            <w:noWrap/>
            <w:vAlign w:val="bottom"/>
            <w:hideMark/>
          </w:tcPr>
          <w:p w14:paraId="515DCDB3"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-38</w:t>
            </w:r>
          </w:p>
        </w:tc>
        <w:tc>
          <w:tcPr>
            <w:tcW w:w="620" w:type="dxa"/>
            <w:tcBorders>
              <w:top w:val="single" w:sz="4" w:space="0" w:color="ADD6EA"/>
              <w:left w:val="nil"/>
              <w:bottom w:val="nil"/>
              <w:right w:val="nil"/>
            </w:tcBorders>
            <w:noWrap/>
            <w:vAlign w:val="bottom"/>
            <w:hideMark/>
          </w:tcPr>
          <w:p w14:paraId="16A936A7"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-4</w:t>
            </w:r>
          </w:p>
        </w:tc>
        <w:tc>
          <w:tcPr>
            <w:tcW w:w="620" w:type="dxa"/>
            <w:tcBorders>
              <w:top w:val="single" w:sz="4" w:space="0" w:color="ADD6EA"/>
              <w:left w:val="nil"/>
              <w:bottom w:val="nil"/>
              <w:right w:val="nil"/>
            </w:tcBorders>
            <w:noWrap/>
            <w:vAlign w:val="bottom"/>
            <w:hideMark/>
          </w:tcPr>
          <w:p w14:paraId="74A26A59"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-16</w:t>
            </w:r>
          </w:p>
        </w:tc>
        <w:tc>
          <w:tcPr>
            <w:tcW w:w="620" w:type="dxa"/>
            <w:tcBorders>
              <w:top w:val="single" w:sz="4" w:space="0" w:color="ADD6EA"/>
              <w:left w:val="nil"/>
              <w:bottom w:val="nil"/>
              <w:right w:val="nil"/>
            </w:tcBorders>
            <w:noWrap/>
            <w:vAlign w:val="bottom"/>
            <w:hideMark/>
          </w:tcPr>
          <w:p w14:paraId="15D6D5B1"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-6</w:t>
            </w:r>
          </w:p>
        </w:tc>
        <w:tc>
          <w:tcPr>
            <w:tcW w:w="620" w:type="dxa"/>
            <w:tcBorders>
              <w:top w:val="single" w:sz="4" w:space="0" w:color="ADD6EA"/>
              <w:left w:val="nil"/>
              <w:bottom w:val="nil"/>
              <w:right w:val="nil"/>
            </w:tcBorders>
            <w:noWrap/>
            <w:vAlign w:val="bottom"/>
            <w:hideMark/>
          </w:tcPr>
          <w:p w14:paraId="6DD0966E"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-8</w:t>
            </w:r>
          </w:p>
        </w:tc>
        <w:tc>
          <w:tcPr>
            <w:tcW w:w="620" w:type="dxa"/>
            <w:tcBorders>
              <w:top w:val="single" w:sz="4" w:space="0" w:color="ADD6EA"/>
              <w:left w:val="nil"/>
              <w:bottom w:val="nil"/>
              <w:right w:val="nil"/>
            </w:tcBorders>
            <w:noWrap/>
            <w:vAlign w:val="bottom"/>
            <w:hideMark/>
          </w:tcPr>
          <w:p w14:paraId="7627DD76"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-2</w:t>
            </w:r>
          </w:p>
        </w:tc>
        <w:tc>
          <w:tcPr>
            <w:tcW w:w="620" w:type="dxa"/>
            <w:tcBorders>
              <w:top w:val="single" w:sz="4" w:space="0" w:color="ADD6EA"/>
              <w:left w:val="nil"/>
              <w:bottom w:val="nil"/>
              <w:right w:val="nil"/>
            </w:tcBorders>
            <w:noWrap/>
            <w:vAlign w:val="bottom"/>
            <w:hideMark/>
          </w:tcPr>
          <w:p w14:paraId="72680075" w14:textId="77777777" w:rsidR="00692AC5" w:rsidRPr="00692AC5" w:rsidRDefault="00692AC5" w:rsidP="00692AC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92AC5">
              <w:rPr>
                <w:rFonts w:ascii="Open Sans Light" w:eastAsia="Times New Roman" w:hAnsi="Open Sans Light" w:cs="Open Sans Light"/>
                <w:color w:val="000000"/>
                <w:sz w:val="16"/>
                <w:szCs w:val="16"/>
                <w:lang w:eastAsia="en-AU"/>
              </w:rPr>
              <w:t>88</w:t>
            </w:r>
          </w:p>
        </w:tc>
      </w:tr>
      <w:tr w:rsidR="00692AC5" w:rsidRPr="00692AC5" w14:paraId="5A73142B" w14:textId="77777777" w:rsidTr="00692AC5">
        <w:trPr>
          <w:trHeight w:val="315"/>
        </w:trPr>
        <w:tc>
          <w:tcPr>
            <w:tcW w:w="3400" w:type="dxa"/>
            <w:tcBorders>
              <w:top w:val="single" w:sz="4" w:space="0" w:color="ADD6EA"/>
              <w:left w:val="nil"/>
              <w:bottom w:val="nil"/>
              <w:right w:val="nil"/>
            </w:tcBorders>
            <w:shd w:val="clear" w:color="000000" w:fill="D6E7F0"/>
            <w:vAlign w:val="center"/>
            <w:hideMark/>
          </w:tcPr>
          <w:p w14:paraId="19DAD0B6" w14:textId="77777777" w:rsidR="00692AC5" w:rsidRPr="00692AC5" w:rsidRDefault="00692AC5" w:rsidP="00692AC5">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Total</w:t>
            </w:r>
          </w:p>
        </w:tc>
        <w:tc>
          <w:tcPr>
            <w:tcW w:w="620" w:type="dxa"/>
            <w:tcBorders>
              <w:top w:val="single" w:sz="4" w:space="0" w:color="ADD6EA"/>
              <w:left w:val="nil"/>
              <w:bottom w:val="nil"/>
              <w:right w:val="nil"/>
            </w:tcBorders>
            <w:shd w:val="clear" w:color="000000" w:fill="D6E7F0"/>
            <w:vAlign w:val="center"/>
            <w:hideMark/>
          </w:tcPr>
          <w:p w14:paraId="7A85846B"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-97</w:t>
            </w:r>
          </w:p>
        </w:tc>
        <w:tc>
          <w:tcPr>
            <w:tcW w:w="620" w:type="dxa"/>
            <w:tcBorders>
              <w:top w:val="single" w:sz="4" w:space="0" w:color="ADD6EA"/>
              <w:left w:val="nil"/>
              <w:bottom w:val="nil"/>
              <w:right w:val="nil"/>
            </w:tcBorders>
            <w:shd w:val="clear" w:color="000000" w:fill="D6E7F0"/>
            <w:vAlign w:val="center"/>
            <w:hideMark/>
          </w:tcPr>
          <w:p w14:paraId="6F3606D0"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59</w:t>
            </w:r>
          </w:p>
        </w:tc>
        <w:tc>
          <w:tcPr>
            <w:tcW w:w="620" w:type="dxa"/>
            <w:tcBorders>
              <w:top w:val="single" w:sz="4" w:space="0" w:color="ADD6EA"/>
              <w:left w:val="nil"/>
              <w:bottom w:val="nil"/>
              <w:right w:val="nil"/>
            </w:tcBorders>
            <w:shd w:val="clear" w:color="000000" w:fill="D6E7F0"/>
            <w:vAlign w:val="center"/>
            <w:hideMark/>
          </w:tcPr>
          <w:p w14:paraId="06B042D7"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11</w:t>
            </w:r>
          </w:p>
        </w:tc>
        <w:tc>
          <w:tcPr>
            <w:tcW w:w="620" w:type="dxa"/>
            <w:tcBorders>
              <w:top w:val="single" w:sz="4" w:space="0" w:color="ADD6EA"/>
              <w:left w:val="nil"/>
              <w:bottom w:val="nil"/>
              <w:right w:val="nil"/>
            </w:tcBorders>
            <w:shd w:val="clear" w:color="000000" w:fill="D6E7F0"/>
            <w:vAlign w:val="center"/>
            <w:hideMark/>
          </w:tcPr>
          <w:p w14:paraId="3300ED86"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18</w:t>
            </w:r>
          </w:p>
        </w:tc>
        <w:tc>
          <w:tcPr>
            <w:tcW w:w="620" w:type="dxa"/>
            <w:tcBorders>
              <w:top w:val="single" w:sz="4" w:space="0" w:color="ADD6EA"/>
              <w:left w:val="nil"/>
              <w:bottom w:val="nil"/>
              <w:right w:val="nil"/>
            </w:tcBorders>
            <w:shd w:val="clear" w:color="000000" w:fill="D6E7F0"/>
            <w:vAlign w:val="center"/>
            <w:hideMark/>
          </w:tcPr>
          <w:p w14:paraId="45A50918"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3</w:t>
            </w:r>
          </w:p>
        </w:tc>
        <w:tc>
          <w:tcPr>
            <w:tcW w:w="620" w:type="dxa"/>
            <w:tcBorders>
              <w:top w:val="single" w:sz="4" w:space="0" w:color="ADD6EA"/>
              <w:left w:val="nil"/>
              <w:bottom w:val="nil"/>
              <w:right w:val="nil"/>
            </w:tcBorders>
            <w:shd w:val="clear" w:color="000000" w:fill="D6E7F0"/>
            <w:vAlign w:val="center"/>
            <w:hideMark/>
          </w:tcPr>
          <w:p w14:paraId="675AA845"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3</w:t>
            </w:r>
          </w:p>
        </w:tc>
        <w:tc>
          <w:tcPr>
            <w:tcW w:w="620" w:type="dxa"/>
            <w:tcBorders>
              <w:top w:val="single" w:sz="4" w:space="0" w:color="ADD6EA"/>
              <w:left w:val="nil"/>
              <w:bottom w:val="nil"/>
              <w:right w:val="nil"/>
            </w:tcBorders>
            <w:shd w:val="clear" w:color="000000" w:fill="D6E7F0"/>
            <w:vAlign w:val="center"/>
            <w:hideMark/>
          </w:tcPr>
          <w:p w14:paraId="1BF65502"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w:t>
            </w:r>
          </w:p>
        </w:tc>
        <w:tc>
          <w:tcPr>
            <w:tcW w:w="620" w:type="dxa"/>
            <w:tcBorders>
              <w:top w:val="single" w:sz="4" w:space="0" w:color="ADD6EA"/>
              <w:left w:val="nil"/>
              <w:bottom w:val="nil"/>
              <w:right w:val="nil"/>
            </w:tcBorders>
            <w:shd w:val="clear" w:color="000000" w:fill="D6E7F0"/>
            <w:vAlign w:val="center"/>
            <w:hideMark/>
          </w:tcPr>
          <w:p w14:paraId="5427DD74"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3</w:t>
            </w:r>
          </w:p>
        </w:tc>
        <w:tc>
          <w:tcPr>
            <w:tcW w:w="620" w:type="dxa"/>
            <w:tcBorders>
              <w:top w:val="single" w:sz="4" w:space="0" w:color="ADD6EA"/>
              <w:left w:val="nil"/>
              <w:bottom w:val="nil"/>
              <w:right w:val="nil"/>
            </w:tcBorders>
            <w:shd w:val="clear" w:color="000000" w:fill="D6E7F0"/>
            <w:vAlign w:val="center"/>
            <w:hideMark/>
          </w:tcPr>
          <w:p w14:paraId="1867A008"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97</w:t>
            </w:r>
          </w:p>
        </w:tc>
      </w:tr>
      <w:tr w:rsidR="00692AC5" w:rsidRPr="00692AC5" w14:paraId="269817A3" w14:textId="77777777" w:rsidTr="00692AC5">
        <w:trPr>
          <w:trHeight w:val="315"/>
        </w:trPr>
        <w:tc>
          <w:tcPr>
            <w:tcW w:w="3400" w:type="dxa"/>
            <w:tcBorders>
              <w:top w:val="single" w:sz="4" w:space="0" w:color="ADD6EA"/>
              <w:left w:val="nil"/>
              <w:bottom w:val="single" w:sz="4" w:space="0" w:color="ADD6EA"/>
              <w:right w:val="nil"/>
            </w:tcBorders>
            <w:shd w:val="clear" w:color="000000" w:fill="B6D5E4"/>
            <w:vAlign w:val="bottom"/>
            <w:hideMark/>
          </w:tcPr>
          <w:p w14:paraId="0BD9977B" w14:textId="77777777" w:rsidR="00692AC5" w:rsidRPr="00692AC5" w:rsidRDefault="00692AC5" w:rsidP="00692AC5">
            <w:pPr>
              <w:tabs>
                <w:tab w:val="clear" w:pos="567"/>
              </w:tabs>
              <w:spacing w:before="0" w:line="240" w:lineRule="auto"/>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Total method changes</w:t>
            </w:r>
          </w:p>
        </w:tc>
        <w:tc>
          <w:tcPr>
            <w:tcW w:w="620" w:type="dxa"/>
            <w:tcBorders>
              <w:top w:val="single" w:sz="4" w:space="0" w:color="ADD6EA"/>
              <w:left w:val="nil"/>
              <w:bottom w:val="single" w:sz="4" w:space="0" w:color="ADD6EA"/>
              <w:right w:val="nil"/>
            </w:tcBorders>
            <w:shd w:val="clear" w:color="000000" w:fill="B6D5E4"/>
            <w:noWrap/>
            <w:vAlign w:val="bottom"/>
            <w:hideMark/>
          </w:tcPr>
          <w:p w14:paraId="359505B4"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145</w:t>
            </w:r>
          </w:p>
        </w:tc>
        <w:tc>
          <w:tcPr>
            <w:tcW w:w="620" w:type="dxa"/>
            <w:tcBorders>
              <w:top w:val="single" w:sz="4" w:space="0" w:color="ADD6EA"/>
              <w:left w:val="nil"/>
              <w:bottom w:val="single" w:sz="4" w:space="0" w:color="ADD6EA"/>
              <w:right w:val="nil"/>
            </w:tcBorders>
            <w:shd w:val="clear" w:color="000000" w:fill="B6D5E4"/>
            <w:noWrap/>
            <w:vAlign w:val="bottom"/>
            <w:hideMark/>
          </w:tcPr>
          <w:p w14:paraId="310890D3"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-197</w:t>
            </w:r>
          </w:p>
        </w:tc>
        <w:tc>
          <w:tcPr>
            <w:tcW w:w="620" w:type="dxa"/>
            <w:tcBorders>
              <w:top w:val="single" w:sz="4" w:space="0" w:color="ADD6EA"/>
              <w:left w:val="nil"/>
              <w:bottom w:val="single" w:sz="4" w:space="0" w:color="ADD6EA"/>
              <w:right w:val="nil"/>
            </w:tcBorders>
            <w:shd w:val="clear" w:color="000000" w:fill="B6D5E4"/>
            <w:noWrap/>
            <w:vAlign w:val="bottom"/>
            <w:hideMark/>
          </w:tcPr>
          <w:p w14:paraId="30A8BE9A"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113</w:t>
            </w:r>
          </w:p>
        </w:tc>
        <w:tc>
          <w:tcPr>
            <w:tcW w:w="620" w:type="dxa"/>
            <w:tcBorders>
              <w:top w:val="single" w:sz="4" w:space="0" w:color="ADD6EA"/>
              <w:left w:val="nil"/>
              <w:bottom w:val="single" w:sz="4" w:space="0" w:color="ADD6EA"/>
              <w:right w:val="nil"/>
            </w:tcBorders>
            <w:shd w:val="clear" w:color="000000" w:fill="B6D5E4"/>
            <w:noWrap/>
            <w:vAlign w:val="bottom"/>
            <w:hideMark/>
          </w:tcPr>
          <w:p w14:paraId="54A4EC84"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-63</w:t>
            </w:r>
          </w:p>
        </w:tc>
        <w:tc>
          <w:tcPr>
            <w:tcW w:w="620" w:type="dxa"/>
            <w:tcBorders>
              <w:top w:val="single" w:sz="4" w:space="0" w:color="ADD6EA"/>
              <w:left w:val="nil"/>
              <w:bottom w:val="single" w:sz="4" w:space="0" w:color="ADD6EA"/>
              <w:right w:val="nil"/>
            </w:tcBorders>
            <w:shd w:val="clear" w:color="000000" w:fill="B6D5E4"/>
            <w:noWrap/>
            <w:vAlign w:val="bottom"/>
            <w:hideMark/>
          </w:tcPr>
          <w:p w14:paraId="5612643C"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-40</w:t>
            </w:r>
          </w:p>
        </w:tc>
        <w:tc>
          <w:tcPr>
            <w:tcW w:w="620" w:type="dxa"/>
            <w:tcBorders>
              <w:top w:val="single" w:sz="4" w:space="0" w:color="ADD6EA"/>
              <w:left w:val="nil"/>
              <w:bottom w:val="single" w:sz="4" w:space="0" w:color="ADD6EA"/>
              <w:right w:val="nil"/>
            </w:tcBorders>
            <w:shd w:val="clear" w:color="000000" w:fill="B6D5E4"/>
            <w:noWrap/>
            <w:vAlign w:val="bottom"/>
            <w:hideMark/>
          </w:tcPr>
          <w:p w14:paraId="1A9C3B4C"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66</w:t>
            </w:r>
          </w:p>
        </w:tc>
        <w:tc>
          <w:tcPr>
            <w:tcW w:w="620" w:type="dxa"/>
            <w:tcBorders>
              <w:top w:val="single" w:sz="4" w:space="0" w:color="ADD6EA"/>
              <w:left w:val="nil"/>
              <w:bottom w:val="single" w:sz="4" w:space="0" w:color="ADD6EA"/>
              <w:right w:val="nil"/>
            </w:tcBorders>
            <w:shd w:val="clear" w:color="000000" w:fill="B6D5E4"/>
            <w:noWrap/>
            <w:vAlign w:val="bottom"/>
            <w:hideMark/>
          </w:tcPr>
          <w:p w14:paraId="769BA2DB"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-15</w:t>
            </w:r>
          </w:p>
        </w:tc>
        <w:tc>
          <w:tcPr>
            <w:tcW w:w="620" w:type="dxa"/>
            <w:tcBorders>
              <w:top w:val="single" w:sz="4" w:space="0" w:color="ADD6EA"/>
              <w:left w:val="nil"/>
              <w:bottom w:val="single" w:sz="4" w:space="0" w:color="ADD6EA"/>
              <w:right w:val="nil"/>
            </w:tcBorders>
            <w:shd w:val="clear" w:color="000000" w:fill="B6D5E4"/>
            <w:noWrap/>
            <w:vAlign w:val="bottom"/>
            <w:hideMark/>
          </w:tcPr>
          <w:p w14:paraId="4BC39A01"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-7</w:t>
            </w:r>
          </w:p>
        </w:tc>
        <w:tc>
          <w:tcPr>
            <w:tcW w:w="620" w:type="dxa"/>
            <w:tcBorders>
              <w:top w:val="single" w:sz="4" w:space="0" w:color="ADD6EA"/>
              <w:left w:val="nil"/>
              <w:bottom w:val="single" w:sz="4" w:space="0" w:color="ADD6EA"/>
              <w:right w:val="nil"/>
            </w:tcBorders>
            <w:shd w:val="clear" w:color="000000" w:fill="B6D5E4"/>
            <w:noWrap/>
            <w:vAlign w:val="bottom"/>
            <w:hideMark/>
          </w:tcPr>
          <w:p w14:paraId="29F7E850" w14:textId="77777777" w:rsidR="00692AC5" w:rsidRPr="00692AC5" w:rsidRDefault="00692AC5" w:rsidP="00692AC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92AC5">
              <w:rPr>
                <w:rFonts w:ascii="Open Sans Semibold" w:eastAsia="Times New Roman" w:hAnsi="Open Sans Semibold" w:cs="Open Sans Semibold"/>
                <w:color w:val="000000"/>
                <w:sz w:val="16"/>
                <w:szCs w:val="16"/>
                <w:lang w:eastAsia="en-AU"/>
              </w:rPr>
              <w:t>323</w:t>
            </w:r>
          </w:p>
        </w:tc>
      </w:tr>
    </w:tbl>
    <w:p w14:paraId="5896307F" w14:textId="0E2FFACA" w:rsidR="002373FE" w:rsidRPr="004F3E1D" w:rsidRDefault="002373FE" w:rsidP="00390826">
      <w:pPr>
        <w:pStyle w:val="CGC2025TableNote"/>
        <w:tabs>
          <w:tab w:val="clear" w:pos="567"/>
          <w:tab w:val="clear" w:pos="680"/>
          <w:tab w:val="left" w:pos="658"/>
        </w:tabs>
        <w:ind w:left="658" w:hanging="545"/>
      </w:pPr>
      <w:r w:rsidRPr="004F3E1D">
        <w:t xml:space="preserve">Note: </w:t>
      </w:r>
      <w:r w:rsidR="00390826">
        <w:tab/>
      </w:r>
      <w:r>
        <w:t>N</w:t>
      </w:r>
      <w:r w:rsidRPr="004F3E1D">
        <w:t>umbers</w:t>
      </w:r>
      <w:r>
        <w:t xml:space="preserve"> for the changes to the justice assessment </w:t>
      </w:r>
      <w:r w:rsidRPr="004F3E1D">
        <w:t xml:space="preserve">differ from those presented in the </w:t>
      </w:r>
      <w:r w:rsidR="00431DE8" w:rsidRPr="008930E1">
        <w:rPr>
          <w:i/>
          <w:iCs/>
        </w:rPr>
        <w:t>O</w:t>
      </w:r>
      <w:r w:rsidRPr="008930E1">
        <w:rPr>
          <w:i/>
          <w:iCs/>
        </w:rPr>
        <w:t>verview of the final draft justice assessment</w:t>
      </w:r>
      <w:r w:rsidRPr="004F3E1D">
        <w:t xml:space="preserve"> because they incorporate the growth of the GST pool for 2026–27 compared with the 2025 Review.</w:t>
      </w:r>
    </w:p>
    <w:p w14:paraId="70AB33F0" w14:textId="77777777" w:rsidR="002373FE" w:rsidRDefault="002373FE" w:rsidP="002373FE">
      <w:pPr>
        <w:pStyle w:val="Heading4"/>
      </w:pPr>
      <w:r w:rsidRPr="000C699C">
        <w:t>Justice</w:t>
      </w:r>
      <w:r w:rsidRPr="000C699C" w:rsidDel="00041239">
        <w:t xml:space="preserve"> </w:t>
      </w:r>
    </w:p>
    <w:p w14:paraId="72F472D9" w14:textId="6B4B563F" w:rsidR="002373FE" w:rsidRPr="000C699C" w:rsidRDefault="002373FE" w:rsidP="002373FE">
      <w:r>
        <w:t>As part of the 2025 Methodology Review, t</w:t>
      </w:r>
      <w:r w:rsidRPr="000C699C">
        <w:t>he Commission delay</w:t>
      </w:r>
      <w:r>
        <w:t>ed</w:t>
      </w:r>
      <w:r w:rsidRPr="000C699C">
        <w:t xml:space="preserve"> </w:t>
      </w:r>
      <w:r>
        <w:t>method</w:t>
      </w:r>
      <w:r w:rsidRPr="00D01D5C">
        <w:t xml:space="preserve"> </w:t>
      </w:r>
      <w:r>
        <w:t>changes in the justice assessment</w:t>
      </w:r>
      <w:r w:rsidRPr="00D01D5C">
        <w:t xml:space="preserve"> </w:t>
      </w:r>
      <w:r>
        <w:t>until</w:t>
      </w:r>
      <w:r w:rsidRPr="00D01D5C">
        <w:t xml:space="preserve"> the 2026</w:t>
      </w:r>
      <w:r>
        <w:t> </w:t>
      </w:r>
      <w:r w:rsidRPr="00D01D5C">
        <w:t>Update</w:t>
      </w:r>
      <w:r>
        <w:t xml:space="preserve">. This was to allow </w:t>
      </w:r>
      <w:r w:rsidR="00CA1CD0">
        <w:t>for</w:t>
      </w:r>
      <w:r>
        <w:t xml:space="preserve"> the use of data that were not</w:t>
      </w:r>
      <w:r w:rsidR="00503377">
        <w:t xml:space="preserve"> unduly</w:t>
      </w:r>
      <w:r>
        <w:t xml:space="preserve"> affected by the COVID-19 pandemic and appropriate consultation with the states.</w:t>
      </w:r>
    </w:p>
    <w:p w14:paraId="26E6E7FE" w14:textId="38D05171" w:rsidR="002373FE" w:rsidRPr="00D76842" w:rsidRDefault="002373FE" w:rsidP="002373FE">
      <w:r w:rsidRPr="000C699C">
        <w:t xml:space="preserve">The Commission </w:t>
      </w:r>
      <w:r>
        <w:t xml:space="preserve">has </w:t>
      </w:r>
      <w:r w:rsidRPr="000C699C">
        <w:t>implemented several method changes in the</w:t>
      </w:r>
      <w:r>
        <w:t xml:space="preserve"> </w:t>
      </w:r>
      <w:r w:rsidRPr="000C699C">
        <w:t>justice assessment</w:t>
      </w:r>
      <w:r>
        <w:t>. These include changes to how police central costs are allocated and the addition of a juvenile detainee cost weight. However, most of the change in GST distribution in the justice assessment is due to u</w:t>
      </w:r>
      <w:r w:rsidRPr="000C699C">
        <w:t>pdating 5-yearly data. New data</w:t>
      </w:r>
      <w:r w:rsidRPr="000C699C" w:rsidDel="00CE412C">
        <w:t xml:space="preserve"> </w:t>
      </w:r>
      <w:r>
        <w:t>have been</w:t>
      </w:r>
      <w:r w:rsidRPr="000C699C">
        <w:t xml:space="preserve"> used in calculating justice services use rates and the police regression</w:t>
      </w:r>
      <w:r>
        <w:t>.</w:t>
      </w:r>
      <w:r w:rsidRPr="00F86C83">
        <w:rPr>
          <w:rStyle w:val="FootnoteReference"/>
          <w:vertAlign w:val="superscript"/>
        </w:rPr>
        <w:footnoteReference w:id="9"/>
      </w:r>
      <w:r w:rsidRPr="000C699C">
        <w:t xml:space="preserve"> </w:t>
      </w:r>
      <w:r>
        <w:t xml:space="preserve">In combination, </w:t>
      </w:r>
      <w:r w:rsidRPr="000C699C">
        <w:t xml:space="preserve">these </w:t>
      </w:r>
      <w:r>
        <w:lastRenderedPageBreak/>
        <w:t>changes</w:t>
      </w:r>
      <w:r w:rsidRPr="000C699C">
        <w:t xml:space="preserve"> increase the assessed GST needs of New</w:t>
      </w:r>
      <w:r>
        <w:t> </w:t>
      </w:r>
      <w:r w:rsidRPr="000C699C">
        <w:t>South</w:t>
      </w:r>
      <w:r>
        <w:t> </w:t>
      </w:r>
      <w:r w:rsidRPr="000C699C">
        <w:t xml:space="preserve">Wales, Queensland and </w:t>
      </w:r>
      <w:r w:rsidRPr="00D76842">
        <w:t xml:space="preserve">Tasmania </w:t>
      </w:r>
      <w:r>
        <w:t xml:space="preserve">and reduce the GST needs of other states </w:t>
      </w:r>
      <w:r w:rsidRPr="00D76842">
        <w:t>(Table 2-3).</w:t>
      </w:r>
    </w:p>
    <w:p w14:paraId="5D1A82CB" w14:textId="713D0176" w:rsidR="00CA3A56" w:rsidRPr="00D76842" w:rsidRDefault="002373FE" w:rsidP="00CA3A56">
      <w:r w:rsidRPr="00D76842">
        <w:t xml:space="preserve">Changes made in the justice assessment </w:t>
      </w:r>
      <w:r>
        <w:t xml:space="preserve">also </w:t>
      </w:r>
      <w:r w:rsidRPr="00D76842">
        <w:t>impact the justice component of the investment assessment and the calculation of</w:t>
      </w:r>
      <w:r>
        <w:t xml:space="preserve"> the general gradient used to assess</w:t>
      </w:r>
      <w:r w:rsidRPr="00D76842">
        <w:t xml:space="preserve"> regional costs. These impacts </w:t>
      </w:r>
      <w:r>
        <w:t>are</w:t>
      </w:r>
      <w:r w:rsidRPr="00D76842">
        <w:t xml:space="preserve"> small compared with changes to the justice assessment.</w:t>
      </w:r>
      <w:r w:rsidR="0076080A">
        <w:t xml:space="preserve"> </w:t>
      </w:r>
      <w:r w:rsidR="00CA3A56" w:rsidRPr="00D76842">
        <w:t xml:space="preserve">Further information on Commission decisions and data updates in the justice assessment </w:t>
      </w:r>
      <w:r w:rsidR="00CA3A56">
        <w:t>is</w:t>
      </w:r>
      <w:r w:rsidR="00CA3A56" w:rsidRPr="00D76842">
        <w:t xml:space="preserve"> in Attachment </w:t>
      </w:r>
      <w:r w:rsidR="00CA3A56">
        <w:t>A</w:t>
      </w:r>
      <w:r w:rsidR="00CA3A56" w:rsidRPr="00D76842">
        <w:t>.</w:t>
      </w:r>
    </w:p>
    <w:p w14:paraId="2C1AE59C" w14:textId="77777777" w:rsidR="002373FE" w:rsidRPr="00CE55F8" w:rsidRDefault="002373FE" w:rsidP="002373FE">
      <w:pPr>
        <w:pStyle w:val="Heading4"/>
      </w:pPr>
      <w:r>
        <w:t>Urban transport blending</w:t>
      </w:r>
    </w:p>
    <w:p w14:paraId="71217E38" w14:textId="097673A7" w:rsidR="000C6C7E" w:rsidRDefault="000C6C7E" w:rsidP="000C6C7E">
      <w:r>
        <w:t>As part of New Issues in the 2026 Update, the Commission has retained the 2025 Review regression’s coefficients based on a single year of data (2022–</w:t>
      </w:r>
      <w:r>
        <w:rPr>
          <w:rFonts w:ascii="Times New Roman" w:hAnsi="Times New Roman" w:cs="Times New Roman" w:hint="eastAsia"/>
          <w:rtl/>
        </w:rPr>
        <w:t>‍</w:t>
      </w:r>
      <w:r>
        <w:t>23). The Commission has also increased the urban population blending ratio by 5 percentage points in the recurrent urban transport assessment and the investment assessment.</w:t>
      </w:r>
      <w:r w:rsidRPr="00090436">
        <w:rPr>
          <w:rStyle w:val="FootnoteReference"/>
          <w:vertAlign w:val="superscript"/>
        </w:rPr>
        <w:footnoteReference w:id="10"/>
      </w:r>
    </w:p>
    <w:p w14:paraId="2CF40F59" w14:textId="185F4300" w:rsidR="000C6C7E" w:rsidRDefault="000C6C7E" w:rsidP="000C6C7E">
      <w:pPr>
        <w:rPr>
          <w:rStyle w:val="normaltextrun"/>
          <w:color w:val="000000"/>
          <w:shd w:val="clear" w:color="auto" w:fill="FFFFFF"/>
        </w:rPr>
      </w:pPr>
      <w:r w:rsidRPr="72E159A8">
        <w:rPr>
          <w:rStyle w:val="normaltextrun"/>
          <w:color w:val="000000"/>
          <w:shd w:val="clear" w:color="auto" w:fill="FFFFFF"/>
        </w:rPr>
        <w:t>In</w:t>
      </w:r>
      <w:r>
        <w:rPr>
          <w:rStyle w:val="normaltextrun"/>
          <w:color w:val="000000"/>
          <w:shd w:val="clear" w:color="auto" w:fill="FFFFFF"/>
        </w:rPr>
        <w:t xml:space="preserve"> </w:t>
      </w:r>
      <w:r w:rsidRPr="72E159A8">
        <w:rPr>
          <w:rStyle w:val="normaltextrun"/>
          <w:color w:val="000000"/>
          <w:shd w:val="clear" w:color="auto" w:fill="FFFFFF"/>
        </w:rPr>
        <w:t>the 2025 Methodology Review, the Commission</w:t>
      </w:r>
      <w:r>
        <w:rPr>
          <w:rStyle w:val="normaltextrun"/>
          <w:color w:val="000000"/>
          <w:shd w:val="clear" w:color="auto" w:fill="FFFFFF"/>
        </w:rPr>
        <w:t xml:space="preserve"> decided </w:t>
      </w:r>
      <w:r w:rsidRPr="72E159A8">
        <w:rPr>
          <w:rStyle w:val="normaltextrun"/>
          <w:color w:val="000000"/>
          <w:shd w:val="clear" w:color="auto" w:fill="FFFFFF"/>
        </w:rPr>
        <w:t>to</w:t>
      </w:r>
      <w:r>
        <w:rPr>
          <w:rStyle w:val="normaltextrun"/>
          <w:color w:val="000000"/>
          <w:shd w:val="clear" w:color="auto" w:fill="FFFFFF"/>
        </w:rPr>
        <w:t xml:space="preserve"> </w:t>
      </w:r>
      <w:r w:rsidRPr="72E159A8">
        <w:rPr>
          <w:rStyle w:val="normaltextrun"/>
          <w:color w:val="000000"/>
          <w:shd w:val="clear" w:color="auto" w:fill="FFFFFF"/>
        </w:rPr>
        <w:t>re-estimate</w:t>
      </w:r>
      <w:r>
        <w:rPr>
          <w:rStyle w:val="normaltextrun"/>
          <w:color w:val="000000"/>
          <w:shd w:val="clear" w:color="auto" w:fill="FFFFFF"/>
        </w:rPr>
        <w:t xml:space="preserve"> </w:t>
      </w:r>
      <w:r w:rsidRPr="72E159A8">
        <w:rPr>
          <w:rStyle w:val="normaltextrun"/>
          <w:color w:val="000000"/>
          <w:shd w:val="clear" w:color="auto" w:fill="FFFFFF"/>
        </w:rPr>
        <w:t>the transport regression in the 2026 Update</w:t>
      </w:r>
      <w:r>
        <w:rPr>
          <w:rStyle w:val="normaltextrun"/>
          <w:color w:val="000000"/>
          <w:shd w:val="clear" w:color="auto" w:fill="FFFFFF"/>
        </w:rPr>
        <w:t xml:space="preserve"> </w:t>
      </w:r>
      <w:r w:rsidRPr="72E159A8">
        <w:rPr>
          <w:rStyle w:val="normaltextrun"/>
          <w:color w:val="000000"/>
          <w:shd w:val="clear" w:color="auto" w:fill="FFFFFF"/>
        </w:rPr>
        <w:t>with</w:t>
      </w:r>
      <w:r>
        <w:rPr>
          <w:rStyle w:val="normaltextrun"/>
          <w:color w:val="000000"/>
          <w:shd w:val="clear" w:color="auto" w:fill="FFFFFF"/>
        </w:rPr>
        <w:t xml:space="preserve"> </w:t>
      </w:r>
      <w:r w:rsidRPr="72E159A8">
        <w:rPr>
          <w:rStyle w:val="normaltextrun"/>
          <w:color w:val="000000"/>
          <w:shd w:val="clear" w:color="auto" w:fill="FFFFFF"/>
        </w:rPr>
        <w:t xml:space="preserve">2 years of </w:t>
      </w:r>
      <w:r w:rsidRPr="00815F69">
        <w:t>state net expense</w:t>
      </w:r>
      <w:r>
        <w:t xml:space="preserve"> </w:t>
      </w:r>
      <w:r w:rsidRPr="72E159A8">
        <w:rPr>
          <w:rStyle w:val="normaltextrun"/>
          <w:color w:val="000000"/>
          <w:shd w:val="clear" w:color="auto" w:fill="FFFFFF"/>
        </w:rPr>
        <w:t>data</w:t>
      </w:r>
      <w:r>
        <w:rPr>
          <w:rStyle w:val="normaltextrun"/>
          <w:color w:val="000000"/>
          <w:shd w:val="clear" w:color="auto" w:fill="FFFFFF"/>
        </w:rPr>
        <w:t xml:space="preserve"> (2022–23 and 2023–</w:t>
      </w:r>
      <w:r>
        <w:rPr>
          <w:rStyle w:val="normaltextrun"/>
          <w:rFonts w:ascii="Times New Roman" w:hAnsi="Times New Roman" w:cs="Times New Roman" w:hint="eastAsia"/>
          <w:color w:val="000000"/>
          <w:shd w:val="clear" w:color="auto" w:fill="FFFFFF"/>
          <w:rtl/>
        </w:rPr>
        <w:t>‍</w:t>
      </w:r>
      <w:r>
        <w:rPr>
          <w:rStyle w:val="normaltextrun"/>
          <w:color w:val="000000"/>
          <w:shd w:val="clear" w:color="auto" w:fill="FFFFFF"/>
        </w:rPr>
        <w:t xml:space="preserve">24) </w:t>
      </w:r>
      <w:r w:rsidRPr="72E159A8">
        <w:rPr>
          <w:rStyle w:val="normaltextrun"/>
          <w:color w:val="000000"/>
          <w:shd w:val="clear" w:color="auto" w:fill="FFFFFF"/>
        </w:rPr>
        <w:t>to</w:t>
      </w:r>
      <w:r>
        <w:rPr>
          <w:rStyle w:val="normaltextrun"/>
          <w:color w:val="000000"/>
          <w:shd w:val="clear" w:color="auto" w:fill="FFFFFF"/>
        </w:rPr>
        <w:t xml:space="preserve"> enhance </w:t>
      </w:r>
      <w:r w:rsidRPr="72E159A8">
        <w:rPr>
          <w:rStyle w:val="normaltextrun"/>
          <w:color w:val="000000"/>
          <w:shd w:val="clear" w:color="auto" w:fill="FFFFFF"/>
        </w:rPr>
        <w:t>the</w:t>
      </w:r>
      <w:r>
        <w:rPr>
          <w:rStyle w:val="normaltextrun"/>
          <w:color w:val="000000"/>
          <w:shd w:val="clear" w:color="auto" w:fill="FFFFFF"/>
        </w:rPr>
        <w:t xml:space="preserve"> </w:t>
      </w:r>
      <w:r w:rsidRPr="72E159A8">
        <w:rPr>
          <w:rStyle w:val="normaltextrun"/>
          <w:color w:val="000000"/>
          <w:shd w:val="clear" w:color="auto" w:fill="FFFFFF"/>
        </w:rPr>
        <w:t>reliability</w:t>
      </w:r>
      <w:r>
        <w:rPr>
          <w:rStyle w:val="normaltextrun"/>
          <w:color w:val="000000"/>
          <w:shd w:val="clear" w:color="auto" w:fill="FFFFFF"/>
        </w:rPr>
        <w:t xml:space="preserve"> </w:t>
      </w:r>
      <w:r w:rsidRPr="72E159A8">
        <w:rPr>
          <w:rStyle w:val="normaltextrun"/>
          <w:color w:val="000000"/>
          <w:shd w:val="clear" w:color="auto" w:fill="FFFFFF"/>
        </w:rPr>
        <w:t>and contemporaneity</w:t>
      </w:r>
      <w:r>
        <w:rPr>
          <w:rStyle w:val="normaltextrun"/>
          <w:color w:val="000000"/>
          <w:shd w:val="clear" w:color="auto" w:fill="FFFFFF"/>
        </w:rPr>
        <w:t xml:space="preserve"> </w:t>
      </w:r>
      <w:r w:rsidRPr="72E159A8">
        <w:rPr>
          <w:rStyle w:val="normaltextrun"/>
          <w:color w:val="000000"/>
          <w:shd w:val="clear" w:color="auto" w:fill="FFFFFF"/>
        </w:rPr>
        <w:t>of the model. </w:t>
      </w:r>
      <w:r>
        <w:rPr>
          <w:rStyle w:val="normaltextrun"/>
          <w:color w:val="000000"/>
          <w:shd w:val="clear" w:color="auto" w:fill="FFFFFF"/>
        </w:rPr>
        <w:t xml:space="preserve">This was supported by most states. </w:t>
      </w:r>
    </w:p>
    <w:p w14:paraId="29FD9D7A" w14:textId="77777777" w:rsidR="000C6C7E" w:rsidRDefault="000C6C7E" w:rsidP="000C6C7E">
      <w:r>
        <w:rPr>
          <w:rStyle w:val="normaltextrun"/>
          <w:color w:val="000000"/>
          <w:shd w:val="clear" w:color="auto" w:fill="FFFFFF"/>
        </w:rPr>
        <w:t>The</w:t>
      </w:r>
      <w:r>
        <w:t xml:space="preserve"> Commission found significant comparability problems with the second year of data. In line with the terms of reference, the Commission decided not to use the 2023–</w:t>
      </w:r>
      <w:r>
        <w:rPr>
          <w:rFonts w:ascii="Times New Roman" w:hAnsi="Times New Roman" w:cs="Times New Roman" w:hint="eastAsia"/>
        </w:rPr>
        <w:t>‍</w:t>
      </w:r>
      <w:r>
        <w:rPr>
          <w:rFonts w:ascii="Times New Roman" w:hAnsi="Times New Roman" w:cs="Times New Roman"/>
        </w:rPr>
        <w:t>‍</w:t>
      </w:r>
      <w:r>
        <w:t>24 data. In response, some states recommended that the regression be given less prominence by increasing the blending ratio or applying discounts.</w:t>
      </w:r>
    </w:p>
    <w:p w14:paraId="018F2A7D" w14:textId="77777777" w:rsidR="000C6C7E" w:rsidRDefault="000C6C7E" w:rsidP="000C6C7E">
      <w:r>
        <w:t>T</w:t>
      </w:r>
      <w:r w:rsidRPr="00EC46C7">
        <w:t>he Commission considers that the regression model is less reliable than anticipated in the 2025 Review</w:t>
      </w:r>
      <w:r w:rsidRPr="00C62307">
        <w:t xml:space="preserve"> </w:t>
      </w:r>
      <w:r>
        <w:t>because of the data problems</w:t>
      </w:r>
      <w:r w:rsidRPr="00EC46C7">
        <w:t>.</w:t>
      </w:r>
      <w:r w:rsidRPr="00906A91">
        <w:t xml:space="preserve"> </w:t>
      </w:r>
      <w:r>
        <w:t>Consistent with the terms of reference, to address the identified data problems and state concerns, the Commission has increased the blending ratio in favour of urban populations to reduce the impact of the regression on the assessment.</w:t>
      </w:r>
      <w:r w:rsidRPr="001F3BBF">
        <w:t xml:space="preserve"> </w:t>
      </w:r>
    </w:p>
    <w:p w14:paraId="0D0C6484" w14:textId="32A6438A" w:rsidR="002373FE" w:rsidRDefault="000C6C7E" w:rsidP="002373FE">
      <w:r>
        <w:t>The Commission will also continue to work with the states through the Data Working Group to try and resolve the identified data problems</w:t>
      </w:r>
      <w:r w:rsidR="001D42C5">
        <w:t>.</w:t>
      </w:r>
    </w:p>
    <w:p w14:paraId="2F78D187" w14:textId="77777777" w:rsidR="002373FE" w:rsidRPr="00734F5D" w:rsidRDefault="002373FE" w:rsidP="002373FE">
      <w:pPr>
        <w:pStyle w:val="Heading3"/>
        <w:numPr>
          <w:ilvl w:val="0"/>
          <w:numId w:val="0"/>
        </w:numPr>
      </w:pPr>
      <w:r w:rsidRPr="00734F5D">
        <w:t>Data revisions</w:t>
      </w:r>
    </w:p>
    <w:p w14:paraId="490AFD03" w14:textId="77777777" w:rsidR="002373FE" w:rsidRPr="00684EA7" w:rsidRDefault="002373FE" w:rsidP="002373FE">
      <w:r>
        <w:t>Since</w:t>
      </w:r>
      <w:r w:rsidRPr="003861B9">
        <w:t xml:space="preserve"> the 2025 Review, data providers </w:t>
      </w:r>
      <w:r>
        <w:t xml:space="preserve">have </w:t>
      </w:r>
      <w:r w:rsidRPr="003861B9">
        <w:t>released updated data for 2021–22 to 2023–</w:t>
      </w:r>
      <w:r w:rsidRPr="003861B9">
        <w:rPr>
          <w:rFonts w:ascii="Times New Roman" w:hAnsi="Times New Roman" w:cs="Times New Roman" w:hint="eastAsia"/>
          <w:rtl/>
        </w:rPr>
        <w:t>‍</w:t>
      </w:r>
      <w:r>
        <w:rPr>
          <w:rFonts w:ascii="Times New Roman" w:hAnsi="Times New Roman" w:cs="Times New Roman" w:hint="eastAsia"/>
          <w:lang w:val="en-US"/>
        </w:rPr>
        <w:t>‍</w:t>
      </w:r>
      <w:r w:rsidRPr="003861B9">
        <w:t xml:space="preserve">24. The Commission </w:t>
      </w:r>
      <w:r>
        <w:t xml:space="preserve">has </w:t>
      </w:r>
      <w:r w:rsidRPr="003861B9">
        <w:t xml:space="preserve">revised its assessments using the latest available data. </w:t>
      </w:r>
      <w:r>
        <w:t xml:space="preserve">These revisions affect the GST distribution as presented in </w:t>
      </w:r>
      <w:r w:rsidRPr="00684EA7">
        <w:t>Table 2</w:t>
      </w:r>
      <w:r w:rsidRPr="00684EA7">
        <w:noBreakHyphen/>
      </w:r>
      <w:r>
        <w:t>4</w:t>
      </w:r>
      <w:r w:rsidRPr="00684EA7">
        <w:t>.</w:t>
      </w:r>
    </w:p>
    <w:p w14:paraId="4599352E" w14:textId="77777777" w:rsidR="002373FE" w:rsidRDefault="002373FE" w:rsidP="002373FE">
      <w:pPr>
        <w:pStyle w:val="CGC2025Caption"/>
        <w:keepNext/>
      </w:pPr>
      <w:r w:rsidRPr="00684EA7">
        <w:t>Table 2-</w:t>
      </w:r>
      <w:r>
        <w:t>4</w:t>
      </w:r>
      <w:r w:rsidRPr="00684EA7">
        <w:tab/>
      </w:r>
      <w:r w:rsidRPr="00D25E55">
        <w:t xml:space="preserve">Changes to assessed GST needs due to data </w:t>
      </w:r>
      <w:r w:rsidRPr="00684EA7" w:rsidDel="00D25E55">
        <w:t>revision</w:t>
      </w:r>
      <w:r w:rsidRPr="00684EA7" w:rsidDel="009E6213">
        <w:t>s</w:t>
      </w:r>
      <w:r w:rsidRPr="00217853">
        <w:t>, 2025–</w:t>
      </w:r>
      <w:r w:rsidRPr="00217853">
        <w:rPr>
          <w:rFonts w:ascii="Times New Roman" w:hAnsi="Times New Roman" w:cs="Times New Roman" w:hint="eastAsia"/>
          <w:rtl/>
        </w:rPr>
        <w:t>‍</w:t>
      </w:r>
      <w:r w:rsidRPr="00217853">
        <w:t>26 to 2026–27</w:t>
      </w:r>
    </w:p>
    <w:tbl>
      <w:tblPr>
        <w:tblW w:w="9040" w:type="dxa"/>
        <w:tblLook w:val="04A0" w:firstRow="1" w:lastRow="0" w:firstColumn="1" w:lastColumn="0" w:noHBand="0" w:noVBand="1"/>
      </w:tblPr>
      <w:tblGrid>
        <w:gridCol w:w="2920"/>
        <w:gridCol w:w="680"/>
        <w:gridCol w:w="680"/>
        <w:gridCol w:w="680"/>
        <w:gridCol w:w="680"/>
        <w:gridCol w:w="680"/>
        <w:gridCol w:w="680"/>
        <w:gridCol w:w="680"/>
        <w:gridCol w:w="680"/>
        <w:gridCol w:w="680"/>
      </w:tblGrid>
      <w:tr w:rsidR="00172EC9" w:rsidRPr="00172EC9" w14:paraId="424661CD" w14:textId="77777777" w:rsidTr="00172EC9">
        <w:trPr>
          <w:trHeight w:val="555"/>
        </w:trPr>
        <w:tc>
          <w:tcPr>
            <w:tcW w:w="2920" w:type="dxa"/>
            <w:tcBorders>
              <w:top w:val="nil"/>
              <w:left w:val="nil"/>
              <w:bottom w:val="nil"/>
              <w:right w:val="nil"/>
            </w:tcBorders>
            <w:shd w:val="clear" w:color="000000" w:fill="006991"/>
            <w:vAlign w:val="center"/>
            <w:hideMark/>
          </w:tcPr>
          <w:p w14:paraId="2A8400AE" w14:textId="77777777" w:rsidR="00172EC9" w:rsidRPr="00172EC9" w:rsidRDefault="00172EC9" w:rsidP="00172EC9">
            <w:pPr>
              <w:tabs>
                <w:tab w:val="clear" w:pos="567"/>
              </w:tabs>
              <w:spacing w:before="0" w:line="240" w:lineRule="auto"/>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 </w:t>
            </w:r>
          </w:p>
        </w:tc>
        <w:tc>
          <w:tcPr>
            <w:tcW w:w="680" w:type="dxa"/>
            <w:tcBorders>
              <w:top w:val="nil"/>
              <w:left w:val="nil"/>
              <w:bottom w:val="nil"/>
              <w:right w:val="nil"/>
            </w:tcBorders>
            <w:shd w:val="clear" w:color="000000" w:fill="006991"/>
            <w:vAlign w:val="center"/>
            <w:hideMark/>
          </w:tcPr>
          <w:p w14:paraId="251AD261"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11058B70"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1CC30402"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007D7CAC"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692491F2"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3AFFEB59"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06F492FF"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6FB7F60F"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7F678AD7"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72EC9">
              <w:rPr>
                <w:rFonts w:ascii="Open Sans Semibold" w:eastAsia="Times New Roman" w:hAnsi="Open Sans Semibold" w:cs="Open Sans Semibold"/>
                <w:color w:val="FFFFFF"/>
                <w:sz w:val="16"/>
                <w:szCs w:val="16"/>
                <w:lang w:eastAsia="en-AU"/>
              </w:rPr>
              <w:t>Total effect</w:t>
            </w:r>
          </w:p>
        </w:tc>
      </w:tr>
      <w:tr w:rsidR="00172EC9" w:rsidRPr="00172EC9" w14:paraId="61C92D68" w14:textId="77777777" w:rsidTr="00172EC9">
        <w:trPr>
          <w:trHeight w:val="260"/>
        </w:trPr>
        <w:tc>
          <w:tcPr>
            <w:tcW w:w="2920" w:type="dxa"/>
            <w:tcBorders>
              <w:top w:val="single" w:sz="4" w:space="0" w:color="ADD6EA"/>
              <w:left w:val="nil"/>
              <w:bottom w:val="nil"/>
              <w:right w:val="nil"/>
            </w:tcBorders>
            <w:shd w:val="clear" w:color="000000" w:fill="B6D5E4"/>
            <w:vAlign w:val="center"/>
            <w:hideMark/>
          </w:tcPr>
          <w:p w14:paraId="2122CD84" w14:textId="77777777" w:rsidR="00172EC9" w:rsidRPr="00172EC9" w:rsidRDefault="00172EC9" w:rsidP="00172EC9">
            <w:pPr>
              <w:tabs>
                <w:tab w:val="clear" w:pos="567"/>
              </w:tabs>
              <w:spacing w:before="0" w:line="240" w:lineRule="auto"/>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noWrap/>
            <w:vAlign w:val="center"/>
            <w:hideMark/>
          </w:tcPr>
          <w:p w14:paraId="4F3304D6"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734D754F"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7D9A434B"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22148E28"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099E5C64"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1B4B2339"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2C9312B5"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21416ACB"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5AABAB2"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$m</w:t>
            </w:r>
          </w:p>
        </w:tc>
      </w:tr>
      <w:tr w:rsidR="00172EC9" w:rsidRPr="00172EC9" w14:paraId="1AA1C75D" w14:textId="77777777" w:rsidTr="00172EC9">
        <w:trPr>
          <w:trHeight w:val="315"/>
        </w:trPr>
        <w:tc>
          <w:tcPr>
            <w:tcW w:w="2920" w:type="dxa"/>
            <w:tcBorders>
              <w:top w:val="single" w:sz="4" w:space="0" w:color="ADD6EA"/>
              <w:left w:val="nil"/>
              <w:bottom w:val="nil"/>
              <w:right w:val="nil"/>
            </w:tcBorders>
            <w:vAlign w:val="bottom"/>
            <w:hideMark/>
          </w:tcPr>
          <w:p w14:paraId="7DDFDA73" w14:textId="77777777" w:rsidR="00172EC9" w:rsidRPr="00172EC9" w:rsidRDefault="00172EC9" w:rsidP="00172EC9">
            <w:pPr>
              <w:tabs>
                <w:tab w:val="clear" w:pos="567"/>
              </w:tabs>
              <w:spacing w:before="0" w:line="240" w:lineRule="auto"/>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Natural disaster relief</w:t>
            </w:r>
          </w:p>
        </w:tc>
        <w:tc>
          <w:tcPr>
            <w:tcW w:w="680" w:type="dxa"/>
            <w:tcBorders>
              <w:top w:val="single" w:sz="4" w:space="0" w:color="ADD6EA"/>
              <w:left w:val="nil"/>
              <w:bottom w:val="nil"/>
              <w:right w:val="nil"/>
            </w:tcBorders>
            <w:noWrap/>
            <w:vAlign w:val="bottom"/>
            <w:hideMark/>
          </w:tcPr>
          <w:p w14:paraId="0FCC6EA8"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-770</w:t>
            </w:r>
          </w:p>
        </w:tc>
        <w:tc>
          <w:tcPr>
            <w:tcW w:w="680" w:type="dxa"/>
            <w:tcBorders>
              <w:top w:val="single" w:sz="4" w:space="0" w:color="ADD6EA"/>
              <w:left w:val="nil"/>
              <w:bottom w:val="nil"/>
              <w:right w:val="nil"/>
            </w:tcBorders>
            <w:noWrap/>
            <w:vAlign w:val="bottom"/>
            <w:hideMark/>
          </w:tcPr>
          <w:p w14:paraId="30BDE6B1"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558</w:t>
            </w:r>
          </w:p>
        </w:tc>
        <w:tc>
          <w:tcPr>
            <w:tcW w:w="680" w:type="dxa"/>
            <w:tcBorders>
              <w:top w:val="single" w:sz="4" w:space="0" w:color="ADD6EA"/>
              <w:left w:val="nil"/>
              <w:bottom w:val="nil"/>
              <w:right w:val="nil"/>
            </w:tcBorders>
            <w:noWrap/>
            <w:vAlign w:val="bottom"/>
            <w:hideMark/>
          </w:tcPr>
          <w:p w14:paraId="0047EEF8"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279</w:t>
            </w:r>
          </w:p>
        </w:tc>
        <w:tc>
          <w:tcPr>
            <w:tcW w:w="680" w:type="dxa"/>
            <w:tcBorders>
              <w:top w:val="single" w:sz="4" w:space="0" w:color="ADD6EA"/>
              <w:left w:val="nil"/>
              <w:bottom w:val="nil"/>
              <w:right w:val="nil"/>
            </w:tcBorders>
            <w:noWrap/>
            <w:vAlign w:val="bottom"/>
            <w:hideMark/>
          </w:tcPr>
          <w:p w14:paraId="62A74B53"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-171</w:t>
            </w:r>
          </w:p>
        </w:tc>
        <w:tc>
          <w:tcPr>
            <w:tcW w:w="680" w:type="dxa"/>
            <w:tcBorders>
              <w:top w:val="single" w:sz="4" w:space="0" w:color="ADD6EA"/>
              <w:left w:val="nil"/>
              <w:bottom w:val="nil"/>
              <w:right w:val="nil"/>
            </w:tcBorders>
            <w:noWrap/>
            <w:vAlign w:val="bottom"/>
            <w:hideMark/>
          </w:tcPr>
          <w:p w14:paraId="4701A7F0"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31</w:t>
            </w:r>
          </w:p>
        </w:tc>
        <w:tc>
          <w:tcPr>
            <w:tcW w:w="680" w:type="dxa"/>
            <w:tcBorders>
              <w:top w:val="single" w:sz="4" w:space="0" w:color="ADD6EA"/>
              <w:left w:val="nil"/>
              <w:bottom w:val="nil"/>
              <w:right w:val="nil"/>
            </w:tcBorders>
            <w:noWrap/>
            <w:vAlign w:val="bottom"/>
            <w:hideMark/>
          </w:tcPr>
          <w:p w14:paraId="259482EC"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32</w:t>
            </w:r>
          </w:p>
        </w:tc>
        <w:tc>
          <w:tcPr>
            <w:tcW w:w="680" w:type="dxa"/>
            <w:tcBorders>
              <w:top w:val="single" w:sz="4" w:space="0" w:color="ADD6EA"/>
              <w:left w:val="nil"/>
              <w:bottom w:val="nil"/>
              <w:right w:val="nil"/>
            </w:tcBorders>
            <w:noWrap/>
            <w:vAlign w:val="bottom"/>
            <w:hideMark/>
          </w:tcPr>
          <w:p w14:paraId="4D6F5E51"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28</w:t>
            </w:r>
          </w:p>
        </w:tc>
        <w:tc>
          <w:tcPr>
            <w:tcW w:w="680" w:type="dxa"/>
            <w:tcBorders>
              <w:top w:val="single" w:sz="4" w:space="0" w:color="ADD6EA"/>
              <w:left w:val="nil"/>
              <w:bottom w:val="nil"/>
              <w:right w:val="nil"/>
            </w:tcBorders>
            <w:noWrap/>
            <w:vAlign w:val="bottom"/>
            <w:hideMark/>
          </w:tcPr>
          <w:p w14:paraId="44822750"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14</w:t>
            </w:r>
          </w:p>
        </w:tc>
        <w:tc>
          <w:tcPr>
            <w:tcW w:w="680" w:type="dxa"/>
            <w:tcBorders>
              <w:top w:val="single" w:sz="4" w:space="0" w:color="ADD6EA"/>
              <w:left w:val="nil"/>
              <w:bottom w:val="nil"/>
              <w:right w:val="nil"/>
            </w:tcBorders>
            <w:noWrap/>
            <w:vAlign w:val="bottom"/>
            <w:hideMark/>
          </w:tcPr>
          <w:p w14:paraId="502AF264"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942</w:t>
            </w:r>
          </w:p>
        </w:tc>
      </w:tr>
      <w:tr w:rsidR="00172EC9" w:rsidRPr="00172EC9" w14:paraId="5B05C098" w14:textId="77777777" w:rsidTr="00172EC9">
        <w:trPr>
          <w:trHeight w:val="315"/>
        </w:trPr>
        <w:tc>
          <w:tcPr>
            <w:tcW w:w="2920" w:type="dxa"/>
            <w:tcBorders>
              <w:top w:val="single" w:sz="4" w:space="0" w:color="ADD6EA"/>
              <w:left w:val="nil"/>
              <w:bottom w:val="nil"/>
              <w:right w:val="nil"/>
            </w:tcBorders>
            <w:vAlign w:val="bottom"/>
            <w:hideMark/>
          </w:tcPr>
          <w:p w14:paraId="4B69F6E1" w14:textId="77777777" w:rsidR="00172EC9" w:rsidRPr="00172EC9" w:rsidRDefault="00172EC9" w:rsidP="00172EC9">
            <w:pPr>
              <w:tabs>
                <w:tab w:val="clear" w:pos="567"/>
              </w:tabs>
              <w:spacing w:before="0" w:line="240" w:lineRule="auto"/>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Investment</w:t>
            </w:r>
          </w:p>
        </w:tc>
        <w:tc>
          <w:tcPr>
            <w:tcW w:w="680" w:type="dxa"/>
            <w:tcBorders>
              <w:top w:val="single" w:sz="4" w:space="0" w:color="ADD6EA"/>
              <w:left w:val="nil"/>
              <w:bottom w:val="nil"/>
              <w:right w:val="nil"/>
            </w:tcBorders>
            <w:noWrap/>
            <w:vAlign w:val="bottom"/>
            <w:hideMark/>
          </w:tcPr>
          <w:p w14:paraId="3B30E324"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231</w:t>
            </w:r>
          </w:p>
        </w:tc>
        <w:tc>
          <w:tcPr>
            <w:tcW w:w="680" w:type="dxa"/>
            <w:tcBorders>
              <w:top w:val="single" w:sz="4" w:space="0" w:color="ADD6EA"/>
              <w:left w:val="nil"/>
              <w:bottom w:val="nil"/>
              <w:right w:val="nil"/>
            </w:tcBorders>
            <w:noWrap/>
            <w:vAlign w:val="bottom"/>
            <w:hideMark/>
          </w:tcPr>
          <w:p w14:paraId="5D86A7E7"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-145</w:t>
            </w:r>
          </w:p>
        </w:tc>
        <w:tc>
          <w:tcPr>
            <w:tcW w:w="680" w:type="dxa"/>
            <w:tcBorders>
              <w:top w:val="single" w:sz="4" w:space="0" w:color="ADD6EA"/>
              <w:left w:val="nil"/>
              <w:bottom w:val="nil"/>
              <w:right w:val="nil"/>
            </w:tcBorders>
            <w:noWrap/>
            <w:vAlign w:val="bottom"/>
            <w:hideMark/>
          </w:tcPr>
          <w:p w14:paraId="11E4423B"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-169</w:t>
            </w:r>
          </w:p>
        </w:tc>
        <w:tc>
          <w:tcPr>
            <w:tcW w:w="680" w:type="dxa"/>
            <w:tcBorders>
              <w:top w:val="single" w:sz="4" w:space="0" w:color="ADD6EA"/>
              <w:left w:val="nil"/>
              <w:bottom w:val="nil"/>
              <w:right w:val="nil"/>
            </w:tcBorders>
            <w:noWrap/>
            <w:vAlign w:val="bottom"/>
            <w:hideMark/>
          </w:tcPr>
          <w:p w14:paraId="7CCD87D4"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82</w:t>
            </w:r>
          </w:p>
        </w:tc>
        <w:tc>
          <w:tcPr>
            <w:tcW w:w="680" w:type="dxa"/>
            <w:tcBorders>
              <w:top w:val="single" w:sz="4" w:space="0" w:color="ADD6EA"/>
              <w:left w:val="nil"/>
              <w:bottom w:val="nil"/>
              <w:right w:val="nil"/>
            </w:tcBorders>
            <w:noWrap/>
            <w:vAlign w:val="bottom"/>
            <w:hideMark/>
          </w:tcPr>
          <w:p w14:paraId="73E0CB45"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-31</w:t>
            </w:r>
          </w:p>
        </w:tc>
        <w:tc>
          <w:tcPr>
            <w:tcW w:w="680" w:type="dxa"/>
            <w:tcBorders>
              <w:top w:val="single" w:sz="4" w:space="0" w:color="ADD6EA"/>
              <w:left w:val="nil"/>
              <w:bottom w:val="nil"/>
              <w:right w:val="nil"/>
            </w:tcBorders>
            <w:noWrap/>
            <w:vAlign w:val="bottom"/>
            <w:hideMark/>
          </w:tcPr>
          <w:p w14:paraId="11E30EA1"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-55</w:t>
            </w:r>
          </w:p>
        </w:tc>
        <w:tc>
          <w:tcPr>
            <w:tcW w:w="680" w:type="dxa"/>
            <w:tcBorders>
              <w:top w:val="single" w:sz="4" w:space="0" w:color="ADD6EA"/>
              <w:left w:val="nil"/>
              <w:bottom w:val="nil"/>
              <w:right w:val="nil"/>
            </w:tcBorders>
            <w:noWrap/>
            <w:vAlign w:val="bottom"/>
            <w:hideMark/>
          </w:tcPr>
          <w:p w14:paraId="4EB4F401"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8</w:t>
            </w:r>
          </w:p>
        </w:tc>
        <w:tc>
          <w:tcPr>
            <w:tcW w:w="680" w:type="dxa"/>
            <w:tcBorders>
              <w:top w:val="single" w:sz="4" w:space="0" w:color="ADD6EA"/>
              <w:left w:val="nil"/>
              <w:bottom w:val="nil"/>
              <w:right w:val="nil"/>
            </w:tcBorders>
            <w:noWrap/>
            <w:vAlign w:val="bottom"/>
            <w:hideMark/>
          </w:tcPr>
          <w:p w14:paraId="0F01A913"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80</w:t>
            </w:r>
          </w:p>
        </w:tc>
        <w:tc>
          <w:tcPr>
            <w:tcW w:w="680" w:type="dxa"/>
            <w:tcBorders>
              <w:top w:val="single" w:sz="4" w:space="0" w:color="ADD6EA"/>
              <w:left w:val="nil"/>
              <w:bottom w:val="nil"/>
              <w:right w:val="nil"/>
            </w:tcBorders>
            <w:noWrap/>
            <w:vAlign w:val="bottom"/>
            <w:hideMark/>
          </w:tcPr>
          <w:p w14:paraId="4DC00828"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401</w:t>
            </w:r>
          </w:p>
        </w:tc>
      </w:tr>
      <w:tr w:rsidR="00172EC9" w:rsidRPr="00172EC9" w14:paraId="339DB4F1" w14:textId="77777777" w:rsidTr="00172EC9">
        <w:trPr>
          <w:trHeight w:val="315"/>
        </w:trPr>
        <w:tc>
          <w:tcPr>
            <w:tcW w:w="2920" w:type="dxa"/>
            <w:tcBorders>
              <w:top w:val="single" w:sz="4" w:space="0" w:color="ADD6EA"/>
              <w:left w:val="nil"/>
              <w:bottom w:val="nil"/>
              <w:right w:val="nil"/>
            </w:tcBorders>
            <w:vAlign w:val="bottom"/>
            <w:hideMark/>
          </w:tcPr>
          <w:p w14:paraId="06BA6DCD" w14:textId="77777777" w:rsidR="00172EC9" w:rsidRPr="00172EC9" w:rsidRDefault="00172EC9" w:rsidP="00172EC9">
            <w:pPr>
              <w:tabs>
                <w:tab w:val="clear" w:pos="567"/>
              </w:tabs>
              <w:spacing w:before="0" w:line="240" w:lineRule="auto"/>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Net Borrowing</w:t>
            </w:r>
          </w:p>
        </w:tc>
        <w:tc>
          <w:tcPr>
            <w:tcW w:w="680" w:type="dxa"/>
            <w:tcBorders>
              <w:top w:val="single" w:sz="4" w:space="0" w:color="ADD6EA"/>
              <w:left w:val="nil"/>
              <w:bottom w:val="nil"/>
              <w:right w:val="nil"/>
            </w:tcBorders>
            <w:noWrap/>
            <w:vAlign w:val="bottom"/>
            <w:hideMark/>
          </w:tcPr>
          <w:p w14:paraId="3912F823"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-120</w:t>
            </w:r>
          </w:p>
        </w:tc>
        <w:tc>
          <w:tcPr>
            <w:tcW w:w="680" w:type="dxa"/>
            <w:tcBorders>
              <w:top w:val="single" w:sz="4" w:space="0" w:color="ADD6EA"/>
              <w:left w:val="nil"/>
              <w:bottom w:val="nil"/>
              <w:right w:val="nil"/>
            </w:tcBorders>
            <w:noWrap/>
            <w:vAlign w:val="bottom"/>
            <w:hideMark/>
          </w:tcPr>
          <w:p w14:paraId="27C62611"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159</w:t>
            </w:r>
          </w:p>
        </w:tc>
        <w:tc>
          <w:tcPr>
            <w:tcW w:w="680" w:type="dxa"/>
            <w:tcBorders>
              <w:top w:val="single" w:sz="4" w:space="0" w:color="ADD6EA"/>
              <w:left w:val="nil"/>
              <w:bottom w:val="nil"/>
              <w:right w:val="nil"/>
            </w:tcBorders>
            <w:noWrap/>
            <w:vAlign w:val="bottom"/>
            <w:hideMark/>
          </w:tcPr>
          <w:p w14:paraId="77AF1B5C"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79</w:t>
            </w:r>
          </w:p>
        </w:tc>
        <w:tc>
          <w:tcPr>
            <w:tcW w:w="680" w:type="dxa"/>
            <w:tcBorders>
              <w:top w:val="single" w:sz="4" w:space="0" w:color="ADD6EA"/>
              <w:left w:val="nil"/>
              <w:bottom w:val="nil"/>
              <w:right w:val="nil"/>
            </w:tcBorders>
            <w:noWrap/>
            <w:vAlign w:val="bottom"/>
            <w:hideMark/>
          </w:tcPr>
          <w:p w14:paraId="13B999AD"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noWrap/>
            <w:vAlign w:val="bottom"/>
            <w:hideMark/>
          </w:tcPr>
          <w:p w14:paraId="5249420F"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-52</w:t>
            </w:r>
          </w:p>
        </w:tc>
        <w:tc>
          <w:tcPr>
            <w:tcW w:w="680" w:type="dxa"/>
            <w:tcBorders>
              <w:top w:val="single" w:sz="4" w:space="0" w:color="ADD6EA"/>
              <w:left w:val="nil"/>
              <w:bottom w:val="nil"/>
              <w:right w:val="nil"/>
            </w:tcBorders>
            <w:noWrap/>
            <w:vAlign w:val="bottom"/>
            <w:hideMark/>
          </w:tcPr>
          <w:p w14:paraId="5F782CD6"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-27</w:t>
            </w:r>
          </w:p>
        </w:tc>
        <w:tc>
          <w:tcPr>
            <w:tcW w:w="680" w:type="dxa"/>
            <w:tcBorders>
              <w:top w:val="single" w:sz="4" w:space="0" w:color="ADD6EA"/>
              <w:left w:val="nil"/>
              <w:bottom w:val="nil"/>
              <w:right w:val="nil"/>
            </w:tcBorders>
            <w:noWrap/>
            <w:vAlign w:val="bottom"/>
            <w:hideMark/>
          </w:tcPr>
          <w:p w14:paraId="205D0375"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-30</w:t>
            </w:r>
          </w:p>
        </w:tc>
        <w:tc>
          <w:tcPr>
            <w:tcW w:w="680" w:type="dxa"/>
            <w:tcBorders>
              <w:top w:val="single" w:sz="4" w:space="0" w:color="ADD6EA"/>
              <w:left w:val="nil"/>
              <w:bottom w:val="nil"/>
              <w:right w:val="nil"/>
            </w:tcBorders>
            <w:noWrap/>
            <w:vAlign w:val="bottom"/>
            <w:hideMark/>
          </w:tcPr>
          <w:p w14:paraId="2B5A60B1"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-32</w:t>
            </w:r>
          </w:p>
        </w:tc>
        <w:tc>
          <w:tcPr>
            <w:tcW w:w="680" w:type="dxa"/>
            <w:tcBorders>
              <w:top w:val="single" w:sz="4" w:space="0" w:color="ADD6EA"/>
              <w:left w:val="nil"/>
              <w:bottom w:val="nil"/>
              <w:right w:val="nil"/>
            </w:tcBorders>
            <w:noWrap/>
            <w:vAlign w:val="bottom"/>
            <w:hideMark/>
          </w:tcPr>
          <w:p w14:paraId="453C4130"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260</w:t>
            </w:r>
          </w:p>
        </w:tc>
      </w:tr>
      <w:tr w:rsidR="00172EC9" w:rsidRPr="00172EC9" w14:paraId="3988368F" w14:textId="77777777" w:rsidTr="00172EC9">
        <w:trPr>
          <w:trHeight w:val="315"/>
        </w:trPr>
        <w:tc>
          <w:tcPr>
            <w:tcW w:w="2920" w:type="dxa"/>
            <w:tcBorders>
              <w:top w:val="single" w:sz="4" w:space="0" w:color="ADD6EA"/>
              <w:left w:val="nil"/>
              <w:bottom w:val="nil"/>
              <w:right w:val="nil"/>
            </w:tcBorders>
            <w:vAlign w:val="bottom"/>
            <w:hideMark/>
          </w:tcPr>
          <w:p w14:paraId="4433479C" w14:textId="77777777" w:rsidR="00172EC9" w:rsidRPr="00172EC9" w:rsidRDefault="00172EC9" w:rsidP="00172EC9">
            <w:pPr>
              <w:tabs>
                <w:tab w:val="clear" w:pos="567"/>
              </w:tabs>
              <w:spacing w:before="0" w:line="240" w:lineRule="auto"/>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Health</w:t>
            </w:r>
          </w:p>
        </w:tc>
        <w:tc>
          <w:tcPr>
            <w:tcW w:w="680" w:type="dxa"/>
            <w:tcBorders>
              <w:top w:val="single" w:sz="4" w:space="0" w:color="ADD6EA"/>
              <w:left w:val="nil"/>
              <w:bottom w:val="nil"/>
              <w:right w:val="nil"/>
            </w:tcBorders>
            <w:noWrap/>
            <w:vAlign w:val="bottom"/>
            <w:hideMark/>
          </w:tcPr>
          <w:p w14:paraId="7E4EFF23"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113</w:t>
            </w:r>
          </w:p>
        </w:tc>
        <w:tc>
          <w:tcPr>
            <w:tcW w:w="680" w:type="dxa"/>
            <w:tcBorders>
              <w:top w:val="single" w:sz="4" w:space="0" w:color="ADD6EA"/>
              <w:left w:val="nil"/>
              <w:bottom w:val="nil"/>
              <w:right w:val="nil"/>
            </w:tcBorders>
            <w:noWrap/>
            <w:vAlign w:val="bottom"/>
            <w:hideMark/>
          </w:tcPr>
          <w:p w14:paraId="379EEF41"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48</w:t>
            </w:r>
          </w:p>
        </w:tc>
        <w:tc>
          <w:tcPr>
            <w:tcW w:w="680" w:type="dxa"/>
            <w:tcBorders>
              <w:top w:val="single" w:sz="4" w:space="0" w:color="ADD6EA"/>
              <w:left w:val="nil"/>
              <w:bottom w:val="nil"/>
              <w:right w:val="nil"/>
            </w:tcBorders>
            <w:noWrap/>
            <w:vAlign w:val="bottom"/>
            <w:hideMark/>
          </w:tcPr>
          <w:p w14:paraId="674D6F19"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-89</w:t>
            </w:r>
          </w:p>
        </w:tc>
        <w:tc>
          <w:tcPr>
            <w:tcW w:w="680" w:type="dxa"/>
            <w:tcBorders>
              <w:top w:val="single" w:sz="4" w:space="0" w:color="ADD6EA"/>
              <w:left w:val="nil"/>
              <w:bottom w:val="nil"/>
              <w:right w:val="nil"/>
            </w:tcBorders>
            <w:noWrap/>
            <w:vAlign w:val="bottom"/>
            <w:hideMark/>
          </w:tcPr>
          <w:p w14:paraId="20ABEDCC"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12</w:t>
            </w:r>
          </w:p>
        </w:tc>
        <w:tc>
          <w:tcPr>
            <w:tcW w:w="680" w:type="dxa"/>
            <w:tcBorders>
              <w:top w:val="single" w:sz="4" w:space="0" w:color="ADD6EA"/>
              <w:left w:val="nil"/>
              <w:bottom w:val="nil"/>
              <w:right w:val="nil"/>
            </w:tcBorders>
            <w:noWrap/>
            <w:vAlign w:val="bottom"/>
            <w:hideMark/>
          </w:tcPr>
          <w:p w14:paraId="7ECE6B2B"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14</w:t>
            </w:r>
          </w:p>
        </w:tc>
        <w:tc>
          <w:tcPr>
            <w:tcW w:w="680" w:type="dxa"/>
            <w:tcBorders>
              <w:top w:val="single" w:sz="4" w:space="0" w:color="ADD6EA"/>
              <w:left w:val="nil"/>
              <w:bottom w:val="nil"/>
              <w:right w:val="nil"/>
            </w:tcBorders>
            <w:noWrap/>
            <w:vAlign w:val="bottom"/>
            <w:hideMark/>
          </w:tcPr>
          <w:p w14:paraId="4FF25C70"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-80</w:t>
            </w:r>
          </w:p>
        </w:tc>
        <w:tc>
          <w:tcPr>
            <w:tcW w:w="680" w:type="dxa"/>
            <w:tcBorders>
              <w:top w:val="single" w:sz="4" w:space="0" w:color="ADD6EA"/>
              <w:left w:val="nil"/>
              <w:bottom w:val="nil"/>
              <w:right w:val="nil"/>
            </w:tcBorders>
            <w:noWrap/>
            <w:vAlign w:val="bottom"/>
            <w:hideMark/>
          </w:tcPr>
          <w:p w14:paraId="1FD10C6E"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30</w:t>
            </w:r>
          </w:p>
        </w:tc>
        <w:tc>
          <w:tcPr>
            <w:tcW w:w="680" w:type="dxa"/>
            <w:tcBorders>
              <w:top w:val="single" w:sz="4" w:space="0" w:color="ADD6EA"/>
              <w:left w:val="nil"/>
              <w:bottom w:val="nil"/>
              <w:right w:val="nil"/>
            </w:tcBorders>
            <w:noWrap/>
            <w:vAlign w:val="bottom"/>
            <w:hideMark/>
          </w:tcPr>
          <w:p w14:paraId="31D6A656"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-47</w:t>
            </w:r>
          </w:p>
        </w:tc>
        <w:tc>
          <w:tcPr>
            <w:tcW w:w="680" w:type="dxa"/>
            <w:tcBorders>
              <w:top w:val="single" w:sz="4" w:space="0" w:color="ADD6EA"/>
              <w:left w:val="nil"/>
              <w:bottom w:val="nil"/>
              <w:right w:val="nil"/>
            </w:tcBorders>
            <w:noWrap/>
            <w:vAlign w:val="bottom"/>
            <w:hideMark/>
          </w:tcPr>
          <w:p w14:paraId="12B80AEF"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216</w:t>
            </w:r>
          </w:p>
        </w:tc>
      </w:tr>
      <w:tr w:rsidR="00172EC9" w:rsidRPr="00172EC9" w14:paraId="7341C187" w14:textId="77777777" w:rsidTr="00172EC9">
        <w:trPr>
          <w:trHeight w:val="315"/>
        </w:trPr>
        <w:tc>
          <w:tcPr>
            <w:tcW w:w="2920" w:type="dxa"/>
            <w:tcBorders>
              <w:top w:val="single" w:sz="4" w:space="0" w:color="ADD6EA"/>
              <w:left w:val="nil"/>
              <w:bottom w:val="nil"/>
              <w:right w:val="nil"/>
            </w:tcBorders>
            <w:vAlign w:val="bottom"/>
            <w:hideMark/>
          </w:tcPr>
          <w:p w14:paraId="39A1ED95" w14:textId="77777777" w:rsidR="00172EC9" w:rsidRPr="00172EC9" w:rsidRDefault="00172EC9" w:rsidP="00172EC9">
            <w:pPr>
              <w:tabs>
                <w:tab w:val="clear" w:pos="567"/>
              </w:tabs>
              <w:spacing w:before="0" w:line="240" w:lineRule="auto"/>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Mining revenue</w:t>
            </w:r>
          </w:p>
        </w:tc>
        <w:tc>
          <w:tcPr>
            <w:tcW w:w="680" w:type="dxa"/>
            <w:tcBorders>
              <w:top w:val="single" w:sz="4" w:space="0" w:color="ADD6EA"/>
              <w:left w:val="nil"/>
              <w:bottom w:val="nil"/>
              <w:right w:val="nil"/>
            </w:tcBorders>
            <w:noWrap/>
            <w:vAlign w:val="bottom"/>
            <w:hideMark/>
          </w:tcPr>
          <w:p w14:paraId="14243A9C"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-14</w:t>
            </w:r>
          </w:p>
        </w:tc>
        <w:tc>
          <w:tcPr>
            <w:tcW w:w="680" w:type="dxa"/>
            <w:tcBorders>
              <w:top w:val="single" w:sz="4" w:space="0" w:color="ADD6EA"/>
              <w:left w:val="nil"/>
              <w:bottom w:val="nil"/>
              <w:right w:val="nil"/>
            </w:tcBorders>
            <w:noWrap/>
            <w:vAlign w:val="bottom"/>
            <w:hideMark/>
          </w:tcPr>
          <w:p w14:paraId="4CE91F1B"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8</w:t>
            </w:r>
          </w:p>
        </w:tc>
        <w:tc>
          <w:tcPr>
            <w:tcW w:w="680" w:type="dxa"/>
            <w:tcBorders>
              <w:top w:val="single" w:sz="4" w:space="0" w:color="ADD6EA"/>
              <w:left w:val="nil"/>
              <w:bottom w:val="nil"/>
              <w:right w:val="nil"/>
            </w:tcBorders>
            <w:noWrap/>
            <w:vAlign w:val="bottom"/>
            <w:hideMark/>
          </w:tcPr>
          <w:p w14:paraId="265B1DA3"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48</w:t>
            </w:r>
          </w:p>
        </w:tc>
        <w:tc>
          <w:tcPr>
            <w:tcW w:w="680" w:type="dxa"/>
            <w:tcBorders>
              <w:top w:val="single" w:sz="4" w:space="0" w:color="ADD6EA"/>
              <w:left w:val="nil"/>
              <w:bottom w:val="nil"/>
              <w:right w:val="nil"/>
            </w:tcBorders>
            <w:noWrap/>
            <w:vAlign w:val="bottom"/>
            <w:hideMark/>
          </w:tcPr>
          <w:p w14:paraId="108CACFE"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-85</w:t>
            </w:r>
          </w:p>
        </w:tc>
        <w:tc>
          <w:tcPr>
            <w:tcW w:w="680" w:type="dxa"/>
            <w:tcBorders>
              <w:top w:val="single" w:sz="4" w:space="0" w:color="ADD6EA"/>
              <w:left w:val="nil"/>
              <w:bottom w:val="nil"/>
              <w:right w:val="nil"/>
            </w:tcBorders>
            <w:noWrap/>
            <w:vAlign w:val="bottom"/>
            <w:hideMark/>
          </w:tcPr>
          <w:p w14:paraId="7FD53747"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13</w:t>
            </w:r>
          </w:p>
        </w:tc>
        <w:tc>
          <w:tcPr>
            <w:tcW w:w="680" w:type="dxa"/>
            <w:tcBorders>
              <w:top w:val="single" w:sz="4" w:space="0" w:color="ADD6EA"/>
              <w:left w:val="nil"/>
              <w:bottom w:val="nil"/>
              <w:right w:val="nil"/>
            </w:tcBorders>
            <w:noWrap/>
            <w:vAlign w:val="bottom"/>
            <w:hideMark/>
          </w:tcPr>
          <w:p w14:paraId="31B6A909"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10</w:t>
            </w:r>
          </w:p>
        </w:tc>
        <w:tc>
          <w:tcPr>
            <w:tcW w:w="680" w:type="dxa"/>
            <w:tcBorders>
              <w:top w:val="single" w:sz="4" w:space="0" w:color="ADD6EA"/>
              <w:left w:val="nil"/>
              <w:bottom w:val="nil"/>
              <w:right w:val="nil"/>
            </w:tcBorders>
            <w:noWrap/>
            <w:vAlign w:val="bottom"/>
            <w:hideMark/>
          </w:tcPr>
          <w:p w14:paraId="477F9D0E"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0</w:t>
            </w:r>
          </w:p>
        </w:tc>
        <w:tc>
          <w:tcPr>
            <w:tcW w:w="680" w:type="dxa"/>
            <w:tcBorders>
              <w:top w:val="single" w:sz="4" w:space="0" w:color="ADD6EA"/>
              <w:left w:val="nil"/>
              <w:bottom w:val="nil"/>
              <w:right w:val="nil"/>
            </w:tcBorders>
            <w:noWrap/>
            <w:vAlign w:val="bottom"/>
            <w:hideMark/>
          </w:tcPr>
          <w:p w14:paraId="05B8F350"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20</w:t>
            </w:r>
          </w:p>
        </w:tc>
        <w:tc>
          <w:tcPr>
            <w:tcW w:w="680" w:type="dxa"/>
            <w:tcBorders>
              <w:top w:val="single" w:sz="4" w:space="0" w:color="ADD6EA"/>
              <w:left w:val="nil"/>
              <w:bottom w:val="nil"/>
              <w:right w:val="nil"/>
            </w:tcBorders>
            <w:noWrap/>
            <w:vAlign w:val="bottom"/>
            <w:hideMark/>
          </w:tcPr>
          <w:p w14:paraId="235AF3A5"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99</w:t>
            </w:r>
          </w:p>
        </w:tc>
      </w:tr>
      <w:tr w:rsidR="00172EC9" w:rsidRPr="00172EC9" w14:paraId="20CF4AD1" w14:textId="77777777" w:rsidTr="00172EC9">
        <w:trPr>
          <w:trHeight w:val="315"/>
        </w:trPr>
        <w:tc>
          <w:tcPr>
            <w:tcW w:w="2920" w:type="dxa"/>
            <w:tcBorders>
              <w:top w:val="single" w:sz="4" w:space="0" w:color="ADD6EA"/>
              <w:left w:val="nil"/>
              <w:bottom w:val="nil"/>
              <w:right w:val="nil"/>
            </w:tcBorders>
            <w:vAlign w:val="bottom"/>
            <w:hideMark/>
          </w:tcPr>
          <w:p w14:paraId="3CAA47E9" w14:textId="77777777" w:rsidR="00172EC9" w:rsidRPr="00172EC9" w:rsidRDefault="00172EC9" w:rsidP="00172EC9">
            <w:pPr>
              <w:tabs>
                <w:tab w:val="clear" w:pos="567"/>
              </w:tabs>
              <w:spacing w:before="0" w:line="240" w:lineRule="auto"/>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Other revisions</w:t>
            </w:r>
          </w:p>
        </w:tc>
        <w:tc>
          <w:tcPr>
            <w:tcW w:w="680" w:type="dxa"/>
            <w:tcBorders>
              <w:top w:val="single" w:sz="4" w:space="0" w:color="ADD6EA"/>
              <w:left w:val="nil"/>
              <w:bottom w:val="nil"/>
              <w:right w:val="nil"/>
            </w:tcBorders>
            <w:noWrap/>
            <w:vAlign w:val="bottom"/>
            <w:hideMark/>
          </w:tcPr>
          <w:p w14:paraId="6B9596D3"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68</w:t>
            </w:r>
          </w:p>
        </w:tc>
        <w:tc>
          <w:tcPr>
            <w:tcW w:w="680" w:type="dxa"/>
            <w:tcBorders>
              <w:top w:val="single" w:sz="4" w:space="0" w:color="ADD6EA"/>
              <w:left w:val="nil"/>
              <w:bottom w:val="nil"/>
              <w:right w:val="nil"/>
            </w:tcBorders>
            <w:noWrap/>
            <w:vAlign w:val="bottom"/>
            <w:hideMark/>
          </w:tcPr>
          <w:p w14:paraId="64C80D0B"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17</w:t>
            </w:r>
          </w:p>
        </w:tc>
        <w:tc>
          <w:tcPr>
            <w:tcW w:w="680" w:type="dxa"/>
            <w:tcBorders>
              <w:top w:val="single" w:sz="4" w:space="0" w:color="ADD6EA"/>
              <w:left w:val="nil"/>
              <w:bottom w:val="nil"/>
              <w:right w:val="nil"/>
            </w:tcBorders>
            <w:noWrap/>
            <w:vAlign w:val="bottom"/>
            <w:hideMark/>
          </w:tcPr>
          <w:p w14:paraId="69A94A84"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-90</w:t>
            </w:r>
          </w:p>
        </w:tc>
        <w:tc>
          <w:tcPr>
            <w:tcW w:w="680" w:type="dxa"/>
            <w:tcBorders>
              <w:top w:val="single" w:sz="4" w:space="0" w:color="ADD6EA"/>
              <w:left w:val="nil"/>
              <w:bottom w:val="nil"/>
              <w:right w:val="nil"/>
            </w:tcBorders>
            <w:noWrap/>
            <w:vAlign w:val="bottom"/>
            <w:hideMark/>
          </w:tcPr>
          <w:p w14:paraId="1E9C9CE5"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noWrap/>
            <w:vAlign w:val="bottom"/>
            <w:hideMark/>
          </w:tcPr>
          <w:p w14:paraId="793BC917"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0</w:t>
            </w:r>
          </w:p>
        </w:tc>
        <w:tc>
          <w:tcPr>
            <w:tcW w:w="680" w:type="dxa"/>
            <w:tcBorders>
              <w:top w:val="single" w:sz="4" w:space="0" w:color="ADD6EA"/>
              <w:left w:val="nil"/>
              <w:bottom w:val="nil"/>
              <w:right w:val="nil"/>
            </w:tcBorders>
            <w:noWrap/>
            <w:vAlign w:val="bottom"/>
            <w:hideMark/>
          </w:tcPr>
          <w:p w14:paraId="059E77A3"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9</w:t>
            </w:r>
          </w:p>
        </w:tc>
        <w:tc>
          <w:tcPr>
            <w:tcW w:w="680" w:type="dxa"/>
            <w:tcBorders>
              <w:top w:val="single" w:sz="4" w:space="0" w:color="ADD6EA"/>
              <w:left w:val="nil"/>
              <w:bottom w:val="nil"/>
              <w:right w:val="nil"/>
            </w:tcBorders>
            <w:noWrap/>
            <w:vAlign w:val="bottom"/>
            <w:hideMark/>
          </w:tcPr>
          <w:p w14:paraId="2B605A7E"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15</w:t>
            </w:r>
          </w:p>
        </w:tc>
        <w:tc>
          <w:tcPr>
            <w:tcW w:w="680" w:type="dxa"/>
            <w:tcBorders>
              <w:top w:val="single" w:sz="4" w:space="0" w:color="ADD6EA"/>
              <w:left w:val="nil"/>
              <w:bottom w:val="nil"/>
              <w:right w:val="nil"/>
            </w:tcBorders>
            <w:noWrap/>
            <w:vAlign w:val="bottom"/>
            <w:hideMark/>
          </w:tcPr>
          <w:p w14:paraId="2A7C690B"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-18</w:t>
            </w:r>
          </w:p>
        </w:tc>
        <w:tc>
          <w:tcPr>
            <w:tcW w:w="680" w:type="dxa"/>
            <w:tcBorders>
              <w:top w:val="single" w:sz="4" w:space="0" w:color="ADD6EA"/>
              <w:left w:val="nil"/>
              <w:bottom w:val="nil"/>
              <w:right w:val="nil"/>
            </w:tcBorders>
            <w:noWrap/>
            <w:vAlign w:val="bottom"/>
            <w:hideMark/>
          </w:tcPr>
          <w:p w14:paraId="01D6999A" w14:textId="77777777" w:rsidR="00172EC9" w:rsidRPr="00172EC9" w:rsidRDefault="00172EC9" w:rsidP="00172EC9">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72EC9">
              <w:rPr>
                <w:rFonts w:ascii="Open Sans Light" w:eastAsia="Times New Roman" w:hAnsi="Open Sans Light" w:cs="Open Sans Light"/>
                <w:color w:val="000000"/>
                <w:sz w:val="16"/>
                <w:szCs w:val="16"/>
                <w:lang w:eastAsia="en-AU"/>
              </w:rPr>
              <w:t>109</w:t>
            </w:r>
          </w:p>
        </w:tc>
      </w:tr>
      <w:tr w:rsidR="00172EC9" w:rsidRPr="00172EC9" w14:paraId="261B8D1E" w14:textId="77777777" w:rsidTr="00172EC9">
        <w:trPr>
          <w:trHeight w:val="315"/>
        </w:trPr>
        <w:tc>
          <w:tcPr>
            <w:tcW w:w="2920" w:type="dxa"/>
            <w:tcBorders>
              <w:top w:val="single" w:sz="4" w:space="0" w:color="ADD6EA"/>
              <w:left w:val="nil"/>
              <w:bottom w:val="single" w:sz="4" w:space="0" w:color="ADD6EA"/>
              <w:right w:val="nil"/>
            </w:tcBorders>
            <w:shd w:val="clear" w:color="000000" w:fill="D6E7F0"/>
            <w:vAlign w:val="bottom"/>
            <w:hideMark/>
          </w:tcPr>
          <w:p w14:paraId="4B75EB4D" w14:textId="77777777" w:rsidR="00172EC9" w:rsidRPr="00172EC9" w:rsidRDefault="00172EC9" w:rsidP="00172EC9">
            <w:pPr>
              <w:tabs>
                <w:tab w:val="clear" w:pos="567"/>
              </w:tabs>
              <w:spacing w:before="0" w:line="240" w:lineRule="auto"/>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Total</w:t>
            </w:r>
          </w:p>
        </w:tc>
        <w:tc>
          <w:tcPr>
            <w:tcW w:w="680" w:type="dxa"/>
            <w:tcBorders>
              <w:top w:val="single" w:sz="4" w:space="0" w:color="ADD6EA"/>
              <w:left w:val="nil"/>
              <w:bottom w:val="single" w:sz="4" w:space="0" w:color="ADD6EA"/>
              <w:right w:val="nil"/>
            </w:tcBorders>
            <w:shd w:val="clear" w:color="000000" w:fill="D6E7F0"/>
            <w:noWrap/>
            <w:vAlign w:val="bottom"/>
            <w:hideMark/>
          </w:tcPr>
          <w:p w14:paraId="05D0BC5F"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-492</w:t>
            </w:r>
          </w:p>
        </w:tc>
        <w:tc>
          <w:tcPr>
            <w:tcW w:w="680" w:type="dxa"/>
            <w:tcBorders>
              <w:top w:val="single" w:sz="4" w:space="0" w:color="ADD6EA"/>
              <w:left w:val="nil"/>
              <w:bottom w:val="single" w:sz="4" w:space="0" w:color="ADD6EA"/>
              <w:right w:val="nil"/>
            </w:tcBorders>
            <w:shd w:val="clear" w:color="000000" w:fill="D6E7F0"/>
            <w:noWrap/>
            <w:vAlign w:val="bottom"/>
            <w:hideMark/>
          </w:tcPr>
          <w:p w14:paraId="33D7425C"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645</w:t>
            </w:r>
          </w:p>
        </w:tc>
        <w:tc>
          <w:tcPr>
            <w:tcW w:w="680" w:type="dxa"/>
            <w:tcBorders>
              <w:top w:val="single" w:sz="4" w:space="0" w:color="ADD6EA"/>
              <w:left w:val="nil"/>
              <w:bottom w:val="single" w:sz="4" w:space="0" w:color="ADD6EA"/>
              <w:right w:val="nil"/>
            </w:tcBorders>
            <w:shd w:val="clear" w:color="000000" w:fill="D6E7F0"/>
            <w:noWrap/>
            <w:vAlign w:val="bottom"/>
            <w:hideMark/>
          </w:tcPr>
          <w:p w14:paraId="64197F96"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59</w:t>
            </w:r>
          </w:p>
        </w:tc>
        <w:tc>
          <w:tcPr>
            <w:tcW w:w="680" w:type="dxa"/>
            <w:tcBorders>
              <w:top w:val="single" w:sz="4" w:space="0" w:color="ADD6EA"/>
              <w:left w:val="nil"/>
              <w:bottom w:val="single" w:sz="4" w:space="0" w:color="ADD6EA"/>
              <w:right w:val="nil"/>
            </w:tcBorders>
            <w:shd w:val="clear" w:color="000000" w:fill="D6E7F0"/>
            <w:noWrap/>
            <w:vAlign w:val="bottom"/>
            <w:hideMark/>
          </w:tcPr>
          <w:p w14:paraId="4140983A"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-141</w:t>
            </w:r>
          </w:p>
        </w:tc>
        <w:tc>
          <w:tcPr>
            <w:tcW w:w="680" w:type="dxa"/>
            <w:tcBorders>
              <w:top w:val="single" w:sz="4" w:space="0" w:color="ADD6EA"/>
              <w:left w:val="nil"/>
              <w:bottom w:val="single" w:sz="4" w:space="0" w:color="ADD6EA"/>
              <w:right w:val="nil"/>
            </w:tcBorders>
            <w:shd w:val="clear" w:color="000000" w:fill="D6E7F0"/>
            <w:noWrap/>
            <w:vAlign w:val="bottom"/>
            <w:hideMark/>
          </w:tcPr>
          <w:p w14:paraId="661CB0C6"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-25</w:t>
            </w:r>
          </w:p>
        </w:tc>
        <w:tc>
          <w:tcPr>
            <w:tcW w:w="680" w:type="dxa"/>
            <w:tcBorders>
              <w:top w:val="single" w:sz="4" w:space="0" w:color="ADD6EA"/>
              <w:left w:val="nil"/>
              <w:bottom w:val="single" w:sz="4" w:space="0" w:color="ADD6EA"/>
              <w:right w:val="nil"/>
            </w:tcBorders>
            <w:shd w:val="clear" w:color="000000" w:fill="D6E7F0"/>
            <w:noWrap/>
            <w:vAlign w:val="bottom"/>
            <w:hideMark/>
          </w:tcPr>
          <w:p w14:paraId="75B6959C"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-112</w:t>
            </w:r>
          </w:p>
        </w:tc>
        <w:tc>
          <w:tcPr>
            <w:tcW w:w="680" w:type="dxa"/>
            <w:tcBorders>
              <w:top w:val="single" w:sz="4" w:space="0" w:color="ADD6EA"/>
              <w:left w:val="nil"/>
              <w:bottom w:val="single" w:sz="4" w:space="0" w:color="ADD6EA"/>
              <w:right w:val="nil"/>
            </w:tcBorders>
            <w:shd w:val="clear" w:color="000000" w:fill="D6E7F0"/>
            <w:noWrap/>
            <w:vAlign w:val="bottom"/>
            <w:hideMark/>
          </w:tcPr>
          <w:p w14:paraId="78968146"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51</w:t>
            </w:r>
          </w:p>
        </w:tc>
        <w:tc>
          <w:tcPr>
            <w:tcW w:w="680" w:type="dxa"/>
            <w:tcBorders>
              <w:top w:val="single" w:sz="4" w:space="0" w:color="ADD6EA"/>
              <w:left w:val="nil"/>
              <w:bottom w:val="single" w:sz="4" w:space="0" w:color="ADD6EA"/>
              <w:right w:val="nil"/>
            </w:tcBorders>
            <w:shd w:val="clear" w:color="000000" w:fill="D6E7F0"/>
            <w:noWrap/>
            <w:vAlign w:val="bottom"/>
            <w:hideMark/>
          </w:tcPr>
          <w:p w14:paraId="40EA4128"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16</w:t>
            </w:r>
          </w:p>
        </w:tc>
        <w:tc>
          <w:tcPr>
            <w:tcW w:w="680" w:type="dxa"/>
            <w:tcBorders>
              <w:top w:val="single" w:sz="4" w:space="0" w:color="ADD6EA"/>
              <w:left w:val="nil"/>
              <w:bottom w:val="single" w:sz="4" w:space="0" w:color="ADD6EA"/>
              <w:right w:val="nil"/>
            </w:tcBorders>
            <w:shd w:val="clear" w:color="000000" w:fill="D6E7F0"/>
            <w:noWrap/>
            <w:vAlign w:val="bottom"/>
            <w:hideMark/>
          </w:tcPr>
          <w:p w14:paraId="75D27691" w14:textId="77777777" w:rsidR="00172EC9" w:rsidRPr="00172EC9" w:rsidRDefault="00172EC9" w:rsidP="00172EC9">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72EC9">
              <w:rPr>
                <w:rFonts w:ascii="Open Sans Semibold" w:eastAsia="Times New Roman" w:hAnsi="Open Sans Semibold" w:cs="Open Sans Semibold"/>
                <w:color w:val="000000"/>
                <w:sz w:val="16"/>
                <w:szCs w:val="16"/>
                <w:lang w:eastAsia="en-AU"/>
              </w:rPr>
              <w:t>770</w:t>
            </w:r>
          </w:p>
        </w:tc>
      </w:tr>
    </w:tbl>
    <w:p w14:paraId="6BA5E702" w14:textId="77777777" w:rsidR="00F242FD" w:rsidRDefault="00F242FD" w:rsidP="002373FE">
      <w:pPr>
        <w:pStyle w:val="Heading4"/>
      </w:pPr>
    </w:p>
    <w:p w14:paraId="3EF59B6B" w14:textId="77777777" w:rsidR="00F242FD" w:rsidRDefault="00F242FD">
      <w:pPr>
        <w:tabs>
          <w:tab w:val="clear" w:pos="567"/>
        </w:tabs>
        <w:spacing w:before="0" w:line="240" w:lineRule="auto"/>
        <w:rPr>
          <w:rFonts w:ascii="Open Sans Semibold" w:eastAsiaTheme="majorEastAsia" w:hAnsi="Open Sans Semibold" w:cstheme="majorBidi"/>
          <w:iCs/>
          <w:sz w:val="19"/>
        </w:rPr>
      </w:pPr>
      <w:r>
        <w:br w:type="page"/>
      </w:r>
    </w:p>
    <w:p w14:paraId="2678FADB" w14:textId="569C22F3" w:rsidR="002373FE" w:rsidRPr="00CE55F8" w:rsidRDefault="002373FE" w:rsidP="002373FE">
      <w:pPr>
        <w:pStyle w:val="Heading4"/>
      </w:pPr>
      <w:r w:rsidRPr="00CE55F8">
        <w:lastRenderedPageBreak/>
        <w:t>Revisions to natural disaster relief data</w:t>
      </w:r>
    </w:p>
    <w:p w14:paraId="0A3C5B02" w14:textId="30BEF851" w:rsidR="002373FE" w:rsidRPr="00AB0E0A" w:rsidRDefault="002373FE" w:rsidP="002373FE">
      <w:r w:rsidRPr="00AB0E0A">
        <w:t xml:space="preserve">Revisions by states to their natural disaster relief data result in large changes to assessed GST needs. </w:t>
      </w:r>
      <w:r>
        <w:t>In particular, New South Wales made a s</w:t>
      </w:r>
      <w:r w:rsidRPr="00AB0E0A">
        <w:t>ignificant downward revision</w:t>
      </w:r>
      <w:r w:rsidRPr="00AB0E0A" w:rsidDel="0048003A">
        <w:t xml:space="preserve"> </w:t>
      </w:r>
      <w:r w:rsidRPr="00AB0E0A">
        <w:t xml:space="preserve">to </w:t>
      </w:r>
      <w:r>
        <w:t>its 2022–</w:t>
      </w:r>
      <w:r>
        <w:rPr>
          <w:rFonts w:ascii="Times New Roman" w:hAnsi="Times New Roman" w:cs="Times New Roman" w:hint="eastAsia"/>
          <w:rtl/>
        </w:rPr>
        <w:t>‍</w:t>
      </w:r>
      <w:r>
        <w:rPr>
          <w:rFonts w:ascii="Times New Roman" w:hAnsi="Times New Roman" w:cs="Times New Roman"/>
        </w:rPr>
        <w:t>‍</w:t>
      </w:r>
      <w:r>
        <w:t xml:space="preserve">23 </w:t>
      </w:r>
      <w:r w:rsidRPr="00AB0E0A">
        <w:t>expenses.</w:t>
      </w:r>
    </w:p>
    <w:p w14:paraId="487C1F16" w14:textId="6E35674E" w:rsidR="002373FE" w:rsidRDefault="002373FE" w:rsidP="002373FE">
      <w:pPr>
        <w:rPr>
          <w:highlight w:val="yellow"/>
        </w:rPr>
      </w:pPr>
      <w:r>
        <w:t>Data on natural disaster</w:t>
      </w:r>
      <w:r w:rsidR="00CA675F">
        <w:t xml:space="preserve"> relief</w:t>
      </w:r>
      <w:r>
        <w:t xml:space="preserve"> expenses are subject to revision, partly because the Disaster Recovery Funding Arrangements require multiple levels of auditing, often resulting in the data for the assessment years being incomplete at the time of reporting. As per usual practice, the Commission incorporates the revised data into its calculations when available. Given natural disaster relief expenses are assessed on an actual per capita basis, where material, the Commission also makes an adjustment to correct for the use of unrevised data in previous updates. This ensures correct actual expenses are assessed over time. There were material data revisions </w:t>
      </w:r>
      <w:r w:rsidR="00222070">
        <w:t>to natural disaster relief</w:t>
      </w:r>
      <w:r>
        <w:t xml:space="preserve"> for New South Wales, Victoria, Western Australia and South Australia that triggered</w:t>
      </w:r>
      <w:r w:rsidDel="002373FE">
        <w:t xml:space="preserve"> </w:t>
      </w:r>
      <w:r>
        <w:t>adjustments to GST distribution.</w:t>
      </w:r>
    </w:p>
    <w:p w14:paraId="5CC17425" w14:textId="77777777" w:rsidR="002373FE" w:rsidRPr="00CE55F8" w:rsidRDefault="002373FE" w:rsidP="002373FE">
      <w:pPr>
        <w:pStyle w:val="Heading4"/>
      </w:pPr>
      <w:bookmarkStart w:id="55" w:name="_Hlk220488752"/>
      <w:bookmarkStart w:id="56" w:name="_Hlk218773445"/>
      <w:r w:rsidRPr="00CE55F8">
        <w:t>Revisions to investment data</w:t>
      </w:r>
    </w:p>
    <w:bookmarkEnd w:id="55"/>
    <w:p w14:paraId="04919187" w14:textId="050ADDC1" w:rsidR="002373FE" w:rsidRDefault="002373FE" w:rsidP="002373FE">
      <w:r w:rsidRPr="00E26EF5">
        <w:t>Upward revisions were made to investment data, particularly for urban transport</w:t>
      </w:r>
      <w:r w:rsidR="00490954" w:rsidRPr="00490954">
        <w:t xml:space="preserve"> and </w:t>
      </w:r>
      <w:r w:rsidRPr="00E26EF5">
        <w:t>rural roads</w:t>
      </w:r>
      <w:r w:rsidR="00490954" w:rsidRPr="00490954">
        <w:t>.</w:t>
      </w:r>
      <w:r>
        <w:t xml:space="preserve"> This increases </w:t>
      </w:r>
      <w:r w:rsidRPr="009F4AB5">
        <w:t xml:space="preserve">the assessed GST needs of states with a greater share of </w:t>
      </w:r>
      <w:r w:rsidR="00AA269E">
        <w:t>the</w:t>
      </w:r>
      <w:r w:rsidRPr="009F4AB5">
        <w:t xml:space="preserve"> user populations</w:t>
      </w:r>
      <w:r>
        <w:t>.</w:t>
      </w:r>
      <w:r w:rsidRPr="0067107C">
        <w:rPr>
          <w:rStyle w:val="FootnoteReference"/>
          <w:vertAlign w:val="superscript"/>
        </w:rPr>
        <w:footnoteReference w:id="11"/>
      </w:r>
    </w:p>
    <w:p w14:paraId="3036FACE" w14:textId="77777777" w:rsidR="00490954" w:rsidRPr="00490954" w:rsidRDefault="00490954" w:rsidP="00490954">
      <w:r w:rsidRPr="00490954">
        <w:t>Revisions were also made to user population data. User population revisions in schools have increased the Northern Territory’s assessed GST needs.</w:t>
      </w:r>
    </w:p>
    <w:p w14:paraId="435B654E" w14:textId="77777777" w:rsidR="00490954" w:rsidRPr="00490954" w:rsidRDefault="00490954" w:rsidP="00490954">
      <w:r w:rsidRPr="00490954">
        <w:t>Total investment revisions increase the assessed GST needs of New South Wales, Western Australia, the ACT and the Northern Territory and reduce the assessed GST needs of the other states.</w:t>
      </w:r>
    </w:p>
    <w:bookmarkEnd w:id="56"/>
    <w:p w14:paraId="1167A050" w14:textId="77777777" w:rsidR="002373FE" w:rsidRPr="00195B96" w:rsidRDefault="002373FE" w:rsidP="002373FE">
      <w:pPr>
        <w:pStyle w:val="Heading4"/>
      </w:pPr>
      <w:r w:rsidRPr="00195B96">
        <w:t xml:space="preserve">Revisions to </w:t>
      </w:r>
      <w:r>
        <w:t>net borrowing</w:t>
      </w:r>
      <w:r w:rsidRPr="00195B96">
        <w:t xml:space="preserve"> data</w:t>
      </w:r>
    </w:p>
    <w:p w14:paraId="4F7DE511" w14:textId="5D265363" w:rsidR="002373FE" w:rsidRDefault="002373FE" w:rsidP="002373FE">
      <w:r>
        <w:t>The ABS revised its estimates of state populations. States whose share</w:t>
      </w:r>
      <w:r w:rsidR="00DB2364">
        <w:t>s</w:t>
      </w:r>
      <w:r>
        <w:t xml:space="preserve"> of population </w:t>
      </w:r>
      <w:r w:rsidR="00DB2364">
        <w:t xml:space="preserve">were </w:t>
      </w:r>
      <w:r>
        <w:t xml:space="preserve">revised downwards, particularly Victoria and Queensland, have higher assessed GST needs </w:t>
      </w:r>
      <w:proofErr w:type="gramStart"/>
      <w:r>
        <w:t>in order to</w:t>
      </w:r>
      <w:proofErr w:type="gramEnd"/>
      <w:r>
        <w:t xml:space="preserve"> </w:t>
      </w:r>
      <w:r w:rsidRPr="00783958">
        <w:t>maintain the average level of debt per person</w:t>
      </w:r>
      <w:r>
        <w:t>.</w:t>
      </w:r>
    </w:p>
    <w:p w14:paraId="2BC9AC5F" w14:textId="77777777" w:rsidR="002373FE" w:rsidRPr="00CE55F8" w:rsidRDefault="002373FE" w:rsidP="002373FE">
      <w:pPr>
        <w:pStyle w:val="Heading4"/>
      </w:pPr>
      <w:r w:rsidRPr="00CE55F8">
        <w:t xml:space="preserve">Revisions to </w:t>
      </w:r>
      <w:r>
        <w:t xml:space="preserve">health </w:t>
      </w:r>
      <w:r w:rsidRPr="00CE55F8">
        <w:t>data</w:t>
      </w:r>
    </w:p>
    <w:p w14:paraId="72E68144" w14:textId="77777777" w:rsidR="002373FE" w:rsidRDefault="002373FE" w:rsidP="002373FE">
      <w:r>
        <w:t>The Commission’s health assessment uses hospital activity data. There is a one-year lag in receiving the latest year’s data. Therefore, the most recent assessment year in each update uses the data from the previous assessment year. For the 2025 Review, 2022–</w:t>
      </w:r>
      <w:r>
        <w:rPr>
          <w:rFonts w:ascii="Times New Roman" w:hAnsi="Times New Roman" w:cs="Times New Roman" w:hint="eastAsia"/>
          <w:rtl/>
        </w:rPr>
        <w:t>‍</w:t>
      </w:r>
      <w:r>
        <w:rPr>
          <w:rFonts w:ascii="Times New Roman" w:hAnsi="Times New Roman" w:cs="Times New Roman"/>
        </w:rPr>
        <w:t>‍</w:t>
      </w:r>
      <w:r>
        <w:t>23 data were used for both the 2022–23 and 2023–24 assessment years. For this update, 2023–</w:t>
      </w:r>
      <w:r>
        <w:rPr>
          <w:rFonts w:ascii="Times New Roman" w:hAnsi="Times New Roman" w:cs="Times New Roman" w:hint="eastAsia"/>
          <w:rtl/>
        </w:rPr>
        <w:t>‍</w:t>
      </w:r>
      <w:r>
        <w:rPr>
          <w:rFonts w:ascii="Times New Roman" w:hAnsi="Times New Roman" w:cs="Times New Roman"/>
        </w:rPr>
        <w:t>‍</w:t>
      </w:r>
      <w:r>
        <w:t>24 data are available and have been used.</w:t>
      </w:r>
    </w:p>
    <w:p w14:paraId="0FF9F5DB" w14:textId="77777777" w:rsidR="002373FE" w:rsidRDefault="002373FE" w:rsidP="002373FE">
      <w:r>
        <w:t xml:space="preserve">GST distribution was also impacted by a revision to the </w:t>
      </w:r>
      <w:r w:rsidRPr="006E1E53">
        <w:t>Independent Health and Aged Care Pricing Authority</w:t>
      </w:r>
      <w:r>
        <w:t>’s</w:t>
      </w:r>
      <w:r w:rsidRPr="00B1242D">
        <w:t xml:space="preserve"> </w:t>
      </w:r>
      <w:r>
        <w:t xml:space="preserve">(IHACPA) </w:t>
      </w:r>
      <w:r w:rsidRPr="00611BA3">
        <w:t>National Weighted Activity Unit</w:t>
      </w:r>
      <w:r w:rsidRPr="00B1242D">
        <w:t xml:space="preserve"> dat</w:t>
      </w:r>
      <w:r>
        <w:t xml:space="preserve">a </w:t>
      </w:r>
      <w:r w:rsidRPr="0096091C">
        <w:t>for 2021</w:t>
      </w:r>
      <w:r>
        <w:t>–</w:t>
      </w:r>
      <w:r w:rsidRPr="0096091C">
        <w:t>22 and 2022</w:t>
      </w:r>
      <w:r>
        <w:t>–‍</w:t>
      </w:r>
      <w:r w:rsidRPr="0096091C">
        <w:t>23</w:t>
      </w:r>
      <w:r>
        <w:t xml:space="preserve">. </w:t>
      </w:r>
      <w:r w:rsidRPr="008F65E6">
        <w:t xml:space="preserve">IHACPA identified that some data for major cities were </w:t>
      </w:r>
      <w:r>
        <w:t>mis</w:t>
      </w:r>
      <w:r w:rsidRPr="008F65E6">
        <w:t>classified to other remoteness categories. Correct</w:t>
      </w:r>
      <w:r>
        <w:t xml:space="preserve"> </w:t>
      </w:r>
      <w:r w:rsidRPr="008F65E6">
        <w:t xml:space="preserve">classification </w:t>
      </w:r>
      <w:r>
        <w:t xml:space="preserve">has </w:t>
      </w:r>
      <w:r w:rsidRPr="008F65E6">
        <w:t xml:space="preserve">increased hospital activity in major cities. </w:t>
      </w:r>
    </w:p>
    <w:p w14:paraId="0359989F" w14:textId="5634D943" w:rsidR="002373FE" w:rsidRPr="00CB43E6" w:rsidRDefault="002373FE" w:rsidP="002373FE">
      <w:r>
        <w:t>Combined, these revisions to the health data increase the assessed GST needs of New South Wales, Victoria, Western Australia, South Australia and the ACT and reduce the assessed GST needs of the other states.</w:t>
      </w:r>
    </w:p>
    <w:p w14:paraId="1F40B8DF" w14:textId="77777777" w:rsidR="002373FE" w:rsidRPr="00CE55F8" w:rsidRDefault="002373FE" w:rsidP="002373FE">
      <w:pPr>
        <w:pStyle w:val="Heading4"/>
      </w:pPr>
      <w:r w:rsidRPr="00CE55F8">
        <w:t xml:space="preserve">Revisions to </w:t>
      </w:r>
      <w:r>
        <w:t xml:space="preserve">mining </w:t>
      </w:r>
      <w:r w:rsidRPr="00CE55F8">
        <w:t>data</w:t>
      </w:r>
    </w:p>
    <w:p w14:paraId="110103D4" w14:textId="77777777" w:rsidR="002373FE" w:rsidRPr="00E23F31" w:rsidRDefault="002373FE" w:rsidP="002373FE">
      <w:r w:rsidRPr="00E23F31">
        <w:t xml:space="preserve">A separate assessment of nickel </w:t>
      </w:r>
      <w:r>
        <w:t>is</w:t>
      </w:r>
      <w:r w:rsidRPr="00E23F31">
        <w:t xml:space="preserve"> not material in this update</w:t>
      </w:r>
      <w:r>
        <w:t xml:space="preserve">. Therefore, </w:t>
      </w:r>
      <w:r w:rsidRPr="00E23F31">
        <w:t xml:space="preserve">nickel royalites </w:t>
      </w:r>
      <w:r>
        <w:t xml:space="preserve">have been </w:t>
      </w:r>
      <w:r w:rsidRPr="00E23F31">
        <w:t>assessed in the other minerals component.</w:t>
      </w:r>
    </w:p>
    <w:p w14:paraId="6EFC940F" w14:textId="77777777" w:rsidR="002373FE" w:rsidRDefault="002373FE" w:rsidP="002373FE">
      <w:r w:rsidRPr="00E23F31">
        <w:t xml:space="preserve">Western Australia, the </w:t>
      </w:r>
      <w:r>
        <w:t>major</w:t>
      </w:r>
      <w:r w:rsidRPr="00E23F31">
        <w:t xml:space="preserve"> nickel-producing state, </w:t>
      </w:r>
      <w:r>
        <w:t>is</w:t>
      </w:r>
      <w:r w:rsidRPr="00E23F31">
        <w:t xml:space="preserve"> assessed to have a higher </w:t>
      </w:r>
      <w:r>
        <w:t>revenue</w:t>
      </w:r>
      <w:r w:rsidRPr="00E23F31">
        <w:t xml:space="preserve"> capacity </w:t>
      </w:r>
      <w:r>
        <w:t>(</w:t>
      </w:r>
      <w:r w:rsidRPr="00E23F31">
        <w:t xml:space="preserve">and lower </w:t>
      </w:r>
      <w:r>
        <w:t xml:space="preserve">assessed </w:t>
      </w:r>
      <w:r w:rsidRPr="00E23F31">
        <w:t>GST needs</w:t>
      </w:r>
      <w:r>
        <w:t>)</w:t>
      </w:r>
      <w:r w:rsidRPr="00E23F31">
        <w:t xml:space="preserve"> because the average royalty rate of other minerals is higher than the average nickel royalty rate.</w:t>
      </w:r>
    </w:p>
    <w:p w14:paraId="6AC8FE8E" w14:textId="77777777" w:rsidR="002373FE" w:rsidRPr="00E23F31" w:rsidRDefault="002373FE" w:rsidP="002373FE">
      <w:r w:rsidRPr="000C0278">
        <w:t>See Box 2-1 for more information on aggregating nickel into other minerals.</w:t>
      </w:r>
    </w:p>
    <w:p w14:paraId="3BDA7836" w14:textId="77777777" w:rsidR="002373FE" w:rsidRPr="00C52F39" w:rsidRDefault="002373FE" w:rsidP="002373FE">
      <w:pPr>
        <w:pStyle w:val="Heading3"/>
        <w:keepNext/>
      </w:pPr>
      <w:r w:rsidRPr="00C52F39">
        <w:lastRenderedPageBreak/>
        <w:t>Changes in state circumstances</w:t>
      </w:r>
    </w:p>
    <w:p w14:paraId="47427560" w14:textId="34D44B35" w:rsidR="002373FE" w:rsidRPr="001D7067" w:rsidRDefault="002373FE" w:rsidP="002373FE">
      <w:r>
        <w:t>The Commission uses a 3-year lagged</w:t>
      </w:r>
      <w:r w:rsidR="007C1F16">
        <w:t>,</w:t>
      </w:r>
      <w:r>
        <w:t xml:space="preserve"> moving average of </w:t>
      </w:r>
      <w:r w:rsidR="007C1F16">
        <w:t>state f</w:t>
      </w:r>
      <w:r w:rsidR="00E257F6">
        <w:t>iscal capacities</w:t>
      </w:r>
      <w:r>
        <w:t xml:space="preserve">. For this update, </w:t>
      </w:r>
      <w:r w:rsidRPr="00DC1A60">
        <w:t>2024</w:t>
      </w:r>
      <w:r w:rsidRPr="00DC1A60">
        <w:rPr>
          <w:rFonts w:ascii="Times New Roman" w:hAnsi="Times New Roman" w:cs="Times New Roman" w:hint="eastAsia"/>
        </w:rPr>
        <w:t>‍</w:t>
      </w:r>
      <w:r w:rsidRPr="00DC1A60">
        <w:t>–</w:t>
      </w:r>
      <w:r w:rsidRPr="00DC1A60">
        <w:rPr>
          <w:rFonts w:ascii="Times New Roman" w:hAnsi="Times New Roman" w:cs="Times New Roman" w:hint="eastAsia"/>
        </w:rPr>
        <w:t>‍</w:t>
      </w:r>
      <w:r w:rsidRPr="00DC1A60">
        <w:t>25 data</w:t>
      </w:r>
      <w:r>
        <w:t xml:space="preserve"> replace </w:t>
      </w:r>
      <w:r w:rsidRPr="00DC1A60">
        <w:t>2021</w:t>
      </w:r>
      <w:r w:rsidRPr="00DC1A60">
        <w:rPr>
          <w:rFonts w:ascii="Times New Roman" w:hAnsi="Times New Roman" w:cs="Times New Roman" w:hint="eastAsia"/>
        </w:rPr>
        <w:t>‍</w:t>
      </w:r>
      <w:r w:rsidRPr="00DC1A60">
        <w:t>–</w:t>
      </w:r>
      <w:r w:rsidRPr="00DC1A60">
        <w:rPr>
          <w:rFonts w:ascii="Times New Roman" w:hAnsi="Times New Roman" w:cs="Times New Roman" w:hint="eastAsia"/>
        </w:rPr>
        <w:t>‍</w:t>
      </w:r>
      <w:r w:rsidRPr="00DC1A60">
        <w:t>22 data</w:t>
      </w:r>
      <w:r>
        <w:t xml:space="preserve"> in the 3-year assessment period. Differences in states’ relative circumstances in 2024</w:t>
      </w:r>
      <w:r w:rsidRPr="00DC1A60">
        <w:rPr>
          <w:rFonts w:ascii="Times New Roman" w:hAnsi="Times New Roman" w:cs="Times New Roman" w:hint="eastAsia"/>
        </w:rPr>
        <w:t>‍</w:t>
      </w:r>
      <w:r w:rsidRPr="00DC1A60">
        <w:t>–</w:t>
      </w:r>
      <w:r w:rsidRPr="00DC1A60">
        <w:rPr>
          <w:rFonts w:ascii="Times New Roman" w:hAnsi="Times New Roman" w:cs="Times New Roman" w:hint="eastAsia"/>
        </w:rPr>
        <w:t>‍</w:t>
      </w:r>
      <w:r>
        <w:t>25 compared with 2021</w:t>
      </w:r>
      <w:r w:rsidRPr="00DC1A60">
        <w:rPr>
          <w:rFonts w:ascii="Times New Roman" w:hAnsi="Times New Roman" w:cs="Times New Roman" w:hint="eastAsia"/>
        </w:rPr>
        <w:t>‍</w:t>
      </w:r>
      <w:r w:rsidRPr="00DC1A60">
        <w:t>–</w:t>
      </w:r>
      <w:r w:rsidRPr="00DC1A60">
        <w:rPr>
          <w:rFonts w:ascii="Times New Roman" w:hAnsi="Times New Roman" w:cs="Times New Roman" w:hint="eastAsia"/>
        </w:rPr>
        <w:t>‍</w:t>
      </w:r>
      <w:r>
        <w:t>22 are significant, contributing to large changes in GST distribution</w:t>
      </w:r>
      <w:r w:rsidRPr="00DC1A60">
        <w:t xml:space="preserve"> (</w:t>
      </w:r>
      <w:r w:rsidRPr="001D7067">
        <w:t>see Table 2-</w:t>
      </w:r>
      <w:r>
        <w:t>5</w:t>
      </w:r>
      <w:r w:rsidRPr="001D7067">
        <w:t xml:space="preserve"> and Table 2-</w:t>
      </w:r>
      <w:r>
        <w:t>6</w:t>
      </w:r>
      <w:r w:rsidRPr="001D7067">
        <w:t xml:space="preserve">). This section outlines several large changes in </w:t>
      </w:r>
      <w:r w:rsidR="00E6681B">
        <w:t xml:space="preserve">state </w:t>
      </w:r>
      <w:r w:rsidRPr="001D7067">
        <w:t>circumstances.</w:t>
      </w:r>
    </w:p>
    <w:p w14:paraId="5B9DC1D5" w14:textId="77777777" w:rsidR="002373FE" w:rsidRDefault="002373FE" w:rsidP="002418B3">
      <w:pPr>
        <w:pStyle w:val="CGC2025Caption"/>
        <w:keepNext/>
      </w:pPr>
      <w:r w:rsidRPr="001D7067">
        <w:t>Table 2-</w:t>
      </w:r>
      <w:r>
        <w:t>5</w:t>
      </w:r>
      <w:r w:rsidRPr="001D7067">
        <w:tab/>
        <w:t>Composition</w:t>
      </w:r>
      <w:r w:rsidRPr="009B6AF8">
        <w:t xml:space="preserve"> of changes in state circumstances, 2025–</w:t>
      </w:r>
      <w:r w:rsidRPr="009B6AF8">
        <w:rPr>
          <w:rFonts w:ascii="Times New Roman" w:hAnsi="Times New Roman" w:cs="Times New Roman" w:hint="eastAsia"/>
          <w:rtl/>
        </w:rPr>
        <w:t>‍</w:t>
      </w:r>
      <w:r w:rsidRPr="009B6AF8">
        <w:t>26 to 2026–</w:t>
      </w:r>
      <w:r w:rsidRPr="009B6AF8">
        <w:rPr>
          <w:rFonts w:ascii="Times New Roman" w:hAnsi="Times New Roman" w:cs="Times New Roman" w:hint="eastAsia"/>
          <w:rtl/>
        </w:rPr>
        <w:t>‍</w:t>
      </w:r>
      <w:r w:rsidRPr="009B6AF8">
        <w:t>27</w:t>
      </w:r>
    </w:p>
    <w:tbl>
      <w:tblPr>
        <w:tblW w:w="9040" w:type="dxa"/>
        <w:tblLook w:val="04A0" w:firstRow="1" w:lastRow="0" w:firstColumn="1" w:lastColumn="0" w:noHBand="0" w:noVBand="1"/>
      </w:tblPr>
      <w:tblGrid>
        <w:gridCol w:w="2920"/>
        <w:gridCol w:w="680"/>
        <w:gridCol w:w="680"/>
        <w:gridCol w:w="680"/>
        <w:gridCol w:w="680"/>
        <w:gridCol w:w="680"/>
        <w:gridCol w:w="680"/>
        <w:gridCol w:w="680"/>
        <w:gridCol w:w="680"/>
        <w:gridCol w:w="680"/>
      </w:tblGrid>
      <w:tr w:rsidR="001A597B" w:rsidRPr="001A597B" w14:paraId="6DB0654C" w14:textId="77777777" w:rsidTr="001A597B">
        <w:trPr>
          <w:trHeight w:val="553"/>
        </w:trPr>
        <w:tc>
          <w:tcPr>
            <w:tcW w:w="2920" w:type="dxa"/>
            <w:tcBorders>
              <w:top w:val="nil"/>
              <w:left w:val="nil"/>
              <w:bottom w:val="nil"/>
              <w:right w:val="nil"/>
            </w:tcBorders>
            <w:shd w:val="clear" w:color="000000" w:fill="006991"/>
            <w:vAlign w:val="center"/>
            <w:hideMark/>
          </w:tcPr>
          <w:p w14:paraId="134302C4" w14:textId="77777777" w:rsidR="001A597B" w:rsidRPr="001A597B" w:rsidRDefault="001A597B" w:rsidP="002418B3">
            <w:pPr>
              <w:keepNext/>
              <w:tabs>
                <w:tab w:val="clear" w:pos="567"/>
              </w:tabs>
              <w:spacing w:before="0" w:line="240" w:lineRule="auto"/>
              <w:rPr>
                <w:rFonts w:ascii="Open Sans Semibold" w:eastAsia="Times New Roman" w:hAnsi="Open Sans Semibold" w:cs="Open Sans Semibold"/>
                <w:color w:val="FFFFFF"/>
                <w:sz w:val="16"/>
                <w:szCs w:val="16"/>
                <w:lang w:eastAsia="en-AU"/>
              </w:rPr>
            </w:pPr>
            <w:bookmarkStart w:id="57" w:name="RANGE!A4:J11"/>
            <w:r w:rsidRPr="001A597B">
              <w:rPr>
                <w:rFonts w:ascii="Open Sans Semibold" w:eastAsia="Times New Roman" w:hAnsi="Open Sans Semibold" w:cs="Open Sans Semibold"/>
                <w:color w:val="FFFFFF"/>
                <w:sz w:val="16"/>
                <w:szCs w:val="16"/>
                <w:lang w:eastAsia="en-AU"/>
              </w:rPr>
              <w:t> </w:t>
            </w:r>
            <w:bookmarkEnd w:id="57"/>
          </w:p>
        </w:tc>
        <w:tc>
          <w:tcPr>
            <w:tcW w:w="680" w:type="dxa"/>
            <w:tcBorders>
              <w:top w:val="nil"/>
              <w:left w:val="nil"/>
              <w:bottom w:val="nil"/>
              <w:right w:val="nil"/>
            </w:tcBorders>
            <w:shd w:val="clear" w:color="000000" w:fill="006991"/>
            <w:vAlign w:val="center"/>
            <w:hideMark/>
          </w:tcPr>
          <w:p w14:paraId="0CCDC2A4"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4CB0D236"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367D4A25"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7F922FD3"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2641AF4F"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40EF34B4"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33C5B06A"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420D8FE0"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1D555526" w14:textId="77777777" w:rsidR="001A597B" w:rsidRPr="001A597B" w:rsidRDefault="001A597B"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7B">
              <w:rPr>
                <w:rFonts w:ascii="Open Sans Semibold" w:eastAsia="Times New Roman" w:hAnsi="Open Sans Semibold" w:cs="Open Sans Semibold"/>
                <w:color w:val="FFFFFF"/>
                <w:sz w:val="16"/>
                <w:szCs w:val="16"/>
                <w:lang w:eastAsia="en-AU"/>
              </w:rPr>
              <w:t>Total effect</w:t>
            </w:r>
          </w:p>
        </w:tc>
      </w:tr>
      <w:tr w:rsidR="001A597B" w:rsidRPr="001A597B" w14:paraId="2DC9AC7A" w14:textId="77777777" w:rsidTr="001A597B">
        <w:trPr>
          <w:trHeight w:val="260"/>
        </w:trPr>
        <w:tc>
          <w:tcPr>
            <w:tcW w:w="2920" w:type="dxa"/>
            <w:tcBorders>
              <w:top w:val="single" w:sz="4" w:space="0" w:color="ADD6EA"/>
              <w:left w:val="nil"/>
              <w:bottom w:val="nil"/>
              <w:right w:val="nil"/>
            </w:tcBorders>
            <w:shd w:val="clear" w:color="000000" w:fill="B6D5E4"/>
            <w:vAlign w:val="center"/>
            <w:hideMark/>
          </w:tcPr>
          <w:p w14:paraId="232B144A" w14:textId="77777777" w:rsidR="001A597B" w:rsidRPr="001A597B" w:rsidRDefault="001A597B" w:rsidP="001A597B">
            <w:pPr>
              <w:tabs>
                <w:tab w:val="clear" w:pos="567"/>
              </w:tabs>
              <w:spacing w:before="0" w:line="240" w:lineRule="auto"/>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noWrap/>
            <w:vAlign w:val="center"/>
            <w:hideMark/>
          </w:tcPr>
          <w:p w14:paraId="46B62224"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54488EF3"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7EA0F23D"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7F7A18EC"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0A1B253A"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4E6FCF8D"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327A37E1"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15BE7C8C"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47BCB71D"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$m</w:t>
            </w:r>
          </w:p>
        </w:tc>
      </w:tr>
      <w:tr w:rsidR="001A597B" w:rsidRPr="001A597B" w14:paraId="6D06327E" w14:textId="77777777" w:rsidTr="001A597B">
        <w:trPr>
          <w:trHeight w:val="315"/>
        </w:trPr>
        <w:tc>
          <w:tcPr>
            <w:tcW w:w="2920" w:type="dxa"/>
            <w:tcBorders>
              <w:top w:val="single" w:sz="4" w:space="0" w:color="ADD6EA"/>
              <w:left w:val="nil"/>
              <w:bottom w:val="nil"/>
              <w:right w:val="nil"/>
            </w:tcBorders>
            <w:vAlign w:val="bottom"/>
            <w:hideMark/>
          </w:tcPr>
          <w:p w14:paraId="2CEA8F1A" w14:textId="77777777" w:rsidR="001A597B" w:rsidRPr="001A597B" w:rsidRDefault="001A597B" w:rsidP="001A597B">
            <w:pPr>
              <w:tabs>
                <w:tab w:val="clear" w:pos="567"/>
              </w:tabs>
              <w:spacing w:before="0" w:line="240" w:lineRule="auto"/>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Expense needs</w:t>
            </w:r>
          </w:p>
        </w:tc>
        <w:tc>
          <w:tcPr>
            <w:tcW w:w="680" w:type="dxa"/>
            <w:tcBorders>
              <w:top w:val="single" w:sz="4" w:space="0" w:color="ADD6EA"/>
              <w:left w:val="nil"/>
              <w:bottom w:val="nil"/>
              <w:right w:val="nil"/>
            </w:tcBorders>
            <w:noWrap/>
            <w:vAlign w:val="bottom"/>
            <w:hideMark/>
          </w:tcPr>
          <w:p w14:paraId="3D809690"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-901</w:t>
            </w:r>
          </w:p>
        </w:tc>
        <w:tc>
          <w:tcPr>
            <w:tcW w:w="680" w:type="dxa"/>
            <w:tcBorders>
              <w:top w:val="single" w:sz="4" w:space="0" w:color="ADD6EA"/>
              <w:left w:val="nil"/>
              <w:bottom w:val="nil"/>
              <w:right w:val="nil"/>
            </w:tcBorders>
            <w:noWrap/>
            <w:vAlign w:val="bottom"/>
            <w:hideMark/>
          </w:tcPr>
          <w:p w14:paraId="091CDC0C"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-1,214</w:t>
            </w:r>
          </w:p>
        </w:tc>
        <w:tc>
          <w:tcPr>
            <w:tcW w:w="680" w:type="dxa"/>
            <w:tcBorders>
              <w:top w:val="single" w:sz="4" w:space="0" w:color="ADD6EA"/>
              <w:left w:val="nil"/>
              <w:bottom w:val="nil"/>
              <w:right w:val="nil"/>
            </w:tcBorders>
            <w:noWrap/>
            <w:vAlign w:val="bottom"/>
            <w:hideMark/>
          </w:tcPr>
          <w:p w14:paraId="333261A5"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1,323</w:t>
            </w:r>
          </w:p>
        </w:tc>
        <w:tc>
          <w:tcPr>
            <w:tcW w:w="680" w:type="dxa"/>
            <w:tcBorders>
              <w:top w:val="single" w:sz="4" w:space="0" w:color="ADD6EA"/>
              <w:left w:val="nil"/>
              <w:bottom w:val="nil"/>
              <w:right w:val="nil"/>
            </w:tcBorders>
            <w:noWrap/>
            <w:vAlign w:val="bottom"/>
            <w:hideMark/>
          </w:tcPr>
          <w:p w14:paraId="2ED8D401"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345</w:t>
            </w:r>
          </w:p>
        </w:tc>
        <w:tc>
          <w:tcPr>
            <w:tcW w:w="680" w:type="dxa"/>
            <w:tcBorders>
              <w:top w:val="single" w:sz="4" w:space="0" w:color="ADD6EA"/>
              <w:left w:val="nil"/>
              <w:bottom w:val="nil"/>
              <w:right w:val="nil"/>
            </w:tcBorders>
            <w:noWrap/>
            <w:vAlign w:val="bottom"/>
            <w:hideMark/>
          </w:tcPr>
          <w:p w14:paraId="4F49F4C4"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256</w:t>
            </w:r>
          </w:p>
        </w:tc>
        <w:tc>
          <w:tcPr>
            <w:tcW w:w="680" w:type="dxa"/>
            <w:tcBorders>
              <w:top w:val="single" w:sz="4" w:space="0" w:color="ADD6EA"/>
              <w:left w:val="nil"/>
              <w:bottom w:val="nil"/>
              <w:right w:val="nil"/>
            </w:tcBorders>
            <w:noWrap/>
            <w:vAlign w:val="bottom"/>
            <w:hideMark/>
          </w:tcPr>
          <w:p w14:paraId="633FEB34"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158</w:t>
            </w:r>
          </w:p>
        </w:tc>
        <w:tc>
          <w:tcPr>
            <w:tcW w:w="680" w:type="dxa"/>
            <w:tcBorders>
              <w:top w:val="single" w:sz="4" w:space="0" w:color="ADD6EA"/>
              <w:left w:val="nil"/>
              <w:bottom w:val="nil"/>
              <w:right w:val="nil"/>
            </w:tcBorders>
            <w:noWrap/>
            <w:vAlign w:val="bottom"/>
            <w:hideMark/>
          </w:tcPr>
          <w:p w14:paraId="262F083A"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-69</w:t>
            </w:r>
          </w:p>
        </w:tc>
        <w:tc>
          <w:tcPr>
            <w:tcW w:w="680" w:type="dxa"/>
            <w:tcBorders>
              <w:top w:val="single" w:sz="4" w:space="0" w:color="ADD6EA"/>
              <w:left w:val="nil"/>
              <w:bottom w:val="nil"/>
              <w:right w:val="nil"/>
            </w:tcBorders>
            <w:noWrap/>
            <w:vAlign w:val="bottom"/>
            <w:hideMark/>
          </w:tcPr>
          <w:p w14:paraId="755B66D8"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102</w:t>
            </w:r>
          </w:p>
        </w:tc>
        <w:tc>
          <w:tcPr>
            <w:tcW w:w="680" w:type="dxa"/>
            <w:tcBorders>
              <w:top w:val="single" w:sz="4" w:space="0" w:color="ADD6EA"/>
              <w:left w:val="nil"/>
              <w:bottom w:val="nil"/>
              <w:right w:val="nil"/>
            </w:tcBorders>
            <w:noWrap/>
            <w:vAlign w:val="bottom"/>
            <w:hideMark/>
          </w:tcPr>
          <w:p w14:paraId="4E855B23"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2,184</w:t>
            </w:r>
          </w:p>
        </w:tc>
      </w:tr>
      <w:tr w:rsidR="001A597B" w:rsidRPr="001A597B" w14:paraId="5EEE1532" w14:textId="77777777" w:rsidTr="001A597B">
        <w:trPr>
          <w:trHeight w:val="315"/>
        </w:trPr>
        <w:tc>
          <w:tcPr>
            <w:tcW w:w="2920" w:type="dxa"/>
            <w:tcBorders>
              <w:top w:val="single" w:sz="4" w:space="0" w:color="ADD6EA"/>
              <w:left w:val="nil"/>
              <w:bottom w:val="nil"/>
              <w:right w:val="nil"/>
            </w:tcBorders>
            <w:vAlign w:val="bottom"/>
            <w:hideMark/>
          </w:tcPr>
          <w:p w14:paraId="21CBF161" w14:textId="77777777" w:rsidR="001A597B" w:rsidRPr="001A597B" w:rsidRDefault="001A597B" w:rsidP="001A597B">
            <w:pPr>
              <w:tabs>
                <w:tab w:val="clear" w:pos="567"/>
              </w:tabs>
              <w:spacing w:before="0" w:line="240" w:lineRule="auto"/>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Investment needs</w:t>
            </w:r>
          </w:p>
        </w:tc>
        <w:tc>
          <w:tcPr>
            <w:tcW w:w="680" w:type="dxa"/>
            <w:tcBorders>
              <w:top w:val="single" w:sz="4" w:space="0" w:color="ADD6EA"/>
              <w:left w:val="nil"/>
              <w:bottom w:val="nil"/>
              <w:right w:val="nil"/>
            </w:tcBorders>
            <w:noWrap/>
            <w:vAlign w:val="bottom"/>
            <w:hideMark/>
          </w:tcPr>
          <w:p w14:paraId="27F7D568"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-517</w:t>
            </w:r>
          </w:p>
        </w:tc>
        <w:tc>
          <w:tcPr>
            <w:tcW w:w="680" w:type="dxa"/>
            <w:tcBorders>
              <w:top w:val="single" w:sz="4" w:space="0" w:color="ADD6EA"/>
              <w:left w:val="nil"/>
              <w:bottom w:val="nil"/>
              <w:right w:val="nil"/>
            </w:tcBorders>
            <w:noWrap/>
            <w:vAlign w:val="bottom"/>
            <w:hideMark/>
          </w:tcPr>
          <w:p w14:paraId="69C2AEFA"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517</w:t>
            </w:r>
          </w:p>
        </w:tc>
        <w:tc>
          <w:tcPr>
            <w:tcW w:w="680" w:type="dxa"/>
            <w:tcBorders>
              <w:top w:val="single" w:sz="4" w:space="0" w:color="ADD6EA"/>
              <w:left w:val="nil"/>
              <w:bottom w:val="nil"/>
              <w:right w:val="nil"/>
            </w:tcBorders>
            <w:noWrap/>
            <w:vAlign w:val="bottom"/>
            <w:hideMark/>
          </w:tcPr>
          <w:p w14:paraId="6CBF8F80"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43</w:t>
            </w:r>
          </w:p>
        </w:tc>
        <w:tc>
          <w:tcPr>
            <w:tcW w:w="680" w:type="dxa"/>
            <w:tcBorders>
              <w:top w:val="single" w:sz="4" w:space="0" w:color="ADD6EA"/>
              <w:left w:val="nil"/>
              <w:bottom w:val="nil"/>
              <w:right w:val="nil"/>
            </w:tcBorders>
            <w:noWrap/>
            <w:vAlign w:val="bottom"/>
            <w:hideMark/>
          </w:tcPr>
          <w:p w14:paraId="0BF103CF"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61</w:t>
            </w:r>
          </w:p>
        </w:tc>
        <w:tc>
          <w:tcPr>
            <w:tcW w:w="680" w:type="dxa"/>
            <w:tcBorders>
              <w:top w:val="single" w:sz="4" w:space="0" w:color="ADD6EA"/>
              <w:left w:val="nil"/>
              <w:bottom w:val="nil"/>
              <w:right w:val="nil"/>
            </w:tcBorders>
            <w:noWrap/>
            <w:vAlign w:val="bottom"/>
            <w:hideMark/>
          </w:tcPr>
          <w:p w14:paraId="382BDBAA"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-52</w:t>
            </w:r>
          </w:p>
        </w:tc>
        <w:tc>
          <w:tcPr>
            <w:tcW w:w="680" w:type="dxa"/>
            <w:tcBorders>
              <w:top w:val="single" w:sz="4" w:space="0" w:color="ADD6EA"/>
              <w:left w:val="nil"/>
              <w:bottom w:val="nil"/>
              <w:right w:val="nil"/>
            </w:tcBorders>
            <w:noWrap/>
            <w:vAlign w:val="bottom"/>
            <w:hideMark/>
          </w:tcPr>
          <w:p w14:paraId="0596DCD5"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-25</w:t>
            </w:r>
          </w:p>
        </w:tc>
        <w:tc>
          <w:tcPr>
            <w:tcW w:w="680" w:type="dxa"/>
            <w:tcBorders>
              <w:top w:val="single" w:sz="4" w:space="0" w:color="ADD6EA"/>
              <w:left w:val="nil"/>
              <w:bottom w:val="nil"/>
              <w:right w:val="nil"/>
            </w:tcBorders>
            <w:noWrap/>
            <w:vAlign w:val="bottom"/>
            <w:hideMark/>
          </w:tcPr>
          <w:p w14:paraId="07A28337"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-49</w:t>
            </w:r>
          </w:p>
        </w:tc>
        <w:tc>
          <w:tcPr>
            <w:tcW w:w="680" w:type="dxa"/>
            <w:tcBorders>
              <w:top w:val="single" w:sz="4" w:space="0" w:color="ADD6EA"/>
              <w:left w:val="nil"/>
              <w:bottom w:val="nil"/>
              <w:right w:val="nil"/>
            </w:tcBorders>
            <w:noWrap/>
            <w:vAlign w:val="bottom"/>
            <w:hideMark/>
          </w:tcPr>
          <w:p w14:paraId="0090926D"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noWrap/>
            <w:vAlign w:val="bottom"/>
            <w:hideMark/>
          </w:tcPr>
          <w:p w14:paraId="454E10FA"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643</w:t>
            </w:r>
          </w:p>
        </w:tc>
      </w:tr>
      <w:tr w:rsidR="001A597B" w:rsidRPr="001A597B" w14:paraId="4B1BFBB8" w14:textId="77777777" w:rsidTr="001A597B">
        <w:trPr>
          <w:trHeight w:val="315"/>
        </w:trPr>
        <w:tc>
          <w:tcPr>
            <w:tcW w:w="2920" w:type="dxa"/>
            <w:tcBorders>
              <w:top w:val="single" w:sz="4" w:space="0" w:color="ADD6EA"/>
              <w:left w:val="nil"/>
              <w:bottom w:val="nil"/>
              <w:right w:val="nil"/>
            </w:tcBorders>
            <w:vAlign w:val="bottom"/>
            <w:hideMark/>
          </w:tcPr>
          <w:p w14:paraId="6EB00451" w14:textId="77777777" w:rsidR="001A597B" w:rsidRPr="001A597B" w:rsidRDefault="001A597B" w:rsidP="001A597B">
            <w:pPr>
              <w:tabs>
                <w:tab w:val="clear" w:pos="567"/>
              </w:tabs>
              <w:spacing w:before="0" w:line="240" w:lineRule="auto"/>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Net borrowing</w:t>
            </w:r>
          </w:p>
        </w:tc>
        <w:tc>
          <w:tcPr>
            <w:tcW w:w="680" w:type="dxa"/>
            <w:tcBorders>
              <w:top w:val="single" w:sz="4" w:space="0" w:color="ADD6EA"/>
              <w:left w:val="nil"/>
              <w:bottom w:val="nil"/>
              <w:right w:val="nil"/>
            </w:tcBorders>
            <w:noWrap/>
            <w:vAlign w:val="bottom"/>
            <w:hideMark/>
          </w:tcPr>
          <w:p w14:paraId="71A27981"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141</w:t>
            </w:r>
          </w:p>
        </w:tc>
        <w:tc>
          <w:tcPr>
            <w:tcW w:w="680" w:type="dxa"/>
            <w:tcBorders>
              <w:top w:val="single" w:sz="4" w:space="0" w:color="ADD6EA"/>
              <w:left w:val="nil"/>
              <w:bottom w:val="nil"/>
              <w:right w:val="nil"/>
            </w:tcBorders>
            <w:noWrap/>
            <w:vAlign w:val="bottom"/>
            <w:hideMark/>
          </w:tcPr>
          <w:p w14:paraId="011C413A"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-230</w:t>
            </w:r>
          </w:p>
        </w:tc>
        <w:tc>
          <w:tcPr>
            <w:tcW w:w="680" w:type="dxa"/>
            <w:tcBorders>
              <w:top w:val="single" w:sz="4" w:space="0" w:color="ADD6EA"/>
              <w:left w:val="nil"/>
              <w:bottom w:val="nil"/>
              <w:right w:val="nil"/>
            </w:tcBorders>
            <w:noWrap/>
            <w:vAlign w:val="bottom"/>
            <w:hideMark/>
          </w:tcPr>
          <w:p w14:paraId="33FF0F2F"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noWrap/>
            <w:vAlign w:val="bottom"/>
            <w:hideMark/>
          </w:tcPr>
          <w:p w14:paraId="5AF651FE"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-89</w:t>
            </w:r>
          </w:p>
        </w:tc>
        <w:tc>
          <w:tcPr>
            <w:tcW w:w="680" w:type="dxa"/>
            <w:tcBorders>
              <w:top w:val="single" w:sz="4" w:space="0" w:color="ADD6EA"/>
              <w:left w:val="nil"/>
              <w:bottom w:val="nil"/>
              <w:right w:val="nil"/>
            </w:tcBorders>
            <w:noWrap/>
            <w:vAlign w:val="bottom"/>
            <w:hideMark/>
          </w:tcPr>
          <w:p w14:paraId="36B47366"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65</w:t>
            </w:r>
          </w:p>
        </w:tc>
        <w:tc>
          <w:tcPr>
            <w:tcW w:w="680" w:type="dxa"/>
            <w:tcBorders>
              <w:top w:val="single" w:sz="4" w:space="0" w:color="ADD6EA"/>
              <w:left w:val="nil"/>
              <w:bottom w:val="nil"/>
              <w:right w:val="nil"/>
            </w:tcBorders>
            <w:noWrap/>
            <w:vAlign w:val="bottom"/>
            <w:hideMark/>
          </w:tcPr>
          <w:p w14:paraId="43BBE46D"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58</w:t>
            </w:r>
          </w:p>
        </w:tc>
        <w:tc>
          <w:tcPr>
            <w:tcW w:w="680" w:type="dxa"/>
            <w:tcBorders>
              <w:top w:val="single" w:sz="4" w:space="0" w:color="ADD6EA"/>
              <w:left w:val="nil"/>
              <w:bottom w:val="nil"/>
              <w:right w:val="nil"/>
            </w:tcBorders>
            <w:noWrap/>
            <w:vAlign w:val="bottom"/>
            <w:hideMark/>
          </w:tcPr>
          <w:p w14:paraId="1A36F14F"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25</w:t>
            </w:r>
          </w:p>
        </w:tc>
        <w:tc>
          <w:tcPr>
            <w:tcW w:w="680" w:type="dxa"/>
            <w:tcBorders>
              <w:top w:val="single" w:sz="4" w:space="0" w:color="ADD6EA"/>
              <w:left w:val="nil"/>
              <w:bottom w:val="nil"/>
              <w:right w:val="nil"/>
            </w:tcBorders>
            <w:noWrap/>
            <w:vAlign w:val="bottom"/>
            <w:hideMark/>
          </w:tcPr>
          <w:p w14:paraId="48D410A8"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9</w:t>
            </w:r>
          </w:p>
        </w:tc>
        <w:tc>
          <w:tcPr>
            <w:tcW w:w="680" w:type="dxa"/>
            <w:tcBorders>
              <w:top w:val="single" w:sz="4" w:space="0" w:color="ADD6EA"/>
              <w:left w:val="nil"/>
              <w:bottom w:val="nil"/>
              <w:right w:val="nil"/>
            </w:tcBorders>
            <w:noWrap/>
            <w:vAlign w:val="bottom"/>
            <w:hideMark/>
          </w:tcPr>
          <w:p w14:paraId="0A8FD646"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320</w:t>
            </w:r>
          </w:p>
        </w:tc>
      </w:tr>
      <w:tr w:rsidR="001A597B" w:rsidRPr="001A597B" w14:paraId="43A12423" w14:textId="77777777" w:rsidTr="001A597B">
        <w:trPr>
          <w:trHeight w:val="315"/>
        </w:trPr>
        <w:tc>
          <w:tcPr>
            <w:tcW w:w="2920" w:type="dxa"/>
            <w:tcBorders>
              <w:top w:val="single" w:sz="4" w:space="0" w:color="ADD6EA"/>
              <w:left w:val="nil"/>
              <w:bottom w:val="nil"/>
              <w:right w:val="nil"/>
            </w:tcBorders>
            <w:vAlign w:val="bottom"/>
            <w:hideMark/>
          </w:tcPr>
          <w:p w14:paraId="0B9495D8" w14:textId="77777777" w:rsidR="001A597B" w:rsidRPr="001A597B" w:rsidRDefault="001A597B" w:rsidP="001A597B">
            <w:pPr>
              <w:tabs>
                <w:tab w:val="clear" w:pos="567"/>
              </w:tabs>
              <w:spacing w:before="0" w:line="240" w:lineRule="auto"/>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Revenue raising capacity</w:t>
            </w:r>
          </w:p>
        </w:tc>
        <w:tc>
          <w:tcPr>
            <w:tcW w:w="680" w:type="dxa"/>
            <w:tcBorders>
              <w:top w:val="single" w:sz="4" w:space="0" w:color="ADD6EA"/>
              <w:left w:val="nil"/>
              <w:bottom w:val="nil"/>
              <w:right w:val="nil"/>
            </w:tcBorders>
            <w:vAlign w:val="bottom"/>
            <w:hideMark/>
          </w:tcPr>
          <w:p w14:paraId="5E452455"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7</w:t>
            </w:r>
          </w:p>
        </w:tc>
        <w:tc>
          <w:tcPr>
            <w:tcW w:w="680" w:type="dxa"/>
            <w:tcBorders>
              <w:top w:val="single" w:sz="4" w:space="0" w:color="ADD6EA"/>
              <w:left w:val="nil"/>
              <w:bottom w:val="nil"/>
              <w:right w:val="nil"/>
            </w:tcBorders>
            <w:vAlign w:val="bottom"/>
            <w:hideMark/>
          </w:tcPr>
          <w:p w14:paraId="1D8FB8CF"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-149</w:t>
            </w:r>
          </w:p>
        </w:tc>
        <w:tc>
          <w:tcPr>
            <w:tcW w:w="680" w:type="dxa"/>
            <w:tcBorders>
              <w:top w:val="single" w:sz="4" w:space="0" w:color="ADD6EA"/>
              <w:left w:val="nil"/>
              <w:bottom w:val="nil"/>
              <w:right w:val="nil"/>
            </w:tcBorders>
            <w:vAlign w:val="bottom"/>
            <w:hideMark/>
          </w:tcPr>
          <w:p w14:paraId="2DB18E34"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-277</w:t>
            </w:r>
          </w:p>
        </w:tc>
        <w:tc>
          <w:tcPr>
            <w:tcW w:w="680" w:type="dxa"/>
            <w:tcBorders>
              <w:top w:val="single" w:sz="4" w:space="0" w:color="ADD6EA"/>
              <w:left w:val="nil"/>
              <w:bottom w:val="nil"/>
              <w:right w:val="nil"/>
            </w:tcBorders>
            <w:vAlign w:val="bottom"/>
            <w:hideMark/>
          </w:tcPr>
          <w:p w14:paraId="0FA932CA"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917</w:t>
            </w:r>
          </w:p>
        </w:tc>
        <w:tc>
          <w:tcPr>
            <w:tcW w:w="680" w:type="dxa"/>
            <w:tcBorders>
              <w:top w:val="single" w:sz="4" w:space="0" w:color="ADD6EA"/>
              <w:left w:val="nil"/>
              <w:bottom w:val="nil"/>
              <w:right w:val="nil"/>
            </w:tcBorders>
            <w:vAlign w:val="bottom"/>
            <w:hideMark/>
          </w:tcPr>
          <w:p w14:paraId="690E3750"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-419</w:t>
            </w:r>
          </w:p>
        </w:tc>
        <w:tc>
          <w:tcPr>
            <w:tcW w:w="680" w:type="dxa"/>
            <w:tcBorders>
              <w:top w:val="single" w:sz="4" w:space="0" w:color="ADD6EA"/>
              <w:left w:val="nil"/>
              <w:bottom w:val="nil"/>
              <w:right w:val="nil"/>
            </w:tcBorders>
            <w:vAlign w:val="bottom"/>
            <w:hideMark/>
          </w:tcPr>
          <w:p w14:paraId="616CE049"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-74</w:t>
            </w:r>
          </w:p>
        </w:tc>
        <w:tc>
          <w:tcPr>
            <w:tcW w:w="680" w:type="dxa"/>
            <w:tcBorders>
              <w:top w:val="single" w:sz="4" w:space="0" w:color="ADD6EA"/>
              <w:left w:val="nil"/>
              <w:bottom w:val="nil"/>
              <w:right w:val="nil"/>
            </w:tcBorders>
            <w:vAlign w:val="bottom"/>
            <w:hideMark/>
          </w:tcPr>
          <w:p w14:paraId="28E543C3"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12</w:t>
            </w:r>
          </w:p>
        </w:tc>
        <w:tc>
          <w:tcPr>
            <w:tcW w:w="680" w:type="dxa"/>
            <w:tcBorders>
              <w:top w:val="single" w:sz="4" w:space="0" w:color="ADD6EA"/>
              <w:left w:val="nil"/>
              <w:bottom w:val="nil"/>
              <w:right w:val="nil"/>
            </w:tcBorders>
            <w:vAlign w:val="bottom"/>
            <w:hideMark/>
          </w:tcPr>
          <w:p w14:paraId="7E655140"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-19</w:t>
            </w:r>
          </w:p>
        </w:tc>
        <w:tc>
          <w:tcPr>
            <w:tcW w:w="680" w:type="dxa"/>
            <w:tcBorders>
              <w:top w:val="single" w:sz="4" w:space="0" w:color="ADD6EA"/>
              <w:left w:val="nil"/>
              <w:bottom w:val="nil"/>
              <w:right w:val="nil"/>
            </w:tcBorders>
            <w:vAlign w:val="bottom"/>
            <w:hideMark/>
          </w:tcPr>
          <w:p w14:paraId="0FEAF40C"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937</w:t>
            </w:r>
          </w:p>
        </w:tc>
      </w:tr>
      <w:tr w:rsidR="001A597B" w:rsidRPr="001A597B" w14:paraId="39B93271" w14:textId="77777777" w:rsidTr="001A597B">
        <w:trPr>
          <w:trHeight w:val="315"/>
        </w:trPr>
        <w:tc>
          <w:tcPr>
            <w:tcW w:w="2920" w:type="dxa"/>
            <w:tcBorders>
              <w:top w:val="single" w:sz="4" w:space="0" w:color="ADD6EA"/>
              <w:left w:val="nil"/>
              <w:bottom w:val="nil"/>
              <w:right w:val="nil"/>
            </w:tcBorders>
            <w:vAlign w:val="bottom"/>
            <w:hideMark/>
          </w:tcPr>
          <w:p w14:paraId="17F419E6" w14:textId="77777777" w:rsidR="001A597B" w:rsidRPr="001A597B" w:rsidRDefault="001A597B" w:rsidP="001A597B">
            <w:pPr>
              <w:tabs>
                <w:tab w:val="clear" w:pos="567"/>
              </w:tabs>
              <w:spacing w:before="0" w:line="240" w:lineRule="auto"/>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Commonwealth payments (a)</w:t>
            </w:r>
          </w:p>
        </w:tc>
        <w:tc>
          <w:tcPr>
            <w:tcW w:w="680" w:type="dxa"/>
            <w:tcBorders>
              <w:top w:val="single" w:sz="4" w:space="0" w:color="ADD6EA"/>
              <w:left w:val="nil"/>
              <w:bottom w:val="nil"/>
              <w:right w:val="nil"/>
            </w:tcBorders>
            <w:noWrap/>
            <w:vAlign w:val="bottom"/>
            <w:hideMark/>
          </w:tcPr>
          <w:p w14:paraId="0A925577"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85</w:t>
            </w:r>
          </w:p>
        </w:tc>
        <w:tc>
          <w:tcPr>
            <w:tcW w:w="680" w:type="dxa"/>
            <w:tcBorders>
              <w:top w:val="single" w:sz="4" w:space="0" w:color="ADD6EA"/>
              <w:left w:val="nil"/>
              <w:bottom w:val="nil"/>
              <w:right w:val="nil"/>
            </w:tcBorders>
            <w:noWrap/>
            <w:vAlign w:val="bottom"/>
            <w:hideMark/>
          </w:tcPr>
          <w:p w14:paraId="2AE55F98"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190</w:t>
            </w:r>
          </w:p>
        </w:tc>
        <w:tc>
          <w:tcPr>
            <w:tcW w:w="680" w:type="dxa"/>
            <w:tcBorders>
              <w:top w:val="single" w:sz="4" w:space="0" w:color="ADD6EA"/>
              <w:left w:val="nil"/>
              <w:bottom w:val="nil"/>
              <w:right w:val="nil"/>
            </w:tcBorders>
            <w:noWrap/>
            <w:vAlign w:val="bottom"/>
            <w:hideMark/>
          </w:tcPr>
          <w:p w14:paraId="3C9107E3"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85</w:t>
            </w:r>
          </w:p>
        </w:tc>
        <w:tc>
          <w:tcPr>
            <w:tcW w:w="680" w:type="dxa"/>
            <w:tcBorders>
              <w:top w:val="single" w:sz="4" w:space="0" w:color="ADD6EA"/>
              <w:left w:val="nil"/>
              <w:bottom w:val="nil"/>
              <w:right w:val="nil"/>
            </w:tcBorders>
            <w:noWrap/>
            <w:vAlign w:val="bottom"/>
            <w:hideMark/>
          </w:tcPr>
          <w:p w14:paraId="22E855C0"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-311</w:t>
            </w:r>
          </w:p>
        </w:tc>
        <w:tc>
          <w:tcPr>
            <w:tcW w:w="680" w:type="dxa"/>
            <w:tcBorders>
              <w:top w:val="single" w:sz="4" w:space="0" w:color="ADD6EA"/>
              <w:left w:val="nil"/>
              <w:bottom w:val="nil"/>
              <w:right w:val="nil"/>
            </w:tcBorders>
            <w:noWrap/>
            <w:vAlign w:val="bottom"/>
            <w:hideMark/>
          </w:tcPr>
          <w:p w14:paraId="462E68C3"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-37</w:t>
            </w:r>
          </w:p>
        </w:tc>
        <w:tc>
          <w:tcPr>
            <w:tcW w:w="680" w:type="dxa"/>
            <w:tcBorders>
              <w:top w:val="single" w:sz="4" w:space="0" w:color="ADD6EA"/>
              <w:left w:val="nil"/>
              <w:bottom w:val="nil"/>
              <w:right w:val="nil"/>
            </w:tcBorders>
            <w:noWrap/>
            <w:vAlign w:val="bottom"/>
            <w:hideMark/>
          </w:tcPr>
          <w:p w14:paraId="7D75DBA6"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7</w:t>
            </w:r>
          </w:p>
        </w:tc>
        <w:tc>
          <w:tcPr>
            <w:tcW w:w="680" w:type="dxa"/>
            <w:tcBorders>
              <w:top w:val="single" w:sz="4" w:space="0" w:color="ADD6EA"/>
              <w:left w:val="nil"/>
              <w:bottom w:val="nil"/>
              <w:right w:val="nil"/>
            </w:tcBorders>
            <w:noWrap/>
            <w:vAlign w:val="bottom"/>
            <w:hideMark/>
          </w:tcPr>
          <w:p w14:paraId="2D787534"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14</w:t>
            </w:r>
          </w:p>
        </w:tc>
        <w:tc>
          <w:tcPr>
            <w:tcW w:w="680" w:type="dxa"/>
            <w:tcBorders>
              <w:top w:val="single" w:sz="4" w:space="0" w:color="ADD6EA"/>
              <w:left w:val="nil"/>
              <w:bottom w:val="nil"/>
              <w:right w:val="nil"/>
            </w:tcBorders>
            <w:noWrap/>
            <w:vAlign w:val="bottom"/>
            <w:hideMark/>
          </w:tcPr>
          <w:p w14:paraId="01351626"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-33</w:t>
            </w:r>
          </w:p>
        </w:tc>
        <w:tc>
          <w:tcPr>
            <w:tcW w:w="680" w:type="dxa"/>
            <w:tcBorders>
              <w:top w:val="single" w:sz="4" w:space="0" w:color="ADD6EA"/>
              <w:left w:val="nil"/>
              <w:bottom w:val="nil"/>
              <w:right w:val="nil"/>
            </w:tcBorders>
            <w:noWrap/>
            <w:vAlign w:val="bottom"/>
            <w:hideMark/>
          </w:tcPr>
          <w:p w14:paraId="6C9F6381" w14:textId="77777777" w:rsidR="001A597B" w:rsidRPr="001A597B" w:rsidRDefault="001A597B" w:rsidP="001A597B">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A597B">
              <w:rPr>
                <w:rFonts w:ascii="Open Sans Light" w:eastAsia="Times New Roman" w:hAnsi="Open Sans Light" w:cs="Open Sans Light"/>
                <w:color w:val="000000"/>
                <w:sz w:val="16"/>
                <w:szCs w:val="16"/>
                <w:lang w:eastAsia="en-AU"/>
              </w:rPr>
              <w:t>382</w:t>
            </w:r>
          </w:p>
        </w:tc>
      </w:tr>
      <w:tr w:rsidR="001A597B" w:rsidRPr="001A597B" w14:paraId="5912A620" w14:textId="77777777" w:rsidTr="001A597B">
        <w:trPr>
          <w:trHeight w:val="315"/>
        </w:trPr>
        <w:tc>
          <w:tcPr>
            <w:tcW w:w="2920" w:type="dxa"/>
            <w:tcBorders>
              <w:top w:val="single" w:sz="4" w:space="0" w:color="ADD6EA"/>
              <w:left w:val="nil"/>
              <w:bottom w:val="single" w:sz="4" w:space="0" w:color="ADD6EA"/>
              <w:right w:val="nil"/>
            </w:tcBorders>
            <w:shd w:val="clear" w:color="000000" w:fill="D6E7F0"/>
            <w:vAlign w:val="bottom"/>
            <w:hideMark/>
          </w:tcPr>
          <w:p w14:paraId="10D0F1B2" w14:textId="77777777" w:rsidR="001A597B" w:rsidRPr="001A597B" w:rsidRDefault="001A597B" w:rsidP="001A597B">
            <w:pPr>
              <w:tabs>
                <w:tab w:val="clear" w:pos="567"/>
              </w:tabs>
              <w:spacing w:before="0" w:line="240" w:lineRule="auto"/>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Total</w:t>
            </w:r>
          </w:p>
        </w:tc>
        <w:tc>
          <w:tcPr>
            <w:tcW w:w="680" w:type="dxa"/>
            <w:tcBorders>
              <w:top w:val="single" w:sz="4" w:space="0" w:color="ADD6EA"/>
              <w:left w:val="nil"/>
              <w:bottom w:val="single" w:sz="4" w:space="0" w:color="ADD6EA"/>
              <w:right w:val="nil"/>
            </w:tcBorders>
            <w:shd w:val="clear" w:color="000000" w:fill="D6E7F0"/>
            <w:noWrap/>
            <w:vAlign w:val="bottom"/>
            <w:hideMark/>
          </w:tcPr>
          <w:p w14:paraId="3AD4E892"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-1,182</w:t>
            </w:r>
          </w:p>
        </w:tc>
        <w:tc>
          <w:tcPr>
            <w:tcW w:w="680" w:type="dxa"/>
            <w:tcBorders>
              <w:top w:val="single" w:sz="4" w:space="0" w:color="ADD6EA"/>
              <w:left w:val="nil"/>
              <w:bottom w:val="single" w:sz="4" w:space="0" w:color="ADD6EA"/>
              <w:right w:val="nil"/>
            </w:tcBorders>
            <w:shd w:val="clear" w:color="000000" w:fill="D6E7F0"/>
            <w:noWrap/>
            <w:vAlign w:val="bottom"/>
            <w:hideMark/>
          </w:tcPr>
          <w:p w14:paraId="14EAF7A4"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-888</w:t>
            </w:r>
          </w:p>
        </w:tc>
        <w:tc>
          <w:tcPr>
            <w:tcW w:w="680" w:type="dxa"/>
            <w:tcBorders>
              <w:top w:val="single" w:sz="4" w:space="0" w:color="ADD6EA"/>
              <w:left w:val="nil"/>
              <w:bottom w:val="single" w:sz="4" w:space="0" w:color="ADD6EA"/>
              <w:right w:val="nil"/>
            </w:tcBorders>
            <w:shd w:val="clear" w:color="000000" w:fill="D6E7F0"/>
            <w:noWrap/>
            <w:vAlign w:val="bottom"/>
            <w:hideMark/>
          </w:tcPr>
          <w:p w14:paraId="152B16D0"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1,198</w:t>
            </w:r>
          </w:p>
        </w:tc>
        <w:tc>
          <w:tcPr>
            <w:tcW w:w="680" w:type="dxa"/>
            <w:tcBorders>
              <w:top w:val="single" w:sz="4" w:space="0" w:color="ADD6EA"/>
              <w:left w:val="nil"/>
              <w:bottom w:val="single" w:sz="4" w:space="0" w:color="ADD6EA"/>
              <w:right w:val="nil"/>
            </w:tcBorders>
            <w:shd w:val="clear" w:color="000000" w:fill="D6E7F0"/>
            <w:noWrap/>
            <w:vAlign w:val="bottom"/>
            <w:hideMark/>
          </w:tcPr>
          <w:p w14:paraId="3116E0F0"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921</w:t>
            </w:r>
          </w:p>
        </w:tc>
        <w:tc>
          <w:tcPr>
            <w:tcW w:w="680" w:type="dxa"/>
            <w:tcBorders>
              <w:top w:val="single" w:sz="4" w:space="0" w:color="ADD6EA"/>
              <w:left w:val="nil"/>
              <w:bottom w:val="single" w:sz="4" w:space="0" w:color="ADD6EA"/>
              <w:right w:val="nil"/>
            </w:tcBorders>
            <w:shd w:val="clear" w:color="000000" w:fill="D6E7F0"/>
            <w:noWrap/>
            <w:vAlign w:val="bottom"/>
            <w:hideMark/>
          </w:tcPr>
          <w:p w14:paraId="55C01394"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-188</w:t>
            </w:r>
          </w:p>
        </w:tc>
        <w:tc>
          <w:tcPr>
            <w:tcW w:w="680" w:type="dxa"/>
            <w:tcBorders>
              <w:top w:val="single" w:sz="4" w:space="0" w:color="ADD6EA"/>
              <w:left w:val="nil"/>
              <w:bottom w:val="single" w:sz="4" w:space="0" w:color="ADD6EA"/>
              <w:right w:val="nil"/>
            </w:tcBorders>
            <w:shd w:val="clear" w:color="000000" w:fill="D6E7F0"/>
            <w:noWrap/>
            <w:vAlign w:val="bottom"/>
            <w:hideMark/>
          </w:tcPr>
          <w:p w14:paraId="44BBFE0A"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124</w:t>
            </w:r>
          </w:p>
        </w:tc>
        <w:tc>
          <w:tcPr>
            <w:tcW w:w="680" w:type="dxa"/>
            <w:tcBorders>
              <w:top w:val="single" w:sz="4" w:space="0" w:color="ADD6EA"/>
              <w:left w:val="nil"/>
              <w:bottom w:val="single" w:sz="4" w:space="0" w:color="ADD6EA"/>
              <w:right w:val="nil"/>
            </w:tcBorders>
            <w:shd w:val="clear" w:color="000000" w:fill="D6E7F0"/>
            <w:noWrap/>
            <w:vAlign w:val="bottom"/>
            <w:hideMark/>
          </w:tcPr>
          <w:p w14:paraId="7B0DA756"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-67</w:t>
            </w:r>
          </w:p>
        </w:tc>
        <w:tc>
          <w:tcPr>
            <w:tcW w:w="680" w:type="dxa"/>
            <w:tcBorders>
              <w:top w:val="single" w:sz="4" w:space="0" w:color="ADD6EA"/>
              <w:left w:val="nil"/>
              <w:bottom w:val="single" w:sz="4" w:space="0" w:color="ADD6EA"/>
              <w:right w:val="nil"/>
            </w:tcBorders>
            <w:shd w:val="clear" w:color="000000" w:fill="D6E7F0"/>
            <w:noWrap/>
            <w:vAlign w:val="bottom"/>
            <w:hideMark/>
          </w:tcPr>
          <w:p w14:paraId="55D9890C"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80</w:t>
            </w:r>
          </w:p>
        </w:tc>
        <w:tc>
          <w:tcPr>
            <w:tcW w:w="680" w:type="dxa"/>
            <w:tcBorders>
              <w:top w:val="single" w:sz="4" w:space="0" w:color="ADD6EA"/>
              <w:left w:val="nil"/>
              <w:bottom w:val="single" w:sz="4" w:space="0" w:color="ADD6EA"/>
              <w:right w:val="nil"/>
            </w:tcBorders>
            <w:shd w:val="clear" w:color="000000" w:fill="D6E7F0"/>
            <w:noWrap/>
            <w:vAlign w:val="bottom"/>
            <w:hideMark/>
          </w:tcPr>
          <w:p w14:paraId="156B867A" w14:textId="77777777" w:rsidR="001A597B" w:rsidRPr="001A597B" w:rsidRDefault="001A597B" w:rsidP="001A597B">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7B">
              <w:rPr>
                <w:rFonts w:ascii="Open Sans Semibold" w:eastAsia="Times New Roman" w:hAnsi="Open Sans Semibold" w:cs="Open Sans Semibold"/>
                <w:color w:val="000000"/>
                <w:sz w:val="16"/>
                <w:szCs w:val="16"/>
                <w:lang w:eastAsia="en-AU"/>
              </w:rPr>
              <w:t>2,324</w:t>
            </w:r>
          </w:p>
        </w:tc>
      </w:tr>
    </w:tbl>
    <w:p w14:paraId="4563175D" w14:textId="77777777" w:rsidR="002373FE" w:rsidRPr="002E7C86" w:rsidRDefault="002373FE" w:rsidP="00150F80">
      <w:pPr>
        <w:pStyle w:val="CGC2025TableNote"/>
        <w:numPr>
          <w:ilvl w:val="0"/>
          <w:numId w:val="23"/>
        </w:numPr>
      </w:pPr>
      <w:r w:rsidRPr="002E7C86">
        <w:t xml:space="preserve">The effects of changing Commonwealth payments for COVID-19 and the Better and Fairer </w:t>
      </w:r>
      <w:r>
        <w:t>Schools Agreement</w:t>
      </w:r>
      <w:r w:rsidRPr="002E7C86">
        <w:t xml:space="preserve"> are included in the changes to expense needs.</w:t>
      </w:r>
    </w:p>
    <w:p w14:paraId="36B22000" w14:textId="3FF89909" w:rsidR="002373FE" w:rsidRDefault="002373FE" w:rsidP="002373FE">
      <w:pPr>
        <w:pStyle w:val="CGC2025Caption"/>
        <w:keepNext/>
        <w:ind w:left="1440" w:hanging="1440"/>
      </w:pPr>
      <w:r w:rsidRPr="001D7067">
        <w:t>Table 2-</w:t>
      </w:r>
      <w:r>
        <w:t>6</w:t>
      </w:r>
      <w:r w:rsidRPr="001D7067">
        <w:tab/>
        <w:t xml:space="preserve">Change to </w:t>
      </w:r>
      <w:r>
        <w:t xml:space="preserve">assessed </w:t>
      </w:r>
      <w:r w:rsidRPr="001D7067">
        <w:t xml:space="preserve">GST </w:t>
      </w:r>
      <w:r>
        <w:t>needs</w:t>
      </w:r>
      <w:r w:rsidRPr="001D7067">
        <w:t xml:space="preserve"> due to changes in state circumstances, 2025–</w:t>
      </w:r>
      <w:r w:rsidRPr="001D7067">
        <w:rPr>
          <w:rFonts w:ascii="Times New Roman" w:hAnsi="Times New Roman" w:cs="Times New Roman" w:hint="eastAsia"/>
          <w:rtl/>
        </w:rPr>
        <w:t>‍</w:t>
      </w:r>
      <w:r w:rsidRPr="001D7067">
        <w:t>26</w:t>
      </w:r>
      <w:r w:rsidRPr="009B6AF8">
        <w:t xml:space="preserve"> to 2026–</w:t>
      </w:r>
      <w:r w:rsidRPr="009B6AF8">
        <w:rPr>
          <w:rFonts w:ascii="Times New Roman" w:hAnsi="Times New Roman" w:cs="Times New Roman" w:hint="eastAsia"/>
          <w:rtl/>
        </w:rPr>
        <w:t>‍</w:t>
      </w:r>
      <w:r w:rsidRPr="009B6AF8">
        <w:t>27</w:t>
      </w:r>
    </w:p>
    <w:tbl>
      <w:tblPr>
        <w:tblW w:w="9040" w:type="dxa"/>
        <w:tblLook w:val="04A0" w:firstRow="1" w:lastRow="0" w:firstColumn="1" w:lastColumn="0" w:noHBand="0" w:noVBand="1"/>
      </w:tblPr>
      <w:tblGrid>
        <w:gridCol w:w="2920"/>
        <w:gridCol w:w="680"/>
        <w:gridCol w:w="680"/>
        <w:gridCol w:w="680"/>
        <w:gridCol w:w="680"/>
        <w:gridCol w:w="680"/>
        <w:gridCol w:w="680"/>
        <w:gridCol w:w="680"/>
        <w:gridCol w:w="680"/>
        <w:gridCol w:w="680"/>
      </w:tblGrid>
      <w:tr w:rsidR="000173D1" w:rsidRPr="000173D1" w14:paraId="3F835885" w14:textId="77777777" w:rsidTr="000173D1">
        <w:trPr>
          <w:trHeight w:val="555"/>
        </w:trPr>
        <w:tc>
          <w:tcPr>
            <w:tcW w:w="2920" w:type="dxa"/>
            <w:tcBorders>
              <w:top w:val="nil"/>
              <w:left w:val="nil"/>
              <w:bottom w:val="nil"/>
              <w:right w:val="nil"/>
            </w:tcBorders>
            <w:shd w:val="clear" w:color="000000" w:fill="006991"/>
            <w:vAlign w:val="center"/>
            <w:hideMark/>
          </w:tcPr>
          <w:p w14:paraId="242AAD4C" w14:textId="77777777" w:rsidR="000173D1" w:rsidRPr="000173D1" w:rsidRDefault="000173D1" w:rsidP="000173D1">
            <w:pPr>
              <w:tabs>
                <w:tab w:val="clear" w:pos="567"/>
              </w:tabs>
              <w:spacing w:before="0" w:line="240" w:lineRule="auto"/>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 </w:t>
            </w:r>
          </w:p>
        </w:tc>
        <w:tc>
          <w:tcPr>
            <w:tcW w:w="680" w:type="dxa"/>
            <w:tcBorders>
              <w:top w:val="nil"/>
              <w:left w:val="nil"/>
              <w:bottom w:val="nil"/>
              <w:right w:val="nil"/>
            </w:tcBorders>
            <w:shd w:val="clear" w:color="000000" w:fill="006991"/>
            <w:vAlign w:val="center"/>
            <w:hideMark/>
          </w:tcPr>
          <w:p w14:paraId="1446FD6D"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0274F6A6"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5C26ECAF"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5C52E020"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726D0157"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5AD95F04"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601EF265"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1E45F3A5"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7CA0CA71"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0173D1">
              <w:rPr>
                <w:rFonts w:ascii="Open Sans Semibold" w:eastAsia="Times New Roman" w:hAnsi="Open Sans Semibold" w:cs="Open Sans Semibold"/>
                <w:color w:val="FFFFFF"/>
                <w:sz w:val="16"/>
                <w:szCs w:val="16"/>
                <w:lang w:eastAsia="en-AU"/>
              </w:rPr>
              <w:t>Total effect</w:t>
            </w:r>
          </w:p>
        </w:tc>
      </w:tr>
      <w:tr w:rsidR="000173D1" w:rsidRPr="000173D1" w14:paraId="4C8F6485" w14:textId="77777777" w:rsidTr="000173D1">
        <w:trPr>
          <w:trHeight w:val="260"/>
        </w:trPr>
        <w:tc>
          <w:tcPr>
            <w:tcW w:w="2920" w:type="dxa"/>
            <w:tcBorders>
              <w:top w:val="single" w:sz="4" w:space="0" w:color="ADD6EA"/>
              <w:left w:val="nil"/>
              <w:bottom w:val="nil"/>
              <w:right w:val="nil"/>
            </w:tcBorders>
            <w:shd w:val="clear" w:color="000000" w:fill="B6D5E4"/>
            <w:vAlign w:val="center"/>
            <w:hideMark/>
          </w:tcPr>
          <w:p w14:paraId="2CE7CFBE" w14:textId="77777777" w:rsidR="000173D1" w:rsidRPr="000173D1" w:rsidRDefault="000173D1" w:rsidP="000173D1">
            <w:pPr>
              <w:tabs>
                <w:tab w:val="clear" w:pos="567"/>
              </w:tabs>
              <w:spacing w:before="0" w:line="240" w:lineRule="auto"/>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noWrap/>
            <w:vAlign w:val="center"/>
            <w:hideMark/>
          </w:tcPr>
          <w:p w14:paraId="5419754D"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FB5FD89"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33CC668F"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4387441B"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374C9694"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10396C48"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05FBC8B2"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274F1388"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1FAD0B18"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$m</w:t>
            </w:r>
          </w:p>
        </w:tc>
      </w:tr>
      <w:tr w:rsidR="000173D1" w:rsidRPr="000173D1" w14:paraId="7C079F0F" w14:textId="77777777" w:rsidTr="000173D1">
        <w:trPr>
          <w:trHeight w:val="315"/>
        </w:trPr>
        <w:tc>
          <w:tcPr>
            <w:tcW w:w="2920" w:type="dxa"/>
            <w:tcBorders>
              <w:top w:val="single" w:sz="4" w:space="0" w:color="ADD6EA"/>
              <w:left w:val="nil"/>
              <w:bottom w:val="nil"/>
              <w:right w:val="nil"/>
            </w:tcBorders>
            <w:vAlign w:val="bottom"/>
            <w:hideMark/>
          </w:tcPr>
          <w:p w14:paraId="34102320"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Mining production</w:t>
            </w:r>
          </w:p>
        </w:tc>
        <w:tc>
          <w:tcPr>
            <w:tcW w:w="680" w:type="dxa"/>
            <w:tcBorders>
              <w:top w:val="single" w:sz="4" w:space="0" w:color="ADD6EA"/>
              <w:left w:val="nil"/>
              <w:bottom w:val="nil"/>
              <w:right w:val="nil"/>
            </w:tcBorders>
            <w:noWrap/>
            <w:vAlign w:val="bottom"/>
            <w:hideMark/>
          </w:tcPr>
          <w:p w14:paraId="6A20502C"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-381</w:t>
            </w:r>
          </w:p>
        </w:tc>
        <w:tc>
          <w:tcPr>
            <w:tcW w:w="680" w:type="dxa"/>
            <w:tcBorders>
              <w:top w:val="single" w:sz="4" w:space="0" w:color="ADD6EA"/>
              <w:left w:val="nil"/>
              <w:bottom w:val="nil"/>
              <w:right w:val="nil"/>
            </w:tcBorders>
            <w:noWrap/>
            <w:vAlign w:val="bottom"/>
            <w:hideMark/>
          </w:tcPr>
          <w:p w14:paraId="74B0A81C"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-912</w:t>
            </w:r>
          </w:p>
        </w:tc>
        <w:tc>
          <w:tcPr>
            <w:tcW w:w="680" w:type="dxa"/>
            <w:tcBorders>
              <w:top w:val="single" w:sz="4" w:space="0" w:color="ADD6EA"/>
              <w:left w:val="nil"/>
              <w:bottom w:val="nil"/>
              <w:right w:val="nil"/>
            </w:tcBorders>
            <w:noWrap/>
            <w:vAlign w:val="bottom"/>
            <w:hideMark/>
          </w:tcPr>
          <w:p w14:paraId="382E2B3D"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284</w:t>
            </w:r>
          </w:p>
        </w:tc>
        <w:tc>
          <w:tcPr>
            <w:tcW w:w="680" w:type="dxa"/>
            <w:tcBorders>
              <w:top w:val="single" w:sz="4" w:space="0" w:color="ADD6EA"/>
              <w:left w:val="nil"/>
              <w:bottom w:val="nil"/>
              <w:right w:val="nil"/>
            </w:tcBorders>
            <w:noWrap/>
            <w:vAlign w:val="bottom"/>
            <w:hideMark/>
          </w:tcPr>
          <w:p w14:paraId="5E3DA0BE"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1,390</w:t>
            </w:r>
          </w:p>
        </w:tc>
        <w:tc>
          <w:tcPr>
            <w:tcW w:w="680" w:type="dxa"/>
            <w:tcBorders>
              <w:top w:val="single" w:sz="4" w:space="0" w:color="ADD6EA"/>
              <w:left w:val="nil"/>
              <w:bottom w:val="nil"/>
              <w:right w:val="nil"/>
            </w:tcBorders>
            <w:noWrap/>
            <w:vAlign w:val="bottom"/>
            <w:hideMark/>
          </w:tcPr>
          <w:p w14:paraId="7D4C9434"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-236</w:t>
            </w:r>
          </w:p>
        </w:tc>
        <w:tc>
          <w:tcPr>
            <w:tcW w:w="680" w:type="dxa"/>
            <w:tcBorders>
              <w:top w:val="single" w:sz="4" w:space="0" w:color="ADD6EA"/>
              <w:left w:val="nil"/>
              <w:bottom w:val="nil"/>
              <w:right w:val="nil"/>
            </w:tcBorders>
            <w:noWrap/>
            <w:vAlign w:val="bottom"/>
            <w:hideMark/>
          </w:tcPr>
          <w:p w14:paraId="7DDE8067"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-54</w:t>
            </w:r>
          </w:p>
        </w:tc>
        <w:tc>
          <w:tcPr>
            <w:tcW w:w="680" w:type="dxa"/>
            <w:tcBorders>
              <w:top w:val="single" w:sz="4" w:space="0" w:color="ADD6EA"/>
              <w:left w:val="nil"/>
              <w:bottom w:val="nil"/>
              <w:right w:val="nil"/>
            </w:tcBorders>
            <w:noWrap/>
            <w:vAlign w:val="bottom"/>
            <w:hideMark/>
          </w:tcPr>
          <w:p w14:paraId="5BF0F6D0"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-64</w:t>
            </w:r>
          </w:p>
        </w:tc>
        <w:tc>
          <w:tcPr>
            <w:tcW w:w="680" w:type="dxa"/>
            <w:tcBorders>
              <w:top w:val="single" w:sz="4" w:space="0" w:color="ADD6EA"/>
              <w:left w:val="nil"/>
              <w:bottom w:val="nil"/>
              <w:right w:val="nil"/>
            </w:tcBorders>
            <w:noWrap/>
            <w:vAlign w:val="bottom"/>
            <w:hideMark/>
          </w:tcPr>
          <w:p w14:paraId="46396C18"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-27</w:t>
            </w:r>
          </w:p>
        </w:tc>
        <w:tc>
          <w:tcPr>
            <w:tcW w:w="680" w:type="dxa"/>
            <w:tcBorders>
              <w:top w:val="single" w:sz="4" w:space="0" w:color="ADD6EA"/>
              <w:left w:val="nil"/>
              <w:bottom w:val="nil"/>
              <w:right w:val="nil"/>
            </w:tcBorders>
            <w:noWrap/>
            <w:vAlign w:val="bottom"/>
            <w:hideMark/>
          </w:tcPr>
          <w:p w14:paraId="23F4A917"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1,674</w:t>
            </w:r>
          </w:p>
        </w:tc>
      </w:tr>
      <w:tr w:rsidR="000173D1" w:rsidRPr="000173D1" w14:paraId="5AFBA6CC" w14:textId="77777777" w:rsidTr="000173D1">
        <w:trPr>
          <w:trHeight w:val="315"/>
        </w:trPr>
        <w:tc>
          <w:tcPr>
            <w:tcW w:w="2920" w:type="dxa"/>
            <w:tcBorders>
              <w:top w:val="single" w:sz="4" w:space="0" w:color="ADD6EA"/>
              <w:left w:val="nil"/>
              <w:bottom w:val="nil"/>
              <w:right w:val="nil"/>
            </w:tcBorders>
            <w:vAlign w:val="bottom"/>
            <w:hideMark/>
          </w:tcPr>
          <w:p w14:paraId="4B6DFC22"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COVID-19 (a)</w:t>
            </w:r>
          </w:p>
        </w:tc>
        <w:tc>
          <w:tcPr>
            <w:tcW w:w="680" w:type="dxa"/>
            <w:tcBorders>
              <w:top w:val="single" w:sz="4" w:space="0" w:color="ADD6EA"/>
              <w:left w:val="nil"/>
              <w:bottom w:val="nil"/>
              <w:right w:val="nil"/>
            </w:tcBorders>
            <w:noWrap/>
            <w:vAlign w:val="bottom"/>
            <w:hideMark/>
          </w:tcPr>
          <w:p w14:paraId="556E7D97"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-674</w:t>
            </w:r>
          </w:p>
        </w:tc>
        <w:tc>
          <w:tcPr>
            <w:tcW w:w="680" w:type="dxa"/>
            <w:tcBorders>
              <w:top w:val="single" w:sz="4" w:space="0" w:color="ADD6EA"/>
              <w:left w:val="nil"/>
              <w:bottom w:val="nil"/>
              <w:right w:val="nil"/>
            </w:tcBorders>
            <w:noWrap/>
            <w:vAlign w:val="bottom"/>
            <w:hideMark/>
          </w:tcPr>
          <w:p w14:paraId="0AD4F08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-853</w:t>
            </w:r>
          </w:p>
        </w:tc>
        <w:tc>
          <w:tcPr>
            <w:tcW w:w="680" w:type="dxa"/>
            <w:tcBorders>
              <w:top w:val="single" w:sz="4" w:space="0" w:color="ADD6EA"/>
              <w:left w:val="nil"/>
              <w:bottom w:val="nil"/>
              <w:right w:val="nil"/>
            </w:tcBorders>
            <w:noWrap/>
            <w:vAlign w:val="bottom"/>
            <w:hideMark/>
          </w:tcPr>
          <w:p w14:paraId="261B7F39"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829</w:t>
            </w:r>
          </w:p>
        </w:tc>
        <w:tc>
          <w:tcPr>
            <w:tcW w:w="680" w:type="dxa"/>
            <w:tcBorders>
              <w:top w:val="single" w:sz="4" w:space="0" w:color="ADD6EA"/>
              <w:left w:val="nil"/>
              <w:bottom w:val="nil"/>
              <w:right w:val="nil"/>
            </w:tcBorders>
            <w:noWrap/>
            <w:vAlign w:val="bottom"/>
            <w:hideMark/>
          </w:tcPr>
          <w:p w14:paraId="07EC78F0"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365</w:t>
            </w:r>
          </w:p>
        </w:tc>
        <w:tc>
          <w:tcPr>
            <w:tcW w:w="680" w:type="dxa"/>
            <w:tcBorders>
              <w:top w:val="single" w:sz="4" w:space="0" w:color="ADD6EA"/>
              <w:left w:val="nil"/>
              <w:bottom w:val="nil"/>
              <w:right w:val="nil"/>
            </w:tcBorders>
            <w:noWrap/>
            <w:vAlign w:val="bottom"/>
            <w:hideMark/>
          </w:tcPr>
          <w:p w14:paraId="15E850C1"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267</w:t>
            </w:r>
          </w:p>
        </w:tc>
        <w:tc>
          <w:tcPr>
            <w:tcW w:w="680" w:type="dxa"/>
            <w:tcBorders>
              <w:top w:val="single" w:sz="4" w:space="0" w:color="ADD6EA"/>
              <w:left w:val="nil"/>
              <w:bottom w:val="nil"/>
              <w:right w:val="nil"/>
            </w:tcBorders>
            <w:noWrap/>
            <w:vAlign w:val="bottom"/>
            <w:hideMark/>
          </w:tcPr>
          <w:p w14:paraId="0C6EAD1F"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60</w:t>
            </w:r>
          </w:p>
        </w:tc>
        <w:tc>
          <w:tcPr>
            <w:tcW w:w="680" w:type="dxa"/>
            <w:tcBorders>
              <w:top w:val="single" w:sz="4" w:space="0" w:color="ADD6EA"/>
              <w:left w:val="nil"/>
              <w:bottom w:val="nil"/>
              <w:right w:val="nil"/>
            </w:tcBorders>
            <w:noWrap/>
            <w:vAlign w:val="bottom"/>
            <w:hideMark/>
          </w:tcPr>
          <w:p w14:paraId="0CF429CC"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-11</w:t>
            </w:r>
          </w:p>
        </w:tc>
        <w:tc>
          <w:tcPr>
            <w:tcW w:w="680" w:type="dxa"/>
            <w:tcBorders>
              <w:top w:val="single" w:sz="4" w:space="0" w:color="ADD6EA"/>
              <w:left w:val="nil"/>
              <w:bottom w:val="nil"/>
              <w:right w:val="nil"/>
            </w:tcBorders>
            <w:noWrap/>
            <w:vAlign w:val="bottom"/>
            <w:hideMark/>
          </w:tcPr>
          <w:p w14:paraId="0DF43F0B"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17</w:t>
            </w:r>
          </w:p>
        </w:tc>
        <w:tc>
          <w:tcPr>
            <w:tcW w:w="680" w:type="dxa"/>
            <w:tcBorders>
              <w:top w:val="single" w:sz="4" w:space="0" w:color="ADD6EA"/>
              <w:left w:val="nil"/>
              <w:bottom w:val="nil"/>
              <w:right w:val="nil"/>
            </w:tcBorders>
            <w:noWrap/>
            <w:vAlign w:val="bottom"/>
            <w:hideMark/>
          </w:tcPr>
          <w:p w14:paraId="6E234ADB"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1,538</w:t>
            </w:r>
          </w:p>
        </w:tc>
      </w:tr>
      <w:tr w:rsidR="000173D1" w:rsidRPr="000173D1" w14:paraId="7FCE5029" w14:textId="77777777" w:rsidTr="000173D1">
        <w:trPr>
          <w:trHeight w:val="315"/>
        </w:trPr>
        <w:tc>
          <w:tcPr>
            <w:tcW w:w="2920" w:type="dxa"/>
            <w:tcBorders>
              <w:top w:val="single" w:sz="4" w:space="0" w:color="ADD6EA"/>
              <w:left w:val="nil"/>
              <w:bottom w:val="nil"/>
              <w:right w:val="nil"/>
            </w:tcBorders>
            <w:vAlign w:val="bottom"/>
            <w:hideMark/>
          </w:tcPr>
          <w:p w14:paraId="033AC80A"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Property sales</w:t>
            </w:r>
          </w:p>
        </w:tc>
        <w:tc>
          <w:tcPr>
            <w:tcW w:w="680" w:type="dxa"/>
            <w:tcBorders>
              <w:top w:val="single" w:sz="4" w:space="0" w:color="ADD6EA"/>
              <w:left w:val="nil"/>
              <w:bottom w:val="nil"/>
              <w:right w:val="nil"/>
            </w:tcBorders>
            <w:noWrap/>
            <w:vAlign w:val="bottom"/>
            <w:hideMark/>
          </w:tcPr>
          <w:p w14:paraId="0118D8A4"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666</w:t>
            </w:r>
          </w:p>
        </w:tc>
        <w:tc>
          <w:tcPr>
            <w:tcW w:w="680" w:type="dxa"/>
            <w:tcBorders>
              <w:top w:val="single" w:sz="4" w:space="0" w:color="ADD6EA"/>
              <w:left w:val="nil"/>
              <w:bottom w:val="nil"/>
              <w:right w:val="nil"/>
            </w:tcBorders>
            <w:noWrap/>
            <w:vAlign w:val="bottom"/>
            <w:hideMark/>
          </w:tcPr>
          <w:p w14:paraId="313BB71D"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429</w:t>
            </w:r>
          </w:p>
        </w:tc>
        <w:tc>
          <w:tcPr>
            <w:tcW w:w="680" w:type="dxa"/>
            <w:tcBorders>
              <w:top w:val="single" w:sz="4" w:space="0" w:color="ADD6EA"/>
              <w:left w:val="nil"/>
              <w:bottom w:val="nil"/>
              <w:right w:val="nil"/>
            </w:tcBorders>
            <w:noWrap/>
            <w:vAlign w:val="bottom"/>
            <w:hideMark/>
          </w:tcPr>
          <w:p w14:paraId="5AECB276"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-379</w:t>
            </w:r>
          </w:p>
        </w:tc>
        <w:tc>
          <w:tcPr>
            <w:tcW w:w="680" w:type="dxa"/>
            <w:tcBorders>
              <w:top w:val="single" w:sz="4" w:space="0" w:color="ADD6EA"/>
              <w:left w:val="nil"/>
              <w:bottom w:val="nil"/>
              <w:right w:val="nil"/>
            </w:tcBorders>
            <w:noWrap/>
            <w:vAlign w:val="bottom"/>
            <w:hideMark/>
          </w:tcPr>
          <w:p w14:paraId="45874B3F"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-538</w:t>
            </w:r>
          </w:p>
        </w:tc>
        <w:tc>
          <w:tcPr>
            <w:tcW w:w="680" w:type="dxa"/>
            <w:tcBorders>
              <w:top w:val="single" w:sz="4" w:space="0" w:color="ADD6EA"/>
              <w:left w:val="nil"/>
              <w:bottom w:val="nil"/>
              <w:right w:val="nil"/>
            </w:tcBorders>
            <w:noWrap/>
            <w:vAlign w:val="bottom"/>
            <w:hideMark/>
          </w:tcPr>
          <w:p w14:paraId="725E811B"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-192</w:t>
            </w:r>
          </w:p>
        </w:tc>
        <w:tc>
          <w:tcPr>
            <w:tcW w:w="680" w:type="dxa"/>
            <w:tcBorders>
              <w:top w:val="single" w:sz="4" w:space="0" w:color="ADD6EA"/>
              <w:left w:val="nil"/>
              <w:bottom w:val="nil"/>
              <w:right w:val="nil"/>
            </w:tcBorders>
            <w:noWrap/>
            <w:vAlign w:val="bottom"/>
            <w:hideMark/>
          </w:tcPr>
          <w:p w14:paraId="2E8BE51E"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-33</w:t>
            </w:r>
          </w:p>
        </w:tc>
        <w:tc>
          <w:tcPr>
            <w:tcW w:w="680" w:type="dxa"/>
            <w:tcBorders>
              <w:top w:val="single" w:sz="4" w:space="0" w:color="ADD6EA"/>
              <w:left w:val="nil"/>
              <w:bottom w:val="nil"/>
              <w:right w:val="nil"/>
            </w:tcBorders>
            <w:noWrap/>
            <w:vAlign w:val="bottom"/>
            <w:hideMark/>
          </w:tcPr>
          <w:p w14:paraId="47E17090"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46</w:t>
            </w:r>
          </w:p>
        </w:tc>
        <w:tc>
          <w:tcPr>
            <w:tcW w:w="680" w:type="dxa"/>
            <w:tcBorders>
              <w:top w:val="single" w:sz="4" w:space="0" w:color="ADD6EA"/>
              <w:left w:val="nil"/>
              <w:bottom w:val="nil"/>
              <w:right w:val="nil"/>
            </w:tcBorders>
            <w:noWrap/>
            <w:vAlign w:val="bottom"/>
            <w:hideMark/>
          </w:tcPr>
          <w:p w14:paraId="2EA814C9"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w:t>
            </w:r>
          </w:p>
        </w:tc>
        <w:tc>
          <w:tcPr>
            <w:tcW w:w="680" w:type="dxa"/>
            <w:tcBorders>
              <w:top w:val="single" w:sz="4" w:space="0" w:color="ADD6EA"/>
              <w:left w:val="nil"/>
              <w:bottom w:val="nil"/>
              <w:right w:val="nil"/>
            </w:tcBorders>
            <w:noWrap/>
            <w:vAlign w:val="bottom"/>
            <w:hideMark/>
          </w:tcPr>
          <w:p w14:paraId="0132400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1,143</w:t>
            </w:r>
          </w:p>
        </w:tc>
      </w:tr>
      <w:tr w:rsidR="000173D1" w:rsidRPr="000173D1" w14:paraId="39A16D22" w14:textId="77777777" w:rsidTr="000173D1">
        <w:trPr>
          <w:trHeight w:val="315"/>
        </w:trPr>
        <w:tc>
          <w:tcPr>
            <w:tcW w:w="2920" w:type="dxa"/>
            <w:tcBorders>
              <w:top w:val="single" w:sz="4" w:space="0" w:color="ADD6EA"/>
              <w:left w:val="nil"/>
              <w:bottom w:val="nil"/>
              <w:right w:val="nil"/>
            </w:tcBorders>
            <w:vAlign w:val="bottom"/>
            <w:hideMark/>
          </w:tcPr>
          <w:p w14:paraId="28E62105"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Taxable land values</w:t>
            </w:r>
          </w:p>
        </w:tc>
        <w:tc>
          <w:tcPr>
            <w:tcW w:w="680" w:type="dxa"/>
            <w:tcBorders>
              <w:top w:val="single" w:sz="4" w:space="0" w:color="ADD6EA"/>
              <w:left w:val="nil"/>
              <w:bottom w:val="nil"/>
              <w:right w:val="nil"/>
            </w:tcBorders>
            <w:noWrap/>
            <w:vAlign w:val="bottom"/>
            <w:hideMark/>
          </w:tcPr>
          <w:p w14:paraId="1F8D8008"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-473</w:t>
            </w:r>
          </w:p>
        </w:tc>
        <w:tc>
          <w:tcPr>
            <w:tcW w:w="680" w:type="dxa"/>
            <w:tcBorders>
              <w:top w:val="single" w:sz="4" w:space="0" w:color="ADD6EA"/>
              <w:left w:val="nil"/>
              <w:bottom w:val="nil"/>
              <w:right w:val="nil"/>
            </w:tcBorders>
            <w:noWrap/>
            <w:vAlign w:val="bottom"/>
            <w:hideMark/>
          </w:tcPr>
          <w:p w14:paraId="127563C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211</w:t>
            </w:r>
          </w:p>
        </w:tc>
        <w:tc>
          <w:tcPr>
            <w:tcW w:w="680" w:type="dxa"/>
            <w:tcBorders>
              <w:top w:val="single" w:sz="4" w:space="0" w:color="ADD6EA"/>
              <w:left w:val="nil"/>
              <w:bottom w:val="nil"/>
              <w:right w:val="nil"/>
            </w:tcBorders>
            <w:noWrap/>
            <w:vAlign w:val="bottom"/>
            <w:hideMark/>
          </w:tcPr>
          <w:p w14:paraId="3C80F3CD"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82</w:t>
            </w:r>
          </w:p>
        </w:tc>
        <w:tc>
          <w:tcPr>
            <w:tcW w:w="680" w:type="dxa"/>
            <w:tcBorders>
              <w:top w:val="single" w:sz="4" w:space="0" w:color="ADD6EA"/>
              <w:left w:val="nil"/>
              <w:bottom w:val="nil"/>
              <w:right w:val="nil"/>
            </w:tcBorders>
            <w:noWrap/>
            <w:vAlign w:val="bottom"/>
            <w:hideMark/>
          </w:tcPr>
          <w:p w14:paraId="3A15CFA6"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160</w:t>
            </w:r>
          </w:p>
        </w:tc>
        <w:tc>
          <w:tcPr>
            <w:tcW w:w="680" w:type="dxa"/>
            <w:tcBorders>
              <w:top w:val="single" w:sz="4" w:space="0" w:color="ADD6EA"/>
              <w:left w:val="nil"/>
              <w:bottom w:val="nil"/>
              <w:right w:val="nil"/>
            </w:tcBorders>
            <w:noWrap/>
            <w:vAlign w:val="bottom"/>
            <w:hideMark/>
          </w:tcPr>
          <w:p w14:paraId="71CBD46A"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-18</w:t>
            </w:r>
          </w:p>
        </w:tc>
        <w:tc>
          <w:tcPr>
            <w:tcW w:w="680" w:type="dxa"/>
            <w:tcBorders>
              <w:top w:val="single" w:sz="4" w:space="0" w:color="ADD6EA"/>
              <w:left w:val="nil"/>
              <w:bottom w:val="nil"/>
              <w:right w:val="nil"/>
            </w:tcBorders>
            <w:noWrap/>
            <w:vAlign w:val="bottom"/>
            <w:hideMark/>
          </w:tcPr>
          <w:p w14:paraId="33A0E0CB"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10</w:t>
            </w:r>
          </w:p>
        </w:tc>
        <w:tc>
          <w:tcPr>
            <w:tcW w:w="680" w:type="dxa"/>
            <w:tcBorders>
              <w:top w:val="single" w:sz="4" w:space="0" w:color="ADD6EA"/>
              <w:left w:val="nil"/>
              <w:bottom w:val="nil"/>
              <w:right w:val="nil"/>
            </w:tcBorders>
            <w:noWrap/>
            <w:vAlign w:val="bottom"/>
            <w:hideMark/>
          </w:tcPr>
          <w:p w14:paraId="3DDC900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noWrap/>
            <w:vAlign w:val="bottom"/>
            <w:hideMark/>
          </w:tcPr>
          <w:p w14:paraId="518D6269"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6</w:t>
            </w:r>
          </w:p>
        </w:tc>
        <w:tc>
          <w:tcPr>
            <w:tcW w:w="680" w:type="dxa"/>
            <w:tcBorders>
              <w:top w:val="single" w:sz="4" w:space="0" w:color="ADD6EA"/>
              <w:left w:val="nil"/>
              <w:bottom w:val="nil"/>
              <w:right w:val="nil"/>
            </w:tcBorders>
            <w:noWrap/>
            <w:vAlign w:val="bottom"/>
            <w:hideMark/>
          </w:tcPr>
          <w:p w14:paraId="38052D2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490</w:t>
            </w:r>
          </w:p>
        </w:tc>
      </w:tr>
      <w:tr w:rsidR="000173D1" w:rsidRPr="000173D1" w14:paraId="362EC264" w14:textId="77777777" w:rsidTr="000173D1">
        <w:trPr>
          <w:trHeight w:val="315"/>
        </w:trPr>
        <w:tc>
          <w:tcPr>
            <w:tcW w:w="2920" w:type="dxa"/>
            <w:tcBorders>
              <w:top w:val="single" w:sz="4" w:space="0" w:color="ADD6EA"/>
              <w:left w:val="nil"/>
              <w:bottom w:val="nil"/>
              <w:right w:val="nil"/>
            </w:tcBorders>
            <w:vAlign w:val="bottom"/>
            <w:hideMark/>
          </w:tcPr>
          <w:p w14:paraId="00E48DE4"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Population growth</w:t>
            </w:r>
          </w:p>
        </w:tc>
        <w:tc>
          <w:tcPr>
            <w:tcW w:w="680" w:type="dxa"/>
            <w:tcBorders>
              <w:top w:val="single" w:sz="4" w:space="0" w:color="ADD6EA"/>
              <w:left w:val="nil"/>
              <w:bottom w:val="nil"/>
              <w:right w:val="nil"/>
            </w:tcBorders>
            <w:noWrap/>
            <w:vAlign w:val="bottom"/>
            <w:hideMark/>
          </w:tcPr>
          <w:p w14:paraId="5B2423D1"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12</w:t>
            </w:r>
          </w:p>
        </w:tc>
        <w:tc>
          <w:tcPr>
            <w:tcW w:w="680" w:type="dxa"/>
            <w:tcBorders>
              <w:top w:val="single" w:sz="4" w:space="0" w:color="ADD6EA"/>
              <w:left w:val="nil"/>
              <w:bottom w:val="nil"/>
              <w:right w:val="nil"/>
            </w:tcBorders>
            <w:noWrap/>
            <w:vAlign w:val="bottom"/>
            <w:hideMark/>
          </w:tcPr>
          <w:p w14:paraId="147EE76A"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387</w:t>
            </w:r>
          </w:p>
        </w:tc>
        <w:tc>
          <w:tcPr>
            <w:tcW w:w="680" w:type="dxa"/>
            <w:tcBorders>
              <w:top w:val="single" w:sz="4" w:space="0" w:color="ADD6EA"/>
              <w:left w:val="nil"/>
              <w:bottom w:val="nil"/>
              <w:right w:val="nil"/>
            </w:tcBorders>
            <w:noWrap/>
            <w:vAlign w:val="bottom"/>
            <w:hideMark/>
          </w:tcPr>
          <w:p w14:paraId="63808E5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-255</w:t>
            </w:r>
          </w:p>
        </w:tc>
        <w:tc>
          <w:tcPr>
            <w:tcW w:w="680" w:type="dxa"/>
            <w:tcBorders>
              <w:top w:val="single" w:sz="4" w:space="0" w:color="ADD6EA"/>
              <w:left w:val="nil"/>
              <w:bottom w:val="nil"/>
              <w:right w:val="nil"/>
            </w:tcBorders>
            <w:noWrap/>
            <w:vAlign w:val="bottom"/>
            <w:hideMark/>
          </w:tcPr>
          <w:p w14:paraId="55E0BE3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-79</w:t>
            </w:r>
          </w:p>
        </w:tc>
        <w:tc>
          <w:tcPr>
            <w:tcW w:w="680" w:type="dxa"/>
            <w:tcBorders>
              <w:top w:val="single" w:sz="4" w:space="0" w:color="ADD6EA"/>
              <w:left w:val="nil"/>
              <w:bottom w:val="nil"/>
              <w:right w:val="nil"/>
            </w:tcBorders>
            <w:noWrap/>
            <w:vAlign w:val="bottom"/>
            <w:hideMark/>
          </w:tcPr>
          <w:p w14:paraId="29ED7F46"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-29</w:t>
            </w:r>
          </w:p>
        </w:tc>
        <w:tc>
          <w:tcPr>
            <w:tcW w:w="680" w:type="dxa"/>
            <w:tcBorders>
              <w:top w:val="single" w:sz="4" w:space="0" w:color="ADD6EA"/>
              <w:left w:val="nil"/>
              <w:bottom w:val="nil"/>
              <w:right w:val="nil"/>
            </w:tcBorders>
            <w:noWrap/>
            <w:vAlign w:val="bottom"/>
            <w:hideMark/>
          </w:tcPr>
          <w:p w14:paraId="1738649E"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-21</w:t>
            </w:r>
          </w:p>
        </w:tc>
        <w:tc>
          <w:tcPr>
            <w:tcW w:w="680" w:type="dxa"/>
            <w:tcBorders>
              <w:top w:val="single" w:sz="4" w:space="0" w:color="ADD6EA"/>
              <w:left w:val="nil"/>
              <w:bottom w:val="nil"/>
              <w:right w:val="nil"/>
            </w:tcBorders>
            <w:noWrap/>
            <w:vAlign w:val="bottom"/>
            <w:hideMark/>
          </w:tcPr>
          <w:p w14:paraId="6978C01C"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-37</w:t>
            </w:r>
          </w:p>
        </w:tc>
        <w:tc>
          <w:tcPr>
            <w:tcW w:w="680" w:type="dxa"/>
            <w:tcBorders>
              <w:top w:val="single" w:sz="4" w:space="0" w:color="ADD6EA"/>
              <w:left w:val="nil"/>
              <w:bottom w:val="nil"/>
              <w:right w:val="nil"/>
            </w:tcBorders>
            <w:noWrap/>
            <w:vAlign w:val="bottom"/>
            <w:hideMark/>
          </w:tcPr>
          <w:p w14:paraId="586EF3A6"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noWrap/>
            <w:vAlign w:val="bottom"/>
            <w:hideMark/>
          </w:tcPr>
          <w:p w14:paraId="3385FC59"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421</w:t>
            </w:r>
          </w:p>
        </w:tc>
      </w:tr>
      <w:tr w:rsidR="000173D1" w:rsidRPr="000173D1" w14:paraId="5ADEA70B" w14:textId="77777777" w:rsidTr="000173D1">
        <w:trPr>
          <w:trHeight w:val="315"/>
        </w:trPr>
        <w:tc>
          <w:tcPr>
            <w:tcW w:w="2920" w:type="dxa"/>
            <w:tcBorders>
              <w:top w:val="single" w:sz="4" w:space="0" w:color="ADD6EA"/>
              <w:left w:val="nil"/>
              <w:bottom w:val="nil"/>
              <w:right w:val="nil"/>
            </w:tcBorders>
            <w:vAlign w:val="bottom"/>
            <w:hideMark/>
          </w:tcPr>
          <w:p w14:paraId="3AE44AEC"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Capital improvements</w:t>
            </w:r>
          </w:p>
        </w:tc>
        <w:tc>
          <w:tcPr>
            <w:tcW w:w="680" w:type="dxa"/>
            <w:tcBorders>
              <w:top w:val="single" w:sz="4" w:space="0" w:color="ADD6EA"/>
              <w:left w:val="nil"/>
              <w:bottom w:val="nil"/>
              <w:right w:val="nil"/>
            </w:tcBorders>
            <w:noWrap/>
            <w:vAlign w:val="bottom"/>
            <w:hideMark/>
          </w:tcPr>
          <w:p w14:paraId="631B1C58"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-236</w:t>
            </w:r>
          </w:p>
        </w:tc>
        <w:tc>
          <w:tcPr>
            <w:tcW w:w="680" w:type="dxa"/>
            <w:tcBorders>
              <w:top w:val="single" w:sz="4" w:space="0" w:color="ADD6EA"/>
              <w:left w:val="nil"/>
              <w:bottom w:val="nil"/>
              <w:right w:val="nil"/>
            </w:tcBorders>
            <w:noWrap/>
            <w:vAlign w:val="bottom"/>
            <w:hideMark/>
          </w:tcPr>
          <w:p w14:paraId="221B494B"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-159</w:t>
            </w:r>
          </w:p>
        </w:tc>
        <w:tc>
          <w:tcPr>
            <w:tcW w:w="680" w:type="dxa"/>
            <w:tcBorders>
              <w:top w:val="single" w:sz="4" w:space="0" w:color="ADD6EA"/>
              <w:left w:val="nil"/>
              <w:bottom w:val="nil"/>
              <w:right w:val="nil"/>
            </w:tcBorders>
            <w:noWrap/>
            <w:vAlign w:val="bottom"/>
            <w:hideMark/>
          </w:tcPr>
          <w:p w14:paraId="0BD77640"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164</w:t>
            </w:r>
          </w:p>
        </w:tc>
        <w:tc>
          <w:tcPr>
            <w:tcW w:w="680" w:type="dxa"/>
            <w:tcBorders>
              <w:top w:val="single" w:sz="4" w:space="0" w:color="ADD6EA"/>
              <w:left w:val="nil"/>
              <w:bottom w:val="nil"/>
              <w:right w:val="nil"/>
            </w:tcBorders>
            <w:noWrap/>
            <w:vAlign w:val="bottom"/>
            <w:hideMark/>
          </w:tcPr>
          <w:p w14:paraId="63E02AF9"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56</w:t>
            </w:r>
          </w:p>
        </w:tc>
        <w:tc>
          <w:tcPr>
            <w:tcW w:w="680" w:type="dxa"/>
            <w:tcBorders>
              <w:top w:val="single" w:sz="4" w:space="0" w:color="ADD6EA"/>
              <w:left w:val="nil"/>
              <w:bottom w:val="nil"/>
              <w:right w:val="nil"/>
            </w:tcBorders>
            <w:noWrap/>
            <w:vAlign w:val="bottom"/>
            <w:hideMark/>
          </w:tcPr>
          <w:p w14:paraId="29DD755D"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76</w:t>
            </w:r>
          </w:p>
        </w:tc>
        <w:tc>
          <w:tcPr>
            <w:tcW w:w="680" w:type="dxa"/>
            <w:tcBorders>
              <w:top w:val="single" w:sz="4" w:space="0" w:color="ADD6EA"/>
              <w:left w:val="nil"/>
              <w:bottom w:val="nil"/>
              <w:right w:val="nil"/>
            </w:tcBorders>
            <w:noWrap/>
            <w:vAlign w:val="bottom"/>
            <w:hideMark/>
          </w:tcPr>
          <w:p w14:paraId="2FEC41A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49</w:t>
            </w:r>
          </w:p>
        </w:tc>
        <w:tc>
          <w:tcPr>
            <w:tcW w:w="680" w:type="dxa"/>
            <w:tcBorders>
              <w:top w:val="single" w:sz="4" w:space="0" w:color="ADD6EA"/>
              <w:left w:val="nil"/>
              <w:bottom w:val="nil"/>
              <w:right w:val="nil"/>
            </w:tcBorders>
            <w:noWrap/>
            <w:vAlign w:val="bottom"/>
            <w:hideMark/>
          </w:tcPr>
          <w:p w14:paraId="159EBD5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18</w:t>
            </w:r>
          </w:p>
        </w:tc>
        <w:tc>
          <w:tcPr>
            <w:tcW w:w="680" w:type="dxa"/>
            <w:tcBorders>
              <w:top w:val="single" w:sz="4" w:space="0" w:color="ADD6EA"/>
              <w:left w:val="nil"/>
              <w:bottom w:val="nil"/>
              <w:right w:val="nil"/>
            </w:tcBorders>
            <w:noWrap/>
            <w:vAlign w:val="bottom"/>
            <w:hideMark/>
          </w:tcPr>
          <w:p w14:paraId="05D1A1A0"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33</w:t>
            </w:r>
          </w:p>
        </w:tc>
        <w:tc>
          <w:tcPr>
            <w:tcW w:w="680" w:type="dxa"/>
            <w:tcBorders>
              <w:top w:val="single" w:sz="4" w:space="0" w:color="ADD6EA"/>
              <w:left w:val="nil"/>
              <w:bottom w:val="nil"/>
              <w:right w:val="nil"/>
            </w:tcBorders>
            <w:noWrap/>
            <w:vAlign w:val="bottom"/>
            <w:hideMark/>
          </w:tcPr>
          <w:p w14:paraId="56321864"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395</w:t>
            </w:r>
          </w:p>
        </w:tc>
      </w:tr>
      <w:tr w:rsidR="000173D1" w:rsidRPr="000173D1" w14:paraId="23A3160E" w14:textId="77777777" w:rsidTr="000173D1">
        <w:trPr>
          <w:trHeight w:val="315"/>
        </w:trPr>
        <w:tc>
          <w:tcPr>
            <w:tcW w:w="2920" w:type="dxa"/>
            <w:tcBorders>
              <w:top w:val="single" w:sz="4" w:space="0" w:color="ADD6EA"/>
              <w:left w:val="nil"/>
              <w:bottom w:val="nil"/>
              <w:right w:val="nil"/>
            </w:tcBorders>
            <w:vAlign w:val="bottom"/>
            <w:hideMark/>
          </w:tcPr>
          <w:p w14:paraId="2ABB2E5C"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Commonwealth payments</w:t>
            </w:r>
          </w:p>
        </w:tc>
        <w:tc>
          <w:tcPr>
            <w:tcW w:w="680" w:type="dxa"/>
            <w:tcBorders>
              <w:top w:val="single" w:sz="4" w:space="0" w:color="ADD6EA"/>
              <w:left w:val="nil"/>
              <w:bottom w:val="nil"/>
              <w:right w:val="nil"/>
            </w:tcBorders>
            <w:noWrap/>
            <w:vAlign w:val="bottom"/>
            <w:hideMark/>
          </w:tcPr>
          <w:p w14:paraId="69EE3F55"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85</w:t>
            </w:r>
          </w:p>
        </w:tc>
        <w:tc>
          <w:tcPr>
            <w:tcW w:w="680" w:type="dxa"/>
            <w:tcBorders>
              <w:top w:val="single" w:sz="4" w:space="0" w:color="ADD6EA"/>
              <w:left w:val="nil"/>
              <w:bottom w:val="nil"/>
              <w:right w:val="nil"/>
            </w:tcBorders>
            <w:noWrap/>
            <w:vAlign w:val="bottom"/>
            <w:hideMark/>
          </w:tcPr>
          <w:p w14:paraId="74009DC1"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190</w:t>
            </w:r>
          </w:p>
        </w:tc>
        <w:tc>
          <w:tcPr>
            <w:tcW w:w="680" w:type="dxa"/>
            <w:tcBorders>
              <w:top w:val="single" w:sz="4" w:space="0" w:color="ADD6EA"/>
              <w:left w:val="nil"/>
              <w:bottom w:val="nil"/>
              <w:right w:val="nil"/>
            </w:tcBorders>
            <w:noWrap/>
            <w:vAlign w:val="bottom"/>
            <w:hideMark/>
          </w:tcPr>
          <w:p w14:paraId="56B0FB4F"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85</w:t>
            </w:r>
          </w:p>
        </w:tc>
        <w:tc>
          <w:tcPr>
            <w:tcW w:w="680" w:type="dxa"/>
            <w:tcBorders>
              <w:top w:val="single" w:sz="4" w:space="0" w:color="ADD6EA"/>
              <w:left w:val="nil"/>
              <w:bottom w:val="nil"/>
              <w:right w:val="nil"/>
            </w:tcBorders>
            <w:noWrap/>
            <w:vAlign w:val="bottom"/>
            <w:hideMark/>
          </w:tcPr>
          <w:p w14:paraId="5EA5EBD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-311</w:t>
            </w:r>
          </w:p>
        </w:tc>
        <w:tc>
          <w:tcPr>
            <w:tcW w:w="680" w:type="dxa"/>
            <w:tcBorders>
              <w:top w:val="single" w:sz="4" w:space="0" w:color="ADD6EA"/>
              <w:left w:val="nil"/>
              <w:bottom w:val="nil"/>
              <w:right w:val="nil"/>
            </w:tcBorders>
            <w:noWrap/>
            <w:vAlign w:val="bottom"/>
            <w:hideMark/>
          </w:tcPr>
          <w:p w14:paraId="1E54ED99"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-37</w:t>
            </w:r>
          </w:p>
        </w:tc>
        <w:tc>
          <w:tcPr>
            <w:tcW w:w="680" w:type="dxa"/>
            <w:tcBorders>
              <w:top w:val="single" w:sz="4" w:space="0" w:color="ADD6EA"/>
              <w:left w:val="nil"/>
              <w:bottom w:val="nil"/>
              <w:right w:val="nil"/>
            </w:tcBorders>
            <w:noWrap/>
            <w:vAlign w:val="bottom"/>
            <w:hideMark/>
          </w:tcPr>
          <w:p w14:paraId="3B2BC84B"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7</w:t>
            </w:r>
          </w:p>
        </w:tc>
        <w:tc>
          <w:tcPr>
            <w:tcW w:w="680" w:type="dxa"/>
            <w:tcBorders>
              <w:top w:val="single" w:sz="4" w:space="0" w:color="ADD6EA"/>
              <w:left w:val="nil"/>
              <w:bottom w:val="nil"/>
              <w:right w:val="nil"/>
            </w:tcBorders>
            <w:noWrap/>
            <w:vAlign w:val="bottom"/>
            <w:hideMark/>
          </w:tcPr>
          <w:p w14:paraId="19AFCA8D"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14</w:t>
            </w:r>
          </w:p>
        </w:tc>
        <w:tc>
          <w:tcPr>
            <w:tcW w:w="680" w:type="dxa"/>
            <w:tcBorders>
              <w:top w:val="single" w:sz="4" w:space="0" w:color="ADD6EA"/>
              <w:left w:val="nil"/>
              <w:bottom w:val="nil"/>
              <w:right w:val="nil"/>
            </w:tcBorders>
            <w:noWrap/>
            <w:vAlign w:val="bottom"/>
            <w:hideMark/>
          </w:tcPr>
          <w:p w14:paraId="07FA4CE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-33</w:t>
            </w:r>
          </w:p>
        </w:tc>
        <w:tc>
          <w:tcPr>
            <w:tcW w:w="680" w:type="dxa"/>
            <w:tcBorders>
              <w:top w:val="single" w:sz="4" w:space="0" w:color="ADD6EA"/>
              <w:left w:val="nil"/>
              <w:bottom w:val="nil"/>
              <w:right w:val="nil"/>
            </w:tcBorders>
            <w:noWrap/>
            <w:vAlign w:val="bottom"/>
            <w:hideMark/>
          </w:tcPr>
          <w:p w14:paraId="28641C6C"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382</w:t>
            </w:r>
          </w:p>
        </w:tc>
      </w:tr>
      <w:tr w:rsidR="000173D1" w:rsidRPr="000173D1" w14:paraId="70BAD055" w14:textId="77777777" w:rsidTr="000173D1">
        <w:trPr>
          <w:trHeight w:val="315"/>
        </w:trPr>
        <w:tc>
          <w:tcPr>
            <w:tcW w:w="2920" w:type="dxa"/>
            <w:tcBorders>
              <w:top w:val="single" w:sz="4" w:space="0" w:color="ADD6EA"/>
              <w:left w:val="nil"/>
              <w:bottom w:val="nil"/>
              <w:right w:val="nil"/>
            </w:tcBorders>
            <w:vAlign w:val="bottom"/>
            <w:hideMark/>
          </w:tcPr>
          <w:p w14:paraId="4291E11E"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Taxable payrolls</w:t>
            </w:r>
          </w:p>
        </w:tc>
        <w:tc>
          <w:tcPr>
            <w:tcW w:w="680" w:type="dxa"/>
            <w:tcBorders>
              <w:top w:val="single" w:sz="4" w:space="0" w:color="ADD6EA"/>
              <w:left w:val="nil"/>
              <w:bottom w:val="nil"/>
              <w:right w:val="nil"/>
            </w:tcBorders>
            <w:noWrap/>
            <w:vAlign w:val="bottom"/>
            <w:hideMark/>
          </w:tcPr>
          <w:p w14:paraId="7176010E"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114</w:t>
            </w:r>
          </w:p>
        </w:tc>
        <w:tc>
          <w:tcPr>
            <w:tcW w:w="680" w:type="dxa"/>
            <w:tcBorders>
              <w:top w:val="single" w:sz="4" w:space="0" w:color="ADD6EA"/>
              <w:left w:val="nil"/>
              <w:bottom w:val="nil"/>
              <w:right w:val="nil"/>
            </w:tcBorders>
            <w:noWrap/>
            <w:vAlign w:val="bottom"/>
            <w:hideMark/>
          </w:tcPr>
          <w:p w14:paraId="57136906"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191</w:t>
            </w:r>
          </w:p>
        </w:tc>
        <w:tc>
          <w:tcPr>
            <w:tcW w:w="680" w:type="dxa"/>
            <w:tcBorders>
              <w:top w:val="single" w:sz="4" w:space="0" w:color="ADD6EA"/>
              <w:left w:val="nil"/>
              <w:bottom w:val="nil"/>
              <w:right w:val="nil"/>
            </w:tcBorders>
            <w:noWrap/>
            <w:vAlign w:val="bottom"/>
            <w:hideMark/>
          </w:tcPr>
          <w:p w14:paraId="1EB0FD99"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-240</w:t>
            </w:r>
          </w:p>
        </w:tc>
        <w:tc>
          <w:tcPr>
            <w:tcW w:w="680" w:type="dxa"/>
            <w:tcBorders>
              <w:top w:val="single" w:sz="4" w:space="0" w:color="ADD6EA"/>
              <w:left w:val="nil"/>
              <w:bottom w:val="nil"/>
              <w:right w:val="nil"/>
            </w:tcBorders>
            <w:noWrap/>
            <w:vAlign w:val="bottom"/>
            <w:hideMark/>
          </w:tcPr>
          <w:p w14:paraId="06FD981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-91</w:t>
            </w:r>
          </w:p>
        </w:tc>
        <w:tc>
          <w:tcPr>
            <w:tcW w:w="680" w:type="dxa"/>
            <w:tcBorders>
              <w:top w:val="single" w:sz="4" w:space="0" w:color="ADD6EA"/>
              <w:left w:val="nil"/>
              <w:bottom w:val="nil"/>
              <w:right w:val="nil"/>
            </w:tcBorders>
            <w:noWrap/>
            <w:vAlign w:val="bottom"/>
            <w:hideMark/>
          </w:tcPr>
          <w:p w14:paraId="49BFBAF0"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40</w:t>
            </w:r>
          </w:p>
        </w:tc>
        <w:tc>
          <w:tcPr>
            <w:tcW w:w="680" w:type="dxa"/>
            <w:tcBorders>
              <w:top w:val="single" w:sz="4" w:space="0" w:color="ADD6EA"/>
              <w:left w:val="nil"/>
              <w:bottom w:val="nil"/>
              <w:right w:val="nil"/>
            </w:tcBorders>
            <w:noWrap/>
            <w:vAlign w:val="bottom"/>
            <w:hideMark/>
          </w:tcPr>
          <w:p w14:paraId="5B735F34"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-7</w:t>
            </w:r>
          </w:p>
        </w:tc>
        <w:tc>
          <w:tcPr>
            <w:tcW w:w="680" w:type="dxa"/>
            <w:tcBorders>
              <w:top w:val="single" w:sz="4" w:space="0" w:color="ADD6EA"/>
              <w:left w:val="nil"/>
              <w:bottom w:val="nil"/>
              <w:right w:val="nil"/>
            </w:tcBorders>
            <w:noWrap/>
            <w:vAlign w:val="bottom"/>
            <w:hideMark/>
          </w:tcPr>
          <w:p w14:paraId="74183BCF"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w:t>
            </w:r>
          </w:p>
        </w:tc>
        <w:tc>
          <w:tcPr>
            <w:tcW w:w="680" w:type="dxa"/>
            <w:tcBorders>
              <w:top w:val="single" w:sz="4" w:space="0" w:color="ADD6EA"/>
              <w:left w:val="nil"/>
              <w:bottom w:val="nil"/>
              <w:right w:val="nil"/>
            </w:tcBorders>
            <w:noWrap/>
            <w:vAlign w:val="bottom"/>
            <w:hideMark/>
          </w:tcPr>
          <w:p w14:paraId="60BB5FF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-4</w:t>
            </w:r>
          </w:p>
        </w:tc>
        <w:tc>
          <w:tcPr>
            <w:tcW w:w="680" w:type="dxa"/>
            <w:tcBorders>
              <w:top w:val="single" w:sz="4" w:space="0" w:color="ADD6EA"/>
              <w:left w:val="nil"/>
              <w:bottom w:val="nil"/>
              <w:right w:val="nil"/>
            </w:tcBorders>
            <w:noWrap/>
            <w:vAlign w:val="bottom"/>
            <w:hideMark/>
          </w:tcPr>
          <w:p w14:paraId="0F5CA88D"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345</w:t>
            </w:r>
          </w:p>
        </w:tc>
      </w:tr>
      <w:tr w:rsidR="000173D1" w:rsidRPr="000173D1" w14:paraId="29CE739B" w14:textId="77777777" w:rsidTr="000173D1">
        <w:trPr>
          <w:trHeight w:val="315"/>
        </w:trPr>
        <w:tc>
          <w:tcPr>
            <w:tcW w:w="2920" w:type="dxa"/>
            <w:tcBorders>
              <w:top w:val="single" w:sz="4" w:space="0" w:color="ADD6EA"/>
              <w:left w:val="nil"/>
              <w:bottom w:val="nil"/>
              <w:right w:val="nil"/>
            </w:tcBorders>
            <w:vAlign w:val="bottom"/>
            <w:hideMark/>
          </w:tcPr>
          <w:p w14:paraId="49D7460A"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Cost of construction</w:t>
            </w:r>
          </w:p>
        </w:tc>
        <w:tc>
          <w:tcPr>
            <w:tcW w:w="680" w:type="dxa"/>
            <w:tcBorders>
              <w:top w:val="single" w:sz="4" w:space="0" w:color="ADD6EA"/>
              <w:left w:val="nil"/>
              <w:bottom w:val="nil"/>
              <w:right w:val="nil"/>
            </w:tcBorders>
            <w:noWrap/>
            <w:vAlign w:val="bottom"/>
            <w:hideMark/>
          </w:tcPr>
          <w:p w14:paraId="62A6BC88"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-152</w:t>
            </w:r>
          </w:p>
        </w:tc>
        <w:tc>
          <w:tcPr>
            <w:tcW w:w="680" w:type="dxa"/>
            <w:tcBorders>
              <w:top w:val="single" w:sz="4" w:space="0" w:color="ADD6EA"/>
              <w:left w:val="nil"/>
              <w:bottom w:val="nil"/>
              <w:right w:val="nil"/>
            </w:tcBorders>
            <w:noWrap/>
            <w:vAlign w:val="bottom"/>
            <w:hideMark/>
          </w:tcPr>
          <w:p w14:paraId="319B918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59</w:t>
            </w:r>
          </w:p>
        </w:tc>
        <w:tc>
          <w:tcPr>
            <w:tcW w:w="680" w:type="dxa"/>
            <w:tcBorders>
              <w:top w:val="single" w:sz="4" w:space="0" w:color="ADD6EA"/>
              <w:left w:val="nil"/>
              <w:bottom w:val="nil"/>
              <w:right w:val="nil"/>
            </w:tcBorders>
            <w:noWrap/>
            <w:vAlign w:val="bottom"/>
            <w:hideMark/>
          </w:tcPr>
          <w:p w14:paraId="382A1BD7"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156</w:t>
            </w:r>
          </w:p>
        </w:tc>
        <w:tc>
          <w:tcPr>
            <w:tcW w:w="680" w:type="dxa"/>
            <w:tcBorders>
              <w:top w:val="single" w:sz="4" w:space="0" w:color="ADD6EA"/>
              <w:left w:val="nil"/>
              <w:bottom w:val="nil"/>
              <w:right w:val="nil"/>
            </w:tcBorders>
            <w:noWrap/>
            <w:vAlign w:val="bottom"/>
            <w:hideMark/>
          </w:tcPr>
          <w:p w14:paraId="427AEB5C"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w:t>
            </w:r>
          </w:p>
        </w:tc>
        <w:tc>
          <w:tcPr>
            <w:tcW w:w="680" w:type="dxa"/>
            <w:tcBorders>
              <w:top w:val="single" w:sz="4" w:space="0" w:color="ADD6EA"/>
              <w:left w:val="nil"/>
              <w:bottom w:val="nil"/>
              <w:right w:val="nil"/>
            </w:tcBorders>
            <w:noWrap/>
            <w:vAlign w:val="bottom"/>
            <w:hideMark/>
          </w:tcPr>
          <w:p w14:paraId="00A4039D"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-34</w:t>
            </w:r>
          </w:p>
        </w:tc>
        <w:tc>
          <w:tcPr>
            <w:tcW w:w="680" w:type="dxa"/>
            <w:tcBorders>
              <w:top w:val="single" w:sz="4" w:space="0" w:color="ADD6EA"/>
              <w:left w:val="nil"/>
              <w:bottom w:val="nil"/>
              <w:right w:val="nil"/>
            </w:tcBorders>
            <w:noWrap/>
            <w:vAlign w:val="bottom"/>
            <w:hideMark/>
          </w:tcPr>
          <w:p w14:paraId="2F2B53AF"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w:t>
            </w:r>
          </w:p>
        </w:tc>
        <w:tc>
          <w:tcPr>
            <w:tcW w:w="680" w:type="dxa"/>
            <w:tcBorders>
              <w:top w:val="single" w:sz="4" w:space="0" w:color="ADD6EA"/>
              <w:left w:val="nil"/>
              <w:bottom w:val="nil"/>
              <w:right w:val="nil"/>
            </w:tcBorders>
            <w:noWrap/>
            <w:vAlign w:val="bottom"/>
            <w:hideMark/>
          </w:tcPr>
          <w:p w14:paraId="2C363C84"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-6</w:t>
            </w:r>
          </w:p>
        </w:tc>
        <w:tc>
          <w:tcPr>
            <w:tcW w:w="680" w:type="dxa"/>
            <w:tcBorders>
              <w:top w:val="single" w:sz="4" w:space="0" w:color="ADD6EA"/>
              <w:left w:val="nil"/>
              <w:bottom w:val="nil"/>
              <w:right w:val="nil"/>
            </w:tcBorders>
            <w:noWrap/>
            <w:vAlign w:val="bottom"/>
            <w:hideMark/>
          </w:tcPr>
          <w:p w14:paraId="37BC4E10"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-24</w:t>
            </w:r>
          </w:p>
        </w:tc>
        <w:tc>
          <w:tcPr>
            <w:tcW w:w="680" w:type="dxa"/>
            <w:tcBorders>
              <w:top w:val="single" w:sz="4" w:space="0" w:color="ADD6EA"/>
              <w:left w:val="nil"/>
              <w:bottom w:val="nil"/>
              <w:right w:val="nil"/>
            </w:tcBorders>
            <w:noWrap/>
            <w:vAlign w:val="bottom"/>
            <w:hideMark/>
          </w:tcPr>
          <w:p w14:paraId="4E0B7D30"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220</w:t>
            </w:r>
          </w:p>
        </w:tc>
      </w:tr>
      <w:tr w:rsidR="000173D1" w:rsidRPr="000173D1" w14:paraId="13D21E0D" w14:textId="77777777" w:rsidTr="000173D1">
        <w:trPr>
          <w:trHeight w:val="315"/>
        </w:trPr>
        <w:tc>
          <w:tcPr>
            <w:tcW w:w="2920" w:type="dxa"/>
            <w:tcBorders>
              <w:top w:val="single" w:sz="4" w:space="0" w:color="ADD6EA"/>
              <w:left w:val="nil"/>
              <w:bottom w:val="nil"/>
              <w:right w:val="nil"/>
            </w:tcBorders>
            <w:vAlign w:val="bottom"/>
            <w:hideMark/>
          </w:tcPr>
          <w:p w14:paraId="7035BAA0"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Natural disaster relief</w:t>
            </w:r>
          </w:p>
        </w:tc>
        <w:tc>
          <w:tcPr>
            <w:tcW w:w="680" w:type="dxa"/>
            <w:tcBorders>
              <w:top w:val="single" w:sz="4" w:space="0" w:color="ADD6EA"/>
              <w:left w:val="nil"/>
              <w:bottom w:val="nil"/>
              <w:right w:val="nil"/>
            </w:tcBorders>
            <w:noWrap/>
            <w:vAlign w:val="bottom"/>
            <w:hideMark/>
          </w:tcPr>
          <w:p w14:paraId="58458A9A"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56</w:t>
            </w:r>
          </w:p>
        </w:tc>
        <w:tc>
          <w:tcPr>
            <w:tcW w:w="680" w:type="dxa"/>
            <w:tcBorders>
              <w:top w:val="single" w:sz="4" w:space="0" w:color="ADD6EA"/>
              <w:left w:val="nil"/>
              <w:bottom w:val="nil"/>
              <w:right w:val="nil"/>
            </w:tcBorders>
            <w:noWrap/>
            <w:vAlign w:val="bottom"/>
            <w:hideMark/>
          </w:tcPr>
          <w:p w14:paraId="7EE32729"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-151</w:t>
            </w:r>
          </w:p>
        </w:tc>
        <w:tc>
          <w:tcPr>
            <w:tcW w:w="680" w:type="dxa"/>
            <w:tcBorders>
              <w:top w:val="single" w:sz="4" w:space="0" w:color="ADD6EA"/>
              <w:left w:val="nil"/>
              <w:bottom w:val="nil"/>
              <w:right w:val="nil"/>
            </w:tcBorders>
            <w:noWrap/>
            <w:vAlign w:val="bottom"/>
            <w:hideMark/>
          </w:tcPr>
          <w:p w14:paraId="6B623B57"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153</w:t>
            </w:r>
          </w:p>
        </w:tc>
        <w:tc>
          <w:tcPr>
            <w:tcW w:w="680" w:type="dxa"/>
            <w:tcBorders>
              <w:top w:val="single" w:sz="4" w:space="0" w:color="ADD6EA"/>
              <w:left w:val="nil"/>
              <w:bottom w:val="nil"/>
              <w:right w:val="nil"/>
            </w:tcBorders>
            <w:noWrap/>
            <w:vAlign w:val="bottom"/>
            <w:hideMark/>
          </w:tcPr>
          <w:p w14:paraId="328B64BA"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-7</w:t>
            </w:r>
          </w:p>
        </w:tc>
        <w:tc>
          <w:tcPr>
            <w:tcW w:w="680" w:type="dxa"/>
            <w:tcBorders>
              <w:top w:val="single" w:sz="4" w:space="0" w:color="ADD6EA"/>
              <w:left w:val="nil"/>
              <w:bottom w:val="nil"/>
              <w:right w:val="nil"/>
            </w:tcBorders>
            <w:noWrap/>
            <w:vAlign w:val="bottom"/>
            <w:hideMark/>
          </w:tcPr>
          <w:p w14:paraId="28A4119B"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-39</w:t>
            </w:r>
          </w:p>
        </w:tc>
        <w:tc>
          <w:tcPr>
            <w:tcW w:w="680" w:type="dxa"/>
            <w:tcBorders>
              <w:top w:val="single" w:sz="4" w:space="0" w:color="ADD6EA"/>
              <w:left w:val="nil"/>
              <w:bottom w:val="nil"/>
              <w:right w:val="nil"/>
            </w:tcBorders>
            <w:noWrap/>
            <w:vAlign w:val="bottom"/>
            <w:hideMark/>
          </w:tcPr>
          <w:p w14:paraId="39443F9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w:t>
            </w:r>
          </w:p>
        </w:tc>
        <w:tc>
          <w:tcPr>
            <w:tcW w:w="680" w:type="dxa"/>
            <w:tcBorders>
              <w:top w:val="single" w:sz="4" w:space="0" w:color="ADD6EA"/>
              <w:left w:val="nil"/>
              <w:bottom w:val="nil"/>
              <w:right w:val="nil"/>
            </w:tcBorders>
            <w:noWrap/>
            <w:vAlign w:val="bottom"/>
            <w:hideMark/>
          </w:tcPr>
          <w:p w14:paraId="0A47C33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-11</w:t>
            </w:r>
          </w:p>
        </w:tc>
        <w:tc>
          <w:tcPr>
            <w:tcW w:w="680" w:type="dxa"/>
            <w:tcBorders>
              <w:top w:val="single" w:sz="4" w:space="0" w:color="ADD6EA"/>
              <w:left w:val="nil"/>
              <w:bottom w:val="nil"/>
              <w:right w:val="nil"/>
            </w:tcBorders>
            <w:noWrap/>
            <w:vAlign w:val="bottom"/>
            <w:hideMark/>
          </w:tcPr>
          <w:p w14:paraId="7E181201"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w:t>
            </w:r>
          </w:p>
        </w:tc>
        <w:tc>
          <w:tcPr>
            <w:tcW w:w="680" w:type="dxa"/>
            <w:tcBorders>
              <w:top w:val="single" w:sz="4" w:space="0" w:color="ADD6EA"/>
              <w:left w:val="nil"/>
              <w:bottom w:val="nil"/>
              <w:right w:val="nil"/>
            </w:tcBorders>
            <w:noWrap/>
            <w:vAlign w:val="bottom"/>
            <w:hideMark/>
          </w:tcPr>
          <w:p w14:paraId="7C779D15"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213</w:t>
            </w:r>
          </w:p>
        </w:tc>
      </w:tr>
      <w:tr w:rsidR="000173D1" w:rsidRPr="000173D1" w14:paraId="579014AB" w14:textId="77777777" w:rsidTr="000173D1">
        <w:trPr>
          <w:trHeight w:val="315"/>
        </w:trPr>
        <w:tc>
          <w:tcPr>
            <w:tcW w:w="2920" w:type="dxa"/>
            <w:tcBorders>
              <w:top w:val="single" w:sz="4" w:space="0" w:color="ADD6EA"/>
              <w:left w:val="nil"/>
              <w:bottom w:val="nil"/>
              <w:right w:val="nil"/>
            </w:tcBorders>
            <w:vAlign w:val="bottom"/>
            <w:hideMark/>
          </w:tcPr>
          <w:p w14:paraId="7ED79017" w14:textId="77777777" w:rsidR="000173D1" w:rsidRPr="000173D1" w:rsidRDefault="000173D1" w:rsidP="000173D1">
            <w:pPr>
              <w:tabs>
                <w:tab w:val="clear" w:pos="567"/>
              </w:tabs>
              <w:spacing w:before="0" w:line="240" w:lineRule="auto"/>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Other changes in circumstances</w:t>
            </w:r>
          </w:p>
        </w:tc>
        <w:tc>
          <w:tcPr>
            <w:tcW w:w="680" w:type="dxa"/>
            <w:tcBorders>
              <w:top w:val="single" w:sz="4" w:space="0" w:color="ADD6EA"/>
              <w:left w:val="nil"/>
              <w:bottom w:val="nil"/>
              <w:right w:val="nil"/>
            </w:tcBorders>
            <w:vAlign w:val="bottom"/>
            <w:hideMark/>
          </w:tcPr>
          <w:p w14:paraId="2EBFCB7A"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-202</w:t>
            </w:r>
          </w:p>
        </w:tc>
        <w:tc>
          <w:tcPr>
            <w:tcW w:w="680" w:type="dxa"/>
            <w:tcBorders>
              <w:top w:val="single" w:sz="4" w:space="0" w:color="ADD6EA"/>
              <w:left w:val="nil"/>
              <w:bottom w:val="nil"/>
              <w:right w:val="nil"/>
            </w:tcBorders>
            <w:vAlign w:val="bottom"/>
            <w:hideMark/>
          </w:tcPr>
          <w:p w14:paraId="0EEDCA62"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-277</w:t>
            </w:r>
          </w:p>
        </w:tc>
        <w:tc>
          <w:tcPr>
            <w:tcW w:w="680" w:type="dxa"/>
            <w:tcBorders>
              <w:top w:val="single" w:sz="4" w:space="0" w:color="ADD6EA"/>
              <w:left w:val="nil"/>
              <w:bottom w:val="nil"/>
              <w:right w:val="nil"/>
            </w:tcBorders>
            <w:vAlign w:val="bottom"/>
            <w:hideMark/>
          </w:tcPr>
          <w:p w14:paraId="5379DAE1"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318</w:t>
            </w:r>
          </w:p>
        </w:tc>
        <w:tc>
          <w:tcPr>
            <w:tcW w:w="680" w:type="dxa"/>
            <w:tcBorders>
              <w:top w:val="single" w:sz="4" w:space="0" w:color="ADD6EA"/>
              <w:left w:val="nil"/>
              <w:bottom w:val="nil"/>
              <w:right w:val="nil"/>
            </w:tcBorders>
            <w:vAlign w:val="bottom"/>
            <w:hideMark/>
          </w:tcPr>
          <w:p w14:paraId="04CEDC4F"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-16</w:t>
            </w:r>
          </w:p>
        </w:tc>
        <w:tc>
          <w:tcPr>
            <w:tcW w:w="680" w:type="dxa"/>
            <w:tcBorders>
              <w:top w:val="single" w:sz="4" w:space="0" w:color="ADD6EA"/>
              <w:left w:val="nil"/>
              <w:bottom w:val="nil"/>
              <w:right w:val="nil"/>
            </w:tcBorders>
            <w:vAlign w:val="bottom"/>
            <w:hideMark/>
          </w:tcPr>
          <w:p w14:paraId="0EE66BC3"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15</w:t>
            </w:r>
          </w:p>
        </w:tc>
        <w:tc>
          <w:tcPr>
            <w:tcW w:w="680" w:type="dxa"/>
            <w:tcBorders>
              <w:top w:val="single" w:sz="4" w:space="0" w:color="ADD6EA"/>
              <w:left w:val="nil"/>
              <w:bottom w:val="nil"/>
              <w:right w:val="nil"/>
            </w:tcBorders>
            <w:vAlign w:val="bottom"/>
            <w:hideMark/>
          </w:tcPr>
          <w:p w14:paraId="38C0DFFF"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113</w:t>
            </w:r>
          </w:p>
        </w:tc>
        <w:tc>
          <w:tcPr>
            <w:tcW w:w="680" w:type="dxa"/>
            <w:tcBorders>
              <w:top w:val="single" w:sz="4" w:space="0" w:color="ADD6EA"/>
              <w:left w:val="nil"/>
              <w:bottom w:val="nil"/>
              <w:right w:val="nil"/>
            </w:tcBorders>
            <w:vAlign w:val="bottom"/>
            <w:hideMark/>
          </w:tcPr>
          <w:p w14:paraId="5A5E1067"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-36</w:t>
            </w:r>
          </w:p>
        </w:tc>
        <w:tc>
          <w:tcPr>
            <w:tcW w:w="680" w:type="dxa"/>
            <w:tcBorders>
              <w:top w:val="single" w:sz="4" w:space="0" w:color="ADD6EA"/>
              <w:left w:val="nil"/>
              <w:bottom w:val="nil"/>
              <w:right w:val="nil"/>
            </w:tcBorders>
            <w:vAlign w:val="bottom"/>
            <w:hideMark/>
          </w:tcPr>
          <w:p w14:paraId="65A8264B"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86</w:t>
            </w:r>
          </w:p>
        </w:tc>
        <w:tc>
          <w:tcPr>
            <w:tcW w:w="680" w:type="dxa"/>
            <w:tcBorders>
              <w:top w:val="single" w:sz="4" w:space="0" w:color="ADD6EA"/>
              <w:left w:val="nil"/>
              <w:bottom w:val="nil"/>
              <w:right w:val="nil"/>
            </w:tcBorders>
            <w:noWrap/>
            <w:vAlign w:val="bottom"/>
            <w:hideMark/>
          </w:tcPr>
          <w:p w14:paraId="7ED1F424" w14:textId="77777777" w:rsidR="000173D1" w:rsidRPr="000173D1" w:rsidRDefault="000173D1" w:rsidP="000173D1">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0173D1">
              <w:rPr>
                <w:rFonts w:ascii="Open Sans Light" w:eastAsia="Times New Roman" w:hAnsi="Open Sans Light" w:cs="Open Sans Light"/>
                <w:color w:val="000000"/>
                <w:sz w:val="16"/>
                <w:szCs w:val="16"/>
                <w:lang w:eastAsia="en-AU"/>
              </w:rPr>
              <w:t>532</w:t>
            </w:r>
          </w:p>
        </w:tc>
      </w:tr>
      <w:tr w:rsidR="000173D1" w:rsidRPr="000173D1" w14:paraId="4639A3FD" w14:textId="77777777" w:rsidTr="000173D1">
        <w:trPr>
          <w:trHeight w:val="315"/>
        </w:trPr>
        <w:tc>
          <w:tcPr>
            <w:tcW w:w="2920" w:type="dxa"/>
            <w:tcBorders>
              <w:top w:val="single" w:sz="4" w:space="0" w:color="ADD6EA"/>
              <w:left w:val="nil"/>
              <w:bottom w:val="single" w:sz="4" w:space="0" w:color="ADD6EA"/>
              <w:right w:val="nil"/>
            </w:tcBorders>
            <w:shd w:val="clear" w:color="000000" w:fill="D6E7F0"/>
            <w:vAlign w:val="bottom"/>
            <w:hideMark/>
          </w:tcPr>
          <w:p w14:paraId="4D75CD3F" w14:textId="77777777" w:rsidR="000173D1" w:rsidRPr="000173D1" w:rsidRDefault="000173D1" w:rsidP="000173D1">
            <w:pPr>
              <w:tabs>
                <w:tab w:val="clear" w:pos="567"/>
              </w:tabs>
              <w:spacing w:before="0" w:line="240" w:lineRule="auto"/>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Total</w:t>
            </w:r>
          </w:p>
        </w:tc>
        <w:tc>
          <w:tcPr>
            <w:tcW w:w="680" w:type="dxa"/>
            <w:tcBorders>
              <w:top w:val="single" w:sz="4" w:space="0" w:color="ADD6EA"/>
              <w:left w:val="nil"/>
              <w:bottom w:val="single" w:sz="4" w:space="0" w:color="ADD6EA"/>
              <w:right w:val="nil"/>
            </w:tcBorders>
            <w:shd w:val="clear" w:color="000000" w:fill="D6E7F0"/>
            <w:noWrap/>
            <w:vAlign w:val="bottom"/>
            <w:hideMark/>
          </w:tcPr>
          <w:p w14:paraId="3B4FBDA8"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-1,182</w:t>
            </w:r>
          </w:p>
        </w:tc>
        <w:tc>
          <w:tcPr>
            <w:tcW w:w="680" w:type="dxa"/>
            <w:tcBorders>
              <w:top w:val="single" w:sz="4" w:space="0" w:color="ADD6EA"/>
              <w:left w:val="nil"/>
              <w:bottom w:val="single" w:sz="4" w:space="0" w:color="ADD6EA"/>
              <w:right w:val="nil"/>
            </w:tcBorders>
            <w:shd w:val="clear" w:color="000000" w:fill="D6E7F0"/>
            <w:noWrap/>
            <w:vAlign w:val="bottom"/>
            <w:hideMark/>
          </w:tcPr>
          <w:p w14:paraId="7D2BB2B7"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-888</w:t>
            </w:r>
          </w:p>
        </w:tc>
        <w:tc>
          <w:tcPr>
            <w:tcW w:w="680" w:type="dxa"/>
            <w:tcBorders>
              <w:top w:val="single" w:sz="4" w:space="0" w:color="ADD6EA"/>
              <w:left w:val="nil"/>
              <w:bottom w:val="single" w:sz="4" w:space="0" w:color="ADD6EA"/>
              <w:right w:val="nil"/>
            </w:tcBorders>
            <w:shd w:val="clear" w:color="000000" w:fill="D6E7F0"/>
            <w:noWrap/>
            <w:vAlign w:val="bottom"/>
            <w:hideMark/>
          </w:tcPr>
          <w:p w14:paraId="10740AC6"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1,198</w:t>
            </w:r>
          </w:p>
        </w:tc>
        <w:tc>
          <w:tcPr>
            <w:tcW w:w="680" w:type="dxa"/>
            <w:tcBorders>
              <w:top w:val="single" w:sz="4" w:space="0" w:color="ADD6EA"/>
              <w:left w:val="nil"/>
              <w:bottom w:val="single" w:sz="4" w:space="0" w:color="ADD6EA"/>
              <w:right w:val="nil"/>
            </w:tcBorders>
            <w:shd w:val="clear" w:color="000000" w:fill="D6E7F0"/>
            <w:noWrap/>
            <w:vAlign w:val="bottom"/>
            <w:hideMark/>
          </w:tcPr>
          <w:p w14:paraId="4ECDFDCF"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921</w:t>
            </w:r>
          </w:p>
        </w:tc>
        <w:tc>
          <w:tcPr>
            <w:tcW w:w="680" w:type="dxa"/>
            <w:tcBorders>
              <w:top w:val="single" w:sz="4" w:space="0" w:color="ADD6EA"/>
              <w:left w:val="nil"/>
              <w:bottom w:val="single" w:sz="4" w:space="0" w:color="ADD6EA"/>
              <w:right w:val="nil"/>
            </w:tcBorders>
            <w:shd w:val="clear" w:color="000000" w:fill="D6E7F0"/>
            <w:noWrap/>
            <w:vAlign w:val="bottom"/>
            <w:hideMark/>
          </w:tcPr>
          <w:p w14:paraId="4F8ECAA9"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-188</w:t>
            </w:r>
          </w:p>
        </w:tc>
        <w:tc>
          <w:tcPr>
            <w:tcW w:w="680" w:type="dxa"/>
            <w:tcBorders>
              <w:top w:val="single" w:sz="4" w:space="0" w:color="ADD6EA"/>
              <w:left w:val="nil"/>
              <w:bottom w:val="single" w:sz="4" w:space="0" w:color="ADD6EA"/>
              <w:right w:val="nil"/>
            </w:tcBorders>
            <w:shd w:val="clear" w:color="000000" w:fill="D6E7F0"/>
            <w:noWrap/>
            <w:vAlign w:val="bottom"/>
            <w:hideMark/>
          </w:tcPr>
          <w:p w14:paraId="340194C8"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124</w:t>
            </w:r>
          </w:p>
        </w:tc>
        <w:tc>
          <w:tcPr>
            <w:tcW w:w="680" w:type="dxa"/>
            <w:tcBorders>
              <w:top w:val="single" w:sz="4" w:space="0" w:color="ADD6EA"/>
              <w:left w:val="nil"/>
              <w:bottom w:val="single" w:sz="4" w:space="0" w:color="ADD6EA"/>
              <w:right w:val="nil"/>
            </w:tcBorders>
            <w:shd w:val="clear" w:color="000000" w:fill="D6E7F0"/>
            <w:noWrap/>
            <w:vAlign w:val="bottom"/>
            <w:hideMark/>
          </w:tcPr>
          <w:p w14:paraId="3BB578E6"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-67</w:t>
            </w:r>
          </w:p>
        </w:tc>
        <w:tc>
          <w:tcPr>
            <w:tcW w:w="680" w:type="dxa"/>
            <w:tcBorders>
              <w:top w:val="single" w:sz="4" w:space="0" w:color="ADD6EA"/>
              <w:left w:val="nil"/>
              <w:bottom w:val="single" w:sz="4" w:space="0" w:color="ADD6EA"/>
              <w:right w:val="nil"/>
            </w:tcBorders>
            <w:shd w:val="clear" w:color="000000" w:fill="D6E7F0"/>
            <w:noWrap/>
            <w:vAlign w:val="bottom"/>
            <w:hideMark/>
          </w:tcPr>
          <w:p w14:paraId="3BEBEAE5"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80</w:t>
            </w:r>
          </w:p>
        </w:tc>
        <w:tc>
          <w:tcPr>
            <w:tcW w:w="680" w:type="dxa"/>
            <w:tcBorders>
              <w:top w:val="single" w:sz="4" w:space="0" w:color="ADD6EA"/>
              <w:left w:val="nil"/>
              <w:bottom w:val="single" w:sz="4" w:space="0" w:color="ADD6EA"/>
              <w:right w:val="nil"/>
            </w:tcBorders>
            <w:shd w:val="clear" w:color="000000" w:fill="D6E7F0"/>
            <w:noWrap/>
            <w:vAlign w:val="bottom"/>
            <w:hideMark/>
          </w:tcPr>
          <w:p w14:paraId="649F16C6" w14:textId="77777777" w:rsidR="000173D1" w:rsidRPr="000173D1" w:rsidRDefault="000173D1" w:rsidP="000173D1">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0173D1">
              <w:rPr>
                <w:rFonts w:ascii="Open Sans Semibold" w:eastAsia="Times New Roman" w:hAnsi="Open Sans Semibold" w:cs="Open Sans Semibold"/>
                <w:color w:val="000000"/>
                <w:sz w:val="16"/>
                <w:szCs w:val="16"/>
                <w:lang w:eastAsia="en-AU"/>
              </w:rPr>
              <w:t>2,324</w:t>
            </w:r>
          </w:p>
        </w:tc>
      </w:tr>
    </w:tbl>
    <w:p w14:paraId="7324626C" w14:textId="118D3E5C" w:rsidR="002373FE" w:rsidRPr="00C16C5E" w:rsidRDefault="002373FE" w:rsidP="00585F73">
      <w:pPr>
        <w:pStyle w:val="CGC2025TableNote"/>
        <w:ind w:left="426" w:hanging="313"/>
      </w:pPr>
      <w:r w:rsidRPr="00C16C5E">
        <w:t xml:space="preserve">(a) </w:t>
      </w:r>
      <w:r w:rsidR="00585F73">
        <w:tab/>
      </w:r>
      <w:r w:rsidRPr="00C16C5E">
        <w:t>Includes the net effect of the fall in expenditure on COVID-19 and the fall in associated Commonwealth payments</w:t>
      </w:r>
      <w:r>
        <w:t>.</w:t>
      </w:r>
    </w:p>
    <w:p w14:paraId="2B3AE3D5" w14:textId="77777777" w:rsidR="002373FE" w:rsidRPr="0036723E" w:rsidRDefault="002373FE" w:rsidP="002373FE">
      <w:pPr>
        <w:pStyle w:val="Heading4"/>
      </w:pPr>
      <w:r w:rsidRPr="0036723E">
        <w:t>Mining production</w:t>
      </w:r>
    </w:p>
    <w:p w14:paraId="0D433567" w14:textId="77777777" w:rsidR="002373FE" w:rsidRPr="003E3F38" w:rsidRDefault="002373FE" w:rsidP="002373FE">
      <w:r w:rsidRPr="003E3F38">
        <w:t xml:space="preserve">Total mining revenues </w:t>
      </w:r>
      <w:r>
        <w:t>were significantly lower in 2024–25 than in 2021–22</w:t>
      </w:r>
      <w:r w:rsidRPr="003E3F38">
        <w:t>. Table 2-</w:t>
      </w:r>
      <w:r>
        <w:t>7</w:t>
      </w:r>
      <w:r w:rsidRPr="003E3F38">
        <w:t xml:space="preserve"> outlines the estimated aggregate effect of changes in </w:t>
      </w:r>
      <w:r>
        <w:t xml:space="preserve">mining royalties and </w:t>
      </w:r>
      <w:r w:rsidRPr="003E3F38">
        <w:t xml:space="preserve">the value of mining production on the distribution of GST in 2026–27. The GST effects of each component of the assessment </w:t>
      </w:r>
      <w:r>
        <w:t>vary</w:t>
      </w:r>
      <w:r w:rsidRPr="003E3F38">
        <w:t xml:space="preserve"> across states.</w:t>
      </w:r>
    </w:p>
    <w:p w14:paraId="66646DC8" w14:textId="77777777" w:rsidR="002373FE" w:rsidRDefault="002373FE" w:rsidP="002418B3">
      <w:pPr>
        <w:pStyle w:val="CGC2025Caption"/>
        <w:keepNext/>
        <w:ind w:left="1440" w:hanging="1440"/>
      </w:pPr>
      <w:r w:rsidRPr="00DA1AD0">
        <w:lastRenderedPageBreak/>
        <w:t>Table 2-7</w:t>
      </w:r>
      <w:r w:rsidRPr="00DA1AD0">
        <w:tab/>
        <w:t>Change to assessed GST needs due to changes in value of mineral</w:t>
      </w:r>
      <w:r w:rsidRPr="009B6AF8">
        <w:t xml:space="preserve"> production, 2025–26 to 2026–27</w:t>
      </w:r>
    </w:p>
    <w:tbl>
      <w:tblPr>
        <w:tblW w:w="9040" w:type="dxa"/>
        <w:tblLook w:val="04A0" w:firstRow="1" w:lastRow="0" w:firstColumn="1" w:lastColumn="0" w:noHBand="0" w:noVBand="1"/>
      </w:tblPr>
      <w:tblGrid>
        <w:gridCol w:w="2920"/>
        <w:gridCol w:w="680"/>
        <w:gridCol w:w="680"/>
        <w:gridCol w:w="680"/>
        <w:gridCol w:w="680"/>
        <w:gridCol w:w="680"/>
        <w:gridCol w:w="680"/>
        <w:gridCol w:w="680"/>
        <w:gridCol w:w="680"/>
        <w:gridCol w:w="680"/>
      </w:tblGrid>
      <w:tr w:rsidR="005B0FBA" w:rsidRPr="005B0FBA" w14:paraId="678FAA8E" w14:textId="77777777" w:rsidTr="005B0FBA">
        <w:trPr>
          <w:trHeight w:val="540"/>
        </w:trPr>
        <w:tc>
          <w:tcPr>
            <w:tcW w:w="2920" w:type="dxa"/>
            <w:tcBorders>
              <w:top w:val="nil"/>
              <w:left w:val="nil"/>
              <w:bottom w:val="nil"/>
              <w:right w:val="nil"/>
            </w:tcBorders>
            <w:shd w:val="clear" w:color="000000" w:fill="006991"/>
            <w:vAlign w:val="center"/>
            <w:hideMark/>
          </w:tcPr>
          <w:p w14:paraId="4EFBFA97" w14:textId="77777777" w:rsidR="005B0FBA" w:rsidRPr="005B0FBA" w:rsidRDefault="005B0FBA" w:rsidP="002418B3">
            <w:pPr>
              <w:keepNext/>
              <w:tabs>
                <w:tab w:val="clear" w:pos="567"/>
              </w:tabs>
              <w:spacing w:before="0" w:line="240" w:lineRule="auto"/>
              <w:rPr>
                <w:rFonts w:ascii="Open Sans Semibold" w:eastAsia="Times New Roman" w:hAnsi="Open Sans Semibold" w:cs="Open Sans Semibold"/>
                <w:color w:val="FFFFFF"/>
                <w:sz w:val="16"/>
                <w:szCs w:val="16"/>
                <w:lang w:eastAsia="en-AU"/>
              </w:rPr>
            </w:pPr>
            <w:bookmarkStart w:id="58" w:name="RANGE!A4:J13"/>
            <w:r w:rsidRPr="005B0FBA">
              <w:rPr>
                <w:rFonts w:ascii="Open Sans Semibold" w:eastAsia="Times New Roman" w:hAnsi="Open Sans Semibold" w:cs="Open Sans Semibold"/>
                <w:color w:val="FFFFFF"/>
                <w:sz w:val="16"/>
                <w:szCs w:val="16"/>
                <w:lang w:eastAsia="en-AU"/>
              </w:rPr>
              <w:t> </w:t>
            </w:r>
            <w:bookmarkEnd w:id="58"/>
          </w:p>
        </w:tc>
        <w:tc>
          <w:tcPr>
            <w:tcW w:w="680" w:type="dxa"/>
            <w:tcBorders>
              <w:top w:val="nil"/>
              <w:left w:val="nil"/>
              <w:bottom w:val="nil"/>
              <w:right w:val="nil"/>
            </w:tcBorders>
            <w:shd w:val="clear" w:color="000000" w:fill="006991"/>
            <w:vAlign w:val="center"/>
            <w:hideMark/>
          </w:tcPr>
          <w:p w14:paraId="33C95743"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NSW</w:t>
            </w:r>
          </w:p>
        </w:tc>
        <w:tc>
          <w:tcPr>
            <w:tcW w:w="680" w:type="dxa"/>
            <w:tcBorders>
              <w:top w:val="nil"/>
              <w:left w:val="nil"/>
              <w:bottom w:val="nil"/>
              <w:right w:val="nil"/>
            </w:tcBorders>
            <w:shd w:val="clear" w:color="000000" w:fill="006991"/>
            <w:vAlign w:val="center"/>
            <w:hideMark/>
          </w:tcPr>
          <w:p w14:paraId="4E257F1A"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Vic</w:t>
            </w:r>
          </w:p>
        </w:tc>
        <w:tc>
          <w:tcPr>
            <w:tcW w:w="680" w:type="dxa"/>
            <w:tcBorders>
              <w:top w:val="nil"/>
              <w:left w:val="nil"/>
              <w:bottom w:val="nil"/>
              <w:right w:val="nil"/>
            </w:tcBorders>
            <w:shd w:val="clear" w:color="000000" w:fill="006991"/>
            <w:vAlign w:val="center"/>
            <w:hideMark/>
          </w:tcPr>
          <w:p w14:paraId="0F89F984"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Qld</w:t>
            </w:r>
          </w:p>
        </w:tc>
        <w:tc>
          <w:tcPr>
            <w:tcW w:w="680" w:type="dxa"/>
            <w:tcBorders>
              <w:top w:val="nil"/>
              <w:left w:val="nil"/>
              <w:bottom w:val="nil"/>
              <w:right w:val="nil"/>
            </w:tcBorders>
            <w:shd w:val="clear" w:color="000000" w:fill="006991"/>
            <w:vAlign w:val="center"/>
            <w:hideMark/>
          </w:tcPr>
          <w:p w14:paraId="3B35F41A"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WA</w:t>
            </w:r>
          </w:p>
        </w:tc>
        <w:tc>
          <w:tcPr>
            <w:tcW w:w="680" w:type="dxa"/>
            <w:tcBorders>
              <w:top w:val="nil"/>
              <w:left w:val="nil"/>
              <w:bottom w:val="nil"/>
              <w:right w:val="nil"/>
            </w:tcBorders>
            <w:shd w:val="clear" w:color="000000" w:fill="006991"/>
            <w:vAlign w:val="center"/>
            <w:hideMark/>
          </w:tcPr>
          <w:p w14:paraId="1FE2574C"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SA</w:t>
            </w:r>
          </w:p>
        </w:tc>
        <w:tc>
          <w:tcPr>
            <w:tcW w:w="680" w:type="dxa"/>
            <w:tcBorders>
              <w:top w:val="nil"/>
              <w:left w:val="nil"/>
              <w:bottom w:val="nil"/>
              <w:right w:val="nil"/>
            </w:tcBorders>
            <w:shd w:val="clear" w:color="000000" w:fill="006991"/>
            <w:vAlign w:val="center"/>
            <w:hideMark/>
          </w:tcPr>
          <w:p w14:paraId="493BCDE2"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Tas</w:t>
            </w:r>
          </w:p>
        </w:tc>
        <w:tc>
          <w:tcPr>
            <w:tcW w:w="680" w:type="dxa"/>
            <w:tcBorders>
              <w:top w:val="nil"/>
              <w:left w:val="nil"/>
              <w:bottom w:val="nil"/>
              <w:right w:val="nil"/>
            </w:tcBorders>
            <w:shd w:val="clear" w:color="000000" w:fill="006991"/>
            <w:vAlign w:val="center"/>
            <w:hideMark/>
          </w:tcPr>
          <w:p w14:paraId="165637B0"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ACT</w:t>
            </w:r>
          </w:p>
        </w:tc>
        <w:tc>
          <w:tcPr>
            <w:tcW w:w="680" w:type="dxa"/>
            <w:tcBorders>
              <w:top w:val="nil"/>
              <w:left w:val="nil"/>
              <w:bottom w:val="nil"/>
              <w:right w:val="nil"/>
            </w:tcBorders>
            <w:shd w:val="clear" w:color="000000" w:fill="006991"/>
            <w:vAlign w:val="center"/>
            <w:hideMark/>
          </w:tcPr>
          <w:p w14:paraId="04A31396"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NT</w:t>
            </w:r>
          </w:p>
        </w:tc>
        <w:tc>
          <w:tcPr>
            <w:tcW w:w="680" w:type="dxa"/>
            <w:tcBorders>
              <w:top w:val="nil"/>
              <w:left w:val="nil"/>
              <w:bottom w:val="nil"/>
              <w:right w:val="nil"/>
            </w:tcBorders>
            <w:shd w:val="clear" w:color="000000" w:fill="006991"/>
            <w:vAlign w:val="center"/>
            <w:hideMark/>
          </w:tcPr>
          <w:p w14:paraId="7F332141"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B0FBA">
              <w:rPr>
                <w:rFonts w:ascii="Open Sans Semibold" w:eastAsia="Times New Roman" w:hAnsi="Open Sans Semibold" w:cs="Open Sans Semibold"/>
                <w:color w:val="FFFFFF"/>
                <w:sz w:val="16"/>
                <w:szCs w:val="16"/>
                <w:lang w:eastAsia="en-AU"/>
              </w:rPr>
              <w:t>Total effect</w:t>
            </w:r>
          </w:p>
        </w:tc>
      </w:tr>
      <w:tr w:rsidR="005B0FBA" w:rsidRPr="005B0FBA" w14:paraId="6859CAB8" w14:textId="77777777" w:rsidTr="005B0FBA">
        <w:trPr>
          <w:trHeight w:val="260"/>
        </w:trPr>
        <w:tc>
          <w:tcPr>
            <w:tcW w:w="2920" w:type="dxa"/>
            <w:tcBorders>
              <w:top w:val="single" w:sz="4" w:space="0" w:color="ADD6EA"/>
              <w:left w:val="nil"/>
              <w:bottom w:val="nil"/>
              <w:right w:val="nil"/>
            </w:tcBorders>
            <w:shd w:val="clear" w:color="000000" w:fill="B6D5E4"/>
            <w:vAlign w:val="center"/>
            <w:hideMark/>
          </w:tcPr>
          <w:p w14:paraId="0D8EF1D1" w14:textId="77777777" w:rsidR="005B0FBA" w:rsidRPr="005B0FBA" w:rsidRDefault="005B0FBA" w:rsidP="002418B3">
            <w:pPr>
              <w:keepNext/>
              <w:tabs>
                <w:tab w:val="clear" w:pos="567"/>
              </w:tabs>
              <w:spacing w:before="0" w:line="240" w:lineRule="auto"/>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 </w:t>
            </w:r>
          </w:p>
        </w:tc>
        <w:tc>
          <w:tcPr>
            <w:tcW w:w="680" w:type="dxa"/>
            <w:tcBorders>
              <w:top w:val="single" w:sz="4" w:space="0" w:color="ADD6EA"/>
              <w:left w:val="nil"/>
              <w:bottom w:val="nil"/>
              <w:right w:val="nil"/>
            </w:tcBorders>
            <w:shd w:val="clear" w:color="000000" w:fill="B6D5E4"/>
            <w:noWrap/>
            <w:vAlign w:val="center"/>
            <w:hideMark/>
          </w:tcPr>
          <w:p w14:paraId="3FDF8570"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7D0F0176"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43B7FBA9"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043E5C8A"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770BAF3"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6AC0EB8B"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06192996"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0E5D1D29"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c>
          <w:tcPr>
            <w:tcW w:w="680" w:type="dxa"/>
            <w:tcBorders>
              <w:top w:val="single" w:sz="4" w:space="0" w:color="ADD6EA"/>
              <w:left w:val="nil"/>
              <w:bottom w:val="nil"/>
              <w:right w:val="nil"/>
            </w:tcBorders>
            <w:shd w:val="clear" w:color="000000" w:fill="B6D5E4"/>
            <w:noWrap/>
            <w:vAlign w:val="center"/>
            <w:hideMark/>
          </w:tcPr>
          <w:p w14:paraId="2534742E"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$m</w:t>
            </w:r>
          </w:p>
        </w:tc>
      </w:tr>
      <w:tr w:rsidR="005B0FBA" w:rsidRPr="005B0FBA" w14:paraId="110F0FB0" w14:textId="77777777" w:rsidTr="005B0FBA">
        <w:trPr>
          <w:trHeight w:val="315"/>
        </w:trPr>
        <w:tc>
          <w:tcPr>
            <w:tcW w:w="2920" w:type="dxa"/>
            <w:tcBorders>
              <w:top w:val="single" w:sz="4" w:space="0" w:color="ADD6EA"/>
              <w:left w:val="nil"/>
              <w:bottom w:val="nil"/>
              <w:right w:val="nil"/>
            </w:tcBorders>
            <w:vAlign w:val="bottom"/>
            <w:hideMark/>
          </w:tcPr>
          <w:p w14:paraId="57C2F605" w14:textId="77777777" w:rsidR="005B0FBA" w:rsidRPr="005B0FBA" w:rsidRDefault="005B0FBA"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Iron ore</w:t>
            </w:r>
          </w:p>
        </w:tc>
        <w:tc>
          <w:tcPr>
            <w:tcW w:w="680" w:type="dxa"/>
            <w:tcBorders>
              <w:top w:val="single" w:sz="4" w:space="0" w:color="ADD6EA"/>
              <w:left w:val="nil"/>
              <w:bottom w:val="nil"/>
              <w:right w:val="nil"/>
            </w:tcBorders>
            <w:noWrap/>
            <w:vAlign w:val="bottom"/>
            <w:hideMark/>
          </w:tcPr>
          <w:p w14:paraId="6D64FD59"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-477</w:t>
            </w:r>
          </w:p>
        </w:tc>
        <w:tc>
          <w:tcPr>
            <w:tcW w:w="680" w:type="dxa"/>
            <w:tcBorders>
              <w:top w:val="single" w:sz="4" w:space="0" w:color="ADD6EA"/>
              <w:left w:val="nil"/>
              <w:bottom w:val="nil"/>
              <w:right w:val="nil"/>
            </w:tcBorders>
            <w:noWrap/>
            <w:vAlign w:val="bottom"/>
            <w:hideMark/>
          </w:tcPr>
          <w:p w14:paraId="56582FE0"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-395</w:t>
            </w:r>
          </w:p>
        </w:tc>
        <w:tc>
          <w:tcPr>
            <w:tcW w:w="680" w:type="dxa"/>
            <w:tcBorders>
              <w:top w:val="single" w:sz="4" w:space="0" w:color="ADD6EA"/>
              <w:left w:val="nil"/>
              <w:bottom w:val="nil"/>
              <w:right w:val="nil"/>
            </w:tcBorders>
            <w:noWrap/>
            <w:vAlign w:val="bottom"/>
            <w:hideMark/>
          </w:tcPr>
          <w:p w14:paraId="103177A0"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-317</w:t>
            </w:r>
          </w:p>
        </w:tc>
        <w:tc>
          <w:tcPr>
            <w:tcW w:w="680" w:type="dxa"/>
            <w:tcBorders>
              <w:top w:val="single" w:sz="4" w:space="0" w:color="ADD6EA"/>
              <w:left w:val="nil"/>
              <w:bottom w:val="nil"/>
              <w:right w:val="nil"/>
            </w:tcBorders>
            <w:noWrap/>
            <w:vAlign w:val="bottom"/>
            <w:hideMark/>
          </w:tcPr>
          <w:p w14:paraId="54C6E108"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1,344</w:t>
            </w:r>
          </w:p>
        </w:tc>
        <w:tc>
          <w:tcPr>
            <w:tcW w:w="680" w:type="dxa"/>
            <w:tcBorders>
              <w:top w:val="single" w:sz="4" w:space="0" w:color="ADD6EA"/>
              <w:left w:val="nil"/>
              <w:bottom w:val="nil"/>
              <w:right w:val="nil"/>
            </w:tcBorders>
            <w:noWrap/>
            <w:vAlign w:val="bottom"/>
            <w:hideMark/>
          </w:tcPr>
          <w:p w14:paraId="6CB3DAAD"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-90</w:t>
            </w:r>
          </w:p>
        </w:tc>
        <w:tc>
          <w:tcPr>
            <w:tcW w:w="680" w:type="dxa"/>
            <w:tcBorders>
              <w:top w:val="single" w:sz="4" w:space="0" w:color="ADD6EA"/>
              <w:left w:val="nil"/>
              <w:bottom w:val="nil"/>
              <w:right w:val="nil"/>
            </w:tcBorders>
            <w:noWrap/>
            <w:vAlign w:val="bottom"/>
            <w:hideMark/>
          </w:tcPr>
          <w:p w14:paraId="4AD918D5"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-22</w:t>
            </w:r>
          </w:p>
        </w:tc>
        <w:tc>
          <w:tcPr>
            <w:tcW w:w="680" w:type="dxa"/>
            <w:tcBorders>
              <w:top w:val="single" w:sz="4" w:space="0" w:color="ADD6EA"/>
              <w:left w:val="nil"/>
              <w:bottom w:val="nil"/>
              <w:right w:val="nil"/>
            </w:tcBorders>
            <w:noWrap/>
            <w:vAlign w:val="bottom"/>
            <w:hideMark/>
          </w:tcPr>
          <w:p w14:paraId="059A7222"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-27</w:t>
            </w:r>
          </w:p>
        </w:tc>
        <w:tc>
          <w:tcPr>
            <w:tcW w:w="680" w:type="dxa"/>
            <w:tcBorders>
              <w:top w:val="single" w:sz="4" w:space="0" w:color="ADD6EA"/>
              <w:left w:val="nil"/>
              <w:bottom w:val="nil"/>
              <w:right w:val="nil"/>
            </w:tcBorders>
            <w:noWrap/>
            <w:vAlign w:val="bottom"/>
            <w:hideMark/>
          </w:tcPr>
          <w:p w14:paraId="11193229"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-16</w:t>
            </w:r>
          </w:p>
        </w:tc>
        <w:tc>
          <w:tcPr>
            <w:tcW w:w="680" w:type="dxa"/>
            <w:tcBorders>
              <w:top w:val="single" w:sz="4" w:space="0" w:color="ADD6EA"/>
              <w:left w:val="nil"/>
              <w:bottom w:val="nil"/>
              <w:right w:val="nil"/>
            </w:tcBorders>
            <w:noWrap/>
            <w:vAlign w:val="bottom"/>
            <w:hideMark/>
          </w:tcPr>
          <w:p w14:paraId="0EA5FE07"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1,344</w:t>
            </w:r>
          </w:p>
        </w:tc>
      </w:tr>
      <w:tr w:rsidR="005B0FBA" w:rsidRPr="005B0FBA" w14:paraId="67E8A7EC" w14:textId="77777777" w:rsidTr="005B0FBA">
        <w:trPr>
          <w:trHeight w:val="315"/>
        </w:trPr>
        <w:tc>
          <w:tcPr>
            <w:tcW w:w="2920" w:type="dxa"/>
            <w:tcBorders>
              <w:top w:val="single" w:sz="4" w:space="0" w:color="ADD6EA"/>
              <w:left w:val="nil"/>
              <w:bottom w:val="nil"/>
              <w:right w:val="nil"/>
            </w:tcBorders>
            <w:vAlign w:val="bottom"/>
            <w:hideMark/>
          </w:tcPr>
          <w:p w14:paraId="09D98ECF" w14:textId="77777777" w:rsidR="005B0FBA" w:rsidRPr="005B0FBA" w:rsidRDefault="005B0FBA"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Coal</w:t>
            </w:r>
          </w:p>
        </w:tc>
        <w:tc>
          <w:tcPr>
            <w:tcW w:w="680" w:type="dxa"/>
            <w:tcBorders>
              <w:top w:val="single" w:sz="4" w:space="0" w:color="ADD6EA"/>
              <w:left w:val="nil"/>
              <w:bottom w:val="nil"/>
              <w:right w:val="nil"/>
            </w:tcBorders>
            <w:noWrap/>
            <w:vAlign w:val="bottom"/>
            <w:hideMark/>
          </w:tcPr>
          <w:p w14:paraId="7A4853B1"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180</w:t>
            </w:r>
          </w:p>
        </w:tc>
        <w:tc>
          <w:tcPr>
            <w:tcW w:w="680" w:type="dxa"/>
            <w:tcBorders>
              <w:top w:val="single" w:sz="4" w:space="0" w:color="ADD6EA"/>
              <w:left w:val="nil"/>
              <w:bottom w:val="nil"/>
              <w:right w:val="nil"/>
            </w:tcBorders>
            <w:noWrap/>
            <w:vAlign w:val="bottom"/>
            <w:hideMark/>
          </w:tcPr>
          <w:p w14:paraId="43BFABDB"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-471</w:t>
            </w:r>
          </w:p>
        </w:tc>
        <w:tc>
          <w:tcPr>
            <w:tcW w:w="680" w:type="dxa"/>
            <w:tcBorders>
              <w:top w:val="single" w:sz="4" w:space="0" w:color="ADD6EA"/>
              <w:left w:val="nil"/>
              <w:bottom w:val="nil"/>
              <w:right w:val="nil"/>
            </w:tcBorders>
            <w:noWrap/>
            <w:vAlign w:val="bottom"/>
            <w:hideMark/>
          </w:tcPr>
          <w:p w14:paraId="2B30C275"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714</w:t>
            </w:r>
          </w:p>
        </w:tc>
        <w:tc>
          <w:tcPr>
            <w:tcW w:w="680" w:type="dxa"/>
            <w:tcBorders>
              <w:top w:val="single" w:sz="4" w:space="0" w:color="ADD6EA"/>
              <w:left w:val="nil"/>
              <w:bottom w:val="nil"/>
              <w:right w:val="nil"/>
            </w:tcBorders>
            <w:noWrap/>
            <w:vAlign w:val="bottom"/>
            <w:hideMark/>
          </w:tcPr>
          <w:p w14:paraId="08A0CA70"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-208</w:t>
            </w:r>
          </w:p>
        </w:tc>
        <w:tc>
          <w:tcPr>
            <w:tcW w:w="680" w:type="dxa"/>
            <w:tcBorders>
              <w:top w:val="single" w:sz="4" w:space="0" w:color="ADD6EA"/>
              <w:left w:val="nil"/>
              <w:bottom w:val="nil"/>
              <w:right w:val="nil"/>
            </w:tcBorders>
            <w:noWrap/>
            <w:vAlign w:val="bottom"/>
            <w:hideMark/>
          </w:tcPr>
          <w:p w14:paraId="1B82EC8D"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-127</w:t>
            </w:r>
          </w:p>
        </w:tc>
        <w:tc>
          <w:tcPr>
            <w:tcW w:w="680" w:type="dxa"/>
            <w:tcBorders>
              <w:top w:val="single" w:sz="4" w:space="0" w:color="ADD6EA"/>
              <w:left w:val="nil"/>
              <w:bottom w:val="nil"/>
              <w:right w:val="nil"/>
            </w:tcBorders>
            <w:noWrap/>
            <w:vAlign w:val="bottom"/>
            <w:hideMark/>
          </w:tcPr>
          <w:p w14:paraId="08B9AA1A"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-38</w:t>
            </w:r>
          </w:p>
        </w:tc>
        <w:tc>
          <w:tcPr>
            <w:tcW w:w="680" w:type="dxa"/>
            <w:tcBorders>
              <w:top w:val="single" w:sz="4" w:space="0" w:color="ADD6EA"/>
              <w:left w:val="nil"/>
              <w:bottom w:val="nil"/>
              <w:right w:val="nil"/>
            </w:tcBorders>
            <w:noWrap/>
            <w:vAlign w:val="bottom"/>
            <w:hideMark/>
          </w:tcPr>
          <w:p w14:paraId="55BF68DB"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-32</w:t>
            </w:r>
          </w:p>
        </w:tc>
        <w:tc>
          <w:tcPr>
            <w:tcW w:w="680" w:type="dxa"/>
            <w:tcBorders>
              <w:top w:val="single" w:sz="4" w:space="0" w:color="ADD6EA"/>
              <w:left w:val="nil"/>
              <w:bottom w:val="nil"/>
              <w:right w:val="nil"/>
            </w:tcBorders>
            <w:noWrap/>
            <w:vAlign w:val="bottom"/>
            <w:hideMark/>
          </w:tcPr>
          <w:p w14:paraId="2B26895A"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-18</w:t>
            </w:r>
          </w:p>
        </w:tc>
        <w:tc>
          <w:tcPr>
            <w:tcW w:w="680" w:type="dxa"/>
            <w:tcBorders>
              <w:top w:val="single" w:sz="4" w:space="0" w:color="ADD6EA"/>
              <w:left w:val="nil"/>
              <w:bottom w:val="nil"/>
              <w:right w:val="nil"/>
            </w:tcBorders>
            <w:noWrap/>
            <w:vAlign w:val="bottom"/>
            <w:hideMark/>
          </w:tcPr>
          <w:p w14:paraId="00701BD7"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894</w:t>
            </w:r>
          </w:p>
        </w:tc>
      </w:tr>
      <w:tr w:rsidR="005B0FBA" w:rsidRPr="005B0FBA" w14:paraId="72C2669F" w14:textId="77777777" w:rsidTr="005B0FBA">
        <w:trPr>
          <w:trHeight w:val="315"/>
        </w:trPr>
        <w:tc>
          <w:tcPr>
            <w:tcW w:w="2920" w:type="dxa"/>
            <w:tcBorders>
              <w:top w:val="single" w:sz="4" w:space="0" w:color="ADD6EA"/>
              <w:left w:val="nil"/>
              <w:bottom w:val="nil"/>
              <w:right w:val="nil"/>
            </w:tcBorders>
            <w:vAlign w:val="bottom"/>
            <w:hideMark/>
          </w:tcPr>
          <w:p w14:paraId="637EF801" w14:textId="77777777" w:rsidR="005B0FBA" w:rsidRPr="005B0FBA" w:rsidRDefault="005B0FBA"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Grants in lieu of royalties</w:t>
            </w:r>
          </w:p>
        </w:tc>
        <w:tc>
          <w:tcPr>
            <w:tcW w:w="680" w:type="dxa"/>
            <w:tcBorders>
              <w:top w:val="single" w:sz="4" w:space="0" w:color="ADD6EA"/>
              <w:left w:val="nil"/>
              <w:bottom w:val="nil"/>
              <w:right w:val="nil"/>
            </w:tcBorders>
            <w:noWrap/>
            <w:vAlign w:val="bottom"/>
            <w:hideMark/>
          </w:tcPr>
          <w:p w14:paraId="18FD198E"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-74</w:t>
            </w:r>
          </w:p>
        </w:tc>
        <w:tc>
          <w:tcPr>
            <w:tcW w:w="680" w:type="dxa"/>
            <w:tcBorders>
              <w:top w:val="single" w:sz="4" w:space="0" w:color="ADD6EA"/>
              <w:left w:val="nil"/>
              <w:bottom w:val="nil"/>
              <w:right w:val="nil"/>
            </w:tcBorders>
            <w:noWrap/>
            <w:vAlign w:val="bottom"/>
            <w:hideMark/>
          </w:tcPr>
          <w:p w14:paraId="40CA123C"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-61</w:t>
            </w:r>
          </w:p>
        </w:tc>
        <w:tc>
          <w:tcPr>
            <w:tcW w:w="680" w:type="dxa"/>
            <w:tcBorders>
              <w:top w:val="single" w:sz="4" w:space="0" w:color="ADD6EA"/>
              <w:left w:val="nil"/>
              <w:bottom w:val="nil"/>
              <w:right w:val="nil"/>
            </w:tcBorders>
            <w:noWrap/>
            <w:vAlign w:val="bottom"/>
            <w:hideMark/>
          </w:tcPr>
          <w:p w14:paraId="232A63BC"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-49</w:t>
            </w:r>
          </w:p>
        </w:tc>
        <w:tc>
          <w:tcPr>
            <w:tcW w:w="680" w:type="dxa"/>
            <w:tcBorders>
              <w:top w:val="single" w:sz="4" w:space="0" w:color="ADD6EA"/>
              <w:left w:val="nil"/>
              <w:bottom w:val="nil"/>
              <w:right w:val="nil"/>
            </w:tcBorders>
            <w:noWrap/>
            <w:vAlign w:val="bottom"/>
            <w:hideMark/>
          </w:tcPr>
          <w:p w14:paraId="2C40F844"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212</w:t>
            </w:r>
          </w:p>
        </w:tc>
        <w:tc>
          <w:tcPr>
            <w:tcW w:w="680" w:type="dxa"/>
            <w:tcBorders>
              <w:top w:val="single" w:sz="4" w:space="0" w:color="ADD6EA"/>
              <w:left w:val="nil"/>
              <w:bottom w:val="nil"/>
              <w:right w:val="nil"/>
            </w:tcBorders>
            <w:noWrap/>
            <w:vAlign w:val="bottom"/>
            <w:hideMark/>
          </w:tcPr>
          <w:p w14:paraId="538121CB"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-16</w:t>
            </w:r>
          </w:p>
        </w:tc>
        <w:tc>
          <w:tcPr>
            <w:tcW w:w="680" w:type="dxa"/>
            <w:tcBorders>
              <w:top w:val="single" w:sz="4" w:space="0" w:color="ADD6EA"/>
              <w:left w:val="nil"/>
              <w:bottom w:val="nil"/>
              <w:right w:val="nil"/>
            </w:tcBorders>
            <w:noWrap/>
            <w:vAlign w:val="bottom"/>
            <w:hideMark/>
          </w:tcPr>
          <w:p w14:paraId="1BFA4177"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-5</w:t>
            </w:r>
          </w:p>
        </w:tc>
        <w:tc>
          <w:tcPr>
            <w:tcW w:w="680" w:type="dxa"/>
            <w:tcBorders>
              <w:top w:val="single" w:sz="4" w:space="0" w:color="ADD6EA"/>
              <w:left w:val="nil"/>
              <w:bottom w:val="nil"/>
              <w:right w:val="nil"/>
            </w:tcBorders>
            <w:noWrap/>
            <w:vAlign w:val="bottom"/>
            <w:hideMark/>
          </w:tcPr>
          <w:p w14:paraId="6AAE281A"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-4</w:t>
            </w:r>
          </w:p>
        </w:tc>
        <w:tc>
          <w:tcPr>
            <w:tcW w:w="680" w:type="dxa"/>
            <w:tcBorders>
              <w:top w:val="single" w:sz="4" w:space="0" w:color="ADD6EA"/>
              <w:left w:val="nil"/>
              <w:bottom w:val="nil"/>
              <w:right w:val="nil"/>
            </w:tcBorders>
            <w:noWrap/>
            <w:vAlign w:val="bottom"/>
            <w:hideMark/>
          </w:tcPr>
          <w:p w14:paraId="36455E4A"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noWrap/>
            <w:vAlign w:val="bottom"/>
            <w:hideMark/>
          </w:tcPr>
          <w:p w14:paraId="1E3F057E"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212</w:t>
            </w:r>
          </w:p>
        </w:tc>
      </w:tr>
      <w:tr w:rsidR="005B0FBA" w:rsidRPr="005B0FBA" w14:paraId="6975FDBC" w14:textId="77777777" w:rsidTr="005B0FBA">
        <w:trPr>
          <w:trHeight w:val="315"/>
        </w:trPr>
        <w:tc>
          <w:tcPr>
            <w:tcW w:w="2920" w:type="dxa"/>
            <w:tcBorders>
              <w:top w:val="single" w:sz="4" w:space="0" w:color="ADD6EA"/>
              <w:left w:val="nil"/>
              <w:bottom w:val="nil"/>
              <w:right w:val="nil"/>
            </w:tcBorders>
            <w:vAlign w:val="bottom"/>
            <w:hideMark/>
          </w:tcPr>
          <w:p w14:paraId="26E7D647" w14:textId="77777777" w:rsidR="005B0FBA" w:rsidRPr="005B0FBA" w:rsidRDefault="005B0FBA"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Gold</w:t>
            </w:r>
          </w:p>
        </w:tc>
        <w:tc>
          <w:tcPr>
            <w:tcW w:w="680" w:type="dxa"/>
            <w:tcBorders>
              <w:top w:val="single" w:sz="4" w:space="0" w:color="ADD6EA"/>
              <w:left w:val="nil"/>
              <w:bottom w:val="nil"/>
              <w:right w:val="nil"/>
            </w:tcBorders>
            <w:vAlign w:val="bottom"/>
            <w:hideMark/>
          </w:tcPr>
          <w:p w14:paraId="271426A7"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24</w:t>
            </w:r>
          </w:p>
        </w:tc>
        <w:tc>
          <w:tcPr>
            <w:tcW w:w="680" w:type="dxa"/>
            <w:tcBorders>
              <w:top w:val="single" w:sz="4" w:space="0" w:color="ADD6EA"/>
              <w:left w:val="nil"/>
              <w:bottom w:val="nil"/>
              <w:right w:val="nil"/>
            </w:tcBorders>
            <w:vAlign w:val="bottom"/>
            <w:hideMark/>
          </w:tcPr>
          <w:p w14:paraId="4B1BABBC"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39</w:t>
            </w:r>
          </w:p>
        </w:tc>
        <w:tc>
          <w:tcPr>
            <w:tcW w:w="680" w:type="dxa"/>
            <w:tcBorders>
              <w:top w:val="single" w:sz="4" w:space="0" w:color="ADD6EA"/>
              <w:left w:val="nil"/>
              <w:bottom w:val="nil"/>
              <w:right w:val="nil"/>
            </w:tcBorders>
            <w:vAlign w:val="bottom"/>
            <w:hideMark/>
          </w:tcPr>
          <w:p w14:paraId="7F9827AE"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19</w:t>
            </w:r>
          </w:p>
        </w:tc>
        <w:tc>
          <w:tcPr>
            <w:tcW w:w="680" w:type="dxa"/>
            <w:tcBorders>
              <w:top w:val="single" w:sz="4" w:space="0" w:color="ADD6EA"/>
              <w:left w:val="nil"/>
              <w:bottom w:val="nil"/>
              <w:right w:val="nil"/>
            </w:tcBorders>
            <w:vAlign w:val="bottom"/>
            <w:hideMark/>
          </w:tcPr>
          <w:p w14:paraId="0B373CFE"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-81</w:t>
            </w:r>
          </w:p>
        </w:tc>
        <w:tc>
          <w:tcPr>
            <w:tcW w:w="680" w:type="dxa"/>
            <w:tcBorders>
              <w:top w:val="single" w:sz="4" w:space="0" w:color="ADD6EA"/>
              <w:left w:val="nil"/>
              <w:bottom w:val="nil"/>
              <w:right w:val="nil"/>
            </w:tcBorders>
            <w:vAlign w:val="bottom"/>
            <w:hideMark/>
          </w:tcPr>
          <w:p w14:paraId="612B9CA3"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0</w:t>
            </w:r>
          </w:p>
        </w:tc>
        <w:tc>
          <w:tcPr>
            <w:tcW w:w="680" w:type="dxa"/>
            <w:tcBorders>
              <w:top w:val="single" w:sz="4" w:space="0" w:color="ADD6EA"/>
              <w:left w:val="nil"/>
              <w:bottom w:val="nil"/>
              <w:right w:val="nil"/>
            </w:tcBorders>
            <w:vAlign w:val="bottom"/>
            <w:hideMark/>
          </w:tcPr>
          <w:p w14:paraId="6124F42D"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w:t>
            </w:r>
          </w:p>
        </w:tc>
        <w:tc>
          <w:tcPr>
            <w:tcW w:w="680" w:type="dxa"/>
            <w:tcBorders>
              <w:top w:val="single" w:sz="4" w:space="0" w:color="ADD6EA"/>
              <w:left w:val="nil"/>
              <w:bottom w:val="nil"/>
              <w:right w:val="nil"/>
            </w:tcBorders>
            <w:vAlign w:val="bottom"/>
            <w:hideMark/>
          </w:tcPr>
          <w:p w14:paraId="61B84FD1"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w:t>
            </w:r>
          </w:p>
        </w:tc>
        <w:tc>
          <w:tcPr>
            <w:tcW w:w="680" w:type="dxa"/>
            <w:tcBorders>
              <w:top w:val="single" w:sz="4" w:space="0" w:color="ADD6EA"/>
              <w:left w:val="nil"/>
              <w:bottom w:val="nil"/>
              <w:right w:val="nil"/>
            </w:tcBorders>
            <w:vAlign w:val="bottom"/>
            <w:hideMark/>
          </w:tcPr>
          <w:p w14:paraId="76DAED39"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-5</w:t>
            </w:r>
          </w:p>
        </w:tc>
        <w:tc>
          <w:tcPr>
            <w:tcW w:w="680" w:type="dxa"/>
            <w:tcBorders>
              <w:top w:val="single" w:sz="4" w:space="0" w:color="ADD6EA"/>
              <w:left w:val="nil"/>
              <w:bottom w:val="nil"/>
              <w:right w:val="nil"/>
            </w:tcBorders>
            <w:vAlign w:val="bottom"/>
            <w:hideMark/>
          </w:tcPr>
          <w:p w14:paraId="47CB9DEA"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87</w:t>
            </w:r>
          </w:p>
        </w:tc>
      </w:tr>
      <w:tr w:rsidR="005B0FBA" w:rsidRPr="005B0FBA" w14:paraId="1CE07065" w14:textId="77777777" w:rsidTr="005B0FBA">
        <w:trPr>
          <w:trHeight w:val="315"/>
        </w:trPr>
        <w:tc>
          <w:tcPr>
            <w:tcW w:w="2920" w:type="dxa"/>
            <w:tcBorders>
              <w:top w:val="single" w:sz="4" w:space="0" w:color="ADD6EA"/>
              <w:left w:val="nil"/>
              <w:bottom w:val="nil"/>
              <w:right w:val="nil"/>
            </w:tcBorders>
            <w:vAlign w:val="bottom"/>
            <w:hideMark/>
          </w:tcPr>
          <w:p w14:paraId="6E940C6E" w14:textId="77777777" w:rsidR="005B0FBA" w:rsidRPr="005B0FBA" w:rsidRDefault="005B0FBA"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Lithium</w:t>
            </w:r>
          </w:p>
        </w:tc>
        <w:tc>
          <w:tcPr>
            <w:tcW w:w="680" w:type="dxa"/>
            <w:tcBorders>
              <w:top w:val="single" w:sz="4" w:space="0" w:color="ADD6EA"/>
              <w:left w:val="nil"/>
              <w:bottom w:val="nil"/>
              <w:right w:val="nil"/>
            </w:tcBorders>
            <w:noWrap/>
            <w:vAlign w:val="bottom"/>
            <w:hideMark/>
          </w:tcPr>
          <w:p w14:paraId="40ADD0D2"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-15</w:t>
            </w:r>
          </w:p>
        </w:tc>
        <w:tc>
          <w:tcPr>
            <w:tcW w:w="680" w:type="dxa"/>
            <w:tcBorders>
              <w:top w:val="single" w:sz="4" w:space="0" w:color="ADD6EA"/>
              <w:left w:val="nil"/>
              <w:bottom w:val="nil"/>
              <w:right w:val="nil"/>
            </w:tcBorders>
            <w:noWrap/>
            <w:vAlign w:val="bottom"/>
            <w:hideMark/>
          </w:tcPr>
          <w:p w14:paraId="6730E1AD"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-12</w:t>
            </w:r>
          </w:p>
        </w:tc>
        <w:tc>
          <w:tcPr>
            <w:tcW w:w="680" w:type="dxa"/>
            <w:tcBorders>
              <w:top w:val="single" w:sz="4" w:space="0" w:color="ADD6EA"/>
              <w:left w:val="nil"/>
              <w:bottom w:val="nil"/>
              <w:right w:val="nil"/>
            </w:tcBorders>
            <w:noWrap/>
            <w:vAlign w:val="bottom"/>
            <w:hideMark/>
          </w:tcPr>
          <w:p w14:paraId="594E9E6F"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-10</w:t>
            </w:r>
          </w:p>
        </w:tc>
        <w:tc>
          <w:tcPr>
            <w:tcW w:w="680" w:type="dxa"/>
            <w:tcBorders>
              <w:top w:val="single" w:sz="4" w:space="0" w:color="ADD6EA"/>
              <w:left w:val="nil"/>
              <w:bottom w:val="nil"/>
              <w:right w:val="nil"/>
            </w:tcBorders>
            <w:noWrap/>
            <w:vAlign w:val="bottom"/>
            <w:hideMark/>
          </w:tcPr>
          <w:p w14:paraId="3820FA71"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42</w:t>
            </w:r>
          </w:p>
        </w:tc>
        <w:tc>
          <w:tcPr>
            <w:tcW w:w="680" w:type="dxa"/>
            <w:tcBorders>
              <w:top w:val="single" w:sz="4" w:space="0" w:color="ADD6EA"/>
              <w:left w:val="nil"/>
              <w:bottom w:val="nil"/>
              <w:right w:val="nil"/>
            </w:tcBorders>
            <w:noWrap/>
            <w:vAlign w:val="bottom"/>
            <w:hideMark/>
          </w:tcPr>
          <w:p w14:paraId="64348D07"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-3</w:t>
            </w:r>
          </w:p>
        </w:tc>
        <w:tc>
          <w:tcPr>
            <w:tcW w:w="680" w:type="dxa"/>
            <w:tcBorders>
              <w:top w:val="single" w:sz="4" w:space="0" w:color="ADD6EA"/>
              <w:left w:val="nil"/>
              <w:bottom w:val="nil"/>
              <w:right w:val="nil"/>
            </w:tcBorders>
            <w:noWrap/>
            <w:vAlign w:val="bottom"/>
            <w:hideMark/>
          </w:tcPr>
          <w:p w14:paraId="4F13266D"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noWrap/>
            <w:vAlign w:val="bottom"/>
            <w:hideMark/>
          </w:tcPr>
          <w:p w14:paraId="2CB5F81E"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noWrap/>
            <w:vAlign w:val="bottom"/>
            <w:hideMark/>
          </w:tcPr>
          <w:p w14:paraId="5BFC6C8A"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0</w:t>
            </w:r>
          </w:p>
        </w:tc>
        <w:tc>
          <w:tcPr>
            <w:tcW w:w="680" w:type="dxa"/>
            <w:tcBorders>
              <w:top w:val="single" w:sz="4" w:space="0" w:color="ADD6EA"/>
              <w:left w:val="nil"/>
              <w:bottom w:val="nil"/>
              <w:right w:val="nil"/>
            </w:tcBorders>
            <w:noWrap/>
            <w:vAlign w:val="bottom"/>
            <w:hideMark/>
          </w:tcPr>
          <w:p w14:paraId="7DDCDB92"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42</w:t>
            </w:r>
          </w:p>
        </w:tc>
      </w:tr>
      <w:tr w:rsidR="005B0FBA" w:rsidRPr="005B0FBA" w14:paraId="6D4921D2" w14:textId="77777777" w:rsidTr="005B0FBA">
        <w:trPr>
          <w:trHeight w:val="315"/>
        </w:trPr>
        <w:tc>
          <w:tcPr>
            <w:tcW w:w="2920" w:type="dxa"/>
            <w:tcBorders>
              <w:top w:val="single" w:sz="4" w:space="0" w:color="ADD6EA"/>
              <w:left w:val="nil"/>
              <w:bottom w:val="nil"/>
              <w:right w:val="nil"/>
            </w:tcBorders>
            <w:vAlign w:val="bottom"/>
            <w:hideMark/>
          </w:tcPr>
          <w:p w14:paraId="69448C02" w14:textId="77777777" w:rsidR="005B0FBA" w:rsidRPr="005B0FBA" w:rsidRDefault="005B0FBA"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Copper</w:t>
            </w:r>
          </w:p>
        </w:tc>
        <w:tc>
          <w:tcPr>
            <w:tcW w:w="680" w:type="dxa"/>
            <w:tcBorders>
              <w:top w:val="single" w:sz="4" w:space="0" w:color="ADD6EA"/>
              <w:left w:val="nil"/>
              <w:bottom w:val="nil"/>
              <w:right w:val="nil"/>
            </w:tcBorders>
            <w:noWrap/>
            <w:vAlign w:val="bottom"/>
            <w:hideMark/>
          </w:tcPr>
          <w:p w14:paraId="05BC2736"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-8</w:t>
            </w:r>
          </w:p>
        </w:tc>
        <w:tc>
          <w:tcPr>
            <w:tcW w:w="680" w:type="dxa"/>
            <w:tcBorders>
              <w:top w:val="single" w:sz="4" w:space="0" w:color="ADD6EA"/>
              <w:left w:val="nil"/>
              <w:bottom w:val="nil"/>
              <w:right w:val="nil"/>
            </w:tcBorders>
            <w:noWrap/>
            <w:vAlign w:val="bottom"/>
            <w:hideMark/>
          </w:tcPr>
          <w:p w14:paraId="1E38E71C"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-8</w:t>
            </w:r>
          </w:p>
        </w:tc>
        <w:tc>
          <w:tcPr>
            <w:tcW w:w="680" w:type="dxa"/>
            <w:tcBorders>
              <w:top w:val="single" w:sz="4" w:space="0" w:color="ADD6EA"/>
              <w:left w:val="nil"/>
              <w:bottom w:val="nil"/>
              <w:right w:val="nil"/>
            </w:tcBorders>
            <w:noWrap/>
            <w:vAlign w:val="bottom"/>
            <w:hideMark/>
          </w:tcPr>
          <w:p w14:paraId="0806E242"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11</w:t>
            </w:r>
          </w:p>
        </w:tc>
        <w:tc>
          <w:tcPr>
            <w:tcW w:w="680" w:type="dxa"/>
            <w:tcBorders>
              <w:top w:val="single" w:sz="4" w:space="0" w:color="ADD6EA"/>
              <w:left w:val="nil"/>
              <w:bottom w:val="nil"/>
              <w:right w:val="nil"/>
            </w:tcBorders>
            <w:noWrap/>
            <w:vAlign w:val="bottom"/>
            <w:hideMark/>
          </w:tcPr>
          <w:p w14:paraId="0B22C397"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17</w:t>
            </w:r>
          </w:p>
        </w:tc>
        <w:tc>
          <w:tcPr>
            <w:tcW w:w="680" w:type="dxa"/>
            <w:tcBorders>
              <w:top w:val="single" w:sz="4" w:space="0" w:color="ADD6EA"/>
              <w:left w:val="nil"/>
              <w:bottom w:val="nil"/>
              <w:right w:val="nil"/>
            </w:tcBorders>
            <w:noWrap/>
            <w:vAlign w:val="bottom"/>
            <w:hideMark/>
          </w:tcPr>
          <w:p w14:paraId="4FB62184"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-10</w:t>
            </w:r>
          </w:p>
        </w:tc>
        <w:tc>
          <w:tcPr>
            <w:tcW w:w="680" w:type="dxa"/>
            <w:tcBorders>
              <w:top w:val="single" w:sz="4" w:space="0" w:color="ADD6EA"/>
              <w:left w:val="nil"/>
              <w:bottom w:val="nil"/>
              <w:right w:val="nil"/>
            </w:tcBorders>
            <w:noWrap/>
            <w:vAlign w:val="bottom"/>
            <w:hideMark/>
          </w:tcPr>
          <w:p w14:paraId="19309E7F"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noWrap/>
            <w:vAlign w:val="bottom"/>
            <w:hideMark/>
          </w:tcPr>
          <w:p w14:paraId="793D23EF"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noWrap/>
            <w:vAlign w:val="bottom"/>
            <w:hideMark/>
          </w:tcPr>
          <w:p w14:paraId="399871B3"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0</w:t>
            </w:r>
          </w:p>
        </w:tc>
        <w:tc>
          <w:tcPr>
            <w:tcW w:w="680" w:type="dxa"/>
            <w:tcBorders>
              <w:top w:val="single" w:sz="4" w:space="0" w:color="ADD6EA"/>
              <w:left w:val="nil"/>
              <w:bottom w:val="nil"/>
              <w:right w:val="nil"/>
            </w:tcBorders>
            <w:noWrap/>
            <w:vAlign w:val="bottom"/>
            <w:hideMark/>
          </w:tcPr>
          <w:p w14:paraId="284EACD5"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28</w:t>
            </w:r>
          </w:p>
        </w:tc>
      </w:tr>
      <w:tr w:rsidR="005B0FBA" w:rsidRPr="005B0FBA" w14:paraId="7961A0B8" w14:textId="77777777" w:rsidTr="005B0FBA">
        <w:trPr>
          <w:trHeight w:val="315"/>
        </w:trPr>
        <w:tc>
          <w:tcPr>
            <w:tcW w:w="2920" w:type="dxa"/>
            <w:tcBorders>
              <w:top w:val="single" w:sz="4" w:space="0" w:color="ADD6EA"/>
              <w:left w:val="nil"/>
              <w:bottom w:val="nil"/>
              <w:right w:val="nil"/>
            </w:tcBorders>
            <w:vAlign w:val="bottom"/>
            <w:hideMark/>
          </w:tcPr>
          <w:p w14:paraId="29A36934" w14:textId="77777777" w:rsidR="005B0FBA" w:rsidRPr="005B0FBA" w:rsidRDefault="005B0FBA"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Other minerals (a)</w:t>
            </w:r>
          </w:p>
        </w:tc>
        <w:tc>
          <w:tcPr>
            <w:tcW w:w="680" w:type="dxa"/>
            <w:tcBorders>
              <w:top w:val="single" w:sz="4" w:space="0" w:color="ADD6EA"/>
              <w:left w:val="nil"/>
              <w:bottom w:val="nil"/>
              <w:right w:val="nil"/>
            </w:tcBorders>
            <w:noWrap/>
            <w:vAlign w:val="bottom"/>
            <w:hideMark/>
          </w:tcPr>
          <w:p w14:paraId="7D07C9BA"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-11</w:t>
            </w:r>
          </w:p>
        </w:tc>
        <w:tc>
          <w:tcPr>
            <w:tcW w:w="680" w:type="dxa"/>
            <w:tcBorders>
              <w:top w:val="single" w:sz="4" w:space="0" w:color="ADD6EA"/>
              <w:left w:val="nil"/>
              <w:bottom w:val="nil"/>
              <w:right w:val="nil"/>
            </w:tcBorders>
            <w:noWrap/>
            <w:vAlign w:val="bottom"/>
            <w:hideMark/>
          </w:tcPr>
          <w:p w14:paraId="2ED2DC9B"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-5</w:t>
            </w:r>
          </w:p>
        </w:tc>
        <w:tc>
          <w:tcPr>
            <w:tcW w:w="680" w:type="dxa"/>
            <w:tcBorders>
              <w:top w:val="single" w:sz="4" w:space="0" w:color="ADD6EA"/>
              <w:left w:val="nil"/>
              <w:bottom w:val="nil"/>
              <w:right w:val="nil"/>
            </w:tcBorders>
            <w:noWrap/>
            <w:vAlign w:val="bottom"/>
            <w:hideMark/>
          </w:tcPr>
          <w:p w14:paraId="6A65FFD8"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-84</w:t>
            </w:r>
          </w:p>
        </w:tc>
        <w:tc>
          <w:tcPr>
            <w:tcW w:w="680" w:type="dxa"/>
            <w:tcBorders>
              <w:top w:val="single" w:sz="4" w:space="0" w:color="ADD6EA"/>
              <w:left w:val="nil"/>
              <w:bottom w:val="nil"/>
              <w:right w:val="nil"/>
            </w:tcBorders>
            <w:noWrap/>
            <w:vAlign w:val="bottom"/>
            <w:hideMark/>
          </w:tcPr>
          <w:p w14:paraId="661503FE"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65</w:t>
            </w:r>
          </w:p>
        </w:tc>
        <w:tc>
          <w:tcPr>
            <w:tcW w:w="680" w:type="dxa"/>
            <w:tcBorders>
              <w:top w:val="single" w:sz="4" w:space="0" w:color="ADD6EA"/>
              <w:left w:val="nil"/>
              <w:bottom w:val="nil"/>
              <w:right w:val="nil"/>
            </w:tcBorders>
            <w:noWrap/>
            <w:vAlign w:val="bottom"/>
            <w:hideMark/>
          </w:tcPr>
          <w:p w14:paraId="4F471126"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10</w:t>
            </w:r>
          </w:p>
        </w:tc>
        <w:tc>
          <w:tcPr>
            <w:tcW w:w="680" w:type="dxa"/>
            <w:tcBorders>
              <w:top w:val="single" w:sz="4" w:space="0" w:color="ADD6EA"/>
              <w:left w:val="nil"/>
              <w:bottom w:val="nil"/>
              <w:right w:val="nil"/>
            </w:tcBorders>
            <w:noWrap/>
            <w:vAlign w:val="bottom"/>
            <w:hideMark/>
          </w:tcPr>
          <w:p w14:paraId="7469AB87"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12</w:t>
            </w:r>
          </w:p>
        </w:tc>
        <w:tc>
          <w:tcPr>
            <w:tcW w:w="680" w:type="dxa"/>
            <w:tcBorders>
              <w:top w:val="single" w:sz="4" w:space="0" w:color="ADD6EA"/>
              <w:left w:val="nil"/>
              <w:bottom w:val="nil"/>
              <w:right w:val="nil"/>
            </w:tcBorders>
            <w:noWrap/>
            <w:vAlign w:val="bottom"/>
            <w:hideMark/>
          </w:tcPr>
          <w:p w14:paraId="14E65A40"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w:t>
            </w:r>
          </w:p>
        </w:tc>
        <w:tc>
          <w:tcPr>
            <w:tcW w:w="680" w:type="dxa"/>
            <w:tcBorders>
              <w:top w:val="single" w:sz="4" w:space="0" w:color="ADD6EA"/>
              <w:left w:val="nil"/>
              <w:bottom w:val="nil"/>
              <w:right w:val="nil"/>
            </w:tcBorders>
            <w:noWrap/>
            <w:vAlign w:val="bottom"/>
            <w:hideMark/>
          </w:tcPr>
          <w:p w14:paraId="6420F4A2"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14</w:t>
            </w:r>
          </w:p>
        </w:tc>
        <w:tc>
          <w:tcPr>
            <w:tcW w:w="680" w:type="dxa"/>
            <w:tcBorders>
              <w:top w:val="single" w:sz="4" w:space="0" w:color="ADD6EA"/>
              <w:left w:val="nil"/>
              <w:bottom w:val="nil"/>
              <w:right w:val="nil"/>
            </w:tcBorders>
            <w:noWrap/>
            <w:vAlign w:val="bottom"/>
            <w:hideMark/>
          </w:tcPr>
          <w:p w14:paraId="5F55CB35" w14:textId="77777777" w:rsidR="005B0FBA" w:rsidRPr="005B0FBA" w:rsidRDefault="005B0FBA"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5B0FBA">
              <w:rPr>
                <w:rFonts w:ascii="Open Sans Light" w:eastAsia="Times New Roman" w:hAnsi="Open Sans Light" w:cs="Open Sans Light"/>
                <w:color w:val="000000"/>
                <w:sz w:val="16"/>
                <w:szCs w:val="16"/>
                <w:lang w:eastAsia="en-AU"/>
              </w:rPr>
              <w:t>101</w:t>
            </w:r>
          </w:p>
        </w:tc>
      </w:tr>
      <w:tr w:rsidR="005B0FBA" w:rsidRPr="005B0FBA" w14:paraId="51437EA3" w14:textId="77777777" w:rsidTr="005B0FBA">
        <w:trPr>
          <w:trHeight w:val="315"/>
        </w:trPr>
        <w:tc>
          <w:tcPr>
            <w:tcW w:w="2920" w:type="dxa"/>
            <w:tcBorders>
              <w:top w:val="single" w:sz="4" w:space="0" w:color="ADD6EA"/>
              <w:left w:val="nil"/>
              <w:bottom w:val="single" w:sz="4" w:space="0" w:color="ADD6EA"/>
              <w:right w:val="nil"/>
            </w:tcBorders>
            <w:shd w:val="clear" w:color="000000" w:fill="D6E7F0"/>
            <w:vAlign w:val="bottom"/>
            <w:hideMark/>
          </w:tcPr>
          <w:p w14:paraId="315FA556" w14:textId="77777777" w:rsidR="005B0FBA" w:rsidRPr="005B0FBA" w:rsidRDefault="005B0FBA" w:rsidP="002418B3">
            <w:pPr>
              <w:keepNext/>
              <w:tabs>
                <w:tab w:val="clear" w:pos="567"/>
              </w:tabs>
              <w:spacing w:before="0" w:line="240" w:lineRule="auto"/>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Total</w:t>
            </w:r>
          </w:p>
        </w:tc>
        <w:tc>
          <w:tcPr>
            <w:tcW w:w="680" w:type="dxa"/>
            <w:tcBorders>
              <w:top w:val="single" w:sz="4" w:space="0" w:color="ADD6EA"/>
              <w:left w:val="nil"/>
              <w:bottom w:val="single" w:sz="4" w:space="0" w:color="ADD6EA"/>
              <w:right w:val="nil"/>
            </w:tcBorders>
            <w:shd w:val="clear" w:color="000000" w:fill="D6E7F0"/>
            <w:noWrap/>
            <w:vAlign w:val="bottom"/>
            <w:hideMark/>
          </w:tcPr>
          <w:p w14:paraId="3D569CB3"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-381</w:t>
            </w:r>
          </w:p>
        </w:tc>
        <w:tc>
          <w:tcPr>
            <w:tcW w:w="680" w:type="dxa"/>
            <w:tcBorders>
              <w:top w:val="single" w:sz="4" w:space="0" w:color="ADD6EA"/>
              <w:left w:val="nil"/>
              <w:bottom w:val="single" w:sz="4" w:space="0" w:color="ADD6EA"/>
              <w:right w:val="nil"/>
            </w:tcBorders>
            <w:shd w:val="clear" w:color="000000" w:fill="D6E7F0"/>
            <w:noWrap/>
            <w:vAlign w:val="bottom"/>
            <w:hideMark/>
          </w:tcPr>
          <w:p w14:paraId="3EC64B4E"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-912</w:t>
            </w:r>
          </w:p>
        </w:tc>
        <w:tc>
          <w:tcPr>
            <w:tcW w:w="680" w:type="dxa"/>
            <w:tcBorders>
              <w:top w:val="single" w:sz="4" w:space="0" w:color="ADD6EA"/>
              <w:left w:val="nil"/>
              <w:bottom w:val="single" w:sz="4" w:space="0" w:color="ADD6EA"/>
              <w:right w:val="nil"/>
            </w:tcBorders>
            <w:shd w:val="clear" w:color="000000" w:fill="D6E7F0"/>
            <w:noWrap/>
            <w:vAlign w:val="bottom"/>
            <w:hideMark/>
          </w:tcPr>
          <w:p w14:paraId="5843C5BA"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284</w:t>
            </w:r>
          </w:p>
        </w:tc>
        <w:tc>
          <w:tcPr>
            <w:tcW w:w="680" w:type="dxa"/>
            <w:tcBorders>
              <w:top w:val="single" w:sz="4" w:space="0" w:color="ADD6EA"/>
              <w:left w:val="nil"/>
              <w:bottom w:val="single" w:sz="4" w:space="0" w:color="ADD6EA"/>
              <w:right w:val="nil"/>
            </w:tcBorders>
            <w:shd w:val="clear" w:color="000000" w:fill="D6E7F0"/>
            <w:noWrap/>
            <w:vAlign w:val="bottom"/>
            <w:hideMark/>
          </w:tcPr>
          <w:p w14:paraId="3B055AF8"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1,390</w:t>
            </w:r>
          </w:p>
        </w:tc>
        <w:tc>
          <w:tcPr>
            <w:tcW w:w="680" w:type="dxa"/>
            <w:tcBorders>
              <w:top w:val="single" w:sz="4" w:space="0" w:color="ADD6EA"/>
              <w:left w:val="nil"/>
              <w:bottom w:val="single" w:sz="4" w:space="0" w:color="ADD6EA"/>
              <w:right w:val="nil"/>
            </w:tcBorders>
            <w:shd w:val="clear" w:color="000000" w:fill="D6E7F0"/>
            <w:noWrap/>
            <w:vAlign w:val="bottom"/>
            <w:hideMark/>
          </w:tcPr>
          <w:p w14:paraId="577FB33C"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-236</w:t>
            </w:r>
          </w:p>
        </w:tc>
        <w:tc>
          <w:tcPr>
            <w:tcW w:w="680" w:type="dxa"/>
            <w:tcBorders>
              <w:top w:val="single" w:sz="4" w:space="0" w:color="ADD6EA"/>
              <w:left w:val="nil"/>
              <w:bottom w:val="single" w:sz="4" w:space="0" w:color="ADD6EA"/>
              <w:right w:val="nil"/>
            </w:tcBorders>
            <w:shd w:val="clear" w:color="000000" w:fill="D6E7F0"/>
            <w:noWrap/>
            <w:vAlign w:val="bottom"/>
            <w:hideMark/>
          </w:tcPr>
          <w:p w14:paraId="590BE827"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-54</w:t>
            </w:r>
          </w:p>
        </w:tc>
        <w:tc>
          <w:tcPr>
            <w:tcW w:w="680" w:type="dxa"/>
            <w:tcBorders>
              <w:top w:val="single" w:sz="4" w:space="0" w:color="ADD6EA"/>
              <w:left w:val="nil"/>
              <w:bottom w:val="single" w:sz="4" w:space="0" w:color="ADD6EA"/>
              <w:right w:val="nil"/>
            </w:tcBorders>
            <w:shd w:val="clear" w:color="000000" w:fill="D6E7F0"/>
            <w:noWrap/>
            <w:vAlign w:val="bottom"/>
            <w:hideMark/>
          </w:tcPr>
          <w:p w14:paraId="38D5F477"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-64</w:t>
            </w:r>
          </w:p>
        </w:tc>
        <w:tc>
          <w:tcPr>
            <w:tcW w:w="680" w:type="dxa"/>
            <w:tcBorders>
              <w:top w:val="single" w:sz="4" w:space="0" w:color="ADD6EA"/>
              <w:left w:val="nil"/>
              <w:bottom w:val="single" w:sz="4" w:space="0" w:color="ADD6EA"/>
              <w:right w:val="nil"/>
            </w:tcBorders>
            <w:shd w:val="clear" w:color="000000" w:fill="D6E7F0"/>
            <w:noWrap/>
            <w:vAlign w:val="bottom"/>
            <w:hideMark/>
          </w:tcPr>
          <w:p w14:paraId="031039F9"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-27</w:t>
            </w:r>
          </w:p>
        </w:tc>
        <w:tc>
          <w:tcPr>
            <w:tcW w:w="680" w:type="dxa"/>
            <w:tcBorders>
              <w:top w:val="single" w:sz="4" w:space="0" w:color="ADD6EA"/>
              <w:left w:val="nil"/>
              <w:bottom w:val="single" w:sz="4" w:space="0" w:color="ADD6EA"/>
              <w:right w:val="nil"/>
            </w:tcBorders>
            <w:shd w:val="clear" w:color="000000" w:fill="D6E7F0"/>
            <w:noWrap/>
            <w:vAlign w:val="bottom"/>
            <w:hideMark/>
          </w:tcPr>
          <w:p w14:paraId="208CB68A" w14:textId="77777777" w:rsidR="005B0FBA" w:rsidRPr="005B0FBA" w:rsidRDefault="005B0FBA"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B0FBA">
              <w:rPr>
                <w:rFonts w:ascii="Open Sans Semibold" w:eastAsia="Times New Roman" w:hAnsi="Open Sans Semibold" w:cs="Open Sans Semibold"/>
                <w:color w:val="000000"/>
                <w:sz w:val="16"/>
                <w:szCs w:val="16"/>
                <w:lang w:eastAsia="en-AU"/>
              </w:rPr>
              <w:t>1,674</w:t>
            </w:r>
          </w:p>
        </w:tc>
      </w:tr>
    </w:tbl>
    <w:p w14:paraId="01884CF9" w14:textId="77777777" w:rsidR="002373FE" w:rsidRPr="0036723E" w:rsidRDefault="002373FE" w:rsidP="002418B3">
      <w:pPr>
        <w:pStyle w:val="CGC2025TableNote"/>
        <w:keepNext/>
        <w:numPr>
          <w:ilvl w:val="0"/>
          <w:numId w:val="12"/>
        </w:numPr>
      </w:pPr>
      <w:r w:rsidRPr="0036723E">
        <w:t>For confidentiality reasons, the Commission does not publish data on its bauxite and onshore oil and gas assessments. This assessment is an aggregation of the bauxite, onshore oil and gas and other minerals assessments.</w:t>
      </w:r>
    </w:p>
    <w:p w14:paraId="64FD9B6F" w14:textId="6CE6B3A2" w:rsidR="002373FE" w:rsidRPr="002676B0" w:rsidRDefault="002373FE" w:rsidP="002373FE">
      <w:r>
        <w:t>I</w:t>
      </w:r>
      <w:r w:rsidRPr="002676B0">
        <w:t xml:space="preserve">ron ore </w:t>
      </w:r>
      <w:r w:rsidR="001F0253">
        <w:t>royalty revenue was</w:t>
      </w:r>
      <w:r w:rsidRPr="002676B0">
        <w:t xml:space="preserve"> 14% </w:t>
      </w:r>
      <w:r>
        <w:t xml:space="preserve">lower </w:t>
      </w:r>
      <w:r w:rsidRPr="002676B0">
        <w:t>in 2024–25</w:t>
      </w:r>
      <w:r>
        <w:t xml:space="preserve"> than in</w:t>
      </w:r>
      <w:r w:rsidRPr="002676B0">
        <w:t xml:space="preserve"> 2021–22. This </w:t>
      </w:r>
      <w:r>
        <w:t>large decline in</w:t>
      </w:r>
      <w:r w:rsidRPr="002676B0">
        <w:t xml:space="preserve"> Western Australia’s assessed iron ore </w:t>
      </w:r>
      <w:r>
        <w:t xml:space="preserve">revenue </w:t>
      </w:r>
      <w:r w:rsidRPr="002676B0">
        <w:t>capacity increase</w:t>
      </w:r>
      <w:r>
        <w:t>s</w:t>
      </w:r>
      <w:r w:rsidRPr="002676B0">
        <w:t xml:space="preserve"> its assessed GST needs</w:t>
      </w:r>
      <w:r>
        <w:t>, which results in a large reduction in the</w:t>
      </w:r>
      <w:r w:rsidRPr="002676B0">
        <w:t xml:space="preserve"> assessed GST needs of the other states.</w:t>
      </w:r>
    </w:p>
    <w:p w14:paraId="7040ED41" w14:textId="70880CED" w:rsidR="002373FE" w:rsidRDefault="002373FE" w:rsidP="002373FE">
      <w:r w:rsidRPr="00452AAE">
        <w:t>Coal royalt</w:t>
      </w:r>
      <w:r w:rsidR="00B53145">
        <w:t>y revenue was</w:t>
      </w:r>
      <w:r>
        <w:t xml:space="preserve"> 22%</w:t>
      </w:r>
      <w:r w:rsidRPr="00452AAE">
        <w:t xml:space="preserve"> lower in 2024–25 </w:t>
      </w:r>
      <w:r>
        <w:t>than in</w:t>
      </w:r>
      <w:r w:rsidRPr="00452AAE">
        <w:t xml:space="preserve"> 2021–22. This reduce</w:t>
      </w:r>
      <w:r>
        <w:t>s</w:t>
      </w:r>
      <w:r w:rsidRPr="00452AAE">
        <w:t xml:space="preserve"> the assessed revenue capacities of New South Wales and Queensland</w:t>
      </w:r>
      <w:r>
        <w:t xml:space="preserve">. </w:t>
      </w:r>
      <w:r w:rsidRPr="00452AAE">
        <w:t xml:space="preserve">The impact </w:t>
      </w:r>
      <w:r>
        <w:t>of the decline in coal royalt</w:t>
      </w:r>
      <w:r w:rsidR="00054709">
        <w:t>y revenue</w:t>
      </w:r>
      <w:r>
        <w:t xml:space="preserve"> is</w:t>
      </w:r>
      <w:r w:rsidRPr="00452AAE">
        <w:t xml:space="preserve"> larger for Queensland due to </w:t>
      </w:r>
      <w:r>
        <w:t>it having a larger</w:t>
      </w:r>
      <w:r w:rsidRPr="00452AAE">
        <w:t xml:space="preserve"> share of the production value of coal. </w:t>
      </w:r>
    </w:p>
    <w:p w14:paraId="77EECAB6" w14:textId="5A2A8BBA" w:rsidR="002373FE" w:rsidRDefault="002373FE" w:rsidP="002373FE">
      <w:r w:rsidRPr="00425317">
        <w:t>Overall,</w:t>
      </w:r>
      <w:r w:rsidRPr="00425317" w:rsidDel="00C2277F">
        <w:t xml:space="preserve"> </w:t>
      </w:r>
      <w:r w:rsidRPr="00425317">
        <w:t>changes in states’ mining royalt</w:t>
      </w:r>
      <w:r w:rsidR="00054709">
        <w:t>y revenue</w:t>
      </w:r>
      <w:r w:rsidR="004C3828">
        <w:t xml:space="preserve"> </w:t>
      </w:r>
      <w:r w:rsidRPr="00425317">
        <w:t>increase the assessed GST needs of Queensland and Western Australia and decrease those of the other states.</w:t>
      </w:r>
      <w:r w:rsidR="009C3198">
        <w:br/>
      </w:r>
    </w:p>
    <w:tbl>
      <w:tblPr>
        <w:tblStyle w:val="TableGrid"/>
        <w:tblW w:w="924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8FF"/>
        <w:tblLook w:val="04A0" w:firstRow="1" w:lastRow="0" w:firstColumn="1" w:lastColumn="0" w:noHBand="0" w:noVBand="1"/>
      </w:tblPr>
      <w:tblGrid>
        <w:gridCol w:w="9244"/>
      </w:tblGrid>
      <w:tr w:rsidR="002373FE" w14:paraId="6952ED0C" w14:textId="77777777" w:rsidTr="00E51790">
        <w:tc>
          <w:tcPr>
            <w:tcW w:w="9244" w:type="dxa"/>
            <w:shd w:val="clear" w:color="auto" w:fill="E5F8FF"/>
          </w:tcPr>
          <w:p w14:paraId="1EE3ADF1" w14:textId="24CD25D2" w:rsidR="002373FE" w:rsidRPr="001A2216" w:rsidRDefault="002373FE" w:rsidP="00E51790">
            <w:pPr>
              <w:pStyle w:val="Heading2"/>
              <w:ind w:left="1450" w:hanging="1418"/>
            </w:pPr>
            <w:r w:rsidRPr="001A2216">
              <w:t>Box 2-1</w:t>
            </w:r>
            <w:r w:rsidRPr="001A2216">
              <w:tab/>
            </w:r>
            <w:r>
              <w:t>The effect of</w:t>
            </w:r>
            <w:r w:rsidRPr="001A2216">
              <w:t xml:space="preserve"> royalt</w:t>
            </w:r>
            <w:r w:rsidR="00054709">
              <w:t>y revenue</w:t>
            </w:r>
            <w:r w:rsidRPr="001A2216">
              <w:t xml:space="preserve"> </w:t>
            </w:r>
            <w:r>
              <w:t>on</w:t>
            </w:r>
            <w:r w:rsidRPr="001A2216">
              <w:t xml:space="preserve"> GST distribution</w:t>
            </w:r>
          </w:p>
          <w:p w14:paraId="1F94B9EA" w14:textId="4920D9AE" w:rsidR="002373FE" w:rsidRPr="001A2216" w:rsidRDefault="002373FE" w:rsidP="00E51790">
            <w:pPr>
              <w:rPr>
                <w:rFonts w:eastAsia="Aptos" w:cs="Arial"/>
              </w:rPr>
            </w:pPr>
            <w:r w:rsidRPr="36BBFA5D">
              <w:rPr>
                <w:rFonts w:eastAsia="Aptos" w:cs="Arial"/>
              </w:rPr>
              <w:t>Mining royalt</w:t>
            </w:r>
            <w:r w:rsidR="00054709">
              <w:rPr>
                <w:rFonts w:eastAsia="Aptos" w:cs="Arial"/>
              </w:rPr>
              <w:t>y revenue</w:t>
            </w:r>
            <w:r w:rsidR="00B47E86">
              <w:rPr>
                <w:rFonts w:eastAsia="Aptos" w:cs="Arial"/>
              </w:rPr>
              <w:t xml:space="preserve"> </w:t>
            </w:r>
            <w:r w:rsidRPr="36BBFA5D">
              <w:rPr>
                <w:rFonts w:eastAsia="Aptos" w:cs="Arial"/>
              </w:rPr>
              <w:t>can be highly volatile, driven by both commodity prices and changes in production. Changes to production occur over years but prices and subsequently royalt</w:t>
            </w:r>
            <w:r w:rsidR="00C760BF">
              <w:rPr>
                <w:rFonts w:eastAsia="Aptos" w:cs="Arial"/>
              </w:rPr>
              <w:t>y revenue</w:t>
            </w:r>
            <w:r w:rsidRPr="36BBFA5D">
              <w:rPr>
                <w:rFonts w:eastAsia="Aptos" w:cs="Arial"/>
              </w:rPr>
              <w:t xml:space="preserve"> (levied as a percentage of the transaction value) can change quickly.</w:t>
            </w:r>
            <w:r w:rsidR="0036546A" w:rsidRPr="0036546A">
              <w:rPr>
                <w:rFonts w:eastAsia="Aptos" w:cs="Arial"/>
              </w:rPr>
              <w:t xml:space="preserve"> </w:t>
            </w:r>
            <w:r w:rsidR="0036546A" w:rsidRPr="00762ED1">
              <w:rPr>
                <w:rFonts w:eastAsia="Aptos" w:cs="Arial"/>
              </w:rPr>
              <w:t>For many years, changes in mining royalt</w:t>
            </w:r>
            <w:r w:rsidR="00C760BF">
              <w:rPr>
                <w:rFonts w:eastAsia="Aptos" w:cs="Arial"/>
              </w:rPr>
              <w:t>y revenue</w:t>
            </w:r>
            <w:r w:rsidR="0036546A" w:rsidRPr="00762ED1">
              <w:rPr>
                <w:rFonts w:eastAsia="Aptos" w:cs="Arial"/>
              </w:rPr>
              <w:t xml:space="preserve"> ha</w:t>
            </w:r>
            <w:r w:rsidR="001C29E4" w:rsidRPr="00762ED1">
              <w:rPr>
                <w:rFonts w:eastAsia="Aptos" w:cs="Arial"/>
              </w:rPr>
              <w:t>ve</w:t>
            </w:r>
            <w:r w:rsidR="0036546A" w:rsidRPr="00762ED1">
              <w:rPr>
                <w:rFonts w:eastAsia="Aptos" w:cs="Arial"/>
              </w:rPr>
              <w:t xml:space="preserve"> been the single largest driver of changes in state GST distributions.</w:t>
            </w:r>
          </w:p>
          <w:p w14:paraId="27AD04CD" w14:textId="56CFF342" w:rsidR="002373FE" w:rsidRPr="004642A0" w:rsidRDefault="002373FE" w:rsidP="00E51790">
            <w:pPr>
              <w:rPr>
                <w:rFonts w:eastAsia="Aptos" w:cs="Arial"/>
                <w:b/>
                <w:bCs/>
              </w:rPr>
            </w:pPr>
            <w:r>
              <w:rPr>
                <w:rFonts w:eastAsia="Aptos" w:cs="Arial"/>
                <w:b/>
                <w:bCs/>
              </w:rPr>
              <w:t>Only 3 states collect significant royalt</w:t>
            </w:r>
            <w:r w:rsidR="00C760BF">
              <w:rPr>
                <w:rFonts w:eastAsia="Aptos" w:cs="Arial"/>
                <w:b/>
                <w:bCs/>
              </w:rPr>
              <w:t>y revenue</w:t>
            </w:r>
            <w:r>
              <w:rPr>
                <w:rFonts w:eastAsia="Aptos" w:cs="Arial"/>
                <w:b/>
                <w:bCs/>
              </w:rPr>
              <w:t xml:space="preserve"> from iron ore and coal </w:t>
            </w:r>
          </w:p>
          <w:p w14:paraId="339DE831" w14:textId="431D3508" w:rsidR="002373FE" w:rsidRPr="00F822FC" w:rsidRDefault="002373FE" w:rsidP="00E51790">
            <w:pPr>
              <w:rPr>
                <w:rFonts w:eastAsia="Aptos" w:cs="Arial"/>
              </w:rPr>
            </w:pPr>
            <w:r w:rsidRPr="001A2216">
              <w:rPr>
                <w:rFonts w:eastAsia="Aptos" w:cs="Arial"/>
              </w:rPr>
              <w:t>Mineral endowments are unevenly distributed in Australia, with iron ore concentrated in Western</w:t>
            </w:r>
            <w:r>
              <w:rPr>
                <w:rFonts w:eastAsia="Aptos" w:cs="Arial"/>
              </w:rPr>
              <w:t> </w:t>
            </w:r>
            <w:r w:rsidRPr="001A2216">
              <w:rPr>
                <w:rFonts w:eastAsia="Aptos" w:cs="Arial"/>
              </w:rPr>
              <w:t xml:space="preserve">Australia and coal in Queensland and New South Wales. </w:t>
            </w:r>
            <w:r>
              <w:rPr>
                <w:rFonts w:eastAsia="Aptos" w:cs="Arial"/>
              </w:rPr>
              <w:t>O</w:t>
            </w:r>
            <w:r w:rsidRPr="001A2216">
              <w:rPr>
                <w:rFonts w:eastAsia="Aptos" w:cs="Arial"/>
              </w:rPr>
              <w:t>ver the past decade</w:t>
            </w:r>
            <w:r>
              <w:rPr>
                <w:rFonts w:eastAsia="Aptos" w:cs="Arial"/>
              </w:rPr>
              <w:t>,</w:t>
            </w:r>
            <w:r w:rsidRPr="001A2216">
              <w:rPr>
                <w:rFonts w:eastAsia="Aptos" w:cs="Arial"/>
              </w:rPr>
              <w:t xml:space="preserve"> </w:t>
            </w:r>
            <w:r>
              <w:rPr>
                <w:rFonts w:eastAsia="Aptos" w:cs="Arial"/>
              </w:rPr>
              <w:t>i</w:t>
            </w:r>
            <w:r w:rsidRPr="001A2216">
              <w:rPr>
                <w:rFonts w:eastAsia="Aptos" w:cs="Arial"/>
              </w:rPr>
              <w:t>ron ore royalt</w:t>
            </w:r>
            <w:r w:rsidR="00C760BF">
              <w:rPr>
                <w:rFonts w:eastAsia="Aptos" w:cs="Arial"/>
              </w:rPr>
              <w:t>y revenue</w:t>
            </w:r>
            <w:r w:rsidR="004523D7">
              <w:rPr>
                <w:rFonts w:eastAsia="Aptos" w:cs="Arial"/>
              </w:rPr>
              <w:t xml:space="preserve"> </w:t>
            </w:r>
            <w:r w:rsidRPr="001A2216">
              <w:rPr>
                <w:rFonts w:eastAsia="Aptos" w:cs="Arial"/>
              </w:rPr>
              <w:t xml:space="preserve">increased </w:t>
            </w:r>
            <w:r>
              <w:rPr>
                <w:rFonts w:eastAsia="Aptos" w:cs="Arial"/>
              </w:rPr>
              <w:t xml:space="preserve">due to </w:t>
            </w:r>
            <w:r w:rsidRPr="001A2216">
              <w:rPr>
                <w:rFonts w:eastAsia="Aptos" w:cs="Arial"/>
              </w:rPr>
              <w:t>high prices</w:t>
            </w:r>
            <w:r>
              <w:rPr>
                <w:rFonts w:eastAsia="Aptos" w:cs="Arial"/>
              </w:rPr>
              <w:t xml:space="preserve"> and growth in</w:t>
            </w:r>
            <w:r w:rsidRPr="001A2216">
              <w:rPr>
                <w:rFonts w:eastAsia="Aptos" w:cs="Arial"/>
              </w:rPr>
              <w:t xml:space="preserve"> production</w:t>
            </w:r>
            <w:r>
              <w:rPr>
                <w:rFonts w:eastAsia="Aptos" w:cs="Arial"/>
              </w:rPr>
              <w:t>.</w:t>
            </w:r>
            <w:r w:rsidRPr="001A2216">
              <w:rPr>
                <w:rFonts w:eastAsia="Aptos" w:cs="Arial"/>
              </w:rPr>
              <w:t xml:space="preserve"> In contrast, the increase in coal royalt</w:t>
            </w:r>
            <w:r w:rsidR="00C760BF">
              <w:rPr>
                <w:rFonts w:eastAsia="Aptos" w:cs="Arial"/>
              </w:rPr>
              <w:t>y revenue</w:t>
            </w:r>
            <w:r w:rsidR="00C76D06">
              <w:rPr>
                <w:rFonts w:eastAsia="Aptos" w:cs="Arial"/>
              </w:rPr>
              <w:t xml:space="preserve"> </w:t>
            </w:r>
            <w:r w:rsidRPr="001A2216">
              <w:rPr>
                <w:rFonts w:eastAsia="Aptos" w:cs="Arial"/>
              </w:rPr>
              <w:t xml:space="preserve">from 2020–21 was driven by temporary </w:t>
            </w:r>
            <w:r>
              <w:rPr>
                <w:rFonts w:eastAsia="Aptos" w:cs="Arial"/>
              </w:rPr>
              <w:t>factors</w:t>
            </w:r>
            <w:r w:rsidRPr="001A2216">
              <w:rPr>
                <w:rFonts w:eastAsia="Aptos" w:cs="Arial"/>
              </w:rPr>
              <w:t xml:space="preserve"> (see </w:t>
            </w:r>
            <w:r w:rsidRPr="00F822FC">
              <w:rPr>
                <w:rFonts w:eastAsia="Aptos" w:cs="Arial"/>
              </w:rPr>
              <w:t>Figure 2-1).</w:t>
            </w:r>
          </w:p>
          <w:p w14:paraId="4BE170B9" w14:textId="77777777" w:rsidR="002373FE" w:rsidRDefault="002373FE" w:rsidP="00855ED3">
            <w:pPr>
              <w:pStyle w:val="CGC2025Caption"/>
              <w:keepNext/>
              <w:rPr>
                <w:rFonts w:eastAsia="Aptos" w:cs="Arial"/>
              </w:rPr>
            </w:pPr>
            <w:r w:rsidRPr="001A2216">
              <w:t>Figure 2-1</w:t>
            </w:r>
            <w:r w:rsidRPr="001A2216">
              <w:tab/>
              <w:t xml:space="preserve">Iron ore and </w:t>
            </w:r>
            <w:r>
              <w:t>c</w:t>
            </w:r>
            <w:r w:rsidRPr="001A2216">
              <w:t>oal royalty revenue and production, 2015–16 to 2024–25</w:t>
            </w:r>
          </w:p>
          <w:p w14:paraId="134BE9A7" w14:textId="0E4A58FB" w:rsidR="002373FE" w:rsidRDefault="00855ED3" w:rsidP="002A69A4">
            <w:pPr>
              <w:pStyle w:val="CGCTablenote"/>
              <w:spacing w:before="0"/>
            </w:pPr>
            <w:r w:rsidRPr="00D95CB6">
              <w:rPr>
                <w:noProof/>
              </w:rPr>
              <w:drawing>
                <wp:inline distT="0" distB="0" distL="0" distR="0" wp14:anchorId="533DC037" wp14:editId="0303D0EE">
                  <wp:extent cx="5634355" cy="1777365"/>
                  <wp:effectExtent l="0" t="0" r="4445" b="0"/>
                  <wp:docPr id="1352831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4355" cy="1777365"/>
                          </a:xfrm>
                          <a:prstGeom prst="rect">
                            <a:avLst/>
                          </a:prstGeom>
                          <a:noFill/>
                          <a:ln>
                            <a:noFill/>
                          </a:ln>
                        </pic:spPr>
                      </pic:pic>
                    </a:graphicData>
                  </a:graphic>
                </wp:inline>
              </w:drawing>
            </w:r>
            <w:r w:rsidR="00B445B8">
              <w:br/>
            </w:r>
            <w:r w:rsidR="002A69A4">
              <w:br/>
            </w:r>
            <w:r w:rsidR="002373FE" w:rsidRPr="001A2216">
              <w:t>Source: State-provided data and Department of Industry, Science and Resources.</w:t>
            </w:r>
          </w:p>
          <w:p w14:paraId="1D157CAE" w14:textId="04CBAAD7" w:rsidR="002373FE" w:rsidRPr="001A2216" w:rsidRDefault="002373FE" w:rsidP="00E51790">
            <w:pPr>
              <w:rPr>
                <w:rFonts w:eastAsia="Aptos" w:cs="Arial"/>
              </w:rPr>
            </w:pPr>
            <w:r w:rsidRPr="00F822FC">
              <w:rPr>
                <w:rFonts w:eastAsia="Aptos" w:cs="Arial"/>
              </w:rPr>
              <w:lastRenderedPageBreak/>
              <w:t>The unequal distribution of minerals across states</w:t>
            </w:r>
            <w:r w:rsidR="00BD61C1">
              <w:rPr>
                <w:rFonts w:eastAsia="Aptos" w:cs="Arial"/>
              </w:rPr>
              <w:t>,</w:t>
            </w:r>
            <w:r w:rsidRPr="00F822FC">
              <w:rPr>
                <w:rFonts w:eastAsia="Aptos" w:cs="Arial"/>
              </w:rPr>
              <w:t xml:space="preserve"> combined with large </w:t>
            </w:r>
            <w:r>
              <w:rPr>
                <w:rFonts w:eastAsia="Aptos" w:cs="Arial"/>
              </w:rPr>
              <w:t xml:space="preserve">changes </w:t>
            </w:r>
            <w:r w:rsidRPr="00F822FC">
              <w:rPr>
                <w:rFonts w:eastAsia="Aptos" w:cs="Arial"/>
              </w:rPr>
              <w:t>in royalty revenue, can result in large GST effects when commodity prices change.</w:t>
            </w:r>
          </w:p>
          <w:p w14:paraId="5C5CE7F7" w14:textId="354E39FC" w:rsidR="002373FE" w:rsidRPr="001A2216" w:rsidRDefault="002373FE" w:rsidP="00E51790">
            <w:pPr>
              <w:rPr>
                <w:rFonts w:eastAsia="Aptos" w:cs="Arial"/>
              </w:rPr>
            </w:pPr>
            <w:r w:rsidRPr="001A2216">
              <w:rPr>
                <w:rFonts w:eastAsia="Aptos" w:cs="Arial"/>
              </w:rPr>
              <w:t>From 2015–16 to 2020–21</w:t>
            </w:r>
            <w:r>
              <w:rPr>
                <w:rFonts w:eastAsia="Aptos" w:cs="Arial"/>
              </w:rPr>
              <w:t>, t</w:t>
            </w:r>
            <w:r w:rsidRPr="001A2216">
              <w:rPr>
                <w:rFonts w:eastAsia="Aptos" w:cs="Arial"/>
              </w:rPr>
              <w:t xml:space="preserve">he </w:t>
            </w:r>
            <w:r>
              <w:rPr>
                <w:rFonts w:eastAsia="Aptos" w:cs="Arial"/>
              </w:rPr>
              <w:t>growth</w:t>
            </w:r>
            <w:r w:rsidRPr="001A2216">
              <w:rPr>
                <w:rFonts w:eastAsia="Aptos" w:cs="Arial"/>
              </w:rPr>
              <w:t xml:space="preserve"> in iron ore production and prices significantly increased Western Australia’s fiscal capacity relative to other states</w:t>
            </w:r>
            <w:r>
              <w:rPr>
                <w:rFonts w:eastAsia="Aptos" w:cs="Arial"/>
              </w:rPr>
              <w:t xml:space="preserve"> as</w:t>
            </w:r>
            <w:r w:rsidRPr="001A2216" w:rsidDel="00791ACF">
              <w:rPr>
                <w:rFonts w:eastAsia="Aptos" w:cs="Arial"/>
              </w:rPr>
              <w:t xml:space="preserve"> </w:t>
            </w:r>
            <w:r w:rsidRPr="001A2216">
              <w:rPr>
                <w:rFonts w:eastAsia="Aptos" w:cs="Arial"/>
              </w:rPr>
              <w:t>iron ore royalty revenues increased from $</w:t>
            </w:r>
            <w:r>
              <w:rPr>
                <w:rFonts w:eastAsia="Aptos" w:cs="Arial"/>
              </w:rPr>
              <w:t>3</w:t>
            </w:r>
            <w:r w:rsidRPr="001A2216">
              <w:rPr>
                <w:rFonts w:eastAsia="Aptos" w:cs="Arial"/>
              </w:rPr>
              <w:t>.</w:t>
            </w:r>
            <w:r>
              <w:rPr>
                <w:rFonts w:eastAsia="Aptos" w:cs="Arial"/>
              </w:rPr>
              <w:t>6</w:t>
            </w:r>
            <w:r w:rsidRPr="001A2216">
              <w:rPr>
                <w:rFonts w:eastAsia="Aptos" w:cs="Arial"/>
              </w:rPr>
              <w:t> billion to $11.3 billion. From 2020</w:t>
            </w:r>
            <w:r w:rsidRPr="001A2216">
              <w:rPr>
                <w:rFonts w:eastAsia="Aptos" w:cs="Times New Roman"/>
              </w:rPr>
              <w:t xml:space="preserve">–21, </w:t>
            </w:r>
            <w:r w:rsidRPr="001A2216">
              <w:rPr>
                <w:rFonts w:eastAsia="Aptos" w:cs="Arial"/>
              </w:rPr>
              <w:t xml:space="preserve">lower iron ore prices more than offset rising production </w:t>
            </w:r>
            <w:r>
              <w:rPr>
                <w:rFonts w:eastAsia="Aptos" w:cs="Arial"/>
              </w:rPr>
              <w:t>and</w:t>
            </w:r>
            <w:r w:rsidRPr="001A2216">
              <w:rPr>
                <w:rFonts w:eastAsia="Aptos" w:cs="Arial"/>
              </w:rPr>
              <w:t xml:space="preserve"> </w:t>
            </w:r>
            <w:r>
              <w:rPr>
                <w:rFonts w:eastAsia="Aptos" w:cs="Arial"/>
              </w:rPr>
              <w:t>total</w:t>
            </w:r>
            <w:r w:rsidRPr="001A2216">
              <w:rPr>
                <w:rFonts w:eastAsia="Aptos" w:cs="Arial"/>
              </w:rPr>
              <w:t xml:space="preserve"> royalt</w:t>
            </w:r>
            <w:r w:rsidR="009C5931">
              <w:rPr>
                <w:rFonts w:eastAsia="Aptos" w:cs="Arial"/>
              </w:rPr>
              <w:t>y revenue</w:t>
            </w:r>
            <w:r w:rsidRPr="001A2216">
              <w:rPr>
                <w:rFonts w:eastAsia="Aptos" w:cs="Arial"/>
              </w:rPr>
              <w:t xml:space="preserve"> declin</w:t>
            </w:r>
            <w:r>
              <w:rPr>
                <w:rFonts w:eastAsia="Aptos" w:cs="Arial"/>
              </w:rPr>
              <w:t>ed</w:t>
            </w:r>
            <w:r w:rsidRPr="001A2216">
              <w:rPr>
                <w:rFonts w:eastAsia="Aptos" w:cs="Arial"/>
              </w:rPr>
              <w:t xml:space="preserve"> to $</w:t>
            </w:r>
            <w:r>
              <w:rPr>
                <w:rFonts w:eastAsia="Aptos" w:cs="Arial"/>
              </w:rPr>
              <w:t>8.5 </w:t>
            </w:r>
            <w:r w:rsidRPr="001A2216">
              <w:rPr>
                <w:rFonts w:eastAsia="Aptos" w:cs="Arial"/>
              </w:rPr>
              <w:t>billion in 2024–</w:t>
            </w:r>
            <w:r w:rsidRPr="001A2216">
              <w:rPr>
                <w:rFonts w:ascii="Times New Roman" w:eastAsia="Aptos" w:hAnsi="Times New Roman" w:cs="Times New Roman"/>
              </w:rPr>
              <w:t>‍</w:t>
            </w:r>
            <w:r w:rsidRPr="001A2216">
              <w:rPr>
                <w:rFonts w:eastAsia="Aptos" w:cs="Arial"/>
              </w:rPr>
              <w:t>25</w:t>
            </w:r>
            <w:r>
              <w:rPr>
                <w:rFonts w:eastAsia="Aptos" w:cs="Arial"/>
              </w:rPr>
              <w:t>.</w:t>
            </w:r>
            <w:r w:rsidRPr="001A2216">
              <w:rPr>
                <w:rFonts w:eastAsia="Aptos" w:cs="Arial"/>
              </w:rPr>
              <w:t xml:space="preserve"> </w:t>
            </w:r>
            <w:r>
              <w:rPr>
                <w:rFonts w:eastAsia="Aptos" w:cs="Arial"/>
              </w:rPr>
              <w:t xml:space="preserve">This has </w:t>
            </w:r>
            <w:r w:rsidRPr="001A2216">
              <w:rPr>
                <w:rFonts w:eastAsia="Aptos" w:cs="Arial"/>
              </w:rPr>
              <w:t>reduc</w:t>
            </w:r>
            <w:r>
              <w:rPr>
                <w:rFonts w:eastAsia="Aptos" w:cs="Arial"/>
              </w:rPr>
              <w:t>ed</w:t>
            </w:r>
            <w:r w:rsidRPr="001A2216">
              <w:rPr>
                <w:rFonts w:eastAsia="Aptos" w:cs="Arial"/>
              </w:rPr>
              <w:t xml:space="preserve"> the fiscal capacity of Western Australia relative to other states.</w:t>
            </w:r>
          </w:p>
          <w:p w14:paraId="733BD6E1" w14:textId="07E25ADC" w:rsidR="002373FE" w:rsidRPr="001A2216" w:rsidRDefault="002373FE" w:rsidP="00E51790">
            <w:pPr>
              <w:rPr>
                <w:rFonts w:eastAsia="Aptos" w:cs="Arial"/>
              </w:rPr>
            </w:pPr>
            <w:r w:rsidRPr="001A2216">
              <w:rPr>
                <w:rFonts w:eastAsia="Aptos" w:cs="Arial"/>
              </w:rPr>
              <w:t>Mining royalt</w:t>
            </w:r>
            <w:r w:rsidR="00757895">
              <w:rPr>
                <w:rFonts w:eastAsia="Aptos" w:cs="Arial"/>
              </w:rPr>
              <w:t>y revenue</w:t>
            </w:r>
            <w:r w:rsidRPr="001A2216">
              <w:rPr>
                <w:rFonts w:eastAsia="Aptos" w:cs="Arial"/>
              </w:rPr>
              <w:t>s also strengthened Queensland’s fiscal capacity in recent years. Coal royalty revenue spiked in 2022–23, driven by significantly higher international coal prices and an increase in royalty rates. However, coal prices quickly fell as international market conditions normalised, reducing the relative fiscal capacity of Queensland</w:t>
            </w:r>
            <w:r>
              <w:rPr>
                <w:rFonts w:eastAsia="Aptos" w:cs="Arial"/>
              </w:rPr>
              <w:t xml:space="preserve"> in this update</w:t>
            </w:r>
            <w:r w:rsidRPr="001A2216">
              <w:rPr>
                <w:rFonts w:eastAsia="Aptos" w:cs="Arial"/>
              </w:rPr>
              <w:t>.</w:t>
            </w:r>
          </w:p>
          <w:p w14:paraId="59AF6202" w14:textId="77777777" w:rsidR="002373FE" w:rsidRPr="001A2216" w:rsidRDefault="002373FE" w:rsidP="00E51790">
            <w:pPr>
              <w:keepNext/>
              <w:rPr>
                <w:rFonts w:eastAsia="Aptos" w:cs="Arial"/>
                <w:b/>
                <w:bCs/>
              </w:rPr>
            </w:pPr>
            <w:r w:rsidRPr="001A2216">
              <w:rPr>
                <w:rFonts w:eastAsia="Aptos" w:cs="Arial"/>
                <w:b/>
                <w:bCs/>
              </w:rPr>
              <w:t xml:space="preserve">A separate assessment of </w:t>
            </w:r>
            <w:r>
              <w:rPr>
                <w:rFonts w:eastAsia="Aptos" w:cs="Arial"/>
                <w:b/>
                <w:bCs/>
              </w:rPr>
              <w:t>n</w:t>
            </w:r>
            <w:r w:rsidRPr="001A2216">
              <w:rPr>
                <w:rFonts w:eastAsia="Aptos" w:cs="Arial"/>
                <w:b/>
                <w:bCs/>
              </w:rPr>
              <w:t>ickel is not material</w:t>
            </w:r>
          </w:p>
          <w:p w14:paraId="01E8ABBC" w14:textId="77777777" w:rsidR="002373FE" w:rsidRDefault="002373FE" w:rsidP="00E51790">
            <w:pPr>
              <w:rPr>
                <w:rFonts w:eastAsia="Aptos" w:cs="Arial"/>
              </w:rPr>
            </w:pPr>
            <w:r w:rsidRPr="001A2216">
              <w:rPr>
                <w:rFonts w:eastAsia="Aptos" w:cs="Arial"/>
              </w:rPr>
              <w:t xml:space="preserve">A significant increase in global nickel production, primarily in Indonesia, resulted in </w:t>
            </w:r>
            <w:r>
              <w:rPr>
                <w:rFonts w:eastAsia="Aptos" w:cs="Arial"/>
              </w:rPr>
              <w:t xml:space="preserve">large and </w:t>
            </w:r>
            <w:r w:rsidRPr="001A2216">
              <w:rPr>
                <w:rFonts w:eastAsia="Aptos" w:cs="Arial"/>
              </w:rPr>
              <w:t>sustained falls in global nickel prices. This led to a scaling back of production in Western</w:t>
            </w:r>
            <w:r>
              <w:rPr>
                <w:rFonts w:eastAsia="Aptos" w:cs="Arial"/>
              </w:rPr>
              <w:t> </w:t>
            </w:r>
            <w:r w:rsidRPr="001A2216">
              <w:rPr>
                <w:rFonts w:eastAsia="Aptos" w:cs="Arial"/>
              </w:rPr>
              <w:t>Australia and a 64% fall in nickel royalties between 202</w:t>
            </w:r>
            <w:r>
              <w:rPr>
                <w:rFonts w:eastAsia="Aptos" w:cs="Arial"/>
              </w:rPr>
              <w:t>1</w:t>
            </w:r>
            <w:r w:rsidRPr="001A2216">
              <w:rPr>
                <w:rFonts w:eastAsia="Aptos" w:cs="Arial"/>
              </w:rPr>
              <w:t>–2</w:t>
            </w:r>
            <w:r>
              <w:rPr>
                <w:rFonts w:eastAsia="Aptos" w:cs="Arial"/>
              </w:rPr>
              <w:t>2</w:t>
            </w:r>
            <w:r w:rsidRPr="001A2216">
              <w:rPr>
                <w:rFonts w:eastAsia="Aptos" w:cs="Arial"/>
              </w:rPr>
              <w:t xml:space="preserve"> </w:t>
            </w:r>
            <w:r>
              <w:rPr>
                <w:rFonts w:eastAsia="Aptos" w:cs="Arial"/>
              </w:rPr>
              <w:t>and</w:t>
            </w:r>
            <w:r w:rsidRPr="001A2216">
              <w:rPr>
                <w:rFonts w:eastAsia="Aptos" w:cs="Arial"/>
              </w:rPr>
              <w:t xml:space="preserve"> 2024–</w:t>
            </w:r>
            <w:r>
              <w:rPr>
                <w:rFonts w:eastAsia="Aptos" w:cs="Arial"/>
              </w:rPr>
              <w:t>‍</w:t>
            </w:r>
            <w:r w:rsidRPr="001A2216">
              <w:rPr>
                <w:rFonts w:eastAsia="Aptos" w:cs="Arial"/>
              </w:rPr>
              <w:t xml:space="preserve">25 to $43 million. As a result, it </w:t>
            </w:r>
            <w:r>
              <w:rPr>
                <w:rFonts w:eastAsia="Aptos" w:cs="Arial"/>
              </w:rPr>
              <w:t>is</w:t>
            </w:r>
            <w:r w:rsidRPr="001A2216">
              <w:rPr>
                <w:rFonts w:eastAsia="Aptos" w:cs="Arial"/>
              </w:rPr>
              <w:t xml:space="preserve"> no longer material to separately</w:t>
            </w:r>
            <w:r>
              <w:rPr>
                <w:rFonts w:eastAsia="Aptos" w:cs="Arial"/>
              </w:rPr>
              <w:t xml:space="preserve"> assess </w:t>
            </w:r>
            <w:r w:rsidRPr="001A2216">
              <w:rPr>
                <w:rFonts w:eastAsia="Aptos" w:cs="Arial"/>
              </w:rPr>
              <w:t xml:space="preserve">nickel. Nickel royalties </w:t>
            </w:r>
            <w:r>
              <w:rPr>
                <w:rFonts w:eastAsia="Aptos" w:cs="Arial"/>
              </w:rPr>
              <w:t>have been</w:t>
            </w:r>
            <w:r w:rsidRPr="001A2216">
              <w:rPr>
                <w:rFonts w:eastAsia="Aptos" w:cs="Arial"/>
              </w:rPr>
              <w:t xml:space="preserve"> combined </w:t>
            </w:r>
            <w:r>
              <w:rPr>
                <w:rFonts w:eastAsia="Aptos" w:cs="Arial"/>
              </w:rPr>
              <w:t>and assessed</w:t>
            </w:r>
            <w:r w:rsidRPr="001A2216">
              <w:rPr>
                <w:rFonts w:eastAsia="Aptos" w:cs="Arial"/>
              </w:rPr>
              <w:t xml:space="preserve"> with other mi</w:t>
            </w:r>
            <w:r>
              <w:rPr>
                <w:rFonts w:eastAsia="Aptos" w:cs="Arial"/>
              </w:rPr>
              <w:t>ning</w:t>
            </w:r>
            <w:r w:rsidRPr="001A2216">
              <w:rPr>
                <w:rFonts w:eastAsia="Aptos" w:cs="Arial"/>
              </w:rPr>
              <w:t xml:space="preserve"> royalties in </w:t>
            </w:r>
            <w:r>
              <w:rPr>
                <w:rFonts w:eastAsia="Aptos" w:cs="Arial"/>
              </w:rPr>
              <w:t>this update.</w:t>
            </w:r>
          </w:p>
          <w:p w14:paraId="384FD2B3" w14:textId="77777777" w:rsidR="002373FE" w:rsidRPr="000E2EB2" w:rsidRDefault="002373FE" w:rsidP="00E51790">
            <w:pPr>
              <w:rPr>
                <w:highlight w:val="yellow"/>
              </w:rPr>
            </w:pPr>
          </w:p>
        </w:tc>
      </w:tr>
    </w:tbl>
    <w:p w14:paraId="2D5CE543" w14:textId="77777777" w:rsidR="002373FE" w:rsidRDefault="002373FE" w:rsidP="002373FE">
      <w:pPr>
        <w:pStyle w:val="Heading4"/>
      </w:pPr>
      <w:r>
        <w:lastRenderedPageBreak/>
        <w:t>COVID-19</w:t>
      </w:r>
    </w:p>
    <w:p w14:paraId="5FD41780" w14:textId="77777777" w:rsidR="002373FE" w:rsidRDefault="002373FE" w:rsidP="002373FE">
      <w:r>
        <w:t>The large COVID-19-related health and business support expenses incurred by some states in 2021–22 are no longer in the assessment period. This change significantly reduces the assessed GST needs of New South Wales and Victoria.</w:t>
      </w:r>
    </w:p>
    <w:p w14:paraId="17675DCC" w14:textId="77777777" w:rsidR="005133CB" w:rsidRPr="00F152E4" w:rsidRDefault="005133CB" w:rsidP="005133CB">
      <w:pPr>
        <w:rPr>
          <w:rFonts w:ascii="Times New Roman" w:hAnsi="Times New Roman" w:cs="Times New Roman"/>
        </w:rPr>
      </w:pPr>
    </w:p>
    <w:tbl>
      <w:tblPr>
        <w:tblStyle w:val="TableGrid"/>
        <w:tblW w:w="9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8FF"/>
        <w:tblLayout w:type="fixed"/>
        <w:tblLook w:val="04A0" w:firstRow="1" w:lastRow="0" w:firstColumn="1" w:lastColumn="0" w:noHBand="0" w:noVBand="1"/>
      </w:tblPr>
      <w:tblGrid>
        <w:gridCol w:w="9150"/>
      </w:tblGrid>
      <w:tr w:rsidR="005133CB" w14:paraId="44260414" w14:textId="77777777" w:rsidTr="00E51790">
        <w:tc>
          <w:tcPr>
            <w:tcW w:w="9150" w:type="dxa"/>
            <w:shd w:val="clear" w:color="auto" w:fill="E5F8FF"/>
          </w:tcPr>
          <w:p w14:paraId="738608E3" w14:textId="77777777" w:rsidR="005133CB" w:rsidRPr="00607566" w:rsidRDefault="005133CB" w:rsidP="00E51790">
            <w:pPr>
              <w:pStyle w:val="Heading2"/>
              <w:rPr>
                <w:highlight w:val="yellow"/>
              </w:rPr>
            </w:pPr>
            <w:r w:rsidRPr="005462F8">
              <w:t>Box 2-2</w:t>
            </w:r>
            <w:r>
              <w:tab/>
              <w:t xml:space="preserve">Effects of the </w:t>
            </w:r>
            <w:r w:rsidRPr="002467FD">
              <w:t xml:space="preserve">COVID-19 </w:t>
            </w:r>
            <w:r>
              <w:t>pandemic on</w:t>
            </w:r>
            <w:r w:rsidRPr="002467FD">
              <w:t xml:space="preserve"> GST distribution</w:t>
            </w:r>
          </w:p>
          <w:p w14:paraId="780FEBFD" w14:textId="5F779B48" w:rsidR="005133CB" w:rsidRDefault="005133CB" w:rsidP="00E51790">
            <w:r>
              <w:t xml:space="preserve">The COVID-19 pandemic significantly affected state circumstances in 2021–22, the year that has dropped out of the Commission’s 3-year assessment period in the 2026 Update. </w:t>
            </w:r>
          </w:p>
          <w:p w14:paraId="1D851D7B" w14:textId="44F5C638" w:rsidR="009D09CC" w:rsidRDefault="00CA2661" w:rsidP="00E51790">
            <w:r w:rsidRPr="005353D8">
              <w:t>T</w:t>
            </w:r>
            <w:r w:rsidR="00001249" w:rsidRPr="005353D8">
              <w:t xml:space="preserve">he Commission was unable to </w:t>
            </w:r>
            <w:r w:rsidR="00FD22D3" w:rsidRPr="005353D8">
              <w:t xml:space="preserve">change </w:t>
            </w:r>
            <w:r w:rsidRPr="005353D8">
              <w:t xml:space="preserve">its assessment methods in </w:t>
            </w:r>
            <w:r w:rsidR="00A70617" w:rsidRPr="005353D8">
              <w:t xml:space="preserve">response to </w:t>
            </w:r>
            <w:r w:rsidR="005773F1" w:rsidRPr="005353D8">
              <w:t>COVID</w:t>
            </w:r>
            <w:r w:rsidR="003C7A5B" w:rsidRPr="005353D8">
              <w:noBreakHyphen/>
            </w:r>
            <w:r w:rsidR="005773F1" w:rsidRPr="005353D8">
              <w:t>19</w:t>
            </w:r>
            <w:r w:rsidR="0089651C" w:rsidRPr="005353D8">
              <w:t xml:space="preserve">’s </w:t>
            </w:r>
            <w:r w:rsidR="003C7A5B" w:rsidRPr="005353D8">
              <w:t>effect o</w:t>
            </w:r>
            <w:r w:rsidR="0039199A" w:rsidRPr="005353D8">
              <w:t>n</w:t>
            </w:r>
            <w:r w:rsidR="003C7A5B" w:rsidRPr="005353D8">
              <w:t xml:space="preserve"> state </w:t>
            </w:r>
            <w:r w:rsidR="00C47F3F" w:rsidRPr="005353D8">
              <w:t>circumstances</w:t>
            </w:r>
            <w:r w:rsidR="00AD47B8" w:rsidRPr="005353D8">
              <w:t xml:space="preserve"> during the pandemic.</w:t>
            </w:r>
            <w:r w:rsidR="009821BF" w:rsidRPr="005353D8">
              <w:t xml:space="preserve"> Changes were only</w:t>
            </w:r>
            <w:r w:rsidR="001E3683" w:rsidRPr="005353D8">
              <w:t xml:space="preserve"> </w:t>
            </w:r>
            <w:r w:rsidR="009821BF" w:rsidRPr="005353D8">
              <w:t>permitted under the Commission’s terms of reference as part of the 2025 Methodology Review.</w:t>
            </w:r>
            <w:r w:rsidR="00015697" w:rsidRPr="005353D8">
              <w:t xml:space="preserve"> Consequently,</w:t>
            </w:r>
            <w:r w:rsidR="005371AF" w:rsidRPr="005353D8">
              <w:t xml:space="preserve"> the Commission first</w:t>
            </w:r>
            <w:r w:rsidR="004148B2" w:rsidRPr="005353D8">
              <w:t xml:space="preserve"> differentially</w:t>
            </w:r>
            <w:r w:rsidR="005371AF" w:rsidRPr="005353D8">
              <w:t xml:space="preserve"> assessed</w:t>
            </w:r>
            <w:r w:rsidR="004A51C2" w:rsidRPr="005353D8">
              <w:t xml:space="preserve"> </w:t>
            </w:r>
            <w:r w:rsidR="007F22E1" w:rsidRPr="005353D8">
              <w:t xml:space="preserve">COVID-19 </w:t>
            </w:r>
            <w:r w:rsidR="00515375" w:rsidRPr="005353D8">
              <w:t>ex</w:t>
            </w:r>
            <w:r w:rsidR="00D85A60" w:rsidRPr="005353D8">
              <w:t xml:space="preserve">penses </w:t>
            </w:r>
            <w:r w:rsidR="006D7FBA" w:rsidRPr="005353D8">
              <w:t>in</w:t>
            </w:r>
            <w:r w:rsidR="005371AF" w:rsidRPr="005353D8">
              <w:t xml:space="preserve"> the 2025 Review.</w:t>
            </w:r>
          </w:p>
          <w:p w14:paraId="15DD4F1C" w14:textId="51860546" w:rsidR="005133CB" w:rsidRDefault="005133CB" w:rsidP="00E51790">
            <w:r w:rsidRPr="00471EB8">
              <w:t>In the 2025 Review, the Commission assessed state expenses under the National Partnership on COVID-19 Response (health) and COVID-19 Business Support national partnerships on an actual per capita basis</w:t>
            </w:r>
            <w:r>
              <w:t>. This meant that</w:t>
            </w:r>
            <w:r w:rsidRPr="00471EB8">
              <w:t xml:space="preserve"> states’ expense needs were assessed as equal to their actual expenses. The Commonwealth and the states agreed to jointly fund these services on a 50:50 basis and the Commission assessed the associated Commonwealth payments as impacting the GST distribution.</w:t>
            </w:r>
          </w:p>
          <w:p w14:paraId="6630A4EF" w14:textId="77777777" w:rsidR="005133CB" w:rsidRDefault="005133CB" w:rsidP="00E51790">
            <w:r w:rsidRPr="00513AED">
              <w:t xml:space="preserve">COVID-19 expenses under the national partnerships were largest in 2021–22 and declined significantly in subsequent years. </w:t>
            </w:r>
            <w:r>
              <w:t>The last Commonwealth payments for health under the COVID-19 national partnership agreements were in 2022–23 and the last payments for business support were in 2023–24.</w:t>
            </w:r>
          </w:p>
          <w:p w14:paraId="733454C4" w14:textId="77777777" w:rsidR="005133CB" w:rsidRDefault="005133CB" w:rsidP="00E51790">
            <w:r>
              <w:t xml:space="preserve">Table 2-8 </w:t>
            </w:r>
            <w:r w:rsidRPr="00A53132">
              <w:t xml:space="preserve">shows the </w:t>
            </w:r>
            <w:r>
              <w:t xml:space="preserve">impact on the </w:t>
            </w:r>
            <w:r w:rsidRPr="00A53132">
              <w:t xml:space="preserve">GST </w:t>
            </w:r>
            <w:r>
              <w:t>distribution</w:t>
            </w:r>
            <w:r w:rsidRPr="00A53132">
              <w:t xml:space="preserve"> of </w:t>
            </w:r>
            <w:r>
              <w:t xml:space="preserve">the expenses in </w:t>
            </w:r>
            <w:r w:rsidRPr="00A53132">
              <w:t>2021</w:t>
            </w:r>
            <w:r>
              <w:t>–</w:t>
            </w:r>
            <w:r w:rsidRPr="00A53132">
              <w:t xml:space="preserve">22 </w:t>
            </w:r>
            <w:r>
              <w:t>dropping out of the assessment period</w:t>
            </w:r>
            <w:r w:rsidRPr="00A53132">
              <w:t xml:space="preserve">. </w:t>
            </w:r>
            <w:r>
              <w:t>The expense effects are partly offset by the Commonwealth payment also dropping out of the assessment period.</w:t>
            </w:r>
          </w:p>
          <w:p w14:paraId="39A4CB47" w14:textId="77777777" w:rsidR="005133CB" w:rsidRDefault="005133CB" w:rsidP="002F5ED5">
            <w:pPr>
              <w:pStyle w:val="CGCBulletPoints"/>
            </w:pPr>
            <w:r>
              <w:t>For health expenses, New South Wales, Victoria, Tasmania and the Northern Territory had above</w:t>
            </w:r>
            <w:r>
              <w:noBreakHyphen/>
              <w:t>average needs in 2021–22. Replacing 2021–</w:t>
            </w:r>
            <w:r>
              <w:rPr>
                <w:rFonts w:ascii="Times New Roman" w:hAnsi="Times New Roman" w:cs="Times New Roman" w:hint="eastAsia"/>
                <w:rtl/>
              </w:rPr>
              <w:t>‍</w:t>
            </w:r>
            <w:r>
              <w:t>22 with 2024–25 has reduced their assessed GST needs.</w:t>
            </w:r>
          </w:p>
          <w:p w14:paraId="0217482D" w14:textId="77777777" w:rsidR="005133CB" w:rsidRDefault="005133CB" w:rsidP="002F5ED5">
            <w:pPr>
              <w:pStyle w:val="CGCBulletPoints"/>
            </w:pPr>
            <w:r>
              <w:lastRenderedPageBreak/>
              <w:t>For business support expenses, New South Wales, Victoria and the ACT had above-average needs in 2021–22. Replacing 2021–22 with 2024–25 has reduced their assessed GST needs.</w:t>
            </w:r>
          </w:p>
          <w:p w14:paraId="5238909B" w14:textId="78D1FC83" w:rsidR="005133CB" w:rsidRDefault="005133CB" w:rsidP="00E51790">
            <w:r>
              <w:t>In combination, the effects of the COVID-19 expenses (and associated Commonwealth payments) in 2021–22 dropping out of the assessment period reduces the assessed GST needs of New South Wales, Victoria and the ACT</w:t>
            </w:r>
            <w:r w:rsidR="00E023E3">
              <w:t>,</w:t>
            </w:r>
            <w:r>
              <w:t xml:space="preserve"> and increases the needs of other states.</w:t>
            </w:r>
          </w:p>
          <w:p w14:paraId="1C587768" w14:textId="77777777" w:rsidR="005133CB" w:rsidRDefault="005133CB" w:rsidP="009A7BEA">
            <w:pPr>
              <w:pStyle w:val="CGC2025Caption"/>
              <w:spacing w:before="160"/>
              <w:ind w:left="1450" w:hanging="1450"/>
            </w:pPr>
            <w:r w:rsidRPr="00D35441">
              <w:t>Table 2-</w:t>
            </w:r>
            <w:r>
              <w:t>8</w:t>
            </w:r>
            <w:r>
              <w:tab/>
            </w:r>
            <w:r w:rsidRPr="000F114F">
              <w:t>Change in assessed GST needs due to changes in COVID</w:t>
            </w:r>
            <w:r>
              <w:t>-19</w:t>
            </w:r>
            <w:r w:rsidRPr="000F114F">
              <w:t xml:space="preserve"> health and business support expenses, 2025–26 to 2026–27 </w:t>
            </w:r>
          </w:p>
          <w:tbl>
            <w:tblPr>
              <w:tblW w:w="8942" w:type="dxa"/>
              <w:tblLayout w:type="fixed"/>
              <w:tblLook w:val="04A0" w:firstRow="1" w:lastRow="0" w:firstColumn="1" w:lastColumn="0" w:noHBand="0" w:noVBand="1"/>
            </w:tblPr>
            <w:tblGrid>
              <w:gridCol w:w="3402"/>
              <w:gridCol w:w="709"/>
              <w:gridCol w:w="802"/>
              <w:gridCol w:w="616"/>
              <w:gridCol w:w="584"/>
              <w:gridCol w:w="550"/>
              <w:gridCol w:w="567"/>
              <w:gridCol w:w="567"/>
              <w:gridCol w:w="486"/>
              <w:gridCol w:w="659"/>
            </w:tblGrid>
            <w:tr w:rsidR="008217B5" w:rsidRPr="0062789D" w14:paraId="7F448EBE" w14:textId="77777777" w:rsidTr="00A06D91">
              <w:trPr>
                <w:trHeight w:val="555"/>
              </w:trPr>
              <w:tc>
                <w:tcPr>
                  <w:tcW w:w="3402" w:type="dxa"/>
                  <w:tcBorders>
                    <w:top w:val="nil"/>
                    <w:left w:val="nil"/>
                    <w:bottom w:val="nil"/>
                    <w:right w:val="nil"/>
                  </w:tcBorders>
                  <w:shd w:val="clear" w:color="000000" w:fill="006991"/>
                  <w:vAlign w:val="bottom"/>
                  <w:hideMark/>
                </w:tcPr>
                <w:p w14:paraId="10934D60" w14:textId="77777777" w:rsidR="008217B5" w:rsidRPr="0062789D" w:rsidRDefault="008217B5" w:rsidP="008217B5">
                  <w:pPr>
                    <w:tabs>
                      <w:tab w:val="clear" w:pos="567"/>
                    </w:tabs>
                    <w:spacing w:before="0" w:line="240" w:lineRule="auto"/>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 </w:t>
                  </w:r>
                </w:p>
              </w:tc>
              <w:tc>
                <w:tcPr>
                  <w:tcW w:w="709" w:type="dxa"/>
                  <w:tcBorders>
                    <w:top w:val="nil"/>
                    <w:left w:val="nil"/>
                    <w:bottom w:val="nil"/>
                    <w:right w:val="nil"/>
                  </w:tcBorders>
                  <w:shd w:val="clear" w:color="000000" w:fill="006991"/>
                  <w:vAlign w:val="center"/>
                  <w:hideMark/>
                </w:tcPr>
                <w:p w14:paraId="7E0C217B"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NSW</w:t>
                  </w:r>
                </w:p>
              </w:tc>
              <w:tc>
                <w:tcPr>
                  <w:tcW w:w="802" w:type="dxa"/>
                  <w:tcBorders>
                    <w:top w:val="nil"/>
                    <w:left w:val="nil"/>
                    <w:bottom w:val="nil"/>
                    <w:right w:val="nil"/>
                  </w:tcBorders>
                  <w:shd w:val="clear" w:color="000000" w:fill="006991"/>
                  <w:vAlign w:val="center"/>
                  <w:hideMark/>
                </w:tcPr>
                <w:p w14:paraId="326D6212"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Vic</w:t>
                  </w:r>
                </w:p>
              </w:tc>
              <w:tc>
                <w:tcPr>
                  <w:tcW w:w="616" w:type="dxa"/>
                  <w:tcBorders>
                    <w:top w:val="nil"/>
                    <w:left w:val="nil"/>
                    <w:bottom w:val="nil"/>
                    <w:right w:val="nil"/>
                  </w:tcBorders>
                  <w:shd w:val="clear" w:color="000000" w:fill="006991"/>
                  <w:vAlign w:val="center"/>
                  <w:hideMark/>
                </w:tcPr>
                <w:p w14:paraId="29582615"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Qld</w:t>
                  </w:r>
                </w:p>
              </w:tc>
              <w:tc>
                <w:tcPr>
                  <w:tcW w:w="584" w:type="dxa"/>
                  <w:tcBorders>
                    <w:top w:val="nil"/>
                    <w:left w:val="nil"/>
                    <w:bottom w:val="nil"/>
                    <w:right w:val="nil"/>
                  </w:tcBorders>
                  <w:shd w:val="clear" w:color="000000" w:fill="006991"/>
                  <w:vAlign w:val="center"/>
                  <w:hideMark/>
                </w:tcPr>
                <w:p w14:paraId="35B9A96E"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WA</w:t>
                  </w:r>
                </w:p>
              </w:tc>
              <w:tc>
                <w:tcPr>
                  <w:tcW w:w="550" w:type="dxa"/>
                  <w:tcBorders>
                    <w:top w:val="nil"/>
                    <w:left w:val="nil"/>
                    <w:bottom w:val="nil"/>
                    <w:right w:val="nil"/>
                  </w:tcBorders>
                  <w:shd w:val="clear" w:color="000000" w:fill="006991"/>
                  <w:vAlign w:val="center"/>
                  <w:hideMark/>
                </w:tcPr>
                <w:p w14:paraId="2EA5A479"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SA</w:t>
                  </w:r>
                </w:p>
              </w:tc>
              <w:tc>
                <w:tcPr>
                  <w:tcW w:w="567" w:type="dxa"/>
                  <w:tcBorders>
                    <w:top w:val="nil"/>
                    <w:left w:val="nil"/>
                    <w:bottom w:val="nil"/>
                    <w:right w:val="nil"/>
                  </w:tcBorders>
                  <w:shd w:val="clear" w:color="000000" w:fill="006991"/>
                  <w:vAlign w:val="center"/>
                  <w:hideMark/>
                </w:tcPr>
                <w:p w14:paraId="23A382B0"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Tas</w:t>
                  </w:r>
                </w:p>
              </w:tc>
              <w:tc>
                <w:tcPr>
                  <w:tcW w:w="567" w:type="dxa"/>
                  <w:tcBorders>
                    <w:top w:val="nil"/>
                    <w:left w:val="nil"/>
                    <w:bottom w:val="nil"/>
                    <w:right w:val="nil"/>
                  </w:tcBorders>
                  <w:shd w:val="clear" w:color="000000" w:fill="006991"/>
                  <w:vAlign w:val="center"/>
                  <w:hideMark/>
                </w:tcPr>
                <w:p w14:paraId="52D94D6A"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ACT</w:t>
                  </w:r>
                </w:p>
              </w:tc>
              <w:tc>
                <w:tcPr>
                  <w:tcW w:w="486" w:type="dxa"/>
                  <w:tcBorders>
                    <w:top w:val="nil"/>
                    <w:left w:val="nil"/>
                    <w:bottom w:val="nil"/>
                    <w:right w:val="nil"/>
                  </w:tcBorders>
                  <w:shd w:val="clear" w:color="000000" w:fill="006991"/>
                  <w:vAlign w:val="center"/>
                  <w:hideMark/>
                </w:tcPr>
                <w:p w14:paraId="757BAD2D"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NT</w:t>
                  </w:r>
                </w:p>
              </w:tc>
              <w:tc>
                <w:tcPr>
                  <w:tcW w:w="659" w:type="dxa"/>
                  <w:tcBorders>
                    <w:top w:val="nil"/>
                    <w:left w:val="nil"/>
                    <w:bottom w:val="nil"/>
                    <w:right w:val="nil"/>
                  </w:tcBorders>
                  <w:shd w:val="clear" w:color="000000" w:fill="006991"/>
                  <w:vAlign w:val="center"/>
                  <w:hideMark/>
                </w:tcPr>
                <w:p w14:paraId="24AF971A"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2789D">
                    <w:rPr>
                      <w:rFonts w:ascii="Open Sans Semibold" w:eastAsia="Times New Roman" w:hAnsi="Open Sans Semibold" w:cs="Open Sans Semibold"/>
                      <w:color w:val="FFFFFF"/>
                      <w:sz w:val="16"/>
                      <w:szCs w:val="16"/>
                      <w:lang w:eastAsia="en-AU"/>
                    </w:rPr>
                    <w:t>Total effect</w:t>
                  </w:r>
                </w:p>
              </w:tc>
            </w:tr>
            <w:tr w:rsidR="008217B5" w:rsidRPr="0062789D" w14:paraId="31AC900B" w14:textId="77777777" w:rsidTr="00A06D91">
              <w:trPr>
                <w:trHeight w:val="258"/>
              </w:trPr>
              <w:tc>
                <w:tcPr>
                  <w:tcW w:w="3402" w:type="dxa"/>
                  <w:tcBorders>
                    <w:top w:val="single" w:sz="4" w:space="0" w:color="ADD6EA"/>
                    <w:left w:val="nil"/>
                    <w:bottom w:val="nil"/>
                    <w:right w:val="nil"/>
                  </w:tcBorders>
                  <w:shd w:val="clear" w:color="000000" w:fill="B6D5E4"/>
                  <w:vAlign w:val="bottom"/>
                  <w:hideMark/>
                </w:tcPr>
                <w:p w14:paraId="0425081D" w14:textId="77777777" w:rsidR="008217B5" w:rsidRPr="0062789D" w:rsidRDefault="008217B5" w:rsidP="008217B5">
                  <w:pPr>
                    <w:tabs>
                      <w:tab w:val="clear" w:pos="567"/>
                    </w:tabs>
                    <w:spacing w:before="0" w:line="240" w:lineRule="auto"/>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 </w:t>
                  </w:r>
                </w:p>
              </w:tc>
              <w:tc>
                <w:tcPr>
                  <w:tcW w:w="709" w:type="dxa"/>
                  <w:tcBorders>
                    <w:top w:val="single" w:sz="4" w:space="0" w:color="ADD6EA"/>
                    <w:left w:val="nil"/>
                    <w:bottom w:val="nil"/>
                    <w:right w:val="nil"/>
                  </w:tcBorders>
                  <w:shd w:val="clear" w:color="000000" w:fill="B6D5E4"/>
                  <w:noWrap/>
                  <w:vAlign w:val="bottom"/>
                  <w:hideMark/>
                </w:tcPr>
                <w:p w14:paraId="1BB4E208"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c>
                <w:tcPr>
                  <w:tcW w:w="802" w:type="dxa"/>
                  <w:tcBorders>
                    <w:top w:val="single" w:sz="4" w:space="0" w:color="ADD6EA"/>
                    <w:left w:val="nil"/>
                    <w:bottom w:val="nil"/>
                    <w:right w:val="nil"/>
                  </w:tcBorders>
                  <w:shd w:val="clear" w:color="000000" w:fill="B6D5E4"/>
                  <w:noWrap/>
                  <w:vAlign w:val="bottom"/>
                  <w:hideMark/>
                </w:tcPr>
                <w:p w14:paraId="055007CE"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c>
                <w:tcPr>
                  <w:tcW w:w="616" w:type="dxa"/>
                  <w:tcBorders>
                    <w:top w:val="single" w:sz="4" w:space="0" w:color="ADD6EA"/>
                    <w:left w:val="nil"/>
                    <w:bottom w:val="nil"/>
                    <w:right w:val="nil"/>
                  </w:tcBorders>
                  <w:shd w:val="clear" w:color="000000" w:fill="B6D5E4"/>
                  <w:noWrap/>
                  <w:vAlign w:val="bottom"/>
                  <w:hideMark/>
                </w:tcPr>
                <w:p w14:paraId="6A481478"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c>
                <w:tcPr>
                  <w:tcW w:w="584" w:type="dxa"/>
                  <w:tcBorders>
                    <w:top w:val="single" w:sz="4" w:space="0" w:color="ADD6EA"/>
                    <w:left w:val="nil"/>
                    <w:bottom w:val="nil"/>
                    <w:right w:val="nil"/>
                  </w:tcBorders>
                  <w:shd w:val="clear" w:color="000000" w:fill="B6D5E4"/>
                  <w:noWrap/>
                  <w:vAlign w:val="bottom"/>
                  <w:hideMark/>
                </w:tcPr>
                <w:p w14:paraId="6A4626FE"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c>
                <w:tcPr>
                  <w:tcW w:w="550" w:type="dxa"/>
                  <w:tcBorders>
                    <w:top w:val="single" w:sz="4" w:space="0" w:color="ADD6EA"/>
                    <w:left w:val="nil"/>
                    <w:bottom w:val="nil"/>
                    <w:right w:val="nil"/>
                  </w:tcBorders>
                  <w:shd w:val="clear" w:color="000000" w:fill="B6D5E4"/>
                  <w:noWrap/>
                  <w:vAlign w:val="bottom"/>
                  <w:hideMark/>
                </w:tcPr>
                <w:p w14:paraId="2052D197"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c>
                <w:tcPr>
                  <w:tcW w:w="567" w:type="dxa"/>
                  <w:tcBorders>
                    <w:top w:val="single" w:sz="4" w:space="0" w:color="ADD6EA"/>
                    <w:left w:val="nil"/>
                    <w:bottom w:val="nil"/>
                    <w:right w:val="nil"/>
                  </w:tcBorders>
                  <w:shd w:val="clear" w:color="000000" w:fill="B6D5E4"/>
                  <w:noWrap/>
                  <w:vAlign w:val="bottom"/>
                  <w:hideMark/>
                </w:tcPr>
                <w:p w14:paraId="243F563D"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c>
                <w:tcPr>
                  <w:tcW w:w="567" w:type="dxa"/>
                  <w:tcBorders>
                    <w:top w:val="single" w:sz="4" w:space="0" w:color="ADD6EA"/>
                    <w:left w:val="nil"/>
                    <w:bottom w:val="nil"/>
                    <w:right w:val="nil"/>
                  </w:tcBorders>
                  <w:shd w:val="clear" w:color="000000" w:fill="B6D5E4"/>
                  <w:noWrap/>
                  <w:vAlign w:val="bottom"/>
                  <w:hideMark/>
                </w:tcPr>
                <w:p w14:paraId="2CDC2778"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c>
                <w:tcPr>
                  <w:tcW w:w="486" w:type="dxa"/>
                  <w:tcBorders>
                    <w:top w:val="single" w:sz="4" w:space="0" w:color="ADD6EA"/>
                    <w:left w:val="nil"/>
                    <w:bottom w:val="nil"/>
                    <w:right w:val="nil"/>
                  </w:tcBorders>
                  <w:shd w:val="clear" w:color="000000" w:fill="B6D5E4"/>
                  <w:noWrap/>
                  <w:vAlign w:val="bottom"/>
                  <w:hideMark/>
                </w:tcPr>
                <w:p w14:paraId="14E3011C"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c>
                <w:tcPr>
                  <w:tcW w:w="659" w:type="dxa"/>
                  <w:tcBorders>
                    <w:top w:val="single" w:sz="4" w:space="0" w:color="ADD6EA"/>
                    <w:left w:val="nil"/>
                    <w:bottom w:val="nil"/>
                    <w:right w:val="nil"/>
                  </w:tcBorders>
                  <w:shd w:val="clear" w:color="000000" w:fill="B6D5E4"/>
                  <w:noWrap/>
                  <w:vAlign w:val="bottom"/>
                  <w:hideMark/>
                </w:tcPr>
                <w:p w14:paraId="63AE52D5"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$m</w:t>
                  </w:r>
                </w:p>
              </w:tc>
            </w:tr>
            <w:tr w:rsidR="008217B5" w:rsidRPr="0062789D" w14:paraId="4D4873FA" w14:textId="77777777" w:rsidTr="00A06D91">
              <w:trPr>
                <w:trHeight w:val="315"/>
              </w:trPr>
              <w:tc>
                <w:tcPr>
                  <w:tcW w:w="3402" w:type="dxa"/>
                  <w:tcBorders>
                    <w:top w:val="single" w:sz="4" w:space="0" w:color="ADD6EA"/>
                    <w:left w:val="nil"/>
                    <w:bottom w:val="nil"/>
                    <w:right w:val="nil"/>
                  </w:tcBorders>
                  <w:shd w:val="clear" w:color="auto" w:fill="FFFFFF" w:themeFill="background1"/>
                  <w:vAlign w:val="bottom"/>
                  <w:hideMark/>
                </w:tcPr>
                <w:p w14:paraId="441EC798" w14:textId="77777777" w:rsidR="008217B5" w:rsidRPr="0062789D" w:rsidRDefault="008217B5" w:rsidP="008217B5">
                  <w:pPr>
                    <w:tabs>
                      <w:tab w:val="clear" w:pos="567"/>
                    </w:tabs>
                    <w:spacing w:before="0" w:line="240" w:lineRule="auto"/>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Health</w:t>
                  </w:r>
                </w:p>
              </w:tc>
              <w:tc>
                <w:tcPr>
                  <w:tcW w:w="709" w:type="dxa"/>
                  <w:tcBorders>
                    <w:top w:val="single" w:sz="4" w:space="0" w:color="ADD6EA"/>
                    <w:left w:val="nil"/>
                    <w:bottom w:val="nil"/>
                    <w:right w:val="nil"/>
                  </w:tcBorders>
                  <w:shd w:val="clear" w:color="auto" w:fill="FFFFFF" w:themeFill="background1"/>
                  <w:noWrap/>
                  <w:vAlign w:val="bottom"/>
                  <w:hideMark/>
                </w:tcPr>
                <w:p w14:paraId="6BDBE4A3"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c>
                <w:tcPr>
                  <w:tcW w:w="802" w:type="dxa"/>
                  <w:tcBorders>
                    <w:top w:val="single" w:sz="4" w:space="0" w:color="ADD6EA"/>
                    <w:left w:val="nil"/>
                    <w:bottom w:val="nil"/>
                    <w:right w:val="nil"/>
                  </w:tcBorders>
                  <w:shd w:val="clear" w:color="auto" w:fill="FFFFFF" w:themeFill="background1"/>
                  <w:noWrap/>
                  <w:vAlign w:val="bottom"/>
                  <w:hideMark/>
                </w:tcPr>
                <w:p w14:paraId="6DDF39EC"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c>
                <w:tcPr>
                  <w:tcW w:w="616" w:type="dxa"/>
                  <w:tcBorders>
                    <w:top w:val="single" w:sz="4" w:space="0" w:color="ADD6EA"/>
                    <w:left w:val="nil"/>
                    <w:bottom w:val="nil"/>
                    <w:right w:val="nil"/>
                  </w:tcBorders>
                  <w:shd w:val="clear" w:color="auto" w:fill="FFFFFF" w:themeFill="background1"/>
                  <w:noWrap/>
                  <w:vAlign w:val="bottom"/>
                  <w:hideMark/>
                </w:tcPr>
                <w:p w14:paraId="27BE048D"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c>
                <w:tcPr>
                  <w:tcW w:w="584" w:type="dxa"/>
                  <w:tcBorders>
                    <w:top w:val="single" w:sz="4" w:space="0" w:color="ADD6EA"/>
                    <w:left w:val="nil"/>
                    <w:bottom w:val="nil"/>
                    <w:right w:val="nil"/>
                  </w:tcBorders>
                  <w:shd w:val="clear" w:color="auto" w:fill="FFFFFF" w:themeFill="background1"/>
                  <w:noWrap/>
                  <w:vAlign w:val="bottom"/>
                  <w:hideMark/>
                </w:tcPr>
                <w:p w14:paraId="3FC16BC4"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c>
                <w:tcPr>
                  <w:tcW w:w="550" w:type="dxa"/>
                  <w:tcBorders>
                    <w:top w:val="single" w:sz="4" w:space="0" w:color="ADD6EA"/>
                    <w:left w:val="nil"/>
                    <w:bottom w:val="nil"/>
                    <w:right w:val="nil"/>
                  </w:tcBorders>
                  <w:shd w:val="clear" w:color="auto" w:fill="FFFFFF" w:themeFill="background1"/>
                  <w:noWrap/>
                  <w:vAlign w:val="bottom"/>
                  <w:hideMark/>
                </w:tcPr>
                <w:p w14:paraId="7A50102C"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c>
                <w:tcPr>
                  <w:tcW w:w="567" w:type="dxa"/>
                  <w:tcBorders>
                    <w:top w:val="single" w:sz="4" w:space="0" w:color="ADD6EA"/>
                    <w:left w:val="nil"/>
                    <w:bottom w:val="nil"/>
                    <w:right w:val="nil"/>
                  </w:tcBorders>
                  <w:shd w:val="clear" w:color="auto" w:fill="FFFFFF" w:themeFill="background1"/>
                  <w:noWrap/>
                  <w:vAlign w:val="bottom"/>
                  <w:hideMark/>
                </w:tcPr>
                <w:p w14:paraId="6C895D3F"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c>
                <w:tcPr>
                  <w:tcW w:w="567" w:type="dxa"/>
                  <w:tcBorders>
                    <w:top w:val="single" w:sz="4" w:space="0" w:color="ADD6EA"/>
                    <w:left w:val="nil"/>
                    <w:bottom w:val="nil"/>
                    <w:right w:val="nil"/>
                  </w:tcBorders>
                  <w:shd w:val="clear" w:color="auto" w:fill="FFFFFF" w:themeFill="background1"/>
                  <w:noWrap/>
                  <w:vAlign w:val="bottom"/>
                  <w:hideMark/>
                </w:tcPr>
                <w:p w14:paraId="6CCB1E10"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c>
                <w:tcPr>
                  <w:tcW w:w="486" w:type="dxa"/>
                  <w:tcBorders>
                    <w:top w:val="single" w:sz="4" w:space="0" w:color="ADD6EA"/>
                    <w:left w:val="nil"/>
                    <w:bottom w:val="nil"/>
                    <w:right w:val="nil"/>
                  </w:tcBorders>
                  <w:shd w:val="clear" w:color="auto" w:fill="FFFFFF" w:themeFill="background1"/>
                  <w:noWrap/>
                  <w:vAlign w:val="bottom"/>
                  <w:hideMark/>
                </w:tcPr>
                <w:p w14:paraId="474D4678"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c>
                <w:tcPr>
                  <w:tcW w:w="659" w:type="dxa"/>
                  <w:tcBorders>
                    <w:top w:val="single" w:sz="4" w:space="0" w:color="ADD6EA"/>
                    <w:left w:val="nil"/>
                    <w:bottom w:val="nil"/>
                    <w:right w:val="nil"/>
                  </w:tcBorders>
                  <w:shd w:val="clear" w:color="auto" w:fill="FFFFFF" w:themeFill="background1"/>
                  <w:noWrap/>
                  <w:vAlign w:val="bottom"/>
                  <w:hideMark/>
                </w:tcPr>
                <w:p w14:paraId="7A9550C4"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 </w:t>
                  </w:r>
                </w:p>
              </w:tc>
            </w:tr>
            <w:tr w:rsidR="008217B5" w:rsidRPr="0062789D" w14:paraId="023AFE6A" w14:textId="77777777" w:rsidTr="00A06D91">
              <w:trPr>
                <w:trHeight w:val="315"/>
              </w:trPr>
              <w:tc>
                <w:tcPr>
                  <w:tcW w:w="3402" w:type="dxa"/>
                  <w:tcBorders>
                    <w:top w:val="single" w:sz="4" w:space="0" w:color="ADD6EA"/>
                    <w:left w:val="nil"/>
                    <w:bottom w:val="nil"/>
                    <w:right w:val="nil"/>
                  </w:tcBorders>
                  <w:shd w:val="clear" w:color="auto" w:fill="FFFFFF" w:themeFill="background1"/>
                  <w:vAlign w:val="bottom"/>
                  <w:hideMark/>
                </w:tcPr>
                <w:p w14:paraId="6F961290" w14:textId="77777777" w:rsidR="008217B5" w:rsidRPr="0062789D" w:rsidRDefault="008217B5" w:rsidP="008217B5">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Effect of ending Commonwealth payment</w:t>
                  </w:r>
                </w:p>
              </w:tc>
              <w:tc>
                <w:tcPr>
                  <w:tcW w:w="709" w:type="dxa"/>
                  <w:tcBorders>
                    <w:top w:val="single" w:sz="4" w:space="0" w:color="ADD6EA"/>
                    <w:left w:val="nil"/>
                    <w:bottom w:val="nil"/>
                    <w:right w:val="nil"/>
                  </w:tcBorders>
                  <w:shd w:val="clear" w:color="auto" w:fill="FFFFFF" w:themeFill="background1"/>
                  <w:vAlign w:val="bottom"/>
                  <w:hideMark/>
                </w:tcPr>
                <w:p w14:paraId="6B5308DC"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121</w:t>
                  </w:r>
                </w:p>
              </w:tc>
              <w:tc>
                <w:tcPr>
                  <w:tcW w:w="802" w:type="dxa"/>
                  <w:tcBorders>
                    <w:top w:val="single" w:sz="4" w:space="0" w:color="ADD6EA"/>
                    <w:left w:val="nil"/>
                    <w:bottom w:val="nil"/>
                    <w:right w:val="nil"/>
                  </w:tcBorders>
                  <w:shd w:val="clear" w:color="auto" w:fill="FFFFFF" w:themeFill="background1"/>
                  <w:vAlign w:val="bottom"/>
                  <w:hideMark/>
                </w:tcPr>
                <w:p w14:paraId="6B87C526"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217</w:t>
                  </w:r>
                </w:p>
              </w:tc>
              <w:tc>
                <w:tcPr>
                  <w:tcW w:w="616" w:type="dxa"/>
                  <w:tcBorders>
                    <w:top w:val="single" w:sz="4" w:space="0" w:color="ADD6EA"/>
                    <w:left w:val="nil"/>
                    <w:bottom w:val="nil"/>
                    <w:right w:val="nil"/>
                  </w:tcBorders>
                  <w:shd w:val="clear" w:color="auto" w:fill="FFFFFF" w:themeFill="background1"/>
                  <w:vAlign w:val="bottom"/>
                  <w:hideMark/>
                </w:tcPr>
                <w:p w14:paraId="52A32BEE"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-264</w:t>
                  </w:r>
                </w:p>
              </w:tc>
              <w:tc>
                <w:tcPr>
                  <w:tcW w:w="584" w:type="dxa"/>
                  <w:tcBorders>
                    <w:top w:val="single" w:sz="4" w:space="0" w:color="ADD6EA"/>
                    <w:left w:val="nil"/>
                    <w:bottom w:val="nil"/>
                    <w:right w:val="nil"/>
                  </w:tcBorders>
                  <w:shd w:val="clear" w:color="auto" w:fill="FFFFFF" w:themeFill="background1"/>
                  <w:vAlign w:val="bottom"/>
                  <w:hideMark/>
                </w:tcPr>
                <w:p w14:paraId="58D91D4E"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-20</w:t>
                  </w:r>
                </w:p>
              </w:tc>
              <w:tc>
                <w:tcPr>
                  <w:tcW w:w="550" w:type="dxa"/>
                  <w:tcBorders>
                    <w:top w:val="single" w:sz="4" w:space="0" w:color="ADD6EA"/>
                    <w:left w:val="nil"/>
                    <w:bottom w:val="nil"/>
                    <w:right w:val="nil"/>
                  </w:tcBorders>
                  <w:shd w:val="clear" w:color="auto" w:fill="FFFFFF" w:themeFill="background1"/>
                  <w:vAlign w:val="bottom"/>
                  <w:hideMark/>
                </w:tcPr>
                <w:p w14:paraId="1C461CFE"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-60</w:t>
                  </w:r>
                </w:p>
              </w:tc>
              <w:tc>
                <w:tcPr>
                  <w:tcW w:w="567" w:type="dxa"/>
                  <w:tcBorders>
                    <w:top w:val="single" w:sz="4" w:space="0" w:color="ADD6EA"/>
                    <w:left w:val="nil"/>
                    <w:bottom w:val="nil"/>
                    <w:right w:val="nil"/>
                  </w:tcBorders>
                  <w:shd w:val="clear" w:color="auto" w:fill="FFFFFF" w:themeFill="background1"/>
                  <w:vAlign w:val="bottom"/>
                  <w:hideMark/>
                </w:tcPr>
                <w:p w14:paraId="48D30614"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4</w:t>
                  </w:r>
                </w:p>
              </w:tc>
              <w:tc>
                <w:tcPr>
                  <w:tcW w:w="567" w:type="dxa"/>
                  <w:tcBorders>
                    <w:top w:val="single" w:sz="4" w:space="0" w:color="ADD6EA"/>
                    <w:left w:val="nil"/>
                    <w:bottom w:val="nil"/>
                    <w:right w:val="nil"/>
                  </w:tcBorders>
                  <w:shd w:val="clear" w:color="auto" w:fill="FFFFFF" w:themeFill="background1"/>
                  <w:vAlign w:val="bottom"/>
                  <w:hideMark/>
                </w:tcPr>
                <w:p w14:paraId="629D03E2"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-9</w:t>
                  </w:r>
                </w:p>
              </w:tc>
              <w:tc>
                <w:tcPr>
                  <w:tcW w:w="486" w:type="dxa"/>
                  <w:tcBorders>
                    <w:top w:val="single" w:sz="4" w:space="0" w:color="ADD6EA"/>
                    <w:left w:val="nil"/>
                    <w:bottom w:val="nil"/>
                    <w:right w:val="nil"/>
                  </w:tcBorders>
                  <w:shd w:val="clear" w:color="auto" w:fill="FFFFFF" w:themeFill="background1"/>
                  <w:vAlign w:val="bottom"/>
                  <w:hideMark/>
                </w:tcPr>
                <w:p w14:paraId="3CAACE0B"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11</w:t>
                  </w:r>
                </w:p>
              </w:tc>
              <w:tc>
                <w:tcPr>
                  <w:tcW w:w="659" w:type="dxa"/>
                  <w:tcBorders>
                    <w:top w:val="single" w:sz="4" w:space="0" w:color="ADD6EA"/>
                    <w:left w:val="nil"/>
                    <w:bottom w:val="nil"/>
                    <w:right w:val="nil"/>
                  </w:tcBorders>
                  <w:shd w:val="clear" w:color="auto" w:fill="FFFFFF" w:themeFill="background1"/>
                  <w:vAlign w:val="bottom"/>
                  <w:hideMark/>
                </w:tcPr>
                <w:p w14:paraId="7FAF46C5"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353</w:t>
                  </w:r>
                </w:p>
              </w:tc>
            </w:tr>
            <w:tr w:rsidR="008217B5" w:rsidRPr="0062789D" w14:paraId="25C60DEB" w14:textId="77777777" w:rsidTr="00A06D91">
              <w:trPr>
                <w:trHeight w:val="315"/>
              </w:trPr>
              <w:tc>
                <w:tcPr>
                  <w:tcW w:w="3402" w:type="dxa"/>
                  <w:tcBorders>
                    <w:top w:val="single" w:sz="4" w:space="0" w:color="ADD6EA"/>
                    <w:left w:val="nil"/>
                    <w:bottom w:val="nil"/>
                    <w:right w:val="nil"/>
                  </w:tcBorders>
                  <w:shd w:val="clear" w:color="auto" w:fill="FFFFFF" w:themeFill="background1"/>
                  <w:vAlign w:val="bottom"/>
                  <w:hideMark/>
                </w:tcPr>
                <w:p w14:paraId="2C3ECBF3" w14:textId="77777777" w:rsidR="008217B5" w:rsidRPr="0062789D" w:rsidRDefault="008217B5" w:rsidP="008217B5">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Effect of ending state spending</w:t>
                  </w:r>
                </w:p>
              </w:tc>
              <w:tc>
                <w:tcPr>
                  <w:tcW w:w="709" w:type="dxa"/>
                  <w:tcBorders>
                    <w:top w:val="single" w:sz="4" w:space="0" w:color="ADD6EA"/>
                    <w:left w:val="nil"/>
                    <w:bottom w:val="nil"/>
                    <w:right w:val="nil"/>
                  </w:tcBorders>
                  <w:shd w:val="clear" w:color="auto" w:fill="FFFFFF" w:themeFill="background1"/>
                  <w:vAlign w:val="bottom"/>
                  <w:hideMark/>
                </w:tcPr>
                <w:p w14:paraId="0022FFE7"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-242</w:t>
                  </w:r>
                </w:p>
              </w:tc>
              <w:tc>
                <w:tcPr>
                  <w:tcW w:w="802" w:type="dxa"/>
                  <w:tcBorders>
                    <w:top w:val="single" w:sz="4" w:space="0" w:color="ADD6EA"/>
                    <w:left w:val="nil"/>
                    <w:bottom w:val="nil"/>
                    <w:right w:val="nil"/>
                  </w:tcBorders>
                  <w:shd w:val="clear" w:color="auto" w:fill="FFFFFF" w:themeFill="background1"/>
                  <w:vAlign w:val="bottom"/>
                  <w:hideMark/>
                </w:tcPr>
                <w:p w14:paraId="59BFE422"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-434</w:t>
                  </w:r>
                </w:p>
              </w:tc>
              <w:tc>
                <w:tcPr>
                  <w:tcW w:w="616" w:type="dxa"/>
                  <w:tcBorders>
                    <w:top w:val="single" w:sz="4" w:space="0" w:color="ADD6EA"/>
                    <w:left w:val="nil"/>
                    <w:bottom w:val="nil"/>
                    <w:right w:val="nil"/>
                  </w:tcBorders>
                  <w:shd w:val="clear" w:color="auto" w:fill="FFFFFF" w:themeFill="background1"/>
                  <w:vAlign w:val="bottom"/>
                  <w:hideMark/>
                </w:tcPr>
                <w:p w14:paraId="319FD46E"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527</w:t>
                  </w:r>
                </w:p>
              </w:tc>
              <w:tc>
                <w:tcPr>
                  <w:tcW w:w="584" w:type="dxa"/>
                  <w:tcBorders>
                    <w:top w:val="single" w:sz="4" w:space="0" w:color="ADD6EA"/>
                    <w:left w:val="nil"/>
                    <w:bottom w:val="nil"/>
                    <w:right w:val="nil"/>
                  </w:tcBorders>
                  <w:shd w:val="clear" w:color="auto" w:fill="FFFFFF" w:themeFill="background1"/>
                  <w:vAlign w:val="bottom"/>
                  <w:hideMark/>
                </w:tcPr>
                <w:p w14:paraId="5BA54D49"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40</w:t>
                  </w:r>
                </w:p>
              </w:tc>
              <w:tc>
                <w:tcPr>
                  <w:tcW w:w="550" w:type="dxa"/>
                  <w:tcBorders>
                    <w:top w:val="single" w:sz="4" w:space="0" w:color="ADD6EA"/>
                    <w:left w:val="nil"/>
                    <w:bottom w:val="nil"/>
                    <w:right w:val="nil"/>
                  </w:tcBorders>
                  <w:shd w:val="clear" w:color="auto" w:fill="FFFFFF" w:themeFill="background1"/>
                  <w:vAlign w:val="bottom"/>
                  <w:hideMark/>
                </w:tcPr>
                <w:p w14:paraId="6F92D4BD"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120</w:t>
                  </w:r>
                </w:p>
              </w:tc>
              <w:tc>
                <w:tcPr>
                  <w:tcW w:w="567" w:type="dxa"/>
                  <w:tcBorders>
                    <w:top w:val="single" w:sz="4" w:space="0" w:color="ADD6EA"/>
                    <w:left w:val="nil"/>
                    <w:bottom w:val="nil"/>
                    <w:right w:val="nil"/>
                  </w:tcBorders>
                  <w:shd w:val="clear" w:color="auto" w:fill="FFFFFF" w:themeFill="background1"/>
                  <w:vAlign w:val="bottom"/>
                  <w:hideMark/>
                </w:tcPr>
                <w:p w14:paraId="6EF85416"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-7</w:t>
                  </w:r>
                </w:p>
              </w:tc>
              <w:tc>
                <w:tcPr>
                  <w:tcW w:w="567" w:type="dxa"/>
                  <w:tcBorders>
                    <w:top w:val="single" w:sz="4" w:space="0" w:color="ADD6EA"/>
                    <w:left w:val="nil"/>
                    <w:bottom w:val="nil"/>
                    <w:right w:val="nil"/>
                  </w:tcBorders>
                  <w:shd w:val="clear" w:color="auto" w:fill="FFFFFF" w:themeFill="background1"/>
                  <w:vAlign w:val="bottom"/>
                  <w:hideMark/>
                </w:tcPr>
                <w:p w14:paraId="47BED2E4"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19</w:t>
                  </w:r>
                </w:p>
              </w:tc>
              <w:tc>
                <w:tcPr>
                  <w:tcW w:w="486" w:type="dxa"/>
                  <w:tcBorders>
                    <w:top w:val="single" w:sz="4" w:space="0" w:color="ADD6EA"/>
                    <w:left w:val="nil"/>
                    <w:bottom w:val="nil"/>
                    <w:right w:val="nil"/>
                  </w:tcBorders>
                  <w:shd w:val="clear" w:color="auto" w:fill="FFFFFF" w:themeFill="background1"/>
                  <w:vAlign w:val="bottom"/>
                  <w:hideMark/>
                </w:tcPr>
                <w:p w14:paraId="7EAD5B40"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-23</w:t>
                  </w:r>
                </w:p>
              </w:tc>
              <w:tc>
                <w:tcPr>
                  <w:tcW w:w="659" w:type="dxa"/>
                  <w:tcBorders>
                    <w:top w:val="single" w:sz="4" w:space="0" w:color="ADD6EA"/>
                    <w:left w:val="nil"/>
                    <w:bottom w:val="nil"/>
                    <w:right w:val="nil"/>
                  </w:tcBorders>
                  <w:shd w:val="clear" w:color="auto" w:fill="FFFFFF" w:themeFill="background1"/>
                  <w:vAlign w:val="bottom"/>
                  <w:hideMark/>
                </w:tcPr>
                <w:p w14:paraId="5B92B211"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707</w:t>
                  </w:r>
                </w:p>
              </w:tc>
            </w:tr>
            <w:tr w:rsidR="008217B5" w:rsidRPr="0062789D" w14:paraId="5D49C357" w14:textId="77777777" w:rsidTr="00A06D91">
              <w:trPr>
                <w:trHeight w:val="315"/>
              </w:trPr>
              <w:tc>
                <w:tcPr>
                  <w:tcW w:w="3402" w:type="dxa"/>
                  <w:tcBorders>
                    <w:top w:val="single" w:sz="4" w:space="0" w:color="ADD6EA"/>
                    <w:left w:val="nil"/>
                    <w:bottom w:val="single" w:sz="4" w:space="0" w:color="ADD6EA"/>
                    <w:right w:val="nil"/>
                  </w:tcBorders>
                  <w:shd w:val="clear" w:color="000000" w:fill="D6E7F0"/>
                  <w:vAlign w:val="bottom"/>
                  <w:hideMark/>
                </w:tcPr>
                <w:p w14:paraId="3A10BEBF" w14:textId="77777777" w:rsidR="008217B5" w:rsidRPr="0062789D" w:rsidRDefault="008217B5" w:rsidP="008217B5">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Net effect</w:t>
                  </w:r>
                </w:p>
              </w:tc>
              <w:tc>
                <w:tcPr>
                  <w:tcW w:w="709" w:type="dxa"/>
                  <w:tcBorders>
                    <w:top w:val="single" w:sz="4" w:space="0" w:color="ADD6EA"/>
                    <w:left w:val="nil"/>
                    <w:bottom w:val="single" w:sz="4" w:space="0" w:color="ADD6EA"/>
                    <w:right w:val="nil"/>
                  </w:tcBorders>
                  <w:shd w:val="clear" w:color="000000" w:fill="D6E7F0"/>
                  <w:noWrap/>
                  <w:vAlign w:val="bottom"/>
                  <w:hideMark/>
                </w:tcPr>
                <w:p w14:paraId="2F727F14"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-121</w:t>
                  </w:r>
                </w:p>
              </w:tc>
              <w:tc>
                <w:tcPr>
                  <w:tcW w:w="802" w:type="dxa"/>
                  <w:tcBorders>
                    <w:top w:val="single" w:sz="4" w:space="0" w:color="ADD6EA"/>
                    <w:left w:val="nil"/>
                    <w:bottom w:val="single" w:sz="4" w:space="0" w:color="ADD6EA"/>
                    <w:right w:val="nil"/>
                  </w:tcBorders>
                  <w:shd w:val="clear" w:color="000000" w:fill="D6E7F0"/>
                  <w:noWrap/>
                  <w:vAlign w:val="bottom"/>
                  <w:hideMark/>
                </w:tcPr>
                <w:p w14:paraId="5681E600"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-217</w:t>
                  </w:r>
                </w:p>
              </w:tc>
              <w:tc>
                <w:tcPr>
                  <w:tcW w:w="616" w:type="dxa"/>
                  <w:tcBorders>
                    <w:top w:val="single" w:sz="4" w:space="0" w:color="ADD6EA"/>
                    <w:left w:val="nil"/>
                    <w:bottom w:val="single" w:sz="4" w:space="0" w:color="ADD6EA"/>
                    <w:right w:val="nil"/>
                  </w:tcBorders>
                  <w:shd w:val="clear" w:color="000000" w:fill="D6E7F0"/>
                  <w:noWrap/>
                  <w:vAlign w:val="bottom"/>
                  <w:hideMark/>
                </w:tcPr>
                <w:p w14:paraId="50616FA2"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264</w:t>
                  </w:r>
                </w:p>
              </w:tc>
              <w:tc>
                <w:tcPr>
                  <w:tcW w:w="584" w:type="dxa"/>
                  <w:tcBorders>
                    <w:top w:val="single" w:sz="4" w:space="0" w:color="ADD6EA"/>
                    <w:left w:val="nil"/>
                    <w:bottom w:val="single" w:sz="4" w:space="0" w:color="ADD6EA"/>
                    <w:right w:val="nil"/>
                  </w:tcBorders>
                  <w:shd w:val="clear" w:color="000000" w:fill="D6E7F0"/>
                  <w:noWrap/>
                  <w:vAlign w:val="bottom"/>
                  <w:hideMark/>
                </w:tcPr>
                <w:p w14:paraId="45046754"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20</w:t>
                  </w:r>
                </w:p>
              </w:tc>
              <w:tc>
                <w:tcPr>
                  <w:tcW w:w="550" w:type="dxa"/>
                  <w:tcBorders>
                    <w:top w:val="single" w:sz="4" w:space="0" w:color="ADD6EA"/>
                    <w:left w:val="nil"/>
                    <w:bottom w:val="single" w:sz="4" w:space="0" w:color="ADD6EA"/>
                    <w:right w:val="nil"/>
                  </w:tcBorders>
                  <w:shd w:val="clear" w:color="000000" w:fill="D6E7F0"/>
                  <w:noWrap/>
                  <w:vAlign w:val="bottom"/>
                  <w:hideMark/>
                </w:tcPr>
                <w:p w14:paraId="54FCD44F"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60</w:t>
                  </w:r>
                </w:p>
              </w:tc>
              <w:tc>
                <w:tcPr>
                  <w:tcW w:w="567" w:type="dxa"/>
                  <w:tcBorders>
                    <w:top w:val="single" w:sz="4" w:space="0" w:color="ADD6EA"/>
                    <w:left w:val="nil"/>
                    <w:bottom w:val="single" w:sz="4" w:space="0" w:color="ADD6EA"/>
                    <w:right w:val="nil"/>
                  </w:tcBorders>
                  <w:shd w:val="clear" w:color="000000" w:fill="D6E7F0"/>
                  <w:noWrap/>
                  <w:vAlign w:val="bottom"/>
                  <w:hideMark/>
                </w:tcPr>
                <w:p w14:paraId="0269CFE4"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-4</w:t>
                  </w:r>
                </w:p>
              </w:tc>
              <w:tc>
                <w:tcPr>
                  <w:tcW w:w="567" w:type="dxa"/>
                  <w:tcBorders>
                    <w:top w:val="single" w:sz="4" w:space="0" w:color="ADD6EA"/>
                    <w:left w:val="nil"/>
                    <w:bottom w:val="single" w:sz="4" w:space="0" w:color="ADD6EA"/>
                    <w:right w:val="nil"/>
                  </w:tcBorders>
                  <w:shd w:val="clear" w:color="000000" w:fill="D6E7F0"/>
                  <w:noWrap/>
                  <w:vAlign w:val="bottom"/>
                  <w:hideMark/>
                </w:tcPr>
                <w:p w14:paraId="3059149A"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9</w:t>
                  </w:r>
                </w:p>
              </w:tc>
              <w:tc>
                <w:tcPr>
                  <w:tcW w:w="486" w:type="dxa"/>
                  <w:tcBorders>
                    <w:top w:val="single" w:sz="4" w:space="0" w:color="ADD6EA"/>
                    <w:left w:val="nil"/>
                    <w:bottom w:val="single" w:sz="4" w:space="0" w:color="ADD6EA"/>
                    <w:right w:val="nil"/>
                  </w:tcBorders>
                  <w:shd w:val="clear" w:color="000000" w:fill="D6E7F0"/>
                  <w:noWrap/>
                  <w:vAlign w:val="bottom"/>
                  <w:hideMark/>
                </w:tcPr>
                <w:p w14:paraId="64782951"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-11</w:t>
                  </w:r>
                </w:p>
              </w:tc>
              <w:tc>
                <w:tcPr>
                  <w:tcW w:w="659" w:type="dxa"/>
                  <w:tcBorders>
                    <w:top w:val="single" w:sz="4" w:space="0" w:color="ADD6EA"/>
                    <w:left w:val="nil"/>
                    <w:bottom w:val="single" w:sz="4" w:space="0" w:color="ADD6EA"/>
                    <w:right w:val="nil"/>
                  </w:tcBorders>
                  <w:shd w:val="clear" w:color="000000" w:fill="D6E7F0"/>
                  <w:noWrap/>
                  <w:vAlign w:val="bottom"/>
                  <w:hideMark/>
                </w:tcPr>
                <w:p w14:paraId="70D6034E"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353</w:t>
                  </w:r>
                </w:p>
              </w:tc>
            </w:tr>
            <w:tr w:rsidR="008217B5" w:rsidRPr="0062789D" w14:paraId="60091E94" w14:textId="77777777" w:rsidTr="00A06D91">
              <w:trPr>
                <w:trHeight w:val="315"/>
              </w:trPr>
              <w:tc>
                <w:tcPr>
                  <w:tcW w:w="3402" w:type="dxa"/>
                  <w:tcBorders>
                    <w:top w:val="nil"/>
                    <w:left w:val="nil"/>
                    <w:bottom w:val="nil"/>
                    <w:right w:val="nil"/>
                  </w:tcBorders>
                  <w:shd w:val="clear" w:color="auto" w:fill="FFFFFF" w:themeFill="background1"/>
                  <w:vAlign w:val="bottom"/>
                  <w:hideMark/>
                </w:tcPr>
                <w:p w14:paraId="71D7D21E" w14:textId="77777777" w:rsidR="008217B5" w:rsidRPr="0062789D" w:rsidRDefault="008217B5" w:rsidP="008217B5">
                  <w:pPr>
                    <w:tabs>
                      <w:tab w:val="clear" w:pos="567"/>
                    </w:tabs>
                    <w:spacing w:before="0" w:line="240" w:lineRule="auto"/>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Business support</w:t>
                  </w:r>
                </w:p>
              </w:tc>
              <w:tc>
                <w:tcPr>
                  <w:tcW w:w="709" w:type="dxa"/>
                  <w:tcBorders>
                    <w:top w:val="nil"/>
                    <w:left w:val="nil"/>
                    <w:bottom w:val="nil"/>
                    <w:right w:val="nil"/>
                  </w:tcBorders>
                  <w:shd w:val="clear" w:color="auto" w:fill="FFFFFF" w:themeFill="background1"/>
                  <w:noWrap/>
                  <w:vAlign w:val="bottom"/>
                  <w:hideMark/>
                </w:tcPr>
                <w:p w14:paraId="7FA4D037" w14:textId="77777777" w:rsidR="008217B5" w:rsidRPr="0062789D" w:rsidRDefault="008217B5" w:rsidP="008217B5">
                  <w:pPr>
                    <w:tabs>
                      <w:tab w:val="clear" w:pos="567"/>
                    </w:tabs>
                    <w:spacing w:before="0" w:line="240" w:lineRule="auto"/>
                    <w:rPr>
                      <w:rFonts w:ascii="Open Sans Light" w:eastAsia="Times New Roman" w:hAnsi="Open Sans Light" w:cs="Open Sans Light"/>
                      <w:color w:val="000000"/>
                      <w:sz w:val="16"/>
                      <w:szCs w:val="16"/>
                      <w:lang w:eastAsia="en-AU"/>
                    </w:rPr>
                  </w:pPr>
                </w:p>
              </w:tc>
              <w:tc>
                <w:tcPr>
                  <w:tcW w:w="802" w:type="dxa"/>
                  <w:tcBorders>
                    <w:top w:val="nil"/>
                    <w:left w:val="nil"/>
                    <w:bottom w:val="nil"/>
                    <w:right w:val="nil"/>
                  </w:tcBorders>
                  <w:shd w:val="clear" w:color="auto" w:fill="FFFFFF" w:themeFill="background1"/>
                  <w:noWrap/>
                  <w:vAlign w:val="bottom"/>
                  <w:hideMark/>
                </w:tcPr>
                <w:p w14:paraId="70D4CFFA" w14:textId="77777777" w:rsidR="008217B5" w:rsidRPr="0062789D" w:rsidRDefault="008217B5" w:rsidP="008217B5">
                  <w:pPr>
                    <w:tabs>
                      <w:tab w:val="clear" w:pos="567"/>
                    </w:tabs>
                    <w:spacing w:before="0" w:line="240" w:lineRule="auto"/>
                    <w:jc w:val="right"/>
                    <w:rPr>
                      <w:rFonts w:ascii="Times New Roman" w:eastAsia="Times New Roman" w:hAnsi="Times New Roman" w:cs="Times New Roman"/>
                      <w:szCs w:val="20"/>
                      <w:lang w:eastAsia="en-AU"/>
                    </w:rPr>
                  </w:pPr>
                </w:p>
              </w:tc>
              <w:tc>
                <w:tcPr>
                  <w:tcW w:w="616" w:type="dxa"/>
                  <w:tcBorders>
                    <w:top w:val="nil"/>
                    <w:left w:val="nil"/>
                    <w:bottom w:val="nil"/>
                    <w:right w:val="nil"/>
                  </w:tcBorders>
                  <w:shd w:val="clear" w:color="auto" w:fill="FFFFFF" w:themeFill="background1"/>
                  <w:noWrap/>
                  <w:vAlign w:val="bottom"/>
                  <w:hideMark/>
                </w:tcPr>
                <w:p w14:paraId="2F3BAFB8" w14:textId="77777777" w:rsidR="008217B5" w:rsidRPr="0062789D" w:rsidRDefault="008217B5" w:rsidP="008217B5">
                  <w:pPr>
                    <w:tabs>
                      <w:tab w:val="clear" w:pos="567"/>
                    </w:tabs>
                    <w:spacing w:before="0" w:line="240" w:lineRule="auto"/>
                    <w:jc w:val="right"/>
                    <w:rPr>
                      <w:rFonts w:ascii="Times New Roman" w:eastAsia="Times New Roman" w:hAnsi="Times New Roman" w:cs="Times New Roman"/>
                      <w:szCs w:val="20"/>
                      <w:lang w:eastAsia="en-AU"/>
                    </w:rPr>
                  </w:pPr>
                </w:p>
              </w:tc>
              <w:tc>
                <w:tcPr>
                  <w:tcW w:w="584" w:type="dxa"/>
                  <w:tcBorders>
                    <w:top w:val="nil"/>
                    <w:left w:val="nil"/>
                    <w:bottom w:val="nil"/>
                    <w:right w:val="nil"/>
                  </w:tcBorders>
                  <w:shd w:val="clear" w:color="auto" w:fill="FFFFFF" w:themeFill="background1"/>
                  <w:noWrap/>
                  <w:vAlign w:val="bottom"/>
                  <w:hideMark/>
                </w:tcPr>
                <w:p w14:paraId="1FD0F01A" w14:textId="77777777" w:rsidR="008217B5" w:rsidRPr="0062789D" w:rsidRDefault="008217B5" w:rsidP="008217B5">
                  <w:pPr>
                    <w:tabs>
                      <w:tab w:val="clear" w:pos="567"/>
                    </w:tabs>
                    <w:spacing w:before="0" w:line="240" w:lineRule="auto"/>
                    <w:jc w:val="right"/>
                    <w:rPr>
                      <w:rFonts w:ascii="Times New Roman" w:eastAsia="Times New Roman" w:hAnsi="Times New Roman" w:cs="Times New Roman"/>
                      <w:szCs w:val="20"/>
                      <w:lang w:eastAsia="en-AU"/>
                    </w:rPr>
                  </w:pPr>
                </w:p>
              </w:tc>
              <w:tc>
                <w:tcPr>
                  <w:tcW w:w="550" w:type="dxa"/>
                  <w:tcBorders>
                    <w:top w:val="nil"/>
                    <w:left w:val="nil"/>
                    <w:bottom w:val="nil"/>
                    <w:right w:val="nil"/>
                  </w:tcBorders>
                  <w:shd w:val="clear" w:color="auto" w:fill="FFFFFF" w:themeFill="background1"/>
                  <w:noWrap/>
                  <w:vAlign w:val="bottom"/>
                  <w:hideMark/>
                </w:tcPr>
                <w:p w14:paraId="2D97C926" w14:textId="77777777" w:rsidR="008217B5" w:rsidRPr="0062789D" w:rsidRDefault="008217B5" w:rsidP="008217B5">
                  <w:pPr>
                    <w:tabs>
                      <w:tab w:val="clear" w:pos="567"/>
                    </w:tabs>
                    <w:spacing w:before="0" w:line="240" w:lineRule="auto"/>
                    <w:jc w:val="right"/>
                    <w:rPr>
                      <w:rFonts w:ascii="Times New Roman" w:eastAsia="Times New Roman" w:hAnsi="Times New Roman" w:cs="Times New Roman"/>
                      <w:szCs w:val="20"/>
                      <w:lang w:eastAsia="en-AU"/>
                    </w:rPr>
                  </w:pPr>
                </w:p>
              </w:tc>
              <w:tc>
                <w:tcPr>
                  <w:tcW w:w="567" w:type="dxa"/>
                  <w:tcBorders>
                    <w:top w:val="nil"/>
                    <w:left w:val="nil"/>
                    <w:bottom w:val="nil"/>
                    <w:right w:val="nil"/>
                  </w:tcBorders>
                  <w:shd w:val="clear" w:color="auto" w:fill="FFFFFF" w:themeFill="background1"/>
                  <w:noWrap/>
                  <w:vAlign w:val="bottom"/>
                  <w:hideMark/>
                </w:tcPr>
                <w:p w14:paraId="330C7705" w14:textId="77777777" w:rsidR="008217B5" w:rsidRPr="0062789D" w:rsidRDefault="008217B5" w:rsidP="008217B5">
                  <w:pPr>
                    <w:tabs>
                      <w:tab w:val="clear" w:pos="567"/>
                    </w:tabs>
                    <w:spacing w:before="0" w:line="240" w:lineRule="auto"/>
                    <w:jc w:val="right"/>
                    <w:rPr>
                      <w:rFonts w:ascii="Times New Roman" w:eastAsia="Times New Roman" w:hAnsi="Times New Roman" w:cs="Times New Roman"/>
                      <w:szCs w:val="20"/>
                      <w:lang w:eastAsia="en-AU"/>
                    </w:rPr>
                  </w:pPr>
                </w:p>
              </w:tc>
              <w:tc>
                <w:tcPr>
                  <w:tcW w:w="567" w:type="dxa"/>
                  <w:tcBorders>
                    <w:top w:val="nil"/>
                    <w:left w:val="nil"/>
                    <w:bottom w:val="nil"/>
                    <w:right w:val="nil"/>
                  </w:tcBorders>
                  <w:shd w:val="clear" w:color="auto" w:fill="FFFFFF" w:themeFill="background1"/>
                  <w:noWrap/>
                  <w:vAlign w:val="bottom"/>
                  <w:hideMark/>
                </w:tcPr>
                <w:p w14:paraId="003EC7D9" w14:textId="77777777" w:rsidR="008217B5" w:rsidRPr="0062789D" w:rsidRDefault="008217B5" w:rsidP="008217B5">
                  <w:pPr>
                    <w:tabs>
                      <w:tab w:val="clear" w:pos="567"/>
                    </w:tabs>
                    <w:spacing w:before="0" w:line="240" w:lineRule="auto"/>
                    <w:jc w:val="right"/>
                    <w:rPr>
                      <w:rFonts w:ascii="Times New Roman" w:eastAsia="Times New Roman" w:hAnsi="Times New Roman" w:cs="Times New Roman"/>
                      <w:szCs w:val="20"/>
                      <w:lang w:eastAsia="en-AU"/>
                    </w:rPr>
                  </w:pPr>
                </w:p>
              </w:tc>
              <w:tc>
                <w:tcPr>
                  <w:tcW w:w="486" w:type="dxa"/>
                  <w:tcBorders>
                    <w:top w:val="nil"/>
                    <w:left w:val="nil"/>
                    <w:bottom w:val="nil"/>
                    <w:right w:val="nil"/>
                  </w:tcBorders>
                  <w:shd w:val="clear" w:color="auto" w:fill="FFFFFF" w:themeFill="background1"/>
                  <w:noWrap/>
                  <w:vAlign w:val="bottom"/>
                  <w:hideMark/>
                </w:tcPr>
                <w:p w14:paraId="038578D2" w14:textId="77777777" w:rsidR="008217B5" w:rsidRPr="0062789D" w:rsidRDefault="008217B5" w:rsidP="008217B5">
                  <w:pPr>
                    <w:tabs>
                      <w:tab w:val="clear" w:pos="567"/>
                    </w:tabs>
                    <w:spacing w:before="0" w:line="240" w:lineRule="auto"/>
                    <w:jc w:val="right"/>
                    <w:rPr>
                      <w:rFonts w:ascii="Times New Roman" w:eastAsia="Times New Roman" w:hAnsi="Times New Roman" w:cs="Times New Roman"/>
                      <w:szCs w:val="20"/>
                      <w:lang w:eastAsia="en-AU"/>
                    </w:rPr>
                  </w:pPr>
                </w:p>
              </w:tc>
              <w:tc>
                <w:tcPr>
                  <w:tcW w:w="659" w:type="dxa"/>
                  <w:tcBorders>
                    <w:top w:val="nil"/>
                    <w:left w:val="nil"/>
                    <w:bottom w:val="nil"/>
                    <w:right w:val="nil"/>
                  </w:tcBorders>
                  <w:shd w:val="clear" w:color="auto" w:fill="FFFFFF" w:themeFill="background1"/>
                  <w:noWrap/>
                  <w:vAlign w:val="bottom"/>
                  <w:hideMark/>
                </w:tcPr>
                <w:p w14:paraId="3278D17B" w14:textId="77777777" w:rsidR="008217B5" w:rsidRPr="0062789D" w:rsidRDefault="008217B5" w:rsidP="008217B5">
                  <w:pPr>
                    <w:tabs>
                      <w:tab w:val="clear" w:pos="567"/>
                    </w:tabs>
                    <w:spacing w:before="0" w:line="240" w:lineRule="auto"/>
                    <w:jc w:val="right"/>
                    <w:rPr>
                      <w:rFonts w:ascii="Times New Roman" w:eastAsia="Times New Roman" w:hAnsi="Times New Roman" w:cs="Times New Roman"/>
                      <w:szCs w:val="20"/>
                      <w:lang w:eastAsia="en-AU"/>
                    </w:rPr>
                  </w:pPr>
                </w:p>
              </w:tc>
            </w:tr>
            <w:tr w:rsidR="008217B5" w:rsidRPr="0062789D" w14:paraId="6CD5940F" w14:textId="77777777" w:rsidTr="00A06D91">
              <w:trPr>
                <w:trHeight w:val="315"/>
              </w:trPr>
              <w:tc>
                <w:tcPr>
                  <w:tcW w:w="3402" w:type="dxa"/>
                  <w:tcBorders>
                    <w:top w:val="single" w:sz="4" w:space="0" w:color="ADD6EA"/>
                    <w:left w:val="nil"/>
                    <w:bottom w:val="nil"/>
                    <w:right w:val="nil"/>
                  </w:tcBorders>
                  <w:shd w:val="clear" w:color="auto" w:fill="FFFFFF" w:themeFill="background1"/>
                  <w:vAlign w:val="bottom"/>
                  <w:hideMark/>
                </w:tcPr>
                <w:p w14:paraId="58E704F2" w14:textId="77777777" w:rsidR="008217B5" w:rsidRPr="0062789D" w:rsidRDefault="008217B5" w:rsidP="008217B5">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Effect of ending Commonwealth payment</w:t>
                  </w:r>
                </w:p>
              </w:tc>
              <w:tc>
                <w:tcPr>
                  <w:tcW w:w="709" w:type="dxa"/>
                  <w:tcBorders>
                    <w:top w:val="single" w:sz="4" w:space="0" w:color="ADD6EA"/>
                    <w:left w:val="nil"/>
                    <w:bottom w:val="nil"/>
                    <w:right w:val="nil"/>
                  </w:tcBorders>
                  <w:shd w:val="clear" w:color="auto" w:fill="FFFFFF" w:themeFill="background1"/>
                  <w:vAlign w:val="bottom"/>
                  <w:hideMark/>
                </w:tcPr>
                <w:p w14:paraId="31B58CBC"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553</w:t>
                  </w:r>
                </w:p>
              </w:tc>
              <w:tc>
                <w:tcPr>
                  <w:tcW w:w="802" w:type="dxa"/>
                  <w:tcBorders>
                    <w:top w:val="single" w:sz="4" w:space="0" w:color="ADD6EA"/>
                    <w:left w:val="nil"/>
                    <w:bottom w:val="nil"/>
                    <w:right w:val="nil"/>
                  </w:tcBorders>
                  <w:shd w:val="clear" w:color="auto" w:fill="FFFFFF" w:themeFill="background1"/>
                  <w:vAlign w:val="bottom"/>
                  <w:hideMark/>
                </w:tcPr>
                <w:p w14:paraId="1CE4D374"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636</w:t>
                  </w:r>
                </w:p>
              </w:tc>
              <w:tc>
                <w:tcPr>
                  <w:tcW w:w="616" w:type="dxa"/>
                  <w:tcBorders>
                    <w:top w:val="single" w:sz="4" w:space="0" w:color="ADD6EA"/>
                    <w:left w:val="nil"/>
                    <w:bottom w:val="nil"/>
                    <w:right w:val="nil"/>
                  </w:tcBorders>
                  <w:shd w:val="clear" w:color="auto" w:fill="FFFFFF" w:themeFill="background1"/>
                  <w:vAlign w:val="bottom"/>
                  <w:hideMark/>
                </w:tcPr>
                <w:p w14:paraId="1190C3BD"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-565</w:t>
                  </w:r>
                </w:p>
              </w:tc>
              <w:tc>
                <w:tcPr>
                  <w:tcW w:w="584" w:type="dxa"/>
                  <w:tcBorders>
                    <w:top w:val="single" w:sz="4" w:space="0" w:color="ADD6EA"/>
                    <w:left w:val="nil"/>
                    <w:bottom w:val="nil"/>
                    <w:right w:val="nil"/>
                  </w:tcBorders>
                  <w:shd w:val="clear" w:color="auto" w:fill="FFFFFF" w:themeFill="background1"/>
                  <w:vAlign w:val="bottom"/>
                  <w:hideMark/>
                </w:tcPr>
                <w:p w14:paraId="79B1DEC8"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-345</w:t>
                  </w:r>
                </w:p>
              </w:tc>
              <w:tc>
                <w:tcPr>
                  <w:tcW w:w="550" w:type="dxa"/>
                  <w:tcBorders>
                    <w:top w:val="single" w:sz="4" w:space="0" w:color="ADD6EA"/>
                    <w:left w:val="nil"/>
                    <w:bottom w:val="nil"/>
                    <w:right w:val="nil"/>
                  </w:tcBorders>
                  <w:shd w:val="clear" w:color="auto" w:fill="FFFFFF" w:themeFill="background1"/>
                  <w:vAlign w:val="bottom"/>
                  <w:hideMark/>
                </w:tcPr>
                <w:p w14:paraId="37BC968B"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-206</w:t>
                  </w:r>
                </w:p>
              </w:tc>
              <w:tc>
                <w:tcPr>
                  <w:tcW w:w="567" w:type="dxa"/>
                  <w:tcBorders>
                    <w:top w:val="single" w:sz="4" w:space="0" w:color="ADD6EA"/>
                    <w:left w:val="nil"/>
                    <w:bottom w:val="nil"/>
                    <w:right w:val="nil"/>
                  </w:tcBorders>
                  <w:shd w:val="clear" w:color="auto" w:fill="FFFFFF" w:themeFill="background1"/>
                  <w:vAlign w:val="bottom"/>
                  <w:hideMark/>
                </w:tcPr>
                <w:p w14:paraId="58E81DF3"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-64</w:t>
                  </w:r>
                </w:p>
              </w:tc>
              <w:tc>
                <w:tcPr>
                  <w:tcW w:w="567" w:type="dxa"/>
                  <w:tcBorders>
                    <w:top w:val="single" w:sz="4" w:space="0" w:color="ADD6EA"/>
                    <w:left w:val="nil"/>
                    <w:bottom w:val="nil"/>
                    <w:right w:val="nil"/>
                  </w:tcBorders>
                  <w:shd w:val="clear" w:color="auto" w:fill="FFFFFF" w:themeFill="background1"/>
                  <w:vAlign w:val="bottom"/>
                  <w:hideMark/>
                </w:tcPr>
                <w:p w14:paraId="5BD1C9BE"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20</w:t>
                  </w:r>
                </w:p>
              </w:tc>
              <w:tc>
                <w:tcPr>
                  <w:tcW w:w="486" w:type="dxa"/>
                  <w:tcBorders>
                    <w:top w:val="single" w:sz="4" w:space="0" w:color="ADD6EA"/>
                    <w:left w:val="nil"/>
                    <w:bottom w:val="nil"/>
                    <w:right w:val="nil"/>
                  </w:tcBorders>
                  <w:shd w:val="clear" w:color="auto" w:fill="FFFFFF" w:themeFill="background1"/>
                  <w:vAlign w:val="bottom"/>
                  <w:hideMark/>
                </w:tcPr>
                <w:p w14:paraId="1A356F64"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-29</w:t>
                  </w:r>
                </w:p>
              </w:tc>
              <w:tc>
                <w:tcPr>
                  <w:tcW w:w="659" w:type="dxa"/>
                  <w:tcBorders>
                    <w:top w:val="single" w:sz="4" w:space="0" w:color="ADD6EA"/>
                    <w:left w:val="nil"/>
                    <w:bottom w:val="nil"/>
                    <w:right w:val="nil"/>
                  </w:tcBorders>
                  <w:shd w:val="clear" w:color="auto" w:fill="FFFFFF" w:themeFill="background1"/>
                  <w:vAlign w:val="bottom"/>
                  <w:hideMark/>
                </w:tcPr>
                <w:p w14:paraId="0EFF225A"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1,209</w:t>
                  </w:r>
                </w:p>
              </w:tc>
            </w:tr>
            <w:tr w:rsidR="008217B5" w:rsidRPr="0062789D" w14:paraId="7E0C0EFD" w14:textId="77777777" w:rsidTr="00A06D91">
              <w:trPr>
                <w:trHeight w:val="315"/>
              </w:trPr>
              <w:tc>
                <w:tcPr>
                  <w:tcW w:w="3402" w:type="dxa"/>
                  <w:tcBorders>
                    <w:top w:val="single" w:sz="4" w:space="0" w:color="ADD6EA"/>
                    <w:left w:val="nil"/>
                    <w:bottom w:val="nil"/>
                    <w:right w:val="nil"/>
                  </w:tcBorders>
                  <w:shd w:val="clear" w:color="auto" w:fill="FFFFFF" w:themeFill="background1"/>
                  <w:vAlign w:val="bottom"/>
                  <w:hideMark/>
                </w:tcPr>
                <w:p w14:paraId="589DFA96" w14:textId="77777777" w:rsidR="008217B5" w:rsidRPr="0062789D" w:rsidRDefault="008217B5" w:rsidP="008217B5">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Effect of ending state spending</w:t>
                  </w:r>
                </w:p>
              </w:tc>
              <w:tc>
                <w:tcPr>
                  <w:tcW w:w="709" w:type="dxa"/>
                  <w:tcBorders>
                    <w:top w:val="single" w:sz="4" w:space="0" w:color="ADD6EA"/>
                    <w:left w:val="nil"/>
                    <w:bottom w:val="nil"/>
                    <w:right w:val="nil"/>
                  </w:tcBorders>
                  <w:shd w:val="clear" w:color="auto" w:fill="FFFFFF" w:themeFill="background1"/>
                  <w:vAlign w:val="bottom"/>
                  <w:hideMark/>
                </w:tcPr>
                <w:p w14:paraId="3FA31F23"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-1,105</w:t>
                  </w:r>
                </w:p>
              </w:tc>
              <w:tc>
                <w:tcPr>
                  <w:tcW w:w="802" w:type="dxa"/>
                  <w:tcBorders>
                    <w:top w:val="single" w:sz="4" w:space="0" w:color="ADD6EA"/>
                    <w:left w:val="nil"/>
                    <w:bottom w:val="nil"/>
                    <w:right w:val="nil"/>
                  </w:tcBorders>
                  <w:shd w:val="clear" w:color="auto" w:fill="FFFFFF" w:themeFill="background1"/>
                  <w:vAlign w:val="bottom"/>
                  <w:hideMark/>
                </w:tcPr>
                <w:p w14:paraId="6FEE68F7"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-1,272</w:t>
                  </w:r>
                </w:p>
              </w:tc>
              <w:tc>
                <w:tcPr>
                  <w:tcW w:w="616" w:type="dxa"/>
                  <w:tcBorders>
                    <w:top w:val="single" w:sz="4" w:space="0" w:color="ADD6EA"/>
                    <w:left w:val="nil"/>
                    <w:bottom w:val="nil"/>
                    <w:right w:val="nil"/>
                  </w:tcBorders>
                  <w:shd w:val="clear" w:color="auto" w:fill="FFFFFF" w:themeFill="background1"/>
                  <w:vAlign w:val="bottom"/>
                  <w:hideMark/>
                </w:tcPr>
                <w:p w14:paraId="283DB11C"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1,130</w:t>
                  </w:r>
                </w:p>
              </w:tc>
              <w:tc>
                <w:tcPr>
                  <w:tcW w:w="584" w:type="dxa"/>
                  <w:tcBorders>
                    <w:top w:val="single" w:sz="4" w:space="0" w:color="ADD6EA"/>
                    <w:left w:val="nil"/>
                    <w:bottom w:val="nil"/>
                    <w:right w:val="nil"/>
                  </w:tcBorders>
                  <w:shd w:val="clear" w:color="auto" w:fill="FFFFFF" w:themeFill="background1"/>
                  <w:vAlign w:val="bottom"/>
                  <w:hideMark/>
                </w:tcPr>
                <w:p w14:paraId="61C04FDE"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689</w:t>
                  </w:r>
                </w:p>
              </w:tc>
              <w:tc>
                <w:tcPr>
                  <w:tcW w:w="550" w:type="dxa"/>
                  <w:tcBorders>
                    <w:top w:val="single" w:sz="4" w:space="0" w:color="ADD6EA"/>
                    <w:left w:val="nil"/>
                    <w:bottom w:val="nil"/>
                    <w:right w:val="nil"/>
                  </w:tcBorders>
                  <w:shd w:val="clear" w:color="auto" w:fill="FFFFFF" w:themeFill="background1"/>
                  <w:vAlign w:val="bottom"/>
                  <w:hideMark/>
                </w:tcPr>
                <w:p w14:paraId="29C4E98B"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413</w:t>
                  </w:r>
                </w:p>
              </w:tc>
              <w:tc>
                <w:tcPr>
                  <w:tcW w:w="567" w:type="dxa"/>
                  <w:tcBorders>
                    <w:top w:val="single" w:sz="4" w:space="0" w:color="ADD6EA"/>
                    <w:left w:val="nil"/>
                    <w:bottom w:val="nil"/>
                    <w:right w:val="nil"/>
                  </w:tcBorders>
                  <w:shd w:val="clear" w:color="auto" w:fill="FFFFFF" w:themeFill="background1"/>
                  <w:vAlign w:val="bottom"/>
                  <w:hideMark/>
                </w:tcPr>
                <w:p w14:paraId="02403093"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128</w:t>
                  </w:r>
                </w:p>
              </w:tc>
              <w:tc>
                <w:tcPr>
                  <w:tcW w:w="567" w:type="dxa"/>
                  <w:tcBorders>
                    <w:top w:val="single" w:sz="4" w:space="0" w:color="ADD6EA"/>
                    <w:left w:val="nil"/>
                    <w:bottom w:val="nil"/>
                    <w:right w:val="nil"/>
                  </w:tcBorders>
                  <w:shd w:val="clear" w:color="auto" w:fill="FFFFFF" w:themeFill="background1"/>
                  <w:vAlign w:val="bottom"/>
                  <w:hideMark/>
                </w:tcPr>
                <w:p w14:paraId="739417EB"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-41</w:t>
                  </w:r>
                </w:p>
              </w:tc>
              <w:tc>
                <w:tcPr>
                  <w:tcW w:w="486" w:type="dxa"/>
                  <w:tcBorders>
                    <w:top w:val="single" w:sz="4" w:space="0" w:color="ADD6EA"/>
                    <w:left w:val="nil"/>
                    <w:bottom w:val="nil"/>
                    <w:right w:val="nil"/>
                  </w:tcBorders>
                  <w:shd w:val="clear" w:color="auto" w:fill="FFFFFF" w:themeFill="background1"/>
                  <w:vAlign w:val="bottom"/>
                  <w:hideMark/>
                </w:tcPr>
                <w:p w14:paraId="13668C23"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58</w:t>
                  </w:r>
                </w:p>
              </w:tc>
              <w:tc>
                <w:tcPr>
                  <w:tcW w:w="659" w:type="dxa"/>
                  <w:tcBorders>
                    <w:top w:val="single" w:sz="4" w:space="0" w:color="ADD6EA"/>
                    <w:left w:val="nil"/>
                    <w:bottom w:val="nil"/>
                    <w:right w:val="nil"/>
                  </w:tcBorders>
                  <w:shd w:val="clear" w:color="auto" w:fill="FFFFFF" w:themeFill="background1"/>
                  <w:vAlign w:val="bottom"/>
                  <w:hideMark/>
                </w:tcPr>
                <w:p w14:paraId="601AC533" w14:textId="77777777" w:rsidR="008217B5" w:rsidRPr="0062789D" w:rsidRDefault="008217B5" w:rsidP="008217B5">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62789D">
                    <w:rPr>
                      <w:rFonts w:ascii="Open Sans Light" w:eastAsia="Times New Roman" w:hAnsi="Open Sans Light" w:cs="Open Sans Light"/>
                      <w:color w:val="000000"/>
                      <w:sz w:val="16"/>
                      <w:szCs w:val="16"/>
                      <w:lang w:eastAsia="en-AU"/>
                    </w:rPr>
                    <w:t>2,418</w:t>
                  </w:r>
                </w:p>
              </w:tc>
            </w:tr>
            <w:tr w:rsidR="008217B5" w:rsidRPr="0062789D" w14:paraId="409185B7" w14:textId="77777777" w:rsidTr="00A06D91">
              <w:trPr>
                <w:trHeight w:val="315"/>
              </w:trPr>
              <w:tc>
                <w:tcPr>
                  <w:tcW w:w="3402" w:type="dxa"/>
                  <w:tcBorders>
                    <w:top w:val="single" w:sz="4" w:space="0" w:color="ADD6EA"/>
                    <w:left w:val="nil"/>
                    <w:bottom w:val="nil"/>
                    <w:right w:val="nil"/>
                  </w:tcBorders>
                  <w:shd w:val="clear" w:color="000000" w:fill="D6E7F0"/>
                  <w:vAlign w:val="bottom"/>
                  <w:hideMark/>
                </w:tcPr>
                <w:p w14:paraId="2FA7FB78" w14:textId="77777777" w:rsidR="008217B5" w:rsidRPr="0062789D" w:rsidRDefault="008217B5" w:rsidP="008217B5">
                  <w:pPr>
                    <w:tabs>
                      <w:tab w:val="clear" w:pos="567"/>
                    </w:tabs>
                    <w:spacing w:before="0" w:line="240" w:lineRule="auto"/>
                    <w:ind w:firstLineChars="100" w:firstLine="160"/>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Net effect</w:t>
                  </w:r>
                </w:p>
              </w:tc>
              <w:tc>
                <w:tcPr>
                  <w:tcW w:w="709" w:type="dxa"/>
                  <w:tcBorders>
                    <w:top w:val="single" w:sz="4" w:space="0" w:color="ADD6EA"/>
                    <w:left w:val="nil"/>
                    <w:bottom w:val="nil"/>
                    <w:right w:val="nil"/>
                  </w:tcBorders>
                  <w:shd w:val="clear" w:color="000000" w:fill="D6E7F0"/>
                  <w:noWrap/>
                  <w:vAlign w:val="bottom"/>
                  <w:hideMark/>
                </w:tcPr>
                <w:p w14:paraId="5A66F24D"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-553</w:t>
                  </w:r>
                </w:p>
              </w:tc>
              <w:tc>
                <w:tcPr>
                  <w:tcW w:w="802" w:type="dxa"/>
                  <w:tcBorders>
                    <w:top w:val="single" w:sz="4" w:space="0" w:color="ADD6EA"/>
                    <w:left w:val="nil"/>
                    <w:bottom w:val="nil"/>
                    <w:right w:val="nil"/>
                  </w:tcBorders>
                  <w:shd w:val="clear" w:color="000000" w:fill="D6E7F0"/>
                  <w:noWrap/>
                  <w:vAlign w:val="bottom"/>
                  <w:hideMark/>
                </w:tcPr>
                <w:p w14:paraId="3A6A474B"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-636</w:t>
                  </w:r>
                </w:p>
              </w:tc>
              <w:tc>
                <w:tcPr>
                  <w:tcW w:w="616" w:type="dxa"/>
                  <w:tcBorders>
                    <w:top w:val="single" w:sz="4" w:space="0" w:color="ADD6EA"/>
                    <w:left w:val="nil"/>
                    <w:bottom w:val="nil"/>
                    <w:right w:val="nil"/>
                  </w:tcBorders>
                  <w:shd w:val="clear" w:color="000000" w:fill="D6E7F0"/>
                  <w:noWrap/>
                  <w:vAlign w:val="bottom"/>
                  <w:hideMark/>
                </w:tcPr>
                <w:p w14:paraId="1A3DE17D"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565</w:t>
                  </w:r>
                </w:p>
              </w:tc>
              <w:tc>
                <w:tcPr>
                  <w:tcW w:w="584" w:type="dxa"/>
                  <w:tcBorders>
                    <w:top w:val="single" w:sz="4" w:space="0" w:color="ADD6EA"/>
                    <w:left w:val="nil"/>
                    <w:bottom w:val="nil"/>
                    <w:right w:val="nil"/>
                  </w:tcBorders>
                  <w:shd w:val="clear" w:color="000000" w:fill="D6E7F0"/>
                  <w:noWrap/>
                  <w:vAlign w:val="bottom"/>
                  <w:hideMark/>
                </w:tcPr>
                <w:p w14:paraId="530038B3"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345</w:t>
                  </w:r>
                </w:p>
              </w:tc>
              <w:tc>
                <w:tcPr>
                  <w:tcW w:w="550" w:type="dxa"/>
                  <w:tcBorders>
                    <w:top w:val="single" w:sz="4" w:space="0" w:color="ADD6EA"/>
                    <w:left w:val="nil"/>
                    <w:bottom w:val="nil"/>
                    <w:right w:val="nil"/>
                  </w:tcBorders>
                  <w:shd w:val="clear" w:color="000000" w:fill="D6E7F0"/>
                  <w:noWrap/>
                  <w:vAlign w:val="bottom"/>
                  <w:hideMark/>
                </w:tcPr>
                <w:p w14:paraId="4A8BFF06"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206</w:t>
                  </w:r>
                </w:p>
              </w:tc>
              <w:tc>
                <w:tcPr>
                  <w:tcW w:w="567" w:type="dxa"/>
                  <w:tcBorders>
                    <w:top w:val="single" w:sz="4" w:space="0" w:color="ADD6EA"/>
                    <w:left w:val="nil"/>
                    <w:bottom w:val="nil"/>
                    <w:right w:val="nil"/>
                  </w:tcBorders>
                  <w:shd w:val="clear" w:color="000000" w:fill="D6E7F0"/>
                  <w:noWrap/>
                  <w:vAlign w:val="bottom"/>
                  <w:hideMark/>
                </w:tcPr>
                <w:p w14:paraId="77C35468"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64</w:t>
                  </w:r>
                </w:p>
              </w:tc>
              <w:tc>
                <w:tcPr>
                  <w:tcW w:w="567" w:type="dxa"/>
                  <w:tcBorders>
                    <w:top w:val="single" w:sz="4" w:space="0" w:color="ADD6EA"/>
                    <w:left w:val="nil"/>
                    <w:bottom w:val="nil"/>
                    <w:right w:val="nil"/>
                  </w:tcBorders>
                  <w:shd w:val="clear" w:color="000000" w:fill="D6E7F0"/>
                  <w:noWrap/>
                  <w:vAlign w:val="bottom"/>
                  <w:hideMark/>
                </w:tcPr>
                <w:p w14:paraId="1B8A01B6"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-20</w:t>
                  </w:r>
                </w:p>
              </w:tc>
              <w:tc>
                <w:tcPr>
                  <w:tcW w:w="486" w:type="dxa"/>
                  <w:tcBorders>
                    <w:top w:val="single" w:sz="4" w:space="0" w:color="ADD6EA"/>
                    <w:left w:val="nil"/>
                    <w:bottom w:val="nil"/>
                    <w:right w:val="nil"/>
                  </w:tcBorders>
                  <w:shd w:val="clear" w:color="000000" w:fill="D6E7F0"/>
                  <w:noWrap/>
                  <w:vAlign w:val="bottom"/>
                  <w:hideMark/>
                </w:tcPr>
                <w:p w14:paraId="18705433"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29</w:t>
                  </w:r>
                </w:p>
              </w:tc>
              <w:tc>
                <w:tcPr>
                  <w:tcW w:w="659" w:type="dxa"/>
                  <w:tcBorders>
                    <w:top w:val="single" w:sz="4" w:space="0" w:color="ADD6EA"/>
                    <w:left w:val="nil"/>
                    <w:bottom w:val="nil"/>
                    <w:right w:val="nil"/>
                  </w:tcBorders>
                  <w:shd w:val="clear" w:color="000000" w:fill="D6E7F0"/>
                  <w:noWrap/>
                  <w:vAlign w:val="bottom"/>
                  <w:hideMark/>
                </w:tcPr>
                <w:p w14:paraId="285ADB08"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1,209</w:t>
                  </w:r>
                </w:p>
              </w:tc>
            </w:tr>
            <w:tr w:rsidR="008217B5" w:rsidRPr="0062789D" w14:paraId="47B2AFAE" w14:textId="77777777" w:rsidTr="00A06D91">
              <w:trPr>
                <w:trHeight w:val="315"/>
              </w:trPr>
              <w:tc>
                <w:tcPr>
                  <w:tcW w:w="3402" w:type="dxa"/>
                  <w:tcBorders>
                    <w:top w:val="single" w:sz="4" w:space="0" w:color="ADD6EA"/>
                    <w:left w:val="nil"/>
                    <w:bottom w:val="single" w:sz="4" w:space="0" w:color="ADD6EA"/>
                    <w:right w:val="nil"/>
                  </w:tcBorders>
                  <w:shd w:val="clear" w:color="000000" w:fill="B6D5E4"/>
                  <w:vAlign w:val="bottom"/>
                  <w:hideMark/>
                </w:tcPr>
                <w:p w14:paraId="29C3A615" w14:textId="77777777" w:rsidR="008217B5" w:rsidRPr="0062789D" w:rsidRDefault="008217B5" w:rsidP="008217B5">
                  <w:pPr>
                    <w:tabs>
                      <w:tab w:val="clear" w:pos="567"/>
                    </w:tabs>
                    <w:spacing w:before="0" w:line="240" w:lineRule="auto"/>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Total net effect</w:t>
                  </w:r>
                </w:p>
              </w:tc>
              <w:tc>
                <w:tcPr>
                  <w:tcW w:w="709" w:type="dxa"/>
                  <w:tcBorders>
                    <w:top w:val="single" w:sz="4" w:space="0" w:color="ADD6EA"/>
                    <w:left w:val="nil"/>
                    <w:bottom w:val="single" w:sz="4" w:space="0" w:color="ADD6EA"/>
                    <w:right w:val="nil"/>
                  </w:tcBorders>
                  <w:shd w:val="clear" w:color="000000" w:fill="B6D5E4"/>
                  <w:noWrap/>
                  <w:vAlign w:val="bottom"/>
                  <w:hideMark/>
                </w:tcPr>
                <w:p w14:paraId="51C73CFC"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-674</w:t>
                  </w:r>
                </w:p>
              </w:tc>
              <w:tc>
                <w:tcPr>
                  <w:tcW w:w="802" w:type="dxa"/>
                  <w:tcBorders>
                    <w:top w:val="single" w:sz="4" w:space="0" w:color="ADD6EA"/>
                    <w:left w:val="nil"/>
                    <w:bottom w:val="single" w:sz="4" w:space="0" w:color="ADD6EA"/>
                    <w:right w:val="nil"/>
                  </w:tcBorders>
                  <w:shd w:val="clear" w:color="000000" w:fill="B6D5E4"/>
                  <w:noWrap/>
                  <w:vAlign w:val="bottom"/>
                  <w:hideMark/>
                </w:tcPr>
                <w:p w14:paraId="637B62B7"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-853</w:t>
                  </w:r>
                </w:p>
              </w:tc>
              <w:tc>
                <w:tcPr>
                  <w:tcW w:w="616" w:type="dxa"/>
                  <w:tcBorders>
                    <w:top w:val="single" w:sz="4" w:space="0" w:color="ADD6EA"/>
                    <w:left w:val="nil"/>
                    <w:bottom w:val="single" w:sz="4" w:space="0" w:color="ADD6EA"/>
                    <w:right w:val="nil"/>
                  </w:tcBorders>
                  <w:shd w:val="clear" w:color="000000" w:fill="B6D5E4"/>
                  <w:noWrap/>
                  <w:vAlign w:val="bottom"/>
                  <w:hideMark/>
                </w:tcPr>
                <w:p w14:paraId="0F86F826"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829</w:t>
                  </w:r>
                </w:p>
              </w:tc>
              <w:tc>
                <w:tcPr>
                  <w:tcW w:w="584" w:type="dxa"/>
                  <w:tcBorders>
                    <w:top w:val="single" w:sz="4" w:space="0" w:color="ADD6EA"/>
                    <w:left w:val="nil"/>
                    <w:bottom w:val="single" w:sz="4" w:space="0" w:color="ADD6EA"/>
                    <w:right w:val="nil"/>
                  </w:tcBorders>
                  <w:shd w:val="clear" w:color="000000" w:fill="B6D5E4"/>
                  <w:noWrap/>
                  <w:vAlign w:val="bottom"/>
                  <w:hideMark/>
                </w:tcPr>
                <w:p w14:paraId="47EA9256"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365</w:t>
                  </w:r>
                </w:p>
              </w:tc>
              <w:tc>
                <w:tcPr>
                  <w:tcW w:w="550" w:type="dxa"/>
                  <w:tcBorders>
                    <w:top w:val="single" w:sz="4" w:space="0" w:color="ADD6EA"/>
                    <w:left w:val="nil"/>
                    <w:bottom w:val="single" w:sz="4" w:space="0" w:color="ADD6EA"/>
                    <w:right w:val="nil"/>
                  </w:tcBorders>
                  <w:shd w:val="clear" w:color="000000" w:fill="B6D5E4"/>
                  <w:noWrap/>
                  <w:vAlign w:val="bottom"/>
                  <w:hideMark/>
                </w:tcPr>
                <w:p w14:paraId="0CFCC07E"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267</w:t>
                  </w:r>
                </w:p>
              </w:tc>
              <w:tc>
                <w:tcPr>
                  <w:tcW w:w="567" w:type="dxa"/>
                  <w:tcBorders>
                    <w:top w:val="single" w:sz="4" w:space="0" w:color="ADD6EA"/>
                    <w:left w:val="nil"/>
                    <w:bottom w:val="single" w:sz="4" w:space="0" w:color="ADD6EA"/>
                    <w:right w:val="nil"/>
                  </w:tcBorders>
                  <w:shd w:val="clear" w:color="000000" w:fill="B6D5E4"/>
                  <w:noWrap/>
                  <w:vAlign w:val="bottom"/>
                  <w:hideMark/>
                </w:tcPr>
                <w:p w14:paraId="57714DAE"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60</w:t>
                  </w:r>
                </w:p>
              </w:tc>
              <w:tc>
                <w:tcPr>
                  <w:tcW w:w="567" w:type="dxa"/>
                  <w:tcBorders>
                    <w:top w:val="single" w:sz="4" w:space="0" w:color="ADD6EA"/>
                    <w:left w:val="nil"/>
                    <w:bottom w:val="single" w:sz="4" w:space="0" w:color="ADD6EA"/>
                    <w:right w:val="nil"/>
                  </w:tcBorders>
                  <w:shd w:val="clear" w:color="000000" w:fill="B6D5E4"/>
                  <w:noWrap/>
                  <w:vAlign w:val="bottom"/>
                  <w:hideMark/>
                </w:tcPr>
                <w:p w14:paraId="30BDF6FC"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-11</w:t>
                  </w:r>
                </w:p>
              </w:tc>
              <w:tc>
                <w:tcPr>
                  <w:tcW w:w="486" w:type="dxa"/>
                  <w:tcBorders>
                    <w:top w:val="single" w:sz="4" w:space="0" w:color="ADD6EA"/>
                    <w:left w:val="nil"/>
                    <w:bottom w:val="single" w:sz="4" w:space="0" w:color="ADD6EA"/>
                    <w:right w:val="nil"/>
                  </w:tcBorders>
                  <w:shd w:val="clear" w:color="000000" w:fill="B6D5E4"/>
                  <w:noWrap/>
                  <w:vAlign w:val="bottom"/>
                  <w:hideMark/>
                </w:tcPr>
                <w:p w14:paraId="02B8F52C"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17</w:t>
                  </w:r>
                </w:p>
              </w:tc>
              <w:tc>
                <w:tcPr>
                  <w:tcW w:w="659" w:type="dxa"/>
                  <w:tcBorders>
                    <w:top w:val="single" w:sz="4" w:space="0" w:color="ADD6EA"/>
                    <w:left w:val="nil"/>
                    <w:bottom w:val="single" w:sz="4" w:space="0" w:color="ADD6EA"/>
                    <w:right w:val="nil"/>
                  </w:tcBorders>
                  <w:shd w:val="clear" w:color="000000" w:fill="B6D5E4"/>
                  <w:noWrap/>
                  <w:vAlign w:val="bottom"/>
                  <w:hideMark/>
                </w:tcPr>
                <w:p w14:paraId="0CA24160" w14:textId="77777777" w:rsidR="008217B5" w:rsidRPr="0062789D" w:rsidRDefault="008217B5" w:rsidP="008217B5">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62789D">
                    <w:rPr>
                      <w:rFonts w:ascii="Open Sans Semibold" w:eastAsia="Times New Roman" w:hAnsi="Open Sans Semibold" w:cs="Open Sans Semibold"/>
                      <w:color w:val="000000"/>
                      <w:sz w:val="16"/>
                      <w:szCs w:val="16"/>
                      <w:lang w:eastAsia="en-AU"/>
                    </w:rPr>
                    <w:t>1,538</w:t>
                  </w:r>
                </w:p>
              </w:tc>
            </w:tr>
          </w:tbl>
          <w:p w14:paraId="156E50FF" w14:textId="5A766137" w:rsidR="00FE79E4" w:rsidRPr="00E96B14" w:rsidRDefault="00E96B14" w:rsidP="008746E6">
            <w:pPr>
              <w:pStyle w:val="CGC2025Caption"/>
              <w:spacing w:before="160" w:after="0"/>
              <w:ind w:left="1452" w:hanging="1452"/>
              <w:rPr>
                <w:rFonts w:ascii="Times New Roman" w:hAnsi="Times New Roman" w:cs="Times New Roman"/>
              </w:rPr>
            </w:pPr>
            <w:r>
              <w:rPr>
                <w:rFonts w:ascii="Times New Roman" w:hAnsi="Times New Roman" w:cs="Times New Roman" w:hint="eastAsia"/>
                <w:rtl/>
              </w:rPr>
              <w:t>‍</w:t>
            </w:r>
          </w:p>
        </w:tc>
      </w:tr>
    </w:tbl>
    <w:p w14:paraId="0DD03F50" w14:textId="77777777" w:rsidR="005133CB" w:rsidRPr="00583ABB" w:rsidRDefault="005133CB" w:rsidP="005133CB">
      <w:pPr>
        <w:pStyle w:val="Heading4"/>
      </w:pPr>
      <w:r w:rsidRPr="00583ABB">
        <w:lastRenderedPageBreak/>
        <w:t>Property sales</w:t>
      </w:r>
    </w:p>
    <w:p w14:paraId="09199E2F" w14:textId="77777777" w:rsidR="005133CB" w:rsidRPr="000F668C" w:rsidRDefault="005133CB" w:rsidP="005133CB">
      <w:r w:rsidRPr="000F668C">
        <w:t xml:space="preserve">Stamp duties from the transfer of property are volatile. Property market cycles can lead to large changes across years and states. This can have </w:t>
      </w:r>
      <w:r>
        <w:t>large</w:t>
      </w:r>
      <w:r w:rsidRPr="000F668C">
        <w:t xml:space="preserve"> effects on states’ </w:t>
      </w:r>
      <w:r>
        <w:t xml:space="preserve">relative </w:t>
      </w:r>
      <w:r w:rsidRPr="000F668C">
        <w:t>revenue raising capacities.</w:t>
      </w:r>
      <w:r w:rsidRPr="000F668C">
        <w:rPr>
          <w:rFonts w:hint="eastAsia"/>
          <w:rtl/>
        </w:rPr>
        <w:t>‍</w:t>
      </w:r>
      <w:r w:rsidRPr="000F668C">
        <w:rPr>
          <w:rFonts w:hint="cs"/>
          <w:rtl/>
        </w:rPr>
        <w:t>‍‍‍‍‍‍‍</w:t>
      </w:r>
      <w:r w:rsidRPr="000F668C">
        <w:rPr>
          <w:rtl/>
        </w:rPr>
        <w:t>‍‍</w:t>
      </w:r>
    </w:p>
    <w:p w14:paraId="36D61471" w14:textId="3DC871F8" w:rsidR="005133CB" w:rsidRPr="005462F8" w:rsidRDefault="005133CB" w:rsidP="005133CB">
      <w:r>
        <w:t>In</w:t>
      </w:r>
      <w:r w:rsidRPr="00ED4695">
        <w:t xml:space="preserve"> 2024–25, the </w:t>
      </w:r>
      <w:r>
        <w:t>national</w:t>
      </w:r>
      <w:r w:rsidRPr="00ED4695">
        <w:t xml:space="preserve"> per capita value of property transferred </w:t>
      </w:r>
      <w:r>
        <w:t>was 6% lower than in</w:t>
      </w:r>
      <w:r w:rsidRPr="00ED4695">
        <w:t xml:space="preserve"> 2021–22</w:t>
      </w:r>
      <w:r>
        <w:t>.</w:t>
      </w:r>
      <w:r w:rsidRPr="00ED4695">
        <w:t xml:space="preserve"> </w:t>
      </w:r>
      <w:r w:rsidRPr="009E3DA2">
        <w:t>However, Queensland, Western Australia and South Australia experienced growth over the period</w:t>
      </w:r>
      <w:r w:rsidR="000B72A0" w:rsidRPr="009E3DA2">
        <w:t xml:space="preserve"> (see Figure 2-2)</w:t>
      </w:r>
      <w:r w:rsidR="003D24A6" w:rsidRPr="009E3DA2">
        <w:t xml:space="preserve">, which reduces these </w:t>
      </w:r>
      <w:r w:rsidR="00E45E9D" w:rsidRPr="009E3DA2">
        <w:t xml:space="preserve">states’ assessed GST needs. </w:t>
      </w:r>
      <w:r w:rsidR="00983871" w:rsidRPr="009E3DA2">
        <w:t xml:space="preserve">Tasmania’s </w:t>
      </w:r>
      <w:r w:rsidR="00045D59" w:rsidRPr="009E3DA2">
        <w:t xml:space="preserve">assessed </w:t>
      </w:r>
      <w:r w:rsidR="00983871" w:rsidRPr="009E3DA2">
        <w:t>GST needs</w:t>
      </w:r>
      <w:r w:rsidR="003963AB" w:rsidRPr="009E3DA2">
        <w:t xml:space="preserve"> also reduced b</w:t>
      </w:r>
      <w:r w:rsidR="006A4314" w:rsidRPr="009E3DA2">
        <w:t xml:space="preserve">ecause </w:t>
      </w:r>
      <w:r w:rsidR="003963AB" w:rsidRPr="009E3DA2">
        <w:t>it</w:t>
      </w:r>
      <w:r w:rsidR="00F638AC" w:rsidRPr="009E3DA2">
        <w:t xml:space="preserve">s </w:t>
      </w:r>
      <w:r w:rsidR="009A2335" w:rsidRPr="009E3DA2">
        <w:t xml:space="preserve">fall </w:t>
      </w:r>
      <w:r w:rsidR="00C014C8" w:rsidRPr="009E3DA2">
        <w:t xml:space="preserve">in the </w:t>
      </w:r>
      <w:r w:rsidR="002A3BA5" w:rsidRPr="009E3DA2">
        <w:t>per capita</w:t>
      </w:r>
      <w:r w:rsidR="00C014C8" w:rsidRPr="009E3DA2">
        <w:t xml:space="preserve"> value of property transferred</w:t>
      </w:r>
      <w:r w:rsidR="009A2335" w:rsidRPr="009E3DA2">
        <w:t xml:space="preserve"> over the period was</w:t>
      </w:r>
      <w:r w:rsidRPr="009E3DA2">
        <w:t xml:space="preserve"> below</w:t>
      </w:r>
      <w:r w:rsidR="00DB6113" w:rsidRPr="009E3DA2">
        <w:t xml:space="preserve"> </w:t>
      </w:r>
      <w:r w:rsidRPr="009E3DA2">
        <w:t>average.</w:t>
      </w:r>
    </w:p>
    <w:p w14:paraId="31186B9D" w14:textId="117215C6" w:rsidR="005133CB" w:rsidRDefault="005133CB" w:rsidP="005133CB">
      <w:pPr>
        <w:pStyle w:val="CGC2025Caption"/>
        <w:keepNext/>
      </w:pPr>
      <w:r>
        <w:lastRenderedPageBreak/>
        <w:t>Figure 2-2</w:t>
      </w:r>
      <w:r>
        <w:tab/>
        <w:t>Value of property transfer</w:t>
      </w:r>
      <w:r w:rsidR="00A04074">
        <w:t>red</w:t>
      </w:r>
      <w:r>
        <w:t xml:space="preserve"> per capita, 2021–22 to 2024–25</w:t>
      </w:r>
    </w:p>
    <w:p w14:paraId="10E539E2" w14:textId="77777777" w:rsidR="005133CB" w:rsidRPr="00E417F2" w:rsidRDefault="005133CB" w:rsidP="005133CB">
      <w:pPr>
        <w:pStyle w:val="CGC2025Caption"/>
        <w:keepNext/>
        <w:rPr>
          <w:highlight w:val="yellow"/>
        </w:rPr>
      </w:pPr>
      <w:r>
        <w:rPr>
          <w:noProof/>
        </w:rPr>
        <w:drawing>
          <wp:inline distT="0" distB="0" distL="0" distR="0" wp14:anchorId="54019D2F" wp14:editId="5CF80631">
            <wp:extent cx="5580425" cy="3564000"/>
            <wp:effectExtent l="0" t="0" r="1270" b="17780"/>
            <wp:docPr id="897341623" name="Chart 1">
              <a:extLst xmlns:a="http://schemas.openxmlformats.org/drawingml/2006/main">
                <a:ext uri="{FF2B5EF4-FFF2-40B4-BE49-F238E27FC236}">
                  <a16:creationId xmlns:a16="http://schemas.microsoft.com/office/drawing/2014/main" id="{7C218D09-7B27-455C-B25A-67972B366B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C1AFC7E" w14:textId="23E40CFA" w:rsidR="005133CB" w:rsidRPr="00D06B53" w:rsidRDefault="005133CB" w:rsidP="005133CB">
      <w:pPr>
        <w:pStyle w:val="CGC2025TableNote"/>
      </w:pPr>
      <w:r w:rsidRPr="00D06B53">
        <w:t xml:space="preserve">Source: </w:t>
      </w:r>
      <w:r w:rsidR="00AF2C7A">
        <w:t>S</w:t>
      </w:r>
      <w:r w:rsidRPr="00D06B53">
        <w:t>tate</w:t>
      </w:r>
      <w:r w:rsidR="00AF2C7A">
        <w:t>-</w:t>
      </w:r>
      <w:r w:rsidRPr="00D06B53">
        <w:t xml:space="preserve">provided </w:t>
      </w:r>
      <w:r w:rsidR="00AF2C7A">
        <w:t>data</w:t>
      </w:r>
      <w:r w:rsidRPr="00D06B53">
        <w:t>.</w:t>
      </w:r>
    </w:p>
    <w:p w14:paraId="62556AC1" w14:textId="77777777" w:rsidR="005133CB" w:rsidRPr="00A428C5" w:rsidRDefault="005133CB" w:rsidP="005133CB">
      <w:pPr>
        <w:pStyle w:val="Heading4"/>
      </w:pPr>
      <w:r w:rsidRPr="00A428C5">
        <w:t>Taxable land values</w:t>
      </w:r>
    </w:p>
    <w:p w14:paraId="01ED470F" w14:textId="77777777" w:rsidR="005133CB" w:rsidRPr="00C87433" w:rsidRDefault="005133CB" w:rsidP="005133CB">
      <w:r w:rsidRPr="00C87433">
        <w:t>Cycles in property markets change land values and, as a result, states’ capacities to raise land tax.</w:t>
      </w:r>
    </w:p>
    <w:p w14:paraId="06CBAEDE" w14:textId="77777777" w:rsidR="005133CB" w:rsidRPr="00C87433" w:rsidRDefault="005133CB" w:rsidP="005133CB">
      <w:r w:rsidRPr="00C87433">
        <w:t xml:space="preserve">Total land tax revenue </w:t>
      </w:r>
      <w:r>
        <w:t xml:space="preserve">was 64% higher in </w:t>
      </w:r>
      <w:r w:rsidRPr="00C87433">
        <w:t>2024–25</w:t>
      </w:r>
      <w:r>
        <w:t xml:space="preserve"> than in</w:t>
      </w:r>
      <w:r w:rsidRPr="00C87433">
        <w:t xml:space="preserve"> 2021–22. This reduce</w:t>
      </w:r>
      <w:r>
        <w:t>s</w:t>
      </w:r>
      <w:r w:rsidRPr="00C87433">
        <w:t xml:space="preserve"> the assessed GST needs of states with an above-average capacity to raise land tax (New South Wales and Victoria) and increase</w:t>
      </w:r>
      <w:r>
        <w:t>s</w:t>
      </w:r>
      <w:r w:rsidRPr="00C87433">
        <w:t xml:space="preserve"> the assessed GST needs of the other states.</w:t>
      </w:r>
    </w:p>
    <w:p w14:paraId="4F0038C4" w14:textId="77777777" w:rsidR="005133CB" w:rsidRPr="00A61075" w:rsidRDefault="005133CB" w:rsidP="005133CB">
      <w:r>
        <w:t>In addition</w:t>
      </w:r>
      <w:r w:rsidRPr="000968CB">
        <w:t>, per capita taxable land values increased by 2</w:t>
      </w:r>
      <w:r>
        <w:t>0</w:t>
      </w:r>
      <w:r w:rsidRPr="000968CB">
        <w:t>% nationally. New</w:t>
      </w:r>
      <w:r>
        <w:t> </w:t>
      </w:r>
      <w:r w:rsidRPr="000968CB">
        <w:t>South</w:t>
      </w:r>
      <w:r>
        <w:t> </w:t>
      </w:r>
      <w:r w:rsidRPr="000968CB">
        <w:t>Wales, Queensland, South Australia, Tasmania and the Northern Territory experienced above</w:t>
      </w:r>
      <w:r>
        <w:noBreakHyphen/>
      </w:r>
      <w:r w:rsidRPr="000968CB">
        <w:t xml:space="preserve">average growth over the </w:t>
      </w:r>
      <w:r w:rsidRPr="00A61075">
        <w:t>period (see Figure 2-</w:t>
      </w:r>
      <w:r>
        <w:t>3</w:t>
      </w:r>
      <w:r w:rsidRPr="00A61075">
        <w:t>), reducing their assessed GST needs.</w:t>
      </w:r>
    </w:p>
    <w:p w14:paraId="568E97ED" w14:textId="1DC83ACB" w:rsidR="005133CB" w:rsidRPr="00E417F2" w:rsidRDefault="005133CB" w:rsidP="005133CB">
      <w:pPr>
        <w:rPr>
          <w:highlight w:val="yellow"/>
        </w:rPr>
      </w:pPr>
      <w:r w:rsidRPr="00A61075">
        <w:t>The combined effect of higher total land tax revenue and</w:t>
      </w:r>
      <w:r>
        <w:t xml:space="preserve"> changing growth patterns in per capita taxable land values between states has reduced the assessed GST needs of New South Wales and South Australia. </w:t>
      </w:r>
      <w:r w:rsidR="0062388C">
        <w:t>In turn, this</w:t>
      </w:r>
      <w:r>
        <w:t xml:space="preserve"> has increased the assessed GST needs of the other states.</w:t>
      </w:r>
    </w:p>
    <w:p w14:paraId="37673CC2" w14:textId="77777777" w:rsidR="005133CB" w:rsidRPr="00A61075" w:rsidRDefault="005133CB" w:rsidP="005133CB">
      <w:pPr>
        <w:pStyle w:val="CGC2025Caption"/>
        <w:keepNext/>
      </w:pPr>
      <w:r>
        <w:lastRenderedPageBreak/>
        <w:t>Figure 2-3</w:t>
      </w:r>
      <w:r>
        <w:tab/>
        <w:t>Value of taxable land holdings per capita, 2021–22 to 2024–25</w:t>
      </w:r>
    </w:p>
    <w:p w14:paraId="0E92BA44" w14:textId="77777777" w:rsidR="005133CB" w:rsidRDefault="005133CB" w:rsidP="005133CB">
      <w:pPr>
        <w:pStyle w:val="CGC2025Caption"/>
        <w:keepNext/>
      </w:pPr>
      <w:r w:rsidRPr="0000308C">
        <w:rPr>
          <w:noProof/>
        </w:rPr>
        <w:drawing>
          <wp:inline distT="0" distB="0" distL="0" distR="0" wp14:anchorId="32125D3E" wp14:editId="058FEC64">
            <wp:extent cx="5595620" cy="3573780"/>
            <wp:effectExtent l="0" t="0" r="5080" b="7620"/>
            <wp:docPr id="1844447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5620" cy="3573780"/>
                    </a:xfrm>
                    <a:prstGeom prst="rect">
                      <a:avLst/>
                    </a:prstGeom>
                    <a:noFill/>
                    <a:ln>
                      <a:noFill/>
                    </a:ln>
                  </pic:spPr>
                </pic:pic>
              </a:graphicData>
            </a:graphic>
          </wp:inline>
        </w:drawing>
      </w:r>
    </w:p>
    <w:p w14:paraId="2B9D8EDC" w14:textId="77777777" w:rsidR="00C57DA1" w:rsidRPr="00ED1229" w:rsidRDefault="00C57DA1" w:rsidP="00C57DA1">
      <w:pPr>
        <w:pStyle w:val="CGC2025TableNote"/>
        <w:tabs>
          <w:tab w:val="clear" w:pos="567"/>
          <w:tab w:val="clear" w:pos="680"/>
          <w:tab w:val="left" w:pos="672"/>
          <w:tab w:val="left" w:pos="1134"/>
        </w:tabs>
        <w:ind w:left="709" w:hanging="596"/>
      </w:pPr>
      <w:r w:rsidRPr="00ED1229">
        <w:t xml:space="preserve">Note: </w:t>
      </w:r>
      <w:r w:rsidRPr="00ED1229">
        <w:tab/>
        <w:t>The Commission estimates the Northern Territory’s land values</w:t>
      </w:r>
      <w:r>
        <w:t>.</w:t>
      </w:r>
    </w:p>
    <w:p w14:paraId="65B0D2A0" w14:textId="50F0369F" w:rsidR="005133CB" w:rsidRPr="00ED1229" w:rsidRDefault="005133CB" w:rsidP="005133CB">
      <w:pPr>
        <w:pStyle w:val="CGC2025TableNote"/>
      </w:pPr>
      <w:r w:rsidRPr="00ED1229">
        <w:t xml:space="preserve">Source: </w:t>
      </w:r>
      <w:r w:rsidR="00FB00EA">
        <w:t>S</w:t>
      </w:r>
      <w:r w:rsidRPr="00ED1229">
        <w:t>tate</w:t>
      </w:r>
      <w:r w:rsidR="00FB00EA">
        <w:t>-</w:t>
      </w:r>
      <w:r w:rsidRPr="00ED1229">
        <w:t xml:space="preserve">provided </w:t>
      </w:r>
      <w:r w:rsidR="00FB00EA">
        <w:t>data</w:t>
      </w:r>
      <w:r w:rsidRPr="00ED1229">
        <w:t>.</w:t>
      </w:r>
    </w:p>
    <w:p w14:paraId="053B3F6D" w14:textId="77777777" w:rsidR="005133CB" w:rsidRPr="00A428C5" w:rsidRDefault="005133CB" w:rsidP="005133CB">
      <w:pPr>
        <w:pStyle w:val="Heading4"/>
      </w:pPr>
      <w:r w:rsidRPr="00A428C5">
        <w:t>Population growth</w:t>
      </w:r>
    </w:p>
    <w:p w14:paraId="4CFCDF8F" w14:textId="77777777" w:rsidR="005133CB" w:rsidRDefault="005133CB" w:rsidP="005133CB">
      <w:r>
        <w:t xml:space="preserve">Changes in states’ population growth impact GST distribution. States with faster growing populations </w:t>
      </w:r>
      <w:r w:rsidRPr="00553FBB">
        <w:t>generally</w:t>
      </w:r>
      <w:r>
        <w:t xml:space="preserve"> have</w:t>
      </w:r>
      <w:r w:rsidRPr="00553FBB">
        <w:t xml:space="preserve"> </w:t>
      </w:r>
      <w:r>
        <w:t xml:space="preserve">a greater need to invest in </w:t>
      </w:r>
      <w:r w:rsidDel="006873C3">
        <w:t>infrastructure</w:t>
      </w:r>
      <w:r>
        <w:t>, increasing their assessed GST needs. This is partially offset by a decrease in their net borrowing needs as debt per person is reduced.</w:t>
      </w:r>
    </w:p>
    <w:p w14:paraId="1C195C2D" w14:textId="51E764BF" w:rsidR="005133CB" w:rsidRDefault="0084180B" w:rsidP="005133CB">
      <w:r>
        <w:t xml:space="preserve">States’ population </w:t>
      </w:r>
      <w:r w:rsidRPr="00A61075">
        <w:t>growth rates are presented in Figure 2-</w:t>
      </w:r>
      <w:r>
        <w:t>4</w:t>
      </w:r>
      <w:r w:rsidRPr="00A61075">
        <w:t>.</w:t>
      </w:r>
      <w:r w:rsidR="009B14A7">
        <w:t xml:space="preserve"> </w:t>
      </w:r>
      <w:r w:rsidR="005133CB" w:rsidRPr="00E07152">
        <w:t xml:space="preserve">Victoria experienced </w:t>
      </w:r>
      <w:r w:rsidR="005133CB">
        <w:t xml:space="preserve">a fall in </w:t>
      </w:r>
      <w:r w:rsidR="005133CB" w:rsidRPr="00E07152">
        <w:t xml:space="preserve">population during </w:t>
      </w:r>
      <w:r w:rsidR="005133CB">
        <w:t>2021–22 but has grown in each subsequent year. Removing 2021–22</w:t>
      </w:r>
      <w:r w:rsidR="005133CB" w:rsidDel="004210B3">
        <w:t xml:space="preserve"> </w:t>
      </w:r>
      <w:r w:rsidR="005133CB">
        <w:t>from the calculation increases its assessed GST needs.</w:t>
      </w:r>
      <w:r w:rsidR="005133CB" w:rsidRPr="00E07152">
        <w:t xml:space="preserve"> </w:t>
      </w:r>
    </w:p>
    <w:p w14:paraId="13F1DB0E" w14:textId="1E1CB878" w:rsidR="005133CB" w:rsidRDefault="005133CB" w:rsidP="005133CB">
      <w:r w:rsidRPr="003D116C">
        <w:t xml:space="preserve">New South Wales and the Northern Territory experienced </w:t>
      </w:r>
      <w:r>
        <w:t xml:space="preserve">a </w:t>
      </w:r>
      <w:r w:rsidRPr="003D116C">
        <w:t>below</w:t>
      </w:r>
      <w:r>
        <w:t>-</w:t>
      </w:r>
      <w:r w:rsidRPr="003D116C">
        <w:t>average</w:t>
      </w:r>
      <w:r>
        <w:t xml:space="preserve"> increase in</w:t>
      </w:r>
      <w:r w:rsidRPr="003D116C">
        <w:t xml:space="preserve"> population growth </w:t>
      </w:r>
      <w:r>
        <w:t xml:space="preserve">in 2024–25 compared with </w:t>
      </w:r>
      <w:r w:rsidRPr="003D116C">
        <w:t>2021–22. This increase</w:t>
      </w:r>
      <w:r>
        <w:t>s</w:t>
      </w:r>
      <w:r w:rsidRPr="003D116C">
        <w:t xml:space="preserve"> </w:t>
      </w:r>
      <w:r>
        <w:t xml:space="preserve">the assessed GST </w:t>
      </w:r>
      <w:r w:rsidRPr="003D116C">
        <w:t>needs of both states</w:t>
      </w:r>
      <w:r>
        <w:t xml:space="preserve"> for net borrowing</w:t>
      </w:r>
      <w:r w:rsidRPr="003D116C">
        <w:t xml:space="preserve"> and decrease</w:t>
      </w:r>
      <w:r>
        <w:t>s</w:t>
      </w:r>
      <w:r w:rsidRPr="003D116C">
        <w:t xml:space="preserve"> New South </w:t>
      </w:r>
      <w:proofErr w:type="spellStart"/>
      <w:r w:rsidRPr="003D116C">
        <w:t>Wales</w:t>
      </w:r>
      <w:r>
        <w:t>’</w:t>
      </w:r>
      <w:proofErr w:type="spellEnd"/>
      <w:r>
        <w:t xml:space="preserve"> needs for investment</w:t>
      </w:r>
      <w:r w:rsidRPr="003D116C">
        <w:t>. Despite</w:t>
      </w:r>
      <w:r>
        <w:t xml:space="preserve"> a</w:t>
      </w:r>
      <w:r w:rsidRPr="003D116C">
        <w:t xml:space="preserve"> below</w:t>
      </w:r>
      <w:r>
        <w:noBreakHyphen/>
      </w:r>
      <w:r w:rsidRPr="003D116C">
        <w:t>average</w:t>
      </w:r>
      <w:r>
        <w:t xml:space="preserve"> increase in</w:t>
      </w:r>
      <w:r w:rsidRPr="003D116C">
        <w:t xml:space="preserve"> population growth, the Northern</w:t>
      </w:r>
      <w:r>
        <w:t> </w:t>
      </w:r>
      <w:r w:rsidRPr="003D116C">
        <w:t>Territory had an increased share of the user population for investment in schools</w:t>
      </w:r>
      <w:r>
        <w:t xml:space="preserve"> and health.</w:t>
      </w:r>
      <w:r w:rsidRPr="003D116C">
        <w:t xml:space="preserve"> </w:t>
      </w:r>
      <w:r>
        <w:t>This</w:t>
      </w:r>
      <w:r w:rsidRPr="003D116C">
        <w:t xml:space="preserve"> increase</w:t>
      </w:r>
      <w:r>
        <w:t>s</w:t>
      </w:r>
      <w:r w:rsidRPr="003D116C">
        <w:t xml:space="preserve"> its </w:t>
      </w:r>
      <w:r>
        <w:t>assessed GST</w:t>
      </w:r>
      <w:r w:rsidRPr="003D116C">
        <w:t xml:space="preserve"> needs</w:t>
      </w:r>
      <w:r>
        <w:t>.</w:t>
      </w:r>
    </w:p>
    <w:p w14:paraId="406D5E1C" w14:textId="77777777" w:rsidR="005133CB" w:rsidRPr="00A61075" w:rsidRDefault="005133CB" w:rsidP="005133CB">
      <w:pPr>
        <w:pStyle w:val="CGC2025Caption"/>
        <w:keepNext/>
      </w:pPr>
      <w:r w:rsidRPr="00A61075">
        <w:lastRenderedPageBreak/>
        <w:t>Figure 2-</w:t>
      </w:r>
      <w:r>
        <w:t>4</w:t>
      </w:r>
      <w:r w:rsidRPr="00A61075">
        <w:tab/>
        <w:t>Population growth rate, 2021–22 to 2024–25</w:t>
      </w:r>
    </w:p>
    <w:p w14:paraId="3EC03096" w14:textId="77777777" w:rsidR="005133CB" w:rsidRDefault="005133CB" w:rsidP="005133CB">
      <w:pPr>
        <w:tabs>
          <w:tab w:val="clear" w:pos="567"/>
        </w:tabs>
        <w:spacing w:before="0" w:line="240" w:lineRule="auto"/>
      </w:pPr>
      <w:r w:rsidRPr="00A426BD">
        <w:rPr>
          <w:noProof/>
        </w:rPr>
        <w:drawing>
          <wp:inline distT="0" distB="0" distL="0" distR="0" wp14:anchorId="7D6C7C23" wp14:editId="45E33351">
            <wp:extent cx="5595620" cy="3573780"/>
            <wp:effectExtent l="0" t="0" r="5080" b="7620"/>
            <wp:docPr id="592237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95620" cy="3573780"/>
                    </a:xfrm>
                    <a:prstGeom prst="rect">
                      <a:avLst/>
                    </a:prstGeom>
                    <a:noFill/>
                    <a:ln>
                      <a:noFill/>
                    </a:ln>
                  </pic:spPr>
                </pic:pic>
              </a:graphicData>
            </a:graphic>
          </wp:inline>
        </w:drawing>
      </w:r>
    </w:p>
    <w:p w14:paraId="6E14D137" w14:textId="77777777" w:rsidR="005133CB" w:rsidRPr="009B42CF" w:rsidRDefault="005133CB" w:rsidP="005133CB">
      <w:pPr>
        <w:pStyle w:val="CGC2025TableNote"/>
      </w:pPr>
      <w:r w:rsidRPr="009B42CF">
        <w:t>Source: ABS data.</w:t>
      </w:r>
    </w:p>
    <w:p w14:paraId="54CF99F5" w14:textId="77777777" w:rsidR="005133CB" w:rsidRPr="00D25CFF" w:rsidRDefault="005133CB" w:rsidP="005133CB">
      <w:pPr>
        <w:pStyle w:val="Heading4"/>
      </w:pPr>
      <w:r w:rsidRPr="00D25CFF">
        <w:t>Capital improvements</w:t>
      </w:r>
    </w:p>
    <w:p w14:paraId="3B521BE1" w14:textId="77777777" w:rsidR="005133CB" w:rsidRPr="00D25CFF" w:rsidRDefault="005133CB" w:rsidP="005133CB">
      <w:r>
        <w:t>U</w:t>
      </w:r>
      <w:r w:rsidRPr="00D25CFF">
        <w:t>rban transport investment was 19% lower</w:t>
      </w:r>
      <w:r>
        <w:t xml:space="preserve"> in </w:t>
      </w:r>
      <w:r w:rsidRPr="00D25CFF">
        <w:t xml:space="preserve">2024–25 </w:t>
      </w:r>
      <w:r>
        <w:t xml:space="preserve">than in </w:t>
      </w:r>
      <w:r w:rsidRPr="00D25CFF">
        <w:t>2021</w:t>
      </w:r>
      <w:r>
        <w:t>–</w:t>
      </w:r>
      <w:r w:rsidRPr="00D25CFF">
        <w:t>22</w:t>
      </w:r>
      <w:r>
        <w:t>, reflecting</w:t>
      </w:r>
      <w:r w:rsidRPr="00D25CFF">
        <w:t xml:space="preserve"> the completion of several major rail projects in 2023–24. </w:t>
      </w:r>
      <w:r>
        <w:t xml:space="preserve">This reduces </w:t>
      </w:r>
      <w:r w:rsidRPr="00D25CFF">
        <w:t>the</w:t>
      </w:r>
      <w:r>
        <w:t xml:space="preserve"> assessed</w:t>
      </w:r>
      <w:r w:rsidRPr="00D25CFF">
        <w:t xml:space="preserve"> GST needs of New</w:t>
      </w:r>
      <w:r>
        <w:t> </w:t>
      </w:r>
      <w:r w:rsidRPr="00D25CFF">
        <w:t>South</w:t>
      </w:r>
      <w:r>
        <w:t> </w:t>
      </w:r>
      <w:r w:rsidRPr="00D25CFF">
        <w:t>Wales and Victoria</w:t>
      </w:r>
      <w:r w:rsidRPr="00D25CFF" w:rsidDel="00174CB9">
        <w:t>.</w:t>
      </w:r>
    </w:p>
    <w:p w14:paraId="58045257" w14:textId="77777777" w:rsidR="005133CB" w:rsidRPr="00ED1229" w:rsidRDefault="005133CB" w:rsidP="005133CB">
      <w:pPr>
        <w:pStyle w:val="Heading4"/>
      </w:pPr>
      <w:r w:rsidRPr="00ED1229">
        <w:t>Commonwealth payments</w:t>
      </w:r>
    </w:p>
    <w:p w14:paraId="38D7B803" w14:textId="77777777" w:rsidR="005133CB" w:rsidRDefault="005133CB" w:rsidP="005133CB">
      <w:r w:rsidRPr="006122FB">
        <w:t xml:space="preserve">The Commonwealth makes payments to states for specific purposes. If a payment is for a state-type service for which the Commission assesses expense needs, then this revenue is included </w:t>
      </w:r>
      <w:r>
        <w:t xml:space="preserve">in </w:t>
      </w:r>
      <w:r w:rsidRPr="006122FB">
        <w:t>the Commission</w:t>
      </w:r>
      <w:r>
        <w:t>’s</w:t>
      </w:r>
      <w:r w:rsidRPr="006122FB">
        <w:t xml:space="preserve"> assess</w:t>
      </w:r>
      <w:r>
        <w:t>ment</w:t>
      </w:r>
      <w:r w:rsidRPr="006122FB">
        <w:t>. To the extent that a state receives above</w:t>
      </w:r>
      <w:r>
        <w:noBreakHyphen/>
      </w:r>
      <w:r w:rsidRPr="006122FB">
        <w:t>average per capita amounts of Commonwealth payments, it require</w:t>
      </w:r>
      <w:r>
        <w:t>s</w:t>
      </w:r>
      <w:r w:rsidRPr="006122FB">
        <w:t xml:space="preserve"> less GST per capita.</w:t>
      </w:r>
      <w:r>
        <w:t xml:space="preserve"> The total value of assessed Commonwealth payments was lower in 2024–25 than in 2021–</w:t>
      </w:r>
      <w:r>
        <w:rPr>
          <w:rFonts w:ascii="Times New Roman" w:hAnsi="Times New Roman" w:cs="Times New Roman" w:hint="eastAsia"/>
          <w:rtl/>
        </w:rPr>
        <w:t>‍</w:t>
      </w:r>
      <w:r>
        <w:rPr>
          <w:rFonts w:ascii="Times New Roman" w:hAnsi="Times New Roman" w:cs="Times New Roman"/>
        </w:rPr>
        <w:t>‍</w:t>
      </w:r>
      <w:r>
        <w:rPr>
          <w:rFonts w:ascii="Times New Roman" w:hAnsi="Times New Roman" w:cs="Times New Roman" w:hint="eastAsia"/>
          <w:rtl/>
        </w:rPr>
        <w:t>‍‍</w:t>
      </w:r>
      <w:r>
        <w:t xml:space="preserve">22. </w:t>
      </w:r>
    </w:p>
    <w:p w14:paraId="46BB0DDA" w14:textId="77777777" w:rsidR="005133CB" w:rsidRPr="00A61075" w:rsidRDefault="005133CB" w:rsidP="005133CB">
      <w:r w:rsidRPr="005205A7">
        <w:t>New and ceased payments in 2024–</w:t>
      </w:r>
      <w:r w:rsidRPr="005205A7">
        <w:rPr>
          <w:rFonts w:ascii="Times New Roman" w:hAnsi="Times New Roman" w:cs="Times New Roman" w:hint="eastAsia"/>
          <w:rtl/>
        </w:rPr>
        <w:t>‍</w:t>
      </w:r>
      <w:r w:rsidRPr="005205A7">
        <w:t>25 impact GST distribution.</w:t>
      </w:r>
      <w:r w:rsidRPr="00654767">
        <w:t xml:space="preserve"> Payments for infrastructure investment </w:t>
      </w:r>
      <w:r>
        <w:t>i</w:t>
      </w:r>
      <w:r w:rsidRPr="00654767">
        <w:t>n rai</w:t>
      </w:r>
      <w:r>
        <w:t>l</w:t>
      </w:r>
      <w:r w:rsidRPr="00654767">
        <w:t xml:space="preserve"> </w:t>
      </w:r>
      <w:r>
        <w:t xml:space="preserve">and </w:t>
      </w:r>
      <w:r w:rsidRPr="00654767">
        <w:t>roads</w:t>
      </w:r>
      <w:r>
        <w:t xml:space="preserve"> have the largest impact on changes to states’ shares of Commonwealth payments </w:t>
      </w:r>
      <w:r w:rsidRPr="00BE27FA">
        <w:t>(</w:t>
      </w:r>
      <w:r w:rsidRPr="00A61075">
        <w:t>see Table 2-9)</w:t>
      </w:r>
      <w:r>
        <w:t>.</w:t>
      </w:r>
    </w:p>
    <w:p w14:paraId="4DD24BDF" w14:textId="14C8C116" w:rsidR="00356325" w:rsidRPr="00A61075" w:rsidRDefault="005133CB" w:rsidP="00356325">
      <w:r>
        <w:t xml:space="preserve">In response to the Supplementary Terms of Reference for the 2025 Review, </w:t>
      </w:r>
      <w:r w:rsidRPr="00BA2171">
        <w:t xml:space="preserve">the Better and Fairer Schools Agreement payments </w:t>
      </w:r>
      <w:r w:rsidR="007C13F4" w:rsidRPr="00BA2171">
        <w:t>do</w:t>
      </w:r>
      <w:r w:rsidRPr="00BA2171">
        <w:t xml:space="preserve"> not impact GST distribution</w:t>
      </w:r>
      <w:r>
        <w:t xml:space="preserve"> for</w:t>
      </w:r>
      <w:r w:rsidDel="008D1C60">
        <w:t xml:space="preserve"> </w:t>
      </w:r>
      <w:r>
        <w:t>the assessment year coming in, 2024–</w:t>
      </w:r>
      <w:r w:rsidRPr="01FA468F">
        <w:rPr>
          <w:rFonts w:ascii="Times New Roman" w:hAnsi="Times New Roman" w:cs="Times New Roman"/>
        </w:rPr>
        <w:t>‍</w:t>
      </w:r>
      <w:r>
        <w:t>25. Compared with 2021–</w:t>
      </w:r>
      <w:r>
        <w:rPr>
          <w:rFonts w:ascii="Times New Roman" w:hAnsi="Times New Roman" w:cs="Times New Roman" w:hint="eastAsia"/>
          <w:rtl/>
        </w:rPr>
        <w:t>‍</w:t>
      </w:r>
      <w:r>
        <w:t>22, which included Quality Schools payments, this change has both a revenue and expense impact on assessed GST needs</w:t>
      </w:r>
      <w:r w:rsidR="00DC7A7B">
        <w:t>, which</w:t>
      </w:r>
      <w:r>
        <w:t xml:space="preserve"> largely offset each other.</w:t>
      </w:r>
      <w:r w:rsidR="00356325">
        <w:br/>
      </w:r>
    </w:p>
    <w:p w14:paraId="0D0865CD" w14:textId="77777777" w:rsidR="005133CB" w:rsidRDefault="005133CB" w:rsidP="002418B3">
      <w:pPr>
        <w:pStyle w:val="CGC2025Caption"/>
        <w:keepNext/>
        <w:spacing w:before="0"/>
        <w:ind w:left="1440" w:hanging="1440"/>
      </w:pPr>
      <w:r w:rsidRPr="00A61075">
        <w:lastRenderedPageBreak/>
        <w:t>Table 2-9</w:t>
      </w:r>
      <w:r w:rsidRPr="00A61075">
        <w:tab/>
        <w:t xml:space="preserve">Changes in the </w:t>
      </w:r>
      <w:r>
        <w:t>assessed</w:t>
      </w:r>
      <w:r w:rsidRPr="00A61075">
        <w:t xml:space="preserve"> GST </w:t>
      </w:r>
      <w:r>
        <w:t>needs</w:t>
      </w:r>
      <w:r w:rsidRPr="00A61075">
        <w:t xml:space="preserve"> due to</w:t>
      </w:r>
      <w:r w:rsidRPr="00032644">
        <w:t xml:space="preserve"> changes in Commonwealth payments, 2025–26 to 2026–27</w:t>
      </w:r>
      <w:r>
        <w:t xml:space="preserve"> (a)</w:t>
      </w:r>
    </w:p>
    <w:tbl>
      <w:tblPr>
        <w:tblW w:w="9040" w:type="dxa"/>
        <w:tblLook w:val="04A0" w:firstRow="1" w:lastRow="0" w:firstColumn="1" w:lastColumn="0" w:noHBand="0" w:noVBand="1"/>
      </w:tblPr>
      <w:tblGrid>
        <w:gridCol w:w="4315"/>
        <w:gridCol w:w="581"/>
        <w:gridCol w:w="542"/>
        <w:gridCol w:w="487"/>
        <w:gridCol w:w="542"/>
        <w:gridCol w:w="461"/>
        <w:gridCol w:w="478"/>
        <w:gridCol w:w="514"/>
        <w:gridCol w:w="461"/>
        <w:gridCol w:w="659"/>
      </w:tblGrid>
      <w:tr w:rsidR="00C76137" w:rsidRPr="00C76137" w14:paraId="440D96FE" w14:textId="77777777" w:rsidTr="00C76137">
        <w:trPr>
          <w:trHeight w:val="553"/>
        </w:trPr>
        <w:tc>
          <w:tcPr>
            <w:tcW w:w="5347" w:type="dxa"/>
            <w:tcBorders>
              <w:top w:val="nil"/>
              <w:left w:val="nil"/>
              <w:bottom w:val="nil"/>
              <w:right w:val="nil"/>
            </w:tcBorders>
            <w:shd w:val="clear" w:color="000000" w:fill="006991"/>
            <w:vAlign w:val="center"/>
            <w:hideMark/>
          </w:tcPr>
          <w:p w14:paraId="2290CAAA" w14:textId="77777777" w:rsidR="00C76137" w:rsidRPr="00C76137" w:rsidRDefault="00C76137" w:rsidP="002418B3">
            <w:pPr>
              <w:keepNext/>
              <w:tabs>
                <w:tab w:val="clear" w:pos="567"/>
              </w:tabs>
              <w:spacing w:before="0" w:line="240" w:lineRule="auto"/>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 </w:t>
            </w:r>
          </w:p>
        </w:tc>
        <w:tc>
          <w:tcPr>
            <w:tcW w:w="395" w:type="dxa"/>
            <w:tcBorders>
              <w:top w:val="nil"/>
              <w:left w:val="nil"/>
              <w:bottom w:val="nil"/>
              <w:right w:val="nil"/>
            </w:tcBorders>
            <w:shd w:val="clear" w:color="000000" w:fill="006991"/>
            <w:vAlign w:val="center"/>
            <w:hideMark/>
          </w:tcPr>
          <w:p w14:paraId="27BBA5A4"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NSW</w:t>
            </w:r>
          </w:p>
        </w:tc>
        <w:tc>
          <w:tcPr>
            <w:tcW w:w="559" w:type="dxa"/>
            <w:tcBorders>
              <w:top w:val="nil"/>
              <w:left w:val="nil"/>
              <w:bottom w:val="nil"/>
              <w:right w:val="nil"/>
            </w:tcBorders>
            <w:shd w:val="clear" w:color="000000" w:fill="006991"/>
            <w:vAlign w:val="center"/>
            <w:hideMark/>
          </w:tcPr>
          <w:p w14:paraId="64CE3BCC"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Vic</w:t>
            </w:r>
          </w:p>
        </w:tc>
        <w:tc>
          <w:tcPr>
            <w:tcW w:w="380" w:type="dxa"/>
            <w:tcBorders>
              <w:top w:val="nil"/>
              <w:left w:val="nil"/>
              <w:bottom w:val="nil"/>
              <w:right w:val="nil"/>
            </w:tcBorders>
            <w:shd w:val="clear" w:color="000000" w:fill="006991"/>
            <w:vAlign w:val="center"/>
            <w:hideMark/>
          </w:tcPr>
          <w:p w14:paraId="56D8FC4A"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Qld</w:t>
            </w:r>
          </w:p>
        </w:tc>
        <w:tc>
          <w:tcPr>
            <w:tcW w:w="559" w:type="dxa"/>
            <w:tcBorders>
              <w:top w:val="nil"/>
              <w:left w:val="nil"/>
              <w:bottom w:val="nil"/>
              <w:right w:val="nil"/>
            </w:tcBorders>
            <w:shd w:val="clear" w:color="000000" w:fill="006991"/>
            <w:vAlign w:val="center"/>
            <w:hideMark/>
          </w:tcPr>
          <w:p w14:paraId="5D539466"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WA</w:t>
            </w:r>
          </w:p>
        </w:tc>
        <w:tc>
          <w:tcPr>
            <w:tcW w:w="340" w:type="dxa"/>
            <w:tcBorders>
              <w:top w:val="nil"/>
              <w:left w:val="nil"/>
              <w:bottom w:val="nil"/>
              <w:right w:val="nil"/>
            </w:tcBorders>
            <w:shd w:val="clear" w:color="000000" w:fill="006991"/>
            <w:vAlign w:val="center"/>
            <w:hideMark/>
          </w:tcPr>
          <w:p w14:paraId="6A70EE02"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SA</w:t>
            </w:r>
          </w:p>
        </w:tc>
        <w:tc>
          <w:tcPr>
            <w:tcW w:w="320" w:type="dxa"/>
            <w:tcBorders>
              <w:top w:val="nil"/>
              <w:left w:val="nil"/>
              <w:bottom w:val="nil"/>
              <w:right w:val="nil"/>
            </w:tcBorders>
            <w:shd w:val="clear" w:color="000000" w:fill="006991"/>
            <w:vAlign w:val="center"/>
            <w:hideMark/>
          </w:tcPr>
          <w:p w14:paraId="0967C495"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Tas</w:t>
            </w:r>
          </w:p>
        </w:tc>
        <w:tc>
          <w:tcPr>
            <w:tcW w:w="340" w:type="dxa"/>
            <w:tcBorders>
              <w:top w:val="nil"/>
              <w:left w:val="nil"/>
              <w:bottom w:val="nil"/>
              <w:right w:val="nil"/>
            </w:tcBorders>
            <w:shd w:val="clear" w:color="000000" w:fill="006991"/>
            <w:vAlign w:val="center"/>
            <w:hideMark/>
          </w:tcPr>
          <w:p w14:paraId="6CED3349"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ACT</w:t>
            </w:r>
          </w:p>
        </w:tc>
        <w:tc>
          <w:tcPr>
            <w:tcW w:w="320" w:type="dxa"/>
            <w:tcBorders>
              <w:top w:val="nil"/>
              <w:left w:val="nil"/>
              <w:bottom w:val="nil"/>
              <w:right w:val="nil"/>
            </w:tcBorders>
            <w:shd w:val="clear" w:color="000000" w:fill="006991"/>
            <w:vAlign w:val="center"/>
            <w:hideMark/>
          </w:tcPr>
          <w:p w14:paraId="62D56955"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NT</w:t>
            </w:r>
          </w:p>
        </w:tc>
        <w:tc>
          <w:tcPr>
            <w:tcW w:w="480" w:type="dxa"/>
            <w:tcBorders>
              <w:top w:val="nil"/>
              <w:left w:val="nil"/>
              <w:bottom w:val="nil"/>
              <w:right w:val="nil"/>
            </w:tcBorders>
            <w:shd w:val="clear" w:color="000000" w:fill="006991"/>
            <w:vAlign w:val="center"/>
            <w:hideMark/>
          </w:tcPr>
          <w:p w14:paraId="3036DEC9"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76137">
              <w:rPr>
                <w:rFonts w:ascii="Open Sans Semibold" w:eastAsia="Times New Roman" w:hAnsi="Open Sans Semibold" w:cs="Open Sans Semibold"/>
                <w:color w:val="FFFFFF"/>
                <w:sz w:val="16"/>
                <w:szCs w:val="16"/>
                <w:lang w:eastAsia="en-AU"/>
              </w:rPr>
              <w:t>Total effect</w:t>
            </w:r>
          </w:p>
        </w:tc>
      </w:tr>
      <w:tr w:rsidR="00C76137" w:rsidRPr="00C76137" w14:paraId="78EAF115" w14:textId="77777777" w:rsidTr="00C76137">
        <w:trPr>
          <w:trHeight w:val="260"/>
        </w:trPr>
        <w:tc>
          <w:tcPr>
            <w:tcW w:w="5347" w:type="dxa"/>
            <w:tcBorders>
              <w:top w:val="single" w:sz="4" w:space="0" w:color="ADD6EA"/>
              <w:left w:val="nil"/>
              <w:bottom w:val="nil"/>
              <w:right w:val="nil"/>
            </w:tcBorders>
            <w:shd w:val="clear" w:color="000000" w:fill="B6D5E4"/>
            <w:vAlign w:val="bottom"/>
            <w:hideMark/>
          </w:tcPr>
          <w:p w14:paraId="58665D2C" w14:textId="77777777" w:rsidR="00C76137" w:rsidRPr="00C76137" w:rsidRDefault="00C76137" w:rsidP="002418B3">
            <w:pPr>
              <w:keepNext/>
              <w:tabs>
                <w:tab w:val="clear" w:pos="567"/>
              </w:tabs>
              <w:spacing w:before="0" w:line="240" w:lineRule="auto"/>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 </w:t>
            </w:r>
          </w:p>
        </w:tc>
        <w:tc>
          <w:tcPr>
            <w:tcW w:w="395" w:type="dxa"/>
            <w:tcBorders>
              <w:top w:val="single" w:sz="4" w:space="0" w:color="ADD6EA"/>
              <w:left w:val="nil"/>
              <w:bottom w:val="nil"/>
              <w:right w:val="nil"/>
            </w:tcBorders>
            <w:shd w:val="clear" w:color="000000" w:fill="B6D5E4"/>
            <w:vAlign w:val="bottom"/>
            <w:hideMark/>
          </w:tcPr>
          <w:p w14:paraId="6A114516"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c>
          <w:tcPr>
            <w:tcW w:w="559" w:type="dxa"/>
            <w:tcBorders>
              <w:top w:val="single" w:sz="4" w:space="0" w:color="ADD6EA"/>
              <w:left w:val="nil"/>
              <w:bottom w:val="nil"/>
              <w:right w:val="nil"/>
            </w:tcBorders>
            <w:shd w:val="clear" w:color="000000" w:fill="B6D5E4"/>
            <w:vAlign w:val="bottom"/>
            <w:hideMark/>
          </w:tcPr>
          <w:p w14:paraId="3394509C"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c>
          <w:tcPr>
            <w:tcW w:w="380" w:type="dxa"/>
            <w:tcBorders>
              <w:top w:val="single" w:sz="4" w:space="0" w:color="ADD6EA"/>
              <w:left w:val="nil"/>
              <w:bottom w:val="nil"/>
              <w:right w:val="nil"/>
            </w:tcBorders>
            <w:shd w:val="clear" w:color="000000" w:fill="B6D5E4"/>
            <w:vAlign w:val="bottom"/>
            <w:hideMark/>
          </w:tcPr>
          <w:p w14:paraId="5BE52E90"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c>
          <w:tcPr>
            <w:tcW w:w="559" w:type="dxa"/>
            <w:tcBorders>
              <w:top w:val="single" w:sz="4" w:space="0" w:color="ADD6EA"/>
              <w:left w:val="nil"/>
              <w:bottom w:val="nil"/>
              <w:right w:val="nil"/>
            </w:tcBorders>
            <w:shd w:val="clear" w:color="000000" w:fill="B6D5E4"/>
            <w:vAlign w:val="bottom"/>
            <w:hideMark/>
          </w:tcPr>
          <w:p w14:paraId="02382581"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c>
          <w:tcPr>
            <w:tcW w:w="340" w:type="dxa"/>
            <w:tcBorders>
              <w:top w:val="single" w:sz="4" w:space="0" w:color="ADD6EA"/>
              <w:left w:val="nil"/>
              <w:bottom w:val="nil"/>
              <w:right w:val="nil"/>
            </w:tcBorders>
            <w:shd w:val="clear" w:color="000000" w:fill="B6D5E4"/>
            <w:vAlign w:val="bottom"/>
            <w:hideMark/>
          </w:tcPr>
          <w:p w14:paraId="3F037B83"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c>
          <w:tcPr>
            <w:tcW w:w="320" w:type="dxa"/>
            <w:tcBorders>
              <w:top w:val="single" w:sz="4" w:space="0" w:color="ADD6EA"/>
              <w:left w:val="nil"/>
              <w:bottom w:val="nil"/>
              <w:right w:val="nil"/>
            </w:tcBorders>
            <w:shd w:val="clear" w:color="000000" w:fill="B6D5E4"/>
            <w:vAlign w:val="bottom"/>
            <w:hideMark/>
          </w:tcPr>
          <w:p w14:paraId="03A62C89"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c>
          <w:tcPr>
            <w:tcW w:w="340" w:type="dxa"/>
            <w:tcBorders>
              <w:top w:val="single" w:sz="4" w:space="0" w:color="ADD6EA"/>
              <w:left w:val="nil"/>
              <w:bottom w:val="nil"/>
              <w:right w:val="nil"/>
            </w:tcBorders>
            <w:shd w:val="clear" w:color="000000" w:fill="B6D5E4"/>
            <w:vAlign w:val="bottom"/>
            <w:hideMark/>
          </w:tcPr>
          <w:p w14:paraId="19072304"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c>
          <w:tcPr>
            <w:tcW w:w="320" w:type="dxa"/>
            <w:tcBorders>
              <w:top w:val="single" w:sz="4" w:space="0" w:color="ADD6EA"/>
              <w:left w:val="nil"/>
              <w:bottom w:val="nil"/>
              <w:right w:val="nil"/>
            </w:tcBorders>
            <w:shd w:val="clear" w:color="000000" w:fill="B6D5E4"/>
            <w:vAlign w:val="bottom"/>
            <w:hideMark/>
          </w:tcPr>
          <w:p w14:paraId="41D7207A"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c>
          <w:tcPr>
            <w:tcW w:w="480" w:type="dxa"/>
            <w:tcBorders>
              <w:top w:val="single" w:sz="4" w:space="0" w:color="ADD6EA"/>
              <w:left w:val="nil"/>
              <w:bottom w:val="nil"/>
              <w:right w:val="nil"/>
            </w:tcBorders>
            <w:shd w:val="clear" w:color="000000" w:fill="B6D5E4"/>
            <w:vAlign w:val="bottom"/>
            <w:hideMark/>
          </w:tcPr>
          <w:p w14:paraId="7505C1DB"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$m</w:t>
            </w:r>
          </w:p>
        </w:tc>
      </w:tr>
      <w:tr w:rsidR="00C76137" w:rsidRPr="00C76137" w14:paraId="1BFD7604" w14:textId="77777777" w:rsidTr="00C76137">
        <w:trPr>
          <w:trHeight w:val="315"/>
        </w:trPr>
        <w:tc>
          <w:tcPr>
            <w:tcW w:w="5347" w:type="dxa"/>
            <w:tcBorders>
              <w:top w:val="single" w:sz="4" w:space="0" w:color="ADD6EA"/>
              <w:left w:val="nil"/>
              <w:bottom w:val="nil"/>
              <w:right w:val="nil"/>
            </w:tcBorders>
            <w:shd w:val="clear" w:color="000000" w:fill="FFFFFF"/>
            <w:vAlign w:val="bottom"/>
            <w:hideMark/>
          </w:tcPr>
          <w:p w14:paraId="682F9CA6"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Infrastructure investment - rail investment</w:t>
            </w:r>
          </w:p>
        </w:tc>
        <w:tc>
          <w:tcPr>
            <w:tcW w:w="395" w:type="dxa"/>
            <w:tcBorders>
              <w:top w:val="single" w:sz="4" w:space="0" w:color="ADD6EA"/>
              <w:left w:val="nil"/>
              <w:bottom w:val="nil"/>
              <w:right w:val="nil"/>
            </w:tcBorders>
            <w:shd w:val="clear" w:color="000000" w:fill="FFFFFF"/>
            <w:vAlign w:val="bottom"/>
            <w:hideMark/>
          </w:tcPr>
          <w:p w14:paraId="05998D69"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153</w:t>
            </w:r>
          </w:p>
        </w:tc>
        <w:tc>
          <w:tcPr>
            <w:tcW w:w="559" w:type="dxa"/>
            <w:tcBorders>
              <w:top w:val="single" w:sz="4" w:space="0" w:color="ADD6EA"/>
              <w:left w:val="nil"/>
              <w:bottom w:val="nil"/>
              <w:right w:val="nil"/>
            </w:tcBorders>
            <w:shd w:val="clear" w:color="000000" w:fill="FFFFFF"/>
            <w:vAlign w:val="bottom"/>
            <w:hideMark/>
          </w:tcPr>
          <w:p w14:paraId="6ED2A758"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97</w:t>
            </w:r>
          </w:p>
        </w:tc>
        <w:tc>
          <w:tcPr>
            <w:tcW w:w="380" w:type="dxa"/>
            <w:tcBorders>
              <w:top w:val="single" w:sz="4" w:space="0" w:color="ADD6EA"/>
              <w:left w:val="nil"/>
              <w:bottom w:val="nil"/>
              <w:right w:val="nil"/>
            </w:tcBorders>
            <w:shd w:val="clear" w:color="000000" w:fill="FFFFFF"/>
            <w:vAlign w:val="bottom"/>
            <w:hideMark/>
          </w:tcPr>
          <w:p w14:paraId="226ACFA2"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9</w:t>
            </w:r>
          </w:p>
        </w:tc>
        <w:tc>
          <w:tcPr>
            <w:tcW w:w="559" w:type="dxa"/>
            <w:tcBorders>
              <w:top w:val="single" w:sz="4" w:space="0" w:color="ADD6EA"/>
              <w:left w:val="nil"/>
              <w:bottom w:val="nil"/>
              <w:right w:val="nil"/>
            </w:tcBorders>
            <w:shd w:val="clear" w:color="000000" w:fill="FFFFFF"/>
            <w:vAlign w:val="bottom"/>
            <w:hideMark/>
          </w:tcPr>
          <w:p w14:paraId="76AC4CA5"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-366</w:t>
            </w:r>
          </w:p>
        </w:tc>
        <w:tc>
          <w:tcPr>
            <w:tcW w:w="340" w:type="dxa"/>
            <w:tcBorders>
              <w:top w:val="single" w:sz="4" w:space="0" w:color="ADD6EA"/>
              <w:left w:val="nil"/>
              <w:bottom w:val="nil"/>
              <w:right w:val="nil"/>
            </w:tcBorders>
            <w:shd w:val="clear" w:color="000000" w:fill="FFFFFF"/>
            <w:vAlign w:val="bottom"/>
            <w:hideMark/>
          </w:tcPr>
          <w:p w14:paraId="4B054B21"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67</w:t>
            </w:r>
          </w:p>
        </w:tc>
        <w:tc>
          <w:tcPr>
            <w:tcW w:w="320" w:type="dxa"/>
            <w:tcBorders>
              <w:top w:val="single" w:sz="4" w:space="0" w:color="ADD6EA"/>
              <w:left w:val="nil"/>
              <w:bottom w:val="nil"/>
              <w:right w:val="nil"/>
            </w:tcBorders>
            <w:shd w:val="clear" w:color="000000" w:fill="FFFFFF"/>
            <w:vAlign w:val="bottom"/>
            <w:hideMark/>
          </w:tcPr>
          <w:p w14:paraId="25200E20"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18</w:t>
            </w:r>
          </w:p>
        </w:tc>
        <w:tc>
          <w:tcPr>
            <w:tcW w:w="340" w:type="dxa"/>
            <w:tcBorders>
              <w:top w:val="single" w:sz="4" w:space="0" w:color="ADD6EA"/>
              <w:left w:val="nil"/>
              <w:bottom w:val="nil"/>
              <w:right w:val="nil"/>
            </w:tcBorders>
            <w:shd w:val="clear" w:color="000000" w:fill="FFFFFF"/>
            <w:vAlign w:val="bottom"/>
            <w:hideMark/>
          </w:tcPr>
          <w:p w14:paraId="59CAB2FF"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16</w:t>
            </w:r>
          </w:p>
        </w:tc>
        <w:tc>
          <w:tcPr>
            <w:tcW w:w="320" w:type="dxa"/>
            <w:tcBorders>
              <w:top w:val="single" w:sz="4" w:space="0" w:color="ADD6EA"/>
              <w:left w:val="nil"/>
              <w:bottom w:val="nil"/>
              <w:right w:val="nil"/>
            </w:tcBorders>
            <w:shd w:val="clear" w:color="000000" w:fill="FFFFFF"/>
            <w:vAlign w:val="bottom"/>
            <w:hideMark/>
          </w:tcPr>
          <w:p w14:paraId="5041C484"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6</w:t>
            </w:r>
          </w:p>
        </w:tc>
        <w:tc>
          <w:tcPr>
            <w:tcW w:w="480" w:type="dxa"/>
            <w:tcBorders>
              <w:top w:val="single" w:sz="4" w:space="0" w:color="ADD6EA"/>
              <w:left w:val="nil"/>
              <w:bottom w:val="nil"/>
              <w:right w:val="nil"/>
            </w:tcBorders>
            <w:shd w:val="clear" w:color="000000" w:fill="FFFFFF"/>
            <w:vAlign w:val="bottom"/>
            <w:hideMark/>
          </w:tcPr>
          <w:p w14:paraId="061CDAA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366</w:t>
            </w:r>
          </w:p>
        </w:tc>
      </w:tr>
      <w:tr w:rsidR="00C76137" w:rsidRPr="00C76137" w14:paraId="7AD86148" w14:textId="77777777" w:rsidTr="00C76137">
        <w:trPr>
          <w:trHeight w:val="315"/>
        </w:trPr>
        <w:tc>
          <w:tcPr>
            <w:tcW w:w="5347" w:type="dxa"/>
            <w:tcBorders>
              <w:top w:val="single" w:sz="4" w:space="0" w:color="ADD6EA"/>
              <w:left w:val="nil"/>
              <w:bottom w:val="nil"/>
              <w:right w:val="nil"/>
            </w:tcBorders>
            <w:shd w:val="clear" w:color="000000" w:fill="FFFFFF"/>
            <w:vAlign w:val="bottom"/>
            <w:hideMark/>
          </w:tcPr>
          <w:p w14:paraId="65A52B27"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Infrastructure investment - road investment</w:t>
            </w:r>
          </w:p>
        </w:tc>
        <w:tc>
          <w:tcPr>
            <w:tcW w:w="395" w:type="dxa"/>
            <w:tcBorders>
              <w:top w:val="single" w:sz="4" w:space="0" w:color="ADD6EA"/>
              <w:left w:val="nil"/>
              <w:bottom w:val="nil"/>
              <w:right w:val="nil"/>
            </w:tcBorders>
            <w:shd w:val="clear" w:color="000000" w:fill="FFFFFF"/>
            <w:vAlign w:val="bottom"/>
            <w:hideMark/>
          </w:tcPr>
          <w:p w14:paraId="0C755DC0"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-63</w:t>
            </w:r>
          </w:p>
        </w:tc>
        <w:tc>
          <w:tcPr>
            <w:tcW w:w="559" w:type="dxa"/>
            <w:tcBorders>
              <w:top w:val="single" w:sz="4" w:space="0" w:color="ADD6EA"/>
              <w:left w:val="nil"/>
              <w:bottom w:val="nil"/>
              <w:right w:val="nil"/>
            </w:tcBorders>
            <w:shd w:val="clear" w:color="000000" w:fill="FFFFFF"/>
            <w:vAlign w:val="bottom"/>
            <w:hideMark/>
          </w:tcPr>
          <w:p w14:paraId="0D9A356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287</w:t>
            </w:r>
          </w:p>
        </w:tc>
        <w:tc>
          <w:tcPr>
            <w:tcW w:w="380" w:type="dxa"/>
            <w:tcBorders>
              <w:top w:val="single" w:sz="4" w:space="0" w:color="ADD6EA"/>
              <w:left w:val="nil"/>
              <w:bottom w:val="nil"/>
              <w:right w:val="nil"/>
            </w:tcBorders>
            <w:shd w:val="clear" w:color="000000" w:fill="FFFFFF"/>
            <w:vAlign w:val="bottom"/>
            <w:hideMark/>
          </w:tcPr>
          <w:p w14:paraId="6FFFF2D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559" w:type="dxa"/>
            <w:tcBorders>
              <w:top w:val="single" w:sz="4" w:space="0" w:color="ADD6EA"/>
              <w:left w:val="nil"/>
              <w:bottom w:val="nil"/>
              <w:right w:val="nil"/>
            </w:tcBorders>
            <w:shd w:val="clear" w:color="000000" w:fill="FFFFFF"/>
            <w:vAlign w:val="bottom"/>
            <w:hideMark/>
          </w:tcPr>
          <w:p w14:paraId="4914A31C"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-102</w:t>
            </w:r>
          </w:p>
        </w:tc>
        <w:tc>
          <w:tcPr>
            <w:tcW w:w="340" w:type="dxa"/>
            <w:tcBorders>
              <w:top w:val="single" w:sz="4" w:space="0" w:color="ADD6EA"/>
              <w:left w:val="nil"/>
              <w:bottom w:val="nil"/>
              <w:right w:val="nil"/>
            </w:tcBorders>
            <w:shd w:val="clear" w:color="000000" w:fill="FFFFFF"/>
            <w:vAlign w:val="bottom"/>
            <w:hideMark/>
          </w:tcPr>
          <w:p w14:paraId="37C24436"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-99</w:t>
            </w:r>
          </w:p>
        </w:tc>
        <w:tc>
          <w:tcPr>
            <w:tcW w:w="320" w:type="dxa"/>
            <w:tcBorders>
              <w:top w:val="single" w:sz="4" w:space="0" w:color="ADD6EA"/>
              <w:left w:val="nil"/>
              <w:bottom w:val="nil"/>
              <w:right w:val="nil"/>
            </w:tcBorders>
            <w:shd w:val="clear" w:color="000000" w:fill="FFFFFF"/>
            <w:vAlign w:val="bottom"/>
            <w:hideMark/>
          </w:tcPr>
          <w:p w14:paraId="32BF99B2"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-20</w:t>
            </w:r>
          </w:p>
        </w:tc>
        <w:tc>
          <w:tcPr>
            <w:tcW w:w="340" w:type="dxa"/>
            <w:tcBorders>
              <w:top w:val="single" w:sz="4" w:space="0" w:color="ADD6EA"/>
              <w:left w:val="nil"/>
              <w:bottom w:val="nil"/>
              <w:right w:val="nil"/>
            </w:tcBorders>
            <w:shd w:val="clear" w:color="000000" w:fill="FFFFFF"/>
            <w:vAlign w:val="bottom"/>
            <w:hideMark/>
          </w:tcPr>
          <w:p w14:paraId="7B77FF7A"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w:t>
            </w:r>
          </w:p>
        </w:tc>
        <w:tc>
          <w:tcPr>
            <w:tcW w:w="320" w:type="dxa"/>
            <w:tcBorders>
              <w:top w:val="single" w:sz="4" w:space="0" w:color="ADD6EA"/>
              <w:left w:val="nil"/>
              <w:bottom w:val="nil"/>
              <w:right w:val="nil"/>
            </w:tcBorders>
            <w:shd w:val="clear" w:color="000000" w:fill="FFFFFF"/>
            <w:vAlign w:val="bottom"/>
            <w:hideMark/>
          </w:tcPr>
          <w:p w14:paraId="4590E5E7"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480" w:type="dxa"/>
            <w:tcBorders>
              <w:top w:val="single" w:sz="4" w:space="0" w:color="ADD6EA"/>
              <w:left w:val="nil"/>
              <w:bottom w:val="nil"/>
              <w:right w:val="nil"/>
            </w:tcBorders>
            <w:shd w:val="clear" w:color="000000" w:fill="FFFFFF"/>
            <w:vAlign w:val="bottom"/>
            <w:hideMark/>
          </w:tcPr>
          <w:p w14:paraId="62D0AF0D"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287</w:t>
            </w:r>
          </w:p>
        </w:tc>
      </w:tr>
      <w:tr w:rsidR="00C76137" w:rsidRPr="00C76137" w14:paraId="17C32E03" w14:textId="77777777" w:rsidTr="00C76137">
        <w:trPr>
          <w:trHeight w:val="320"/>
        </w:trPr>
        <w:tc>
          <w:tcPr>
            <w:tcW w:w="5347" w:type="dxa"/>
            <w:tcBorders>
              <w:top w:val="single" w:sz="4" w:space="0" w:color="ADD6EA"/>
              <w:left w:val="nil"/>
              <w:bottom w:val="nil"/>
              <w:right w:val="nil"/>
            </w:tcBorders>
            <w:shd w:val="clear" w:color="000000" w:fill="FFFFFF"/>
            <w:vAlign w:val="bottom"/>
            <w:hideMark/>
          </w:tcPr>
          <w:p w14:paraId="5A190602"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National Health Reform funding (Hospitals)</w:t>
            </w:r>
          </w:p>
        </w:tc>
        <w:tc>
          <w:tcPr>
            <w:tcW w:w="395" w:type="dxa"/>
            <w:tcBorders>
              <w:top w:val="single" w:sz="4" w:space="0" w:color="ADD6EA"/>
              <w:left w:val="nil"/>
              <w:bottom w:val="nil"/>
              <w:right w:val="nil"/>
            </w:tcBorders>
            <w:shd w:val="clear" w:color="000000" w:fill="FFFFFF"/>
            <w:vAlign w:val="bottom"/>
            <w:hideMark/>
          </w:tcPr>
          <w:p w14:paraId="0D086880"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55</w:t>
            </w:r>
          </w:p>
        </w:tc>
        <w:tc>
          <w:tcPr>
            <w:tcW w:w="559" w:type="dxa"/>
            <w:tcBorders>
              <w:top w:val="single" w:sz="4" w:space="0" w:color="ADD6EA"/>
              <w:left w:val="nil"/>
              <w:bottom w:val="nil"/>
              <w:right w:val="nil"/>
            </w:tcBorders>
            <w:shd w:val="clear" w:color="000000" w:fill="FFFFFF"/>
            <w:vAlign w:val="bottom"/>
            <w:hideMark/>
          </w:tcPr>
          <w:p w14:paraId="169DADF3"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-182</w:t>
            </w:r>
          </w:p>
        </w:tc>
        <w:tc>
          <w:tcPr>
            <w:tcW w:w="380" w:type="dxa"/>
            <w:tcBorders>
              <w:top w:val="single" w:sz="4" w:space="0" w:color="ADD6EA"/>
              <w:left w:val="nil"/>
              <w:bottom w:val="nil"/>
              <w:right w:val="nil"/>
            </w:tcBorders>
            <w:shd w:val="clear" w:color="000000" w:fill="FFFFFF"/>
            <w:vAlign w:val="bottom"/>
            <w:hideMark/>
          </w:tcPr>
          <w:p w14:paraId="3A2706A3"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51</w:t>
            </w:r>
          </w:p>
        </w:tc>
        <w:tc>
          <w:tcPr>
            <w:tcW w:w="559" w:type="dxa"/>
            <w:tcBorders>
              <w:top w:val="single" w:sz="4" w:space="0" w:color="ADD6EA"/>
              <w:left w:val="nil"/>
              <w:bottom w:val="nil"/>
              <w:right w:val="nil"/>
            </w:tcBorders>
            <w:shd w:val="clear" w:color="000000" w:fill="FFFFFF"/>
            <w:vAlign w:val="bottom"/>
            <w:hideMark/>
          </w:tcPr>
          <w:p w14:paraId="0636805F"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63</w:t>
            </w:r>
          </w:p>
        </w:tc>
        <w:tc>
          <w:tcPr>
            <w:tcW w:w="340" w:type="dxa"/>
            <w:tcBorders>
              <w:top w:val="single" w:sz="4" w:space="0" w:color="ADD6EA"/>
              <w:left w:val="nil"/>
              <w:bottom w:val="nil"/>
              <w:right w:val="nil"/>
            </w:tcBorders>
            <w:shd w:val="clear" w:color="000000" w:fill="FFFFFF"/>
            <w:vAlign w:val="bottom"/>
            <w:hideMark/>
          </w:tcPr>
          <w:p w14:paraId="73E7783A"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5</w:t>
            </w:r>
          </w:p>
        </w:tc>
        <w:tc>
          <w:tcPr>
            <w:tcW w:w="320" w:type="dxa"/>
            <w:tcBorders>
              <w:top w:val="single" w:sz="4" w:space="0" w:color="ADD6EA"/>
              <w:left w:val="nil"/>
              <w:bottom w:val="nil"/>
              <w:right w:val="nil"/>
            </w:tcBorders>
            <w:shd w:val="clear" w:color="000000" w:fill="FFFFFF"/>
            <w:vAlign w:val="bottom"/>
            <w:hideMark/>
          </w:tcPr>
          <w:p w14:paraId="11FC405C"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-16</w:t>
            </w:r>
          </w:p>
        </w:tc>
        <w:tc>
          <w:tcPr>
            <w:tcW w:w="340" w:type="dxa"/>
            <w:tcBorders>
              <w:top w:val="single" w:sz="4" w:space="0" w:color="ADD6EA"/>
              <w:left w:val="nil"/>
              <w:bottom w:val="nil"/>
              <w:right w:val="nil"/>
            </w:tcBorders>
            <w:shd w:val="clear" w:color="000000" w:fill="FFFFFF"/>
            <w:vAlign w:val="bottom"/>
            <w:hideMark/>
          </w:tcPr>
          <w:p w14:paraId="153DC37F"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7</w:t>
            </w:r>
          </w:p>
        </w:tc>
        <w:tc>
          <w:tcPr>
            <w:tcW w:w="320" w:type="dxa"/>
            <w:tcBorders>
              <w:top w:val="single" w:sz="4" w:space="0" w:color="ADD6EA"/>
              <w:left w:val="nil"/>
              <w:bottom w:val="nil"/>
              <w:right w:val="nil"/>
            </w:tcBorders>
            <w:shd w:val="clear" w:color="000000" w:fill="FFFFFF"/>
            <w:vAlign w:val="bottom"/>
            <w:hideMark/>
          </w:tcPr>
          <w:p w14:paraId="7D8189D8"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17</w:t>
            </w:r>
          </w:p>
        </w:tc>
        <w:tc>
          <w:tcPr>
            <w:tcW w:w="480" w:type="dxa"/>
            <w:tcBorders>
              <w:top w:val="single" w:sz="4" w:space="0" w:color="ADD6EA"/>
              <w:left w:val="nil"/>
              <w:bottom w:val="nil"/>
              <w:right w:val="nil"/>
            </w:tcBorders>
            <w:shd w:val="clear" w:color="000000" w:fill="FFFFFF"/>
            <w:vAlign w:val="bottom"/>
            <w:hideMark/>
          </w:tcPr>
          <w:p w14:paraId="6D9211D6"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198</w:t>
            </w:r>
          </w:p>
        </w:tc>
      </w:tr>
      <w:tr w:rsidR="00C76137" w:rsidRPr="00C76137" w14:paraId="62CEF6D9" w14:textId="77777777" w:rsidTr="00C76137">
        <w:trPr>
          <w:trHeight w:val="315"/>
        </w:trPr>
        <w:tc>
          <w:tcPr>
            <w:tcW w:w="5347" w:type="dxa"/>
            <w:tcBorders>
              <w:top w:val="single" w:sz="4" w:space="0" w:color="ADD6EA"/>
              <w:left w:val="nil"/>
              <w:bottom w:val="nil"/>
              <w:right w:val="nil"/>
            </w:tcBorders>
            <w:shd w:val="clear" w:color="000000" w:fill="FFFFFF"/>
            <w:vAlign w:val="bottom"/>
            <w:hideMark/>
          </w:tcPr>
          <w:p w14:paraId="35C8F8E4"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Infrastructure investment - Roads of strategic importance</w:t>
            </w:r>
          </w:p>
        </w:tc>
        <w:tc>
          <w:tcPr>
            <w:tcW w:w="395" w:type="dxa"/>
            <w:tcBorders>
              <w:top w:val="single" w:sz="4" w:space="0" w:color="ADD6EA"/>
              <w:left w:val="nil"/>
              <w:bottom w:val="nil"/>
              <w:right w:val="nil"/>
            </w:tcBorders>
            <w:shd w:val="clear" w:color="000000" w:fill="FFFFFF"/>
            <w:vAlign w:val="bottom"/>
            <w:hideMark/>
          </w:tcPr>
          <w:p w14:paraId="7A010776"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-43</w:t>
            </w:r>
          </w:p>
        </w:tc>
        <w:tc>
          <w:tcPr>
            <w:tcW w:w="559" w:type="dxa"/>
            <w:tcBorders>
              <w:top w:val="single" w:sz="4" w:space="0" w:color="ADD6EA"/>
              <w:left w:val="nil"/>
              <w:bottom w:val="nil"/>
              <w:right w:val="nil"/>
            </w:tcBorders>
            <w:shd w:val="clear" w:color="000000" w:fill="FFFFFF"/>
            <w:vAlign w:val="bottom"/>
            <w:hideMark/>
          </w:tcPr>
          <w:p w14:paraId="14882265"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-36</w:t>
            </w:r>
          </w:p>
        </w:tc>
        <w:tc>
          <w:tcPr>
            <w:tcW w:w="380" w:type="dxa"/>
            <w:tcBorders>
              <w:top w:val="single" w:sz="4" w:space="0" w:color="ADD6EA"/>
              <w:left w:val="nil"/>
              <w:bottom w:val="nil"/>
              <w:right w:val="nil"/>
            </w:tcBorders>
            <w:shd w:val="clear" w:color="000000" w:fill="FFFFFF"/>
            <w:vAlign w:val="bottom"/>
            <w:hideMark/>
          </w:tcPr>
          <w:p w14:paraId="459C3F27"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9</w:t>
            </w:r>
          </w:p>
        </w:tc>
        <w:tc>
          <w:tcPr>
            <w:tcW w:w="559" w:type="dxa"/>
            <w:tcBorders>
              <w:top w:val="single" w:sz="4" w:space="0" w:color="ADD6EA"/>
              <w:left w:val="nil"/>
              <w:bottom w:val="nil"/>
              <w:right w:val="nil"/>
            </w:tcBorders>
            <w:shd w:val="clear" w:color="000000" w:fill="FFFFFF"/>
            <w:vAlign w:val="bottom"/>
            <w:hideMark/>
          </w:tcPr>
          <w:p w14:paraId="162F996E"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20</w:t>
            </w:r>
          </w:p>
        </w:tc>
        <w:tc>
          <w:tcPr>
            <w:tcW w:w="340" w:type="dxa"/>
            <w:tcBorders>
              <w:top w:val="single" w:sz="4" w:space="0" w:color="ADD6EA"/>
              <w:left w:val="nil"/>
              <w:bottom w:val="nil"/>
              <w:right w:val="nil"/>
            </w:tcBorders>
            <w:shd w:val="clear" w:color="000000" w:fill="FFFFFF"/>
            <w:vAlign w:val="bottom"/>
            <w:hideMark/>
          </w:tcPr>
          <w:p w14:paraId="3B1DD7C5"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12</w:t>
            </w:r>
          </w:p>
        </w:tc>
        <w:tc>
          <w:tcPr>
            <w:tcW w:w="320" w:type="dxa"/>
            <w:tcBorders>
              <w:top w:val="single" w:sz="4" w:space="0" w:color="ADD6EA"/>
              <w:left w:val="nil"/>
              <w:bottom w:val="nil"/>
              <w:right w:val="nil"/>
            </w:tcBorders>
            <w:shd w:val="clear" w:color="000000" w:fill="FFFFFF"/>
            <w:vAlign w:val="bottom"/>
            <w:hideMark/>
          </w:tcPr>
          <w:p w14:paraId="02EB6CFF"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37</w:t>
            </w:r>
          </w:p>
        </w:tc>
        <w:tc>
          <w:tcPr>
            <w:tcW w:w="340" w:type="dxa"/>
            <w:tcBorders>
              <w:top w:val="single" w:sz="4" w:space="0" w:color="ADD6EA"/>
              <w:left w:val="nil"/>
              <w:bottom w:val="nil"/>
              <w:right w:val="nil"/>
            </w:tcBorders>
            <w:shd w:val="clear" w:color="000000" w:fill="FFFFFF"/>
            <w:vAlign w:val="bottom"/>
            <w:hideMark/>
          </w:tcPr>
          <w:p w14:paraId="1CC1309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w:t>
            </w:r>
          </w:p>
        </w:tc>
        <w:tc>
          <w:tcPr>
            <w:tcW w:w="320" w:type="dxa"/>
            <w:tcBorders>
              <w:top w:val="single" w:sz="4" w:space="0" w:color="ADD6EA"/>
              <w:left w:val="nil"/>
              <w:bottom w:val="nil"/>
              <w:right w:val="nil"/>
            </w:tcBorders>
            <w:shd w:val="clear" w:color="000000" w:fill="FFFFFF"/>
            <w:vAlign w:val="bottom"/>
            <w:hideMark/>
          </w:tcPr>
          <w:p w14:paraId="3A72661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5</w:t>
            </w:r>
          </w:p>
        </w:tc>
        <w:tc>
          <w:tcPr>
            <w:tcW w:w="480" w:type="dxa"/>
            <w:tcBorders>
              <w:top w:val="single" w:sz="4" w:space="0" w:color="ADD6EA"/>
              <w:left w:val="nil"/>
              <w:bottom w:val="nil"/>
              <w:right w:val="nil"/>
            </w:tcBorders>
            <w:shd w:val="clear" w:color="000000" w:fill="FFFFFF"/>
            <w:vAlign w:val="bottom"/>
            <w:hideMark/>
          </w:tcPr>
          <w:p w14:paraId="51C3E257"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82</w:t>
            </w:r>
          </w:p>
        </w:tc>
      </w:tr>
      <w:tr w:rsidR="00C76137" w:rsidRPr="00C76137" w14:paraId="70EA4F34" w14:textId="77777777" w:rsidTr="00C76137">
        <w:trPr>
          <w:trHeight w:val="320"/>
        </w:trPr>
        <w:tc>
          <w:tcPr>
            <w:tcW w:w="5347" w:type="dxa"/>
            <w:tcBorders>
              <w:top w:val="single" w:sz="4" w:space="0" w:color="ADD6EA"/>
              <w:left w:val="nil"/>
              <w:bottom w:val="nil"/>
              <w:right w:val="nil"/>
            </w:tcBorders>
            <w:shd w:val="clear" w:color="000000" w:fill="FFFFFF"/>
            <w:vAlign w:val="bottom"/>
            <w:hideMark/>
          </w:tcPr>
          <w:p w14:paraId="38E0DB78"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National Water Grid Fund</w:t>
            </w:r>
          </w:p>
        </w:tc>
        <w:tc>
          <w:tcPr>
            <w:tcW w:w="395" w:type="dxa"/>
            <w:tcBorders>
              <w:top w:val="single" w:sz="4" w:space="0" w:color="ADD6EA"/>
              <w:left w:val="nil"/>
              <w:bottom w:val="nil"/>
              <w:right w:val="nil"/>
            </w:tcBorders>
            <w:shd w:val="clear" w:color="000000" w:fill="FFFFFF"/>
            <w:vAlign w:val="bottom"/>
            <w:hideMark/>
          </w:tcPr>
          <w:p w14:paraId="25504F01"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27</w:t>
            </w:r>
          </w:p>
        </w:tc>
        <w:tc>
          <w:tcPr>
            <w:tcW w:w="559" w:type="dxa"/>
            <w:tcBorders>
              <w:top w:val="single" w:sz="4" w:space="0" w:color="ADD6EA"/>
              <w:left w:val="nil"/>
              <w:bottom w:val="nil"/>
              <w:right w:val="nil"/>
            </w:tcBorders>
            <w:shd w:val="clear" w:color="000000" w:fill="FFFFFF"/>
            <w:vAlign w:val="bottom"/>
            <w:hideMark/>
          </w:tcPr>
          <w:p w14:paraId="14F3ACFC"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24</w:t>
            </w:r>
          </w:p>
        </w:tc>
        <w:tc>
          <w:tcPr>
            <w:tcW w:w="380" w:type="dxa"/>
            <w:tcBorders>
              <w:top w:val="single" w:sz="4" w:space="0" w:color="ADD6EA"/>
              <w:left w:val="nil"/>
              <w:bottom w:val="nil"/>
              <w:right w:val="nil"/>
            </w:tcBorders>
            <w:shd w:val="clear" w:color="000000" w:fill="FFFFFF"/>
            <w:vAlign w:val="bottom"/>
            <w:hideMark/>
          </w:tcPr>
          <w:p w14:paraId="63400E4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-14</w:t>
            </w:r>
          </w:p>
        </w:tc>
        <w:tc>
          <w:tcPr>
            <w:tcW w:w="559" w:type="dxa"/>
            <w:tcBorders>
              <w:top w:val="single" w:sz="4" w:space="0" w:color="ADD6EA"/>
              <w:left w:val="nil"/>
              <w:bottom w:val="nil"/>
              <w:right w:val="nil"/>
            </w:tcBorders>
            <w:shd w:val="clear" w:color="000000" w:fill="FFFFFF"/>
            <w:vAlign w:val="bottom"/>
            <w:hideMark/>
          </w:tcPr>
          <w:p w14:paraId="2B714FC7"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14</w:t>
            </w:r>
          </w:p>
        </w:tc>
        <w:tc>
          <w:tcPr>
            <w:tcW w:w="340" w:type="dxa"/>
            <w:tcBorders>
              <w:top w:val="single" w:sz="4" w:space="0" w:color="ADD6EA"/>
              <w:left w:val="nil"/>
              <w:bottom w:val="nil"/>
              <w:right w:val="nil"/>
            </w:tcBorders>
            <w:shd w:val="clear" w:color="000000" w:fill="FFFFFF"/>
            <w:vAlign w:val="bottom"/>
            <w:hideMark/>
          </w:tcPr>
          <w:p w14:paraId="350E5ACA"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5</w:t>
            </w:r>
          </w:p>
        </w:tc>
        <w:tc>
          <w:tcPr>
            <w:tcW w:w="320" w:type="dxa"/>
            <w:tcBorders>
              <w:top w:val="single" w:sz="4" w:space="0" w:color="ADD6EA"/>
              <w:left w:val="nil"/>
              <w:bottom w:val="nil"/>
              <w:right w:val="nil"/>
            </w:tcBorders>
            <w:shd w:val="clear" w:color="000000" w:fill="FFFFFF"/>
            <w:vAlign w:val="bottom"/>
            <w:hideMark/>
          </w:tcPr>
          <w:p w14:paraId="02BDB487"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-11</w:t>
            </w:r>
          </w:p>
        </w:tc>
        <w:tc>
          <w:tcPr>
            <w:tcW w:w="340" w:type="dxa"/>
            <w:tcBorders>
              <w:top w:val="single" w:sz="4" w:space="0" w:color="ADD6EA"/>
              <w:left w:val="nil"/>
              <w:bottom w:val="nil"/>
              <w:right w:val="nil"/>
            </w:tcBorders>
            <w:shd w:val="clear" w:color="000000" w:fill="FFFFFF"/>
            <w:vAlign w:val="bottom"/>
            <w:hideMark/>
          </w:tcPr>
          <w:p w14:paraId="42C35AE9"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w:t>
            </w:r>
          </w:p>
        </w:tc>
        <w:tc>
          <w:tcPr>
            <w:tcW w:w="320" w:type="dxa"/>
            <w:tcBorders>
              <w:top w:val="single" w:sz="4" w:space="0" w:color="ADD6EA"/>
              <w:left w:val="nil"/>
              <w:bottom w:val="nil"/>
              <w:right w:val="nil"/>
            </w:tcBorders>
            <w:shd w:val="clear" w:color="000000" w:fill="FFFFFF"/>
            <w:vAlign w:val="bottom"/>
            <w:hideMark/>
          </w:tcPr>
          <w:p w14:paraId="5B837B81"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-47</w:t>
            </w:r>
          </w:p>
        </w:tc>
        <w:tc>
          <w:tcPr>
            <w:tcW w:w="480" w:type="dxa"/>
            <w:tcBorders>
              <w:top w:val="single" w:sz="4" w:space="0" w:color="ADD6EA"/>
              <w:left w:val="nil"/>
              <w:bottom w:val="nil"/>
              <w:right w:val="nil"/>
            </w:tcBorders>
            <w:shd w:val="clear" w:color="000000" w:fill="FFFFFF"/>
            <w:vAlign w:val="bottom"/>
            <w:hideMark/>
          </w:tcPr>
          <w:p w14:paraId="5E25F30E"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72</w:t>
            </w:r>
          </w:p>
        </w:tc>
      </w:tr>
      <w:tr w:rsidR="00C76137" w:rsidRPr="00C76137" w14:paraId="1251C8BD" w14:textId="77777777" w:rsidTr="00C76137">
        <w:trPr>
          <w:trHeight w:val="315"/>
        </w:trPr>
        <w:tc>
          <w:tcPr>
            <w:tcW w:w="5347" w:type="dxa"/>
            <w:tcBorders>
              <w:top w:val="single" w:sz="4" w:space="0" w:color="ADD6EA"/>
              <w:left w:val="nil"/>
              <w:bottom w:val="nil"/>
              <w:right w:val="nil"/>
            </w:tcBorders>
            <w:shd w:val="clear" w:color="000000" w:fill="FFFFFF"/>
            <w:vAlign w:val="bottom"/>
            <w:hideMark/>
          </w:tcPr>
          <w:p w14:paraId="67ED660A"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Infrastructure investment - Urban Congestion Funds</w:t>
            </w:r>
          </w:p>
        </w:tc>
        <w:tc>
          <w:tcPr>
            <w:tcW w:w="395" w:type="dxa"/>
            <w:tcBorders>
              <w:top w:val="single" w:sz="4" w:space="0" w:color="ADD6EA"/>
              <w:left w:val="nil"/>
              <w:bottom w:val="nil"/>
              <w:right w:val="nil"/>
            </w:tcBorders>
            <w:shd w:val="clear" w:color="000000" w:fill="FFFFFF"/>
            <w:vAlign w:val="bottom"/>
            <w:hideMark/>
          </w:tcPr>
          <w:p w14:paraId="19707A0F"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-36</w:t>
            </w:r>
          </w:p>
        </w:tc>
        <w:tc>
          <w:tcPr>
            <w:tcW w:w="559" w:type="dxa"/>
            <w:tcBorders>
              <w:top w:val="single" w:sz="4" w:space="0" w:color="ADD6EA"/>
              <w:left w:val="nil"/>
              <w:bottom w:val="nil"/>
              <w:right w:val="nil"/>
            </w:tcBorders>
            <w:shd w:val="clear" w:color="000000" w:fill="FFFFFF"/>
            <w:vAlign w:val="bottom"/>
            <w:hideMark/>
          </w:tcPr>
          <w:p w14:paraId="0B073E8F"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-17</w:t>
            </w:r>
          </w:p>
        </w:tc>
        <w:tc>
          <w:tcPr>
            <w:tcW w:w="380" w:type="dxa"/>
            <w:tcBorders>
              <w:top w:val="single" w:sz="4" w:space="0" w:color="ADD6EA"/>
              <w:left w:val="nil"/>
              <w:bottom w:val="nil"/>
              <w:right w:val="nil"/>
            </w:tcBorders>
            <w:shd w:val="clear" w:color="000000" w:fill="FFFFFF"/>
            <w:vAlign w:val="bottom"/>
            <w:hideMark/>
          </w:tcPr>
          <w:p w14:paraId="2FF7B4C3"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w:t>
            </w:r>
          </w:p>
        </w:tc>
        <w:tc>
          <w:tcPr>
            <w:tcW w:w="559" w:type="dxa"/>
            <w:tcBorders>
              <w:top w:val="single" w:sz="4" w:space="0" w:color="ADD6EA"/>
              <w:left w:val="nil"/>
              <w:bottom w:val="nil"/>
              <w:right w:val="nil"/>
            </w:tcBorders>
            <w:shd w:val="clear" w:color="000000" w:fill="FFFFFF"/>
            <w:vAlign w:val="bottom"/>
            <w:hideMark/>
          </w:tcPr>
          <w:p w14:paraId="4CDE7B40"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51</w:t>
            </w:r>
          </w:p>
        </w:tc>
        <w:tc>
          <w:tcPr>
            <w:tcW w:w="340" w:type="dxa"/>
            <w:tcBorders>
              <w:top w:val="single" w:sz="4" w:space="0" w:color="ADD6EA"/>
              <w:left w:val="nil"/>
              <w:bottom w:val="nil"/>
              <w:right w:val="nil"/>
            </w:tcBorders>
            <w:shd w:val="clear" w:color="000000" w:fill="FFFFFF"/>
            <w:vAlign w:val="bottom"/>
            <w:hideMark/>
          </w:tcPr>
          <w:p w14:paraId="0E2B1AFF"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14</w:t>
            </w:r>
          </w:p>
        </w:tc>
        <w:tc>
          <w:tcPr>
            <w:tcW w:w="320" w:type="dxa"/>
            <w:tcBorders>
              <w:top w:val="single" w:sz="4" w:space="0" w:color="ADD6EA"/>
              <w:left w:val="nil"/>
              <w:bottom w:val="nil"/>
              <w:right w:val="nil"/>
            </w:tcBorders>
            <w:shd w:val="clear" w:color="000000" w:fill="FFFFFF"/>
            <w:vAlign w:val="bottom"/>
            <w:hideMark/>
          </w:tcPr>
          <w:p w14:paraId="26B76CD3"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w:t>
            </w:r>
          </w:p>
        </w:tc>
        <w:tc>
          <w:tcPr>
            <w:tcW w:w="340" w:type="dxa"/>
            <w:tcBorders>
              <w:top w:val="single" w:sz="4" w:space="0" w:color="ADD6EA"/>
              <w:left w:val="nil"/>
              <w:bottom w:val="nil"/>
              <w:right w:val="nil"/>
            </w:tcBorders>
            <w:shd w:val="clear" w:color="000000" w:fill="FFFFFF"/>
            <w:vAlign w:val="bottom"/>
            <w:hideMark/>
          </w:tcPr>
          <w:p w14:paraId="65D6995E"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w:t>
            </w:r>
          </w:p>
        </w:tc>
        <w:tc>
          <w:tcPr>
            <w:tcW w:w="320" w:type="dxa"/>
            <w:tcBorders>
              <w:top w:val="single" w:sz="4" w:space="0" w:color="ADD6EA"/>
              <w:left w:val="nil"/>
              <w:bottom w:val="nil"/>
              <w:right w:val="nil"/>
            </w:tcBorders>
            <w:shd w:val="clear" w:color="000000" w:fill="FFFFFF"/>
            <w:vAlign w:val="bottom"/>
            <w:hideMark/>
          </w:tcPr>
          <w:p w14:paraId="74C68642"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w:t>
            </w:r>
          </w:p>
        </w:tc>
        <w:tc>
          <w:tcPr>
            <w:tcW w:w="480" w:type="dxa"/>
            <w:tcBorders>
              <w:top w:val="single" w:sz="4" w:space="0" w:color="ADD6EA"/>
              <w:left w:val="nil"/>
              <w:bottom w:val="nil"/>
              <w:right w:val="nil"/>
            </w:tcBorders>
            <w:shd w:val="clear" w:color="000000" w:fill="FFFFFF"/>
            <w:vAlign w:val="bottom"/>
            <w:hideMark/>
          </w:tcPr>
          <w:p w14:paraId="7F198D61"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64</w:t>
            </w:r>
          </w:p>
        </w:tc>
      </w:tr>
      <w:tr w:rsidR="00C76137" w:rsidRPr="00C76137" w14:paraId="004E028C" w14:textId="77777777" w:rsidTr="00C76137">
        <w:trPr>
          <w:trHeight w:val="320"/>
        </w:trPr>
        <w:tc>
          <w:tcPr>
            <w:tcW w:w="5347" w:type="dxa"/>
            <w:tcBorders>
              <w:top w:val="single" w:sz="4" w:space="0" w:color="ADD6EA"/>
              <w:left w:val="nil"/>
              <w:bottom w:val="nil"/>
              <w:right w:val="nil"/>
            </w:tcBorders>
            <w:shd w:val="clear" w:color="000000" w:fill="FFFFFF"/>
            <w:vAlign w:val="bottom"/>
            <w:hideMark/>
          </w:tcPr>
          <w:p w14:paraId="668EAFEF"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Skilling Australians Fund</w:t>
            </w:r>
          </w:p>
        </w:tc>
        <w:tc>
          <w:tcPr>
            <w:tcW w:w="395" w:type="dxa"/>
            <w:tcBorders>
              <w:top w:val="single" w:sz="4" w:space="0" w:color="ADD6EA"/>
              <w:left w:val="nil"/>
              <w:bottom w:val="nil"/>
              <w:right w:val="nil"/>
            </w:tcBorders>
            <w:shd w:val="clear" w:color="000000" w:fill="FFFFFF"/>
            <w:vAlign w:val="bottom"/>
            <w:hideMark/>
          </w:tcPr>
          <w:p w14:paraId="0B004349"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14</w:t>
            </w:r>
          </w:p>
        </w:tc>
        <w:tc>
          <w:tcPr>
            <w:tcW w:w="559" w:type="dxa"/>
            <w:tcBorders>
              <w:top w:val="single" w:sz="4" w:space="0" w:color="ADD6EA"/>
              <w:left w:val="nil"/>
              <w:bottom w:val="nil"/>
              <w:right w:val="nil"/>
            </w:tcBorders>
            <w:shd w:val="clear" w:color="000000" w:fill="FFFFFF"/>
            <w:vAlign w:val="bottom"/>
            <w:hideMark/>
          </w:tcPr>
          <w:p w14:paraId="24220AB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-15</w:t>
            </w:r>
          </w:p>
        </w:tc>
        <w:tc>
          <w:tcPr>
            <w:tcW w:w="380" w:type="dxa"/>
            <w:tcBorders>
              <w:top w:val="single" w:sz="4" w:space="0" w:color="ADD6EA"/>
              <w:left w:val="nil"/>
              <w:bottom w:val="nil"/>
              <w:right w:val="nil"/>
            </w:tcBorders>
            <w:shd w:val="clear" w:color="000000" w:fill="FFFFFF"/>
            <w:vAlign w:val="bottom"/>
            <w:hideMark/>
          </w:tcPr>
          <w:p w14:paraId="49027F26"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-12</w:t>
            </w:r>
          </w:p>
        </w:tc>
        <w:tc>
          <w:tcPr>
            <w:tcW w:w="559" w:type="dxa"/>
            <w:tcBorders>
              <w:top w:val="single" w:sz="4" w:space="0" w:color="ADD6EA"/>
              <w:left w:val="nil"/>
              <w:bottom w:val="nil"/>
              <w:right w:val="nil"/>
            </w:tcBorders>
            <w:shd w:val="clear" w:color="000000" w:fill="FFFFFF"/>
            <w:vAlign w:val="bottom"/>
            <w:hideMark/>
          </w:tcPr>
          <w:p w14:paraId="7FD4BF20"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8</w:t>
            </w:r>
          </w:p>
        </w:tc>
        <w:tc>
          <w:tcPr>
            <w:tcW w:w="340" w:type="dxa"/>
            <w:tcBorders>
              <w:top w:val="single" w:sz="4" w:space="0" w:color="ADD6EA"/>
              <w:left w:val="nil"/>
              <w:bottom w:val="nil"/>
              <w:right w:val="nil"/>
            </w:tcBorders>
            <w:shd w:val="clear" w:color="000000" w:fill="FFFFFF"/>
            <w:vAlign w:val="bottom"/>
            <w:hideMark/>
          </w:tcPr>
          <w:p w14:paraId="1FB5252A"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w:t>
            </w:r>
          </w:p>
        </w:tc>
        <w:tc>
          <w:tcPr>
            <w:tcW w:w="320" w:type="dxa"/>
            <w:tcBorders>
              <w:top w:val="single" w:sz="4" w:space="0" w:color="ADD6EA"/>
              <w:left w:val="nil"/>
              <w:bottom w:val="nil"/>
              <w:right w:val="nil"/>
            </w:tcBorders>
            <w:shd w:val="clear" w:color="000000" w:fill="FFFFFF"/>
            <w:vAlign w:val="bottom"/>
            <w:hideMark/>
          </w:tcPr>
          <w:p w14:paraId="035F7D86"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w:t>
            </w:r>
          </w:p>
        </w:tc>
        <w:tc>
          <w:tcPr>
            <w:tcW w:w="340" w:type="dxa"/>
            <w:tcBorders>
              <w:top w:val="single" w:sz="4" w:space="0" w:color="ADD6EA"/>
              <w:left w:val="nil"/>
              <w:bottom w:val="nil"/>
              <w:right w:val="nil"/>
            </w:tcBorders>
            <w:shd w:val="clear" w:color="000000" w:fill="FFFFFF"/>
            <w:vAlign w:val="bottom"/>
            <w:hideMark/>
          </w:tcPr>
          <w:p w14:paraId="015F392D"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w:t>
            </w:r>
          </w:p>
        </w:tc>
        <w:tc>
          <w:tcPr>
            <w:tcW w:w="320" w:type="dxa"/>
            <w:tcBorders>
              <w:top w:val="single" w:sz="4" w:space="0" w:color="ADD6EA"/>
              <w:left w:val="nil"/>
              <w:bottom w:val="nil"/>
              <w:right w:val="nil"/>
            </w:tcBorders>
            <w:shd w:val="clear" w:color="000000" w:fill="FFFFFF"/>
            <w:vAlign w:val="bottom"/>
            <w:hideMark/>
          </w:tcPr>
          <w:p w14:paraId="3D212F5E"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w:t>
            </w:r>
          </w:p>
        </w:tc>
        <w:tc>
          <w:tcPr>
            <w:tcW w:w="480" w:type="dxa"/>
            <w:tcBorders>
              <w:top w:val="single" w:sz="4" w:space="0" w:color="ADD6EA"/>
              <w:left w:val="nil"/>
              <w:bottom w:val="nil"/>
              <w:right w:val="nil"/>
            </w:tcBorders>
            <w:shd w:val="clear" w:color="000000" w:fill="FFFFFF"/>
            <w:vAlign w:val="bottom"/>
            <w:hideMark/>
          </w:tcPr>
          <w:p w14:paraId="3D22EF95"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27</w:t>
            </w:r>
          </w:p>
        </w:tc>
      </w:tr>
      <w:tr w:rsidR="00C76137" w:rsidRPr="00C76137" w14:paraId="550D240A" w14:textId="77777777" w:rsidTr="00C76137">
        <w:trPr>
          <w:trHeight w:val="320"/>
        </w:trPr>
        <w:tc>
          <w:tcPr>
            <w:tcW w:w="5347" w:type="dxa"/>
            <w:tcBorders>
              <w:top w:val="single" w:sz="4" w:space="0" w:color="ADD6EA"/>
              <w:left w:val="nil"/>
              <w:bottom w:val="nil"/>
              <w:right w:val="nil"/>
            </w:tcBorders>
            <w:shd w:val="clear" w:color="000000" w:fill="FFFFFF"/>
            <w:vAlign w:val="bottom"/>
            <w:hideMark/>
          </w:tcPr>
          <w:p w14:paraId="4BC4590D"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proofErr w:type="spellStart"/>
            <w:r w:rsidRPr="00C76137">
              <w:rPr>
                <w:rFonts w:ascii="Open Sans Light" w:eastAsia="Times New Roman" w:hAnsi="Open Sans Light" w:cs="Open Sans Light"/>
                <w:color w:val="000000"/>
                <w:sz w:val="16"/>
                <w:szCs w:val="16"/>
                <w:lang w:eastAsia="en-AU"/>
              </w:rPr>
              <w:t>JobTrainer</w:t>
            </w:r>
            <w:proofErr w:type="spellEnd"/>
            <w:r w:rsidRPr="00C76137">
              <w:rPr>
                <w:rFonts w:ascii="Open Sans Light" w:eastAsia="Times New Roman" w:hAnsi="Open Sans Light" w:cs="Open Sans Light"/>
                <w:color w:val="000000"/>
                <w:sz w:val="16"/>
                <w:szCs w:val="16"/>
                <w:lang w:eastAsia="en-AU"/>
              </w:rPr>
              <w:t xml:space="preserve"> Fund</w:t>
            </w:r>
          </w:p>
        </w:tc>
        <w:tc>
          <w:tcPr>
            <w:tcW w:w="395" w:type="dxa"/>
            <w:tcBorders>
              <w:top w:val="single" w:sz="4" w:space="0" w:color="ADD6EA"/>
              <w:left w:val="nil"/>
              <w:bottom w:val="nil"/>
              <w:right w:val="nil"/>
            </w:tcBorders>
            <w:shd w:val="clear" w:color="000000" w:fill="FFFFFF"/>
            <w:vAlign w:val="bottom"/>
            <w:hideMark/>
          </w:tcPr>
          <w:p w14:paraId="4699174C"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-13</w:t>
            </w:r>
          </w:p>
        </w:tc>
        <w:tc>
          <w:tcPr>
            <w:tcW w:w="559" w:type="dxa"/>
            <w:tcBorders>
              <w:top w:val="single" w:sz="4" w:space="0" w:color="ADD6EA"/>
              <w:left w:val="nil"/>
              <w:bottom w:val="nil"/>
              <w:right w:val="nil"/>
            </w:tcBorders>
            <w:shd w:val="clear" w:color="000000" w:fill="FFFFFF"/>
            <w:vAlign w:val="bottom"/>
            <w:hideMark/>
          </w:tcPr>
          <w:p w14:paraId="7A1FA316"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14</w:t>
            </w:r>
          </w:p>
        </w:tc>
        <w:tc>
          <w:tcPr>
            <w:tcW w:w="380" w:type="dxa"/>
            <w:tcBorders>
              <w:top w:val="single" w:sz="4" w:space="0" w:color="ADD6EA"/>
              <w:left w:val="nil"/>
              <w:bottom w:val="nil"/>
              <w:right w:val="nil"/>
            </w:tcBorders>
            <w:shd w:val="clear" w:color="000000" w:fill="FFFFFF"/>
            <w:vAlign w:val="bottom"/>
            <w:hideMark/>
          </w:tcPr>
          <w:p w14:paraId="2AC07316"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-5</w:t>
            </w:r>
          </w:p>
        </w:tc>
        <w:tc>
          <w:tcPr>
            <w:tcW w:w="559" w:type="dxa"/>
            <w:tcBorders>
              <w:top w:val="single" w:sz="4" w:space="0" w:color="ADD6EA"/>
              <w:left w:val="nil"/>
              <w:bottom w:val="nil"/>
              <w:right w:val="nil"/>
            </w:tcBorders>
            <w:shd w:val="clear" w:color="000000" w:fill="FFFFFF"/>
            <w:vAlign w:val="bottom"/>
            <w:hideMark/>
          </w:tcPr>
          <w:p w14:paraId="340BE2A4"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w:t>
            </w:r>
          </w:p>
        </w:tc>
        <w:tc>
          <w:tcPr>
            <w:tcW w:w="340" w:type="dxa"/>
            <w:tcBorders>
              <w:top w:val="single" w:sz="4" w:space="0" w:color="ADD6EA"/>
              <w:left w:val="nil"/>
              <w:bottom w:val="nil"/>
              <w:right w:val="nil"/>
            </w:tcBorders>
            <w:shd w:val="clear" w:color="000000" w:fill="FFFFFF"/>
            <w:vAlign w:val="bottom"/>
            <w:hideMark/>
          </w:tcPr>
          <w:p w14:paraId="47028AA4"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8</w:t>
            </w:r>
          </w:p>
        </w:tc>
        <w:tc>
          <w:tcPr>
            <w:tcW w:w="320" w:type="dxa"/>
            <w:tcBorders>
              <w:top w:val="single" w:sz="4" w:space="0" w:color="ADD6EA"/>
              <w:left w:val="nil"/>
              <w:bottom w:val="nil"/>
              <w:right w:val="nil"/>
            </w:tcBorders>
            <w:shd w:val="clear" w:color="000000" w:fill="FFFFFF"/>
            <w:vAlign w:val="bottom"/>
            <w:hideMark/>
          </w:tcPr>
          <w:p w14:paraId="478D7FF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w:t>
            </w:r>
          </w:p>
        </w:tc>
        <w:tc>
          <w:tcPr>
            <w:tcW w:w="340" w:type="dxa"/>
            <w:tcBorders>
              <w:top w:val="single" w:sz="4" w:space="0" w:color="ADD6EA"/>
              <w:left w:val="nil"/>
              <w:bottom w:val="nil"/>
              <w:right w:val="nil"/>
            </w:tcBorders>
            <w:shd w:val="clear" w:color="000000" w:fill="FFFFFF"/>
            <w:vAlign w:val="bottom"/>
            <w:hideMark/>
          </w:tcPr>
          <w:p w14:paraId="1A73A830"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320" w:type="dxa"/>
            <w:tcBorders>
              <w:top w:val="single" w:sz="4" w:space="0" w:color="ADD6EA"/>
              <w:left w:val="nil"/>
              <w:bottom w:val="nil"/>
              <w:right w:val="nil"/>
            </w:tcBorders>
            <w:shd w:val="clear" w:color="000000" w:fill="FFFFFF"/>
            <w:vAlign w:val="bottom"/>
            <w:hideMark/>
          </w:tcPr>
          <w:p w14:paraId="6207F168"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480" w:type="dxa"/>
            <w:tcBorders>
              <w:top w:val="single" w:sz="4" w:space="0" w:color="ADD6EA"/>
              <w:left w:val="nil"/>
              <w:bottom w:val="nil"/>
              <w:right w:val="nil"/>
            </w:tcBorders>
            <w:shd w:val="clear" w:color="000000" w:fill="FFFFFF"/>
            <w:vAlign w:val="bottom"/>
            <w:hideMark/>
          </w:tcPr>
          <w:p w14:paraId="65C516EB"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22</w:t>
            </w:r>
          </w:p>
        </w:tc>
      </w:tr>
      <w:tr w:rsidR="00C76137" w:rsidRPr="00C76137" w14:paraId="7A1067B1" w14:textId="77777777" w:rsidTr="00C76137">
        <w:trPr>
          <w:trHeight w:val="315"/>
        </w:trPr>
        <w:tc>
          <w:tcPr>
            <w:tcW w:w="5347" w:type="dxa"/>
            <w:tcBorders>
              <w:top w:val="single" w:sz="4" w:space="0" w:color="ADD6EA"/>
              <w:left w:val="nil"/>
              <w:bottom w:val="nil"/>
              <w:right w:val="nil"/>
            </w:tcBorders>
            <w:shd w:val="clear" w:color="000000" w:fill="FFFFFF"/>
            <w:vAlign w:val="bottom"/>
            <w:hideMark/>
          </w:tcPr>
          <w:p w14:paraId="742C7855"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Community Health Hospitals and Infrastructure projects</w:t>
            </w:r>
          </w:p>
        </w:tc>
        <w:tc>
          <w:tcPr>
            <w:tcW w:w="395" w:type="dxa"/>
            <w:tcBorders>
              <w:top w:val="single" w:sz="4" w:space="0" w:color="ADD6EA"/>
              <w:left w:val="nil"/>
              <w:bottom w:val="nil"/>
              <w:right w:val="nil"/>
            </w:tcBorders>
            <w:shd w:val="clear" w:color="000000" w:fill="FFFFFF"/>
            <w:vAlign w:val="bottom"/>
            <w:hideMark/>
          </w:tcPr>
          <w:p w14:paraId="691159E0"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-19</w:t>
            </w:r>
          </w:p>
        </w:tc>
        <w:tc>
          <w:tcPr>
            <w:tcW w:w="559" w:type="dxa"/>
            <w:tcBorders>
              <w:top w:val="single" w:sz="4" w:space="0" w:color="ADD6EA"/>
              <w:left w:val="nil"/>
              <w:bottom w:val="nil"/>
              <w:right w:val="nil"/>
            </w:tcBorders>
            <w:shd w:val="clear" w:color="000000" w:fill="FFFFFF"/>
            <w:vAlign w:val="bottom"/>
            <w:hideMark/>
          </w:tcPr>
          <w:p w14:paraId="59B1D019"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w:t>
            </w:r>
          </w:p>
        </w:tc>
        <w:tc>
          <w:tcPr>
            <w:tcW w:w="380" w:type="dxa"/>
            <w:tcBorders>
              <w:top w:val="single" w:sz="4" w:space="0" w:color="ADD6EA"/>
              <w:left w:val="nil"/>
              <w:bottom w:val="nil"/>
              <w:right w:val="nil"/>
            </w:tcBorders>
            <w:shd w:val="clear" w:color="000000" w:fill="FFFFFF"/>
            <w:vAlign w:val="bottom"/>
            <w:hideMark/>
          </w:tcPr>
          <w:p w14:paraId="1589343D"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13</w:t>
            </w:r>
          </w:p>
        </w:tc>
        <w:tc>
          <w:tcPr>
            <w:tcW w:w="559" w:type="dxa"/>
            <w:tcBorders>
              <w:top w:val="single" w:sz="4" w:space="0" w:color="ADD6EA"/>
              <w:left w:val="nil"/>
              <w:bottom w:val="nil"/>
              <w:right w:val="nil"/>
            </w:tcBorders>
            <w:shd w:val="clear" w:color="000000" w:fill="FFFFFF"/>
            <w:vAlign w:val="bottom"/>
            <w:hideMark/>
          </w:tcPr>
          <w:p w14:paraId="4BA5C3E1"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w:t>
            </w:r>
          </w:p>
        </w:tc>
        <w:tc>
          <w:tcPr>
            <w:tcW w:w="340" w:type="dxa"/>
            <w:tcBorders>
              <w:top w:val="single" w:sz="4" w:space="0" w:color="ADD6EA"/>
              <w:left w:val="nil"/>
              <w:bottom w:val="nil"/>
              <w:right w:val="nil"/>
            </w:tcBorders>
            <w:shd w:val="clear" w:color="000000" w:fill="FFFFFF"/>
            <w:vAlign w:val="bottom"/>
            <w:hideMark/>
          </w:tcPr>
          <w:p w14:paraId="31585FA9"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w:t>
            </w:r>
          </w:p>
        </w:tc>
        <w:tc>
          <w:tcPr>
            <w:tcW w:w="320" w:type="dxa"/>
            <w:tcBorders>
              <w:top w:val="single" w:sz="4" w:space="0" w:color="ADD6EA"/>
              <w:left w:val="nil"/>
              <w:bottom w:val="nil"/>
              <w:right w:val="nil"/>
            </w:tcBorders>
            <w:shd w:val="clear" w:color="000000" w:fill="FFFFFF"/>
            <w:vAlign w:val="bottom"/>
            <w:hideMark/>
          </w:tcPr>
          <w:p w14:paraId="265AB6D4"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w:t>
            </w:r>
          </w:p>
        </w:tc>
        <w:tc>
          <w:tcPr>
            <w:tcW w:w="340" w:type="dxa"/>
            <w:tcBorders>
              <w:top w:val="single" w:sz="4" w:space="0" w:color="ADD6EA"/>
              <w:left w:val="nil"/>
              <w:bottom w:val="nil"/>
              <w:right w:val="nil"/>
            </w:tcBorders>
            <w:shd w:val="clear" w:color="000000" w:fill="FFFFFF"/>
            <w:vAlign w:val="bottom"/>
            <w:hideMark/>
          </w:tcPr>
          <w:p w14:paraId="0124B418"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w:t>
            </w:r>
          </w:p>
        </w:tc>
        <w:tc>
          <w:tcPr>
            <w:tcW w:w="320" w:type="dxa"/>
            <w:tcBorders>
              <w:top w:val="single" w:sz="4" w:space="0" w:color="ADD6EA"/>
              <w:left w:val="nil"/>
              <w:bottom w:val="nil"/>
              <w:right w:val="nil"/>
            </w:tcBorders>
            <w:shd w:val="clear" w:color="000000" w:fill="FFFFFF"/>
            <w:vAlign w:val="bottom"/>
            <w:hideMark/>
          </w:tcPr>
          <w:p w14:paraId="781D9E5C"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480" w:type="dxa"/>
            <w:tcBorders>
              <w:top w:val="single" w:sz="4" w:space="0" w:color="ADD6EA"/>
              <w:left w:val="nil"/>
              <w:bottom w:val="nil"/>
              <w:right w:val="nil"/>
            </w:tcBorders>
            <w:shd w:val="clear" w:color="000000" w:fill="FFFFFF"/>
            <w:vAlign w:val="bottom"/>
            <w:hideMark/>
          </w:tcPr>
          <w:p w14:paraId="23511E9E"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21</w:t>
            </w:r>
          </w:p>
        </w:tc>
      </w:tr>
      <w:tr w:rsidR="00C76137" w:rsidRPr="00C76137" w14:paraId="02FB55C1" w14:textId="77777777" w:rsidTr="00C76137">
        <w:trPr>
          <w:trHeight w:val="320"/>
        </w:trPr>
        <w:tc>
          <w:tcPr>
            <w:tcW w:w="5347" w:type="dxa"/>
            <w:tcBorders>
              <w:top w:val="single" w:sz="4" w:space="0" w:color="ADD6EA"/>
              <w:left w:val="nil"/>
              <w:bottom w:val="nil"/>
              <w:right w:val="nil"/>
            </w:tcBorders>
            <w:shd w:val="clear" w:color="000000" w:fill="FFFFFF"/>
            <w:vAlign w:val="bottom"/>
            <w:hideMark/>
          </w:tcPr>
          <w:p w14:paraId="6266D866"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Expansion of the Flinders Medical Centre</w:t>
            </w:r>
          </w:p>
        </w:tc>
        <w:tc>
          <w:tcPr>
            <w:tcW w:w="395" w:type="dxa"/>
            <w:tcBorders>
              <w:top w:val="single" w:sz="4" w:space="0" w:color="ADD6EA"/>
              <w:left w:val="nil"/>
              <w:bottom w:val="nil"/>
              <w:right w:val="nil"/>
            </w:tcBorders>
            <w:shd w:val="clear" w:color="000000" w:fill="FFFFFF"/>
            <w:vAlign w:val="bottom"/>
            <w:hideMark/>
          </w:tcPr>
          <w:p w14:paraId="1E88BEDD"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7</w:t>
            </w:r>
          </w:p>
        </w:tc>
        <w:tc>
          <w:tcPr>
            <w:tcW w:w="559" w:type="dxa"/>
            <w:tcBorders>
              <w:top w:val="single" w:sz="4" w:space="0" w:color="ADD6EA"/>
              <w:left w:val="nil"/>
              <w:bottom w:val="nil"/>
              <w:right w:val="nil"/>
            </w:tcBorders>
            <w:shd w:val="clear" w:color="000000" w:fill="FFFFFF"/>
            <w:vAlign w:val="bottom"/>
            <w:hideMark/>
          </w:tcPr>
          <w:p w14:paraId="7F0ED6C9"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6</w:t>
            </w:r>
          </w:p>
        </w:tc>
        <w:tc>
          <w:tcPr>
            <w:tcW w:w="380" w:type="dxa"/>
            <w:tcBorders>
              <w:top w:val="single" w:sz="4" w:space="0" w:color="ADD6EA"/>
              <w:left w:val="nil"/>
              <w:bottom w:val="nil"/>
              <w:right w:val="nil"/>
            </w:tcBorders>
            <w:shd w:val="clear" w:color="000000" w:fill="FFFFFF"/>
            <w:vAlign w:val="bottom"/>
            <w:hideMark/>
          </w:tcPr>
          <w:p w14:paraId="7752C731"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5</w:t>
            </w:r>
          </w:p>
        </w:tc>
        <w:tc>
          <w:tcPr>
            <w:tcW w:w="559" w:type="dxa"/>
            <w:tcBorders>
              <w:top w:val="single" w:sz="4" w:space="0" w:color="ADD6EA"/>
              <w:left w:val="nil"/>
              <w:bottom w:val="nil"/>
              <w:right w:val="nil"/>
            </w:tcBorders>
            <w:shd w:val="clear" w:color="000000" w:fill="FFFFFF"/>
            <w:vAlign w:val="bottom"/>
            <w:hideMark/>
          </w:tcPr>
          <w:p w14:paraId="3DB08B7A"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w:t>
            </w:r>
          </w:p>
        </w:tc>
        <w:tc>
          <w:tcPr>
            <w:tcW w:w="340" w:type="dxa"/>
            <w:tcBorders>
              <w:top w:val="single" w:sz="4" w:space="0" w:color="ADD6EA"/>
              <w:left w:val="nil"/>
              <w:bottom w:val="nil"/>
              <w:right w:val="nil"/>
            </w:tcBorders>
            <w:shd w:val="clear" w:color="000000" w:fill="FFFFFF"/>
            <w:vAlign w:val="bottom"/>
            <w:hideMark/>
          </w:tcPr>
          <w:p w14:paraId="38E397B8"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-21</w:t>
            </w:r>
          </w:p>
        </w:tc>
        <w:tc>
          <w:tcPr>
            <w:tcW w:w="320" w:type="dxa"/>
            <w:tcBorders>
              <w:top w:val="single" w:sz="4" w:space="0" w:color="ADD6EA"/>
              <w:left w:val="nil"/>
              <w:bottom w:val="nil"/>
              <w:right w:val="nil"/>
            </w:tcBorders>
            <w:shd w:val="clear" w:color="000000" w:fill="FFFFFF"/>
            <w:vAlign w:val="bottom"/>
            <w:hideMark/>
          </w:tcPr>
          <w:p w14:paraId="0E4043DD"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340" w:type="dxa"/>
            <w:tcBorders>
              <w:top w:val="single" w:sz="4" w:space="0" w:color="ADD6EA"/>
              <w:left w:val="nil"/>
              <w:bottom w:val="nil"/>
              <w:right w:val="nil"/>
            </w:tcBorders>
            <w:shd w:val="clear" w:color="000000" w:fill="FFFFFF"/>
            <w:vAlign w:val="bottom"/>
            <w:hideMark/>
          </w:tcPr>
          <w:p w14:paraId="52783CD7"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320" w:type="dxa"/>
            <w:tcBorders>
              <w:top w:val="single" w:sz="4" w:space="0" w:color="ADD6EA"/>
              <w:left w:val="nil"/>
              <w:bottom w:val="nil"/>
              <w:right w:val="nil"/>
            </w:tcBorders>
            <w:shd w:val="clear" w:color="000000" w:fill="FFFFFF"/>
            <w:vAlign w:val="bottom"/>
            <w:hideMark/>
          </w:tcPr>
          <w:p w14:paraId="69C2EFDA"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480" w:type="dxa"/>
            <w:tcBorders>
              <w:top w:val="single" w:sz="4" w:space="0" w:color="ADD6EA"/>
              <w:left w:val="nil"/>
              <w:bottom w:val="nil"/>
              <w:right w:val="nil"/>
            </w:tcBorders>
            <w:shd w:val="clear" w:color="000000" w:fill="FFFFFF"/>
            <w:vAlign w:val="bottom"/>
            <w:hideMark/>
          </w:tcPr>
          <w:p w14:paraId="76785FAD"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21</w:t>
            </w:r>
          </w:p>
        </w:tc>
      </w:tr>
      <w:tr w:rsidR="00C76137" w:rsidRPr="00C76137" w14:paraId="44CEB4EE" w14:textId="77777777" w:rsidTr="00C76137">
        <w:trPr>
          <w:trHeight w:val="315"/>
        </w:trPr>
        <w:tc>
          <w:tcPr>
            <w:tcW w:w="5347" w:type="dxa"/>
            <w:tcBorders>
              <w:top w:val="single" w:sz="4" w:space="0" w:color="ADD6EA"/>
              <w:left w:val="nil"/>
              <w:bottom w:val="nil"/>
              <w:right w:val="nil"/>
            </w:tcBorders>
            <w:shd w:val="clear" w:color="000000" w:fill="FFFFFF"/>
            <w:vAlign w:val="bottom"/>
            <w:hideMark/>
          </w:tcPr>
          <w:p w14:paraId="7F1581C9" w14:textId="77777777" w:rsidR="00C76137" w:rsidRPr="00C76137" w:rsidRDefault="00C76137" w:rsidP="002418B3">
            <w:pPr>
              <w:keepNext/>
              <w:tabs>
                <w:tab w:val="clear" w:pos="567"/>
              </w:tabs>
              <w:spacing w:before="0" w:line="240" w:lineRule="auto"/>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Other</w:t>
            </w:r>
          </w:p>
        </w:tc>
        <w:tc>
          <w:tcPr>
            <w:tcW w:w="395" w:type="dxa"/>
            <w:tcBorders>
              <w:top w:val="single" w:sz="4" w:space="0" w:color="ADD6EA"/>
              <w:left w:val="nil"/>
              <w:bottom w:val="nil"/>
              <w:right w:val="nil"/>
            </w:tcBorders>
            <w:shd w:val="clear" w:color="000000" w:fill="FFFFFF"/>
            <w:vAlign w:val="bottom"/>
            <w:hideMark/>
          </w:tcPr>
          <w:p w14:paraId="7720F075"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w:t>
            </w:r>
          </w:p>
        </w:tc>
        <w:tc>
          <w:tcPr>
            <w:tcW w:w="559" w:type="dxa"/>
            <w:tcBorders>
              <w:top w:val="single" w:sz="4" w:space="0" w:color="ADD6EA"/>
              <w:left w:val="nil"/>
              <w:bottom w:val="nil"/>
              <w:right w:val="nil"/>
            </w:tcBorders>
            <w:shd w:val="clear" w:color="000000" w:fill="FFFFFF"/>
            <w:vAlign w:val="bottom"/>
            <w:hideMark/>
          </w:tcPr>
          <w:p w14:paraId="45B5B3C3"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11</w:t>
            </w:r>
          </w:p>
        </w:tc>
        <w:tc>
          <w:tcPr>
            <w:tcW w:w="380" w:type="dxa"/>
            <w:tcBorders>
              <w:top w:val="single" w:sz="4" w:space="0" w:color="ADD6EA"/>
              <w:left w:val="nil"/>
              <w:bottom w:val="nil"/>
              <w:right w:val="nil"/>
            </w:tcBorders>
            <w:shd w:val="clear" w:color="000000" w:fill="FFFFFF"/>
            <w:vAlign w:val="bottom"/>
            <w:hideMark/>
          </w:tcPr>
          <w:p w14:paraId="66BE1209"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32</w:t>
            </w:r>
          </w:p>
        </w:tc>
        <w:tc>
          <w:tcPr>
            <w:tcW w:w="559" w:type="dxa"/>
            <w:tcBorders>
              <w:top w:val="single" w:sz="4" w:space="0" w:color="ADD6EA"/>
              <w:left w:val="nil"/>
              <w:bottom w:val="nil"/>
              <w:right w:val="nil"/>
            </w:tcBorders>
            <w:shd w:val="clear" w:color="000000" w:fill="FFFFFF"/>
            <w:vAlign w:val="bottom"/>
            <w:hideMark/>
          </w:tcPr>
          <w:p w14:paraId="24C6C713"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0</w:t>
            </w:r>
          </w:p>
        </w:tc>
        <w:tc>
          <w:tcPr>
            <w:tcW w:w="340" w:type="dxa"/>
            <w:tcBorders>
              <w:top w:val="single" w:sz="4" w:space="0" w:color="ADD6EA"/>
              <w:left w:val="nil"/>
              <w:bottom w:val="nil"/>
              <w:right w:val="nil"/>
            </w:tcBorders>
            <w:shd w:val="clear" w:color="000000" w:fill="FFFFFF"/>
            <w:vAlign w:val="bottom"/>
            <w:hideMark/>
          </w:tcPr>
          <w:p w14:paraId="78CFFBA4"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-28</w:t>
            </w:r>
          </w:p>
        </w:tc>
        <w:tc>
          <w:tcPr>
            <w:tcW w:w="320" w:type="dxa"/>
            <w:tcBorders>
              <w:top w:val="single" w:sz="4" w:space="0" w:color="ADD6EA"/>
              <w:left w:val="nil"/>
              <w:bottom w:val="nil"/>
              <w:right w:val="nil"/>
            </w:tcBorders>
            <w:shd w:val="clear" w:color="000000" w:fill="FFFFFF"/>
            <w:vAlign w:val="bottom"/>
            <w:hideMark/>
          </w:tcPr>
          <w:p w14:paraId="5DF5B751"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w:t>
            </w:r>
          </w:p>
        </w:tc>
        <w:tc>
          <w:tcPr>
            <w:tcW w:w="340" w:type="dxa"/>
            <w:tcBorders>
              <w:top w:val="single" w:sz="4" w:space="0" w:color="ADD6EA"/>
              <w:left w:val="nil"/>
              <w:bottom w:val="nil"/>
              <w:right w:val="nil"/>
            </w:tcBorders>
            <w:shd w:val="clear" w:color="000000" w:fill="FFFFFF"/>
            <w:vAlign w:val="bottom"/>
            <w:hideMark/>
          </w:tcPr>
          <w:p w14:paraId="36867844"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-4</w:t>
            </w:r>
          </w:p>
        </w:tc>
        <w:tc>
          <w:tcPr>
            <w:tcW w:w="320" w:type="dxa"/>
            <w:tcBorders>
              <w:top w:val="single" w:sz="4" w:space="0" w:color="ADD6EA"/>
              <w:left w:val="nil"/>
              <w:bottom w:val="nil"/>
              <w:right w:val="nil"/>
            </w:tcBorders>
            <w:shd w:val="clear" w:color="000000" w:fill="FFFFFF"/>
            <w:vAlign w:val="bottom"/>
            <w:hideMark/>
          </w:tcPr>
          <w:p w14:paraId="5FC09A60"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-13</w:t>
            </w:r>
          </w:p>
        </w:tc>
        <w:tc>
          <w:tcPr>
            <w:tcW w:w="480" w:type="dxa"/>
            <w:tcBorders>
              <w:top w:val="single" w:sz="4" w:space="0" w:color="ADD6EA"/>
              <w:left w:val="nil"/>
              <w:bottom w:val="nil"/>
              <w:right w:val="nil"/>
            </w:tcBorders>
            <w:shd w:val="clear" w:color="000000" w:fill="FFFFFF"/>
            <w:vAlign w:val="bottom"/>
            <w:hideMark/>
          </w:tcPr>
          <w:p w14:paraId="7AEF2E43" w14:textId="77777777" w:rsidR="00C76137" w:rsidRPr="00C76137" w:rsidRDefault="00C76137" w:rsidP="002418B3">
            <w:pPr>
              <w:keepNext/>
              <w:tabs>
                <w:tab w:val="clear" w:pos="567"/>
              </w:tabs>
              <w:spacing w:before="0" w:line="240" w:lineRule="auto"/>
              <w:jc w:val="right"/>
              <w:rPr>
                <w:rFonts w:ascii="Open Sans Light" w:eastAsia="Times New Roman" w:hAnsi="Open Sans Light" w:cs="Open Sans Light"/>
                <w:color w:val="000000"/>
                <w:sz w:val="16"/>
                <w:szCs w:val="16"/>
                <w:lang w:eastAsia="en-AU"/>
              </w:rPr>
            </w:pPr>
            <w:r w:rsidRPr="00C76137">
              <w:rPr>
                <w:rFonts w:ascii="Open Sans Light" w:eastAsia="Times New Roman" w:hAnsi="Open Sans Light" w:cs="Open Sans Light"/>
                <w:color w:val="000000"/>
                <w:sz w:val="16"/>
                <w:szCs w:val="16"/>
                <w:lang w:eastAsia="en-AU"/>
              </w:rPr>
              <w:t>46</w:t>
            </w:r>
          </w:p>
        </w:tc>
      </w:tr>
      <w:tr w:rsidR="00C76137" w:rsidRPr="00C76137" w14:paraId="661D4C69" w14:textId="77777777" w:rsidTr="00C76137">
        <w:trPr>
          <w:trHeight w:val="315"/>
        </w:trPr>
        <w:tc>
          <w:tcPr>
            <w:tcW w:w="5347" w:type="dxa"/>
            <w:tcBorders>
              <w:top w:val="single" w:sz="4" w:space="0" w:color="ADD6EA"/>
              <w:left w:val="nil"/>
              <w:bottom w:val="single" w:sz="4" w:space="0" w:color="ADD6EA"/>
              <w:right w:val="nil"/>
            </w:tcBorders>
            <w:shd w:val="clear" w:color="000000" w:fill="D6E7F0"/>
            <w:vAlign w:val="bottom"/>
            <w:hideMark/>
          </w:tcPr>
          <w:p w14:paraId="48FFDA37" w14:textId="77777777" w:rsidR="00C76137" w:rsidRPr="00C76137" w:rsidRDefault="00C76137" w:rsidP="002418B3">
            <w:pPr>
              <w:keepNext/>
              <w:tabs>
                <w:tab w:val="clear" w:pos="567"/>
              </w:tabs>
              <w:spacing w:before="0" w:line="240" w:lineRule="auto"/>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Total</w:t>
            </w:r>
          </w:p>
        </w:tc>
        <w:tc>
          <w:tcPr>
            <w:tcW w:w="395" w:type="dxa"/>
            <w:tcBorders>
              <w:top w:val="single" w:sz="4" w:space="0" w:color="ADD6EA"/>
              <w:left w:val="nil"/>
              <w:bottom w:val="single" w:sz="4" w:space="0" w:color="ADD6EA"/>
              <w:right w:val="nil"/>
            </w:tcBorders>
            <w:shd w:val="clear" w:color="000000" w:fill="D6E7F0"/>
            <w:vAlign w:val="bottom"/>
            <w:hideMark/>
          </w:tcPr>
          <w:p w14:paraId="1A633BF6"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85</w:t>
            </w:r>
          </w:p>
        </w:tc>
        <w:tc>
          <w:tcPr>
            <w:tcW w:w="559" w:type="dxa"/>
            <w:tcBorders>
              <w:top w:val="single" w:sz="4" w:space="0" w:color="ADD6EA"/>
              <w:left w:val="nil"/>
              <w:bottom w:val="single" w:sz="4" w:space="0" w:color="ADD6EA"/>
              <w:right w:val="nil"/>
            </w:tcBorders>
            <w:shd w:val="clear" w:color="000000" w:fill="D6E7F0"/>
            <w:vAlign w:val="bottom"/>
            <w:hideMark/>
          </w:tcPr>
          <w:p w14:paraId="6C0006E2"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190</w:t>
            </w:r>
          </w:p>
        </w:tc>
        <w:tc>
          <w:tcPr>
            <w:tcW w:w="380" w:type="dxa"/>
            <w:tcBorders>
              <w:top w:val="single" w:sz="4" w:space="0" w:color="ADD6EA"/>
              <w:left w:val="nil"/>
              <w:bottom w:val="single" w:sz="4" w:space="0" w:color="ADD6EA"/>
              <w:right w:val="nil"/>
            </w:tcBorders>
            <w:shd w:val="clear" w:color="000000" w:fill="D6E7F0"/>
            <w:vAlign w:val="bottom"/>
            <w:hideMark/>
          </w:tcPr>
          <w:p w14:paraId="581506FC"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85</w:t>
            </w:r>
          </w:p>
        </w:tc>
        <w:tc>
          <w:tcPr>
            <w:tcW w:w="559" w:type="dxa"/>
            <w:tcBorders>
              <w:top w:val="single" w:sz="4" w:space="0" w:color="ADD6EA"/>
              <w:left w:val="nil"/>
              <w:bottom w:val="single" w:sz="4" w:space="0" w:color="ADD6EA"/>
              <w:right w:val="nil"/>
            </w:tcBorders>
            <w:shd w:val="clear" w:color="000000" w:fill="D6E7F0"/>
            <w:vAlign w:val="bottom"/>
            <w:hideMark/>
          </w:tcPr>
          <w:p w14:paraId="39B9C731"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-311</w:t>
            </w:r>
          </w:p>
        </w:tc>
        <w:tc>
          <w:tcPr>
            <w:tcW w:w="340" w:type="dxa"/>
            <w:tcBorders>
              <w:top w:val="single" w:sz="4" w:space="0" w:color="ADD6EA"/>
              <w:left w:val="nil"/>
              <w:bottom w:val="single" w:sz="4" w:space="0" w:color="ADD6EA"/>
              <w:right w:val="nil"/>
            </w:tcBorders>
            <w:shd w:val="clear" w:color="000000" w:fill="D6E7F0"/>
            <w:vAlign w:val="bottom"/>
            <w:hideMark/>
          </w:tcPr>
          <w:p w14:paraId="271B6DE1"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-37</w:t>
            </w:r>
          </w:p>
        </w:tc>
        <w:tc>
          <w:tcPr>
            <w:tcW w:w="320" w:type="dxa"/>
            <w:tcBorders>
              <w:top w:val="single" w:sz="4" w:space="0" w:color="ADD6EA"/>
              <w:left w:val="nil"/>
              <w:bottom w:val="single" w:sz="4" w:space="0" w:color="ADD6EA"/>
              <w:right w:val="nil"/>
            </w:tcBorders>
            <w:shd w:val="clear" w:color="000000" w:fill="D6E7F0"/>
            <w:vAlign w:val="bottom"/>
            <w:hideMark/>
          </w:tcPr>
          <w:p w14:paraId="62532ABA"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7</w:t>
            </w:r>
          </w:p>
        </w:tc>
        <w:tc>
          <w:tcPr>
            <w:tcW w:w="340" w:type="dxa"/>
            <w:tcBorders>
              <w:top w:val="single" w:sz="4" w:space="0" w:color="ADD6EA"/>
              <w:left w:val="nil"/>
              <w:bottom w:val="single" w:sz="4" w:space="0" w:color="ADD6EA"/>
              <w:right w:val="nil"/>
            </w:tcBorders>
            <w:shd w:val="clear" w:color="000000" w:fill="D6E7F0"/>
            <w:vAlign w:val="bottom"/>
            <w:hideMark/>
          </w:tcPr>
          <w:p w14:paraId="2B9B012E"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14</w:t>
            </w:r>
          </w:p>
        </w:tc>
        <w:tc>
          <w:tcPr>
            <w:tcW w:w="320" w:type="dxa"/>
            <w:tcBorders>
              <w:top w:val="single" w:sz="4" w:space="0" w:color="ADD6EA"/>
              <w:left w:val="nil"/>
              <w:bottom w:val="single" w:sz="4" w:space="0" w:color="ADD6EA"/>
              <w:right w:val="nil"/>
            </w:tcBorders>
            <w:shd w:val="clear" w:color="000000" w:fill="D6E7F0"/>
            <w:vAlign w:val="bottom"/>
            <w:hideMark/>
          </w:tcPr>
          <w:p w14:paraId="748912DB"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-33</w:t>
            </w:r>
          </w:p>
        </w:tc>
        <w:tc>
          <w:tcPr>
            <w:tcW w:w="480" w:type="dxa"/>
            <w:tcBorders>
              <w:top w:val="single" w:sz="4" w:space="0" w:color="ADD6EA"/>
              <w:left w:val="nil"/>
              <w:bottom w:val="single" w:sz="4" w:space="0" w:color="ADD6EA"/>
              <w:right w:val="nil"/>
            </w:tcBorders>
            <w:shd w:val="clear" w:color="000000" w:fill="D6E7F0"/>
            <w:vAlign w:val="bottom"/>
            <w:hideMark/>
          </w:tcPr>
          <w:p w14:paraId="49A550E5" w14:textId="77777777" w:rsidR="00C76137" w:rsidRPr="00C76137" w:rsidRDefault="00C76137" w:rsidP="002418B3">
            <w:pPr>
              <w:keepNext/>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76137">
              <w:rPr>
                <w:rFonts w:ascii="Open Sans Semibold" w:eastAsia="Times New Roman" w:hAnsi="Open Sans Semibold" w:cs="Open Sans Semibold"/>
                <w:color w:val="000000"/>
                <w:sz w:val="16"/>
                <w:szCs w:val="16"/>
                <w:lang w:eastAsia="en-AU"/>
              </w:rPr>
              <w:t>382</w:t>
            </w:r>
          </w:p>
        </w:tc>
      </w:tr>
    </w:tbl>
    <w:p w14:paraId="214A46CC" w14:textId="77777777" w:rsidR="005133CB" w:rsidRPr="00B91C00" w:rsidRDefault="005133CB" w:rsidP="000014BF">
      <w:pPr>
        <w:pStyle w:val="CGC2025TableNote"/>
        <w:numPr>
          <w:ilvl w:val="0"/>
          <w:numId w:val="24"/>
        </w:numPr>
      </w:pPr>
      <w:r w:rsidRPr="0017280B">
        <w:t xml:space="preserve">Commonwealth payments for COVID-19 and the Better and Fairer </w:t>
      </w:r>
      <w:r>
        <w:t>Schools Agreement</w:t>
      </w:r>
      <w:r w:rsidRPr="0017280B">
        <w:t xml:space="preserve"> are</w:t>
      </w:r>
      <w:r>
        <w:t xml:space="preserve"> excluded from this table as their effect has been</w:t>
      </w:r>
      <w:r w:rsidRPr="0017280B">
        <w:t xml:space="preserve"> included in the changes to expense needs.</w:t>
      </w:r>
    </w:p>
    <w:p w14:paraId="398AB2E9" w14:textId="77777777" w:rsidR="005133CB" w:rsidRPr="00285117" w:rsidRDefault="005133CB" w:rsidP="005133CB">
      <w:pPr>
        <w:pStyle w:val="Heading4"/>
      </w:pPr>
      <w:r w:rsidRPr="00285117">
        <w:t>Taxable payrolls</w:t>
      </w:r>
    </w:p>
    <w:p w14:paraId="18FE7455" w14:textId="70AC2EB6" w:rsidR="005133CB" w:rsidRPr="00285117" w:rsidRDefault="005133CB" w:rsidP="005133CB">
      <w:r>
        <w:t xml:space="preserve">There was strong </w:t>
      </w:r>
      <w:r w:rsidRPr="00285117">
        <w:t>growth in revenue collected from payroll tax</w:t>
      </w:r>
      <w:r>
        <w:t>,</w:t>
      </w:r>
      <w:r w:rsidRPr="00285117">
        <w:t xml:space="preserve"> </w:t>
      </w:r>
      <w:r>
        <w:t xml:space="preserve">as well as </w:t>
      </w:r>
      <w:r w:rsidRPr="00285117">
        <w:t xml:space="preserve">changes to states’ relative capacities to raise revenue </w:t>
      </w:r>
      <w:r>
        <w:t xml:space="preserve">from </w:t>
      </w:r>
      <w:r w:rsidRPr="00285117">
        <w:t>payroll tax</w:t>
      </w:r>
      <w:r w:rsidR="00D0357E">
        <w:t xml:space="preserve"> between 2021</w:t>
      </w:r>
      <w:r w:rsidR="000A78C8">
        <w:t>–</w:t>
      </w:r>
      <w:r w:rsidR="00D0357E">
        <w:t>22 and 2024</w:t>
      </w:r>
      <w:r w:rsidR="000A78C8">
        <w:t>–</w:t>
      </w:r>
      <w:r w:rsidR="00D0357E">
        <w:t>25</w:t>
      </w:r>
      <w:r w:rsidR="002D34E0">
        <w:t>.</w:t>
      </w:r>
      <w:r>
        <w:t xml:space="preserve"> </w:t>
      </w:r>
    </w:p>
    <w:p w14:paraId="74C192A1" w14:textId="15EE33D4" w:rsidR="005133CB" w:rsidRDefault="005133CB" w:rsidP="005133CB">
      <w:r>
        <w:t>Total revenue from payroll tax grew by 47%</w:t>
      </w:r>
      <w:r w:rsidR="00500034">
        <w:t xml:space="preserve"> over this period</w:t>
      </w:r>
      <w:r>
        <w:t>. This reduces the assessed GST needs of states with above</w:t>
      </w:r>
      <w:r>
        <w:noBreakHyphen/>
        <w:t>average capacity to raise payroll tax, particularly Western Australia.</w:t>
      </w:r>
    </w:p>
    <w:p w14:paraId="41231BB5" w14:textId="44C8E7D9" w:rsidR="005133CB" w:rsidRPr="00285117" w:rsidRDefault="005133CB" w:rsidP="005133CB">
      <w:r w:rsidRPr="00285117">
        <w:t>Queensland, Tasmania, the ACT and the Northern Territory experienced above</w:t>
      </w:r>
      <w:r>
        <w:noBreakHyphen/>
      </w:r>
      <w:r w:rsidRPr="00285117">
        <w:t xml:space="preserve">average growth </w:t>
      </w:r>
      <w:r>
        <w:t xml:space="preserve">in the </w:t>
      </w:r>
      <w:r w:rsidRPr="00285117">
        <w:t xml:space="preserve">per capita value of taxable payrolls over the period (see </w:t>
      </w:r>
      <w:r w:rsidRPr="00A61075">
        <w:t>Figure 2-</w:t>
      </w:r>
      <w:r>
        <w:t>5</w:t>
      </w:r>
      <w:r w:rsidRPr="00A61075">
        <w:t>). This reduce</w:t>
      </w:r>
      <w:r>
        <w:t>s</w:t>
      </w:r>
      <w:r w:rsidRPr="00A61075">
        <w:t xml:space="preserve"> the </w:t>
      </w:r>
      <w:r w:rsidR="00F7422B">
        <w:t xml:space="preserve">assessed </w:t>
      </w:r>
      <w:r w:rsidRPr="00A61075">
        <w:t>GST needs of those states.</w:t>
      </w:r>
    </w:p>
    <w:p w14:paraId="7AEAB3E9" w14:textId="77777777" w:rsidR="005133CB" w:rsidRPr="00E417F2" w:rsidRDefault="005133CB" w:rsidP="005133CB">
      <w:pPr>
        <w:pStyle w:val="CGC2025Caption"/>
        <w:keepNext/>
      </w:pPr>
      <w:r>
        <w:lastRenderedPageBreak/>
        <w:t>Figure 2-5</w:t>
      </w:r>
      <w:r>
        <w:tab/>
        <w:t>Value of taxable payrolls per capita, 2021–22 to 2024–25</w:t>
      </w:r>
      <w:r>
        <w:tab/>
      </w:r>
    </w:p>
    <w:p w14:paraId="1904E496" w14:textId="7F1E96D3" w:rsidR="005133CB" w:rsidRDefault="008D2F81" w:rsidP="005133CB">
      <w:r w:rsidRPr="008D2F81">
        <w:rPr>
          <w:noProof/>
        </w:rPr>
        <w:drawing>
          <wp:inline distT="0" distB="0" distL="0" distR="0" wp14:anchorId="0F61DD19" wp14:editId="6904FB03">
            <wp:extent cx="5595620" cy="3573780"/>
            <wp:effectExtent l="0" t="0" r="5080" b="7620"/>
            <wp:docPr id="341984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95620" cy="3573780"/>
                    </a:xfrm>
                    <a:prstGeom prst="rect">
                      <a:avLst/>
                    </a:prstGeom>
                    <a:noFill/>
                    <a:ln>
                      <a:noFill/>
                    </a:ln>
                  </pic:spPr>
                </pic:pic>
              </a:graphicData>
            </a:graphic>
          </wp:inline>
        </w:drawing>
      </w:r>
    </w:p>
    <w:p w14:paraId="6BC21A8B" w14:textId="77777777" w:rsidR="005133CB" w:rsidRPr="00E417F2" w:rsidRDefault="005133CB" w:rsidP="004B6CB8">
      <w:pPr>
        <w:pStyle w:val="CGC2025TableNote"/>
      </w:pPr>
      <w:r>
        <w:t>Source: Custom ABS data.</w:t>
      </w:r>
    </w:p>
    <w:p w14:paraId="46DBDCE1" w14:textId="77777777" w:rsidR="005133CB" w:rsidRPr="00A428C5" w:rsidRDefault="005133CB" w:rsidP="005133CB">
      <w:pPr>
        <w:pStyle w:val="Heading4"/>
      </w:pPr>
      <w:r w:rsidRPr="00A428C5">
        <w:t>Cost of construction</w:t>
      </w:r>
    </w:p>
    <w:p w14:paraId="7BB587B0" w14:textId="74B72E6D" w:rsidR="005133CB" w:rsidRPr="001F49AA" w:rsidRDefault="005133CB" w:rsidP="005133CB">
      <w:pPr>
        <w:rPr>
          <w:rFonts w:ascii="Open Sans Semibold" w:eastAsiaTheme="majorEastAsia" w:hAnsi="Open Sans Semibold" w:cs="Open Sans"/>
          <w:bCs/>
          <w:color w:val="006991"/>
          <w:sz w:val="26"/>
          <w:szCs w:val="36"/>
        </w:rPr>
      </w:pPr>
      <w:r>
        <w:t>Since 2021–</w:t>
      </w:r>
      <w:r>
        <w:rPr>
          <w:rFonts w:ascii="Times New Roman" w:hAnsi="Times New Roman" w:cs="Times New Roman" w:hint="eastAsia"/>
          <w:rtl/>
        </w:rPr>
        <w:t>‍</w:t>
      </w:r>
      <w:r>
        <w:t>22, construction costs have grown more in Victoria, Queensland and Tasmania, increasing their assessed GST needs.</w:t>
      </w:r>
    </w:p>
    <w:p w14:paraId="7E2376FA" w14:textId="77777777" w:rsidR="005133CB" w:rsidRPr="00FB2485" w:rsidRDefault="005133CB" w:rsidP="005133CB">
      <w:pPr>
        <w:pStyle w:val="Heading4"/>
      </w:pPr>
      <w:r w:rsidRPr="00FB2485">
        <w:t>Natural disaster relief</w:t>
      </w:r>
    </w:p>
    <w:p w14:paraId="31984165" w14:textId="3085E910" w:rsidR="005133CB" w:rsidRPr="00FB2485" w:rsidRDefault="005133CB" w:rsidP="005133CB">
      <w:r w:rsidRPr="00FB2485">
        <w:t xml:space="preserve">National expenses under the Disaster Recovery Funding Arrangements were significantly higher in 2024–25 than in 2021–22. </w:t>
      </w:r>
      <w:r w:rsidRPr="00E923FC">
        <w:t xml:space="preserve">New South Wales, Queensland and </w:t>
      </w:r>
      <w:r>
        <w:t xml:space="preserve">the Northern Territory </w:t>
      </w:r>
      <w:r w:rsidRPr="00FB2485">
        <w:t>experienced an above</w:t>
      </w:r>
      <w:r w:rsidRPr="00FB2485">
        <w:noBreakHyphen/>
        <w:t xml:space="preserve">average increase in expenses. This </w:t>
      </w:r>
      <w:r>
        <w:t>has</w:t>
      </w:r>
      <w:r w:rsidRPr="00FB2485">
        <w:t xml:space="preserve"> increased the assessed GST needs of these states and reduced the needs of the other states.</w:t>
      </w:r>
    </w:p>
    <w:p w14:paraId="1C4AD1D9" w14:textId="77777777" w:rsidR="00E60B72" w:rsidRDefault="00E60B72">
      <w:pPr>
        <w:tabs>
          <w:tab w:val="clear" w:pos="567"/>
        </w:tabs>
        <w:spacing w:before="0" w:line="240" w:lineRule="auto"/>
      </w:pPr>
      <w:r>
        <w:br w:type="page"/>
      </w:r>
    </w:p>
    <w:p w14:paraId="39117AD0" w14:textId="77777777" w:rsidR="005133CB" w:rsidRPr="00A6514A" w:rsidRDefault="005133CB" w:rsidP="005133CB">
      <w:pPr>
        <w:pStyle w:val="Heading2"/>
      </w:pPr>
      <w:r w:rsidRPr="00A6514A">
        <w:lastRenderedPageBreak/>
        <w:t>Why GST shares differ between states</w:t>
      </w:r>
    </w:p>
    <w:p w14:paraId="6EA13D19" w14:textId="0496757D" w:rsidR="005133CB" w:rsidRPr="00254379" w:rsidRDefault="005133CB" w:rsidP="005133CB">
      <w:r w:rsidRPr="00254379">
        <w:t xml:space="preserve">The previous sections in this chapter focus on </w:t>
      </w:r>
      <w:r>
        <w:t xml:space="preserve">differences between </w:t>
      </w:r>
      <w:r w:rsidRPr="00254379">
        <w:t>the 2026</w:t>
      </w:r>
      <w:r>
        <w:t>–</w:t>
      </w:r>
      <w:r w:rsidRPr="00254379">
        <w:t>27</w:t>
      </w:r>
      <w:r>
        <w:t xml:space="preserve"> and 2025–</w:t>
      </w:r>
      <w:r>
        <w:rPr>
          <w:rFonts w:ascii="Times New Roman" w:hAnsi="Times New Roman" w:cs="Times New Roman" w:hint="eastAsia"/>
          <w:rtl/>
        </w:rPr>
        <w:t>‍</w:t>
      </w:r>
      <w:r>
        <w:t>26</w:t>
      </w:r>
      <w:r w:rsidRPr="00254379">
        <w:t xml:space="preserve"> GST relativities. This section focuses on the </w:t>
      </w:r>
      <w:r>
        <w:t xml:space="preserve">reasons why </w:t>
      </w:r>
      <w:r w:rsidRPr="00254379">
        <w:t>a state has an above</w:t>
      </w:r>
      <w:r>
        <w:noBreakHyphen/>
      </w:r>
      <w:r w:rsidRPr="00254379">
        <w:t xml:space="preserve">average or below-average fiscal capacity, including the effects of the </w:t>
      </w:r>
      <w:r>
        <w:t>2018 legislated changes</w:t>
      </w:r>
      <w:r w:rsidR="00E37404" w:rsidRPr="00612DD8">
        <w:t xml:space="preserve"> to determining relativities</w:t>
      </w:r>
      <w:r w:rsidRPr="00254379">
        <w:t>.</w:t>
      </w:r>
    </w:p>
    <w:p w14:paraId="3AB1E97C" w14:textId="77777777" w:rsidR="005133CB" w:rsidRPr="00254379" w:rsidRDefault="005133CB" w:rsidP="005133CB">
      <w:r w:rsidRPr="00254379">
        <w:t>A state with above-average assessed GST needs receive</w:t>
      </w:r>
      <w:r>
        <w:t>s</w:t>
      </w:r>
      <w:r w:rsidRPr="00254379">
        <w:t xml:space="preserve"> more than an equal per capita allocation (see Table 2-10). Over the 3-year assessment period </w:t>
      </w:r>
      <w:r>
        <w:t>used to estimate</w:t>
      </w:r>
      <w:r w:rsidRPr="00254379">
        <w:t xml:space="preserve"> the 2026–</w:t>
      </w:r>
      <w:r>
        <w:rPr>
          <w:rFonts w:ascii="Times New Roman" w:hAnsi="Times New Roman" w:cs="Times New Roman" w:hint="eastAsia"/>
          <w:rtl/>
        </w:rPr>
        <w:t>‍</w:t>
      </w:r>
      <w:r w:rsidRPr="00254379">
        <w:t>27 GST relativities, Victoria, South Australia, Tasmania, the ACT and the Northern</w:t>
      </w:r>
      <w:r>
        <w:t> </w:t>
      </w:r>
      <w:r w:rsidRPr="00254379">
        <w:t xml:space="preserve">Territory </w:t>
      </w:r>
      <w:r>
        <w:t>have been</w:t>
      </w:r>
      <w:r w:rsidRPr="00254379">
        <w:t xml:space="preserve"> assessed to have above-average GST needs, with an average assessed relativity above one. New South Wales, Queensland and Western Australia </w:t>
      </w:r>
      <w:r>
        <w:t>have</w:t>
      </w:r>
      <w:r w:rsidRPr="00254379">
        <w:t xml:space="preserve"> below</w:t>
      </w:r>
      <w:r>
        <w:noBreakHyphen/>
      </w:r>
      <w:r w:rsidRPr="00254379">
        <w:t>average needs, with an assessed relativity below one.</w:t>
      </w:r>
    </w:p>
    <w:p w14:paraId="56570832" w14:textId="77777777" w:rsidR="005133CB" w:rsidRPr="00254379" w:rsidRDefault="005133CB" w:rsidP="005133CB">
      <w:r w:rsidRPr="00254379">
        <w:t>New South Wales, Queensland and Western Australia ha</w:t>
      </w:r>
      <w:r>
        <w:t>ve</w:t>
      </w:r>
      <w:r w:rsidRPr="00254379">
        <w:t xml:space="preserve"> above-average capacit</w:t>
      </w:r>
      <w:r>
        <w:t>ies</w:t>
      </w:r>
      <w:r w:rsidRPr="00254379">
        <w:t xml:space="preserve"> to raise revenue. </w:t>
      </w:r>
      <w:r>
        <w:t xml:space="preserve">For </w:t>
      </w:r>
      <w:r w:rsidRPr="00254379">
        <w:t>New South Wales</w:t>
      </w:r>
      <w:r>
        <w:t>,</w:t>
      </w:r>
      <w:r w:rsidRPr="00254379">
        <w:t xml:space="preserve"> </w:t>
      </w:r>
      <w:r>
        <w:t>this</w:t>
      </w:r>
      <w:r w:rsidRPr="00254379">
        <w:t xml:space="preserve"> reflect</w:t>
      </w:r>
      <w:r>
        <w:t>s</w:t>
      </w:r>
      <w:r w:rsidRPr="00254379">
        <w:t xml:space="preserve"> its strength in property sales, land values and payroll. For Queensland and Western Australia, mining production </w:t>
      </w:r>
      <w:r>
        <w:t>is</w:t>
      </w:r>
      <w:r w:rsidRPr="00254379">
        <w:t xml:space="preserve"> the key driver, and Western Australia also ha</w:t>
      </w:r>
      <w:r>
        <w:t>s</w:t>
      </w:r>
      <w:r w:rsidRPr="00254379">
        <w:t xml:space="preserve"> a strong payroll tax base.</w:t>
      </w:r>
    </w:p>
    <w:p w14:paraId="63E2514F" w14:textId="4D3D358A" w:rsidR="005133CB" w:rsidRDefault="005133CB" w:rsidP="005133CB">
      <w:r w:rsidRPr="007E202A">
        <w:t>Queensland, Western Australia, Tasmania and the Northern Territory ha</w:t>
      </w:r>
      <w:r>
        <w:t>ve</w:t>
      </w:r>
      <w:r w:rsidRPr="007E202A">
        <w:t xml:space="preserve"> above-average expense needs. Population dispersion </w:t>
      </w:r>
      <w:r>
        <w:t>is</w:t>
      </w:r>
      <w:r w:rsidRPr="007E202A">
        <w:t xml:space="preserve"> a key reason as it </w:t>
      </w:r>
      <w:r>
        <w:t xml:space="preserve">generally </w:t>
      </w:r>
      <w:r w:rsidRPr="007E202A">
        <w:t>costs more to provide services in more remote regions. On average, it costs more to provide services to First</w:t>
      </w:r>
      <w:r w:rsidR="00B4297E">
        <w:t> </w:t>
      </w:r>
      <w:r w:rsidRPr="007E202A">
        <w:t xml:space="preserve">Nations people because of greater complexity of needs and higher use of services. This, along with socio-economic status, </w:t>
      </w:r>
      <w:r>
        <w:t>has driven</w:t>
      </w:r>
      <w:r w:rsidRPr="007E202A">
        <w:t xml:space="preserve"> above-</w:t>
      </w:r>
      <w:r w:rsidRPr="007E202A">
        <w:rPr>
          <w:rFonts w:ascii="Times New Roman" w:hAnsi="Times New Roman" w:cs="Times New Roman"/>
        </w:rPr>
        <w:t>‍</w:t>
      </w:r>
      <w:r w:rsidRPr="007E202A">
        <w:t>average expense needs for these states.</w:t>
      </w:r>
    </w:p>
    <w:p w14:paraId="7C563A28" w14:textId="2BAD5DCC" w:rsidR="005133CB" w:rsidRPr="007E202A" w:rsidRDefault="005133CB" w:rsidP="005133CB">
      <w:r w:rsidRPr="007E202A">
        <w:t>South</w:t>
      </w:r>
      <w:r>
        <w:t> </w:t>
      </w:r>
      <w:r w:rsidRPr="007E202A">
        <w:t>Australia’s comparatively low socio-economic status and older age profile increase its expense needs, but low wage costs and urban centre characteristics more than offset this, giving it below-average expense needs overall. While the ACT ha</w:t>
      </w:r>
      <w:r>
        <w:t>s</w:t>
      </w:r>
      <w:r w:rsidRPr="007E202A">
        <w:t xml:space="preserve"> high expense needs from administrative scale, low non-state sector provision of health services and high wage costs, these </w:t>
      </w:r>
      <w:r w:rsidR="007434F5">
        <w:t>are</w:t>
      </w:r>
      <w:r w:rsidRPr="007E202A">
        <w:t xml:space="preserve"> more than offset by its </w:t>
      </w:r>
      <w:r w:rsidR="0043565A">
        <w:t>more concentrated</w:t>
      </w:r>
      <w:r w:rsidRPr="007E202A">
        <w:t xml:space="preserve"> and less disadvantaged </w:t>
      </w:r>
      <w:r>
        <w:t>population</w:t>
      </w:r>
      <w:r w:rsidRPr="007E202A">
        <w:t>.</w:t>
      </w:r>
    </w:p>
    <w:p w14:paraId="13021768" w14:textId="4D7DB47A" w:rsidR="005133CB" w:rsidRPr="006520F6" w:rsidRDefault="005133CB" w:rsidP="005133CB">
      <w:r>
        <w:t xml:space="preserve">Victoria, Western Australia and the Northern Territory have above-average investment needs. </w:t>
      </w:r>
      <w:r w:rsidR="003C6B7F">
        <w:t>This is due to</w:t>
      </w:r>
      <w:r>
        <w:t xml:space="preserve"> Victoria and Western Australia</w:t>
      </w:r>
      <w:r w:rsidR="00C042F0">
        <w:t xml:space="preserve"> having </w:t>
      </w:r>
      <w:r w:rsidRPr="006520F6">
        <w:t>higher population growth over the period 2021–22 to 2024–25</w:t>
      </w:r>
      <w:r w:rsidR="00FB512E">
        <w:t>,</w:t>
      </w:r>
      <w:r>
        <w:t xml:space="preserve"> Victoria and the Northern Territory hav</w:t>
      </w:r>
      <w:r w:rsidR="007270DF">
        <w:t>ing</w:t>
      </w:r>
      <w:r>
        <w:t xml:space="preserve"> above</w:t>
      </w:r>
      <w:r>
        <w:noBreakHyphen/>
        <w:t>average investment needs due to capital improvements</w:t>
      </w:r>
      <w:r w:rsidR="00FB512E">
        <w:t>,</w:t>
      </w:r>
      <w:r w:rsidR="00C042F0">
        <w:t xml:space="preserve"> and </w:t>
      </w:r>
      <w:r w:rsidRPr="00FC4524">
        <w:t>Western Australi</w:t>
      </w:r>
      <w:r w:rsidR="007B2D94" w:rsidRPr="00FC4524">
        <w:t>a</w:t>
      </w:r>
      <w:r w:rsidRPr="00FC4524">
        <w:t xml:space="preserve"> and the Northern Territory hav</w:t>
      </w:r>
      <w:r w:rsidR="007270DF" w:rsidRPr="00FC4524">
        <w:t>ing</w:t>
      </w:r>
      <w:r w:rsidRPr="00FC4524">
        <w:t xml:space="preserve"> </w:t>
      </w:r>
      <w:r w:rsidR="007B2D94" w:rsidRPr="00FC4524">
        <w:t>above-average</w:t>
      </w:r>
      <w:r w:rsidRPr="00FC4524">
        <w:t xml:space="preserve"> construction</w:t>
      </w:r>
      <w:r w:rsidR="00A846EA" w:rsidRPr="00FC4524">
        <w:t xml:space="preserve"> costs</w:t>
      </w:r>
      <w:r w:rsidRPr="00FC4524">
        <w:t>.</w:t>
      </w:r>
    </w:p>
    <w:p w14:paraId="5248A275" w14:textId="11DB0491" w:rsidR="005133CB" w:rsidRPr="00E417F2" w:rsidRDefault="005133CB" w:rsidP="005133CB">
      <w:pPr>
        <w:rPr>
          <w:highlight w:val="yellow"/>
        </w:rPr>
      </w:pPr>
      <w:r w:rsidRPr="00CE1273">
        <w:t>Th</w:t>
      </w:r>
      <w:r>
        <w:t xml:space="preserve">e application of the 2018 </w:t>
      </w:r>
      <w:r w:rsidR="00617639">
        <w:t>legislated changes</w:t>
      </w:r>
      <w:r w:rsidR="003471F0" w:rsidRPr="00326146">
        <w:t xml:space="preserve"> to determining relativities</w:t>
      </w:r>
      <w:r w:rsidR="00617639">
        <w:t xml:space="preserve"> </w:t>
      </w:r>
      <w:r>
        <w:t xml:space="preserve">in this update </w:t>
      </w:r>
      <w:r w:rsidRPr="00EE3276">
        <w:t>reduce</w:t>
      </w:r>
      <w:r>
        <w:t>s</w:t>
      </w:r>
      <w:r w:rsidRPr="00EE3276">
        <w:t xml:space="preserve"> GST revenue for all states except Western Australia. </w:t>
      </w:r>
      <w:r w:rsidRPr="00312B07">
        <w:t>While Queensland benefit</w:t>
      </w:r>
      <w:r>
        <w:t>s</w:t>
      </w:r>
      <w:r w:rsidRPr="00312B07">
        <w:t xml:space="preserve"> from its relativity being lifted to the standard state for 2 assessment years, this </w:t>
      </w:r>
      <w:r>
        <w:t>is</w:t>
      </w:r>
      <w:r w:rsidRPr="00312B07">
        <w:t xml:space="preserve"> outweighed by its contribution to lifting Western Australia’s relativity</w:t>
      </w:r>
      <w:r w:rsidR="002C3CD2">
        <w:t xml:space="preserve"> to that of the standard state</w:t>
      </w:r>
      <w:r w:rsidRPr="00DE02D3">
        <w:t>.</w:t>
      </w:r>
    </w:p>
    <w:p w14:paraId="478D4CC1" w14:textId="77777777" w:rsidR="005133CB" w:rsidRPr="00E417F2" w:rsidRDefault="005133CB" w:rsidP="005133CB">
      <w:pPr>
        <w:tabs>
          <w:tab w:val="clear" w:pos="567"/>
        </w:tabs>
        <w:spacing w:before="0" w:after="200" w:line="276" w:lineRule="auto"/>
        <w:rPr>
          <w:b/>
          <w:highlight w:val="yellow"/>
        </w:rPr>
      </w:pPr>
      <w:r w:rsidRPr="00E417F2">
        <w:rPr>
          <w:highlight w:val="yellow"/>
        </w:rPr>
        <w:br w:type="page"/>
      </w:r>
    </w:p>
    <w:p w14:paraId="12C65152" w14:textId="0303C02C" w:rsidR="005133CB" w:rsidRDefault="005133CB" w:rsidP="005133CB">
      <w:pPr>
        <w:pStyle w:val="CGC2025Caption"/>
      </w:pPr>
      <w:r w:rsidRPr="00A61075">
        <w:lastRenderedPageBreak/>
        <w:t>Table 2-10</w:t>
      </w:r>
      <w:r w:rsidRPr="00A61075">
        <w:tab/>
        <w:t>Drivers of difference from an equal per capita distribution of GST, 2026–27</w:t>
      </w:r>
    </w:p>
    <w:tbl>
      <w:tblPr>
        <w:tblW w:w="9000" w:type="dxa"/>
        <w:tblLook w:val="04A0" w:firstRow="1" w:lastRow="0" w:firstColumn="1" w:lastColumn="0" w:noHBand="0" w:noVBand="1"/>
      </w:tblPr>
      <w:tblGrid>
        <w:gridCol w:w="2557"/>
        <w:gridCol w:w="679"/>
        <w:gridCol w:w="718"/>
        <w:gridCol w:w="718"/>
        <w:gridCol w:w="779"/>
        <w:gridCol w:w="718"/>
        <w:gridCol w:w="718"/>
        <w:gridCol w:w="679"/>
        <w:gridCol w:w="718"/>
        <w:gridCol w:w="716"/>
      </w:tblGrid>
      <w:tr w:rsidR="00BF1B0C" w:rsidRPr="00BF1B0C" w14:paraId="73E2241A" w14:textId="77777777" w:rsidTr="00CB0D4F">
        <w:trPr>
          <w:trHeight w:val="553"/>
        </w:trPr>
        <w:tc>
          <w:tcPr>
            <w:tcW w:w="2557" w:type="dxa"/>
            <w:tcBorders>
              <w:top w:val="nil"/>
              <w:left w:val="nil"/>
              <w:bottom w:val="nil"/>
              <w:right w:val="nil"/>
            </w:tcBorders>
            <w:shd w:val="clear" w:color="000000" w:fill="006991"/>
            <w:vAlign w:val="center"/>
            <w:hideMark/>
          </w:tcPr>
          <w:p w14:paraId="6917E2FB" w14:textId="77777777" w:rsidR="00BF1B0C" w:rsidRPr="00BF1B0C" w:rsidRDefault="00BF1B0C" w:rsidP="00BF1B0C">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59" w:name="RANGE!A4:J37"/>
            <w:r w:rsidRPr="00BF1B0C">
              <w:rPr>
                <w:rFonts w:ascii="Open Sans Semibold" w:eastAsia="Times New Roman" w:hAnsi="Open Sans Semibold" w:cs="Open Sans Semibold"/>
                <w:color w:val="FFFFFF"/>
                <w:sz w:val="16"/>
                <w:szCs w:val="16"/>
                <w:lang w:eastAsia="en-AU"/>
              </w:rPr>
              <w:t> </w:t>
            </w:r>
            <w:bookmarkEnd w:id="59"/>
          </w:p>
        </w:tc>
        <w:tc>
          <w:tcPr>
            <w:tcW w:w="679" w:type="dxa"/>
            <w:tcBorders>
              <w:top w:val="nil"/>
              <w:left w:val="nil"/>
              <w:bottom w:val="nil"/>
              <w:right w:val="nil"/>
            </w:tcBorders>
            <w:shd w:val="clear" w:color="000000" w:fill="006991"/>
            <w:vAlign w:val="center"/>
            <w:hideMark/>
          </w:tcPr>
          <w:p w14:paraId="546BA900"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NSW</w:t>
            </w:r>
          </w:p>
        </w:tc>
        <w:tc>
          <w:tcPr>
            <w:tcW w:w="718" w:type="dxa"/>
            <w:tcBorders>
              <w:top w:val="nil"/>
              <w:left w:val="nil"/>
              <w:bottom w:val="nil"/>
              <w:right w:val="nil"/>
            </w:tcBorders>
            <w:shd w:val="clear" w:color="000000" w:fill="006991"/>
            <w:vAlign w:val="center"/>
            <w:hideMark/>
          </w:tcPr>
          <w:p w14:paraId="413F3B78"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Vic</w:t>
            </w:r>
          </w:p>
        </w:tc>
        <w:tc>
          <w:tcPr>
            <w:tcW w:w="718" w:type="dxa"/>
            <w:tcBorders>
              <w:top w:val="nil"/>
              <w:left w:val="nil"/>
              <w:bottom w:val="nil"/>
              <w:right w:val="nil"/>
            </w:tcBorders>
            <w:shd w:val="clear" w:color="000000" w:fill="006991"/>
            <w:vAlign w:val="center"/>
            <w:hideMark/>
          </w:tcPr>
          <w:p w14:paraId="31D93599"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Qld</w:t>
            </w:r>
          </w:p>
        </w:tc>
        <w:tc>
          <w:tcPr>
            <w:tcW w:w="779" w:type="dxa"/>
            <w:tcBorders>
              <w:top w:val="nil"/>
              <w:left w:val="nil"/>
              <w:bottom w:val="nil"/>
              <w:right w:val="nil"/>
            </w:tcBorders>
            <w:shd w:val="clear" w:color="000000" w:fill="006991"/>
            <w:vAlign w:val="center"/>
            <w:hideMark/>
          </w:tcPr>
          <w:p w14:paraId="74EA019A"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WA</w:t>
            </w:r>
          </w:p>
        </w:tc>
        <w:tc>
          <w:tcPr>
            <w:tcW w:w="718" w:type="dxa"/>
            <w:tcBorders>
              <w:top w:val="nil"/>
              <w:left w:val="nil"/>
              <w:bottom w:val="nil"/>
              <w:right w:val="nil"/>
            </w:tcBorders>
            <w:shd w:val="clear" w:color="000000" w:fill="006991"/>
            <w:vAlign w:val="center"/>
            <w:hideMark/>
          </w:tcPr>
          <w:p w14:paraId="504C54AD"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SA</w:t>
            </w:r>
          </w:p>
        </w:tc>
        <w:tc>
          <w:tcPr>
            <w:tcW w:w="718" w:type="dxa"/>
            <w:tcBorders>
              <w:top w:val="nil"/>
              <w:left w:val="nil"/>
              <w:bottom w:val="nil"/>
              <w:right w:val="nil"/>
            </w:tcBorders>
            <w:shd w:val="clear" w:color="000000" w:fill="006991"/>
            <w:vAlign w:val="center"/>
            <w:hideMark/>
          </w:tcPr>
          <w:p w14:paraId="1B5941B3"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Tas</w:t>
            </w:r>
          </w:p>
        </w:tc>
        <w:tc>
          <w:tcPr>
            <w:tcW w:w="679" w:type="dxa"/>
            <w:tcBorders>
              <w:top w:val="nil"/>
              <w:left w:val="nil"/>
              <w:bottom w:val="nil"/>
              <w:right w:val="nil"/>
            </w:tcBorders>
            <w:shd w:val="clear" w:color="000000" w:fill="006991"/>
            <w:vAlign w:val="center"/>
            <w:hideMark/>
          </w:tcPr>
          <w:p w14:paraId="4A3A2321"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ACT</w:t>
            </w:r>
          </w:p>
        </w:tc>
        <w:tc>
          <w:tcPr>
            <w:tcW w:w="718" w:type="dxa"/>
            <w:tcBorders>
              <w:top w:val="nil"/>
              <w:left w:val="nil"/>
              <w:bottom w:val="nil"/>
              <w:right w:val="nil"/>
            </w:tcBorders>
            <w:shd w:val="clear" w:color="000000" w:fill="006991"/>
            <w:vAlign w:val="center"/>
            <w:hideMark/>
          </w:tcPr>
          <w:p w14:paraId="33627E2F"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NT</w:t>
            </w:r>
          </w:p>
        </w:tc>
        <w:tc>
          <w:tcPr>
            <w:tcW w:w="716" w:type="dxa"/>
            <w:tcBorders>
              <w:top w:val="nil"/>
              <w:left w:val="nil"/>
              <w:bottom w:val="nil"/>
              <w:right w:val="nil"/>
            </w:tcBorders>
            <w:shd w:val="clear" w:color="000000" w:fill="006991"/>
            <w:vAlign w:val="center"/>
            <w:hideMark/>
          </w:tcPr>
          <w:p w14:paraId="648F98B4"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BF1B0C">
              <w:rPr>
                <w:rFonts w:ascii="Open Sans Semibold" w:eastAsia="Times New Roman" w:hAnsi="Open Sans Semibold" w:cs="Open Sans Semibold"/>
                <w:color w:val="FFFFFF"/>
                <w:sz w:val="16"/>
                <w:szCs w:val="16"/>
                <w:lang w:eastAsia="en-AU"/>
              </w:rPr>
              <w:t>Total effect</w:t>
            </w:r>
          </w:p>
        </w:tc>
      </w:tr>
      <w:tr w:rsidR="00BF1B0C" w:rsidRPr="00BF1B0C" w14:paraId="6872F250" w14:textId="77777777" w:rsidTr="00CB0D4F">
        <w:trPr>
          <w:trHeight w:val="260"/>
        </w:trPr>
        <w:tc>
          <w:tcPr>
            <w:tcW w:w="2557" w:type="dxa"/>
            <w:tcBorders>
              <w:top w:val="single" w:sz="4" w:space="0" w:color="ADD6EA"/>
              <w:left w:val="nil"/>
              <w:bottom w:val="nil"/>
              <w:right w:val="nil"/>
            </w:tcBorders>
            <w:shd w:val="clear" w:color="000000" w:fill="B6D5E4"/>
            <w:vAlign w:val="bottom"/>
            <w:hideMark/>
          </w:tcPr>
          <w:p w14:paraId="458FFD2B" w14:textId="77777777" w:rsidR="00BF1B0C" w:rsidRPr="00BF1B0C" w:rsidRDefault="00BF1B0C" w:rsidP="00BF1B0C">
            <w:pPr>
              <w:tabs>
                <w:tab w:val="clear" w:pos="567"/>
              </w:tabs>
              <w:spacing w:before="0" w:line="240" w:lineRule="auto"/>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 </w:t>
            </w:r>
          </w:p>
        </w:tc>
        <w:tc>
          <w:tcPr>
            <w:tcW w:w="679" w:type="dxa"/>
            <w:tcBorders>
              <w:top w:val="single" w:sz="4" w:space="0" w:color="ADD6EA"/>
              <w:left w:val="nil"/>
              <w:bottom w:val="nil"/>
              <w:right w:val="nil"/>
            </w:tcBorders>
            <w:shd w:val="clear" w:color="000000" w:fill="B6D5E4"/>
            <w:vAlign w:val="bottom"/>
            <w:hideMark/>
          </w:tcPr>
          <w:p w14:paraId="3FF0410C"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c>
          <w:tcPr>
            <w:tcW w:w="718" w:type="dxa"/>
            <w:tcBorders>
              <w:top w:val="single" w:sz="4" w:space="0" w:color="ADD6EA"/>
              <w:left w:val="nil"/>
              <w:bottom w:val="nil"/>
              <w:right w:val="nil"/>
            </w:tcBorders>
            <w:shd w:val="clear" w:color="000000" w:fill="B6D5E4"/>
            <w:vAlign w:val="bottom"/>
            <w:hideMark/>
          </w:tcPr>
          <w:p w14:paraId="7EFC4ECF"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c>
          <w:tcPr>
            <w:tcW w:w="718" w:type="dxa"/>
            <w:tcBorders>
              <w:top w:val="single" w:sz="4" w:space="0" w:color="ADD6EA"/>
              <w:left w:val="nil"/>
              <w:bottom w:val="nil"/>
              <w:right w:val="nil"/>
            </w:tcBorders>
            <w:shd w:val="clear" w:color="000000" w:fill="B6D5E4"/>
            <w:vAlign w:val="bottom"/>
            <w:hideMark/>
          </w:tcPr>
          <w:p w14:paraId="30685928"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c>
          <w:tcPr>
            <w:tcW w:w="779" w:type="dxa"/>
            <w:tcBorders>
              <w:top w:val="single" w:sz="4" w:space="0" w:color="ADD6EA"/>
              <w:left w:val="nil"/>
              <w:bottom w:val="nil"/>
              <w:right w:val="nil"/>
            </w:tcBorders>
            <w:shd w:val="clear" w:color="000000" w:fill="B6D5E4"/>
            <w:vAlign w:val="bottom"/>
            <w:hideMark/>
          </w:tcPr>
          <w:p w14:paraId="2E31140C"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c>
          <w:tcPr>
            <w:tcW w:w="718" w:type="dxa"/>
            <w:tcBorders>
              <w:top w:val="single" w:sz="4" w:space="0" w:color="ADD6EA"/>
              <w:left w:val="nil"/>
              <w:bottom w:val="nil"/>
              <w:right w:val="nil"/>
            </w:tcBorders>
            <w:shd w:val="clear" w:color="000000" w:fill="B6D5E4"/>
            <w:vAlign w:val="bottom"/>
            <w:hideMark/>
          </w:tcPr>
          <w:p w14:paraId="2BDAD2E6"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c>
          <w:tcPr>
            <w:tcW w:w="718" w:type="dxa"/>
            <w:tcBorders>
              <w:top w:val="single" w:sz="4" w:space="0" w:color="ADD6EA"/>
              <w:left w:val="nil"/>
              <w:bottom w:val="nil"/>
              <w:right w:val="nil"/>
            </w:tcBorders>
            <w:shd w:val="clear" w:color="000000" w:fill="B6D5E4"/>
            <w:vAlign w:val="bottom"/>
            <w:hideMark/>
          </w:tcPr>
          <w:p w14:paraId="04D9806C"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c>
          <w:tcPr>
            <w:tcW w:w="679" w:type="dxa"/>
            <w:tcBorders>
              <w:top w:val="single" w:sz="4" w:space="0" w:color="ADD6EA"/>
              <w:left w:val="nil"/>
              <w:bottom w:val="nil"/>
              <w:right w:val="nil"/>
            </w:tcBorders>
            <w:shd w:val="clear" w:color="000000" w:fill="B6D5E4"/>
            <w:vAlign w:val="bottom"/>
            <w:hideMark/>
          </w:tcPr>
          <w:p w14:paraId="272071EC"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c>
          <w:tcPr>
            <w:tcW w:w="718" w:type="dxa"/>
            <w:tcBorders>
              <w:top w:val="single" w:sz="4" w:space="0" w:color="ADD6EA"/>
              <w:left w:val="nil"/>
              <w:bottom w:val="nil"/>
              <w:right w:val="nil"/>
            </w:tcBorders>
            <w:shd w:val="clear" w:color="000000" w:fill="B6D5E4"/>
            <w:vAlign w:val="bottom"/>
            <w:hideMark/>
          </w:tcPr>
          <w:p w14:paraId="22BF378A"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c>
          <w:tcPr>
            <w:tcW w:w="716" w:type="dxa"/>
            <w:tcBorders>
              <w:top w:val="single" w:sz="4" w:space="0" w:color="ADD6EA"/>
              <w:left w:val="nil"/>
              <w:bottom w:val="nil"/>
              <w:right w:val="nil"/>
            </w:tcBorders>
            <w:shd w:val="clear" w:color="000000" w:fill="B6D5E4"/>
            <w:vAlign w:val="bottom"/>
            <w:hideMark/>
          </w:tcPr>
          <w:p w14:paraId="1CC26394"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$m</w:t>
            </w:r>
          </w:p>
        </w:tc>
      </w:tr>
      <w:tr w:rsidR="00BF1B0C" w:rsidRPr="00BF1B0C" w14:paraId="2B30C29D" w14:textId="77777777" w:rsidTr="00CB0D4F">
        <w:trPr>
          <w:trHeight w:val="320"/>
        </w:trPr>
        <w:tc>
          <w:tcPr>
            <w:tcW w:w="2557" w:type="dxa"/>
            <w:tcBorders>
              <w:top w:val="single" w:sz="4" w:space="0" w:color="ADD6EA"/>
              <w:left w:val="nil"/>
              <w:bottom w:val="nil"/>
              <w:right w:val="nil"/>
            </w:tcBorders>
            <w:shd w:val="clear" w:color="000000" w:fill="FFFFFF"/>
            <w:vAlign w:val="bottom"/>
            <w:hideMark/>
          </w:tcPr>
          <w:p w14:paraId="1CC6E731" w14:textId="77777777" w:rsidR="00BF1B0C" w:rsidRPr="00BF1B0C" w:rsidRDefault="00BF1B0C" w:rsidP="00BF1B0C">
            <w:pPr>
              <w:tabs>
                <w:tab w:val="clear" w:pos="567"/>
              </w:tabs>
              <w:spacing w:before="0" w:line="240" w:lineRule="auto"/>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Revenue raising capacity</w:t>
            </w:r>
          </w:p>
        </w:tc>
        <w:tc>
          <w:tcPr>
            <w:tcW w:w="679" w:type="dxa"/>
            <w:tcBorders>
              <w:top w:val="single" w:sz="4" w:space="0" w:color="ADD6EA"/>
              <w:left w:val="nil"/>
              <w:bottom w:val="nil"/>
              <w:right w:val="nil"/>
            </w:tcBorders>
            <w:shd w:val="clear" w:color="000000" w:fill="FFFFFF"/>
            <w:vAlign w:val="bottom"/>
            <w:hideMark/>
          </w:tcPr>
          <w:p w14:paraId="15A00D8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3832EB6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147C8FB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79" w:type="dxa"/>
            <w:tcBorders>
              <w:top w:val="single" w:sz="4" w:space="0" w:color="ADD6EA"/>
              <w:left w:val="nil"/>
              <w:bottom w:val="nil"/>
              <w:right w:val="nil"/>
            </w:tcBorders>
            <w:shd w:val="clear" w:color="000000" w:fill="FFFFFF"/>
            <w:vAlign w:val="bottom"/>
            <w:hideMark/>
          </w:tcPr>
          <w:p w14:paraId="09A2A1D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3F27BC0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72661DB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679" w:type="dxa"/>
            <w:tcBorders>
              <w:top w:val="single" w:sz="4" w:space="0" w:color="ADD6EA"/>
              <w:left w:val="nil"/>
              <w:bottom w:val="nil"/>
              <w:right w:val="nil"/>
            </w:tcBorders>
            <w:shd w:val="clear" w:color="000000" w:fill="FFFFFF"/>
            <w:vAlign w:val="bottom"/>
            <w:hideMark/>
          </w:tcPr>
          <w:p w14:paraId="528F750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648AB07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6" w:type="dxa"/>
            <w:tcBorders>
              <w:top w:val="single" w:sz="4" w:space="0" w:color="ADD6EA"/>
              <w:left w:val="nil"/>
              <w:bottom w:val="nil"/>
              <w:right w:val="nil"/>
            </w:tcBorders>
            <w:shd w:val="clear" w:color="000000" w:fill="FFFFFF"/>
            <w:vAlign w:val="bottom"/>
            <w:hideMark/>
          </w:tcPr>
          <w:p w14:paraId="37A0B446"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r>
      <w:tr w:rsidR="00BF1B0C" w:rsidRPr="00BF1B0C" w14:paraId="2A68A3B5"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08A6CB11"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Mining production</w:t>
            </w:r>
          </w:p>
        </w:tc>
        <w:tc>
          <w:tcPr>
            <w:tcW w:w="679" w:type="dxa"/>
            <w:tcBorders>
              <w:top w:val="single" w:sz="4" w:space="0" w:color="ADD6EA"/>
              <w:left w:val="nil"/>
              <w:bottom w:val="nil"/>
              <w:right w:val="nil"/>
            </w:tcBorders>
            <w:shd w:val="clear" w:color="000000" w:fill="FFFFFF"/>
            <w:vAlign w:val="bottom"/>
            <w:hideMark/>
          </w:tcPr>
          <w:p w14:paraId="01C9105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4,382</w:t>
            </w:r>
          </w:p>
        </w:tc>
        <w:tc>
          <w:tcPr>
            <w:tcW w:w="718" w:type="dxa"/>
            <w:tcBorders>
              <w:top w:val="single" w:sz="4" w:space="0" w:color="ADD6EA"/>
              <w:left w:val="nil"/>
              <w:bottom w:val="nil"/>
              <w:right w:val="nil"/>
            </w:tcBorders>
            <w:shd w:val="clear" w:color="000000" w:fill="FFFFFF"/>
            <w:vAlign w:val="bottom"/>
            <w:hideMark/>
          </w:tcPr>
          <w:p w14:paraId="19847FD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8,942</w:t>
            </w:r>
          </w:p>
        </w:tc>
        <w:tc>
          <w:tcPr>
            <w:tcW w:w="718" w:type="dxa"/>
            <w:tcBorders>
              <w:top w:val="single" w:sz="4" w:space="0" w:color="ADD6EA"/>
              <w:left w:val="nil"/>
              <w:bottom w:val="nil"/>
              <w:right w:val="nil"/>
            </w:tcBorders>
            <w:shd w:val="clear" w:color="000000" w:fill="FFFFFF"/>
            <w:vAlign w:val="bottom"/>
            <w:hideMark/>
          </w:tcPr>
          <w:p w14:paraId="0B28673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-5,771</w:t>
            </w:r>
          </w:p>
        </w:tc>
        <w:tc>
          <w:tcPr>
            <w:tcW w:w="779" w:type="dxa"/>
            <w:tcBorders>
              <w:top w:val="single" w:sz="4" w:space="0" w:color="ADD6EA"/>
              <w:left w:val="nil"/>
              <w:bottom w:val="nil"/>
              <w:right w:val="nil"/>
            </w:tcBorders>
            <w:shd w:val="clear" w:color="000000" w:fill="FFFFFF"/>
            <w:vAlign w:val="bottom"/>
            <w:hideMark/>
          </w:tcPr>
          <w:p w14:paraId="280BB3B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-10,726</w:t>
            </w:r>
          </w:p>
        </w:tc>
        <w:tc>
          <w:tcPr>
            <w:tcW w:w="718" w:type="dxa"/>
            <w:tcBorders>
              <w:top w:val="single" w:sz="4" w:space="0" w:color="ADD6EA"/>
              <w:left w:val="nil"/>
              <w:bottom w:val="nil"/>
              <w:right w:val="nil"/>
            </w:tcBorders>
            <w:shd w:val="clear" w:color="000000" w:fill="FFFFFF"/>
            <w:vAlign w:val="bottom"/>
            <w:hideMark/>
          </w:tcPr>
          <w:p w14:paraId="63FA696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1,874</w:t>
            </w:r>
          </w:p>
        </w:tc>
        <w:tc>
          <w:tcPr>
            <w:tcW w:w="718" w:type="dxa"/>
            <w:tcBorders>
              <w:top w:val="single" w:sz="4" w:space="0" w:color="ADD6EA"/>
              <w:left w:val="nil"/>
              <w:bottom w:val="nil"/>
              <w:right w:val="nil"/>
            </w:tcBorders>
            <w:shd w:val="clear" w:color="000000" w:fill="FFFFFF"/>
            <w:vAlign w:val="bottom"/>
            <w:hideMark/>
          </w:tcPr>
          <w:p w14:paraId="18AB03F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600</w:t>
            </w:r>
          </w:p>
        </w:tc>
        <w:tc>
          <w:tcPr>
            <w:tcW w:w="679" w:type="dxa"/>
            <w:tcBorders>
              <w:top w:val="single" w:sz="4" w:space="0" w:color="ADD6EA"/>
              <w:left w:val="nil"/>
              <w:bottom w:val="nil"/>
              <w:right w:val="nil"/>
            </w:tcBorders>
            <w:shd w:val="clear" w:color="000000" w:fill="FFFFFF"/>
            <w:vAlign w:val="bottom"/>
            <w:hideMark/>
          </w:tcPr>
          <w:p w14:paraId="73C3E94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627</w:t>
            </w:r>
          </w:p>
        </w:tc>
        <w:tc>
          <w:tcPr>
            <w:tcW w:w="718" w:type="dxa"/>
            <w:tcBorders>
              <w:top w:val="single" w:sz="4" w:space="0" w:color="ADD6EA"/>
              <w:left w:val="nil"/>
              <w:bottom w:val="nil"/>
              <w:right w:val="nil"/>
            </w:tcBorders>
            <w:shd w:val="clear" w:color="000000" w:fill="FFFFFF"/>
            <w:vAlign w:val="bottom"/>
            <w:hideMark/>
          </w:tcPr>
          <w:p w14:paraId="3DD84A3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72</w:t>
            </w:r>
          </w:p>
        </w:tc>
        <w:tc>
          <w:tcPr>
            <w:tcW w:w="716" w:type="dxa"/>
            <w:tcBorders>
              <w:top w:val="single" w:sz="4" w:space="0" w:color="ADD6EA"/>
              <w:left w:val="nil"/>
              <w:bottom w:val="nil"/>
              <w:right w:val="nil"/>
            </w:tcBorders>
            <w:shd w:val="clear" w:color="000000" w:fill="FFFFFF"/>
            <w:vAlign w:val="bottom"/>
            <w:hideMark/>
          </w:tcPr>
          <w:p w14:paraId="2DA4E81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16,497</w:t>
            </w:r>
          </w:p>
        </w:tc>
      </w:tr>
      <w:tr w:rsidR="00BF1B0C" w:rsidRPr="00BF1B0C" w14:paraId="30A79829"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0B5D1912"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Taxable land values</w:t>
            </w:r>
          </w:p>
        </w:tc>
        <w:tc>
          <w:tcPr>
            <w:tcW w:w="679" w:type="dxa"/>
            <w:tcBorders>
              <w:top w:val="single" w:sz="4" w:space="0" w:color="ADD6EA"/>
              <w:left w:val="nil"/>
              <w:bottom w:val="nil"/>
              <w:right w:val="nil"/>
            </w:tcBorders>
            <w:shd w:val="clear" w:color="000000" w:fill="FFFFFF"/>
            <w:vAlign w:val="bottom"/>
            <w:hideMark/>
          </w:tcPr>
          <w:p w14:paraId="0D97718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-3,632</w:t>
            </w:r>
          </w:p>
        </w:tc>
        <w:tc>
          <w:tcPr>
            <w:tcW w:w="718" w:type="dxa"/>
            <w:tcBorders>
              <w:top w:val="single" w:sz="4" w:space="0" w:color="ADD6EA"/>
              <w:left w:val="nil"/>
              <w:bottom w:val="nil"/>
              <w:right w:val="nil"/>
            </w:tcBorders>
            <w:shd w:val="clear" w:color="000000" w:fill="FFFFFF"/>
            <w:vAlign w:val="bottom"/>
            <w:hideMark/>
          </w:tcPr>
          <w:p w14:paraId="05EA0A8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-482</w:t>
            </w:r>
          </w:p>
        </w:tc>
        <w:tc>
          <w:tcPr>
            <w:tcW w:w="718" w:type="dxa"/>
            <w:tcBorders>
              <w:top w:val="single" w:sz="4" w:space="0" w:color="ADD6EA"/>
              <w:left w:val="nil"/>
              <w:bottom w:val="nil"/>
              <w:right w:val="nil"/>
            </w:tcBorders>
            <w:shd w:val="clear" w:color="000000" w:fill="FFFFFF"/>
            <w:vAlign w:val="bottom"/>
            <w:hideMark/>
          </w:tcPr>
          <w:p w14:paraId="7EA38EE6"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1,892</w:t>
            </w:r>
          </w:p>
        </w:tc>
        <w:tc>
          <w:tcPr>
            <w:tcW w:w="779" w:type="dxa"/>
            <w:tcBorders>
              <w:top w:val="single" w:sz="4" w:space="0" w:color="ADD6EA"/>
              <w:left w:val="nil"/>
              <w:bottom w:val="nil"/>
              <w:right w:val="nil"/>
            </w:tcBorders>
            <w:shd w:val="clear" w:color="000000" w:fill="FFFFFF"/>
            <w:vAlign w:val="bottom"/>
            <w:hideMark/>
          </w:tcPr>
          <w:p w14:paraId="63ADF8E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1,004</w:t>
            </w:r>
          </w:p>
        </w:tc>
        <w:tc>
          <w:tcPr>
            <w:tcW w:w="718" w:type="dxa"/>
            <w:tcBorders>
              <w:top w:val="single" w:sz="4" w:space="0" w:color="ADD6EA"/>
              <w:left w:val="nil"/>
              <w:bottom w:val="nil"/>
              <w:right w:val="nil"/>
            </w:tcBorders>
            <w:shd w:val="clear" w:color="000000" w:fill="FFFFFF"/>
            <w:vAlign w:val="bottom"/>
            <w:hideMark/>
          </w:tcPr>
          <w:p w14:paraId="2433812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643</w:t>
            </w:r>
          </w:p>
        </w:tc>
        <w:tc>
          <w:tcPr>
            <w:tcW w:w="718" w:type="dxa"/>
            <w:tcBorders>
              <w:top w:val="single" w:sz="4" w:space="0" w:color="ADD6EA"/>
              <w:left w:val="nil"/>
              <w:bottom w:val="nil"/>
              <w:right w:val="nil"/>
            </w:tcBorders>
            <w:shd w:val="clear" w:color="000000" w:fill="FFFFFF"/>
            <w:vAlign w:val="bottom"/>
            <w:hideMark/>
          </w:tcPr>
          <w:p w14:paraId="66EF767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248</w:t>
            </w:r>
          </w:p>
        </w:tc>
        <w:tc>
          <w:tcPr>
            <w:tcW w:w="679" w:type="dxa"/>
            <w:tcBorders>
              <w:top w:val="single" w:sz="4" w:space="0" w:color="ADD6EA"/>
              <w:left w:val="nil"/>
              <w:bottom w:val="nil"/>
              <w:right w:val="nil"/>
            </w:tcBorders>
            <w:shd w:val="clear" w:color="000000" w:fill="FFFFFF"/>
            <w:vAlign w:val="bottom"/>
            <w:hideMark/>
          </w:tcPr>
          <w:p w14:paraId="0BA061E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218</w:t>
            </w:r>
          </w:p>
        </w:tc>
        <w:tc>
          <w:tcPr>
            <w:tcW w:w="718" w:type="dxa"/>
            <w:tcBorders>
              <w:top w:val="single" w:sz="4" w:space="0" w:color="ADD6EA"/>
              <w:left w:val="nil"/>
              <w:bottom w:val="nil"/>
              <w:right w:val="nil"/>
            </w:tcBorders>
            <w:shd w:val="clear" w:color="000000" w:fill="FFFFFF"/>
            <w:vAlign w:val="bottom"/>
            <w:hideMark/>
          </w:tcPr>
          <w:p w14:paraId="22D907B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109</w:t>
            </w:r>
          </w:p>
        </w:tc>
        <w:tc>
          <w:tcPr>
            <w:tcW w:w="716" w:type="dxa"/>
            <w:tcBorders>
              <w:top w:val="single" w:sz="4" w:space="0" w:color="ADD6EA"/>
              <w:left w:val="nil"/>
              <w:bottom w:val="nil"/>
              <w:right w:val="nil"/>
            </w:tcBorders>
            <w:shd w:val="clear" w:color="000000" w:fill="FFFFFF"/>
            <w:vAlign w:val="bottom"/>
            <w:hideMark/>
          </w:tcPr>
          <w:p w14:paraId="7B0958F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4,114</w:t>
            </w:r>
          </w:p>
        </w:tc>
      </w:tr>
      <w:tr w:rsidR="00BF1B0C" w:rsidRPr="00BF1B0C" w14:paraId="3B4F9466"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288523DA"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Property sales</w:t>
            </w:r>
          </w:p>
        </w:tc>
        <w:tc>
          <w:tcPr>
            <w:tcW w:w="679" w:type="dxa"/>
            <w:tcBorders>
              <w:top w:val="single" w:sz="4" w:space="0" w:color="ADD6EA"/>
              <w:left w:val="nil"/>
              <w:bottom w:val="nil"/>
              <w:right w:val="nil"/>
            </w:tcBorders>
            <w:shd w:val="clear" w:color="000000" w:fill="FFFFFF"/>
            <w:vAlign w:val="bottom"/>
            <w:hideMark/>
          </w:tcPr>
          <w:p w14:paraId="16BD3C9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-2,288</w:t>
            </w:r>
          </w:p>
        </w:tc>
        <w:tc>
          <w:tcPr>
            <w:tcW w:w="718" w:type="dxa"/>
            <w:tcBorders>
              <w:top w:val="single" w:sz="4" w:space="0" w:color="ADD6EA"/>
              <w:left w:val="nil"/>
              <w:bottom w:val="nil"/>
              <w:right w:val="nil"/>
            </w:tcBorders>
            <w:shd w:val="clear" w:color="000000" w:fill="FFFFFF"/>
            <w:vAlign w:val="bottom"/>
            <w:hideMark/>
          </w:tcPr>
          <w:p w14:paraId="74C9160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177</w:t>
            </w:r>
          </w:p>
        </w:tc>
        <w:tc>
          <w:tcPr>
            <w:tcW w:w="718" w:type="dxa"/>
            <w:tcBorders>
              <w:top w:val="single" w:sz="4" w:space="0" w:color="ADD6EA"/>
              <w:left w:val="nil"/>
              <w:bottom w:val="nil"/>
              <w:right w:val="nil"/>
            </w:tcBorders>
            <w:shd w:val="clear" w:color="000000" w:fill="FFFFFF"/>
            <w:vAlign w:val="bottom"/>
            <w:hideMark/>
          </w:tcPr>
          <w:p w14:paraId="615F3A2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333</w:t>
            </w:r>
          </w:p>
        </w:tc>
        <w:tc>
          <w:tcPr>
            <w:tcW w:w="779" w:type="dxa"/>
            <w:tcBorders>
              <w:top w:val="single" w:sz="4" w:space="0" w:color="ADD6EA"/>
              <w:left w:val="nil"/>
              <w:bottom w:val="nil"/>
              <w:right w:val="nil"/>
            </w:tcBorders>
            <w:shd w:val="clear" w:color="000000" w:fill="FFFFFF"/>
            <w:vAlign w:val="bottom"/>
            <w:hideMark/>
          </w:tcPr>
          <w:p w14:paraId="1D47A13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517</w:t>
            </w:r>
          </w:p>
        </w:tc>
        <w:tc>
          <w:tcPr>
            <w:tcW w:w="718" w:type="dxa"/>
            <w:tcBorders>
              <w:top w:val="single" w:sz="4" w:space="0" w:color="ADD6EA"/>
              <w:left w:val="nil"/>
              <w:bottom w:val="nil"/>
              <w:right w:val="nil"/>
            </w:tcBorders>
            <w:shd w:val="clear" w:color="000000" w:fill="FFFFFF"/>
            <w:vAlign w:val="bottom"/>
            <w:hideMark/>
          </w:tcPr>
          <w:p w14:paraId="5FFFD4A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749</w:t>
            </w:r>
          </w:p>
        </w:tc>
        <w:tc>
          <w:tcPr>
            <w:tcW w:w="718" w:type="dxa"/>
            <w:tcBorders>
              <w:top w:val="single" w:sz="4" w:space="0" w:color="ADD6EA"/>
              <w:left w:val="nil"/>
              <w:bottom w:val="nil"/>
              <w:right w:val="nil"/>
            </w:tcBorders>
            <w:shd w:val="clear" w:color="000000" w:fill="FFFFFF"/>
            <w:vAlign w:val="bottom"/>
            <w:hideMark/>
          </w:tcPr>
          <w:p w14:paraId="748CF9A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307</w:t>
            </w:r>
          </w:p>
        </w:tc>
        <w:tc>
          <w:tcPr>
            <w:tcW w:w="679" w:type="dxa"/>
            <w:tcBorders>
              <w:top w:val="single" w:sz="4" w:space="0" w:color="ADD6EA"/>
              <w:left w:val="nil"/>
              <w:bottom w:val="nil"/>
              <w:right w:val="nil"/>
            </w:tcBorders>
            <w:shd w:val="clear" w:color="000000" w:fill="FFFFFF"/>
            <w:vAlign w:val="bottom"/>
            <w:hideMark/>
          </w:tcPr>
          <w:p w14:paraId="5F53763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19</w:t>
            </w:r>
          </w:p>
        </w:tc>
        <w:tc>
          <w:tcPr>
            <w:tcW w:w="718" w:type="dxa"/>
            <w:tcBorders>
              <w:top w:val="single" w:sz="4" w:space="0" w:color="ADD6EA"/>
              <w:left w:val="nil"/>
              <w:bottom w:val="nil"/>
              <w:right w:val="nil"/>
            </w:tcBorders>
            <w:shd w:val="clear" w:color="000000" w:fill="FFFFFF"/>
            <w:vAlign w:val="bottom"/>
            <w:hideMark/>
          </w:tcPr>
          <w:p w14:paraId="1FEA9B9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186</w:t>
            </w:r>
          </w:p>
        </w:tc>
        <w:tc>
          <w:tcPr>
            <w:tcW w:w="716" w:type="dxa"/>
            <w:tcBorders>
              <w:top w:val="single" w:sz="4" w:space="0" w:color="ADD6EA"/>
              <w:left w:val="nil"/>
              <w:bottom w:val="nil"/>
              <w:right w:val="nil"/>
            </w:tcBorders>
            <w:shd w:val="clear" w:color="000000" w:fill="FFFFFF"/>
            <w:vAlign w:val="bottom"/>
            <w:hideMark/>
          </w:tcPr>
          <w:p w14:paraId="066066A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2,288</w:t>
            </w:r>
          </w:p>
        </w:tc>
      </w:tr>
      <w:tr w:rsidR="00BF1B0C" w:rsidRPr="00BF1B0C" w14:paraId="5DA95C3D"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76FCE491"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Taxable payrolls</w:t>
            </w:r>
          </w:p>
        </w:tc>
        <w:tc>
          <w:tcPr>
            <w:tcW w:w="679" w:type="dxa"/>
            <w:tcBorders>
              <w:top w:val="single" w:sz="4" w:space="0" w:color="ADD6EA"/>
              <w:left w:val="nil"/>
              <w:bottom w:val="nil"/>
              <w:right w:val="nil"/>
            </w:tcBorders>
            <w:shd w:val="clear" w:color="000000" w:fill="FFFFFF"/>
            <w:vAlign w:val="bottom"/>
            <w:hideMark/>
          </w:tcPr>
          <w:p w14:paraId="5ED994D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-460</w:t>
            </w:r>
          </w:p>
        </w:tc>
        <w:tc>
          <w:tcPr>
            <w:tcW w:w="718" w:type="dxa"/>
            <w:tcBorders>
              <w:top w:val="single" w:sz="4" w:space="0" w:color="ADD6EA"/>
              <w:left w:val="nil"/>
              <w:bottom w:val="nil"/>
              <w:right w:val="nil"/>
            </w:tcBorders>
            <w:shd w:val="clear" w:color="000000" w:fill="FFFFFF"/>
            <w:vAlign w:val="bottom"/>
            <w:hideMark/>
          </w:tcPr>
          <w:p w14:paraId="5C31152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395</w:t>
            </w:r>
          </w:p>
        </w:tc>
        <w:tc>
          <w:tcPr>
            <w:tcW w:w="718" w:type="dxa"/>
            <w:tcBorders>
              <w:top w:val="single" w:sz="4" w:space="0" w:color="ADD6EA"/>
              <w:left w:val="nil"/>
              <w:bottom w:val="nil"/>
              <w:right w:val="nil"/>
            </w:tcBorders>
            <w:shd w:val="clear" w:color="000000" w:fill="FFFFFF"/>
            <w:vAlign w:val="bottom"/>
            <w:hideMark/>
          </w:tcPr>
          <w:p w14:paraId="6204CFA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642</w:t>
            </w:r>
          </w:p>
        </w:tc>
        <w:tc>
          <w:tcPr>
            <w:tcW w:w="779" w:type="dxa"/>
            <w:tcBorders>
              <w:top w:val="single" w:sz="4" w:space="0" w:color="ADD6EA"/>
              <w:left w:val="nil"/>
              <w:bottom w:val="nil"/>
              <w:right w:val="nil"/>
            </w:tcBorders>
            <w:shd w:val="clear" w:color="000000" w:fill="FFFFFF"/>
            <w:vAlign w:val="bottom"/>
            <w:hideMark/>
          </w:tcPr>
          <w:p w14:paraId="6D9F481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-1,721</w:t>
            </w:r>
          </w:p>
        </w:tc>
        <w:tc>
          <w:tcPr>
            <w:tcW w:w="718" w:type="dxa"/>
            <w:tcBorders>
              <w:top w:val="single" w:sz="4" w:space="0" w:color="ADD6EA"/>
              <w:left w:val="nil"/>
              <w:bottom w:val="nil"/>
              <w:right w:val="nil"/>
            </w:tcBorders>
            <w:shd w:val="clear" w:color="000000" w:fill="FFFFFF"/>
            <w:vAlign w:val="bottom"/>
            <w:hideMark/>
          </w:tcPr>
          <w:p w14:paraId="129E191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797</w:t>
            </w:r>
          </w:p>
        </w:tc>
        <w:tc>
          <w:tcPr>
            <w:tcW w:w="718" w:type="dxa"/>
            <w:tcBorders>
              <w:top w:val="single" w:sz="4" w:space="0" w:color="ADD6EA"/>
              <w:left w:val="nil"/>
              <w:bottom w:val="nil"/>
              <w:right w:val="nil"/>
            </w:tcBorders>
            <w:shd w:val="clear" w:color="000000" w:fill="FFFFFF"/>
            <w:vAlign w:val="bottom"/>
            <w:hideMark/>
          </w:tcPr>
          <w:p w14:paraId="5636373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279</w:t>
            </w:r>
          </w:p>
        </w:tc>
        <w:tc>
          <w:tcPr>
            <w:tcW w:w="679" w:type="dxa"/>
            <w:tcBorders>
              <w:top w:val="single" w:sz="4" w:space="0" w:color="ADD6EA"/>
              <w:left w:val="nil"/>
              <w:bottom w:val="nil"/>
              <w:right w:val="nil"/>
            </w:tcBorders>
            <w:shd w:val="clear" w:color="000000" w:fill="FFFFFF"/>
            <w:vAlign w:val="bottom"/>
            <w:hideMark/>
          </w:tcPr>
          <w:p w14:paraId="78F01B7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70</w:t>
            </w:r>
          </w:p>
        </w:tc>
        <w:tc>
          <w:tcPr>
            <w:tcW w:w="718" w:type="dxa"/>
            <w:tcBorders>
              <w:top w:val="single" w:sz="4" w:space="0" w:color="ADD6EA"/>
              <w:left w:val="nil"/>
              <w:bottom w:val="nil"/>
              <w:right w:val="nil"/>
            </w:tcBorders>
            <w:shd w:val="clear" w:color="000000" w:fill="FFFFFF"/>
            <w:vAlign w:val="bottom"/>
            <w:hideMark/>
          </w:tcPr>
          <w:p w14:paraId="2E5B1ED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w:t>
            </w:r>
          </w:p>
        </w:tc>
        <w:tc>
          <w:tcPr>
            <w:tcW w:w="716" w:type="dxa"/>
            <w:tcBorders>
              <w:top w:val="single" w:sz="4" w:space="0" w:color="ADD6EA"/>
              <w:left w:val="nil"/>
              <w:bottom w:val="nil"/>
              <w:right w:val="nil"/>
            </w:tcBorders>
            <w:shd w:val="clear" w:color="000000" w:fill="FFFFFF"/>
            <w:vAlign w:val="bottom"/>
            <w:hideMark/>
          </w:tcPr>
          <w:p w14:paraId="78BBF4C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2,184</w:t>
            </w:r>
          </w:p>
        </w:tc>
      </w:tr>
      <w:tr w:rsidR="00BF1B0C" w:rsidRPr="00BF1B0C" w14:paraId="4C9E8BA2"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45447EFB"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Other revenue effects</w:t>
            </w:r>
          </w:p>
        </w:tc>
        <w:tc>
          <w:tcPr>
            <w:tcW w:w="679" w:type="dxa"/>
            <w:tcBorders>
              <w:top w:val="single" w:sz="4" w:space="0" w:color="ADD6EA"/>
              <w:left w:val="nil"/>
              <w:bottom w:val="nil"/>
              <w:right w:val="nil"/>
            </w:tcBorders>
            <w:shd w:val="clear" w:color="000000" w:fill="FFFFFF"/>
            <w:vAlign w:val="bottom"/>
            <w:hideMark/>
          </w:tcPr>
          <w:p w14:paraId="6FC82F7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317</w:t>
            </w:r>
          </w:p>
        </w:tc>
        <w:tc>
          <w:tcPr>
            <w:tcW w:w="718" w:type="dxa"/>
            <w:tcBorders>
              <w:top w:val="single" w:sz="4" w:space="0" w:color="ADD6EA"/>
              <w:left w:val="nil"/>
              <w:bottom w:val="nil"/>
              <w:right w:val="nil"/>
            </w:tcBorders>
            <w:shd w:val="clear" w:color="000000" w:fill="FFFFFF"/>
            <w:vAlign w:val="bottom"/>
            <w:hideMark/>
          </w:tcPr>
          <w:p w14:paraId="6DD1984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122</w:t>
            </w:r>
          </w:p>
        </w:tc>
        <w:tc>
          <w:tcPr>
            <w:tcW w:w="718" w:type="dxa"/>
            <w:tcBorders>
              <w:top w:val="single" w:sz="4" w:space="0" w:color="ADD6EA"/>
              <w:left w:val="nil"/>
              <w:bottom w:val="nil"/>
              <w:right w:val="nil"/>
            </w:tcBorders>
            <w:shd w:val="clear" w:color="000000" w:fill="FFFFFF"/>
            <w:vAlign w:val="bottom"/>
            <w:hideMark/>
          </w:tcPr>
          <w:p w14:paraId="1CCB067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-234</w:t>
            </w:r>
          </w:p>
        </w:tc>
        <w:tc>
          <w:tcPr>
            <w:tcW w:w="779" w:type="dxa"/>
            <w:tcBorders>
              <w:top w:val="single" w:sz="4" w:space="0" w:color="ADD6EA"/>
              <w:left w:val="nil"/>
              <w:bottom w:val="nil"/>
              <w:right w:val="nil"/>
            </w:tcBorders>
            <w:shd w:val="clear" w:color="000000" w:fill="FFFFFF"/>
            <w:vAlign w:val="bottom"/>
            <w:hideMark/>
          </w:tcPr>
          <w:p w14:paraId="33C347F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-191</w:t>
            </w:r>
          </w:p>
        </w:tc>
        <w:tc>
          <w:tcPr>
            <w:tcW w:w="718" w:type="dxa"/>
            <w:tcBorders>
              <w:top w:val="single" w:sz="4" w:space="0" w:color="ADD6EA"/>
              <w:left w:val="nil"/>
              <w:bottom w:val="nil"/>
              <w:right w:val="nil"/>
            </w:tcBorders>
            <w:shd w:val="clear" w:color="000000" w:fill="FFFFFF"/>
            <w:vAlign w:val="bottom"/>
            <w:hideMark/>
          </w:tcPr>
          <w:p w14:paraId="65AC8E9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-167</w:t>
            </w:r>
          </w:p>
        </w:tc>
        <w:tc>
          <w:tcPr>
            <w:tcW w:w="718" w:type="dxa"/>
            <w:tcBorders>
              <w:top w:val="single" w:sz="4" w:space="0" w:color="ADD6EA"/>
              <w:left w:val="nil"/>
              <w:bottom w:val="nil"/>
              <w:right w:val="nil"/>
            </w:tcBorders>
            <w:shd w:val="clear" w:color="000000" w:fill="FFFFFF"/>
            <w:vAlign w:val="bottom"/>
            <w:hideMark/>
          </w:tcPr>
          <w:p w14:paraId="27E6479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w:t>
            </w:r>
          </w:p>
        </w:tc>
        <w:tc>
          <w:tcPr>
            <w:tcW w:w="679" w:type="dxa"/>
            <w:tcBorders>
              <w:top w:val="single" w:sz="4" w:space="0" w:color="ADD6EA"/>
              <w:left w:val="nil"/>
              <w:bottom w:val="nil"/>
              <w:right w:val="nil"/>
            </w:tcBorders>
            <w:shd w:val="clear" w:color="000000" w:fill="FFFFFF"/>
            <w:vAlign w:val="bottom"/>
            <w:hideMark/>
          </w:tcPr>
          <w:p w14:paraId="4855297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116</w:t>
            </w:r>
          </w:p>
        </w:tc>
        <w:tc>
          <w:tcPr>
            <w:tcW w:w="718" w:type="dxa"/>
            <w:tcBorders>
              <w:top w:val="single" w:sz="4" w:space="0" w:color="ADD6EA"/>
              <w:left w:val="nil"/>
              <w:bottom w:val="nil"/>
              <w:right w:val="nil"/>
            </w:tcBorders>
            <w:shd w:val="clear" w:color="000000" w:fill="FFFFFF"/>
            <w:vAlign w:val="bottom"/>
            <w:hideMark/>
          </w:tcPr>
          <w:p w14:paraId="0623E01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32</w:t>
            </w:r>
          </w:p>
        </w:tc>
        <w:tc>
          <w:tcPr>
            <w:tcW w:w="716" w:type="dxa"/>
            <w:tcBorders>
              <w:top w:val="single" w:sz="4" w:space="0" w:color="ADD6EA"/>
              <w:left w:val="nil"/>
              <w:bottom w:val="nil"/>
              <w:right w:val="nil"/>
            </w:tcBorders>
            <w:shd w:val="clear" w:color="000000" w:fill="FFFFFF"/>
            <w:vAlign w:val="bottom"/>
            <w:hideMark/>
          </w:tcPr>
          <w:p w14:paraId="2958BED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591</w:t>
            </w:r>
          </w:p>
        </w:tc>
      </w:tr>
      <w:tr w:rsidR="00BF1B0C" w:rsidRPr="00BF1B0C" w14:paraId="2F9176FD" w14:textId="77777777" w:rsidTr="00CB0D4F">
        <w:trPr>
          <w:trHeight w:val="315"/>
        </w:trPr>
        <w:tc>
          <w:tcPr>
            <w:tcW w:w="2557" w:type="dxa"/>
            <w:tcBorders>
              <w:top w:val="single" w:sz="4" w:space="0" w:color="ADD6EA"/>
              <w:left w:val="nil"/>
              <w:bottom w:val="nil"/>
              <w:right w:val="nil"/>
            </w:tcBorders>
            <w:shd w:val="clear" w:color="000000" w:fill="B6D5E4"/>
            <w:vAlign w:val="bottom"/>
            <w:hideMark/>
          </w:tcPr>
          <w:p w14:paraId="795FA8E7" w14:textId="77777777" w:rsidR="00BF1B0C" w:rsidRPr="00BF1B0C" w:rsidRDefault="00BF1B0C" w:rsidP="00BF1B0C">
            <w:pPr>
              <w:tabs>
                <w:tab w:val="clear" w:pos="567"/>
              </w:tabs>
              <w:spacing w:before="0" w:line="240" w:lineRule="auto"/>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Total revenue</w:t>
            </w:r>
          </w:p>
        </w:tc>
        <w:tc>
          <w:tcPr>
            <w:tcW w:w="679" w:type="dxa"/>
            <w:tcBorders>
              <w:top w:val="single" w:sz="4" w:space="0" w:color="ADD6EA"/>
              <w:left w:val="nil"/>
              <w:bottom w:val="nil"/>
              <w:right w:val="nil"/>
            </w:tcBorders>
            <w:shd w:val="clear" w:color="000000" w:fill="B6D5E4"/>
            <w:vAlign w:val="bottom"/>
            <w:hideMark/>
          </w:tcPr>
          <w:p w14:paraId="65DFAB10"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-1,681</w:t>
            </w:r>
          </w:p>
        </w:tc>
        <w:tc>
          <w:tcPr>
            <w:tcW w:w="718" w:type="dxa"/>
            <w:tcBorders>
              <w:top w:val="single" w:sz="4" w:space="0" w:color="ADD6EA"/>
              <w:left w:val="nil"/>
              <w:bottom w:val="nil"/>
              <w:right w:val="nil"/>
            </w:tcBorders>
            <w:shd w:val="clear" w:color="000000" w:fill="B6D5E4"/>
            <w:vAlign w:val="bottom"/>
            <w:hideMark/>
          </w:tcPr>
          <w:p w14:paraId="50B27C79"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9,154</w:t>
            </w:r>
          </w:p>
        </w:tc>
        <w:tc>
          <w:tcPr>
            <w:tcW w:w="718" w:type="dxa"/>
            <w:tcBorders>
              <w:top w:val="single" w:sz="4" w:space="0" w:color="ADD6EA"/>
              <w:left w:val="nil"/>
              <w:bottom w:val="nil"/>
              <w:right w:val="nil"/>
            </w:tcBorders>
            <w:shd w:val="clear" w:color="000000" w:fill="B6D5E4"/>
            <w:vAlign w:val="bottom"/>
            <w:hideMark/>
          </w:tcPr>
          <w:p w14:paraId="6A5E0ADE"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-3,138</w:t>
            </w:r>
          </w:p>
        </w:tc>
        <w:tc>
          <w:tcPr>
            <w:tcW w:w="779" w:type="dxa"/>
            <w:tcBorders>
              <w:top w:val="single" w:sz="4" w:space="0" w:color="ADD6EA"/>
              <w:left w:val="nil"/>
              <w:bottom w:val="nil"/>
              <w:right w:val="nil"/>
            </w:tcBorders>
            <w:shd w:val="clear" w:color="000000" w:fill="B6D5E4"/>
            <w:vAlign w:val="bottom"/>
            <w:hideMark/>
          </w:tcPr>
          <w:p w14:paraId="34D3C97B"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-11,117</w:t>
            </w:r>
          </w:p>
        </w:tc>
        <w:tc>
          <w:tcPr>
            <w:tcW w:w="718" w:type="dxa"/>
            <w:tcBorders>
              <w:top w:val="single" w:sz="4" w:space="0" w:color="ADD6EA"/>
              <w:left w:val="nil"/>
              <w:bottom w:val="nil"/>
              <w:right w:val="nil"/>
            </w:tcBorders>
            <w:shd w:val="clear" w:color="000000" w:fill="B6D5E4"/>
            <w:vAlign w:val="bottom"/>
            <w:hideMark/>
          </w:tcPr>
          <w:p w14:paraId="3BE53D90"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3,895</w:t>
            </w:r>
          </w:p>
        </w:tc>
        <w:tc>
          <w:tcPr>
            <w:tcW w:w="718" w:type="dxa"/>
            <w:tcBorders>
              <w:top w:val="single" w:sz="4" w:space="0" w:color="ADD6EA"/>
              <w:left w:val="nil"/>
              <w:bottom w:val="nil"/>
              <w:right w:val="nil"/>
            </w:tcBorders>
            <w:shd w:val="clear" w:color="000000" w:fill="B6D5E4"/>
            <w:vAlign w:val="bottom"/>
            <w:hideMark/>
          </w:tcPr>
          <w:p w14:paraId="64779AE5"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1,439</w:t>
            </w:r>
          </w:p>
        </w:tc>
        <w:tc>
          <w:tcPr>
            <w:tcW w:w="679" w:type="dxa"/>
            <w:tcBorders>
              <w:top w:val="single" w:sz="4" w:space="0" w:color="ADD6EA"/>
              <w:left w:val="nil"/>
              <w:bottom w:val="nil"/>
              <w:right w:val="nil"/>
            </w:tcBorders>
            <w:shd w:val="clear" w:color="000000" w:fill="B6D5E4"/>
            <w:vAlign w:val="bottom"/>
            <w:hideMark/>
          </w:tcPr>
          <w:p w14:paraId="5B7E3E5F"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1,050</w:t>
            </w:r>
          </w:p>
        </w:tc>
        <w:tc>
          <w:tcPr>
            <w:tcW w:w="718" w:type="dxa"/>
            <w:tcBorders>
              <w:top w:val="single" w:sz="4" w:space="0" w:color="ADD6EA"/>
              <w:left w:val="nil"/>
              <w:bottom w:val="nil"/>
              <w:right w:val="nil"/>
            </w:tcBorders>
            <w:shd w:val="clear" w:color="000000" w:fill="B6D5E4"/>
            <w:vAlign w:val="bottom"/>
            <w:hideMark/>
          </w:tcPr>
          <w:p w14:paraId="152BB408"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398</w:t>
            </w:r>
          </w:p>
        </w:tc>
        <w:tc>
          <w:tcPr>
            <w:tcW w:w="716" w:type="dxa"/>
            <w:tcBorders>
              <w:top w:val="single" w:sz="4" w:space="0" w:color="ADD6EA"/>
              <w:left w:val="nil"/>
              <w:bottom w:val="nil"/>
              <w:right w:val="nil"/>
            </w:tcBorders>
            <w:shd w:val="clear" w:color="000000" w:fill="B6D5E4"/>
            <w:vAlign w:val="bottom"/>
            <w:hideMark/>
          </w:tcPr>
          <w:p w14:paraId="48A65180"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15,936</w:t>
            </w:r>
          </w:p>
        </w:tc>
      </w:tr>
      <w:tr w:rsidR="00BF1B0C" w:rsidRPr="00BF1B0C" w14:paraId="5DEFB103"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7A8E996E" w14:textId="77777777" w:rsidR="00BF1B0C" w:rsidRPr="00BF1B0C" w:rsidRDefault="00BF1B0C" w:rsidP="00BF1B0C">
            <w:pPr>
              <w:tabs>
                <w:tab w:val="clear" w:pos="567"/>
              </w:tabs>
              <w:spacing w:before="0" w:line="240" w:lineRule="auto"/>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Commonwealth payments</w:t>
            </w:r>
          </w:p>
        </w:tc>
        <w:tc>
          <w:tcPr>
            <w:tcW w:w="679" w:type="dxa"/>
            <w:tcBorders>
              <w:top w:val="single" w:sz="4" w:space="0" w:color="ADD6EA"/>
              <w:left w:val="nil"/>
              <w:bottom w:val="nil"/>
              <w:right w:val="nil"/>
            </w:tcBorders>
            <w:shd w:val="clear" w:color="000000" w:fill="FFFFFF"/>
            <w:vAlign w:val="bottom"/>
            <w:hideMark/>
          </w:tcPr>
          <w:p w14:paraId="4BA102C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641</w:t>
            </w:r>
          </w:p>
        </w:tc>
        <w:tc>
          <w:tcPr>
            <w:tcW w:w="718" w:type="dxa"/>
            <w:tcBorders>
              <w:top w:val="single" w:sz="4" w:space="0" w:color="ADD6EA"/>
              <w:left w:val="nil"/>
              <w:bottom w:val="nil"/>
              <w:right w:val="nil"/>
            </w:tcBorders>
            <w:shd w:val="clear" w:color="000000" w:fill="FFFFFF"/>
            <w:vAlign w:val="bottom"/>
            <w:hideMark/>
          </w:tcPr>
          <w:p w14:paraId="7AF462D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1,983</w:t>
            </w:r>
          </w:p>
        </w:tc>
        <w:tc>
          <w:tcPr>
            <w:tcW w:w="718" w:type="dxa"/>
            <w:tcBorders>
              <w:top w:val="single" w:sz="4" w:space="0" w:color="ADD6EA"/>
              <w:left w:val="nil"/>
              <w:bottom w:val="nil"/>
              <w:right w:val="nil"/>
            </w:tcBorders>
            <w:shd w:val="clear" w:color="000000" w:fill="FFFFFF"/>
            <w:vAlign w:val="bottom"/>
            <w:hideMark/>
          </w:tcPr>
          <w:p w14:paraId="0C807DB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-1,201</w:t>
            </w:r>
          </w:p>
        </w:tc>
        <w:tc>
          <w:tcPr>
            <w:tcW w:w="779" w:type="dxa"/>
            <w:tcBorders>
              <w:top w:val="single" w:sz="4" w:space="0" w:color="ADD6EA"/>
              <w:left w:val="nil"/>
              <w:bottom w:val="nil"/>
              <w:right w:val="nil"/>
            </w:tcBorders>
            <w:shd w:val="clear" w:color="000000" w:fill="FFFFFF"/>
            <w:vAlign w:val="bottom"/>
            <w:hideMark/>
          </w:tcPr>
          <w:p w14:paraId="3863A48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-870</w:t>
            </w:r>
          </w:p>
        </w:tc>
        <w:tc>
          <w:tcPr>
            <w:tcW w:w="718" w:type="dxa"/>
            <w:tcBorders>
              <w:top w:val="single" w:sz="4" w:space="0" w:color="ADD6EA"/>
              <w:left w:val="nil"/>
              <w:bottom w:val="nil"/>
              <w:right w:val="nil"/>
            </w:tcBorders>
            <w:shd w:val="clear" w:color="000000" w:fill="FFFFFF"/>
            <w:vAlign w:val="bottom"/>
            <w:hideMark/>
          </w:tcPr>
          <w:p w14:paraId="61ABC11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45</w:t>
            </w:r>
          </w:p>
        </w:tc>
        <w:tc>
          <w:tcPr>
            <w:tcW w:w="718" w:type="dxa"/>
            <w:tcBorders>
              <w:top w:val="single" w:sz="4" w:space="0" w:color="ADD6EA"/>
              <w:left w:val="nil"/>
              <w:bottom w:val="nil"/>
              <w:right w:val="nil"/>
            </w:tcBorders>
            <w:shd w:val="clear" w:color="000000" w:fill="FFFFFF"/>
            <w:vAlign w:val="bottom"/>
            <w:hideMark/>
          </w:tcPr>
          <w:p w14:paraId="151B2E0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-186</w:t>
            </w:r>
          </w:p>
        </w:tc>
        <w:tc>
          <w:tcPr>
            <w:tcW w:w="679" w:type="dxa"/>
            <w:tcBorders>
              <w:top w:val="single" w:sz="4" w:space="0" w:color="ADD6EA"/>
              <w:left w:val="nil"/>
              <w:bottom w:val="nil"/>
              <w:right w:val="nil"/>
            </w:tcBorders>
            <w:shd w:val="clear" w:color="000000" w:fill="FFFFFF"/>
            <w:vAlign w:val="bottom"/>
            <w:hideMark/>
          </w:tcPr>
          <w:p w14:paraId="4EC09B0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163</w:t>
            </w:r>
          </w:p>
        </w:tc>
        <w:tc>
          <w:tcPr>
            <w:tcW w:w="718" w:type="dxa"/>
            <w:tcBorders>
              <w:top w:val="single" w:sz="4" w:space="0" w:color="ADD6EA"/>
              <w:left w:val="nil"/>
              <w:bottom w:val="nil"/>
              <w:right w:val="nil"/>
            </w:tcBorders>
            <w:shd w:val="clear" w:color="000000" w:fill="FFFFFF"/>
            <w:vAlign w:val="bottom"/>
            <w:hideMark/>
          </w:tcPr>
          <w:p w14:paraId="4E07498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-575</w:t>
            </w:r>
          </w:p>
        </w:tc>
        <w:tc>
          <w:tcPr>
            <w:tcW w:w="716" w:type="dxa"/>
            <w:tcBorders>
              <w:top w:val="single" w:sz="4" w:space="0" w:color="ADD6EA"/>
              <w:left w:val="nil"/>
              <w:bottom w:val="nil"/>
              <w:right w:val="nil"/>
            </w:tcBorders>
            <w:shd w:val="clear" w:color="000000" w:fill="FFFFFF"/>
            <w:vAlign w:val="bottom"/>
            <w:hideMark/>
          </w:tcPr>
          <w:p w14:paraId="089BD96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2,831</w:t>
            </w:r>
          </w:p>
        </w:tc>
      </w:tr>
      <w:tr w:rsidR="00BF1B0C" w:rsidRPr="00BF1B0C" w14:paraId="262A9497"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4F669834" w14:textId="77777777" w:rsidR="00BF1B0C" w:rsidRPr="00BF1B0C" w:rsidRDefault="00BF1B0C" w:rsidP="00BF1B0C">
            <w:pPr>
              <w:tabs>
                <w:tab w:val="clear" w:pos="567"/>
              </w:tabs>
              <w:spacing w:before="0" w:line="240" w:lineRule="auto"/>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Expense needs</w:t>
            </w:r>
          </w:p>
        </w:tc>
        <w:tc>
          <w:tcPr>
            <w:tcW w:w="679" w:type="dxa"/>
            <w:tcBorders>
              <w:top w:val="single" w:sz="4" w:space="0" w:color="ADD6EA"/>
              <w:left w:val="nil"/>
              <w:bottom w:val="nil"/>
              <w:right w:val="nil"/>
            </w:tcBorders>
            <w:shd w:val="clear" w:color="000000" w:fill="FFFFFF"/>
            <w:vAlign w:val="bottom"/>
            <w:hideMark/>
          </w:tcPr>
          <w:p w14:paraId="2DE9F41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03469B4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46BEF896"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79" w:type="dxa"/>
            <w:tcBorders>
              <w:top w:val="single" w:sz="4" w:space="0" w:color="ADD6EA"/>
              <w:left w:val="nil"/>
              <w:bottom w:val="nil"/>
              <w:right w:val="nil"/>
            </w:tcBorders>
            <w:shd w:val="clear" w:color="000000" w:fill="FFFFFF"/>
            <w:vAlign w:val="bottom"/>
            <w:hideMark/>
          </w:tcPr>
          <w:p w14:paraId="2753628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44F7527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5F24A53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679" w:type="dxa"/>
            <w:tcBorders>
              <w:top w:val="single" w:sz="4" w:space="0" w:color="ADD6EA"/>
              <w:left w:val="nil"/>
              <w:bottom w:val="nil"/>
              <w:right w:val="nil"/>
            </w:tcBorders>
            <w:shd w:val="clear" w:color="000000" w:fill="FFFFFF"/>
            <w:vAlign w:val="bottom"/>
            <w:hideMark/>
          </w:tcPr>
          <w:p w14:paraId="1BE3B32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095BEC0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6" w:type="dxa"/>
            <w:tcBorders>
              <w:top w:val="single" w:sz="4" w:space="0" w:color="ADD6EA"/>
              <w:left w:val="nil"/>
              <w:bottom w:val="nil"/>
              <w:right w:val="nil"/>
            </w:tcBorders>
            <w:shd w:val="clear" w:color="000000" w:fill="FFFFFF"/>
            <w:vAlign w:val="bottom"/>
            <w:hideMark/>
          </w:tcPr>
          <w:p w14:paraId="2679B53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r>
      <w:tr w:rsidR="00CB0D4F" w:rsidRPr="00BF1B0C" w14:paraId="000624C8" w14:textId="77777777" w:rsidTr="00CB0D4F">
        <w:trPr>
          <w:trHeight w:val="318"/>
        </w:trPr>
        <w:tc>
          <w:tcPr>
            <w:tcW w:w="3236" w:type="dxa"/>
            <w:gridSpan w:val="2"/>
            <w:tcBorders>
              <w:top w:val="single" w:sz="4" w:space="0" w:color="ADD6EA"/>
              <w:left w:val="nil"/>
              <w:bottom w:val="nil"/>
              <w:right w:val="nil"/>
            </w:tcBorders>
            <w:shd w:val="clear" w:color="000000" w:fill="FFFFFF"/>
            <w:vAlign w:val="bottom"/>
            <w:hideMark/>
          </w:tcPr>
          <w:p w14:paraId="0DB965C3" w14:textId="18B06EE0" w:rsidR="00CB0D4F" w:rsidRPr="00BF1B0C" w:rsidRDefault="00CB0D4F" w:rsidP="00CB0D4F">
            <w:pPr>
              <w:tabs>
                <w:tab w:val="clear" w:pos="567"/>
              </w:tabs>
              <w:spacing w:before="0" w:line="240" w:lineRule="auto"/>
              <w:ind w:right="-669"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Socio-demographic composition (SDC)</w:t>
            </w:r>
          </w:p>
        </w:tc>
        <w:tc>
          <w:tcPr>
            <w:tcW w:w="718" w:type="dxa"/>
            <w:tcBorders>
              <w:top w:val="single" w:sz="4" w:space="0" w:color="ADD6EA"/>
              <w:left w:val="nil"/>
              <w:bottom w:val="nil"/>
              <w:right w:val="nil"/>
            </w:tcBorders>
            <w:shd w:val="clear" w:color="000000" w:fill="FFFFFF"/>
            <w:vAlign w:val="bottom"/>
            <w:hideMark/>
          </w:tcPr>
          <w:p w14:paraId="1C81A3D6" w14:textId="77777777" w:rsidR="00CB0D4F" w:rsidRPr="00BF1B0C" w:rsidRDefault="00CB0D4F"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347712D9" w14:textId="77777777" w:rsidR="00CB0D4F" w:rsidRPr="00BF1B0C" w:rsidRDefault="00CB0D4F"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79" w:type="dxa"/>
            <w:tcBorders>
              <w:top w:val="single" w:sz="4" w:space="0" w:color="ADD6EA"/>
              <w:left w:val="nil"/>
              <w:bottom w:val="nil"/>
              <w:right w:val="nil"/>
            </w:tcBorders>
            <w:shd w:val="clear" w:color="000000" w:fill="FFFFFF"/>
            <w:vAlign w:val="bottom"/>
            <w:hideMark/>
          </w:tcPr>
          <w:p w14:paraId="571ADAF5" w14:textId="77777777" w:rsidR="00CB0D4F" w:rsidRPr="00BF1B0C" w:rsidRDefault="00CB0D4F"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3C4ED7D3" w14:textId="77777777" w:rsidR="00CB0D4F" w:rsidRPr="00BF1B0C" w:rsidRDefault="00CB0D4F"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37BA85EE" w14:textId="77777777" w:rsidR="00CB0D4F" w:rsidRPr="00BF1B0C" w:rsidRDefault="00CB0D4F"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679" w:type="dxa"/>
            <w:tcBorders>
              <w:top w:val="single" w:sz="4" w:space="0" w:color="ADD6EA"/>
              <w:left w:val="nil"/>
              <w:bottom w:val="nil"/>
              <w:right w:val="nil"/>
            </w:tcBorders>
            <w:shd w:val="clear" w:color="000000" w:fill="FFFFFF"/>
            <w:vAlign w:val="bottom"/>
            <w:hideMark/>
          </w:tcPr>
          <w:p w14:paraId="09B0D1DB" w14:textId="77777777" w:rsidR="00CB0D4F" w:rsidRPr="00BF1B0C" w:rsidRDefault="00CB0D4F"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5F6F8298" w14:textId="77777777" w:rsidR="00CB0D4F" w:rsidRPr="00BF1B0C" w:rsidRDefault="00CB0D4F"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6" w:type="dxa"/>
            <w:tcBorders>
              <w:top w:val="single" w:sz="4" w:space="0" w:color="ADD6EA"/>
              <w:left w:val="nil"/>
              <w:bottom w:val="nil"/>
              <w:right w:val="nil"/>
            </w:tcBorders>
            <w:shd w:val="clear" w:color="000000" w:fill="FFFFFF"/>
            <w:vAlign w:val="bottom"/>
            <w:hideMark/>
          </w:tcPr>
          <w:p w14:paraId="53F1D85C" w14:textId="77777777" w:rsidR="00CB0D4F" w:rsidRPr="00BF1B0C" w:rsidRDefault="00CB0D4F"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r>
      <w:tr w:rsidR="00BF1B0C" w:rsidRPr="00BF1B0C" w14:paraId="708E51D3"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06BDBA97" w14:textId="77777777" w:rsidR="00BF1B0C" w:rsidRPr="00BF1B0C" w:rsidRDefault="00BF1B0C" w:rsidP="00BF1B0C">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Population dispersion</w:t>
            </w:r>
          </w:p>
        </w:tc>
        <w:tc>
          <w:tcPr>
            <w:tcW w:w="679" w:type="dxa"/>
            <w:tcBorders>
              <w:top w:val="single" w:sz="4" w:space="0" w:color="ADD6EA"/>
              <w:left w:val="nil"/>
              <w:bottom w:val="nil"/>
              <w:right w:val="nil"/>
            </w:tcBorders>
            <w:shd w:val="clear" w:color="000000" w:fill="FFFFFF"/>
            <w:vAlign w:val="bottom"/>
            <w:hideMark/>
          </w:tcPr>
          <w:p w14:paraId="37ABF39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-2,405</w:t>
            </w:r>
          </w:p>
        </w:tc>
        <w:tc>
          <w:tcPr>
            <w:tcW w:w="718" w:type="dxa"/>
            <w:tcBorders>
              <w:top w:val="single" w:sz="4" w:space="0" w:color="ADD6EA"/>
              <w:left w:val="nil"/>
              <w:bottom w:val="nil"/>
              <w:right w:val="nil"/>
            </w:tcBorders>
            <w:shd w:val="clear" w:color="000000" w:fill="FFFFFF"/>
            <w:vAlign w:val="bottom"/>
            <w:hideMark/>
          </w:tcPr>
          <w:p w14:paraId="5AACF35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-1,939</w:t>
            </w:r>
          </w:p>
        </w:tc>
        <w:tc>
          <w:tcPr>
            <w:tcW w:w="718" w:type="dxa"/>
            <w:tcBorders>
              <w:top w:val="single" w:sz="4" w:space="0" w:color="ADD6EA"/>
              <w:left w:val="nil"/>
              <w:bottom w:val="nil"/>
              <w:right w:val="nil"/>
            </w:tcBorders>
            <w:shd w:val="clear" w:color="000000" w:fill="FFFFFF"/>
            <w:vAlign w:val="bottom"/>
            <w:hideMark/>
          </w:tcPr>
          <w:p w14:paraId="37FF3DA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1,318</w:t>
            </w:r>
          </w:p>
        </w:tc>
        <w:tc>
          <w:tcPr>
            <w:tcW w:w="779" w:type="dxa"/>
            <w:tcBorders>
              <w:top w:val="single" w:sz="4" w:space="0" w:color="ADD6EA"/>
              <w:left w:val="nil"/>
              <w:bottom w:val="nil"/>
              <w:right w:val="nil"/>
            </w:tcBorders>
            <w:shd w:val="clear" w:color="000000" w:fill="FFFFFF"/>
            <w:vAlign w:val="bottom"/>
            <w:hideMark/>
          </w:tcPr>
          <w:p w14:paraId="55EDC1C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635</w:t>
            </w:r>
          </w:p>
        </w:tc>
        <w:tc>
          <w:tcPr>
            <w:tcW w:w="718" w:type="dxa"/>
            <w:tcBorders>
              <w:top w:val="single" w:sz="4" w:space="0" w:color="ADD6EA"/>
              <w:left w:val="nil"/>
              <w:bottom w:val="nil"/>
              <w:right w:val="nil"/>
            </w:tcBorders>
            <w:shd w:val="clear" w:color="000000" w:fill="FFFFFF"/>
            <w:vAlign w:val="bottom"/>
            <w:hideMark/>
          </w:tcPr>
          <w:p w14:paraId="1D2EF3E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107</w:t>
            </w:r>
          </w:p>
        </w:tc>
        <w:tc>
          <w:tcPr>
            <w:tcW w:w="718" w:type="dxa"/>
            <w:tcBorders>
              <w:top w:val="single" w:sz="4" w:space="0" w:color="ADD6EA"/>
              <w:left w:val="nil"/>
              <w:bottom w:val="nil"/>
              <w:right w:val="nil"/>
            </w:tcBorders>
            <w:shd w:val="clear" w:color="000000" w:fill="FFFFFF"/>
            <w:vAlign w:val="bottom"/>
            <w:hideMark/>
          </w:tcPr>
          <w:p w14:paraId="2D4F1F16"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876</w:t>
            </w:r>
          </w:p>
        </w:tc>
        <w:tc>
          <w:tcPr>
            <w:tcW w:w="679" w:type="dxa"/>
            <w:tcBorders>
              <w:top w:val="single" w:sz="4" w:space="0" w:color="ADD6EA"/>
              <w:left w:val="nil"/>
              <w:bottom w:val="nil"/>
              <w:right w:val="nil"/>
            </w:tcBorders>
            <w:shd w:val="clear" w:color="000000" w:fill="FFFFFF"/>
            <w:vAlign w:val="bottom"/>
            <w:hideMark/>
          </w:tcPr>
          <w:p w14:paraId="4F685DB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-356</w:t>
            </w:r>
          </w:p>
        </w:tc>
        <w:tc>
          <w:tcPr>
            <w:tcW w:w="718" w:type="dxa"/>
            <w:tcBorders>
              <w:top w:val="single" w:sz="4" w:space="0" w:color="ADD6EA"/>
              <w:left w:val="nil"/>
              <w:bottom w:val="nil"/>
              <w:right w:val="nil"/>
            </w:tcBorders>
            <w:shd w:val="clear" w:color="000000" w:fill="FFFFFF"/>
            <w:vAlign w:val="bottom"/>
            <w:hideMark/>
          </w:tcPr>
          <w:p w14:paraId="71E1183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1,764</w:t>
            </w:r>
          </w:p>
        </w:tc>
        <w:tc>
          <w:tcPr>
            <w:tcW w:w="716" w:type="dxa"/>
            <w:tcBorders>
              <w:top w:val="single" w:sz="4" w:space="0" w:color="ADD6EA"/>
              <w:left w:val="nil"/>
              <w:bottom w:val="nil"/>
              <w:right w:val="nil"/>
            </w:tcBorders>
            <w:shd w:val="clear" w:color="000000" w:fill="FFFFFF"/>
            <w:vAlign w:val="bottom"/>
            <w:hideMark/>
          </w:tcPr>
          <w:p w14:paraId="6369E54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4,700</w:t>
            </w:r>
          </w:p>
        </w:tc>
      </w:tr>
      <w:tr w:rsidR="00BF1B0C" w:rsidRPr="00BF1B0C" w14:paraId="10D2A5B3"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1EE5F4DB" w14:textId="77777777" w:rsidR="00BF1B0C" w:rsidRPr="00BF1B0C" w:rsidRDefault="00BF1B0C" w:rsidP="00BF1B0C">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Indigenous status</w:t>
            </w:r>
          </w:p>
        </w:tc>
        <w:tc>
          <w:tcPr>
            <w:tcW w:w="679" w:type="dxa"/>
            <w:tcBorders>
              <w:top w:val="single" w:sz="4" w:space="0" w:color="ADD6EA"/>
              <w:left w:val="nil"/>
              <w:bottom w:val="nil"/>
              <w:right w:val="nil"/>
            </w:tcBorders>
            <w:shd w:val="clear" w:color="000000" w:fill="FFFFFF"/>
            <w:vAlign w:val="bottom"/>
            <w:hideMark/>
          </w:tcPr>
          <w:p w14:paraId="76EF29E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573</w:t>
            </w:r>
          </w:p>
        </w:tc>
        <w:tc>
          <w:tcPr>
            <w:tcW w:w="718" w:type="dxa"/>
            <w:tcBorders>
              <w:top w:val="single" w:sz="4" w:space="0" w:color="ADD6EA"/>
              <w:left w:val="nil"/>
              <w:bottom w:val="nil"/>
              <w:right w:val="nil"/>
            </w:tcBorders>
            <w:shd w:val="clear" w:color="000000" w:fill="FFFFFF"/>
            <w:vAlign w:val="bottom"/>
            <w:hideMark/>
          </w:tcPr>
          <w:p w14:paraId="50288E6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-3,772</w:t>
            </w:r>
          </w:p>
        </w:tc>
        <w:tc>
          <w:tcPr>
            <w:tcW w:w="718" w:type="dxa"/>
            <w:tcBorders>
              <w:top w:val="single" w:sz="4" w:space="0" w:color="ADD6EA"/>
              <w:left w:val="nil"/>
              <w:bottom w:val="nil"/>
              <w:right w:val="nil"/>
            </w:tcBorders>
            <w:shd w:val="clear" w:color="000000" w:fill="FFFFFF"/>
            <w:vAlign w:val="bottom"/>
            <w:hideMark/>
          </w:tcPr>
          <w:p w14:paraId="3EEB60C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1,633</w:t>
            </w:r>
          </w:p>
        </w:tc>
        <w:tc>
          <w:tcPr>
            <w:tcW w:w="779" w:type="dxa"/>
            <w:tcBorders>
              <w:top w:val="single" w:sz="4" w:space="0" w:color="ADD6EA"/>
              <w:left w:val="nil"/>
              <w:bottom w:val="nil"/>
              <w:right w:val="nil"/>
            </w:tcBorders>
            <w:shd w:val="clear" w:color="000000" w:fill="FFFFFF"/>
            <w:vAlign w:val="bottom"/>
            <w:hideMark/>
          </w:tcPr>
          <w:p w14:paraId="66EC92F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312</w:t>
            </w:r>
          </w:p>
        </w:tc>
        <w:tc>
          <w:tcPr>
            <w:tcW w:w="718" w:type="dxa"/>
            <w:tcBorders>
              <w:top w:val="single" w:sz="4" w:space="0" w:color="ADD6EA"/>
              <w:left w:val="nil"/>
              <w:bottom w:val="nil"/>
              <w:right w:val="nil"/>
            </w:tcBorders>
            <w:shd w:val="clear" w:color="000000" w:fill="FFFFFF"/>
            <w:vAlign w:val="bottom"/>
            <w:hideMark/>
          </w:tcPr>
          <w:p w14:paraId="1CCE5A4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-340</w:t>
            </w:r>
          </w:p>
        </w:tc>
        <w:tc>
          <w:tcPr>
            <w:tcW w:w="718" w:type="dxa"/>
            <w:tcBorders>
              <w:top w:val="single" w:sz="4" w:space="0" w:color="ADD6EA"/>
              <w:left w:val="nil"/>
              <w:bottom w:val="nil"/>
              <w:right w:val="nil"/>
            </w:tcBorders>
            <w:shd w:val="clear" w:color="000000" w:fill="FFFFFF"/>
            <w:vAlign w:val="bottom"/>
            <w:hideMark/>
          </w:tcPr>
          <w:p w14:paraId="3369519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241</w:t>
            </w:r>
          </w:p>
        </w:tc>
        <w:tc>
          <w:tcPr>
            <w:tcW w:w="679" w:type="dxa"/>
            <w:tcBorders>
              <w:top w:val="single" w:sz="4" w:space="0" w:color="ADD6EA"/>
              <w:left w:val="nil"/>
              <w:bottom w:val="nil"/>
              <w:right w:val="nil"/>
            </w:tcBorders>
            <w:shd w:val="clear" w:color="000000" w:fill="FFFFFF"/>
            <w:vAlign w:val="bottom"/>
            <w:hideMark/>
          </w:tcPr>
          <w:p w14:paraId="6A6D0AB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-172</w:t>
            </w:r>
          </w:p>
        </w:tc>
        <w:tc>
          <w:tcPr>
            <w:tcW w:w="718" w:type="dxa"/>
            <w:tcBorders>
              <w:top w:val="single" w:sz="4" w:space="0" w:color="ADD6EA"/>
              <w:left w:val="nil"/>
              <w:bottom w:val="nil"/>
              <w:right w:val="nil"/>
            </w:tcBorders>
            <w:shd w:val="clear" w:color="000000" w:fill="FFFFFF"/>
            <w:vAlign w:val="bottom"/>
            <w:hideMark/>
          </w:tcPr>
          <w:p w14:paraId="7440F30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1,524</w:t>
            </w:r>
          </w:p>
        </w:tc>
        <w:tc>
          <w:tcPr>
            <w:tcW w:w="716" w:type="dxa"/>
            <w:tcBorders>
              <w:top w:val="single" w:sz="4" w:space="0" w:color="ADD6EA"/>
              <w:left w:val="nil"/>
              <w:bottom w:val="nil"/>
              <w:right w:val="nil"/>
            </w:tcBorders>
            <w:shd w:val="clear" w:color="000000" w:fill="FFFFFF"/>
            <w:vAlign w:val="bottom"/>
            <w:hideMark/>
          </w:tcPr>
          <w:p w14:paraId="7AB870F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4,283</w:t>
            </w:r>
          </w:p>
        </w:tc>
      </w:tr>
      <w:tr w:rsidR="00BF1B0C" w:rsidRPr="00BF1B0C" w14:paraId="76FD007D" w14:textId="77777777" w:rsidTr="00CB0D4F">
        <w:trPr>
          <w:trHeight w:val="555"/>
        </w:trPr>
        <w:tc>
          <w:tcPr>
            <w:tcW w:w="2557" w:type="dxa"/>
            <w:tcBorders>
              <w:top w:val="single" w:sz="4" w:space="0" w:color="ADD6EA"/>
              <w:left w:val="nil"/>
              <w:bottom w:val="nil"/>
              <w:right w:val="nil"/>
            </w:tcBorders>
            <w:shd w:val="clear" w:color="000000" w:fill="FFFFFF"/>
            <w:vAlign w:val="bottom"/>
            <w:hideMark/>
          </w:tcPr>
          <w:p w14:paraId="7C2B8224" w14:textId="77777777" w:rsidR="00BF1B0C" w:rsidRPr="00BF1B0C" w:rsidRDefault="00BF1B0C" w:rsidP="00C648AE">
            <w:pPr>
              <w:tabs>
                <w:tab w:val="clear" w:pos="567"/>
              </w:tabs>
              <w:spacing w:before="0" w:line="240" w:lineRule="auto"/>
              <w:ind w:left="316"/>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Non-Indigenous disadvantage</w:t>
            </w:r>
          </w:p>
        </w:tc>
        <w:tc>
          <w:tcPr>
            <w:tcW w:w="679" w:type="dxa"/>
            <w:tcBorders>
              <w:top w:val="single" w:sz="4" w:space="0" w:color="ADD6EA"/>
              <w:left w:val="nil"/>
              <w:bottom w:val="nil"/>
              <w:right w:val="nil"/>
            </w:tcBorders>
            <w:shd w:val="clear" w:color="000000" w:fill="FFFFFF"/>
            <w:vAlign w:val="bottom"/>
            <w:hideMark/>
          </w:tcPr>
          <w:p w14:paraId="2C2C8F2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-199</w:t>
            </w:r>
          </w:p>
        </w:tc>
        <w:tc>
          <w:tcPr>
            <w:tcW w:w="718" w:type="dxa"/>
            <w:tcBorders>
              <w:top w:val="single" w:sz="4" w:space="0" w:color="ADD6EA"/>
              <w:left w:val="nil"/>
              <w:bottom w:val="nil"/>
              <w:right w:val="nil"/>
            </w:tcBorders>
            <w:shd w:val="clear" w:color="000000" w:fill="FFFFFF"/>
            <w:vAlign w:val="bottom"/>
            <w:hideMark/>
          </w:tcPr>
          <w:p w14:paraId="447D5AA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-299</w:t>
            </w:r>
          </w:p>
        </w:tc>
        <w:tc>
          <w:tcPr>
            <w:tcW w:w="718" w:type="dxa"/>
            <w:tcBorders>
              <w:top w:val="single" w:sz="4" w:space="0" w:color="ADD6EA"/>
              <w:left w:val="nil"/>
              <w:bottom w:val="nil"/>
              <w:right w:val="nil"/>
            </w:tcBorders>
            <w:shd w:val="clear" w:color="000000" w:fill="FFFFFF"/>
            <w:vAlign w:val="bottom"/>
            <w:hideMark/>
          </w:tcPr>
          <w:p w14:paraId="180AD5E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534</w:t>
            </w:r>
          </w:p>
        </w:tc>
        <w:tc>
          <w:tcPr>
            <w:tcW w:w="779" w:type="dxa"/>
            <w:tcBorders>
              <w:top w:val="single" w:sz="4" w:space="0" w:color="ADD6EA"/>
              <w:left w:val="nil"/>
              <w:bottom w:val="nil"/>
              <w:right w:val="nil"/>
            </w:tcBorders>
            <w:shd w:val="clear" w:color="000000" w:fill="FFFFFF"/>
            <w:vAlign w:val="bottom"/>
            <w:hideMark/>
          </w:tcPr>
          <w:p w14:paraId="72BD3C6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-166</w:t>
            </w:r>
          </w:p>
        </w:tc>
        <w:tc>
          <w:tcPr>
            <w:tcW w:w="718" w:type="dxa"/>
            <w:tcBorders>
              <w:top w:val="single" w:sz="4" w:space="0" w:color="ADD6EA"/>
              <w:left w:val="nil"/>
              <w:bottom w:val="nil"/>
              <w:right w:val="nil"/>
            </w:tcBorders>
            <w:shd w:val="clear" w:color="000000" w:fill="FFFFFF"/>
            <w:vAlign w:val="bottom"/>
            <w:hideMark/>
          </w:tcPr>
          <w:p w14:paraId="60C3702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530</w:t>
            </w:r>
          </w:p>
        </w:tc>
        <w:tc>
          <w:tcPr>
            <w:tcW w:w="718" w:type="dxa"/>
            <w:tcBorders>
              <w:top w:val="single" w:sz="4" w:space="0" w:color="ADD6EA"/>
              <w:left w:val="nil"/>
              <w:bottom w:val="nil"/>
              <w:right w:val="nil"/>
            </w:tcBorders>
            <w:shd w:val="clear" w:color="000000" w:fill="FFFFFF"/>
            <w:vAlign w:val="bottom"/>
            <w:hideMark/>
          </w:tcPr>
          <w:p w14:paraId="44B219C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161</w:t>
            </w:r>
          </w:p>
        </w:tc>
        <w:tc>
          <w:tcPr>
            <w:tcW w:w="679" w:type="dxa"/>
            <w:tcBorders>
              <w:top w:val="single" w:sz="4" w:space="0" w:color="ADD6EA"/>
              <w:left w:val="nil"/>
              <w:bottom w:val="nil"/>
              <w:right w:val="nil"/>
            </w:tcBorders>
            <w:shd w:val="clear" w:color="000000" w:fill="FFFFFF"/>
            <w:vAlign w:val="bottom"/>
            <w:hideMark/>
          </w:tcPr>
          <w:p w14:paraId="7F93B51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-394</w:t>
            </w:r>
          </w:p>
        </w:tc>
        <w:tc>
          <w:tcPr>
            <w:tcW w:w="718" w:type="dxa"/>
            <w:tcBorders>
              <w:top w:val="single" w:sz="4" w:space="0" w:color="ADD6EA"/>
              <w:left w:val="nil"/>
              <w:bottom w:val="nil"/>
              <w:right w:val="nil"/>
            </w:tcBorders>
            <w:shd w:val="clear" w:color="000000" w:fill="FFFFFF"/>
            <w:vAlign w:val="bottom"/>
            <w:hideMark/>
          </w:tcPr>
          <w:p w14:paraId="60963BD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-167</w:t>
            </w:r>
          </w:p>
        </w:tc>
        <w:tc>
          <w:tcPr>
            <w:tcW w:w="716" w:type="dxa"/>
            <w:tcBorders>
              <w:top w:val="single" w:sz="4" w:space="0" w:color="ADD6EA"/>
              <w:left w:val="nil"/>
              <w:bottom w:val="nil"/>
              <w:right w:val="nil"/>
            </w:tcBorders>
            <w:shd w:val="clear" w:color="000000" w:fill="FFFFFF"/>
            <w:vAlign w:val="bottom"/>
            <w:hideMark/>
          </w:tcPr>
          <w:p w14:paraId="7E82B23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1,225</w:t>
            </w:r>
          </w:p>
        </w:tc>
      </w:tr>
      <w:tr w:rsidR="00BF1B0C" w:rsidRPr="00BF1B0C" w14:paraId="05FA4B86"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6308A0F0" w14:textId="77777777" w:rsidR="00BF1B0C" w:rsidRPr="00BF1B0C" w:rsidRDefault="00BF1B0C" w:rsidP="00BF1B0C">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Age</w:t>
            </w:r>
          </w:p>
        </w:tc>
        <w:tc>
          <w:tcPr>
            <w:tcW w:w="679" w:type="dxa"/>
            <w:tcBorders>
              <w:top w:val="single" w:sz="4" w:space="0" w:color="ADD6EA"/>
              <w:left w:val="nil"/>
              <w:bottom w:val="nil"/>
              <w:right w:val="nil"/>
            </w:tcBorders>
            <w:shd w:val="clear" w:color="000000" w:fill="FFFFFF"/>
            <w:vAlign w:val="bottom"/>
            <w:hideMark/>
          </w:tcPr>
          <w:p w14:paraId="5D12F5D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319</w:t>
            </w:r>
          </w:p>
        </w:tc>
        <w:tc>
          <w:tcPr>
            <w:tcW w:w="718" w:type="dxa"/>
            <w:tcBorders>
              <w:top w:val="single" w:sz="4" w:space="0" w:color="ADD6EA"/>
              <w:left w:val="nil"/>
              <w:bottom w:val="nil"/>
              <w:right w:val="nil"/>
            </w:tcBorders>
            <w:shd w:val="clear" w:color="000000" w:fill="FFFFFF"/>
            <w:vAlign w:val="bottom"/>
            <w:hideMark/>
          </w:tcPr>
          <w:p w14:paraId="3B6D62F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-230</w:t>
            </w:r>
          </w:p>
        </w:tc>
        <w:tc>
          <w:tcPr>
            <w:tcW w:w="718" w:type="dxa"/>
            <w:tcBorders>
              <w:top w:val="single" w:sz="4" w:space="0" w:color="ADD6EA"/>
              <w:left w:val="nil"/>
              <w:bottom w:val="nil"/>
              <w:right w:val="nil"/>
            </w:tcBorders>
            <w:shd w:val="clear" w:color="000000" w:fill="FFFFFF"/>
            <w:vAlign w:val="bottom"/>
            <w:hideMark/>
          </w:tcPr>
          <w:p w14:paraId="6E796F5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-185</w:t>
            </w:r>
          </w:p>
        </w:tc>
        <w:tc>
          <w:tcPr>
            <w:tcW w:w="779" w:type="dxa"/>
            <w:tcBorders>
              <w:top w:val="single" w:sz="4" w:space="0" w:color="ADD6EA"/>
              <w:left w:val="nil"/>
              <w:bottom w:val="nil"/>
              <w:right w:val="nil"/>
            </w:tcBorders>
            <w:shd w:val="clear" w:color="000000" w:fill="FFFFFF"/>
            <w:vAlign w:val="bottom"/>
            <w:hideMark/>
          </w:tcPr>
          <w:p w14:paraId="43B275B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-64</w:t>
            </w:r>
          </w:p>
        </w:tc>
        <w:tc>
          <w:tcPr>
            <w:tcW w:w="718" w:type="dxa"/>
            <w:tcBorders>
              <w:top w:val="single" w:sz="4" w:space="0" w:color="ADD6EA"/>
              <w:left w:val="nil"/>
              <w:bottom w:val="nil"/>
              <w:right w:val="nil"/>
            </w:tcBorders>
            <w:shd w:val="clear" w:color="000000" w:fill="FFFFFF"/>
            <w:vAlign w:val="bottom"/>
            <w:hideMark/>
          </w:tcPr>
          <w:p w14:paraId="305ABE0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347</w:t>
            </w:r>
          </w:p>
        </w:tc>
        <w:tc>
          <w:tcPr>
            <w:tcW w:w="718" w:type="dxa"/>
            <w:tcBorders>
              <w:top w:val="single" w:sz="4" w:space="0" w:color="ADD6EA"/>
              <w:left w:val="nil"/>
              <w:bottom w:val="nil"/>
              <w:right w:val="nil"/>
            </w:tcBorders>
            <w:shd w:val="clear" w:color="000000" w:fill="FFFFFF"/>
            <w:vAlign w:val="bottom"/>
            <w:hideMark/>
          </w:tcPr>
          <w:p w14:paraId="2438F68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-39</w:t>
            </w:r>
          </w:p>
        </w:tc>
        <w:tc>
          <w:tcPr>
            <w:tcW w:w="679" w:type="dxa"/>
            <w:tcBorders>
              <w:top w:val="single" w:sz="4" w:space="0" w:color="ADD6EA"/>
              <w:left w:val="nil"/>
              <w:bottom w:val="nil"/>
              <w:right w:val="nil"/>
            </w:tcBorders>
            <w:shd w:val="clear" w:color="000000" w:fill="FFFFFF"/>
            <w:vAlign w:val="bottom"/>
            <w:hideMark/>
          </w:tcPr>
          <w:p w14:paraId="38554BD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-45</w:t>
            </w:r>
          </w:p>
        </w:tc>
        <w:tc>
          <w:tcPr>
            <w:tcW w:w="718" w:type="dxa"/>
            <w:tcBorders>
              <w:top w:val="single" w:sz="4" w:space="0" w:color="ADD6EA"/>
              <w:left w:val="nil"/>
              <w:bottom w:val="nil"/>
              <w:right w:val="nil"/>
            </w:tcBorders>
            <w:shd w:val="clear" w:color="000000" w:fill="FFFFFF"/>
            <w:vAlign w:val="bottom"/>
            <w:hideMark/>
          </w:tcPr>
          <w:p w14:paraId="3B4A570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-102</w:t>
            </w:r>
          </w:p>
        </w:tc>
        <w:tc>
          <w:tcPr>
            <w:tcW w:w="716" w:type="dxa"/>
            <w:tcBorders>
              <w:top w:val="single" w:sz="4" w:space="0" w:color="ADD6EA"/>
              <w:left w:val="nil"/>
              <w:bottom w:val="nil"/>
              <w:right w:val="nil"/>
            </w:tcBorders>
            <w:shd w:val="clear" w:color="000000" w:fill="FFFFFF"/>
            <w:vAlign w:val="bottom"/>
            <w:hideMark/>
          </w:tcPr>
          <w:p w14:paraId="2DFAB4E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665</w:t>
            </w:r>
          </w:p>
        </w:tc>
      </w:tr>
      <w:tr w:rsidR="00BF1B0C" w:rsidRPr="00BF1B0C" w14:paraId="181E24A7"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6E300C19" w14:textId="77777777" w:rsidR="00BF1B0C" w:rsidRPr="00BF1B0C" w:rsidRDefault="00BF1B0C" w:rsidP="00BF1B0C">
            <w:pPr>
              <w:tabs>
                <w:tab w:val="clear" w:pos="567"/>
              </w:tabs>
              <w:spacing w:before="0" w:line="240" w:lineRule="auto"/>
              <w:ind w:firstLineChars="200" w:firstLine="32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Other SDC</w:t>
            </w:r>
          </w:p>
        </w:tc>
        <w:tc>
          <w:tcPr>
            <w:tcW w:w="679" w:type="dxa"/>
            <w:tcBorders>
              <w:top w:val="single" w:sz="4" w:space="0" w:color="ADD6EA"/>
              <w:left w:val="nil"/>
              <w:bottom w:val="nil"/>
              <w:right w:val="nil"/>
            </w:tcBorders>
            <w:shd w:val="clear" w:color="000000" w:fill="FFFFFF"/>
            <w:vAlign w:val="bottom"/>
            <w:hideMark/>
          </w:tcPr>
          <w:p w14:paraId="444D12A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-139</w:t>
            </w:r>
          </w:p>
        </w:tc>
        <w:tc>
          <w:tcPr>
            <w:tcW w:w="718" w:type="dxa"/>
            <w:tcBorders>
              <w:top w:val="single" w:sz="4" w:space="0" w:color="ADD6EA"/>
              <w:left w:val="nil"/>
              <w:bottom w:val="nil"/>
              <w:right w:val="nil"/>
            </w:tcBorders>
            <w:shd w:val="clear" w:color="000000" w:fill="FFFFFF"/>
            <w:vAlign w:val="bottom"/>
            <w:hideMark/>
          </w:tcPr>
          <w:p w14:paraId="5BD2001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-156</w:t>
            </w:r>
          </w:p>
        </w:tc>
        <w:tc>
          <w:tcPr>
            <w:tcW w:w="718" w:type="dxa"/>
            <w:tcBorders>
              <w:top w:val="single" w:sz="4" w:space="0" w:color="ADD6EA"/>
              <w:left w:val="nil"/>
              <w:bottom w:val="nil"/>
              <w:right w:val="nil"/>
            </w:tcBorders>
            <w:shd w:val="clear" w:color="000000" w:fill="FFFFFF"/>
            <w:vAlign w:val="bottom"/>
            <w:hideMark/>
          </w:tcPr>
          <w:p w14:paraId="22594CC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142</w:t>
            </w:r>
          </w:p>
        </w:tc>
        <w:tc>
          <w:tcPr>
            <w:tcW w:w="779" w:type="dxa"/>
            <w:tcBorders>
              <w:top w:val="single" w:sz="4" w:space="0" w:color="ADD6EA"/>
              <w:left w:val="nil"/>
              <w:bottom w:val="nil"/>
              <w:right w:val="nil"/>
            </w:tcBorders>
            <w:shd w:val="clear" w:color="000000" w:fill="FFFFFF"/>
            <w:vAlign w:val="bottom"/>
            <w:hideMark/>
          </w:tcPr>
          <w:p w14:paraId="56E2C4B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31</w:t>
            </w:r>
          </w:p>
        </w:tc>
        <w:tc>
          <w:tcPr>
            <w:tcW w:w="718" w:type="dxa"/>
            <w:tcBorders>
              <w:top w:val="single" w:sz="4" w:space="0" w:color="ADD6EA"/>
              <w:left w:val="nil"/>
              <w:bottom w:val="nil"/>
              <w:right w:val="nil"/>
            </w:tcBorders>
            <w:shd w:val="clear" w:color="000000" w:fill="FFFFFF"/>
            <w:vAlign w:val="bottom"/>
            <w:hideMark/>
          </w:tcPr>
          <w:p w14:paraId="54A134D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26</w:t>
            </w:r>
          </w:p>
        </w:tc>
        <w:tc>
          <w:tcPr>
            <w:tcW w:w="718" w:type="dxa"/>
            <w:tcBorders>
              <w:top w:val="single" w:sz="4" w:space="0" w:color="ADD6EA"/>
              <w:left w:val="nil"/>
              <w:bottom w:val="nil"/>
              <w:right w:val="nil"/>
            </w:tcBorders>
            <w:shd w:val="clear" w:color="000000" w:fill="FFFFFF"/>
            <w:vAlign w:val="bottom"/>
            <w:hideMark/>
          </w:tcPr>
          <w:p w14:paraId="4775C55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-25</w:t>
            </w:r>
          </w:p>
        </w:tc>
        <w:tc>
          <w:tcPr>
            <w:tcW w:w="679" w:type="dxa"/>
            <w:tcBorders>
              <w:top w:val="single" w:sz="4" w:space="0" w:color="ADD6EA"/>
              <w:left w:val="nil"/>
              <w:bottom w:val="nil"/>
              <w:right w:val="nil"/>
            </w:tcBorders>
            <w:shd w:val="clear" w:color="000000" w:fill="FFFFFF"/>
            <w:vAlign w:val="bottom"/>
            <w:hideMark/>
          </w:tcPr>
          <w:p w14:paraId="0C20B09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-30</w:t>
            </w:r>
          </w:p>
        </w:tc>
        <w:tc>
          <w:tcPr>
            <w:tcW w:w="718" w:type="dxa"/>
            <w:tcBorders>
              <w:top w:val="single" w:sz="4" w:space="0" w:color="ADD6EA"/>
              <w:left w:val="nil"/>
              <w:bottom w:val="nil"/>
              <w:right w:val="nil"/>
            </w:tcBorders>
            <w:shd w:val="clear" w:color="000000" w:fill="FFFFFF"/>
            <w:vAlign w:val="bottom"/>
            <w:hideMark/>
          </w:tcPr>
          <w:p w14:paraId="5D24433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151</w:t>
            </w:r>
          </w:p>
        </w:tc>
        <w:tc>
          <w:tcPr>
            <w:tcW w:w="716" w:type="dxa"/>
            <w:tcBorders>
              <w:top w:val="single" w:sz="4" w:space="0" w:color="ADD6EA"/>
              <w:left w:val="nil"/>
              <w:bottom w:val="nil"/>
              <w:right w:val="nil"/>
            </w:tcBorders>
            <w:shd w:val="clear" w:color="000000" w:fill="FFFFFF"/>
            <w:vAlign w:val="bottom"/>
            <w:hideMark/>
          </w:tcPr>
          <w:p w14:paraId="53344A9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350</w:t>
            </w:r>
          </w:p>
        </w:tc>
      </w:tr>
      <w:tr w:rsidR="00BF1B0C" w:rsidRPr="00BF1B0C" w14:paraId="5F53B5C2" w14:textId="77777777" w:rsidTr="00CB0D4F">
        <w:trPr>
          <w:trHeight w:val="315"/>
        </w:trPr>
        <w:tc>
          <w:tcPr>
            <w:tcW w:w="2557" w:type="dxa"/>
            <w:tcBorders>
              <w:top w:val="single" w:sz="4" w:space="0" w:color="ADD6EA"/>
              <w:left w:val="nil"/>
              <w:bottom w:val="nil"/>
              <w:right w:val="nil"/>
            </w:tcBorders>
            <w:shd w:val="clear" w:color="000000" w:fill="B6D5E4"/>
            <w:vAlign w:val="center"/>
            <w:hideMark/>
          </w:tcPr>
          <w:p w14:paraId="5770CB12" w14:textId="77777777" w:rsidR="00BF1B0C" w:rsidRPr="00BF1B0C" w:rsidRDefault="00BF1B0C" w:rsidP="00BF1B0C">
            <w:pPr>
              <w:tabs>
                <w:tab w:val="clear" w:pos="567"/>
              </w:tabs>
              <w:spacing w:before="0" w:line="240" w:lineRule="auto"/>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Total SDC</w:t>
            </w:r>
          </w:p>
        </w:tc>
        <w:tc>
          <w:tcPr>
            <w:tcW w:w="679" w:type="dxa"/>
            <w:tcBorders>
              <w:top w:val="single" w:sz="4" w:space="0" w:color="ADD6EA"/>
              <w:left w:val="nil"/>
              <w:bottom w:val="nil"/>
              <w:right w:val="nil"/>
            </w:tcBorders>
            <w:shd w:val="clear" w:color="000000" w:fill="B6D5E4"/>
            <w:vAlign w:val="center"/>
            <w:hideMark/>
          </w:tcPr>
          <w:p w14:paraId="1D2B586B"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-1,852</w:t>
            </w:r>
          </w:p>
        </w:tc>
        <w:tc>
          <w:tcPr>
            <w:tcW w:w="718" w:type="dxa"/>
            <w:tcBorders>
              <w:top w:val="single" w:sz="4" w:space="0" w:color="ADD6EA"/>
              <w:left w:val="nil"/>
              <w:bottom w:val="nil"/>
              <w:right w:val="nil"/>
            </w:tcBorders>
            <w:shd w:val="clear" w:color="000000" w:fill="B6D5E4"/>
            <w:vAlign w:val="center"/>
            <w:hideMark/>
          </w:tcPr>
          <w:p w14:paraId="22EBC369"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-6,395</w:t>
            </w:r>
          </w:p>
        </w:tc>
        <w:tc>
          <w:tcPr>
            <w:tcW w:w="718" w:type="dxa"/>
            <w:tcBorders>
              <w:top w:val="single" w:sz="4" w:space="0" w:color="ADD6EA"/>
              <w:left w:val="nil"/>
              <w:bottom w:val="nil"/>
              <w:right w:val="nil"/>
            </w:tcBorders>
            <w:shd w:val="clear" w:color="000000" w:fill="B6D5E4"/>
            <w:vAlign w:val="center"/>
            <w:hideMark/>
          </w:tcPr>
          <w:p w14:paraId="49B45202"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3,442</w:t>
            </w:r>
          </w:p>
        </w:tc>
        <w:tc>
          <w:tcPr>
            <w:tcW w:w="779" w:type="dxa"/>
            <w:tcBorders>
              <w:top w:val="single" w:sz="4" w:space="0" w:color="ADD6EA"/>
              <w:left w:val="nil"/>
              <w:bottom w:val="nil"/>
              <w:right w:val="nil"/>
            </w:tcBorders>
            <w:shd w:val="clear" w:color="000000" w:fill="B6D5E4"/>
            <w:vAlign w:val="center"/>
            <w:hideMark/>
          </w:tcPr>
          <w:p w14:paraId="25BAFFC7"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747</w:t>
            </w:r>
          </w:p>
        </w:tc>
        <w:tc>
          <w:tcPr>
            <w:tcW w:w="718" w:type="dxa"/>
            <w:tcBorders>
              <w:top w:val="single" w:sz="4" w:space="0" w:color="ADD6EA"/>
              <w:left w:val="nil"/>
              <w:bottom w:val="nil"/>
              <w:right w:val="nil"/>
            </w:tcBorders>
            <w:shd w:val="clear" w:color="000000" w:fill="B6D5E4"/>
            <w:vAlign w:val="center"/>
            <w:hideMark/>
          </w:tcPr>
          <w:p w14:paraId="11F34219"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670</w:t>
            </w:r>
          </w:p>
        </w:tc>
        <w:tc>
          <w:tcPr>
            <w:tcW w:w="718" w:type="dxa"/>
            <w:tcBorders>
              <w:top w:val="single" w:sz="4" w:space="0" w:color="ADD6EA"/>
              <w:left w:val="nil"/>
              <w:bottom w:val="nil"/>
              <w:right w:val="nil"/>
            </w:tcBorders>
            <w:shd w:val="clear" w:color="000000" w:fill="B6D5E4"/>
            <w:vAlign w:val="center"/>
            <w:hideMark/>
          </w:tcPr>
          <w:p w14:paraId="3C3B7387"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1,215</w:t>
            </w:r>
          </w:p>
        </w:tc>
        <w:tc>
          <w:tcPr>
            <w:tcW w:w="679" w:type="dxa"/>
            <w:tcBorders>
              <w:top w:val="single" w:sz="4" w:space="0" w:color="ADD6EA"/>
              <w:left w:val="nil"/>
              <w:bottom w:val="nil"/>
              <w:right w:val="nil"/>
            </w:tcBorders>
            <w:shd w:val="clear" w:color="000000" w:fill="B6D5E4"/>
            <w:vAlign w:val="center"/>
            <w:hideMark/>
          </w:tcPr>
          <w:p w14:paraId="4FCBCF98"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-997</w:t>
            </w:r>
          </w:p>
        </w:tc>
        <w:tc>
          <w:tcPr>
            <w:tcW w:w="718" w:type="dxa"/>
            <w:tcBorders>
              <w:top w:val="single" w:sz="4" w:space="0" w:color="ADD6EA"/>
              <w:left w:val="nil"/>
              <w:bottom w:val="nil"/>
              <w:right w:val="nil"/>
            </w:tcBorders>
            <w:shd w:val="clear" w:color="000000" w:fill="B6D5E4"/>
            <w:vAlign w:val="center"/>
            <w:hideMark/>
          </w:tcPr>
          <w:p w14:paraId="58E7D3FB"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3,170</w:t>
            </w:r>
          </w:p>
        </w:tc>
        <w:tc>
          <w:tcPr>
            <w:tcW w:w="716" w:type="dxa"/>
            <w:tcBorders>
              <w:top w:val="single" w:sz="4" w:space="0" w:color="ADD6EA"/>
              <w:left w:val="nil"/>
              <w:bottom w:val="nil"/>
              <w:right w:val="nil"/>
            </w:tcBorders>
            <w:shd w:val="clear" w:color="000000" w:fill="B6D5E4"/>
            <w:vAlign w:val="center"/>
            <w:hideMark/>
          </w:tcPr>
          <w:p w14:paraId="50BC3540"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9,244</w:t>
            </w:r>
          </w:p>
        </w:tc>
      </w:tr>
      <w:tr w:rsidR="00BF1B0C" w:rsidRPr="00BF1B0C" w14:paraId="0610A63A"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2970C7B1"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Administrative scale</w:t>
            </w:r>
          </w:p>
        </w:tc>
        <w:tc>
          <w:tcPr>
            <w:tcW w:w="679" w:type="dxa"/>
            <w:tcBorders>
              <w:top w:val="single" w:sz="4" w:space="0" w:color="ADD6EA"/>
              <w:left w:val="nil"/>
              <w:bottom w:val="nil"/>
              <w:right w:val="nil"/>
            </w:tcBorders>
            <w:shd w:val="clear" w:color="000000" w:fill="FFFFFF"/>
            <w:vAlign w:val="bottom"/>
            <w:hideMark/>
          </w:tcPr>
          <w:p w14:paraId="66A9A09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-741</w:t>
            </w:r>
          </w:p>
        </w:tc>
        <w:tc>
          <w:tcPr>
            <w:tcW w:w="718" w:type="dxa"/>
            <w:tcBorders>
              <w:top w:val="single" w:sz="4" w:space="0" w:color="ADD6EA"/>
              <w:left w:val="nil"/>
              <w:bottom w:val="nil"/>
              <w:right w:val="nil"/>
            </w:tcBorders>
            <w:shd w:val="clear" w:color="000000" w:fill="FFFFFF"/>
            <w:vAlign w:val="bottom"/>
            <w:hideMark/>
          </w:tcPr>
          <w:p w14:paraId="148207F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-520</w:t>
            </w:r>
          </w:p>
        </w:tc>
        <w:tc>
          <w:tcPr>
            <w:tcW w:w="718" w:type="dxa"/>
            <w:tcBorders>
              <w:top w:val="single" w:sz="4" w:space="0" w:color="ADD6EA"/>
              <w:left w:val="nil"/>
              <w:bottom w:val="nil"/>
              <w:right w:val="nil"/>
            </w:tcBorders>
            <w:shd w:val="clear" w:color="000000" w:fill="FFFFFF"/>
            <w:vAlign w:val="bottom"/>
            <w:hideMark/>
          </w:tcPr>
          <w:p w14:paraId="5B792D8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-316</w:t>
            </w:r>
          </w:p>
        </w:tc>
        <w:tc>
          <w:tcPr>
            <w:tcW w:w="779" w:type="dxa"/>
            <w:tcBorders>
              <w:top w:val="single" w:sz="4" w:space="0" w:color="ADD6EA"/>
              <w:left w:val="nil"/>
              <w:bottom w:val="nil"/>
              <w:right w:val="nil"/>
            </w:tcBorders>
            <w:shd w:val="clear" w:color="000000" w:fill="FFFFFF"/>
            <w:vAlign w:val="bottom"/>
            <w:hideMark/>
          </w:tcPr>
          <w:p w14:paraId="52D586B6"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70</w:t>
            </w:r>
          </w:p>
        </w:tc>
        <w:tc>
          <w:tcPr>
            <w:tcW w:w="718" w:type="dxa"/>
            <w:tcBorders>
              <w:top w:val="single" w:sz="4" w:space="0" w:color="ADD6EA"/>
              <w:left w:val="nil"/>
              <w:bottom w:val="nil"/>
              <w:right w:val="nil"/>
            </w:tcBorders>
            <w:shd w:val="clear" w:color="000000" w:fill="FFFFFF"/>
            <w:vAlign w:val="bottom"/>
            <w:hideMark/>
          </w:tcPr>
          <w:p w14:paraId="649DE40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223</w:t>
            </w:r>
          </w:p>
        </w:tc>
        <w:tc>
          <w:tcPr>
            <w:tcW w:w="718" w:type="dxa"/>
            <w:tcBorders>
              <w:top w:val="single" w:sz="4" w:space="0" w:color="ADD6EA"/>
              <w:left w:val="nil"/>
              <w:bottom w:val="nil"/>
              <w:right w:val="nil"/>
            </w:tcBorders>
            <w:shd w:val="clear" w:color="000000" w:fill="FFFFFF"/>
            <w:vAlign w:val="bottom"/>
            <w:hideMark/>
          </w:tcPr>
          <w:p w14:paraId="1842FB8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403</w:t>
            </w:r>
          </w:p>
        </w:tc>
        <w:tc>
          <w:tcPr>
            <w:tcW w:w="679" w:type="dxa"/>
            <w:tcBorders>
              <w:top w:val="single" w:sz="4" w:space="0" w:color="ADD6EA"/>
              <w:left w:val="nil"/>
              <w:bottom w:val="nil"/>
              <w:right w:val="nil"/>
            </w:tcBorders>
            <w:shd w:val="clear" w:color="000000" w:fill="FFFFFF"/>
            <w:vAlign w:val="bottom"/>
            <w:hideMark/>
          </w:tcPr>
          <w:p w14:paraId="5CB828F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416</w:t>
            </w:r>
          </w:p>
        </w:tc>
        <w:tc>
          <w:tcPr>
            <w:tcW w:w="718" w:type="dxa"/>
            <w:tcBorders>
              <w:top w:val="single" w:sz="4" w:space="0" w:color="ADD6EA"/>
              <w:left w:val="nil"/>
              <w:bottom w:val="nil"/>
              <w:right w:val="nil"/>
            </w:tcBorders>
            <w:shd w:val="clear" w:color="000000" w:fill="FFFFFF"/>
            <w:vAlign w:val="bottom"/>
            <w:hideMark/>
          </w:tcPr>
          <w:p w14:paraId="2009153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465</w:t>
            </w:r>
          </w:p>
        </w:tc>
        <w:tc>
          <w:tcPr>
            <w:tcW w:w="716" w:type="dxa"/>
            <w:tcBorders>
              <w:top w:val="single" w:sz="4" w:space="0" w:color="ADD6EA"/>
              <w:left w:val="nil"/>
              <w:bottom w:val="nil"/>
              <w:right w:val="nil"/>
            </w:tcBorders>
            <w:shd w:val="clear" w:color="000000" w:fill="FFFFFF"/>
            <w:vAlign w:val="bottom"/>
            <w:hideMark/>
          </w:tcPr>
          <w:p w14:paraId="177F349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1,577</w:t>
            </w:r>
          </w:p>
        </w:tc>
      </w:tr>
      <w:tr w:rsidR="00BF1B0C" w:rsidRPr="00BF1B0C" w14:paraId="3D020DF7"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47C5A2BC"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Wage costs</w:t>
            </w:r>
          </w:p>
        </w:tc>
        <w:tc>
          <w:tcPr>
            <w:tcW w:w="679" w:type="dxa"/>
            <w:tcBorders>
              <w:top w:val="single" w:sz="4" w:space="0" w:color="ADD6EA"/>
              <w:left w:val="nil"/>
              <w:bottom w:val="nil"/>
              <w:right w:val="nil"/>
            </w:tcBorders>
            <w:shd w:val="clear" w:color="000000" w:fill="FFFFFF"/>
            <w:vAlign w:val="bottom"/>
            <w:hideMark/>
          </w:tcPr>
          <w:p w14:paraId="0400F1D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480</w:t>
            </w:r>
          </w:p>
        </w:tc>
        <w:tc>
          <w:tcPr>
            <w:tcW w:w="718" w:type="dxa"/>
            <w:tcBorders>
              <w:top w:val="single" w:sz="4" w:space="0" w:color="ADD6EA"/>
              <w:left w:val="nil"/>
              <w:bottom w:val="nil"/>
              <w:right w:val="nil"/>
            </w:tcBorders>
            <w:shd w:val="clear" w:color="000000" w:fill="FFFFFF"/>
            <w:vAlign w:val="bottom"/>
            <w:hideMark/>
          </w:tcPr>
          <w:p w14:paraId="3349D1D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139</w:t>
            </w:r>
          </w:p>
        </w:tc>
        <w:tc>
          <w:tcPr>
            <w:tcW w:w="718" w:type="dxa"/>
            <w:tcBorders>
              <w:top w:val="single" w:sz="4" w:space="0" w:color="ADD6EA"/>
              <w:left w:val="nil"/>
              <w:bottom w:val="nil"/>
              <w:right w:val="nil"/>
            </w:tcBorders>
            <w:shd w:val="clear" w:color="000000" w:fill="FFFFFF"/>
            <w:vAlign w:val="bottom"/>
            <w:hideMark/>
          </w:tcPr>
          <w:p w14:paraId="3204FD8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-514</w:t>
            </w:r>
          </w:p>
        </w:tc>
        <w:tc>
          <w:tcPr>
            <w:tcW w:w="779" w:type="dxa"/>
            <w:tcBorders>
              <w:top w:val="single" w:sz="4" w:space="0" w:color="ADD6EA"/>
              <w:left w:val="nil"/>
              <w:bottom w:val="nil"/>
              <w:right w:val="nil"/>
            </w:tcBorders>
            <w:shd w:val="clear" w:color="000000" w:fill="FFFFFF"/>
            <w:vAlign w:val="bottom"/>
            <w:hideMark/>
          </w:tcPr>
          <w:p w14:paraId="047FE42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430</w:t>
            </w:r>
          </w:p>
        </w:tc>
        <w:tc>
          <w:tcPr>
            <w:tcW w:w="718" w:type="dxa"/>
            <w:tcBorders>
              <w:top w:val="single" w:sz="4" w:space="0" w:color="ADD6EA"/>
              <w:left w:val="nil"/>
              <w:bottom w:val="nil"/>
              <w:right w:val="nil"/>
            </w:tcBorders>
            <w:shd w:val="clear" w:color="000000" w:fill="FFFFFF"/>
            <w:vAlign w:val="bottom"/>
            <w:hideMark/>
          </w:tcPr>
          <w:p w14:paraId="395FEB5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-567</w:t>
            </w:r>
          </w:p>
        </w:tc>
        <w:tc>
          <w:tcPr>
            <w:tcW w:w="718" w:type="dxa"/>
            <w:tcBorders>
              <w:top w:val="single" w:sz="4" w:space="0" w:color="ADD6EA"/>
              <w:left w:val="nil"/>
              <w:bottom w:val="nil"/>
              <w:right w:val="nil"/>
            </w:tcBorders>
            <w:shd w:val="clear" w:color="000000" w:fill="FFFFFF"/>
            <w:vAlign w:val="bottom"/>
            <w:hideMark/>
          </w:tcPr>
          <w:p w14:paraId="2FD4D75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-227</w:t>
            </w:r>
          </w:p>
        </w:tc>
        <w:tc>
          <w:tcPr>
            <w:tcW w:w="679" w:type="dxa"/>
            <w:tcBorders>
              <w:top w:val="single" w:sz="4" w:space="0" w:color="ADD6EA"/>
              <w:left w:val="nil"/>
              <w:bottom w:val="nil"/>
              <w:right w:val="nil"/>
            </w:tcBorders>
            <w:shd w:val="clear" w:color="000000" w:fill="FFFFFF"/>
            <w:vAlign w:val="bottom"/>
            <w:hideMark/>
          </w:tcPr>
          <w:p w14:paraId="1355801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197</w:t>
            </w:r>
          </w:p>
        </w:tc>
        <w:tc>
          <w:tcPr>
            <w:tcW w:w="718" w:type="dxa"/>
            <w:tcBorders>
              <w:top w:val="single" w:sz="4" w:space="0" w:color="ADD6EA"/>
              <w:left w:val="nil"/>
              <w:bottom w:val="nil"/>
              <w:right w:val="nil"/>
            </w:tcBorders>
            <w:shd w:val="clear" w:color="000000" w:fill="FFFFFF"/>
            <w:vAlign w:val="bottom"/>
            <w:hideMark/>
          </w:tcPr>
          <w:p w14:paraId="5220C72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63</w:t>
            </w:r>
          </w:p>
        </w:tc>
        <w:tc>
          <w:tcPr>
            <w:tcW w:w="716" w:type="dxa"/>
            <w:tcBorders>
              <w:top w:val="single" w:sz="4" w:space="0" w:color="ADD6EA"/>
              <w:left w:val="nil"/>
              <w:bottom w:val="nil"/>
              <w:right w:val="nil"/>
            </w:tcBorders>
            <w:shd w:val="clear" w:color="000000" w:fill="FFFFFF"/>
            <w:vAlign w:val="bottom"/>
            <w:hideMark/>
          </w:tcPr>
          <w:p w14:paraId="4E841AB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1,308</w:t>
            </w:r>
          </w:p>
        </w:tc>
      </w:tr>
      <w:tr w:rsidR="00BF1B0C" w:rsidRPr="00BF1B0C" w14:paraId="1DDBC322"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12DE7FA5"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Population weighted density</w:t>
            </w:r>
          </w:p>
        </w:tc>
        <w:tc>
          <w:tcPr>
            <w:tcW w:w="679" w:type="dxa"/>
            <w:tcBorders>
              <w:top w:val="single" w:sz="4" w:space="0" w:color="ADD6EA"/>
              <w:left w:val="nil"/>
              <w:bottom w:val="nil"/>
              <w:right w:val="nil"/>
            </w:tcBorders>
            <w:shd w:val="clear" w:color="000000" w:fill="FFFFFF"/>
            <w:vAlign w:val="bottom"/>
            <w:hideMark/>
          </w:tcPr>
          <w:p w14:paraId="7CD3984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853</w:t>
            </w:r>
          </w:p>
        </w:tc>
        <w:tc>
          <w:tcPr>
            <w:tcW w:w="718" w:type="dxa"/>
            <w:tcBorders>
              <w:top w:val="single" w:sz="4" w:space="0" w:color="ADD6EA"/>
              <w:left w:val="nil"/>
              <w:bottom w:val="nil"/>
              <w:right w:val="nil"/>
            </w:tcBorders>
            <w:shd w:val="clear" w:color="000000" w:fill="FFFFFF"/>
            <w:vAlign w:val="bottom"/>
            <w:hideMark/>
          </w:tcPr>
          <w:p w14:paraId="5C85FCF6"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320</w:t>
            </w:r>
          </w:p>
        </w:tc>
        <w:tc>
          <w:tcPr>
            <w:tcW w:w="718" w:type="dxa"/>
            <w:tcBorders>
              <w:top w:val="single" w:sz="4" w:space="0" w:color="ADD6EA"/>
              <w:left w:val="nil"/>
              <w:bottom w:val="nil"/>
              <w:right w:val="nil"/>
            </w:tcBorders>
            <w:shd w:val="clear" w:color="000000" w:fill="FFFFFF"/>
            <w:vAlign w:val="bottom"/>
            <w:hideMark/>
          </w:tcPr>
          <w:p w14:paraId="1B465E7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-533</w:t>
            </w:r>
          </w:p>
        </w:tc>
        <w:tc>
          <w:tcPr>
            <w:tcW w:w="779" w:type="dxa"/>
            <w:tcBorders>
              <w:top w:val="single" w:sz="4" w:space="0" w:color="ADD6EA"/>
              <w:left w:val="nil"/>
              <w:bottom w:val="nil"/>
              <w:right w:val="nil"/>
            </w:tcBorders>
            <w:shd w:val="clear" w:color="000000" w:fill="FFFFFF"/>
            <w:vAlign w:val="bottom"/>
            <w:hideMark/>
          </w:tcPr>
          <w:p w14:paraId="75A36AD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-244</w:t>
            </w:r>
          </w:p>
        </w:tc>
        <w:tc>
          <w:tcPr>
            <w:tcW w:w="718" w:type="dxa"/>
            <w:tcBorders>
              <w:top w:val="single" w:sz="4" w:space="0" w:color="ADD6EA"/>
              <w:left w:val="nil"/>
              <w:bottom w:val="nil"/>
              <w:right w:val="nil"/>
            </w:tcBorders>
            <w:shd w:val="clear" w:color="000000" w:fill="FFFFFF"/>
            <w:vAlign w:val="bottom"/>
            <w:hideMark/>
          </w:tcPr>
          <w:p w14:paraId="194702B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-192</w:t>
            </w:r>
          </w:p>
        </w:tc>
        <w:tc>
          <w:tcPr>
            <w:tcW w:w="718" w:type="dxa"/>
            <w:tcBorders>
              <w:top w:val="single" w:sz="4" w:space="0" w:color="ADD6EA"/>
              <w:left w:val="nil"/>
              <w:bottom w:val="nil"/>
              <w:right w:val="nil"/>
            </w:tcBorders>
            <w:shd w:val="clear" w:color="000000" w:fill="FFFFFF"/>
            <w:vAlign w:val="bottom"/>
            <w:hideMark/>
          </w:tcPr>
          <w:p w14:paraId="543EFD8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-127</w:t>
            </w:r>
          </w:p>
        </w:tc>
        <w:tc>
          <w:tcPr>
            <w:tcW w:w="679" w:type="dxa"/>
            <w:tcBorders>
              <w:top w:val="single" w:sz="4" w:space="0" w:color="ADD6EA"/>
              <w:left w:val="nil"/>
              <w:bottom w:val="nil"/>
              <w:right w:val="nil"/>
            </w:tcBorders>
            <w:shd w:val="clear" w:color="000000" w:fill="FFFFFF"/>
            <w:vAlign w:val="bottom"/>
            <w:hideMark/>
          </w:tcPr>
          <w:p w14:paraId="0F909A2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-25</w:t>
            </w:r>
          </w:p>
        </w:tc>
        <w:tc>
          <w:tcPr>
            <w:tcW w:w="718" w:type="dxa"/>
            <w:tcBorders>
              <w:top w:val="single" w:sz="4" w:space="0" w:color="ADD6EA"/>
              <w:left w:val="nil"/>
              <w:bottom w:val="nil"/>
              <w:right w:val="nil"/>
            </w:tcBorders>
            <w:shd w:val="clear" w:color="000000" w:fill="FFFFFF"/>
            <w:vAlign w:val="bottom"/>
            <w:hideMark/>
          </w:tcPr>
          <w:p w14:paraId="3976A4E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-52</w:t>
            </w:r>
          </w:p>
        </w:tc>
        <w:tc>
          <w:tcPr>
            <w:tcW w:w="716" w:type="dxa"/>
            <w:tcBorders>
              <w:top w:val="single" w:sz="4" w:space="0" w:color="ADD6EA"/>
              <w:left w:val="nil"/>
              <w:bottom w:val="nil"/>
              <w:right w:val="nil"/>
            </w:tcBorders>
            <w:shd w:val="clear" w:color="000000" w:fill="FFFFFF"/>
            <w:vAlign w:val="bottom"/>
            <w:hideMark/>
          </w:tcPr>
          <w:p w14:paraId="17A130D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1,173</w:t>
            </w:r>
          </w:p>
        </w:tc>
      </w:tr>
      <w:tr w:rsidR="00BF1B0C" w:rsidRPr="00BF1B0C" w14:paraId="41FA4B5A"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12D9C213" w14:textId="07D37AEA"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Non-</w:t>
            </w:r>
            <w:r w:rsidR="00F76E2A">
              <w:rPr>
                <w:rFonts w:ascii="Open Sans Light" w:eastAsia="Times New Roman" w:hAnsi="Open Sans Light" w:cs="Open Sans Light"/>
                <w:color w:val="000000"/>
                <w:sz w:val="16"/>
                <w:szCs w:val="16"/>
                <w:lang w:eastAsia="en-AU"/>
              </w:rPr>
              <w:t>s</w:t>
            </w:r>
            <w:r w:rsidRPr="00BF1B0C">
              <w:rPr>
                <w:rFonts w:ascii="Open Sans Light" w:eastAsia="Times New Roman" w:hAnsi="Open Sans Light" w:cs="Open Sans Light"/>
                <w:color w:val="000000"/>
                <w:sz w:val="16"/>
                <w:szCs w:val="16"/>
                <w:lang w:eastAsia="en-AU"/>
              </w:rPr>
              <w:t>tate sector</w:t>
            </w:r>
          </w:p>
        </w:tc>
        <w:tc>
          <w:tcPr>
            <w:tcW w:w="679" w:type="dxa"/>
            <w:tcBorders>
              <w:top w:val="single" w:sz="4" w:space="0" w:color="ADD6EA"/>
              <w:left w:val="nil"/>
              <w:bottom w:val="nil"/>
              <w:right w:val="nil"/>
            </w:tcBorders>
            <w:shd w:val="clear" w:color="000000" w:fill="FFFFFF"/>
            <w:vAlign w:val="bottom"/>
            <w:hideMark/>
          </w:tcPr>
          <w:p w14:paraId="46F71AC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-912</w:t>
            </w:r>
          </w:p>
        </w:tc>
        <w:tc>
          <w:tcPr>
            <w:tcW w:w="718" w:type="dxa"/>
            <w:tcBorders>
              <w:top w:val="single" w:sz="4" w:space="0" w:color="ADD6EA"/>
              <w:left w:val="nil"/>
              <w:bottom w:val="nil"/>
              <w:right w:val="nil"/>
            </w:tcBorders>
            <w:shd w:val="clear" w:color="000000" w:fill="FFFFFF"/>
            <w:vAlign w:val="bottom"/>
            <w:hideMark/>
          </w:tcPr>
          <w:p w14:paraId="10CA65B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-96</w:t>
            </w:r>
          </w:p>
        </w:tc>
        <w:tc>
          <w:tcPr>
            <w:tcW w:w="718" w:type="dxa"/>
            <w:tcBorders>
              <w:top w:val="single" w:sz="4" w:space="0" w:color="ADD6EA"/>
              <w:left w:val="nil"/>
              <w:bottom w:val="nil"/>
              <w:right w:val="nil"/>
            </w:tcBorders>
            <w:shd w:val="clear" w:color="000000" w:fill="FFFFFF"/>
            <w:vAlign w:val="bottom"/>
            <w:hideMark/>
          </w:tcPr>
          <w:p w14:paraId="3FADAE4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212</w:t>
            </w:r>
          </w:p>
        </w:tc>
        <w:tc>
          <w:tcPr>
            <w:tcW w:w="779" w:type="dxa"/>
            <w:tcBorders>
              <w:top w:val="single" w:sz="4" w:space="0" w:color="ADD6EA"/>
              <w:left w:val="nil"/>
              <w:bottom w:val="nil"/>
              <w:right w:val="nil"/>
            </w:tcBorders>
            <w:shd w:val="clear" w:color="000000" w:fill="FFFFFF"/>
            <w:vAlign w:val="bottom"/>
            <w:hideMark/>
          </w:tcPr>
          <w:p w14:paraId="05045AA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599</w:t>
            </w:r>
          </w:p>
        </w:tc>
        <w:tc>
          <w:tcPr>
            <w:tcW w:w="718" w:type="dxa"/>
            <w:tcBorders>
              <w:top w:val="single" w:sz="4" w:space="0" w:color="ADD6EA"/>
              <w:left w:val="nil"/>
              <w:bottom w:val="nil"/>
              <w:right w:val="nil"/>
            </w:tcBorders>
            <w:shd w:val="clear" w:color="000000" w:fill="FFFFFF"/>
            <w:vAlign w:val="bottom"/>
            <w:hideMark/>
          </w:tcPr>
          <w:p w14:paraId="13165F4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7</w:t>
            </w:r>
          </w:p>
        </w:tc>
        <w:tc>
          <w:tcPr>
            <w:tcW w:w="718" w:type="dxa"/>
            <w:tcBorders>
              <w:top w:val="single" w:sz="4" w:space="0" w:color="ADD6EA"/>
              <w:left w:val="nil"/>
              <w:bottom w:val="nil"/>
              <w:right w:val="nil"/>
            </w:tcBorders>
            <w:shd w:val="clear" w:color="000000" w:fill="FFFFFF"/>
            <w:vAlign w:val="bottom"/>
            <w:hideMark/>
          </w:tcPr>
          <w:p w14:paraId="5C512F5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-39</w:t>
            </w:r>
          </w:p>
        </w:tc>
        <w:tc>
          <w:tcPr>
            <w:tcW w:w="679" w:type="dxa"/>
            <w:tcBorders>
              <w:top w:val="single" w:sz="4" w:space="0" w:color="ADD6EA"/>
              <w:left w:val="nil"/>
              <w:bottom w:val="nil"/>
              <w:right w:val="nil"/>
            </w:tcBorders>
            <w:shd w:val="clear" w:color="000000" w:fill="FFFFFF"/>
            <w:vAlign w:val="bottom"/>
            <w:hideMark/>
          </w:tcPr>
          <w:p w14:paraId="3192A1B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192</w:t>
            </w:r>
          </w:p>
        </w:tc>
        <w:tc>
          <w:tcPr>
            <w:tcW w:w="718" w:type="dxa"/>
            <w:tcBorders>
              <w:top w:val="single" w:sz="4" w:space="0" w:color="ADD6EA"/>
              <w:left w:val="nil"/>
              <w:bottom w:val="nil"/>
              <w:right w:val="nil"/>
            </w:tcBorders>
            <w:shd w:val="clear" w:color="000000" w:fill="FFFFFF"/>
            <w:vAlign w:val="bottom"/>
            <w:hideMark/>
          </w:tcPr>
          <w:p w14:paraId="61535D7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37</w:t>
            </w:r>
          </w:p>
        </w:tc>
        <w:tc>
          <w:tcPr>
            <w:tcW w:w="716" w:type="dxa"/>
            <w:tcBorders>
              <w:top w:val="single" w:sz="4" w:space="0" w:color="ADD6EA"/>
              <w:left w:val="nil"/>
              <w:bottom w:val="nil"/>
              <w:right w:val="nil"/>
            </w:tcBorders>
            <w:shd w:val="clear" w:color="000000" w:fill="FFFFFF"/>
            <w:vAlign w:val="bottom"/>
            <w:hideMark/>
          </w:tcPr>
          <w:p w14:paraId="5634C87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1,048</w:t>
            </w:r>
          </w:p>
        </w:tc>
      </w:tr>
      <w:tr w:rsidR="00BF1B0C" w:rsidRPr="00BF1B0C" w14:paraId="10EA6C5B"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3A298D4B"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Natural disaster relief</w:t>
            </w:r>
          </w:p>
        </w:tc>
        <w:tc>
          <w:tcPr>
            <w:tcW w:w="679" w:type="dxa"/>
            <w:tcBorders>
              <w:top w:val="single" w:sz="4" w:space="0" w:color="ADD6EA"/>
              <w:left w:val="nil"/>
              <w:bottom w:val="nil"/>
              <w:right w:val="nil"/>
            </w:tcBorders>
            <w:shd w:val="clear" w:color="000000" w:fill="FFFFFF"/>
            <w:vAlign w:val="bottom"/>
            <w:hideMark/>
          </w:tcPr>
          <w:p w14:paraId="671E48A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260</w:t>
            </w:r>
          </w:p>
        </w:tc>
        <w:tc>
          <w:tcPr>
            <w:tcW w:w="718" w:type="dxa"/>
            <w:tcBorders>
              <w:top w:val="single" w:sz="4" w:space="0" w:color="ADD6EA"/>
              <w:left w:val="nil"/>
              <w:bottom w:val="nil"/>
              <w:right w:val="nil"/>
            </w:tcBorders>
            <w:shd w:val="clear" w:color="000000" w:fill="FFFFFF"/>
            <w:vAlign w:val="bottom"/>
            <w:hideMark/>
          </w:tcPr>
          <w:p w14:paraId="0FD69A7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-345</w:t>
            </w:r>
          </w:p>
        </w:tc>
        <w:tc>
          <w:tcPr>
            <w:tcW w:w="718" w:type="dxa"/>
            <w:tcBorders>
              <w:top w:val="single" w:sz="4" w:space="0" w:color="ADD6EA"/>
              <w:left w:val="nil"/>
              <w:bottom w:val="nil"/>
              <w:right w:val="nil"/>
            </w:tcBorders>
            <w:shd w:val="clear" w:color="000000" w:fill="FFFFFF"/>
            <w:vAlign w:val="bottom"/>
            <w:hideMark/>
          </w:tcPr>
          <w:p w14:paraId="36F0B8F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621</w:t>
            </w:r>
          </w:p>
        </w:tc>
        <w:tc>
          <w:tcPr>
            <w:tcW w:w="779" w:type="dxa"/>
            <w:tcBorders>
              <w:top w:val="single" w:sz="4" w:space="0" w:color="ADD6EA"/>
              <w:left w:val="nil"/>
              <w:bottom w:val="nil"/>
              <w:right w:val="nil"/>
            </w:tcBorders>
            <w:shd w:val="clear" w:color="000000" w:fill="FFFFFF"/>
            <w:vAlign w:val="bottom"/>
            <w:hideMark/>
          </w:tcPr>
          <w:p w14:paraId="4BF4F7F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-282</w:t>
            </w:r>
          </w:p>
        </w:tc>
        <w:tc>
          <w:tcPr>
            <w:tcW w:w="718" w:type="dxa"/>
            <w:tcBorders>
              <w:top w:val="single" w:sz="4" w:space="0" w:color="ADD6EA"/>
              <w:left w:val="nil"/>
              <w:bottom w:val="nil"/>
              <w:right w:val="nil"/>
            </w:tcBorders>
            <w:shd w:val="clear" w:color="000000" w:fill="FFFFFF"/>
            <w:vAlign w:val="bottom"/>
            <w:hideMark/>
          </w:tcPr>
          <w:p w14:paraId="0FD9412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-183</w:t>
            </w:r>
          </w:p>
        </w:tc>
        <w:tc>
          <w:tcPr>
            <w:tcW w:w="718" w:type="dxa"/>
            <w:tcBorders>
              <w:top w:val="single" w:sz="4" w:space="0" w:color="ADD6EA"/>
              <w:left w:val="nil"/>
              <w:bottom w:val="nil"/>
              <w:right w:val="nil"/>
            </w:tcBorders>
            <w:shd w:val="clear" w:color="000000" w:fill="FFFFFF"/>
            <w:vAlign w:val="bottom"/>
            <w:hideMark/>
          </w:tcPr>
          <w:p w14:paraId="1CA461A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-33</w:t>
            </w:r>
          </w:p>
        </w:tc>
        <w:tc>
          <w:tcPr>
            <w:tcW w:w="679" w:type="dxa"/>
            <w:tcBorders>
              <w:top w:val="single" w:sz="4" w:space="0" w:color="ADD6EA"/>
              <w:left w:val="nil"/>
              <w:bottom w:val="nil"/>
              <w:right w:val="nil"/>
            </w:tcBorders>
            <w:shd w:val="clear" w:color="000000" w:fill="FFFFFF"/>
            <w:vAlign w:val="bottom"/>
            <w:hideMark/>
          </w:tcPr>
          <w:p w14:paraId="69426B1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-39</w:t>
            </w:r>
          </w:p>
        </w:tc>
        <w:tc>
          <w:tcPr>
            <w:tcW w:w="718" w:type="dxa"/>
            <w:tcBorders>
              <w:top w:val="single" w:sz="4" w:space="0" w:color="ADD6EA"/>
              <w:left w:val="nil"/>
              <w:bottom w:val="nil"/>
              <w:right w:val="nil"/>
            </w:tcBorders>
            <w:shd w:val="clear" w:color="000000" w:fill="FFFFFF"/>
            <w:vAlign w:val="bottom"/>
            <w:hideMark/>
          </w:tcPr>
          <w:p w14:paraId="3413A9D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w:t>
            </w:r>
          </w:p>
        </w:tc>
        <w:tc>
          <w:tcPr>
            <w:tcW w:w="716" w:type="dxa"/>
            <w:tcBorders>
              <w:top w:val="single" w:sz="4" w:space="0" w:color="ADD6EA"/>
              <w:left w:val="nil"/>
              <w:bottom w:val="nil"/>
              <w:right w:val="nil"/>
            </w:tcBorders>
            <w:shd w:val="clear" w:color="000000" w:fill="FFFFFF"/>
            <w:vAlign w:val="bottom"/>
            <w:hideMark/>
          </w:tcPr>
          <w:p w14:paraId="7166D446"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882</w:t>
            </w:r>
          </w:p>
        </w:tc>
      </w:tr>
      <w:tr w:rsidR="00BF1B0C" w:rsidRPr="00BF1B0C" w14:paraId="00EE98AC"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0C4B9A55"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Other expenses</w:t>
            </w:r>
          </w:p>
        </w:tc>
        <w:tc>
          <w:tcPr>
            <w:tcW w:w="679" w:type="dxa"/>
            <w:tcBorders>
              <w:top w:val="single" w:sz="4" w:space="0" w:color="ADD6EA"/>
              <w:left w:val="nil"/>
              <w:bottom w:val="nil"/>
              <w:right w:val="nil"/>
            </w:tcBorders>
            <w:shd w:val="clear" w:color="000000" w:fill="FFFFFF"/>
            <w:vAlign w:val="bottom"/>
            <w:hideMark/>
          </w:tcPr>
          <w:p w14:paraId="4B6C55F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-366</w:t>
            </w:r>
          </w:p>
        </w:tc>
        <w:tc>
          <w:tcPr>
            <w:tcW w:w="718" w:type="dxa"/>
            <w:tcBorders>
              <w:top w:val="single" w:sz="4" w:space="0" w:color="ADD6EA"/>
              <w:left w:val="nil"/>
              <w:bottom w:val="nil"/>
              <w:right w:val="nil"/>
            </w:tcBorders>
            <w:shd w:val="clear" w:color="000000" w:fill="FFFFFF"/>
            <w:vAlign w:val="bottom"/>
            <w:hideMark/>
          </w:tcPr>
          <w:p w14:paraId="162BC41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-579</w:t>
            </w:r>
          </w:p>
        </w:tc>
        <w:tc>
          <w:tcPr>
            <w:tcW w:w="718" w:type="dxa"/>
            <w:tcBorders>
              <w:top w:val="single" w:sz="4" w:space="0" w:color="ADD6EA"/>
              <w:left w:val="nil"/>
              <w:bottom w:val="nil"/>
              <w:right w:val="nil"/>
            </w:tcBorders>
            <w:shd w:val="clear" w:color="000000" w:fill="FFFFFF"/>
            <w:vAlign w:val="bottom"/>
            <w:hideMark/>
          </w:tcPr>
          <w:p w14:paraId="280DB55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30</w:t>
            </w:r>
          </w:p>
        </w:tc>
        <w:tc>
          <w:tcPr>
            <w:tcW w:w="779" w:type="dxa"/>
            <w:tcBorders>
              <w:top w:val="single" w:sz="4" w:space="0" w:color="ADD6EA"/>
              <w:left w:val="nil"/>
              <w:bottom w:val="nil"/>
              <w:right w:val="nil"/>
            </w:tcBorders>
            <w:shd w:val="clear" w:color="000000" w:fill="FFFFFF"/>
            <w:vAlign w:val="bottom"/>
            <w:hideMark/>
          </w:tcPr>
          <w:p w14:paraId="30F38DE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930</w:t>
            </w:r>
          </w:p>
        </w:tc>
        <w:tc>
          <w:tcPr>
            <w:tcW w:w="718" w:type="dxa"/>
            <w:tcBorders>
              <w:top w:val="single" w:sz="4" w:space="0" w:color="ADD6EA"/>
              <w:left w:val="nil"/>
              <w:bottom w:val="nil"/>
              <w:right w:val="nil"/>
            </w:tcBorders>
            <w:shd w:val="clear" w:color="000000" w:fill="FFFFFF"/>
            <w:vAlign w:val="bottom"/>
            <w:hideMark/>
          </w:tcPr>
          <w:p w14:paraId="0A98681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17</w:t>
            </w:r>
          </w:p>
        </w:tc>
        <w:tc>
          <w:tcPr>
            <w:tcW w:w="718" w:type="dxa"/>
            <w:tcBorders>
              <w:top w:val="single" w:sz="4" w:space="0" w:color="ADD6EA"/>
              <w:left w:val="nil"/>
              <w:bottom w:val="nil"/>
              <w:right w:val="nil"/>
            </w:tcBorders>
            <w:shd w:val="clear" w:color="000000" w:fill="FFFFFF"/>
            <w:vAlign w:val="bottom"/>
            <w:hideMark/>
          </w:tcPr>
          <w:p w14:paraId="13DEB7B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w:t>
            </w:r>
          </w:p>
        </w:tc>
        <w:tc>
          <w:tcPr>
            <w:tcW w:w="679" w:type="dxa"/>
            <w:tcBorders>
              <w:top w:val="single" w:sz="4" w:space="0" w:color="ADD6EA"/>
              <w:left w:val="nil"/>
              <w:bottom w:val="nil"/>
              <w:right w:val="nil"/>
            </w:tcBorders>
            <w:shd w:val="clear" w:color="000000" w:fill="FFFFFF"/>
            <w:vAlign w:val="bottom"/>
            <w:hideMark/>
          </w:tcPr>
          <w:p w14:paraId="6239B9A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-181</w:t>
            </w:r>
          </w:p>
        </w:tc>
        <w:tc>
          <w:tcPr>
            <w:tcW w:w="718" w:type="dxa"/>
            <w:tcBorders>
              <w:top w:val="single" w:sz="4" w:space="0" w:color="ADD6EA"/>
              <w:left w:val="nil"/>
              <w:bottom w:val="nil"/>
              <w:right w:val="nil"/>
            </w:tcBorders>
            <w:shd w:val="clear" w:color="000000" w:fill="FFFFFF"/>
            <w:vAlign w:val="bottom"/>
            <w:hideMark/>
          </w:tcPr>
          <w:p w14:paraId="5B93DF8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145</w:t>
            </w:r>
          </w:p>
        </w:tc>
        <w:tc>
          <w:tcPr>
            <w:tcW w:w="716" w:type="dxa"/>
            <w:tcBorders>
              <w:top w:val="single" w:sz="4" w:space="0" w:color="ADD6EA"/>
              <w:left w:val="nil"/>
              <w:bottom w:val="nil"/>
              <w:right w:val="nil"/>
            </w:tcBorders>
            <w:shd w:val="clear" w:color="000000" w:fill="FFFFFF"/>
            <w:vAlign w:val="bottom"/>
            <w:hideMark/>
          </w:tcPr>
          <w:p w14:paraId="52F44B0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1,125</w:t>
            </w:r>
          </w:p>
        </w:tc>
      </w:tr>
      <w:tr w:rsidR="00BF1B0C" w:rsidRPr="00BF1B0C" w14:paraId="196D320C" w14:textId="77777777" w:rsidTr="00CB0D4F">
        <w:trPr>
          <w:trHeight w:val="315"/>
        </w:trPr>
        <w:tc>
          <w:tcPr>
            <w:tcW w:w="2557" w:type="dxa"/>
            <w:tcBorders>
              <w:top w:val="single" w:sz="4" w:space="0" w:color="ADD6EA"/>
              <w:left w:val="nil"/>
              <w:bottom w:val="nil"/>
              <w:right w:val="nil"/>
            </w:tcBorders>
            <w:shd w:val="clear" w:color="000000" w:fill="B6D5E4"/>
            <w:vAlign w:val="bottom"/>
            <w:hideMark/>
          </w:tcPr>
          <w:p w14:paraId="5C63A525" w14:textId="77777777" w:rsidR="00BF1B0C" w:rsidRPr="00BF1B0C" w:rsidRDefault="00BF1B0C" w:rsidP="00BF1B0C">
            <w:pPr>
              <w:tabs>
                <w:tab w:val="clear" w:pos="567"/>
              </w:tabs>
              <w:spacing w:before="0" w:line="240" w:lineRule="auto"/>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Total expenses</w:t>
            </w:r>
          </w:p>
        </w:tc>
        <w:tc>
          <w:tcPr>
            <w:tcW w:w="679" w:type="dxa"/>
            <w:tcBorders>
              <w:top w:val="single" w:sz="4" w:space="0" w:color="ADD6EA"/>
              <w:left w:val="nil"/>
              <w:bottom w:val="nil"/>
              <w:right w:val="nil"/>
            </w:tcBorders>
            <w:shd w:val="clear" w:color="000000" w:fill="B6D5E4"/>
            <w:vAlign w:val="bottom"/>
            <w:hideMark/>
          </w:tcPr>
          <w:p w14:paraId="75C37227"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-2,278</w:t>
            </w:r>
          </w:p>
        </w:tc>
        <w:tc>
          <w:tcPr>
            <w:tcW w:w="718" w:type="dxa"/>
            <w:tcBorders>
              <w:top w:val="single" w:sz="4" w:space="0" w:color="ADD6EA"/>
              <w:left w:val="nil"/>
              <w:bottom w:val="nil"/>
              <w:right w:val="nil"/>
            </w:tcBorders>
            <w:shd w:val="clear" w:color="000000" w:fill="B6D5E4"/>
            <w:vAlign w:val="bottom"/>
            <w:hideMark/>
          </w:tcPr>
          <w:p w14:paraId="65FF352E"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-7,476</w:t>
            </w:r>
          </w:p>
        </w:tc>
        <w:tc>
          <w:tcPr>
            <w:tcW w:w="718" w:type="dxa"/>
            <w:tcBorders>
              <w:top w:val="single" w:sz="4" w:space="0" w:color="ADD6EA"/>
              <w:left w:val="nil"/>
              <w:bottom w:val="nil"/>
              <w:right w:val="nil"/>
            </w:tcBorders>
            <w:shd w:val="clear" w:color="000000" w:fill="B6D5E4"/>
            <w:vAlign w:val="bottom"/>
            <w:hideMark/>
          </w:tcPr>
          <w:p w14:paraId="0AA81F06"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2,942</w:t>
            </w:r>
          </w:p>
        </w:tc>
        <w:tc>
          <w:tcPr>
            <w:tcW w:w="779" w:type="dxa"/>
            <w:tcBorders>
              <w:top w:val="single" w:sz="4" w:space="0" w:color="ADD6EA"/>
              <w:left w:val="nil"/>
              <w:bottom w:val="nil"/>
              <w:right w:val="nil"/>
            </w:tcBorders>
            <w:shd w:val="clear" w:color="000000" w:fill="B6D5E4"/>
            <w:vAlign w:val="bottom"/>
            <w:hideMark/>
          </w:tcPr>
          <w:p w14:paraId="6EBADF93"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2,250</w:t>
            </w:r>
          </w:p>
        </w:tc>
        <w:tc>
          <w:tcPr>
            <w:tcW w:w="718" w:type="dxa"/>
            <w:tcBorders>
              <w:top w:val="single" w:sz="4" w:space="0" w:color="ADD6EA"/>
              <w:left w:val="nil"/>
              <w:bottom w:val="nil"/>
              <w:right w:val="nil"/>
            </w:tcBorders>
            <w:shd w:val="clear" w:color="000000" w:fill="B6D5E4"/>
            <w:vAlign w:val="bottom"/>
            <w:hideMark/>
          </w:tcPr>
          <w:p w14:paraId="122005AA"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-24</w:t>
            </w:r>
          </w:p>
        </w:tc>
        <w:tc>
          <w:tcPr>
            <w:tcW w:w="718" w:type="dxa"/>
            <w:tcBorders>
              <w:top w:val="single" w:sz="4" w:space="0" w:color="ADD6EA"/>
              <w:left w:val="nil"/>
              <w:bottom w:val="nil"/>
              <w:right w:val="nil"/>
            </w:tcBorders>
            <w:shd w:val="clear" w:color="000000" w:fill="B6D5E4"/>
            <w:vAlign w:val="bottom"/>
            <w:hideMark/>
          </w:tcPr>
          <w:p w14:paraId="7185F697"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1,194</w:t>
            </w:r>
          </w:p>
        </w:tc>
        <w:tc>
          <w:tcPr>
            <w:tcW w:w="679" w:type="dxa"/>
            <w:tcBorders>
              <w:top w:val="single" w:sz="4" w:space="0" w:color="ADD6EA"/>
              <w:left w:val="nil"/>
              <w:bottom w:val="nil"/>
              <w:right w:val="nil"/>
            </w:tcBorders>
            <w:shd w:val="clear" w:color="000000" w:fill="B6D5E4"/>
            <w:vAlign w:val="bottom"/>
            <w:hideMark/>
          </w:tcPr>
          <w:p w14:paraId="3B51E2A9"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-437</w:t>
            </w:r>
          </w:p>
        </w:tc>
        <w:tc>
          <w:tcPr>
            <w:tcW w:w="718" w:type="dxa"/>
            <w:tcBorders>
              <w:top w:val="single" w:sz="4" w:space="0" w:color="ADD6EA"/>
              <w:left w:val="nil"/>
              <w:bottom w:val="nil"/>
              <w:right w:val="nil"/>
            </w:tcBorders>
            <w:shd w:val="clear" w:color="000000" w:fill="B6D5E4"/>
            <w:vAlign w:val="bottom"/>
            <w:hideMark/>
          </w:tcPr>
          <w:p w14:paraId="4F714523"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3,829</w:t>
            </w:r>
          </w:p>
        </w:tc>
        <w:tc>
          <w:tcPr>
            <w:tcW w:w="716" w:type="dxa"/>
            <w:tcBorders>
              <w:top w:val="single" w:sz="4" w:space="0" w:color="ADD6EA"/>
              <w:left w:val="nil"/>
              <w:bottom w:val="nil"/>
              <w:right w:val="nil"/>
            </w:tcBorders>
            <w:shd w:val="clear" w:color="000000" w:fill="B6D5E4"/>
            <w:vAlign w:val="bottom"/>
            <w:hideMark/>
          </w:tcPr>
          <w:p w14:paraId="47761E17"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10,215</w:t>
            </w:r>
          </w:p>
        </w:tc>
      </w:tr>
      <w:tr w:rsidR="00BF1B0C" w:rsidRPr="00BF1B0C" w14:paraId="2307A188"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0D25BA19" w14:textId="77777777" w:rsidR="00BF1B0C" w:rsidRPr="00BF1B0C" w:rsidRDefault="00BF1B0C" w:rsidP="00BF1B0C">
            <w:pPr>
              <w:tabs>
                <w:tab w:val="clear" w:pos="567"/>
              </w:tabs>
              <w:spacing w:before="0" w:line="240" w:lineRule="auto"/>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Investment</w:t>
            </w:r>
          </w:p>
        </w:tc>
        <w:tc>
          <w:tcPr>
            <w:tcW w:w="679" w:type="dxa"/>
            <w:tcBorders>
              <w:top w:val="single" w:sz="4" w:space="0" w:color="ADD6EA"/>
              <w:left w:val="nil"/>
              <w:bottom w:val="nil"/>
              <w:right w:val="nil"/>
            </w:tcBorders>
            <w:shd w:val="clear" w:color="000000" w:fill="FFFFFF"/>
            <w:vAlign w:val="bottom"/>
            <w:hideMark/>
          </w:tcPr>
          <w:p w14:paraId="7B610C5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5523A62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53AAB8E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79" w:type="dxa"/>
            <w:tcBorders>
              <w:top w:val="single" w:sz="4" w:space="0" w:color="ADD6EA"/>
              <w:left w:val="nil"/>
              <w:bottom w:val="nil"/>
              <w:right w:val="nil"/>
            </w:tcBorders>
            <w:shd w:val="clear" w:color="000000" w:fill="FFFFFF"/>
            <w:vAlign w:val="bottom"/>
            <w:hideMark/>
          </w:tcPr>
          <w:p w14:paraId="57855F3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32A2E29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2DDC001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679" w:type="dxa"/>
            <w:tcBorders>
              <w:top w:val="single" w:sz="4" w:space="0" w:color="ADD6EA"/>
              <w:left w:val="nil"/>
              <w:bottom w:val="nil"/>
              <w:right w:val="nil"/>
            </w:tcBorders>
            <w:shd w:val="clear" w:color="000000" w:fill="FFFFFF"/>
            <w:vAlign w:val="bottom"/>
            <w:hideMark/>
          </w:tcPr>
          <w:p w14:paraId="6BFB690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8" w:type="dxa"/>
            <w:tcBorders>
              <w:top w:val="single" w:sz="4" w:space="0" w:color="ADD6EA"/>
              <w:left w:val="nil"/>
              <w:bottom w:val="nil"/>
              <w:right w:val="nil"/>
            </w:tcBorders>
            <w:shd w:val="clear" w:color="000000" w:fill="FFFFFF"/>
            <w:vAlign w:val="bottom"/>
            <w:hideMark/>
          </w:tcPr>
          <w:p w14:paraId="26F873F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c>
          <w:tcPr>
            <w:tcW w:w="716" w:type="dxa"/>
            <w:tcBorders>
              <w:top w:val="single" w:sz="4" w:space="0" w:color="ADD6EA"/>
              <w:left w:val="nil"/>
              <w:bottom w:val="nil"/>
              <w:right w:val="nil"/>
            </w:tcBorders>
            <w:shd w:val="clear" w:color="000000" w:fill="FFFFFF"/>
            <w:vAlign w:val="bottom"/>
            <w:hideMark/>
          </w:tcPr>
          <w:p w14:paraId="248525C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 </w:t>
            </w:r>
          </w:p>
        </w:tc>
      </w:tr>
      <w:tr w:rsidR="00BF1B0C" w:rsidRPr="00BF1B0C" w14:paraId="65FCF72F"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76CCAE80"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Population growth</w:t>
            </w:r>
          </w:p>
        </w:tc>
        <w:tc>
          <w:tcPr>
            <w:tcW w:w="679" w:type="dxa"/>
            <w:tcBorders>
              <w:top w:val="single" w:sz="4" w:space="0" w:color="ADD6EA"/>
              <w:left w:val="nil"/>
              <w:bottom w:val="nil"/>
              <w:right w:val="nil"/>
            </w:tcBorders>
            <w:shd w:val="clear" w:color="000000" w:fill="FFFFFF"/>
            <w:vAlign w:val="bottom"/>
            <w:hideMark/>
          </w:tcPr>
          <w:p w14:paraId="254F6B5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-1,494</w:t>
            </w:r>
          </w:p>
        </w:tc>
        <w:tc>
          <w:tcPr>
            <w:tcW w:w="718" w:type="dxa"/>
            <w:tcBorders>
              <w:top w:val="single" w:sz="4" w:space="0" w:color="ADD6EA"/>
              <w:left w:val="nil"/>
              <w:bottom w:val="nil"/>
              <w:right w:val="nil"/>
            </w:tcBorders>
            <w:shd w:val="clear" w:color="000000" w:fill="FFFFFF"/>
            <w:vAlign w:val="bottom"/>
            <w:hideMark/>
          </w:tcPr>
          <w:p w14:paraId="72D6F38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773</w:t>
            </w:r>
          </w:p>
        </w:tc>
        <w:tc>
          <w:tcPr>
            <w:tcW w:w="718" w:type="dxa"/>
            <w:tcBorders>
              <w:top w:val="single" w:sz="4" w:space="0" w:color="ADD6EA"/>
              <w:left w:val="nil"/>
              <w:bottom w:val="nil"/>
              <w:right w:val="nil"/>
            </w:tcBorders>
            <w:shd w:val="clear" w:color="000000" w:fill="FFFFFF"/>
            <w:vAlign w:val="bottom"/>
            <w:hideMark/>
          </w:tcPr>
          <w:p w14:paraId="3B4A527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452</w:t>
            </w:r>
          </w:p>
        </w:tc>
        <w:tc>
          <w:tcPr>
            <w:tcW w:w="779" w:type="dxa"/>
            <w:tcBorders>
              <w:top w:val="single" w:sz="4" w:space="0" w:color="ADD6EA"/>
              <w:left w:val="nil"/>
              <w:bottom w:val="nil"/>
              <w:right w:val="nil"/>
            </w:tcBorders>
            <w:shd w:val="clear" w:color="000000" w:fill="FFFFFF"/>
            <w:vAlign w:val="bottom"/>
            <w:hideMark/>
          </w:tcPr>
          <w:p w14:paraId="2D4AB55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948</w:t>
            </w:r>
          </w:p>
        </w:tc>
        <w:tc>
          <w:tcPr>
            <w:tcW w:w="718" w:type="dxa"/>
            <w:tcBorders>
              <w:top w:val="single" w:sz="4" w:space="0" w:color="ADD6EA"/>
              <w:left w:val="nil"/>
              <w:bottom w:val="nil"/>
              <w:right w:val="nil"/>
            </w:tcBorders>
            <w:shd w:val="clear" w:color="000000" w:fill="FFFFFF"/>
            <w:vAlign w:val="bottom"/>
            <w:hideMark/>
          </w:tcPr>
          <w:p w14:paraId="261A913C"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-396</w:t>
            </w:r>
          </w:p>
        </w:tc>
        <w:tc>
          <w:tcPr>
            <w:tcW w:w="718" w:type="dxa"/>
            <w:tcBorders>
              <w:top w:val="single" w:sz="4" w:space="0" w:color="ADD6EA"/>
              <w:left w:val="nil"/>
              <w:bottom w:val="nil"/>
              <w:right w:val="nil"/>
            </w:tcBorders>
            <w:shd w:val="clear" w:color="000000" w:fill="FFFFFF"/>
            <w:vAlign w:val="bottom"/>
            <w:hideMark/>
          </w:tcPr>
          <w:p w14:paraId="6442761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-233</w:t>
            </w:r>
          </w:p>
        </w:tc>
        <w:tc>
          <w:tcPr>
            <w:tcW w:w="679" w:type="dxa"/>
            <w:tcBorders>
              <w:top w:val="single" w:sz="4" w:space="0" w:color="ADD6EA"/>
              <w:left w:val="nil"/>
              <w:bottom w:val="nil"/>
              <w:right w:val="nil"/>
            </w:tcBorders>
            <w:shd w:val="clear" w:color="000000" w:fill="FFFFFF"/>
            <w:vAlign w:val="bottom"/>
            <w:hideMark/>
          </w:tcPr>
          <w:p w14:paraId="64B98BF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-83</w:t>
            </w:r>
          </w:p>
        </w:tc>
        <w:tc>
          <w:tcPr>
            <w:tcW w:w="718" w:type="dxa"/>
            <w:tcBorders>
              <w:top w:val="single" w:sz="4" w:space="0" w:color="ADD6EA"/>
              <w:left w:val="nil"/>
              <w:bottom w:val="nil"/>
              <w:right w:val="nil"/>
            </w:tcBorders>
            <w:shd w:val="clear" w:color="000000" w:fill="FFFFFF"/>
            <w:vAlign w:val="bottom"/>
            <w:hideMark/>
          </w:tcPr>
          <w:p w14:paraId="3D3BC911"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34</w:t>
            </w:r>
          </w:p>
        </w:tc>
        <w:tc>
          <w:tcPr>
            <w:tcW w:w="716" w:type="dxa"/>
            <w:tcBorders>
              <w:top w:val="single" w:sz="4" w:space="0" w:color="ADD6EA"/>
              <w:left w:val="nil"/>
              <w:bottom w:val="nil"/>
              <w:right w:val="nil"/>
            </w:tcBorders>
            <w:shd w:val="clear" w:color="000000" w:fill="FFFFFF"/>
            <w:vAlign w:val="bottom"/>
            <w:hideMark/>
          </w:tcPr>
          <w:p w14:paraId="399D637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2,207</w:t>
            </w:r>
          </w:p>
        </w:tc>
      </w:tr>
      <w:tr w:rsidR="00BF1B0C" w:rsidRPr="00BF1B0C" w14:paraId="3527FED1"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34A3C00F"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Capital improvements</w:t>
            </w:r>
          </w:p>
        </w:tc>
        <w:tc>
          <w:tcPr>
            <w:tcW w:w="679" w:type="dxa"/>
            <w:tcBorders>
              <w:top w:val="single" w:sz="4" w:space="0" w:color="ADD6EA"/>
              <w:left w:val="nil"/>
              <w:bottom w:val="nil"/>
              <w:right w:val="nil"/>
            </w:tcBorders>
            <w:shd w:val="clear" w:color="000000" w:fill="FFFFFF"/>
            <w:vAlign w:val="bottom"/>
            <w:hideMark/>
          </w:tcPr>
          <w:p w14:paraId="090BCE3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952</w:t>
            </w:r>
          </w:p>
        </w:tc>
        <w:tc>
          <w:tcPr>
            <w:tcW w:w="718" w:type="dxa"/>
            <w:tcBorders>
              <w:top w:val="single" w:sz="4" w:space="0" w:color="ADD6EA"/>
              <w:left w:val="nil"/>
              <w:bottom w:val="nil"/>
              <w:right w:val="nil"/>
            </w:tcBorders>
            <w:shd w:val="clear" w:color="000000" w:fill="FFFFFF"/>
            <w:vAlign w:val="bottom"/>
            <w:hideMark/>
          </w:tcPr>
          <w:p w14:paraId="24F250B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183</w:t>
            </w:r>
          </w:p>
        </w:tc>
        <w:tc>
          <w:tcPr>
            <w:tcW w:w="718" w:type="dxa"/>
            <w:tcBorders>
              <w:top w:val="single" w:sz="4" w:space="0" w:color="ADD6EA"/>
              <w:left w:val="nil"/>
              <w:bottom w:val="nil"/>
              <w:right w:val="nil"/>
            </w:tcBorders>
            <w:shd w:val="clear" w:color="000000" w:fill="FFFFFF"/>
            <w:vAlign w:val="bottom"/>
            <w:hideMark/>
          </w:tcPr>
          <w:p w14:paraId="7F0E922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-540</w:t>
            </w:r>
          </w:p>
        </w:tc>
        <w:tc>
          <w:tcPr>
            <w:tcW w:w="779" w:type="dxa"/>
            <w:tcBorders>
              <w:top w:val="single" w:sz="4" w:space="0" w:color="ADD6EA"/>
              <w:left w:val="nil"/>
              <w:bottom w:val="nil"/>
              <w:right w:val="nil"/>
            </w:tcBorders>
            <w:shd w:val="clear" w:color="000000" w:fill="FFFFFF"/>
            <w:vAlign w:val="bottom"/>
            <w:hideMark/>
          </w:tcPr>
          <w:p w14:paraId="6D09EC09"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-12</w:t>
            </w:r>
          </w:p>
        </w:tc>
        <w:tc>
          <w:tcPr>
            <w:tcW w:w="718" w:type="dxa"/>
            <w:tcBorders>
              <w:top w:val="single" w:sz="4" w:space="0" w:color="ADD6EA"/>
              <w:left w:val="nil"/>
              <w:bottom w:val="nil"/>
              <w:right w:val="nil"/>
            </w:tcBorders>
            <w:shd w:val="clear" w:color="000000" w:fill="FFFFFF"/>
            <w:vAlign w:val="bottom"/>
            <w:hideMark/>
          </w:tcPr>
          <w:p w14:paraId="30B0F78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-440</w:t>
            </w:r>
          </w:p>
        </w:tc>
        <w:tc>
          <w:tcPr>
            <w:tcW w:w="718" w:type="dxa"/>
            <w:tcBorders>
              <w:top w:val="single" w:sz="4" w:space="0" w:color="ADD6EA"/>
              <w:left w:val="nil"/>
              <w:bottom w:val="nil"/>
              <w:right w:val="nil"/>
            </w:tcBorders>
            <w:shd w:val="clear" w:color="000000" w:fill="FFFFFF"/>
            <w:vAlign w:val="bottom"/>
            <w:hideMark/>
          </w:tcPr>
          <w:p w14:paraId="1013C87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-247</w:t>
            </w:r>
          </w:p>
        </w:tc>
        <w:tc>
          <w:tcPr>
            <w:tcW w:w="679" w:type="dxa"/>
            <w:tcBorders>
              <w:top w:val="single" w:sz="4" w:space="0" w:color="ADD6EA"/>
              <w:left w:val="nil"/>
              <w:bottom w:val="nil"/>
              <w:right w:val="nil"/>
            </w:tcBorders>
            <w:shd w:val="clear" w:color="000000" w:fill="FFFFFF"/>
            <w:vAlign w:val="bottom"/>
            <w:hideMark/>
          </w:tcPr>
          <w:p w14:paraId="61FD297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-310</w:t>
            </w:r>
          </w:p>
        </w:tc>
        <w:tc>
          <w:tcPr>
            <w:tcW w:w="718" w:type="dxa"/>
            <w:tcBorders>
              <w:top w:val="single" w:sz="4" w:space="0" w:color="ADD6EA"/>
              <w:left w:val="nil"/>
              <w:bottom w:val="nil"/>
              <w:right w:val="nil"/>
            </w:tcBorders>
            <w:shd w:val="clear" w:color="000000" w:fill="FFFFFF"/>
            <w:vAlign w:val="bottom"/>
            <w:hideMark/>
          </w:tcPr>
          <w:p w14:paraId="482D47B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414</w:t>
            </w:r>
          </w:p>
        </w:tc>
        <w:tc>
          <w:tcPr>
            <w:tcW w:w="716" w:type="dxa"/>
            <w:tcBorders>
              <w:top w:val="single" w:sz="4" w:space="0" w:color="ADD6EA"/>
              <w:left w:val="nil"/>
              <w:bottom w:val="nil"/>
              <w:right w:val="nil"/>
            </w:tcBorders>
            <w:shd w:val="clear" w:color="000000" w:fill="FFFFFF"/>
            <w:vAlign w:val="bottom"/>
            <w:hideMark/>
          </w:tcPr>
          <w:p w14:paraId="0C26521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1,549</w:t>
            </w:r>
          </w:p>
        </w:tc>
      </w:tr>
      <w:tr w:rsidR="00BF1B0C" w:rsidRPr="00BF1B0C" w14:paraId="534383AA"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5A67762F" w14:textId="77777777" w:rsidR="00BF1B0C" w:rsidRPr="00BF1B0C" w:rsidRDefault="00BF1B0C" w:rsidP="00BF1B0C">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Cost of construction</w:t>
            </w:r>
          </w:p>
        </w:tc>
        <w:tc>
          <w:tcPr>
            <w:tcW w:w="679" w:type="dxa"/>
            <w:tcBorders>
              <w:top w:val="single" w:sz="4" w:space="0" w:color="ADD6EA"/>
              <w:left w:val="nil"/>
              <w:bottom w:val="nil"/>
              <w:right w:val="nil"/>
            </w:tcBorders>
            <w:shd w:val="clear" w:color="000000" w:fill="FFFFFF"/>
            <w:vAlign w:val="bottom"/>
            <w:hideMark/>
          </w:tcPr>
          <w:p w14:paraId="4E2DD63F"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275</w:t>
            </w:r>
          </w:p>
        </w:tc>
        <w:tc>
          <w:tcPr>
            <w:tcW w:w="718" w:type="dxa"/>
            <w:tcBorders>
              <w:top w:val="single" w:sz="4" w:space="0" w:color="ADD6EA"/>
              <w:left w:val="nil"/>
              <w:bottom w:val="nil"/>
              <w:right w:val="nil"/>
            </w:tcBorders>
            <w:shd w:val="clear" w:color="000000" w:fill="FFFFFF"/>
            <w:vAlign w:val="bottom"/>
            <w:hideMark/>
          </w:tcPr>
          <w:p w14:paraId="4F80FB5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-864</w:t>
            </w:r>
          </w:p>
        </w:tc>
        <w:tc>
          <w:tcPr>
            <w:tcW w:w="718" w:type="dxa"/>
            <w:tcBorders>
              <w:top w:val="single" w:sz="4" w:space="0" w:color="ADD6EA"/>
              <w:left w:val="nil"/>
              <w:bottom w:val="nil"/>
              <w:right w:val="nil"/>
            </w:tcBorders>
            <w:shd w:val="clear" w:color="000000" w:fill="FFFFFF"/>
            <w:vAlign w:val="bottom"/>
            <w:hideMark/>
          </w:tcPr>
          <w:p w14:paraId="2236106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17</w:t>
            </w:r>
          </w:p>
        </w:tc>
        <w:tc>
          <w:tcPr>
            <w:tcW w:w="779" w:type="dxa"/>
            <w:tcBorders>
              <w:top w:val="single" w:sz="4" w:space="0" w:color="ADD6EA"/>
              <w:left w:val="nil"/>
              <w:bottom w:val="nil"/>
              <w:right w:val="nil"/>
            </w:tcBorders>
            <w:shd w:val="clear" w:color="000000" w:fill="FFFFFF"/>
            <w:vAlign w:val="bottom"/>
            <w:hideMark/>
          </w:tcPr>
          <w:p w14:paraId="0F1FAE7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547</w:t>
            </w:r>
          </w:p>
        </w:tc>
        <w:tc>
          <w:tcPr>
            <w:tcW w:w="718" w:type="dxa"/>
            <w:tcBorders>
              <w:top w:val="single" w:sz="4" w:space="0" w:color="ADD6EA"/>
              <w:left w:val="nil"/>
              <w:bottom w:val="nil"/>
              <w:right w:val="nil"/>
            </w:tcBorders>
            <w:shd w:val="clear" w:color="000000" w:fill="FFFFFF"/>
            <w:vAlign w:val="bottom"/>
            <w:hideMark/>
          </w:tcPr>
          <w:p w14:paraId="4D75A2F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-106</w:t>
            </w:r>
          </w:p>
        </w:tc>
        <w:tc>
          <w:tcPr>
            <w:tcW w:w="718" w:type="dxa"/>
            <w:tcBorders>
              <w:top w:val="single" w:sz="4" w:space="0" w:color="ADD6EA"/>
              <w:left w:val="nil"/>
              <w:bottom w:val="nil"/>
              <w:right w:val="nil"/>
            </w:tcBorders>
            <w:shd w:val="clear" w:color="000000" w:fill="FFFFFF"/>
            <w:vAlign w:val="bottom"/>
            <w:hideMark/>
          </w:tcPr>
          <w:p w14:paraId="34F8AD8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-38</w:t>
            </w:r>
          </w:p>
        </w:tc>
        <w:tc>
          <w:tcPr>
            <w:tcW w:w="679" w:type="dxa"/>
            <w:tcBorders>
              <w:top w:val="single" w:sz="4" w:space="0" w:color="ADD6EA"/>
              <w:left w:val="nil"/>
              <w:bottom w:val="nil"/>
              <w:right w:val="nil"/>
            </w:tcBorders>
            <w:shd w:val="clear" w:color="000000" w:fill="FFFFFF"/>
            <w:vAlign w:val="bottom"/>
            <w:hideMark/>
          </w:tcPr>
          <w:p w14:paraId="4324D8F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38</w:t>
            </w:r>
          </w:p>
        </w:tc>
        <w:tc>
          <w:tcPr>
            <w:tcW w:w="718" w:type="dxa"/>
            <w:tcBorders>
              <w:top w:val="single" w:sz="4" w:space="0" w:color="ADD6EA"/>
              <w:left w:val="nil"/>
              <w:bottom w:val="nil"/>
              <w:right w:val="nil"/>
            </w:tcBorders>
            <w:shd w:val="clear" w:color="000000" w:fill="FFFFFF"/>
            <w:vAlign w:val="bottom"/>
            <w:hideMark/>
          </w:tcPr>
          <w:p w14:paraId="77A3A6C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132</w:t>
            </w:r>
          </w:p>
        </w:tc>
        <w:tc>
          <w:tcPr>
            <w:tcW w:w="716" w:type="dxa"/>
            <w:tcBorders>
              <w:top w:val="single" w:sz="4" w:space="0" w:color="ADD6EA"/>
              <w:left w:val="nil"/>
              <w:bottom w:val="nil"/>
              <w:right w:val="nil"/>
            </w:tcBorders>
            <w:shd w:val="clear" w:color="000000" w:fill="FFFFFF"/>
            <w:vAlign w:val="bottom"/>
            <w:hideMark/>
          </w:tcPr>
          <w:p w14:paraId="5C41616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1,009</w:t>
            </w:r>
          </w:p>
        </w:tc>
      </w:tr>
      <w:tr w:rsidR="00BF1B0C" w:rsidRPr="00BF1B0C" w14:paraId="4CACC7E4" w14:textId="77777777" w:rsidTr="00CB0D4F">
        <w:trPr>
          <w:trHeight w:val="315"/>
        </w:trPr>
        <w:tc>
          <w:tcPr>
            <w:tcW w:w="2557" w:type="dxa"/>
            <w:tcBorders>
              <w:top w:val="single" w:sz="4" w:space="0" w:color="ADD6EA"/>
              <w:left w:val="nil"/>
              <w:bottom w:val="nil"/>
              <w:right w:val="nil"/>
            </w:tcBorders>
            <w:shd w:val="clear" w:color="000000" w:fill="B6D5E4"/>
            <w:vAlign w:val="bottom"/>
            <w:hideMark/>
          </w:tcPr>
          <w:p w14:paraId="601EEE44" w14:textId="77777777" w:rsidR="00BF1B0C" w:rsidRPr="00BF1B0C" w:rsidRDefault="00BF1B0C" w:rsidP="00BF1B0C">
            <w:pPr>
              <w:tabs>
                <w:tab w:val="clear" w:pos="567"/>
              </w:tabs>
              <w:spacing w:before="0" w:line="240" w:lineRule="auto"/>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Total investment</w:t>
            </w:r>
          </w:p>
        </w:tc>
        <w:tc>
          <w:tcPr>
            <w:tcW w:w="679" w:type="dxa"/>
            <w:tcBorders>
              <w:top w:val="single" w:sz="4" w:space="0" w:color="ADD6EA"/>
              <w:left w:val="nil"/>
              <w:bottom w:val="nil"/>
              <w:right w:val="nil"/>
            </w:tcBorders>
            <w:shd w:val="clear" w:color="000000" w:fill="B6D5E4"/>
            <w:vAlign w:val="bottom"/>
            <w:hideMark/>
          </w:tcPr>
          <w:p w14:paraId="1DA79AEB"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-267</w:t>
            </w:r>
          </w:p>
        </w:tc>
        <w:tc>
          <w:tcPr>
            <w:tcW w:w="718" w:type="dxa"/>
            <w:tcBorders>
              <w:top w:val="single" w:sz="4" w:space="0" w:color="ADD6EA"/>
              <w:left w:val="nil"/>
              <w:bottom w:val="nil"/>
              <w:right w:val="nil"/>
            </w:tcBorders>
            <w:shd w:val="clear" w:color="000000" w:fill="B6D5E4"/>
            <w:vAlign w:val="bottom"/>
            <w:hideMark/>
          </w:tcPr>
          <w:p w14:paraId="41EEF8A5"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92</w:t>
            </w:r>
          </w:p>
        </w:tc>
        <w:tc>
          <w:tcPr>
            <w:tcW w:w="718" w:type="dxa"/>
            <w:tcBorders>
              <w:top w:val="single" w:sz="4" w:space="0" w:color="ADD6EA"/>
              <w:left w:val="nil"/>
              <w:bottom w:val="nil"/>
              <w:right w:val="nil"/>
            </w:tcBorders>
            <w:shd w:val="clear" w:color="000000" w:fill="B6D5E4"/>
            <w:vAlign w:val="bottom"/>
            <w:hideMark/>
          </w:tcPr>
          <w:p w14:paraId="07C5B287"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-71</w:t>
            </w:r>
          </w:p>
        </w:tc>
        <w:tc>
          <w:tcPr>
            <w:tcW w:w="779" w:type="dxa"/>
            <w:tcBorders>
              <w:top w:val="single" w:sz="4" w:space="0" w:color="ADD6EA"/>
              <w:left w:val="nil"/>
              <w:bottom w:val="nil"/>
              <w:right w:val="nil"/>
            </w:tcBorders>
            <w:shd w:val="clear" w:color="000000" w:fill="B6D5E4"/>
            <w:vAlign w:val="bottom"/>
            <w:hideMark/>
          </w:tcPr>
          <w:p w14:paraId="465E9DB0"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1,483</w:t>
            </w:r>
          </w:p>
        </w:tc>
        <w:tc>
          <w:tcPr>
            <w:tcW w:w="718" w:type="dxa"/>
            <w:tcBorders>
              <w:top w:val="single" w:sz="4" w:space="0" w:color="ADD6EA"/>
              <w:left w:val="nil"/>
              <w:bottom w:val="nil"/>
              <w:right w:val="nil"/>
            </w:tcBorders>
            <w:shd w:val="clear" w:color="000000" w:fill="B6D5E4"/>
            <w:vAlign w:val="bottom"/>
            <w:hideMark/>
          </w:tcPr>
          <w:p w14:paraId="36D44F11"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-943</w:t>
            </w:r>
          </w:p>
        </w:tc>
        <w:tc>
          <w:tcPr>
            <w:tcW w:w="718" w:type="dxa"/>
            <w:tcBorders>
              <w:top w:val="single" w:sz="4" w:space="0" w:color="ADD6EA"/>
              <w:left w:val="nil"/>
              <w:bottom w:val="nil"/>
              <w:right w:val="nil"/>
            </w:tcBorders>
            <w:shd w:val="clear" w:color="000000" w:fill="B6D5E4"/>
            <w:vAlign w:val="bottom"/>
            <w:hideMark/>
          </w:tcPr>
          <w:p w14:paraId="09EA08C2"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-519</w:t>
            </w:r>
          </w:p>
        </w:tc>
        <w:tc>
          <w:tcPr>
            <w:tcW w:w="679" w:type="dxa"/>
            <w:tcBorders>
              <w:top w:val="single" w:sz="4" w:space="0" w:color="ADD6EA"/>
              <w:left w:val="nil"/>
              <w:bottom w:val="nil"/>
              <w:right w:val="nil"/>
            </w:tcBorders>
            <w:shd w:val="clear" w:color="000000" w:fill="B6D5E4"/>
            <w:vAlign w:val="bottom"/>
            <w:hideMark/>
          </w:tcPr>
          <w:p w14:paraId="725EBC30"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-355</w:t>
            </w:r>
          </w:p>
        </w:tc>
        <w:tc>
          <w:tcPr>
            <w:tcW w:w="718" w:type="dxa"/>
            <w:tcBorders>
              <w:top w:val="single" w:sz="4" w:space="0" w:color="ADD6EA"/>
              <w:left w:val="nil"/>
              <w:bottom w:val="nil"/>
              <w:right w:val="nil"/>
            </w:tcBorders>
            <w:shd w:val="clear" w:color="000000" w:fill="B6D5E4"/>
            <w:vAlign w:val="bottom"/>
            <w:hideMark/>
          </w:tcPr>
          <w:p w14:paraId="376662BE"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579</w:t>
            </w:r>
          </w:p>
        </w:tc>
        <w:tc>
          <w:tcPr>
            <w:tcW w:w="716" w:type="dxa"/>
            <w:tcBorders>
              <w:top w:val="single" w:sz="4" w:space="0" w:color="ADD6EA"/>
              <w:left w:val="nil"/>
              <w:bottom w:val="nil"/>
              <w:right w:val="nil"/>
            </w:tcBorders>
            <w:shd w:val="clear" w:color="000000" w:fill="B6D5E4"/>
            <w:vAlign w:val="bottom"/>
            <w:hideMark/>
          </w:tcPr>
          <w:p w14:paraId="6DE6DCAD"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2,154</w:t>
            </w:r>
          </w:p>
        </w:tc>
      </w:tr>
      <w:tr w:rsidR="00BF1B0C" w:rsidRPr="00BF1B0C" w14:paraId="703F0D96" w14:textId="77777777" w:rsidTr="00CB0D4F">
        <w:trPr>
          <w:trHeight w:val="315"/>
        </w:trPr>
        <w:tc>
          <w:tcPr>
            <w:tcW w:w="2557" w:type="dxa"/>
            <w:tcBorders>
              <w:top w:val="single" w:sz="4" w:space="0" w:color="ADD6EA"/>
              <w:left w:val="nil"/>
              <w:bottom w:val="nil"/>
              <w:right w:val="nil"/>
            </w:tcBorders>
            <w:shd w:val="clear" w:color="000000" w:fill="FFFFFF"/>
            <w:vAlign w:val="bottom"/>
            <w:hideMark/>
          </w:tcPr>
          <w:p w14:paraId="1B7D572A" w14:textId="77777777" w:rsidR="00BF1B0C" w:rsidRPr="00BF1B0C" w:rsidRDefault="00BF1B0C" w:rsidP="00BF1B0C">
            <w:pPr>
              <w:tabs>
                <w:tab w:val="clear" w:pos="567"/>
              </w:tabs>
              <w:spacing w:before="0" w:line="240" w:lineRule="auto"/>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Net borrowing</w:t>
            </w:r>
          </w:p>
        </w:tc>
        <w:tc>
          <w:tcPr>
            <w:tcW w:w="679" w:type="dxa"/>
            <w:tcBorders>
              <w:top w:val="single" w:sz="4" w:space="0" w:color="ADD6EA"/>
              <w:left w:val="nil"/>
              <w:bottom w:val="nil"/>
              <w:right w:val="nil"/>
            </w:tcBorders>
            <w:shd w:val="clear" w:color="000000" w:fill="FFFFFF"/>
            <w:vAlign w:val="bottom"/>
            <w:hideMark/>
          </w:tcPr>
          <w:p w14:paraId="328597D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348</w:t>
            </w:r>
          </w:p>
        </w:tc>
        <w:tc>
          <w:tcPr>
            <w:tcW w:w="718" w:type="dxa"/>
            <w:tcBorders>
              <w:top w:val="single" w:sz="4" w:space="0" w:color="ADD6EA"/>
              <w:left w:val="nil"/>
              <w:bottom w:val="nil"/>
              <w:right w:val="nil"/>
            </w:tcBorders>
            <w:shd w:val="clear" w:color="000000" w:fill="FFFFFF"/>
            <w:vAlign w:val="bottom"/>
            <w:hideMark/>
          </w:tcPr>
          <w:p w14:paraId="4A1FB63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-153</w:t>
            </w:r>
          </w:p>
        </w:tc>
        <w:tc>
          <w:tcPr>
            <w:tcW w:w="718" w:type="dxa"/>
            <w:tcBorders>
              <w:top w:val="single" w:sz="4" w:space="0" w:color="ADD6EA"/>
              <w:left w:val="nil"/>
              <w:bottom w:val="nil"/>
              <w:right w:val="nil"/>
            </w:tcBorders>
            <w:shd w:val="clear" w:color="000000" w:fill="FFFFFF"/>
            <w:vAlign w:val="bottom"/>
            <w:hideMark/>
          </w:tcPr>
          <w:p w14:paraId="3D9DB638"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-153</w:t>
            </w:r>
          </w:p>
        </w:tc>
        <w:tc>
          <w:tcPr>
            <w:tcW w:w="779" w:type="dxa"/>
            <w:tcBorders>
              <w:top w:val="single" w:sz="4" w:space="0" w:color="ADD6EA"/>
              <w:left w:val="nil"/>
              <w:bottom w:val="nil"/>
              <w:right w:val="nil"/>
            </w:tcBorders>
            <w:shd w:val="clear" w:color="000000" w:fill="FFFFFF"/>
            <w:vAlign w:val="bottom"/>
            <w:hideMark/>
          </w:tcPr>
          <w:p w14:paraId="6664473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-278</w:t>
            </w:r>
          </w:p>
        </w:tc>
        <w:tc>
          <w:tcPr>
            <w:tcW w:w="718" w:type="dxa"/>
            <w:tcBorders>
              <w:top w:val="single" w:sz="4" w:space="0" w:color="ADD6EA"/>
              <w:left w:val="nil"/>
              <w:bottom w:val="nil"/>
              <w:right w:val="nil"/>
            </w:tcBorders>
            <w:shd w:val="clear" w:color="000000" w:fill="FFFFFF"/>
            <w:vAlign w:val="bottom"/>
            <w:hideMark/>
          </w:tcPr>
          <w:p w14:paraId="300C6CF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109</w:t>
            </w:r>
          </w:p>
        </w:tc>
        <w:tc>
          <w:tcPr>
            <w:tcW w:w="718" w:type="dxa"/>
            <w:tcBorders>
              <w:top w:val="single" w:sz="4" w:space="0" w:color="ADD6EA"/>
              <w:left w:val="nil"/>
              <w:bottom w:val="nil"/>
              <w:right w:val="nil"/>
            </w:tcBorders>
            <w:shd w:val="clear" w:color="000000" w:fill="FFFFFF"/>
            <w:vAlign w:val="bottom"/>
            <w:hideMark/>
          </w:tcPr>
          <w:p w14:paraId="67BCCF63"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101</w:t>
            </w:r>
          </w:p>
        </w:tc>
        <w:tc>
          <w:tcPr>
            <w:tcW w:w="679" w:type="dxa"/>
            <w:tcBorders>
              <w:top w:val="single" w:sz="4" w:space="0" w:color="ADD6EA"/>
              <w:left w:val="nil"/>
              <w:bottom w:val="nil"/>
              <w:right w:val="nil"/>
            </w:tcBorders>
            <w:shd w:val="clear" w:color="000000" w:fill="FFFFFF"/>
            <w:vAlign w:val="bottom"/>
            <w:hideMark/>
          </w:tcPr>
          <w:p w14:paraId="516D07BE"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13</w:t>
            </w:r>
          </w:p>
        </w:tc>
        <w:tc>
          <w:tcPr>
            <w:tcW w:w="718" w:type="dxa"/>
            <w:tcBorders>
              <w:top w:val="single" w:sz="4" w:space="0" w:color="ADD6EA"/>
              <w:left w:val="nil"/>
              <w:bottom w:val="nil"/>
              <w:right w:val="nil"/>
            </w:tcBorders>
            <w:shd w:val="clear" w:color="000000" w:fill="FFFFFF"/>
            <w:vAlign w:val="bottom"/>
            <w:hideMark/>
          </w:tcPr>
          <w:p w14:paraId="5ECEEAC0"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12</w:t>
            </w:r>
          </w:p>
        </w:tc>
        <w:tc>
          <w:tcPr>
            <w:tcW w:w="716" w:type="dxa"/>
            <w:tcBorders>
              <w:top w:val="single" w:sz="4" w:space="0" w:color="ADD6EA"/>
              <w:left w:val="nil"/>
              <w:bottom w:val="nil"/>
              <w:right w:val="nil"/>
            </w:tcBorders>
            <w:shd w:val="clear" w:color="000000" w:fill="FFFFFF"/>
            <w:vAlign w:val="bottom"/>
            <w:hideMark/>
          </w:tcPr>
          <w:p w14:paraId="4310A2B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584</w:t>
            </w:r>
          </w:p>
        </w:tc>
      </w:tr>
      <w:tr w:rsidR="00BF1B0C" w:rsidRPr="00BF1B0C" w14:paraId="6A9F8BE2" w14:textId="77777777" w:rsidTr="00CB0D4F">
        <w:trPr>
          <w:trHeight w:val="555"/>
        </w:trPr>
        <w:tc>
          <w:tcPr>
            <w:tcW w:w="2557" w:type="dxa"/>
            <w:tcBorders>
              <w:top w:val="single" w:sz="4" w:space="0" w:color="ADD6EA"/>
              <w:left w:val="nil"/>
              <w:bottom w:val="nil"/>
              <w:right w:val="nil"/>
            </w:tcBorders>
            <w:shd w:val="clear" w:color="000000" w:fill="B6D5E4"/>
            <w:vAlign w:val="bottom"/>
            <w:hideMark/>
          </w:tcPr>
          <w:p w14:paraId="3DF91BCB" w14:textId="77777777" w:rsidR="00BF1B0C" w:rsidRPr="00BF1B0C" w:rsidRDefault="00BF1B0C" w:rsidP="00BF1B0C">
            <w:pPr>
              <w:tabs>
                <w:tab w:val="clear" w:pos="567"/>
              </w:tabs>
              <w:spacing w:before="0" w:line="240" w:lineRule="auto"/>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Total effect of assessed relativities (a)</w:t>
            </w:r>
          </w:p>
        </w:tc>
        <w:tc>
          <w:tcPr>
            <w:tcW w:w="679" w:type="dxa"/>
            <w:tcBorders>
              <w:top w:val="single" w:sz="4" w:space="0" w:color="ADD6EA"/>
              <w:left w:val="nil"/>
              <w:bottom w:val="nil"/>
              <w:right w:val="nil"/>
            </w:tcBorders>
            <w:shd w:val="clear" w:color="000000" w:fill="B6D5E4"/>
            <w:vAlign w:val="bottom"/>
            <w:hideMark/>
          </w:tcPr>
          <w:p w14:paraId="18AC0E98"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-3,238</w:t>
            </w:r>
          </w:p>
        </w:tc>
        <w:tc>
          <w:tcPr>
            <w:tcW w:w="718" w:type="dxa"/>
            <w:tcBorders>
              <w:top w:val="single" w:sz="4" w:space="0" w:color="ADD6EA"/>
              <w:left w:val="nil"/>
              <w:bottom w:val="nil"/>
              <w:right w:val="nil"/>
            </w:tcBorders>
            <w:shd w:val="clear" w:color="000000" w:fill="B6D5E4"/>
            <w:vAlign w:val="bottom"/>
            <w:hideMark/>
          </w:tcPr>
          <w:p w14:paraId="1BB89A83"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3,597</w:t>
            </w:r>
          </w:p>
        </w:tc>
        <w:tc>
          <w:tcPr>
            <w:tcW w:w="718" w:type="dxa"/>
            <w:tcBorders>
              <w:top w:val="single" w:sz="4" w:space="0" w:color="ADD6EA"/>
              <w:left w:val="nil"/>
              <w:bottom w:val="nil"/>
              <w:right w:val="nil"/>
            </w:tcBorders>
            <w:shd w:val="clear" w:color="000000" w:fill="B6D5E4"/>
            <w:vAlign w:val="bottom"/>
            <w:hideMark/>
          </w:tcPr>
          <w:p w14:paraId="140C5D66"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-1,618</w:t>
            </w:r>
          </w:p>
        </w:tc>
        <w:tc>
          <w:tcPr>
            <w:tcW w:w="779" w:type="dxa"/>
            <w:tcBorders>
              <w:top w:val="single" w:sz="4" w:space="0" w:color="ADD6EA"/>
              <w:left w:val="nil"/>
              <w:bottom w:val="nil"/>
              <w:right w:val="nil"/>
            </w:tcBorders>
            <w:shd w:val="clear" w:color="000000" w:fill="B6D5E4"/>
            <w:vAlign w:val="bottom"/>
            <w:hideMark/>
          </w:tcPr>
          <w:p w14:paraId="3967C24F"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-8,531</w:t>
            </w:r>
          </w:p>
        </w:tc>
        <w:tc>
          <w:tcPr>
            <w:tcW w:w="718" w:type="dxa"/>
            <w:tcBorders>
              <w:top w:val="single" w:sz="4" w:space="0" w:color="ADD6EA"/>
              <w:left w:val="nil"/>
              <w:bottom w:val="nil"/>
              <w:right w:val="nil"/>
            </w:tcBorders>
            <w:shd w:val="clear" w:color="000000" w:fill="B6D5E4"/>
            <w:vAlign w:val="bottom"/>
            <w:hideMark/>
          </w:tcPr>
          <w:p w14:paraId="5C9629A3"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3,082</w:t>
            </w:r>
          </w:p>
        </w:tc>
        <w:tc>
          <w:tcPr>
            <w:tcW w:w="718" w:type="dxa"/>
            <w:tcBorders>
              <w:top w:val="single" w:sz="4" w:space="0" w:color="ADD6EA"/>
              <w:left w:val="nil"/>
              <w:bottom w:val="nil"/>
              <w:right w:val="nil"/>
            </w:tcBorders>
            <w:shd w:val="clear" w:color="000000" w:fill="B6D5E4"/>
            <w:vAlign w:val="bottom"/>
            <w:hideMark/>
          </w:tcPr>
          <w:p w14:paraId="07C8435C"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2,030</w:t>
            </w:r>
          </w:p>
        </w:tc>
        <w:tc>
          <w:tcPr>
            <w:tcW w:w="679" w:type="dxa"/>
            <w:tcBorders>
              <w:top w:val="single" w:sz="4" w:space="0" w:color="ADD6EA"/>
              <w:left w:val="nil"/>
              <w:bottom w:val="nil"/>
              <w:right w:val="nil"/>
            </w:tcBorders>
            <w:shd w:val="clear" w:color="000000" w:fill="B6D5E4"/>
            <w:vAlign w:val="bottom"/>
            <w:hideMark/>
          </w:tcPr>
          <w:p w14:paraId="28CCDE8A"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435</w:t>
            </w:r>
          </w:p>
        </w:tc>
        <w:tc>
          <w:tcPr>
            <w:tcW w:w="718" w:type="dxa"/>
            <w:tcBorders>
              <w:top w:val="single" w:sz="4" w:space="0" w:color="ADD6EA"/>
              <w:left w:val="nil"/>
              <w:bottom w:val="nil"/>
              <w:right w:val="nil"/>
            </w:tcBorders>
            <w:shd w:val="clear" w:color="000000" w:fill="B6D5E4"/>
            <w:vAlign w:val="bottom"/>
            <w:hideMark/>
          </w:tcPr>
          <w:p w14:paraId="56821DDC"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4,244</w:t>
            </w:r>
          </w:p>
        </w:tc>
        <w:tc>
          <w:tcPr>
            <w:tcW w:w="716" w:type="dxa"/>
            <w:tcBorders>
              <w:top w:val="single" w:sz="4" w:space="0" w:color="ADD6EA"/>
              <w:left w:val="nil"/>
              <w:bottom w:val="nil"/>
              <w:right w:val="nil"/>
            </w:tcBorders>
            <w:shd w:val="clear" w:color="000000" w:fill="B6D5E4"/>
            <w:vAlign w:val="bottom"/>
            <w:hideMark/>
          </w:tcPr>
          <w:p w14:paraId="58C076EF"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13,387</w:t>
            </w:r>
          </w:p>
        </w:tc>
      </w:tr>
      <w:tr w:rsidR="00BF1B0C" w:rsidRPr="00BF1B0C" w14:paraId="7F1BCE57" w14:textId="77777777" w:rsidTr="00CB0D4F">
        <w:trPr>
          <w:trHeight w:val="555"/>
        </w:trPr>
        <w:tc>
          <w:tcPr>
            <w:tcW w:w="2557" w:type="dxa"/>
            <w:tcBorders>
              <w:top w:val="single" w:sz="4" w:space="0" w:color="ADD6EA"/>
              <w:left w:val="nil"/>
              <w:bottom w:val="nil"/>
              <w:right w:val="nil"/>
            </w:tcBorders>
            <w:shd w:val="clear" w:color="000000" w:fill="FFFFFF"/>
            <w:vAlign w:val="bottom"/>
            <w:hideMark/>
          </w:tcPr>
          <w:p w14:paraId="05C64DDF" w14:textId="77777777" w:rsidR="00BF1B0C" w:rsidRPr="00BF1B0C" w:rsidRDefault="00BF1B0C" w:rsidP="00BF1B0C">
            <w:pPr>
              <w:tabs>
                <w:tab w:val="clear" w:pos="567"/>
              </w:tabs>
              <w:spacing w:before="0" w:line="240" w:lineRule="auto"/>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2018 legislated changes to determining relativities</w:t>
            </w:r>
          </w:p>
        </w:tc>
        <w:tc>
          <w:tcPr>
            <w:tcW w:w="679" w:type="dxa"/>
            <w:tcBorders>
              <w:top w:val="single" w:sz="4" w:space="0" w:color="ADD6EA"/>
              <w:left w:val="nil"/>
              <w:bottom w:val="nil"/>
              <w:right w:val="nil"/>
            </w:tcBorders>
            <w:shd w:val="clear" w:color="000000" w:fill="FFFFFF"/>
            <w:vAlign w:val="bottom"/>
            <w:hideMark/>
          </w:tcPr>
          <w:p w14:paraId="23A625A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-2,463</w:t>
            </w:r>
          </w:p>
        </w:tc>
        <w:tc>
          <w:tcPr>
            <w:tcW w:w="718" w:type="dxa"/>
            <w:tcBorders>
              <w:top w:val="single" w:sz="4" w:space="0" w:color="ADD6EA"/>
              <w:left w:val="nil"/>
              <w:bottom w:val="nil"/>
              <w:right w:val="nil"/>
            </w:tcBorders>
            <w:shd w:val="clear" w:color="000000" w:fill="FFFFFF"/>
            <w:vAlign w:val="bottom"/>
            <w:hideMark/>
          </w:tcPr>
          <w:p w14:paraId="37FF2FA4"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-2,045</w:t>
            </w:r>
          </w:p>
        </w:tc>
        <w:tc>
          <w:tcPr>
            <w:tcW w:w="718" w:type="dxa"/>
            <w:tcBorders>
              <w:top w:val="single" w:sz="4" w:space="0" w:color="ADD6EA"/>
              <w:left w:val="nil"/>
              <w:bottom w:val="nil"/>
              <w:right w:val="nil"/>
            </w:tcBorders>
            <w:shd w:val="clear" w:color="000000" w:fill="FFFFFF"/>
            <w:vAlign w:val="bottom"/>
            <w:hideMark/>
          </w:tcPr>
          <w:p w14:paraId="53D3745A"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-1,048</w:t>
            </w:r>
          </w:p>
        </w:tc>
        <w:tc>
          <w:tcPr>
            <w:tcW w:w="779" w:type="dxa"/>
            <w:tcBorders>
              <w:top w:val="single" w:sz="4" w:space="0" w:color="ADD6EA"/>
              <w:left w:val="nil"/>
              <w:bottom w:val="nil"/>
              <w:right w:val="nil"/>
            </w:tcBorders>
            <w:shd w:val="clear" w:color="000000" w:fill="FFFFFF"/>
            <w:vAlign w:val="bottom"/>
            <w:hideMark/>
          </w:tcPr>
          <w:p w14:paraId="72238F5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6,493</w:t>
            </w:r>
          </w:p>
        </w:tc>
        <w:tc>
          <w:tcPr>
            <w:tcW w:w="718" w:type="dxa"/>
            <w:tcBorders>
              <w:top w:val="single" w:sz="4" w:space="0" w:color="ADD6EA"/>
              <w:left w:val="nil"/>
              <w:bottom w:val="nil"/>
              <w:right w:val="nil"/>
            </w:tcBorders>
            <w:shd w:val="clear" w:color="000000" w:fill="FFFFFF"/>
            <w:vAlign w:val="bottom"/>
            <w:hideMark/>
          </w:tcPr>
          <w:p w14:paraId="593FC77D"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-548</w:t>
            </w:r>
          </w:p>
        </w:tc>
        <w:tc>
          <w:tcPr>
            <w:tcW w:w="718" w:type="dxa"/>
            <w:tcBorders>
              <w:top w:val="single" w:sz="4" w:space="0" w:color="ADD6EA"/>
              <w:left w:val="nil"/>
              <w:bottom w:val="nil"/>
              <w:right w:val="nil"/>
            </w:tcBorders>
            <w:shd w:val="clear" w:color="000000" w:fill="FFFFFF"/>
            <w:vAlign w:val="bottom"/>
            <w:hideMark/>
          </w:tcPr>
          <w:p w14:paraId="7ED4E50B"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-166</w:t>
            </w:r>
          </w:p>
        </w:tc>
        <w:tc>
          <w:tcPr>
            <w:tcW w:w="679" w:type="dxa"/>
            <w:tcBorders>
              <w:top w:val="single" w:sz="4" w:space="0" w:color="ADD6EA"/>
              <w:left w:val="nil"/>
              <w:bottom w:val="nil"/>
              <w:right w:val="nil"/>
            </w:tcBorders>
            <w:shd w:val="clear" w:color="000000" w:fill="FFFFFF"/>
            <w:vAlign w:val="bottom"/>
            <w:hideMark/>
          </w:tcPr>
          <w:p w14:paraId="4863C0A5"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-140</w:t>
            </w:r>
          </w:p>
        </w:tc>
        <w:tc>
          <w:tcPr>
            <w:tcW w:w="718" w:type="dxa"/>
            <w:tcBorders>
              <w:top w:val="single" w:sz="4" w:space="0" w:color="ADD6EA"/>
              <w:left w:val="nil"/>
              <w:bottom w:val="nil"/>
              <w:right w:val="nil"/>
            </w:tcBorders>
            <w:shd w:val="clear" w:color="000000" w:fill="FFFFFF"/>
            <w:vAlign w:val="bottom"/>
            <w:hideMark/>
          </w:tcPr>
          <w:p w14:paraId="35E25847"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-82</w:t>
            </w:r>
          </w:p>
        </w:tc>
        <w:tc>
          <w:tcPr>
            <w:tcW w:w="716" w:type="dxa"/>
            <w:tcBorders>
              <w:top w:val="single" w:sz="4" w:space="0" w:color="ADD6EA"/>
              <w:left w:val="nil"/>
              <w:bottom w:val="nil"/>
              <w:right w:val="nil"/>
            </w:tcBorders>
            <w:shd w:val="clear" w:color="000000" w:fill="FFFFFF"/>
            <w:vAlign w:val="bottom"/>
            <w:hideMark/>
          </w:tcPr>
          <w:p w14:paraId="47616992" w14:textId="77777777" w:rsidR="00BF1B0C" w:rsidRPr="00BF1B0C" w:rsidRDefault="00BF1B0C" w:rsidP="00BF1B0C">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BF1B0C">
              <w:rPr>
                <w:rFonts w:ascii="Open Sans Light" w:eastAsia="Times New Roman" w:hAnsi="Open Sans Light" w:cs="Open Sans Light"/>
                <w:color w:val="000000"/>
                <w:sz w:val="16"/>
                <w:szCs w:val="16"/>
                <w:lang w:eastAsia="en-AU"/>
              </w:rPr>
              <w:t>6,493</w:t>
            </w:r>
          </w:p>
        </w:tc>
      </w:tr>
      <w:tr w:rsidR="00BF1B0C" w:rsidRPr="00BF1B0C" w14:paraId="200CFDA2" w14:textId="77777777" w:rsidTr="00CB0D4F">
        <w:trPr>
          <w:trHeight w:val="315"/>
        </w:trPr>
        <w:tc>
          <w:tcPr>
            <w:tcW w:w="2557" w:type="dxa"/>
            <w:tcBorders>
              <w:top w:val="single" w:sz="4" w:space="0" w:color="ADD6EA"/>
              <w:left w:val="nil"/>
              <w:bottom w:val="single" w:sz="4" w:space="0" w:color="ADD6EA"/>
              <w:right w:val="nil"/>
            </w:tcBorders>
            <w:shd w:val="clear" w:color="000000" w:fill="B6D5E4"/>
            <w:vAlign w:val="bottom"/>
            <w:hideMark/>
          </w:tcPr>
          <w:p w14:paraId="68C7EAAC" w14:textId="77777777" w:rsidR="00BF1B0C" w:rsidRPr="00BF1B0C" w:rsidRDefault="00BF1B0C" w:rsidP="00BF1B0C">
            <w:pPr>
              <w:tabs>
                <w:tab w:val="clear" w:pos="567"/>
              </w:tabs>
              <w:spacing w:before="0" w:line="240" w:lineRule="auto"/>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Total</w:t>
            </w:r>
          </w:p>
        </w:tc>
        <w:tc>
          <w:tcPr>
            <w:tcW w:w="679" w:type="dxa"/>
            <w:tcBorders>
              <w:top w:val="single" w:sz="4" w:space="0" w:color="ADD6EA"/>
              <w:left w:val="nil"/>
              <w:bottom w:val="single" w:sz="4" w:space="0" w:color="ADD6EA"/>
              <w:right w:val="nil"/>
            </w:tcBorders>
            <w:shd w:val="clear" w:color="000000" w:fill="B6D5E4"/>
            <w:vAlign w:val="bottom"/>
            <w:hideMark/>
          </w:tcPr>
          <w:p w14:paraId="5882A71E"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-5,702</w:t>
            </w:r>
          </w:p>
        </w:tc>
        <w:tc>
          <w:tcPr>
            <w:tcW w:w="718" w:type="dxa"/>
            <w:tcBorders>
              <w:top w:val="single" w:sz="4" w:space="0" w:color="ADD6EA"/>
              <w:left w:val="nil"/>
              <w:bottom w:val="single" w:sz="4" w:space="0" w:color="ADD6EA"/>
              <w:right w:val="nil"/>
            </w:tcBorders>
            <w:shd w:val="clear" w:color="000000" w:fill="B6D5E4"/>
            <w:vAlign w:val="bottom"/>
            <w:hideMark/>
          </w:tcPr>
          <w:p w14:paraId="2752138D"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1,552</w:t>
            </w:r>
          </w:p>
        </w:tc>
        <w:tc>
          <w:tcPr>
            <w:tcW w:w="718" w:type="dxa"/>
            <w:tcBorders>
              <w:top w:val="single" w:sz="4" w:space="0" w:color="ADD6EA"/>
              <w:left w:val="nil"/>
              <w:bottom w:val="single" w:sz="4" w:space="0" w:color="ADD6EA"/>
              <w:right w:val="nil"/>
            </w:tcBorders>
            <w:shd w:val="clear" w:color="000000" w:fill="B6D5E4"/>
            <w:vAlign w:val="bottom"/>
            <w:hideMark/>
          </w:tcPr>
          <w:p w14:paraId="12C4C00C"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-2,667</w:t>
            </w:r>
          </w:p>
        </w:tc>
        <w:tc>
          <w:tcPr>
            <w:tcW w:w="779" w:type="dxa"/>
            <w:tcBorders>
              <w:top w:val="single" w:sz="4" w:space="0" w:color="ADD6EA"/>
              <w:left w:val="nil"/>
              <w:bottom w:val="single" w:sz="4" w:space="0" w:color="ADD6EA"/>
              <w:right w:val="nil"/>
            </w:tcBorders>
            <w:shd w:val="clear" w:color="000000" w:fill="B6D5E4"/>
            <w:vAlign w:val="bottom"/>
            <w:hideMark/>
          </w:tcPr>
          <w:p w14:paraId="21084C33"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-2,038</w:t>
            </w:r>
          </w:p>
        </w:tc>
        <w:tc>
          <w:tcPr>
            <w:tcW w:w="718" w:type="dxa"/>
            <w:tcBorders>
              <w:top w:val="single" w:sz="4" w:space="0" w:color="ADD6EA"/>
              <w:left w:val="nil"/>
              <w:bottom w:val="single" w:sz="4" w:space="0" w:color="ADD6EA"/>
              <w:right w:val="nil"/>
            </w:tcBorders>
            <w:shd w:val="clear" w:color="000000" w:fill="B6D5E4"/>
            <w:vAlign w:val="bottom"/>
            <w:hideMark/>
          </w:tcPr>
          <w:p w14:paraId="56601113"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2,534</w:t>
            </w:r>
          </w:p>
        </w:tc>
        <w:tc>
          <w:tcPr>
            <w:tcW w:w="718" w:type="dxa"/>
            <w:tcBorders>
              <w:top w:val="single" w:sz="4" w:space="0" w:color="ADD6EA"/>
              <w:left w:val="nil"/>
              <w:bottom w:val="single" w:sz="4" w:space="0" w:color="ADD6EA"/>
              <w:right w:val="nil"/>
            </w:tcBorders>
            <w:shd w:val="clear" w:color="000000" w:fill="B6D5E4"/>
            <w:vAlign w:val="bottom"/>
            <w:hideMark/>
          </w:tcPr>
          <w:p w14:paraId="3E7BE9DB"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1,864</w:t>
            </w:r>
          </w:p>
        </w:tc>
        <w:tc>
          <w:tcPr>
            <w:tcW w:w="679" w:type="dxa"/>
            <w:tcBorders>
              <w:top w:val="single" w:sz="4" w:space="0" w:color="ADD6EA"/>
              <w:left w:val="nil"/>
              <w:bottom w:val="single" w:sz="4" w:space="0" w:color="ADD6EA"/>
              <w:right w:val="nil"/>
            </w:tcBorders>
            <w:shd w:val="clear" w:color="000000" w:fill="B6D5E4"/>
            <w:vAlign w:val="bottom"/>
            <w:hideMark/>
          </w:tcPr>
          <w:p w14:paraId="32C75C3D"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294</w:t>
            </w:r>
          </w:p>
        </w:tc>
        <w:tc>
          <w:tcPr>
            <w:tcW w:w="718" w:type="dxa"/>
            <w:tcBorders>
              <w:top w:val="single" w:sz="4" w:space="0" w:color="ADD6EA"/>
              <w:left w:val="nil"/>
              <w:bottom w:val="single" w:sz="4" w:space="0" w:color="ADD6EA"/>
              <w:right w:val="nil"/>
            </w:tcBorders>
            <w:shd w:val="clear" w:color="000000" w:fill="B6D5E4"/>
            <w:vAlign w:val="bottom"/>
            <w:hideMark/>
          </w:tcPr>
          <w:p w14:paraId="252A564C"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4,162</w:t>
            </w:r>
          </w:p>
        </w:tc>
        <w:tc>
          <w:tcPr>
            <w:tcW w:w="716" w:type="dxa"/>
            <w:tcBorders>
              <w:top w:val="single" w:sz="4" w:space="0" w:color="ADD6EA"/>
              <w:left w:val="nil"/>
              <w:bottom w:val="single" w:sz="4" w:space="0" w:color="ADD6EA"/>
              <w:right w:val="nil"/>
            </w:tcBorders>
            <w:shd w:val="clear" w:color="000000" w:fill="B6D5E4"/>
            <w:vAlign w:val="bottom"/>
            <w:hideMark/>
          </w:tcPr>
          <w:p w14:paraId="643D55AF" w14:textId="77777777" w:rsidR="00BF1B0C" w:rsidRPr="00BF1B0C" w:rsidRDefault="00BF1B0C" w:rsidP="00BF1B0C">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BF1B0C">
              <w:rPr>
                <w:rFonts w:ascii="Open Sans Semibold" w:eastAsia="Times New Roman" w:hAnsi="Open Sans Semibold" w:cs="Open Sans Semibold"/>
                <w:color w:val="000000"/>
                <w:sz w:val="16"/>
                <w:szCs w:val="16"/>
                <w:lang w:eastAsia="en-AU"/>
              </w:rPr>
              <w:t>10,406</w:t>
            </w:r>
          </w:p>
        </w:tc>
      </w:tr>
    </w:tbl>
    <w:p w14:paraId="61A13992" w14:textId="5E6D609E" w:rsidR="005133CB" w:rsidRPr="00254379" w:rsidRDefault="005133CB" w:rsidP="004B6CB8">
      <w:pPr>
        <w:pStyle w:val="CGC2025TableNote"/>
        <w:tabs>
          <w:tab w:val="clear" w:pos="567"/>
          <w:tab w:val="left" w:pos="709"/>
        </w:tabs>
      </w:pPr>
      <w:r w:rsidRPr="00254379">
        <w:t xml:space="preserve">Note: </w:t>
      </w:r>
      <w:r w:rsidR="004B6CB8">
        <w:t xml:space="preserve">  </w:t>
      </w:r>
      <w:r w:rsidRPr="00254379">
        <w:t>This table shows the drivers for each state receiving more or less than an equal per capita share of GST in 202</w:t>
      </w:r>
      <w:r>
        <w:t>6</w:t>
      </w:r>
      <w:r w:rsidRPr="00254379">
        <w:t>–</w:t>
      </w:r>
      <w:r w:rsidRPr="00254379">
        <w:rPr>
          <w:rFonts w:ascii="Times New Roman" w:hAnsi="Times New Roman" w:cs="Times New Roman"/>
        </w:rPr>
        <w:t>‍</w:t>
      </w:r>
      <w:r w:rsidRPr="00254379">
        <w:t>2</w:t>
      </w:r>
      <w:r>
        <w:t>7</w:t>
      </w:r>
      <w:r w:rsidRPr="00254379">
        <w:t>.</w:t>
      </w:r>
    </w:p>
    <w:p w14:paraId="012A6F6F" w14:textId="77777777" w:rsidR="005133CB" w:rsidRDefault="005133CB" w:rsidP="003116B2">
      <w:pPr>
        <w:pStyle w:val="CGC2025TableNote"/>
        <w:numPr>
          <w:ilvl w:val="0"/>
          <w:numId w:val="13"/>
        </w:numPr>
      </w:pPr>
      <w:r w:rsidRPr="00254379">
        <w:t>Assessed relativities reflect the GST each state needs to have the same capacity to provide services as the other states. Legislation specifies how these are adjusted to derive GST relativities, which determine GST distribution.</w:t>
      </w:r>
    </w:p>
    <w:p w14:paraId="63B792DD" w14:textId="01D0787D" w:rsidR="003116B2" w:rsidRDefault="003116B2">
      <w:pPr>
        <w:tabs>
          <w:tab w:val="clear" w:pos="567"/>
        </w:tabs>
        <w:spacing w:before="0" w:line="240" w:lineRule="auto"/>
      </w:pPr>
      <w:r>
        <w:br w:type="page"/>
      </w:r>
    </w:p>
    <w:p w14:paraId="37B16E1F" w14:textId="77777777" w:rsidR="003957CD" w:rsidRDefault="003957CD" w:rsidP="003957CD">
      <w:pPr>
        <w:pStyle w:val="Heading1"/>
        <w:numPr>
          <w:ilvl w:val="0"/>
          <w:numId w:val="0"/>
        </w:numPr>
      </w:pPr>
      <w:bookmarkStart w:id="60" w:name="Chapter_3"/>
      <w:bookmarkStart w:id="61" w:name="_Toc222762274"/>
      <w:r w:rsidRPr="00F47AF8">
        <w:lastRenderedPageBreak/>
        <w:t>3.</w:t>
      </w:r>
      <w:r w:rsidRPr="00F47AF8">
        <w:tab/>
        <w:t>State by state changes</w:t>
      </w:r>
      <w:bookmarkEnd w:id="60"/>
      <w:bookmarkEnd w:id="61"/>
    </w:p>
    <w:tbl>
      <w:tblPr>
        <w:tblStyle w:val="TableGrid"/>
        <w:tblW w:w="9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8FF"/>
        <w:tblLayout w:type="fixed"/>
        <w:tblLook w:val="04A0" w:firstRow="1" w:lastRow="0" w:firstColumn="1" w:lastColumn="0" w:noHBand="0" w:noVBand="1"/>
      </w:tblPr>
      <w:tblGrid>
        <w:gridCol w:w="9185"/>
      </w:tblGrid>
      <w:tr w:rsidR="003957CD" w:rsidRPr="00F47AF8" w14:paraId="2704E11B" w14:textId="77777777" w:rsidTr="00E51790">
        <w:trPr>
          <w:trHeight w:val="5698"/>
        </w:trPr>
        <w:tc>
          <w:tcPr>
            <w:tcW w:w="9185" w:type="dxa"/>
            <w:shd w:val="clear" w:color="auto" w:fill="E5F8FF"/>
          </w:tcPr>
          <w:p w14:paraId="2CDA7A6C" w14:textId="77777777" w:rsidR="003957CD" w:rsidRPr="00F47AF8" w:rsidRDefault="003957CD" w:rsidP="00E51790">
            <w:pPr>
              <w:pStyle w:val="Heading2"/>
            </w:pPr>
            <w:r w:rsidRPr="00F47AF8">
              <w:t>Key points</w:t>
            </w:r>
          </w:p>
          <w:p w14:paraId="54974EEF" w14:textId="199B1AA9" w:rsidR="003957CD" w:rsidRPr="00F47AF8" w:rsidRDefault="003957CD" w:rsidP="002F5ED5">
            <w:pPr>
              <w:pStyle w:val="CGCBulletPoints"/>
            </w:pPr>
            <w:r w:rsidRPr="00F47AF8">
              <w:t xml:space="preserve">This chapter provides state outcomes and identifies the 7 largest drivers of </w:t>
            </w:r>
            <w:r w:rsidRPr="00BA42D7">
              <w:t>change</w:t>
            </w:r>
            <w:r w:rsidRPr="00F47AF8">
              <w:t xml:space="preserve"> in assessed GST needs </w:t>
            </w:r>
            <w:r w:rsidR="00477E71">
              <w:t xml:space="preserve">of </w:t>
            </w:r>
            <w:r>
              <w:t xml:space="preserve">each state </w:t>
            </w:r>
            <w:r w:rsidRPr="00F47AF8">
              <w:t>compared with the 2025 Review.</w:t>
            </w:r>
          </w:p>
          <w:p w14:paraId="4BBC0E86" w14:textId="77777777" w:rsidR="003957CD" w:rsidRDefault="003957CD" w:rsidP="002F5ED5">
            <w:pPr>
              <w:pStyle w:val="CGCBulletPoints"/>
            </w:pPr>
            <w:r>
              <w:t xml:space="preserve">All </w:t>
            </w:r>
            <w:r w:rsidRPr="0086791A">
              <w:t>states are estimated to receive an increase in GST distribution in 202</w:t>
            </w:r>
            <w:r>
              <w:t>6</w:t>
            </w:r>
            <w:r w:rsidRPr="0086791A">
              <w:t>–2</w:t>
            </w:r>
            <w:r>
              <w:t>7.</w:t>
            </w:r>
          </w:p>
          <w:p w14:paraId="08861382" w14:textId="77777777" w:rsidR="003957CD" w:rsidRDefault="003957CD" w:rsidP="002F5ED5">
            <w:pPr>
              <w:pStyle w:val="CGCBulletPoints-Level2"/>
            </w:pPr>
            <w:r w:rsidRPr="0086791A">
              <w:t>New South Wales: $</w:t>
            </w:r>
            <w:r>
              <w:t>316</w:t>
            </w:r>
            <w:r w:rsidRPr="0086791A">
              <w:t xml:space="preserve"> million ($</w:t>
            </w:r>
            <w:r>
              <w:t>36</w:t>
            </w:r>
            <w:r w:rsidRPr="0086791A">
              <w:t xml:space="preserve"> per capita) </w:t>
            </w:r>
          </w:p>
          <w:p w14:paraId="1AA71A20" w14:textId="77777777" w:rsidR="003957CD" w:rsidRDefault="003957CD" w:rsidP="002F5ED5">
            <w:pPr>
              <w:pStyle w:val="CGCBulletPoints-Level2"/>
            </w:pPr>
            <w:r w:rsidRPr="0086791A">
              <w:t>Victoria: $</w:t>
            </w:r>
            <w:r>
              <w:t>1,494</w:t>
            </w:r>
            <w:r w:rsidRPr="0086791A">
              <w:t xml:space="preserve"> million ($</w:t>
            </w:r>
            <w:r>
              <w:t>207</w:t>
            </w:r>
            <w:r w:rsidRPr="0086791A">
              <w:t xml:space="preserve"> per capita) </w:t>
            </w:r>
          </w:p>
          <w:p w14:paraId="17A2046F" w14:textId="77777777" w:rsidR="003957CD" w:rsidRPr="00024063" w:rsidRDefault="003957CD" w:rsidP="002F5ED5">
            <w:pPr>
              <w:pStyle w:val="CGCBulletPoints-Level2"/>
            </w:pPr>
            <w:r>
              <w:t>Queensland: $1,680 million ($290 per capita)</w:t>
            </w:r>
          </w:p>
          <w:p w14:paraId="3D90E2C0" w14:textId="77777777" w:rsidR="003957CD" w:rsidRDefault="003957CD" w:rsidP="002F5ED5">
            <w:pPr>
              <w:pStyle w:val="CGCBulletPoints-Level2"/>
            </w:pPr>
            <w:r w:rsidRPr="0086791A">
              <w:t>Western Australia: $</w:t>
            </w:r>
            <w:r>
              <w:t>1,347</w:t>
            </w:r>
            <w:r w:rsidRPr="0086791A">
              <w:t xml:space="preserve"> million ($</w:t>
            </w:r>
            <w:r>
              <w:t>431</w:t>
            </w:r>
            <w:r w:rsidRPr="0086791A">
              <w:t xml:space="preserve"> per capita) </w:t>
            </w:r>
          </w:p>
          <w:p w14:paraId="7A57C413" w14:textId="77777777" w:rsidR="003957CD" w:rsidRDefault="003957CD" w:rsidP="002F5ED5">
            <w:pPr>
              <w:pStyle w:val="CGCBulletPoints-Level2"/>
            </w:pPr>
            <w:r w:rsidRPr="0086791A">
              <w:t>South Australia: $</w:t>
            </w:r>
            <w:r>
              <w:t>342</w:t>
            </w:r>
            <w:r w:rsidRPr="0086791A">
              <w:t xml:space="preserve"> million ($</w:t>
            </w:r>
            <w:r>
              <w:t>178</w:t>
            </w:r>
            <w:r w:rsidRPr="0086791A">
              <w:t xml:space="preserve"> per capita) </w:t>
            </w:r>
          </w:p>
          <w:p w14:paraId="140A156D" w14:textId="77777777" w:rsidR="003957CD" w:rsidRDefault="003957CD" w:rsidP="002F5ED5">
            <w:pPr>
              <w:pStyle w:val="CGCBulletPoints-Level2"/>
            </w:pPr>
            <w:r w:rsidRPr="0086791A">
              <w:t>Tasmania: $</w:t>
            </w:r>
            <w:r>
              <w:t>286</w:t>
            </w:r>
            <w:r w:rsidRPr="0086791A">
              <w:t xml:space="preserve"> million ($</w:t>
            </w:r>
            <w:r>
              <w:t>496</w:t>
            </w:r>
            <w:r w:rsidRPr="0086791A">
              <w:t xml:space="preserve"> per capita)</w:t>
            </w:r>
          </w:p>
          <w:p w14:paraId="61E4A846" w14:textId="77777777" w:rsidR="003957CD" w:rsidRDefault="003957CD" w:rsidP="002F5ED5">
            <w:pPr>
              <w:pStyle w:val="CGCBulletPoints-Level2"/>
            </w:pPr>
            <w:r w:rsidRPr="0086791A">
              <w:t>the ACT: $</w:t>
            </w:r>
            <w:r>
              <w:t>110</w:t>
            </w:r>
            <w:r w:rsidRPr="0086791A">
              <w:t xml:space="preserve"> million ($</w:t>
            </w:r>
            <w:r>
              <w:t>222</w:t>
            </w:r>
            <w:r w:rsidRPr="0086791A">
              <w:t xml:space="preserve"> per capita) </w:t>
            </w:r>
          </w:p>
          <w:p w14:paraId="1C186FAE" w14:textId="77777777" w:rsidR="003957CD" w:rsidRDefault="003957CD" w:rsidP="002F5ED5">
            <w:pPr>
              <w:pStyle w:val="CGCBulletPoints-Level2"/>
            </w:pPr>
            <w:r w:rsidRPr="0086791A">
              <w:t>the Northern Territory: $</w:t>
            </w:r>
            <w:r>
              <w:t>389</w:t>
            </w:r>
            <w:r w:rsidRPr="0086791A">
              <w:t xml:space="preserve"> million ($</w:t>
            </w:r>
            <w:r>
              <w:t>1,446</w:t>
            </w:r>
            <w:r w:rsidRPr="0086791A">
              <w:t xml:space="preserve"> per capita)</w:t>
            </w:r>
          </w:p>
          <w:p w14:paraId="70812F6A" w14:textId="7A755042" w:rsidR="003957CD" w:rsidRPr="00F47AF8" w:rsidRDefault="003957CD" w:rsidP="002F5ED5">
            <w:pPr>
              <w:pStyle w:val="CGCBulletPoints"/>
            </w:pPr>
            <w:r w:rsidRPr="00A5125F">
              <w:t>The</w:t>
            </w:r>
            <w:r>
              <w:t xml:space="preserve"> </w:t>
            </w:r>
            <w:r w:rsidRPr="00F146B7">
              <w:t>main</w:t>
            </w:r>
            <w:r>
              <w:t xml:space="preserve"> </w:t>
            </w:r>
            <w:r w:rsidR="009D07EB">
              <w:t>factors</w:t>
            </w:r>
            <w:r>
              <w:t xml:space="preserve"> affecting state outcomes are the estimated increase in the GST pool and changes in state circumstances between the year dropping out of the assessment period (2021–22) and the year coming in (2024–25). </w:t>
            </w:r>
          </w:p>
        </w:tc>
      </w:tr>
    </w:tbl>
    <w:p w14:paraId="013C9C5C" w14:textId="77777777" w:rsidR="003957CD" w:rsidRPr="00F47AF8" w:rsidRDefault="003957CD" w:rsidP="003957CD">
      <w:pPr>
        <w:pStyle w:val="Heading2"/>
      </w:pPr>
      <w:r w:rsidRPr="00F47AF8">
        <w:t>Introduction</w:t>
      </w:r>
    </w:p>
    <w:p w14:paraId="0D4716D8" w14:textId="1EF06970" w:rsidR="003957CD" w:rsidRDefault="003957CD" w:rsidP="003957CD">
      <w:r w:rsidRPr="00F47AF8">
        <w:t xml:space="preserve">This chapter sets out the main factors influencing the changes in each state’s </w:t>
      </w:r>
      <w:r w:rsidRPr="00937249">
        <w:t>2026</w:t>
      </w:r>
      <w:r>
        <w:t>‍</w:t>
      </w:r>
      <w:r w:rsidRPr="00F47AF8">
        <w:t>–</w:t>
      </w:r>
      <w:r>
        <w:t>‍</w:t>
      </w:r>
      <w:r w:rsidRPr="00F47AF8">
        <w:t xml:space="preserve">27 GST distribution compared with </w:t>
      </w:r>
      <w:r w:rsidRPr="00246F76">
        <w:t>2025</w:t>
      </w:r>
      <w:r>
        <w:t>‍</w:t>
      </w:r>
      <w:r w:rsidRPr="00F47AF8">
        <w:t>–</w:t>
      </w:r>
      <w:r>
        <w:t>‍</w:t>
      </w:r>
      <w:r w:rsidRPr="00F47AF8">
        <w:t xml:space="preserve">26. These include method changes, data revisions </w:t>
      </w:r>
      <w:r w:rsidRPr="00B410B8">
        <w:t>and</w:t>
      </w:r>
      <w:r w:rsidRPr="00F47AF8">
        <w:t xml:space="preserve"> changes in state circumstances between 2021–22 and 2024–25. In addition, states’ estimated GST distributions are affected by: </w:t>
      </w:r>
    </w:p>
    <w:p w14:paraId="7B441064" w14:textId="77777777" w:rsidR="003957CD" w:rsidRDefault="003957CD" w:rsidP="002F5ED5">
      <w:pPr>
        <w:pStyle w:val="CGCBulletPoints"/>
      </w:pPr>
      <w:r w:rsidRPr="00F47AF8">
        <w:t>changes in estimated state populations in the GST distribution year</w:t>
      </w:r>
    </w:p>
    <w:p w14:paraId="7D35D34F" w14:textId="77777777" w:rsidR="003957CD" w:rsidRDefault="003957CD" w:rsidP="002F5ED5">
      <w:pPr>
        <w:pStyle w:val="CGCBulletPoints"/>
      </w:pPr>
      <w:r w:rsidRPr="00F47AF8">
        <w:t>changes in the estimated size of the GST pool</w:t>
      </w:r>
    </w:p>
    <w:p w14:paraId="14F8736A" w14:textId="77777777" w:rsidR="003957CD" w:rsidRPr="00F47AF8" w:rsidRDefault="003957CD" w:rsidP="002F5ED5">
      <w:pPr>
        <w:pStyle w:val="CGCBulletPoints"/>
      </w:pPr>
      <w:r w:rsidRPr="00F47AF8">
        <w:t>the 2018 legislat</w:t>
      </w:r>
      <w:r>
        <w:t>ed</w:t>
      </w:r>
      <w:r w:rsidRPr="00F47AF8">
        <w:t xml:space="preserve"> changes to determining relativities.</w:t>
      </w:r>
    </w:p>
    <w:p w14:paraId="1A706AC6" w14:textId="446E3BAA" w:rsidR="003957CD" w:rsidRDefault="003957CD">
      <w:pPr>
        <w:tabs>
          <w:tab w:val="clear" w:pos="567"/>
        </w:tabs>
        <w:spacing w:before="0" w:line="240" w:lineRule="auto"/>
        <w:rPr>
          <w:rFonts w:ascii="Open Sans Light" w:eastAsia="Times New Roman" w:hAnsi="Open Sans Light" w:cs="Times New Roman"/>
          <w:szCs w:val="20"/>
        </w:rPr>
      </w:pPr>
      <w:r>
        <w:rPr>
          <w:rFonts w:ascii="Open Sans Light" w:eastAsia="Times New Roman" w:hAnsi="Open Sans Light" w:cs="Times New Roman"/>
          <w:szCs w:val="20"/>
        </w:rPr>
        <w:br w:type="page"/>
      </w:r>
    </w:p>
    <w:p w14:paraId="1665A2FB" w14:textId="77777777" w:rsidR="003957CD" w:rsidRPr="00F47AF8" w:rsidRDefault="003957CD" w:rsidP="003957CD">
      <w:pPr>
        <w:pStyle w:val="Heading2"/>
      </w:pPr>
      <w:r w:rsidRPr="00F47AF8">
        <w:lastRenderedPageBreak/>
        <w:t>New</w:t>
      </w:r>
      <w:r>
        <w:t> </w:t>
      </w:r>
      <w:r w:rsidRPr="00F47AF8">
        <w:t>South</w:t>
      </w:r>
      <w:r>
        <w:t> </w:t>
      </w:r>
      <w:r w:rsidRPr="00F47AF8">
        <w:t>Wales</w:t>
      </w:r>
    </w:p>
    <w:p w14:paraId="542A287C" w14:textId="77777777" w:rsidR="003957CD" w:rsidRPr="00F47AF8" w:rsidRDefault="003957CD" w:rsidP="003957CD">
      <w:r w:rsidRPr="00F47AF8">
        <w:t>In 2026–27, New</w:t>
      </w:r>
      <w:r>
        <w:t> </w:t>
      </w:r>
      <w:r w:rsidRPr="00F47AF8">
        <w:t>South</w:t>
      </w:r>
      <w:r>
        <w:t> </w:t>
      </w:r>
      <w:proofErr w:type="spellStart"/>
      <w:r w:rsidRPr="00F47AF8">
        <w:t>Wales’</w:t>
      </w:r>
      <w:proofErr w:type="spellEnd"/>
      <w:r w:rsidRPr="00F47AF8">
        <w:t xml:space="preserve"> GST distribution is estimated to increase by $3</w:t>
      </w:r>
      <w:r>
        <w:t>16 </w:t>
      </w:r>
      <w:r w:rsidRPr="00F47AF8">
        <w:t>million ($</w:t>
      </w:r>
      <w:r>
        <w:t>36 </w:t>
      </w:r>
      <w:r w:rsidRPr="00F47AF8">
        <w:t>per</w:t>
      </w:r>
      <w:r>
        <w:t> </w:t>
      </w:r>
      <w:r w:rsidRPr="00F47AF8">
        <w:t xml:space="preserve">capita). </w:t>
      </w:r>
      <w:r>
        <w:t>Its assessed GST needs have decreased by $1,530 million ($175 per capita) in 2026</w:t>
      </w:r>
      <w:r w:rsidRPr="00F47AF8">
        <w:t>–27</w:t>
      </w:r>
      <w:r>
        <w:t>, however, this is more than offset by growth in the GST pool.</w:t>
      </w:r>
    </w:p>
    <w:p w14:paraId="70600AD0" w14:textId="77777777" w:rsidR="003957CD" w:rsidRPr="00F47AF8" w:rsidRDefault="003957CD" w:rsidP="002F5ED5">
      <w:pPr>
        <w:pStyle w:val="CGCBulletPoints"/>
      </w:pPr>
      <w:r w:rsidRPr="00F47AF8">
        <w:t>New South </w:t>
      </w:r>
      <w:proofErr w:type="spellStart"/>
      <w:r w:rsidRPr="00F47AF8">
        <w:t>Wales’</w:t>
      </w:r>
      <w:proofErr w:type="spellEnd"/>
      <w:r w:rsidRPr="00F47AF8">
        <w:t xml:space="preserve"> assessed GST needs</w:t>
      </w:r>
      <w:r>
        <w:t xml:space="preserve"> have</w:t>
      </w:r>
      <w:r w:rsidRPr="00F47AF8">
        <w:t xml:space="preserve"> decreased largely due to:</w:t>
      </w:r>
    </w:p>
    <w:p w14:paraId="2F8BD1BD" w14:textId="77777777" w:rsidR="003957CD" w:rsidRPr="00F47AF8" w:rsidRDefault="003957CD" w:rsidP="002F5ED5">
      <w:pPr>
        <w:pStyle w:val="CGCBulletPoints-Level2"/>
      </w:pPr>
      <w:r w:rsidRPr="00F47AF8">
        <w:t xml:space="preserve">a significant downward revision to its natural disaster relief expenses in </w:t>
      </w:r>
      <w:r w:rsidRPr="00C63759">
        <w:t>2022</w:t>
      </w:r>
      <w:r>
        <w:rPr>
          <w:rFonts w:ascii="Times New Roman" w:hAnsi="Times New Roman" w:cs="Times New Roman"/>
        </w:rPr>
        <w:t>‍</w:t>
      </w:r>
      <w:r w:rsidRPr="00BA42D7">
        <w:t>–</w:t>
      </w:r>
      <w:r>
        <w:rPr>
          <w:rFonts w:ascii="Times New Roman" w:hAnsi="Times New Roman" w:cs="Times New Roman"/>
        </w:rPr>
        <w:t>‍</w:t>
      </w:r>
      <w:r w:rsidRPr="00C63759">
        <w:t>23</w:t>
      </w:r>
    </w:p>
    <w:p w14:paraId="21FA0306" w14:textId="77777777" w:rsidR="003957CD" w:rsidRPr="00F47AF8" w:rsidRDefault="003957CD" w:rsidP="002F5ED5">
      <w:pPr>
        <w:pStyle w:val="CGCBulletPoints-Level2"/>
      </w:pPr>
      <w:r w:rsidRPr="00B4326F">
        <w:t xml:space="preserve">lower COVID-19 expenses, noting </w:t>
      </w:r>
      <w:r>
        <w:t xml:space="preserve">New South </w:t>
      </w:r>
      <w:proofErr w:type="spellStart"/>
      <w:r>
        <w:t>Wales’</w:t>
      </w:r>
      <w:proofErr w:type="spellEnd"/>
      <w:r w:rsidRPr="00B4326F">
        <w:t xml:space="preserve"> </w:t>
      </w:r>
      <w:r>
        <w:t>above</w:t>
      </w:r>
      <w:r w:rsidRPr="00B4326F">
        <w:t>-average COVID-19 expenses</w:t>
      </w:r>
    </w:p>
    <w:p w14:paraId="0F52BBF9" w14:textId="77777777" w:rsidR="003957CD" w:rsidRPr="00F47AF8" w:rsidRDefault="003957CD" w:rsidP="002F5ED5">
      <w:pPr>
        <w:pStyle w:val="CGCBulletPoints-Level2"/>
      </w:pPr>
      <w:r w:rsidRPr="00F47AF8">
        <w:t>above</w:t>
      </w:r>
      <w:r w:rsidRPr="00F47AF8">
        <w:noBreakHyphen/>
        <w:t>average growth in taxable land values</w:t>
      </w:r>
    </w:p>
    <w:p w14:paraId="7401FB2C" w14:textId="7B77C55C" w:rsidR="003957CD" w:rsidRPr="00F47AF8" w:rsidRDefault="003957CD" w:rsidP="002F5ED5">
      <w:pPr>
        <w:pStyle w:val="CGCBulletPoints-Level2"/>
      </w:pPr>
      <w:r w:rsidRPr="00F47AF8">
        <w:t>lower iron ore prices</w:t>
      </w:r>
      <w:r>
        <w:t>,</w:t>
      </w:r>
      <w:r w:rsidRPr="00F47AF8">
        <w:t xml:space="preserve"> </w:t>
      </w:r>
      <w:r>
        <w:t xml:space="preserve">which </w:t>
      </w:r>
      <w:r w:rsidRPr="00F47AF8">
        <w:t>increas</w:t>
      </w:r>
      <w:r>
        <w:t>e</w:t>
      </w:r>
      <w:r w:rsidRPr="00F47AF8">
        <w:t xml:space="preserve"> Western</w:t>
      </w:r>
      <w:r>
        <w:t> </w:t>
      </w:r>
      <w:r w:rsidRPr="00F47AF8">
        <w:t>Australia’s assessed GST needs and decreas</w:t>
      </w:r>
      <w:r>
        <w:t>e</w:t>
      </w:r>
      <w:r w:rsidRPr="00F47AF8">
        <w:t xml:space="preserve"> assessed GST needs </w:t>
      </w:r>
      <w:r w:rsidR="00477E71">
        <w:t>of</w:t>
      </w:r>
      <w:r w:rsidR="00477E71" w:rsidRPr="00F47AF8">
        <w:t xml:space="preserve"> </w:t>
      </w:r>
      <w:r>
        <w:t xml:space="preserve">the </w:t>
      </w:r>
      <w:r w:rsidRPr="00F47AF8">
        <w:t>other states.</w:t>
      </w:r>
    </w:p>
    <w:p w14:paraId="0B0DBE46" w14:textId="78F188BE" w:rsidR="003957CD" w:rsidRPr="00F47AF8" w:rsidRDefault="003957CD" w:rsidP="002F5ED5">
      <w:pPr>
        <w:pStyle w:val="CGCBulletPoints"/>
      </w:pPr>
      <w:r>
        <w:t xml:space="preserve">This is partially </w:t>
      </w:r>
      <w:r w:rsidR="00470B71">
        <w:t>offset</w:t>
      </w:r>
      <w:r>
        <w:t xml:space="preserve"> by </w:t>
      </w:r>
      <w:r w:rsidRPr="00F47AF8">
        <w:t>a larger than average fall in the value of property transfer</w:t>
      </w:r>
      <w:r w:rsidR="002615DC">
        <w:t>red</w:t>
      </w:r>
      <w:r w:rsidR="00A51C40">
        <w:t xml:space="preserve"> in New South Wales</w:t>
      </w:r>
      <w:r>
        <w:t xml:space="preserve">, which </w:t>
      </w:r>
      <w:r w:rsidRPr="00F47AF8">
        <w:t>decrease</w:t>
      </w:r>
      <w:r>
        <w:t>s</w:t>
      </w:r>
      <w:r w:rsidRPr="00F47AF8">
        <w:t xml:space="preserve"> </w:t>
      </w:r>
      <w:r w:rsidR="00312FEA">
        <w:t xml:space="preserve">its </w:t>
      </w:r>
      <w:r w:rsidRPr="00F47AF8">
        <w:t>relative capacity to raise revenue from stamp duties</w:t>
      </w:r>
      <w:r>
        <w:t xml:space="preserve"> and increases its assessed GST needs</w:t>
      </w:r>
      <w:r w:rsidRPr="00F47AF8">
        <w:t>.</w:t>
      </w:r>
    </w:p>
    <w:p w14:paraId="29493D80" w14:textId="77777777" w:rsidR="003957CD" w:rsidRPr="00F47AF8" w:rsidRDefault="003957CD" w:rsidP="002F5ED5">
      <w:pPr>
        <w:pStyle w:val="CGCBulletPoints"/>
      </w:pPr>
      <w:r>
        <w:t>E</w:t>
      </w:r>
      <w:r w:rsidRPr="00F47AF8">
        <w:t xml:space="preserve">xpected growth in the GST pool </w:t>
      </w:r>
      <w:r>
        <w:t xml:space="preserve">more than offsets New South </w:t>
      </w:r>
      <w:proofErr w:type="spellStart"/>
      <w:r>
        <w:t>Wales’</w:t>
      </w:r>
      <w:proofErr w:type="spellEnd"/>
      <w:r>
        <w:t xml:space="preserve"> reduced GST relativity and </w:t>
      </w:r>
      <w:r w:rsidRPr="00F47AF8">
        <w:t>increase</w:t>
      </w:r>
      <w:r>
        <w:t>s</w:t>
      </w:r>
      <w:r w:rsidRPr="00F47AF8">
        <w:t xml:space="preserve"> </w:t>
      </w:r>
      <w:r>
        <w:t>its GST</w:t>
      </w:r>
      <w:r w:rsidRPr="00F47AF8">
        <w:t xml:space="preserve"> distribution.</w:t>
      </w:r>
    </w:p>
    <w:p w14:paraId="79C92892" w14:textId="62A785F5" w:rsidR="003957CD" w:rsidRPr="00F47AF8" w:rsidRDefault="003957CD" w:rsidP="002F5ED5">
      <w:pPr>
        <w:pStyle w:val="CGCBulletPoints"/>
      </w:pPr>
      <w:r w:rsidRPr="00F47AF8">
        <w:t xml:space="preserve">Compared with </w:t>
      </w:r>
      <w:r w:rsidRPr="009F159D">
        <w:t>2025</w:t>
      </w:r>
      <w:r>
        <w:rPr>
          <w:rFonts w:ascii="Times New Roman" w:hAnsi="Times New Roman" w:cs="Times New Roman"/>
        </w:rPr>
        <w:t>‍</w:t>
      </w:r>
      <w:r w:rsidRPr="00BA42D7">
        <w:t>–</w:t>
      </w:r>
      <w:r>
        <w:rPr>
          <w:rFonts w:ascii="Times New Roman" w:hAnsi="Times New Roman" w:cs="Times New Roman"/>
        </w:rPr>
        <w:t>‍</w:t>
      </w:r>
      <w:r w:rsidRPr="009F159D">
        <w:t>26</w:t>
      </w:r>
      <w:r w:rsidRPr="00F47AF8">
        <w:t>, the 2018 legislat</w:t>
      </w:r>
      <w:r>
        <w:t>ed</w:t>
      </w:r>
      <w:r w:rsidRPr="00F47AF8">
        <w:t xml:space="preserve"> changes to determining relativities increase New South </w:t>
      </w:r>
      <w:proofErr w:type="spellStart"/>
      <w:r w:rsidRPr="00F47AF8">
        <w:t>Wales’</w:t>
      </w:r>
      <w:proofErr w:type="spellEnd"/>
      <w:r w:rsidRPr="00F47AF8">
        <w:t xml:space="preserve"> GST distribution</w:t>
      </w:r>
      <w:r>
        <w:t xml:space="preserve"> </w:t>
      </w:r>
      <w:r w:rsidR="00012A1C">
        <w:t>by</w:t>
      </w:r>
      <w:r w:rsidR="00B22505">
        <w:t xml:space="preserve"> </w:t>
      </w:r>
      <w:r w:rsidRPr="00F47AF8">
        <w:t>$29</w:t>
      </w:r>
      <w:r>
        <w:t>8</w:t>
      </w:r>
      <w:r w:rsidRPr="00F47AF8">
        <w:t> million.</w:t>
      </w:r>
    </w:p>
    <w:p w14:paraId="35265769" w14:textId="77777777" w:rsidR="003957CD" w:rsidRPr="00F47AF8" w:rsidRDefault="003957CD" w:rsidP="006B3799">
      <w:pPr>
        <w:pStyle w:val="CGC2025Caption"/>
        <w:ind w:left="1418" w:hanging="1418"/>
      </w:pPr>
      <w:r w:rsidRPr="00F47AF8">
        <w:t>Table 3-1</w:t>
      </w:r>
      <w:r w:rsidRPr="00F47AF8">
        <w:tab/>
        <w:t>Change in estimated GST distribution from 2025–26 to 2026–27, New South Wales (excludes no worse off payments)</w:t>
      </w:r>
    </w:p>
    <w:tbl>
      <w:tblPr>
        <w:tblW w:w="9360" w:type="dxa"/>
        <w:tblLook w:val="04A0" w:firstRow="1" w:lastRow="0" w:firstColumn="1" w:lastColumn="0" w:noHBand="0" w:noVBand="1"/>
      </w:tblPr>
      <w:tblGrid>
        <w:gridCol w:w="4240"/>
        <w:gridCol w:w="2560"/>
        <w:gridCol w:w="2560"/>
      </w:tblGrid>
      <w:tr w:rsidR="003957CD" w:rsidRPr="00295205" w14:paraId="698C42B2" w14:textId="77777777" w:rsidTr="00E51790">
        <w:trPr>
          <w:trHeight w:val="290"/>
        </w:trPr>
        <w:tc>
          <w:tcPr>
            <w:tcW w:w="4240" w:type="dxa"/>
            <w:tcBorders>
              <w:top w:val="nil"/>
              <w:left w:val="nil"/>
              <w:bottom w:val="single" w:sz="4" w:space="0" w:color="ADD6EA"/>
              <w:right w:val="nil"/>
            </w:tcBorders>
            <w:shd w:val="clear" w:color="000000" w:fill="006991"/>
            <w:noWrap/>
            <w:vAlign w:val="center"/>
            <w:hideMark/>
          </w:tcPr>
          <w:p w14:paraId="1AF4200D"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95205">
              <w:rPr>
                <w:rFonts w:ascii="Open Sans Semibold" w:eastAsia="Times New Roman" w:hAnsi="Open Sans Semibold" w:cs="Open Sans Semibold"/>
                <w:color w:val="FFFFFF"/>
                <w:sz w:val="16"/>
                <w:szCs w:val="16"/>
                <w:lang w:eastAsia="en-AU"/>
              </w:rPr>
              <w:t> </w:t>
            </w:r>
          </w:p>
        </w:tc>
        <w:tc>
          <w:tcPr>
            <w:tcW w:w="2560" w:type="dxa"/>
            <w:tcBorders>
              <w:top w:val="nil"/>
              <w:left w:val="nil"/>
              <w:bottom w:val="single" w:sz="4" w:space="0" w:color="ADD6EA"/>
              <w:right w:val="nil"/>
            </w:tcBorders>
            <w:shd w:val="clear" w:color="000000" w:fill="006991"/>
            <w:noWrap/>
            <w:vAlign w:val="center"/>
            <w:hideMark/>
          </w:tcPr>
          <w:p w14:paraId="227E6273"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95205">
              <w:rPr>
                <w:rFonts w:ascii="Open Sans Semibold" w:eastAsia="Times New Roman" w:hAnsi="Open Sans Semibold" w:cs="Open Sans Semibold"/>
                <w:color w:val="FFFFFF"/>
                <w:sz w:val="16"/>
                <w:szCs w:val="16"/>
                <w:lang w:eastAsia="en-AU"/>
              </w:rPr>
              <w:t>$m</w:t>
            </w:r>
          </w:p>
        </w:tc>
        <w:tc>
          <w:tcPr>
            <w:tcW w:w="2560" w:type="dxa"/>
            <w:tcBorders>
              <w:top w:val="nil"/>
              <w:left w:val="nil"/>
              <w:bottom w:val="single" w:sz="4" w:space="0" w:color="ADD6EA"/>
              <w:right w:val="nil"/>
            </w:tcBorders>
            <w:shd w:val="clear" w:color="000000" w:fill="006991"/>
            <w:noWrap/>
            <w:vAlign w:val="center"/>
            <w:hideMark/>
          </w:tcPr>
          <w:p w14:paraId="65939371"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95205">
              <w:rPr>
                <w:rFonts w:ascii="Open Sans Semibold" w:eastAsia="Times New Roman" w:hAnsi="Open Sans Semibold" w:cs="Open Sans Semibold"/>
                <w:color w:val="FFFFFF"/>
                <w:sz w:val="16"/>
                <w:szCs w:val="16"/>
                <w:lang w:eastAsia="en-AU"/>
              </w:rPr>
              <w:t>$pc</w:t>
            </w:r>
          </w:p>
        </w:tc>
      </w:tr>
      <w:tr w:rsidR="003957CD" w:rsidRPr="00295205" w14:paraId="013F4D76" w14:textId="77777777" w:rsidTr="00E51790">
        <w:trPr>
          <w:trHeight w:val="290"/>
        </w:trPr>
        <w:tc>
          <w:tcPr>
            <w:tcW w:w="4240" w:type="dxa"/>
            <w:tcBorders>
              <w:top w:val="nil"/>
              <w:left w:val="nil"/>
              <w:bottom w:val="single" w:sz="4" w:space="0" w:color="ADD6EA"/>
              <w:right w:val="nil"/>
            </w:tcBorders>
            <w:noWrap/>
            <w:vAlign w:val="center"/>
            <w:hideMark/>
          </w:tcPr>
          <w:p w14:paraId="44E78F0A" w14:textId="77777777" w:rsidR="003957CD" w:rsidRPr="00295205"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xml:space="preserve">Change in </w:t>
            </w:r>
            <w:r w:rsidRPr="00295205">
              <w:rPr>
                <w:rFonts w:ascii="Open Sans Light" w:eastAsia="Times New Roman" w:hAnsi="Open Sans Light" w:cs="Open Sans Light"/>
                <w:color w:val="000000"/>
                <w:sz w:val="16"/>
                <w:szCs w:val="16"/>
                <w:lang w:eastAsia="en-AU"/>
              </w:rPr>
              <w:t>population</w:t>
            </w:r>
          </w:p>
        </w:tc>
        <w:tc>
          <w:tcPr>
            <w:tcW w:w="2560" w:type="dxa"/>
            <w:tcBorders>
              <w:top w:val="nil"/>
              <w:left w:val="nil"/>
              <w:bottom w:val="single" w:sz="4" w:space="0" w:color="ADD6EA"/>
              <w:right w:val="nil"/>
            </w:tcBorders>
            <w:noWrap/>
            <w:vAlign w:val="center"/>
            <w:hideMark/>
          </w:tcPr>
          <w:p w14:paraId="02674D73"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-44</w:t>
            </w:r>
          </w:p>
        </w:tc>
        <w:tc>
          <w:tcPr>
            <w:tcW w:w="2560" w:type="dxa"/>
            <w:tcBorders>
              <w:top w:val="nil"/>
              <w:left w:val="nil"/>
              <w:bottom w:val="single" w:sz="4" w:space="0" w:color="ADD6EA"/>
              <w:right w:val="nil"/>
            </w:tcBorders>
            <w:noWrap/>
            <w:vAlign w:val="center"/>
            <w:hideMark/>
          </w:tcPr>
          <w:p w14:paraId="5012EDF2"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-5</w:t>
            </w:r>
          </w:p>
        </w:tc>
      </w:tr>
      <w:tr w:rsidR="003957CD" w:rsidRPr="00295205" w14:paraId="33384C46" w14:textId="77777777" w:rsidTr="00E51790">
        <w:trPr>
          <w:trHeight w:val="290"/>
        </w:trPr>
        <w:tc>
          <w:tcPr>
            <w:tcW w:w="4240" w:type="dxa"/>
            <w:tcBorders>
              <w:top w:val="nil"/>
              <w:left w:val="nil"/>
              <w:bottom w:val="single" w:sz="4" w:space="0" w:color="ADD6EA"/>
              <w:right w:val="nil"/>
            </w:tcBorders>
            <w:noWrap/>
            <w:vAlign w:val="center"/>
            <w:hideMark/>
          </w:tcPr>
          <w:p w14:paraId="748B6B99" w14:textId="77777777" w:rsidR="003957CD" w:rsidRPr="00295205"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xml:space="preserve">Growth in GST pool </w:t>
            </w:r>
          </w:p>
        </w:tc>
        <w:tc>
          <w:tcPr>
            <w:tcW w:w="2560" w:type="dxa"/>
            <w:tcBorders>
              <w:top w:val="nil"/>
              <w:left w:val="nil"/>
              <w:bottom w:val="single" w:sz="4" w:space="0" w:color="ADD6EA"/>
              <w:right w:val="nil"/>
            </w:tcBorders>
            <w:noWrap/>
            <w:vAlign w:val="center"/>
            <w:hideMark/>
          </w:tcPr>
          <w:p w14:paraId="23ABD495"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1,591</w:t>
            </w:r>
          </w:p>
        </w:tc>
        <w:tc>
          <w:tcPr>
            <w:tcW w:w="2560" w:type="dxa"/>
            <w:tcBorders>
              <w:top w:val="nil"/>
              <w:left w:val="nil"/>
              <w:bottom w:val="single" w:sz="4" w:space="0" w:color="ADD6EA"/>
              <w:right w:val="nil"/>
            </w:tcBorders>
            <w:noWrap/>
            <w:vAlign w:val="center"/>
            <w:hideMark/>
          </w:tcPr>
          <w:p w14:paraId="12070ADC"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182</w:t>
            </w:r>
          </w:p>
        </w:tc>
      </w:tr>
      <w:tr w:rsidR="003957CD" w:rsidRPr="00295205" w14:paraId="24C2EA70" w14:textId="77777777" w:rsidTr="00E51790">
        <w:trPr>
          <w:trHeight w:val="290"/>
        </w:trPr>
        <w:tc>
          <w:tcPr>
            <w:tcW w:w="4240" w:type="dxa"/>
            <w:tcBorders>
              <w:top w:val="nil"/>
              <w:left w:val="nil"/>
              <w:bottom w:val="single" w:sz="4" w:space="0" w:color="ADD6EA"/>
              <w:right w:val="nil"/>
            </w:tcBorders>
            <w:noWrap/>
            <w:vAlign w:val="center"/>
            <w:hideMark/>
          </w:tcPr>
          <w:p w14:paraId="11D2F5AB" w14:textId="3FDB0228" w:rsidR="003957CD" w:rsidRPr="00295205"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xml:space="preserve">Changes in assessed </w:t>
            </w:r>
            <w:r w:rsidR="001169A0">
              <w:rPr>
                <w:rFonts w:ascii="Open Sans Light" w:eastAsia="Times New Roman" w:hAnsi="Open Sans Light" w:cs="Open Sans Light"/>
                <w:sz w:val="16"/>
                <w:szCs w:val="16"/>
                <w:lang w:eastAsia="en-AU"/>
              </w:rPr>
              <w:t>GST</w:t>
            </w:r>
            <w:r w:rsidRPr="00295205">
              <w:rPr>
                <w:rFonts w:ascii="Open Sans Light" w:eastAsia="Times New Roman" w:hAnsi="Open Sans Light" w:cs="Open Sans Light"/>
                <w:sz w:val="16"/>
                <w:szCs w:val="16"/>
                <w:lang w:eastAsia="en-AU"/>
              </w:rPr>
              <w:t xml:space="preserve"> needs</w:t>
            </w:r>
          </w:p>
        </w:tc>
        <w:tc>
          <w:tcPr>
            <w:tcW w:w="2560" w:type="dxa"/>
            <w:tcBorders>
              <w:top w:val="nil"/>
              <w:left w:val="nil"/>
              <w:bottom w:val="single" w:sz="4" w:space="0" w:color="ADD6EA"/>
              <w:right w:val="nil"/>
            </w:tcBorders>
            <w:noWrap/>
            <w:vAlign w:val="center"/>
            <w:hideMark/>
          </w:tcPr>
          <w:p w14:paraId="65276B99"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w:t>
            </w:r>
          </w:p>
        </w:tc>
        <w:tc>
          <w:tcPr>
            <w:tcW w:w="2560" w:type="dxa"/>
            <w:tcBorders>
              <w:top w:val="nil"/>
              <w:left w:val="nil"/>
              <w:bottom w:val="single" w:sz="4" w:space="0" w:color="ADD6EA"/>
              <w:right w:val="nil"/>
            </w:tcBorders>
            <w:noWrap/>
            <w:vAlign w:val="center"/>
            <w:hideMark/>
          </w:tcPr>
          <w:p w14:paraId="3457BB8D"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w:t>
            </w:r>
          </w:p>
        </w:tc>
      </w:tr>
      <w:tr w:rsidR="003957CD" w:rsidRPr="00295205" w14:paraId="7AC60A9A" w14:textId="77777777" w:rsidTr="00E51790">
        <w:trPr>
          <w:trHeight w:val="290"/>
        </w:trPr>
        <w:tc>
          <w:tcPr>
            <w:tcW w:w="4240" w:type="dxa"/>
            <w:tcBorders>
              <w:top w:val="nil"/>
              <w:left w:val="nil"/>
              <w:bottom w:val="single" w:sz="4" w:space="0" w:color="ADD6EA"/>
              <w:right w:val="nil"/>
            </w:tcBorders>
            <w:noWrap/>
            <w:vAlign w:val="center"/>
            <w:hideMark/>
          </w:tcPr>
          <w:p w14:paraId="64A898D6" w14:textId="77777777" w:rsidR="003957CD" w:rsidRPr="00295205"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Method changes</w:t>
            </w:r>
          </w:p>
        </w:tc>
        <w:tc>
          <w:tcPr>
            <w:tcW w:w="2560" w:type="dxa"/>
            <w:tcBorders>
              <w:top w:val="nil"/>
              <w:left w:val="nil"/>
              <w:bottom w:val="single" w:sz="4" w:space="0" w:color="ADD6EA"/>
              <w:right w:val="nil"/>
            </w:tcBorders>
            <w:noWrap/>
            <w:vAlign w:val="center"/>
            <w:hideMark/>
          </w:tcPr>
          <w:p w14:paraId="32FC34E4"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145</w:t>
            </w:r>
          </w:p>
        </w:tc>
        <w:tc>
          <w:tcPr>
            <w:tcW w:w="2560" w:type="dxa"/>
            <w:tcBorders>
              <w:top w:val="nil"/>
              <w:left w:val="nil"/>
              <w:bottom w:val="single" w:sz="4" w:space="0" w:color="ADD6EA"/>
              <w:right w:val="nil"/>
            </w:tcBorders>
            <w:noWrap/>
            <w:vAlign w:val="center"/>
            <w:hideMark/>
          </w:tcPr>
          <w:p w14:paraId="1085DEEE"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17</w:t>
            </w:r>
          </w:p>
        </w:tc>
      </w:tr>
      <w:tr w:rsidR="003957CD" w:rsidRPr="00295205" w14:paraId="39C45F5E" w14:textId="77777777" w:rsidTr="00E51790">
        <w:trPr>
          <w:trHeight w:val="290"/>
        </w:trPr>
        <w:tc>
          <w:tcPr>
            <w:tcW w:w="4240" w:type="dxa"/>
            <w:tcBorders>
              <w:top w:val="nil"/>
              <w:left w:val="nil"/>
              <w:bottom w:val="single" w:sz="4" w:space="0" w:color="ADD6EA"/>
              <w:right w:val="nil"/>
            </w:tcBorders>
            <w:noWrap/>
            <w:vAlign w:val="center"/>
            <w:hideMark/>
          </w:tcPr>
          <w:p w14:paraId="1A91B45A" w14:textId="77777777" w:rsidR="003957CD" w:rsidRPr="00295205"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Data revisions</w:t>
            </w:r>
          </w:p>
        </w:tc>
        <w:tc>
          <w:tcPr>
            <w:tcW w:w="2560" w:type="dxa"/>
            <w:tcBorders>
              <w:top w:val="nil"/>
              <w:left w:val="nil"/>
              <w:bottom w:val="single" w:sz="4" w:space="0" w:color="ADD6EA"/>
              <w:right w:val="nil"/>
            </w:tcBorders>
            <w:noWrap/>
            <w:vAlign w:val="center"/>
            <w:hideMark/>
          </w:tcPr>
          <w:p w14:paraId="62C0A4A7"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-492</w:t>
            </w:r>
          </w:p>
        </w:tc>
        <w:tc>
          <w:tcPr>
            <w:tcW w:w="2560" w:type="dxa"/>
            <w:tcBorders>
              <w:top w:val="nil"/>
              <w:left w:val="nil"/>
              <w:bottom w:val="single" w:sz="4" w:space="0" w:color="ADD6EA"/>
              <w:right w:val="nil"/>
            </w:tcBorders>
            <w:noWrap/>
            <w:vAlign w:val="center"/>
            <w:hideMark/>
          </w:tcPr>
          <w:p w14:paraId="13799135"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-56</w:t>
            </w:r>
          </w:p>
        </w:tc>
      </w:tr>
      <w:tr w:rsidR="003957CD" w:rsidRPr="00295205" w14:paraId="19B66287" w14:textId="77777777" w:rsidTr="00E51790">
        <w:trPr>
          <w:trHeight w:val="290"/>
        </w:trPr>
        <w:tc>
          <w:tcPr>
            <w:tcW w:w="4240" w:type="dxa"/>
            <w:tcBorders>
              <w:top w:val="nil"/>
              <w:left w:val="nil"/>
              <w:bottom w:val="single" w:sz="4" w:space="0" w:color="ADD6EA"/>
              <w:right w:val="nil"/>
            </w:tcBorders>
            <w:noWrap/>
            <w:vAlign w:val="center"/>
            <w:hideMark/>
          </w:tcPr>
          <w:p w14:paraId="3D8B6D12" w14:textId="77777777" w:rsidR="003957CD" w:rsidRPr="00295205"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State circumstances</w:t>
            </w:r>
          </w:p>
        </w:tc>
        <w:tc>
          <w:tcPr>
            <w:tcW w:w="2560" w:type="dxa"/>
            <w:tcBorders>
              <w:top w:val="nil"/>
              <w:left w:val="nil"/>
              <w:bottom w:val="single" w:sz="4" w:space="0" w:color="ADD6EA"/>
              <w:right w:val="nil"/>
            </w:tcBorders>
            <w:noWrap/>
            <w:vAlign w:val="center"/>
            <w:hideMark/>
          </w:tcPr>
          <w:p w14:paraId="28E40FCD"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-1,182</w:t>
            </w:r>
          </w:p>
        </w:tc>
        <w:tc>
          <w:tcPr>
            <w:tcW w:w="2560" w:type="dxa"/>
            <w:tcBorders>
              <w:top w:val="nil"/>
              <w:left w:val="nil"/>
              <w:bottom w:val="single" w:sz="4" w:space="0" w:color="ADD6EA"/>
              <w:right w:val="nil"/>
            </w:tcBorders>
            <w:noWrap/>
            <w:vAlign w:val="center"/>
            <w:hideMark/>
          </w:tcPr>
          <w:p w14:paraId="503EF128"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-135</w:t>
            </w:r>
          </w:p>
        </w:tc>
      </w:tr>
      <w:tr w:rsidR="003957CD" w:rsidRPr="00295205" w14:paraId="4886523C" w14:textId="77777777" w:rsidTr="00E51790">
        <w:trPr>
          <w:trHeight w:val="290"/>
        </w:trPr>
        <w:tc>
          <w:tcPr>
            <w:tcW w:w="4240" w:type="dxa"/>
            <w:tcBorders>
              <w:top w:val="nil"/>
              <w:left w:val="nil"/>
              <w:bottom w:val="single" w:sz="4" w:space="0" w:color="ADD6EA"/>
              <w:right w:val="nil"/>
            </w:tcBorders>
            <w:noWrap/>
            <w:vAlign w:val="center"/>
            <w:hideMark/>
          </w:tcPr>
          <w:p w14:paraId="04EE841A" w14:textId="77777777" w:rsidR="003957CD" w:rsidRPr="00295205"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Total</w:t>
            </w:r>
          </w:p>
        </w:tc>
        <w:tc>
          <w:tcPr>
            <w:tcW w:w="2560" w:type="dxa"/>
            <w:tcBorders>
              <w:top w:val="nil"/>
              <w:left w:val="nil"/>
              <w:bottom w:val="single" w:sz="4" w:space="0" w:color="ADD6EA"/>
              <w:right w:val="nil"/>
            </w:tcBorders>
            <w:noWrap/>
            <w:vAlign w:val="center"/>
            <w:hideMark/>
          </w:tcPr>
          <w:p w14:paraId="4D4E8F9E"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-1,5</w:t>
            </w:r>
            <w:r>
              <w:rPr>
                <w:rFonts w:ascii="Open Sans Light" w:eastAsia="Times New Roman" w:hAnsi="Open Sans Light" w:cs="Open Sans Light"/>
                <w:sz w:val="16"/>
                <w:szCs w:val="16"/>
                <w:lang w:eastAsia="en-AU"/>
              </w:rPr>
              <w:t>30</w:t>
            </w:r>
          </w:p>
        </w:tc>
        <w:tc>
          <w:tcPr>
            <w:tcW w:w="2560" w:type="dxa"/>
            <w:tcBorders>
              <w:top w:val="nil"/>
              <w:left w:val="nil"/>
              <w:bottom w:val="single" w:sz="4" w:space="0" w:color="ADD6EA"/>
              <w:right w:val="nil"/>
            </w:tcBorders>
            <w:noWrap/>
            <w:vAlign w:val="center"/>
            <w:hideMark/>
          </w:tcPr>
          <w:p w14:paraId="59E886C0"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-175</w:t>
            </w:r>
          </w:p>
        </w:tc>
      </w:tr>
      <w:tr w:rsidR="003957CD" w:rsidRPr="00295205" w14:paraId="20859101" w14:textId="77777777" w:rsidTr="00E51790">
        <w:trPr>
          <w:trHeight w:val="290"/>
        </w:trPr>
        <w:tc>
          <w:tcPr>
            <w:tcW w:w="4240" w:type="dxa"/>
            <w:tcBorders>
              <w:top w:val="nil"/>
              <w:left w:val="nil"/>
              <w:bottom w:val="single" w:sz="4" w:space="0" w:color="ADD6EA"/>
              <w:right w:val="nil"/>
            </w:tcBorders>
            <w:noWrap/>
            <w:vAlign w:val="center"/>
            <w:hideMark/>
          </w:tcPr>
          <w:p w14:paraId="640DA382" w14:textId="77777777" w:rsidR="003957CD" w:rsidRPr="00295205"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2018 legislated changes to determining relativities</w:t>
            </w:r>
          </w:p>
        </w:tc>
        <w:tc>
          <w:tcPr>
            <w:tcW w:w="2560" w:type="dxa"/>
            <w:tcBorders>
              <w:top w:val="nil"/>
              <w:left w:val="nil"/>
              <w:bottom w:val="single" w:sz="4" w:space="0" w:color="ADD6EA"/>
              <w:right w:val="nil"/>
            </w:tcBorders>
            <w:noWrap/>
            <w:vAlign w:val="center"/>
            <w:hideMark/>
          </w:tcPr>
          <w:p w14:paraId="7A4698A6"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298</w:t>
            </w:r>
          </w:p>
        </w:tc>
        <w:tc>
          <w:tcPr>
            <w:tcW w:w="2560" w:type="dxa"/>
            <w:tcBorders>
              <w:top w:val="nil"/>
              <w:left w:val="nil"/>
              <w:bottom w:val="single" w:sz="4" w:space="0" w:color="ADD6EA"/>
              <w:right w:val="nil"/>
            </w:tcBorders>
            <w:noWrap/>
            <w:vAlign w:val="center"/>
            <w:hideMark/>
          </w:tcPr>
          <w:p w14:paraId="015B2420"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34</w:t>
            </w:r>
          </w:p>
        </w:tc>
      </w:tr>
      <w:tr w:rsidR="003957CD" w:rsidRPr="00295205" w14:paraId="31733CBF" w14:textId="77777777" w:rsidTr="00E51790">
        <w:trPr>
          <w:trHeight w:val="290"/>
        </w:trPr>
        <w:tc>
          <w:tcPr>
            <w:tcW w:w="4240" w:type="dxa"/>
            <w:tcBorders>
              <w:top w:val="nil"/>
              <w:left w:val="nil"/>
              <w:bottom w:val="single" w:sz="4" w:space="0" w:color="ADD6EA"/>
              <w:right w:val="nil"/>
            </w:tcBorders>
            <w:shd w:val="clear" w:color="000000" w:fill="D6E7F0"/>
            <w:noWrap/>
            <w:vAlign w:val="center"/>
            <w:hideMark/>
          </w:tcPr>
          <w:p w14:paraId="3F18A1BD" w14:textId="77777777" w:rsidR="003957CD" w:rsidRPr="00295205"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95205">
              <w:rPr>
                <w:rFonts w:ascii="Open Sans Semibold" w:eastAsia="Times New Roman" w:hAnsi="Open Sans Semibold" w:cs="Open Sans Semibold"/>
                <w:color w:val="000000"/>
                <w:sz w:val="16"/>
                <w:szCs w:val="16"/>
                <w:lang w:eastAsia="en-AU"/>
              </w:rPr>
              <w:t>Total change</w:t>
            </w:r>
          </w:p>
        </w:tc>
        <w:tc>
          <w:tcPr>
            <w:tcW w:w="2560" w:type="dxa"/>
            <w:tcBorders>
              <w:top w:val="nil"/>
              <w:left w:val="nil"/>
              <w:bottom w:val="single" w:sz="4" w:space="0" w:color="ADD6EA"/>
              <w:right w:val="nil"/>
            </w:tcBorders>
            <w:shd w:val="clear" w:color="000000" w:fill="D6E7F0"/>
            <w:noWrap/>
            <w:vAlign w:val="center"/>
            <w:hideMark/>
          </w:tcPr>
          <w:p w14:paraId="2F01B4DA"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95205">
              <w:rPr>
                <w:rFonts w:ascii="Open Sans Semibold" w:eastAsia="Times New Roman" w:hAnsi="Open Sans Semibold" w:cs="Open Sans Semibold"/>
                <w:color w:val="000000"/>
                <w:sz w:val="16"/>
                <w:szCs w:val="16"/>
                <w:lang w:eastAsia="en-AU"/>
              </w:rPr>
              <w:t>316</w:t>
            </w:r>
          </w:p>
        </w:tc>
        <w:tc>
          <w:tcPr>
            <w:tcW w:w="2560" w:type="dxa"/>
            <w:tcBorders>
              <w:top w:val="nil"/>
              <w:left w:val="nil"/>
              <w:bottom w:val="single" w:sz="4" w:space="0" w:color="ADD6EA"/>
              <w:right w:val="nil"/>
            </w:tcBorders>
            <w:shd w:val="clear" w:color="000000" w:fill="D6E7F0"/>
            <w:noWrap/>
            <w:vAlign w:val="center"/>
            <w:hideMark/>
          </w:tcPr>
          <w:p w14:paraId="6F83E19D"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95205">
              <w:rPr>
                <w:rFonts w:ascii="Open Sans Semibold" w:eastAsia="Times New Roman" w:hAnsi="Open Sans Semibold" w:cs="Open Sans Semibold"/>
                <w:color w:val="000000"/>
                <w:sz w:val="16"/>
                <w:szCs w:val="16"/>
                <w:lang w:eastAsia="en-AU"/>
              </w:rPr>
              <w:t>36</w:t>
            </w:r>
          </w:p>
        </w:tc>
      </w:tr>
    </w:tbl>
    <w:p w14:paraId="2CEE36D7" w14:textId="77777777" w:rsidR="003957CD" w:rsidRPr="00F47AF8" w:rsidRDefault="003957CD" w:rsidP="003957CD">
      <w:pPr>
        <w:tabs>
          <w:tab w:val="clear" w:pos="567"/>
        </w:tabs>
        <w:spacing w:before="0" w:line="240" w:lineRule="auto"/>
        <w:rPr>
          <w:rFonts w:ascii="Open Sans Light" w:eastAsia="Times New Roman" w:hAnsi="Open Sans Light" w:cs="Times New Roman"/>
          <w:szCs w:val="20"/>
        </w:rPr>
      </w:pPr>
      <w:r w:rsidRPr="00F47AF8">
        <w:rPr>
          <w:rFonts w:ascii="Open Sans Light" w:eastAsia="Times New Roman" w:hAnsi="Open Sans Light" w:cs="Times New Roman"/>
          <w:szCs w:val="20"/>
        </w:rPr>
        <w:br w:type="page"/>
      </w:r>
    </w:p>
    <w:p w14:paraId="49BAAC93" w14:textId="77777777" w:rsidR="003957CD" w:rsidRPr="00F47AF8" w:rsidRDefault="003957CD" w:rsidP="006B3799">
      <w:pPr>
        <w:pStyle w:val="CGC2025Caption"/>
        <w:ind w:left="1560" w:hanging="1560"/>
      </w:pPr>
      <w:r w:rsidRPr="00F47AF8">
        <w:lastRenderedPageBreak/>
        <w:t>Figure 3-1</w:t>
      </w:r>
      <w:r w:rsidRPr="00F47AF8">
        <w:tab/>
        <w:t>New</w:t>
      </w:r>
      <w:r>
        <w:t> </w:t>
      </w:r>
      <w:r w:rsidRPr="00F47AF8">
        <w:t>South</w:t>
      </w:r>
      <w:r>
        <w:t> </w:t>
      </w:r>
      <w:r w:rsidRPr="00F47AF8">
        <w:t>Wales: main changes in assessed GST needs, 2026</w:t>
      </w:r>
      <w:r w:rsidRPr="00BA42D7">
        <w:t>–</w:t>
      </w:r>
      <w:r>
        <w:t>27 relativities</w:t>
      </w:r>
    </w:p>
    <w:tbl>
      <w:tblPr>
        <w:tblW w:w="9260" w:type="dxa"/>
        <w:tblLook w:val="04A0" w:firstRow="1" w:lastRow="0" w:firstColumn="1" w:lastColumn="0" w:noHBand="0" w:noVBand="1"/>
      </w:tblPr>
      <w:tblGrid>
        <w:gridCol w:w="2780"/>
        <w:gridCol w:w="720"/>
        <w:gridCol w:w="720"/>
        <w:gridCol w:w="5040"/>
      </w:tblGrid>
      <w:tr w:rsidR="003957CD" w:rsidRPr="004E2FA3" w14:paraId="2A7BBECE" w14:textId="77777777" w:rsidTr="00E51790">
        <w:trPr>
          <w:trHeight w:val="290"/>
        </w:trPr>
        <w:tc>
          <w:tcPr>
            <w:tcW w:w="9260" w:type="dxa"/>
            <w:gridSpan w:val="4"/>
            <w:tcBorders>
              <w:top w:val="nil"/>
              <w:left w:val="nil"/>
              <w:bottom w:val="nil"/>
              <w:right w:val="nil"/>
            </w:tcBorders>
            <w:shd w:val="clear" w:color="auto" w:fill="006991"/>
            <w:vAlign w:val="center"/>
            <w:hideMark/>
          </w:tcPr>
          <w:p w14:paraId="197B4E69"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4E2FA3">
              <w:rPr>
                <w:rFonts w:ascii="Open Sans Semibold" w:eastAsia="Times New Roman" w:hAnsi="Open Sans Semibold" w:cs="Open Sans Semibold"/>
                <w:color w:val="FFFFFF"/>
                <w:sz w:val="16"/>
                <w:szCs w:val="16"/>
                <w:lang w:eastAsia="en-AU"/>
              </w:rPr>
              <w:t>Method changes</w:t>
            </w:r>
          </w:p>
        </w:tc>
      </w:tr>
      <w:tr w:rsidR="003957CD" w:rsidRPr="004E2FA3" w14:paraId="2C171001" w14:textId="77777777" w:rsidTr="00E51790">
        <w:trPr>
          <w:trHeight w:val="290"/>
        </w:trPr>
        <w:tc>
          <w:tcPr>
            <w:tcW w:w="2780" w:type="dxa"/>
            <w:tcBorders>
              <w:top w:val="single" w:sz="4" w:space="0" w:color="ADD6EA"/>
              <w:left w:val="nil"/>
              <w:bottom w:val="nil"/>
              <w:right w:val="nil"/>
            </w:tcBorders>
            <w:shd w:val="clear" w:color="auto" w:fill="D6E7F0"/>
            <w:hideMark/>
          </w:tcPr>
          <w:p w14:paraId="6853A233"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auto" w:fill="D6E7F0"/>
            <w:hideMark/>
          </w:tcPr>
          <w:p w14:paraId="6B8275A9"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auto" w:fill="D6E7F0"/>
            <w:hideMark/>
          </w:tcPr>
          <w:p w14:paraId="06E8CD42"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Explanation</w:t>
            </w:r>
          </w:p>
        </w:tc>
      </w:tr>
      <w:tr w:rsidR="003957CD" w:rsidRPr="004E2FA3" w14:paraId="0F438EB4" w14:textId="77777777" w:rsidTr="00E51790">
        <w:trPr>
          <w:trHeight w:val="290"/>
        </w:trPr>
        <w:tc>
          <w:tcPr>
            <w:tcW w:w="2780" w:type="dxa"/>
            <w:tcBorders>
              <w:top w:val="single" w:sz="4" w:space="0" w:color="ADD6EA"/>
              <w:left w:val="nil"/>
              <w:bottom w:val="nil"/>
              <w:right w:val="nil"/>
            </w:tcBorders>
            <w:shd w:val="clear" w:color="auto" w:fill="B6D5E4"/>
            <w:hideMark/>
          </w:tcPr>
          <w:p w14:paraId="0BCDC498"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auto" w:fill="B6D5E4"/>
            <w:hideMark/>
          </w:tcPr>
          <w:p w14:paraId="6FFBA09B"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auto" w:fill="B6D5E4"/>
            <w:hideMark/>
          </w:tcPr>
          <w:p w14:paraId="234D4CA7"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auto" w:fill="B6D5E4"/>
            <w:hideMark/>
          </w:tcPr>
          <w:p w14:paraId="67825D56"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 </w:t>
            </w:r>
          </w:p>
        </w:tc>
      </w:tr>
      <w:tr w:rsidR="003957CD" w:rsidRPr="004E2FA3" w14:paraId="128C90B1" w14:textId="77777777" w:rsidTr="00651E12">
        <w:trPr>
          <w:trHeight w:val="1781"/>
        </w:trPr>
        <w:tc>
          <w:tcPr>
            <w:tcW w:w="2780" w:type="dxa"/>
            <w:tcBorders>
              <w:top w:val="single" w:sz="4" w:space="0" w:color="ADD6EA"/>
              <w:left w:val="nil"/>
              <w:bottom w:val="nil"/>
              <w:right w:val="nil"/>
            </w:tcBorders>
            <w:shd w:val="clear" w:color="auto" w:fill="FFFFFF" w:themeFill="background1"/>
            <w:hideMark/>
          </w:tcPr>
          <w:p w14:paraId="2DC6366E"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Justice method changes</w:t>
            </w:r>
          </w:p>
        </w:tc>
        <w:tc>
          <w:tcPr>
            <w:tcW w:w="720" w:type="dxa"/>
            <w:tcBorders>
              <w:top w:val="single" w:sz="4" w:space="0" w:color="ADD6EA"/>
              <w:left w:val="nil"/>
              <w:bottom w:val="nil"/>
              <w:right w:val="nil"/>
            </w:tcBorders>
            <w:shd w:val="clear" w:color="auto" w:fill="ADD6EA"/>
            <w:hideMark/>
          </w:tcPr>
          <w:p w14:paraId="2822E5CA"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242</w:t>
            </w:r>
          </w:p>
        </w:tc>
        <w:tc>
          <w:tcPr>
            <w:tcW w:w="720" w:type="dxa"/>
            <w:tcBorders>
              <w:top w:val="single" w:sz="4" w:space="0" w:color="ADD6EA"/>
              <w:left w:val="nil"/>
              <w:bottom w:val="nil"/>
              <w:right w:val="nil"/>
            </w:tcBorders>
            <w:shd w:val="clear" w:color="auto" w:fill="ADD6EA"/>
            <w:hideMark/>
          </w:tcPr>
          <w:p w14:paraId="5DD64954"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28</w:t>
            </w:r>
          </w:p>
        </w:tc>
        <w:tc>
          <w:tcPr>
            <w:tcW w:w="5040" w:type="dxa"/>
            <w:tcBorders>
              <w:top w:val="single" w:sz="4" w:space="0" w:color="ADD6EA"/>
              <w:left w:val="nil"/>
              <w:bottom w:val="nil"/>
              <w:right w:val="nil"/>
            </w:tcBorders>
            <w:shd w:val="clear" w:color="auto" w:fill="FFFFFF" w:themeFill="background1"/>
            <w:hideMark/>
          </w:tcPr>
          <w:p w14:paraId="00C7F848"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The Commission updated the police regression with the latest available data. These data show an increase in the cost of policing offenders and higher relative costs in non-remote areas</w:t>
            </w:r>
            <w:r>
              <w:rPr>
                <w:rFonts w:ascii="Open Sans Light" w:eastAsia="Times New Roman" w:hAnsi="Open Sans Light" w:cs="Open Sans Light"/>
                <w:color w:val="000000"/>
                <w:sz w:val="16"/>
                <w:szCs w:val="16"/>
                <w:lang w:eastAsia="en-AU"/>
              </w:rPr>
              <w:t>,</w:t>
            </w:r>
            <w:r w:rsidRPr="004E2FA3">
              <w:rPr>
                <w:rFonts w:ascii="Open Sans Light" w:eastAsia="Times New Roman" w:hAnsi="Open Sans Light" w:cs="Open Sans Light"/>
                <w:color w:val="000000"/>
                <w:sz w:val="16"/>
                <w:szCs w:val="16"/>
                <w:lang w:eastAsia="en-AU"/>
              </w:rPr>
              <w:t xml:space="preserve"> which increase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New South </w:t>
            </w:r>
            <w:proofErr w:type="spellStart"/>
            <w:r w:rsidRPr="004E2FA3">
              <w:rPr>
                <w:rFonts w:ascii="Open Sans Light" w:eastAsia="Times New Roman" w:hAnsi="Open Sans Light" w:cs="Open Sans Light"/>
                <w:color w:val="000000"/>
                <w:sz w:val="16"/>
                <w:szCs w:val="16"/>
                <w:lang w:eastAsia="en-AU"/>
              </w:rPr>
              <w:t>Wales’</w:t>
            </w:r>
            <w:proofErr w:type="spellEnd"/>
            <w:r w:rsidRPr="004E2FA3">
              <w:rPr>
                <w:rFonts w:ascii="Open Sans Light" w:eastAsia="Times New Roman" w:hAnsi="Open Sans Light" w:cs="Open Sans Light"/>
                <w:color w:val="000000"/>
                <w:sz w:val="16"/>
                <w:szCs w:val="16"/>
                <w:lang w:eastAsia="en-AU"/>
              </w:rPr>
              <w:t xml:space="preserve"> assessed </w:t>
            </w:r>
            <w:r>
              <w:rPr>
                <w:rFonts w:ascii="Open Sans Light" w:eastAsia="Times New Roman" w:hAnsi="Open Sans Light" w:cs="Open Sans Light"/>
                <w:color w:val="000000"/>
                <w:sz w:val="16"/>
                <w:szCs w:val="16"/>
                <w:lang w:eastAsia="en-AU"/>
              </w:rPr>
              <w:t xml:space="preserve">GST </w:t>
            </w:r>
            <w:r w:rsidRPr="004E2FA3">
              <w:rPr>
                <w:rFonts w:ascii="Open Sans Light" w:eastAsia="Times New Roman" w:hAnsi="Open Sans Light" w:cs="Open Sans Light"/>
                <w:color w:val="000000"/>
                <w:sz w:val="16"/>
                <w:szCs w:val="16"/>
                <w:lang w:eastAsia="en-AU"/>
              </w:rPr>
              <w:t xml:space="preserve">needs. State prisoner data </w:t>
            </w:r>
            <w:r>
              <w:rPr>
                <w:rFonts w:ascii="Open Sans Light" w:eastAsia="Times New Roman" w:hAnsi="Open Sans Light" w:cs="Open Sans Light"/>
                <w:color w:val="000000"/>
                <w:sz w:val="16"/>
                <w:szCs w:val="16"/>
                <w:lang w:eastAsia="en-AU"/>
              </w:rPr>
              <w:t>have</w:t>
            </w:r>
            <w:r w:rsidRPr="004E2FA3">
              <w:rPr>
                <w:rFonts w:ascii="Open Sans Light" w:eastAsia="Times New Roman" w:hAnsi="Open Sans Light" w:cs="Open Sans Light"/>
                <w:color w:val="000000"/>
                <w:sz w:val="16"/>
                <w:szCs w:val="16"/>
                <w:lang w:eastAsia="en-AU"/>
              </w:rPr>
              <w:t xml:space="preserve"> also </w:t>
            </w:r>
            <w:r>
              <w:rPr>
                <w:rFonts w:ascii="Open Sans Light" w:eastAsia="Times New Roman" w:hAnsi="Open Sans Light" w:cs="Open Sans Light"/>
                <w:color w:val="000000"/>
                <w:sz w:val="16"/>
                <w:szCs w:val="16"/>
                <w:lang w:eastAsia="en-AU"/>
              </w:rPr>
              <w:t xml:space="preserve">been </w:t>
            </w:r>
            <w:r w:rsidRPr="004E2FA3">
              <w:rPr>
                <w:rFonts w:ascii="Open Sans Light" w:eastAsia="Times New Roman" w:hAnsi="Open Sans Light" w:cs="Open Sans Light"/>
                <w:color w:val="000000"/>
                <w:sz w:val="16"/>
                <w:szCs w:val="16"/>
                <w:lang w:eastAsia="en-AU"/>
              </w:rPr>
              <w:t xml:space="preserve">updated and show a growing proportion of First Nations defendants </w:t>
            </w:r>
            <w:r>
              <w:rPr>
                <w:rFonts w:ascii="Open Sans Light" w:eastAsia="Times New Roman" w:hAnsi="Open Sans Light" w:cs="Open Sans Light"/>
                <w:color w:val="000000"/>
                <w:sz w:val="16"/>
                <w:szCs w:val="16"/>
                <w:lang w:eastAsia="en-AU"/>
              </w:rPr>
              <w:t xml:space="preserve">who </w:t>
            </w:r>
            <w:r w:rsidRPr="004E2FA3">
              <w:rPr>
                <w:rFonts w:ascii="Open Sans Light" w:eastAsia="Times New Roman" w:hAnsi="Open Sans Light" w:cs="Open Sans Light"/>
                <w:color w:val="000000"/>
                <w:sz w:val="16"/>
                <w:szCs w:val="16"/>
                <w:lang w:eastAsia="en-AU"/>
              </w:rPr>
              <w:t>have lower (rather than higher) levels of disadvantage. This increase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New South </w:t>
            </w:r>
            <w:proofErr w:type="spellStart"/>
            <w:r w:rsidRPr="004E2FA3">
              <w:rPr>
                <w:rFonts w:ascii="Open Sans Light" w:eastAsia="Times New Roman" w:hAnsi="Open Sans Light" w:cs="Open Sans Light"/>
                <w:color w:val="000000"/>
                <w:sz w:val="16"/>
                <w:szCs w:val="16"/>
                <w:lang w:eastAsia="en-AU"/>
              </w:rPr>
              <w:t>Wales’</w:t>
            </w:r>
            <w:proofErr w:type="spellEnd"/>
            <w:r w:rsidRPr="004E2FA3">
              <w:rPr>
                <w:rFonts w:ascii="Open Sans Light" w:eastAsia="Times New Roman" w:hAnsi="Open Sans Light" w:cs="Open Sans Light"/>
                <w:color w:val="000000"/>
                <w:sz w:val="16"/>
                <w:szCs w:val="16"/>
                <w:lang w:eastAsia="en-AU"/>
              </w:rPr>
              <w:t xml:space="preserve"> assessed GST needs.</w:t>
            </w:r>
          </w:p>
        </w:tc>
      </w:tr>
      <w:tr w:rsidR="003957CD" w:rsidRPr="004E2FA3" w14:paraId="106561CA" w14:textId="77777777" w:rsidTr="00E51790">
        <w:trPr>
          <w:trHeight w:val="290"/>
        </w:trPr>
        <w:tc>
          <w:tcPr>
            <w:tcW w:w="9260" w:type="dxa"/>
            <w:gridSpan w:val="4"/>
            <w:tcBorders>
              <w:top w:val="nil"/>
              <w:left w:val="nil"/>
              <w:bottom w:val="nil"/>
              <w:right w:val="nil"/>
            </w:tcBorders>
            <w:shd w:val="clear" w:color="auto" w:fill="006991"/>
            <w:vAlign w:val="center"/>
            <w:hideMark/>
          </w:tcPr>
          <w:p w14:paraId="35978210"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4E2FA3">
              <w:rPr>
                <w:rFonts w:ascii="Open Sans Semibold" w:eastAsia="Times New Roman" w:hAnsi="Open Sans Semibold" w:cs="Open Sans Semibold"/>
                <w:color w:val="FFFFFF"/>
                <w:sz w:val="16"/>
                <w:szCs w:val="16"/>
                <w:lang w:eastAsia="en-AU"/>
              </w:rPr>
              <w:t>Revisions</w:t>
            </w:r>
          </w:p>
        </w:tc>
      </w:tr>
      <w:tr w:rsidR="003957CD" w:rsidRPr="004E2FA3" w14:paraId="0A09061E" w14:textId="77777777" w:rsidTr="00E51790">
        <w:trPr>
          <w:trHeight w:val="290"/>
        </w:trPr>
        <w:tc>
          <w:tcPr>
            <w:tcW w:w="2780" w:type="dxa"/>
            <w:tcBorders>
              <w:top w:val="single" w:sz="4" w:space="0" w:color="ADD6EA"/>
              <w:left w:val="nil"/>
              <w:bottom w:val="nil"/>
              <w:right w:val="nil"/>
            </w:tcBorders>
            <w:shd w:val="clear" w:color="auto" w:fill="D6E7F0"/>
            <w:hideMark/>
          </w:tcPr>
          <w:p w14:paraId="1C654692"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auto" w:fill="D6E7F0"/>
            <w:hideMark/>
          </w:tcPr>
          <w:p w14:paraId="74510DC0"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auto" w:fill="D6E7F0"/>
            <w:hideMark/>
          </w:tcPr>
          <w:p w14:paraId="64898039"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Explanation</w:t>
            </w:r>
          </w:p>
        </w:tc>
      </w:tr>
      <w:tr w:rsidR="003957CD" w:rsidRPr="004E2FA3" w14:paraId="458B87B4" w14:textId="77777777" w:rsidTr="00E51790">
        <w:trPr>
          <w:trHeight w:val="290"/>
        </w:trPr>
        <w:tc>
          <w:tcPr>
            <w:tcW w:w="2780" w:type="dxa"/>
            <w:tcBorders>
              <w:top w:val="single" w:sz="4" w:space="0" w:color="ADD6EA"/>
              <w:left w:val="nil"/>
              <w:bottom w:val="nil"/>
              <w:right w:val="nil"/>
            </w:tcBorders>
            <w:shd w:val="clear" w:color="auto" w:fill="B6D5E4"/>
            <w:hideMark/>
          </w:tcPr>
          <w:p w14:paraId="173C6699"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auto" w:fill="B6D5E4"/>
            <w:hideMark/>
          </w:tcPr>
          <w:p w14:paraId="0338A9D1"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auto" w:fill="B6D5E4"/>
            <w:hideMark/>
          </w:tcPr>
          <w:p w14:paraId="2FD76D2D"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auto" w:fill="B6D5E4"/>
            <w:hideMark/>
          </w:tcPr>
          <w:p w14:paraId="76841E4E"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 </w:t>
            </w:r>
          </w:p>
        </w:tc>
      </w:tr>
      <w:tr w:rsidR="003957CD" w:rsidRPr="004E2FA3" w14:paraId="2578C2A8" w14:textId="77777777" w:rsidTr="00F31B8C">
        <w:trPr>
          <w:trHeight w:val="1120"/>
        </w:trPr>
        <w:tc>
          <w:tcPr>
            <w:tcW w:w="2780" w:type="dxa"/>
            <w:tcBorders>
              <w:top w:val="single" w:sz="4" w:space="0" w:color="ADD6EA"/>
              <w:left w:val="nil"/>
              <w:bottom w:val="nil"/>
              <w:right w:val="nil"/>
            </w:tcBorders>
            <w:shd w:val="clear" w:color="auto" w:fill="FFFFFF" w:themeFill="background1"/>
            <w:hideMark/>
          </w:tcPr>
          <w:p w14:paraId="14E1D77D"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Natural disaster relief</w:t>
            </w:r>
          </w:p>
        </w:tc>
        <w:tc>
          <w:tcPr>
            <w:tcW w:w="720" w:type="dxa"/>
            <w:tcBorders>
              <w:top w:val="single" w:sz="4" w:space="0" w:color="ADD6EA"/>
              <w:left w:val="nil"/>
              <w:bottom w:val="nil"/>
              <w:right w:val="nil"/>
            </w:tcBorders>
            <w:shd w:val="clear" w:color="auto" w:fill="EBBFA0"/>
            <w:hideMark/>
          </w:tcPr>
          <w:p w14:paraId="37149ABF"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-770</w:t>
            </w:r>
          </w:p>
        </w:tc>
        <w:tc>
          <w:tcPr>
            <w:tcW w:w="720" w:type="dxa"/>
            <w:tcBorders>
              <w:top w:val="single" w:sz="4" w:space="0" w:color="ADD6EA"/>
              <w:left w:val="nil"/>
              <w:bottom w:val="nil"/>
              <w:right w:val="nil"/>
            </w:tcBorders>
            <w:shd w:val="clear" w:color="auto" w:fill="EBBFA0"/>
            <w:hideMark/>
          </w:tcPr>
          <w:p w14:paraId="2C815E0A"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-88</w:t>
            </w:r>
          </w:p>
        </w:tc>
        <w:tc>
          <w:tcPr>
            <w:tcW w:w="5040" w:type="dxa"/>
            <w:tcBorders>
              <w:top w:val="single" w:sz="4" w:space="0" w:color="ADD6EA"/>
              <w:left w:val="nil"/>
              <w:bottom w:val="nil"/>
              <w:right w:val="nil"/>
            </w:tcBorders>
            <w:shd w:val="clear" w:color="auto" w:fill="FFFFFF" w:themeFill="background1"/>
            <w:hideMark/>
          </w:tcPr>
          <w:p w14:paraId="7A017880" w14:textId="4394BE78"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 xml:space="preserve">A significant downward revision </w:t>
            </w:r>
            <w:r w:rsidR="00AF23BC">
              <w:rPr>
                <w:rFonts w:ascii="Open Sans Light" w:eastAsia="Times New Roman" w:hAnsi="Open Sans Light" w:cs="Open Sans Light"/>
                <w:color w:val="000000"/>
                <w:sz w:val="16"/>
                <w:szCs w:val="16"/>
                <w:lang w:eastAsia="en-AU"/>
              </w:rPr>
              <w:t>by</w:t>
            </w:r>
            <w:r w:rsidRPr="004E2FA3">
              <w:rPr>
                <w:rFonts w:ascii="Open Sans Light" w:eastAsia="Times New Roman" w:hAnsi="Open Sans Light" w:cs="Open Sans Light"/>
                <w:color w:val="000000"/>
                <w:sz w:val="16"/>
                <w:szCs w:val="16"/>
                <w:lang w:eastAsia="en-AU"/>
              </w:rPr>
              <w:t xml:space="preserve"> New South Wales</w:t>
            </w:r>
            <w:r w:rsidR="00AF23BC">
              <w:rPr>
                <w:rFonts w:ascii="Open Sans Light" w:eastAsia="Times New Roman" w:hAnsi="Open Sans Light" w:cs="Open Sans Light"/>
                <w:color w:val="000000"/>
                <w:sz w:val="16"/>
                <w:szCs w:val="16"/>
                <w:lang w:eastAsia="en-AU"/>
              </w:rPr>
              <w:t xml:space="preserve"> to its</w:t>
            </w:r>
            <w:r w:rsidRPr="004E2FA3">
              <w:rPr>
                <w:rFonts w:ascii="Open Sans Light" w:eastAsia="Times New Roman" w:hAnsi="Open Sans Light" w:cs="Open Sans Light"/>
                <w:color w:val="000000"/>
                <w:sz w:val="16"/>
                <w:szCs w:val="16"/>
                <w:lang w:eastAsia="en-AU"/>
              </w:rPr>
              <w:t xml:space="preserve"> natural disaster relief expenses in 2022–23 decrease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its assessed GST needs. </w:t>
            </w:r>
            <w:r w:rsidR="00A2288C">
              <w:rPr>
                <w:rFonts w:ascii="Open Sans Light" w:eastAsia="Times New Roman" w:hAnsi="Open Sans Light" w:cs="Open Sans Light"/>
                <w:color w:val="000000"/>
                <w:sz w:val="16"/>
                <w:szCs w:val="16"/>
                <w:lang w:eastAsia="en-AU"/>
              </w:rPr>
              <w:t>Also, t</w:t>
            </w:r>
            <w:r w:rsidRPr="004E2FA3">
              <w:rPr>
                <w:rFonts w:ascii="Open Sans Light" w:eastAsia="Times New Roman" w:hAnsi="Open Sans Light" w:cs="Open Sans Light"/>
                <w:color w:val="000000"/>
                <w:sz w:val="16"/>
                <w:szCs w:val="16"/>
                <w:lang w:eastAsia="en-AU"/>
              </w:rPr>
              <w:t xml:space="preserve">he Commission </w:t>
            </w:r>
            <w:r w:rsidR="00DF2029" w:rsidRPr="00DF2029">
              <w:rPr>
                <w:rFonts w:ascii="Open Sans Light" w:eastAsia="Times New Roman" w:hAnsi="Open Sans Light" w:cs="Open Sans Light"/>
                <w:color w:val="000000"/>
                <w:sz w:val="16"/>
                <w:szCs w:val="16"/>
                <w:lang w:eastAsia="en-AU"/>
              </w:rPr>
              <w:t xml:space="preserve">makes an adjustment to correct for the use of unrevised data in previous updates </w:t>
            </w:r>
            <w:r w:rsidRPr="004E2FA3">
              <w:rPr>
                <w:rFonts w:ascii="Open Sans Light" w:eastAsia="Times New Roman" w:hAnsi="Open Sans Light" w:cs="Open Sans Light"/>
                <w:color w:val="000000"/>
                <w:sz w:val="16"/>
                <w:szCs w:val="16"/>
                <w:lang w:eastAsia="en-AU"/>
              </w:rPr>
              <w:t>and this further decrease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New</w:t>
            </w:r>
            <w:r w:rsidR="00DD5514">
              <w:rPr>
                <w:rFonts w:ascii="Open Sans Light" w:eastAsia="Times New Roman" w:hAnsi="Open Sans Light" w:cs="Open Sans Light"/>
                <w:color w:val="000000"/>
                <w:sz w:val="16"/>
                <w:szCs w:val="16"/>
                <w:lang w:eastAsia="en-AU"/>
              </w:rPr>
              <w:t> </w:t>
            </w:r>
            <w:r w:rsidRPr="004E2FA3">
              <w:rPr>
                <w:rFonts w:ascii="Open Sans Light" w:eastAsia="Times New Roman" w:hAnsi="Open Sans Light" w:cs="Open Sans Light"/>
                <w:color w:val="000000"/>
                <w:sz w:val="16"/>
                <w:szCs w:val="16"/>
                <w:lang w:eastAsia="en-AU"/>
              </w:rPr>
              <w:t xml:space="preserve">South </w:t>
            </w:r>
            <w:proofErr w:type="spellStart"/>
            <w:r w:rsidRPr="004E2FA3">
              <w:rPr>
                <w:rFonts w:ascii="Open Sans Light" w:eastAsia="Times New Roman" w:hAnsi="Open Sans Light" w:cs="Open Sans Light"/>
                <w:color w:val="000000"/>
                <w:sz w:val="16"/>
                <w:szCs w:val="16"/>
                <w:lang w:eastAsia="en-AU"/>
              </w:rPr>
              <w:t>Wales’</w:t>
            </w:r>
            <w:proofErr w:type="spellEnd"/>
            <w:r w:rsidRPr="004E2FA3">
              <w:rPr>
                <w:rFonts w:ascii="Open Sans Light" w:eastAsia="Times New Roman" w:hAnsi="Open Sans Light" w:cs="Open Sans Light"/>
                <w:color w:val="000000"/>
                <w:sz w:val="16"/>
                <w:szCs w:val="16"/>
                <w:lang w:eastAsia="en-AU"/>
              </w:rPr>
              <w:t xml:space="preserve"> assessed GST needs.</w:t>
            </w:r>
          </w:p>
        </w:tc>
      </w:tr>
      <w:tr w:rsidR="003957CD" w:rsidRPr="004E2FA3" w14:paraId="6DCFFDF9" w14:textId="77777777" w:rsidTr="00E51790">
        <w:trPr>
          <w:trHeight w:val="290"/>
        </w:trPr>
        <w:tc>
          <w:tcPr>
            <w:tcW w:w="9260" w:type="dxa"/>
            <w:gridSpan w:val="4"/>
            <w:tcBorders>
              <w:top w:val="nil"/>
              <w:left w:val="nil"/>
              <w:bottom w:val="nil"/>
              <w:right w:val="nil"/>
            </w:tcBorders>
            <w:shd w:val="clear" w:color="auto" w:fill="006991"/>
            <w:vAlign w:val="center"/>
            <w:hideMark/>
          </w:tcPr>
          <w:p w14:paraId="24D0801F"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4E2FA3">
              <w:rPr>
                <w:rFonts w:ascii="Open Sans Semibold" w:eastAsia="Times New Roman" w:hAnsi="Open Sans Semibold" w:cs="Open Sans Semibold"/>
                <w:color w:val="FFFFFF"/>
                <w:sz w:val="16"/>
                <w:szCs w:val="16"/>
                <w:lang w:eastAsia="en-AU"/>
              </w:rPr>
              <w:t xml:space="preserve">Changes in circumstances </w:t>
            </w:r>
          </w:p>
        </w:tc>
      </w:tr>
      <w:tr w:rsidR="003957CD" w:rsidRPr="004E2FA3" w14:paraId="61E0D46E" w14:textId="77777777" w:rsidTr="00E51790">
        <w:trPr>
          <w:trHeight w:val="290"/>
        </w:trPr>
        <w:tc>
          <w:tcPr>
            <w:tcW w:w="2780" w:type="dxa"/>
            <w:tcBorders>
              <w:top w:val="single" w:sz="4" w:space="0" w:color="ADD6EA"/>
              <w:left w:val="nil"/>
              <w:bottom w:val="nil"/>
              <w:right w:val="nil"/>
            </w:tcBorders>
            <w:shd w:val="clear" w:color="auto" w:fill="D6E7F0"/>
            <w:hideMark/>
          </w:tcPr>
          <w:p w14:paraId="5F4F3C0E"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auto" w:fill="D6E7F0"/>
            <w:hideMark/>
          </w:tcPr>
          <w:p w14:paraId="7DBFD600"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auto" w:fill="D6E7F0"/>
            <w:hideMark/>
          </w:tcPr>
          <w:p w14:paraId="4381B3F0"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Explanation</w:t>
            </w:r>
          </w:p>
        </w:tc>
      </w:tr>
      <w:tr w:rsidR="003957CD" w:rsidRPr="004E2FA3" w14:paraId="21BE8BFA" w14:textId="77777777" w:rsidTr="00E51790">
        <w:trPr>
          <w:trHeight w:val="290"/>
        </w:trPr>
        <w:tc>
          <w:tcPr>
            <w:tcW w:w="2780" w:type="dxa"/>
            <w:tcBorders>
              <w:top w:val="single" w:sz="4" w:space="0" w:color="ADD6EA"/>
              <w:left w:val="nil"/>
              <w:bottom w:val="nil"/>
              <w:right w:val="nil"/>
            </w:tcBorders>
            <w:shd w:val="clear" w:color="auto" w:fill="B6D5E4"/>
            <w:hideMark/>
          </w:tcPr>
          <w:p w14:paraId="09425C6D"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auto" w:fill="B6D5E4"/>
            <w:hideMark/>
          </w:tcPr>
          <w:p w14:paraId="51E07A9E"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auto" w:fill="B6D5E4"/>
            <w:hideMark/>
          </w:tcPr>
          <w:p w14:paraId="2BCCE201" w14:textId="77777777" w:rsidR="003957CD" w:rsidRPr="004E2FA3"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auto" w:fill="B6D5E4"/>
            <w:hideMark/>
          </w:tcPr>
          <w:p w14:paraId="6E071BB3" w14:textId="77777777" w:rsidR="003957CD" w:rsidRPr="004E2FA3"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E2FA3">
              <w:rPr>
                <w:rFonts w:ascii="Open Sans Semibold" w:eastAsia="Times New Roman" w:hAnsi="Open Sans Semibold" w:cs="Open Sans Semibold"/>
                <w:color w:val="000000"/>
                <w:sz w:val="16"/>
                <w:szCs w:val="16"/>
                <w:lang w:eastAsia="en-AU"/>
              </w:rPr>
              <w:t> </w:t>
            </w:r>
          </w:p>
        </w:tc>
      </w:tr>
      <w:tr w:rsidR="003957CD" w:rsidRPr="004E2FA3" w14:paraId="67B38926" w14:textId="77777777" w:rsidTr="00F31B8C">
        <w:trPr>
          <w:trHeight w:val="910"/>
        </w:trPr>
        <w:tc>
          <w:tcPr>
            <w:tcW w:w="2780" w:type="dxa"/>
            <w:tcBorders>
              <w:top w:val="single" w:sz="4" w:space="0" w:color="ADD6EA"/>
              <w:left w:val="nil"/>
              <w:bottom w:val="nil"/>
              <w:right w:val="nil"/>
            </w:tcBorders>
            <w:shd w:val="clear" w:color="auto" w:fill="FFFFFF" w:themeFill="background1"/>
            <w:hideMark/>
          </w:tcPr>
          <w:p w14:paraId="260CC9AB"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COVID-19</w:t>
            </w:r>
          </w:p>
        </w:tc>
        <w:tc>
          <w:tcPr>
            <w:tcW w:w="720" w:type="dxa"/>
            <w:tcBorders>
              <w:top w:val="single" w:sz="4" w:space="0" w:color="ADD6EA"/>
              <w:left w:val="nil"/>
              <w:bottom w:val="nil"/>
              <w:right w:val="nil"/>
            </w:tcBorders>
            <w:shd w:val="clear" w:color="auto" w:fill="EBBFA0"/>
            <w:hideMark/>
          </w:tcPr>
          <w:p w14:paraId="53A16269"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-674</w:t>
            </w:r>
          </w:p>
        </w:tc>
        <w:tc>
          <w:tcPr>
            <w:tcW w:w="720" w:type="dxa"/>
            <w:tcBorders>
              <w:top w:val="single" w:sz="4" w:space="0" w:color="ADD6EA"/>
              <w:left w:val="nil"/>
              <w:bottom w:val="nil"/>
              <w:right w:val="nil"/>
            </w:tcBorders>
            <w:shd w:val="clear" w:color="auto" w:fill="EBBFA0"/>
            <w:hideMark/>
          </w:tcPr>
          <w:p w14:paraId="7149464F"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-77</w:t>
            </w:r>
          </w:p>
        </w:tc>
        <w:tc>
          <w:tcPr>
            <w:tcW w:w="5040" w:type="dxa"/>
            <w:tcBorders>
              <w:top w:val="single" w:sz="4" w:space="0" w:color="ADD6EA"/>
              <w:left w:val="nil"/>
              <w:bottom w:val="nil"/>
              <w:right w:val="nil"/>
            </w:tcBorders>
            <w:shd w:val="clear" w:color="auto" w:fill="FFFFFF" w:themeFill="background1"/>
            <w:hideMark/>
          </w:tcPr>
          <w:p w14:paraId="231B41AF" w14:textId="0CB81AE0"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COVID</w:t>
            </w:r>
            <w:r w:rsidR="00243440">
              <w:rPr>
                <w:rFonts w:ascii="Open Sans Light" w:eastAsia="Times New Roman" w:hAnsi="Open Sans Light" w:cs="Open Sans Light"/>
                <w:color w:val="000000"/>
                <w:sz w:val="16"/>
                <w:szCs w:val="16"/>
                <w:lang w:eastAsia="en-AU"/>
              </w:rPr>
              <w:t>-</w:t>
            </w:r>
            <w:r w:rsidRPr="004E2FA3">
              <w:rPr>
                <w:rFonts w:ascii="Open Sans Light" w:eastAsia="Times New Roman" w:hAnsi="Open Sans Light" w:cs="Open Sans Light"/>
                <w:color w:val="000000"/>
                <w:sz w:val="16"/>
                <w:szCs w:val="16"/>
                <w:lang w:eastAsia="en-AU"/>
              </w:rPr>
              <w:t>19 expenses were largest in 2021–22 and declined significantly in subsequent years. States with above-average COVID</w:t>
            </w:r>
            <w:r w:rsidR="00243440">
              <w:rPr>
                <w:rFonts w:ascii="Open Sans Light" w:eastAsia="Times New Roman" w:hAnsi="Open Sans Light" w:cs="Open Sans Light"/>
                <w:color w:val="000000"/>
                <w:sz w:val="16"/>
                <w:szCs w:val="16"/>
                <w:lang w:eastAsia="en-AU"/>
              </w:rPr>
              <w:t>-</w:t>
            </w:r>
            <w:r w:rsidRPr="004E2FA3">
              <w:rPr>
                <w:rFonts w:ascii="Open Sans Light" w:eastAsia="Times New Roman" w:hAnsi="Open Sans Light" w:cs="Open Sans Light"/>
                <w:color w:val="000000"/>
                <w:sz w:val="16"/>
                <w:szCs w:val="16"/>
                <w:lang w:eastAsia="en-AU"/>
              </w:rPr>
              <w:t>19 expenses, including New South Wales, now have lower expenses, decreas</w:t>
            </w:r>
            <w:r w:rsidR="008B1930">
              <w:rPr>
                <w:rFonts w:ascii="Open Sans Light" w:eastAsia="Times New Roman" w:hAnsi="Open Sans Light" w:cs="Open Sans Light"/>
                <w:color w:val="000000"/>
                <w:sz w:val="16"/>
                <w:szCs w:val="16"/>
                <w:lang w:eastAsia="en-AU"/>
              </w:rPr>
              <w:t>ing</w:t>
            </w:r>
            <w:r w:rsidR="000536AE">
              <w:rPr>
                <w:rFonts w:ascii="Open Sans Light" w:eastAsia="Times New Roman" w:hAnsi="Open Sans Light" w:cs="Open Sans Light"/>
                <w:color w:val="000000"/>
                <w:sz w:val="16"/>
                <w:szCs w:val="16"/>
                <w:lang w:eastAsia="en-AU"/>
              </w:rPr>
              <w:t xml:space="preserve"> </w:t>
            </w:r>
            <w:r w:rsidRPr="004E2FA3">
              <w:rPr>
                <w:rFonts w:ascii="Open Sans Light" w:eastAsia="Times New Roman" w:hAnsi="Open Sans Light" w:cs="Open Sans Light"/>
                <w:color w:val="000000"/>
                <w:sz w:val="16"/>
                <w:szCs w:val="16"/>
                <w:lang w:eastAsia="en-AU"/>
              </w:rPr>
              <w:t>assessed GST needs.</w:t>
            </w:r>
          </w:p>
        </w:tc>
      </w:tr>
      <w:tr w:rsidR="003957CD" w:rsidRPr="004E2FA3" w14:paraId="6345960D" w14:textId="77777777" w:rsidTr="00E51790">
        <w:trPr>
          <w:trHeight w:val="720"/>
        </w:trPr>
        <w:tc>
          <w:tcPr>
            <w:tcW w:w="2780" w:type="dxa"/>
            <w:tcBorders>
              <w:top w:val="single" w:sz="4" w:space="0" w:color="ADD6EA"/>
              <w:left w:val="nil"/>
              <w:bottom w:val="nil"/>
              <w:right w:val="nil"/>
            </w:tcBorders>
            <w:shd w:val="clear" w:color="auto" w:fill="FFFFFF" w:themeFill="background1"/>
            <w:hideMark/>
          </w:tcPr>
          <w:p w14:paraId="6DA167F2"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Property sales</w:t>
            </w:r>
          </w:p>
        </w:tc>
        <w:tc>
          <w:tcPr>
            <w:tcW w:w="720" w:type="dxa"/>
            <w:tcBorders>
              <w:top w:val="single" w:sz="4" w:space="0" w:color="ADD6EA"/>
              <w:left w:val="nil"/>
              <w:bottom w:val="nil"/>
              <w:right w:val="nil"/>
            </w:tcBorders>
            <w:shd w:val="clear" w:color="auto" w:fill="ADD6EA"/>
            <w:hideMark/>
          </w:tcPr>
          <w:p w14:paraId="641D9364"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666</w:t>
            </w:r>
          </w:p>
        </w:tc>
        <w:tc>
          <w:tcPr>
            <w:tcW w:w="720" w:type="dxa"/>
            <w:tcBorders>
              <w:top w:val="single" w:sz="4" w:space="0" w:color="ADD6EA"/>
              <w:left w:val="nil"/>
              <w:bottom w:val="nil"/>
              <w:right w:val="nil"/>
            </w:tcBorders>
            <w:shd w:val="clear" w:color="auto" w:fill="ADD6EA"/>
            <w:hideMark/>
          </w:tcPr>
          <w:p w14:paraId="5DAC537F"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76</w:t>
            </w:r>
          </w:p>
        </w:tc>
        <w:tc>
          <w:tcPr>
            <w:tcW w:w="5040" w:type="dxa"/>
            <w:tcBorders>
              <w:top w:val="single" w:sz="4" w:space="0" w:color="ADD6EA"/>
              <w:left w:val="nil"/>
              <w:bottom w:val="nil"/>
              <w:right w:val="nil"/>
            </w:tcBorders>
            <w:shd w:val="clear" w:color="auto" w:fill="FFFFFF" w:themeFill="background1"/>
            <w:hideMark/>
          </w:tcPr>
          <w:p w14:paraId="370C05C1" w14:textId="6E484DE2"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52B3BAF5">
              <w:rPr>
                <w:rFonts w:ascii="Open Sans Light" w:eastAsia="Times New Roman" w:hAnsi="Open Sans Light" w:cs="Open Sans Light"/>
                <w:color w:val="000000"/>
                <w:sz w:val="16"/>
                <w:szCs w:val="16"/>
                <w:lang w:eastAsia="en-AU"/>
              </w:rPr>
              <w:t>A larger than average fall in the value of property transfer</w:t>
            </w:r>
            <w:r w:rsidR="002615DC">
              <w:rPr>
                <w:rFonts w:ascii="Open Sans Light" w:eastAsia="Times New Roman" w:hAnsi="Open Sans Light" w:cs="Open Sans Light"/>
                <w:color w:val="000000"/>
                <w:sz w:val="16"/>
                <w:szCs w:val="16"/>
                <w:lang w:eastAsia="en-AU"/>
              </w:rPr>
              <w:t>red</w:t>
            </w:r>
            <w:r w:rsidRPr="52B3BAF5">
              <w:rPr>
                <w:rFonts w:ascii="Open Sans Light" w:eastAsia="Times New Roman" w:hAnsi="Open Sans Light" w:cs="Open Sans Light"/>
                <w:color w:val="000000"/>
                <w:sz w:val="16"/>
                <w:szCs w:val="16"/>
                <w:lang w:eastAsia="en-AU"/>
              </w:rPr>
              <w:t xml:space="preserve"> in 2024–25 (from 2021–22) reduces New South </w:t>
            </w:r>
            <w:proofErr w:type="spellStart"/>
            <w:r w:rsidRPr="52B3BAF5">
              <w:rPr>
                <w:rFonts w:ascii="Open Sans Light" w:eastAsia="Times New Roman" w:hAnsi="Open Sans Light" w:cs="Open Sans Light"/>
                <w:color w:val="000000"/>
                <w:sz w:val="16"/>
                <w:szCs w:val="16"/>
                <w:lang w:eastAsia="en-AU"/>
              </w:rPr>
              <w:t>Wales</w:t>
            </w:r>
            <w:r>
              <w:rPr>
                <w:rFonts w:ascii="Open Sans Light" w:eastAsia="Times New Roman" w:hAnsi="Open Sans Light" w:cs="Open Sans Light"/>
                <w:color w:val="000000"/>
                <w:sz w:val="16"/>
                <w:szCs w:val="16"/>
                <w:lang w:eastAsia="en-AU"/>
              </w:rPr>
              <w:t>’</w:t>
            </w:r>
            <w:proofErr w:type="spellEnd"/>
            <w:r w:rsidRPr="52B3BAF5">
              <w:rPr>
                <w:rFonts w:ascii="Open Sans Light" w:eastAsia="Times New Roman" w:hAnsi="Open Sans Light" w:cs="Open Sans Light"/>
                <w:color w:val="000000"/>
                <w:sz w:val="16"/>
                <w:szCs w:val="16"/>
                <w:lang w:eastAsia="en-AU"/>
              </w:rPr>
              <w:t xml:space="preserve"> relative revenue raising capacity and increases its assessed GST needs.</w:t>
            </w:r>
          </w:p>
        </w:tc>
      </w:tr>
      <w:tr w:rsidR="003957CD" w:rsidRPr="004E2FA3" w14:paraId="76F72BE8" w14:textId="77777777" w:rsidTr="00183549">
        <w:trPr>
          <w:trHeight w:val="1150"/>
        </w:trPr>
        <w:tc>
          <w:tcPr>
            <w:tcW w:w="2780" w:type="dxa"/>
            <w:tcBorders>
              <w:top w:val="single" w:sz="4" w:space="0" w:color="ADD6EA"/>
              <w:left w:val="nil"/>
              <w:bottom w:val="nil"/>
              <w:right w:val="nil"/>
            </w:tcBorders>
            <w:shd w:val="clear" w:color="auto" w:fill="FFFFFF" w:themeFill="background1"/>
            <w:hideMark/>
          </w:tcPr>
          <w:p w14:paraId="7F9A61DC"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Taxable land values</w:t>
            </w:r>
          </w:p>
        </w:tc>
        <w:tc>
          <w:tcPr>
            <w:tcW w:w="720" w:type="dxa"/>
            <w:tcBorders>
              <w:top w:val="single" w:sz="4" w:space="0" w:color="ADD6EA"/>
              <w:left w:val="nil"/>
              <w:bottom w:val="nil"/>
              <w:right w:val="nil"/>
            </w:tcBorders>
            <w:shd w:val="clear" w:color="auto" w:fill="EBBFA0"/>
            <w:hideMark/>
          </w:tcPr>
          <w:p w14:paraId="60A93FC3"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-473</w:t>
            </w:r>
          </w:p>
        </w:tc>
        <w:tc>
          <w:tcPr>
            <w:tcW w:w="720" w:type="dxa"/>
            <w:tcBorders>
              <w:top w:val="single" w:sz="4" w:space="0" w:color="ADD6EA"/>
              <w:left w:val="nil"/>
              <w:bottom w:val="nil"/>
              <w:right w:val="nil"/>
            </w:tcBorders>
            <w:shd w:val="clear" w:color="auto" w:fill="EBBFA0"/>
            <w:hideMark/>
          </w:tcPr>
          <w:p w14:paraId="58000C02"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-54</w:t>
            </w:r>
          </w:p>
        </w:tc>
        <w:tc>
          <w:tcPr>
            <w:tcW w:w="5040" w:type="dxa"/>
            <w:tcBorders>
              <w:top w:val="single" w:sz="4" w:space="0" w:color="ADD6EA"/>
              <w:left w:val="nil"/>
              <w:bottom w:val="nil"/>
              <w:right w:val="nil"/>
            </w:tcBorders>
            <w:shd w:val="clear" w:color="auto" w:fill="FFFFFF" w:themeFill="background1"/>
            <w:hideMark/>
          </w:tcPr>
          <w:p w14:paraId="14D97F59"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Growth in total land tax revenue increase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capacity for states with above-average revenue raising capacity. Above-average growth in taxable land values in 2024–25 compared with 2021–22 further increase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New South </w:t>
            </w:r>
            <w:proofErr w:type="spellStart"/>
            <w:r w:rsidRPr="004E2FA3">
              <w:rPr>
                <w:rFonts w:ascii="Open Sans Light" w:eastAsia="Times New Roman" w:hAnsi="Open Sans Light" w:cs="Open Sans Light"/>
                <w:color w:val="000000"/>
                <w:sz w:val="16"/>
                <w:szCs w:val="16"/>
                <w:lang w:eastAsia="en-AU"/>
              </w:rPr>
              <w:t>Wales</w:t>
            </w:r>
            <w:r>
              <w:rPr>
                <w:rFonts w:ascii="Open Sans Light" w:eastAsia="Times New Roman" w:hAnsi="Open Sans Light" w:cs="Open Sans Light"/>
                <w:color w:val="000000"/>
                <w:sz w:val="16"/>
                <w:szCs w:val="16"/>
                <w:lang w:eastAsia="en-AU"/>
              </w:rPr>
              <w:t>’</w:t>
            </w:r>
            <w:proofErr w:type="spellEnd"/>
            <w:r w:rsidRPr="004E2FA3">
              <w:rPr>
                <w:rFonts w:ascii="Open Sans Light" w:eastAsia="Times New Roman" w:hAnsi="Open Sans Light" w:cs="Open Sans Light"/>
                <w:color w:val="000000"/>
                <w:sz w:val="16"/>
                <w:szCs w:val="16"/>
                <w:lang w:eastAsia="en-AU"/>
              </w:rPr>
              <w:t xml:space="preserve"> relative revenue raising capacity. These both reduce its assessed GST needs.</w:t>
            </w:r>
          </w:p>
        </w:tc>
      </w:tr>
      <w:tr w:rsidR="003957CD" w:rsidRPr="004E2FA3" w14:paraId="2A97F22C" w14:textId="77777777" w:rsidTr="00183549">
        <w:trPr>
          <w:trHeight w:val="1352"/>
        </w:trPr>
        <w:tc>
          <w:tcPr>
            <w:tcW w:w="2780" w:type="dxa"/>
            <w:tcBorders>
              <w:top w:val="single" w:sz="4" w:space="0" w:color="ADD6EA"/>
              <w:left w:val="nil"/>
              <w:bottom w:val="nil"/>
              <w:right w:val="nil"/>
            </w:tcBorders>
            <w:shd w:val="clear" w:color="auto" w:fill="FFFFFF" w:themeFill="background1"/>
            <w:hideMark/>
          </w:tcPr>
          <w:p w14:paraId="035C546D"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Mining production</w:t>
            </w:r>
          </w:p>
        </w:tc>
        <w:tc>
          <w:tcPr>
            <w:tcW w:w="720" w:type="dxa"/>
            <w:tcBorders>
              <w:top w:val="single" w:sz="4" w:space="0" w:color="ADD6EA"/>
              <w:left w:val="nil"/>
              <w:bottom w:val="nil"/>
              <w:right w:val="nil"/>
            </w:tcBorders>
            <w:shd w:val="clear" w:color="auto" w:fill="EBBFA0"/>
            <w:hideMark/>
          </w:tcPr>
          <w:p w14:paraId="081F97DE"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-381</w:t>
            </w:r>
          </w:p>
        </w:tc>
        <w:tc>
          <w:tcPr>
            <w:tcW w:w="720" w:type="dxa"/>
            <w:tcBorders>
              <w:top w:val="single" w:sz="4" w:space="0" w:color="ADD6EA"/>
              <w:left w:val="nil"/>
              <w:bottom w:val="nil"/>
              <w:right w:val="nil"/>
            </w:tcBorders>
            <w:shd w:val="clear" w:color="auto" w:fill="EBBFA0"/>
            <w:hideMark/>
          </w:tcPr>
          <w:p w14:paraId="3F11D0F4"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-44</w:t>
            </w:r>
          </w:p>
        </w:tc>
        <w:tc>
          <w:tcPr>
            <w:tcW w:w="5040" w:type="dxa"/>
            <w:tcBorders>
              <w:top w:val="single" w:sz="4" w:space="0" w:color="ADD6EA"/>
              <w:left w:val="nil"/>
              <w:bottom w:val="nil"/>
              <w:right w:val="nil"/>
            </w:tcBorders>
            <w:shd w:val="clear" w:color="auto" w:fill="FFFFFF" w:themeFill="background1"/>
            <w:hideMark/>
          </w:tcPr>
          <w:p w14:paraId="2989E80D" w14:textId="7C8C3F11"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Iron ore prices fell between 2021–22 and 2024–25. This decrease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Western Australia’s revenue raising capacity and increase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its assessed GST needs. </w:t>
            </w:r>
            <w:r>
              <w:rPr>
                <w:rFonts w:ascii="Open Sans Light" w:eastAsia="Times New Roman" w:hAnsi="Open Sans Light" w:cs="Open Sans Light"/>
                <w:color w:val="000000"/>
                <w:sz w:val="16"/>
                <w:szCs w:val="16"/>
                <w:lang w:eastAsia="en-AU"/>
              </w:rPr>
              <w:t xml:space="preserve">Consequently, </w:t>
            </w:r>
            <w:proofErr w:type="gramStart"/>
            <w:r>
              <w:rPr>
                <w:rFonts w:ascii="Open Sans Light" w:eastAsia="Times New Roman" w:hAnsi="Open Sans Light" w:cs="Open Sans Light"/>
                <w:color w:val="000000"/>
                <w:sz w:val="16"/>
                <w:szCs w:val="16"/>
                <w:lang w:eastAsia="en-AU"/>
              </w:rPr>
              <w:t>t</w:t>
            </w:r>
            <w:r w:rsidRPr="004E2FA3">
              <w:rPr>
                <w:rFonts w:ascii="Open Sans Light" w:eastAsia="Times New Roman" w:hAnsi="Open Sans Light" w:cs="Open Sans Light"/>
                <w:color w:val="000000"/>
                <w:sz w:val="16"/>
                <w:szCs w:val="16"/>
                <w:lang w:eastAsia="en-AU"/>
              </w:rPr>
              <w:t>his decrease</w:t>
            </w:r>
            <w:r>
              <w:rPr>
                <w:rFonts w:ascii="Open Sans Light" w:eastAsia="Times New Roman" w:hAnsi="Open Sans Light" w:cs="Open Sans Light"/>
                <w:color w:val="000000"/>
                <w:sz w:val="16"/>
                <w:szCs w:val="16"/>
                <w:lang w:eastAsia="en-AU"/>
              </w:rPr>
              <w:t>s</w:t>
            </w:r>
            <w:proofErr w:type="gramEnd"/>
            <w:r w:rsidRPr="004E2FA3">
              <w:rPr>
                <w:rFonts w:ascii="Open Sans Light" w:eastAsia="Times New Roman" w:hAnsi="Open Sans Light" w:cs="Open Sans Light"/>
                <w:color w:val="000000"/>
                <w:sz w:val="16"/>
                <w:szCs w:val="16"/>
                <w:lang w:eastAsia="en-AU"/>
              </w:rPr>
              <w:t xml:space="preserve"> assessed GST needs </w:t>
            </w:r>
            <w:r w:rsidR="00477E71">
              <w:rPr>
                <w:rFonts w:ascii="Open Sans Light" w:eastAsia="Times New Roman" w:hAnsi="Open Sans Light" w:cs="Open Sans Light"/>
                <w:color w:val="000000"/>
                <w:sz w:val="16"/>
                <w:szCs w:val="16"/>
                <w:lang w:eastAsia="en-AU"/>
              </w:rPr>
              <w:t>of</w:t>
            </w:r>
            <w:r w:rsidR="00477E71" w:rsidRPr="004E2FA3">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4E2FA3">
              <w:rPr>
                <w:rFonts w:ascii="Open Sans Light" w:eastAsia="Times New Roman" w:hAnsi="Open Sans Light" w:cs="Open Sans Light"/>
                <w:color w:val="000000"/>
                <w:sz w:val="16"/>
                <w:szCs w:val="16"/>
                <w:lang w:eastAsia="en-AU"/>
              </w:rPr>
              <w:t xml:space="preserve">other states. For New South Wales, this </w:t>
            </w:r>
            <w:r>
              <w:rPr>
                <w:rFonts w:ascii="Open Sans Light" w:eastAsia="Times New Roman" w:hAnsi="Open Sans Light" w:cs="Open Sans Light"/>
                <w:color w:val="000000"/>
                <w:sz w:val="16"/>
                <w:szCs w:val="16"/>
                <w:lang w:eastAsia="en-AU"/>
              </w:rPr>
              <w:t>is</w:t>
            </w:r>
            <w:r w:rsidRPr="004E2FA3">
              <w:rPr>
                <w:rFonts w:ascii="Open Sans Light" w:eastAsia="Times New Roman" w:hAnsi="Open Sans Light" w:cs="Open Sans Light"/>
                <w:color w:val="000000"/>
                <w:sz w:val="16"/>
                <w:szCs w:val="16"/>
                <w:lang w:eastAsia="en-AU"/>
              </w:rPr>
              <w:t xml:space="preserve"> part</w:t>
            </w:r>
            <w:r>
              <w:rPr>
                <w:rFonts w:ascii="Open Sans Light" w:eastAsia="Times New Roman" w:hAnsi="Open Sans Light" w:cs="Open Sans Light"/>
                <w:color w:val="000000"/>
                <w:sz w:val="16"/>
                <w:szCs w:val="16"/>
                <w:lang w:eastAsia="en-AU"/>
              </w:rPr>
              <w:t>ly</w:t>
            </w:r>
            <w:r w:rsidRPr="004E2FA3">
              <w:rPr>
                <w:rFonts w:ascii="Open Sans Light" w:eastAsia="Times New Roman" w:hAnsi="Open Sans Light" w:cs="Open Sans Light"/>
                <w:color w:val="000000"/>
                <w:sz w:val="16"/>
                <w:szCs w:val="16"/>
                <w:lang w:eastAsia="en-AU"/>
              </w:rPr>
              <w:t xml:space="preserve"> offset by a decrease in coal prices, which reduce</w:t>
            </w:r>
            <w:r>
              <w:rPr>
                <w:rFonts w:ascii="Open Sans Light" w:eastAsia="Times New Roman" w:hAnsi="Open Sans Light" w:cs="Open Sans Light"/>
                <w:color w:val="000000"/>
                <w:sz w:val="16"/>
                <w:szCs w:val="16"/>
                <w:lang w:eastAsia="en-AU"/>
              </w:rPr>
              <w:t>s</w:t>
            </w:r>
            <w:r w:rsidRPr="004E2FA3">
              <w:rPr>
                <w:rFonts w:ascii="Open Sans Light" w:eastAsia="Times New Roman" w:hAnsi="Open Sans Light" w:cs="Open Sans Light"/>
                <w:color w:val="000000"/>
                <w:sz w:val="16"/>
                <w:szCs w:val="16"/>
                <w:lang w:eastAsia="en-AU"/>
              </w:rPr>
              <w:t xml:space="preserve"> its revenue raising capacity</w:t>
            </w:r>
            <w:r>
              <w:rPr>
                <w:rFonts w:ascii="Open Sans Light" w:eastAsia="Times New Roman" w:hAnsi="Open Sans Light" w:cs="Open Sans Light"/>
                <w:color w:val="000000"/>
                <w:sz w:val="16"/>
                <w:szCs w:val="16"/>
                <w:lang w:eastAsia="en-AU"/>
              </w:rPr>
              <w:t xml:space="preserve"> and increases its assessed GST needs.</w:t>
            </w:r>
          </w:p>
        </w:tc>
      </w:tr>
      <w:tr w:rsidR="003957CD" w:rsidRPr="004E2FA3" w14:paraId="35C9A822" w14:textId="77777777" w:rsidTr="00651E12">
        <w:trPr>
          <w:trHeight w:val="911"/>
        </w:trPr>
        <w:tc>
          <w:tcPr>
            <w:tcW w:w="2780" w:type="dxa"/>
            <w:tcBorders>
              <w:top w:val="single" w:sz="4" w:space="0" w:color="ADD6EA"/>
              <w:left w:val="nil"/>
              <w:bottom w:val="single" w:sz="4" w:space="0" w:color="ADD6EA"/>
              <w:right w:val="nil"/>
            </w:tcBorders>
            <w:shd w:val="clear" w:color="auto" w:fill="FFFFFF" w:themeFill="background1"/>
            <w:hideMark/>
          </w:tcPr>
          <w:p w14:paraId="22324559" w14:textId="77777777"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 xml:space="preserve">Capital improvements in </w:t>
            </w:r>
            <w:r>
              <w:rPr>
                <w:rFonts w:ascii="Open Sans Light" w:eastAsia="Times New Roman" w:hAnsi="Open Sans Light" w:cs="Open Sans Light"/>
                <w:color w:val="000000"/>
                <w:sz w:val="16"/>
                <w:szCs w:val="16"/>
                <w:lang w:eastAsia="en-AU"/>
              </w:rPr>
              <w:t>u</w:t>
            </w:r>
            <w:r w:rsidRPr="004E2FA3">
              <w:rPr>
                <w:rFonts w:ascii="Open Sans Light" w:eastAsia="Times New Roman" w:hAnsi="Open Sans Light" w:cs="Open Sans Light"/>
                <w:color w:val="000000"/>
                <w:sz w:val="16"/>
                <w:szCs w:val="16"/>
                <w:lang w:eastAsia="en-AU"/>
              </w:rPr>
              <w:t>rban transport</w:t>
            </w:r>
          </w:p>
        </w:tc>
        <w:tc>
          <w:tcPr>
            <w:tcW w:w="720" w:type="dxa"/>
            <w:tcBorders>
              <w:top w:val="single" w:sz="4" w:space="0" w:color="ADD6EA"/>
              <w:left w:val="nil"/>
              <w:bottom w:val="single" w:sz="4" w:space="0" w:color="ADD6EA"/>
              <w:right w:val="nil"/>
            </w:tcBorders>
            <w:shd w:val="clear" w:color="auto" w:fill="EBBFA0"/>
            <w:hideMark/>
          </w:tcPr>
          <w:p w14:paraId="7D9B261E"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-223</w:t>
            </w:r>
          </w:p>
        </w:tc>
        <w:tc>
          <w:tcPr>
            <w:tcW w:w="720" w:type="dxa"/>
            <w:tcBorders>
              <w:top w:val="single" w:sz="4" w:space="0" w:color="ADD6EA"/>
              <w:left w:val="nil"/>
              <w:bottom w:val="single" w:sz="4" w:space="0" w:color="ADD6EA"/>
              <w:right w:val="nil"/>
            </w:tcBorders>
            <w:shd w:val="clear" w:color="auto" w:fill="EBBFA0"/>
            <w:hideMark/>
          </w:tcPr>
          <w:p w14:paraId="44125558" w14:textId="77777777" w:rsidR="003957CD" w:rsidRPr="004E2FA3"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-26</w:t>
            </w:r>
          </w:p>
        </w:tc>
        <w:tc>
          <w:tcPr>
            <w:tcW w:w="5040" w:type="dxa"/>
            <w:tcBorders>
              <w:top w:val="single" w:sz="4" w:space="0" w:color="ADD6EA"/>
              <w:left w:val="nil"/>
              <w:bottom w:val="single" w:sz="4" w:space="0" w:color="ADD6EA"/>
              <w:right w:val="nil"/>
            </w:tcBorders>
            <w:shd w:val="clear" w:color="auto" w:fill="FFFFFF" w:themeFill="background1"/>
            <w:hideMark/>
          </w:tcPr>
          <w:p w14:paraId="0E60E1F8" w14:textId="4B41E5F9" w:rsidR="003957CD" w:rsidRPr="004E2FA3"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E2FA3">
              <w:rPr>
                <w:rFonts w:ascii="Open Sans Light" w:eastAsia="Times New Roman" w:hAnsi="Open Sans Light" w:cs="Open Sans Light"/>
                <w:color w:val="000000"/>
                <w:sz w:val="16"/>
                <w:szCs w:val="16"/>
                <w:lang w:eastAsia="en-AU"/>
              </w:rPr>
              <w:t xml:space="preserve">Investment in urban transport was around 19% lower in 2024–25 than in 2021–22. </w:t>
            </w:r>
            <w:proofErr w:type="gramStart"/>
            <w:r w:rsidRPr="004E2FA3">
              <w:rPr>
                <w:rFonts w:ascii="Open Sans Light" w:eastAsia="Times New Roman" w:hAnsi="Open Sans Light" w:cs="Open Sans Light"/>
                <w:color w:val="000000"/>
                <w:sz w:val="16"/>
                <w:szCs w:val="16"/>
                <w:lang w:eastAsia="en-AU"/>
              </w:rPr>
              <w:t>This decrease</w:t>
            </w:r>
            <w:r>
              <w:rPr>
                <w:rFonts w:ascii="Open Sans Light" w:eastAsia="Times New Roman" w:hAnsi="Open Sans Light" w:cs="Open Sans Light"/>
                <w:color w:val="000000"/>
                <w:sz w:val="16"/>
                <w:szCs w:val="16"/>
                <w:lang w:eastAsia="en-AU"/>
              </w:rPr>
              <w:t>s</w:t>
            </w:r>
            <w:proofErr w:type="gramEnd"/>
            <w:r w:rsidRPr="004E2FA3">
              <w:rPr>
                <w:rFonts w:ascii="Open Sans Light" w:eastAsia="Times New Roman" w:hAnsi="Open Sans Light" w:cs="Open Sans Light"/>
                <w:color w:val="000000"/>
                <w:sz w:val="16"/>
                <w:szCs w:val="16"/>
                <w:lang w:eastAsia="en-AU"/>
              </w:rPr>
              <w:t xml:space="preserve"> assessed GST needs </w:t>
            </w:r>
            <w:r w:rsidR="00E11041">
              <w:rPr>
                <w:rFonts w:ascii="Open Sans Light" w:eastAsia="Times New Roman" w:hAnsi="Open Sans Light" w:cs="Open Sans Light"/>
                <w:color w:val="000000"/>
                <w:sz w:val="16"/>
                <w:szCs w:val="16"/>
                <w:lang w:eastAsia="en-AU"/>
              </w:rPr>
              <w:t>of</w:t>
            </w:r>
            <w:r w:rsidR="00E11041" w:rsidRPr="004E2FA3">
              <w:rPr>
                <w:rFonts w:ascii="Open Sans Light" w:eastAsia="Times New Roman" w:hAnsi="Open Sans Light" w:cs="Open Sans Light"/>
                <w:color w:val="000000"/>
                <w:sz w:val="16"/>
                <w:szCs w:val="16"/>
                <w:lang w:eastAsia="en-AU"/>
              </w:rPr>
              <w:t xml:space="preserve"> </w:t>
            </w:r>
            <w:r w:rsidRPr="004E2FA3">
              <w:rPr>
                <w:rFonts w:ascii="Open Sans Light" w:eastAsia="Times New Roman" w:hAnsi="Open Sans Light" w:cs="Open Sans Light"/>
                <w:color w:val="000000"/>
                <w:sz w:val="16"/>
                <w:szCs w:val="16"/>
                <w:lang w:eastAsia="en-AU"/>
              </w:rPr>
              <w:t>states with above-average urban transport investment needs, including New South Wales.</w:t>
            </w:r>
          </w:p>
        </w:tc>
      </w:tr>
    </w:tbl>
    <w:p w14:paraId="1443ED4E" w14:textId="77777777" w:rsidR="003957CD" w:rsidRPr="00F47AF8" w:rsidRDefault="003957CD" w:rsidP="003957CD">
      <w:pPr>
        <w:tabs>
          <w:tab w:val="clear" w:pos="567"/>
        </w:tabs>
        <w:spacing w:before="0" w:line="240" w:lineRule="auto"/>
        <w:rPr>
          <w:rFonts w:ascii="Open Sans Light" w:eastAsia="Times New Roman" w:hAnsi="Open Sans Light" w:cs="Times New Roman"/>
          <w:szCs w:val="20"/>
        </w:rPr>
      </w:pPr>
      <w:r w:rsidRPr="00F47AF8">
        <w:rPr>
          <w:rFonts w:ascii="Open Sans Light" w:eastAsia="Times New Roman" w:hAnsi="Open Sans Light" w:cs="Times New Roman"/>
          <w:szCs w:val="20"/>
        </w:rPr>
        <w:br w:type="page"/>
      </w:r>
    </w:p>
    <w:p w14:paraId="0CF391B8" w14:textId="77777777" w:rsidR="003957CD" w:rsidRPr="00F47AF8" w:rsidRDefault="003957CD" w:rsidP="003957CD">
      <w:pPr>
        <w:pStyle w:val="Heading2"/>
      </w:pPr>
      <w:r w:rsidRPr="00F47AF8">
        <w:lastRenderedPageBreak/>
        <w:t>Victoria</w:t>
      </w:r>
    </w:p>
    <w:p w14:paraId="772A0526" w14:textId="77777777" w:rsidR="003957CD" w:rsidRDefault="003957CD" w:rsidP="003957CD">
      <w:r w:rsidRPr="00F47AF8">
        <w:t>In 2026–27, Victoria’s GST distribution is estimated to increase by $1,4</w:t>
      </w:r>
      <w:r>
        <w:t>94 </w:t>
      </w:r>
      <w:r w:rsidRPr="00F47AF8">
        <w:t>million ($</w:t>
      </w:r>
      <w:r>
        <w:t>207 </w:t>
      </w:r>
      <w:r w:rsidRPr="00F47AF8">
        <w:t>per</w:t>
      </w:r>
      <w:r>
        <w:t> </w:t>
      </w:r>
      <w:r w:rsidRPr="00F47AF8">
        <w:t xml:space="preserve">capita). </w:t>
      </w:r>
      <w:r>
        <w:t>Its assessed GST needs have decreased by $440 million ($61 per capita) in 2026</w:t>
      </w:r>
      <w:r w:rsidRPr="00F47AF8">
        <w:t>–27</w:t>
      </w:r>
      <w:r>
        <w:t>, however, this is more than offset by growth in the GST pool.</w:t>
      </w:r>
    </w:p>
    <w:p w14:paraId="221483AF" w14:textId="77777777" w:rsidR="003957CD" w:rsidRPr="00F47AF8" w:rsidRDefault="003957CD" w:rsidP="002F5ED5">
      <w:pPr>
        <w:pStyle w:val="CGCBulletPoints"/>
      </w:pPr>
      <w:r w:rsidRPr="00F47AF8">
        <w:t xml:space="preserve">Victoria’s assessed GST needs </w:t>
      </w:r>
      <w:r>
        <w:t xml:space="preserve">have </w:t>
      </w:r>
      <w:r w:rsidRPr="00F47AF8">
        <w:t>decreased largely due to:</w:t>
      </w:r>
    </w:p>
    <w:p w14:paraId="080C943D" w14:textId="1BDD1E16" w:rsidR="003957CD" w:rsidRPr="00F47AF8" w:rsidRDefault="003957CD" w:rsidP="002F5ED5">
      <w:pPr>
        <w:pStyle w:val="CGCBulletPoints-Level2"/>
      </w:pPr>
      <w:r w:rsidRPr="00F47AF8">
        <w:t>lower coal and iron ore prices</w:t>
      </w:r>
      <w:r>
        <w:t>,</w:t>
      </w:r>
      <w:r w:rsidRPr="00F47AF8">
        <w:t xml:space="preserve"> </w:t>
      </w:r>
      <w:r>
        <w:t xml:space="preserve">which </w:t>
      </w:r>
      <w:r w:rsidRPr="00F47AF8">
        <w:t>increas</w:t>
      </w:r>
      <w:r>
        <w:t>e</w:t>
      </w:r>
      <w:r w:rsidRPr="00F47AF8">
        <w:t xml:space="preserve"> Queensland’s and Western</w:t>
      </w:r>
      <w:r>
        <w:t> </w:t>
      </w:r>
      <w:r w:rsidRPr="00F47AF8">
        <w:t>Australia’s assessed GST needs and decreas</w:t>
      </w:r>
      <w:r>
        <w:t>e</w:t>
      </w:r>
      <w:r w:rsidRPr="00F47AF8">
        <w:t xml:space="preserve"> assessed GST needs </w:t>
      </w:r>
      <w:r w:rsidR="00E11041">
        <w:t>of</w:t>
      </w:r>
      <w:r w:rsidR="00E11041" w:rsidRPr="00F47AF8">
        <w:t xml:space="preserve"> </w:t>
      </w:r>
      <w:r>
        <w:t xml:space="preserve">the </w:t>
      </w:r>
      <w:r w:rsidRPr="00F47AF8">
        <w:t>other states</w:t>
      </w:r>
    </w:p>
    <w:p w14:paraId="659F9C75" w14:textId="77777777" w:rsidR="003957CD" w:rsidRPr="00F47AF8" w:rsidRDefault="003957CD" w:rsidP="002F5ED5">
      <w:pPr>
        <w:pStyle w:val="CGCBulletPoints-Level2"/>
      </w:pPr>
      <w:r w:rsidRPr="00B4326F">
        <w:t xml:space="preserve">lower COVID-19 expenses, noting </w:t>
      </w:r>
      <w:r>
        <w:t>Victoria’s</w:t>
      </w:r>
      <w:r w:rsidRPr="00B4326F">
        <w:t xml:space="preserve"> </w:t>
      </w:r>
      <w:r>
        <w:t>above</w:t>
      </w:r>
      <w:r w:rsidRPr="00B4326F">
        <w:t>-average COVID-19 expenses</w:t>
      </w:r>
      <w:r w:rsidRPr="00F47AF8">
        <w:t>.</w:t>
      </w:r>
    </w:p>
    <w:p w14:paraId="37422C77" w14:textId="6AC9464C" w:rsidR="003957CD" w:rsidRPr="00F47AF8" w:rsidRDefault="003957CD" w:rsidP="002F5ED5">
      <w:pPr>
        <w:pStyle w:val="CGCBulletPoints"/>
      </w:pPr>
      <w:r>
        <w:t xml:space="preserve">This is partially </w:t>
      </w:r>
      <w:r w:rsidR="00470B71">
        <w:t>offset</w:t>
      </w:r>
      <w:r>
        <w:t xml:space="preserve"> by </w:t>
      </w:r>
      <w:r w:rsidRPr="00F47AF8">
        <w:t xml:space="preserve">an upward revision to </w:t>
      </w:r>
      <w:r>
        <w:t>Victoria’s</w:t>
      </w:r>
      <w:r w:rsidRPr="00F47AF8">
        <w:t xml:space="preserve"> natural disaster relief expenses and </w:t>
      </w:r>
      <w:r>
        <w:t xml:space="preserve">a downward revision to New South </w:t>
      </w:r>
      <w:proofErr w:type="spellStart"/>
      <w:r>
        <w:t>Wales’</w:t>
      </w:r>
      <w:proofErr w:type="spellEnd"/>
      <w:r>
        <w:t xml:space="preserve"> </w:t>
      </w:r>
      <w:r w:rsidRPr="00F47AF8">
        <w:t>natural disaster relief expenses</w:t>
      </w:r>
      <w:r>
        <w:t>.</w:t>
      </w:r>
      <w:r w:rsidRPr="00F47AF8">
        <w:t xml:space="preserve"> Victoria also had a larger than average fall in the value of property transfer</w:t>
      </w:r>
      <w:r w:rsidR="002615DC">
        <w:t>red</w:t>
      </w:r>
      <w:r>
        <w:t>. Combined, these increase Victoria’s assessed GST needs</w:t>
      </w:r>
      <w:r w:rsidRPr="00F47AF8">
        <w:t>.</w:t>
      </w:r>
    </w:p>
    <w:p w14:paraId="00B0A3A8" w14:textId="77777777" w:rsidR="003957CD" w:rsidRDefault="003957CD" w:rsidP="002F5ED5">
      <w:pPr>
        <w:pStyle w:val="CGCBulletPoints"/>
      </w:pPr>
      <w:bookmarkStart w:id="62" w:name="_Hlk221042416"/>
      <w:r>
        <w:t>E</w:t>
      </w:r>
      <w:r w:rsidRPr="00F47AF8">
        <w:t xml:space="preserve">xpected growth in the GST pool </w:t>
      </w:r>
      <w:r>
        <w:t xml:space="preserve">more than offsets Victoria’s reduced GST relativity and </w:t>
      </w:r>
      <w:r w:rsidRPr="00F47AF8">
        <w:t>increase</w:t>
      </w:r>
      <w:r>
        <w:t>s</w:t>
      </w:r>
      <w:r w:rsidRPr="00F47AF8">
        <w:t xml:space="preserve"> </w:t>
      </w:r>
      <w:r>
        <w:t>its GST</w:t>
      </w:r>
      <w:r w:rsidRPr="00F47AF8">
        <w:t xml:space="preserve"> distribution</w:t>
      </w:r>
      <w:r>
        <w:t>.</w:t>
      </w:r>
    </w:p>
    <w:bookmarkEnd w:id="62"/>
    <w:p w14:paraId="13831004" w14:textId="2EEEDCAF" w:rsidR="003957CD" w:rsidRPr="00F47AF8" w:rsidRDefault="003957CD" w:rsidP="002F5ED5">
      <w:pPr>
        <w:pStyle w:val="CGCBulletPoints"/>
      </w:pPr>
      <w:r w:rsidRPr="00F47AF8">
        <w:t xml:space="preserve">Compared with 2025–26, the 2018 </w:t>
      </w:r>
      <w:r>
        <w:t>legislated</w:t>
      </w:r>
      <w:r w:rsidRPr="00F47AF8">
        <w:t xml:space="preserve"> changes to determining relativities increase Victoria’s GST distribution</w:t>
      </w:r>
      <w:r>
        <w:t xml:space="preserve"> </w:t>
      </w:r>
      <w:r w:rsidR="006E69AE">
        <w:t xml:space="preserve">by </w:t>
      </w:r>
      <w:r w:rsidRPr="00F47AF8">
        <w:t>$2</w:t>
      </w:r>
      <w:r>
        <w:t>49</w:t>
      </w:r>
      <w:r w:rsidRPr="00F47AF8">
        <w:t> million.</w:t>
      </w:r>
    </w:p>
    <w:p w14:paraId="260A34D6" w14:textId="77777777" w:rsidR="003957CD" w:rsidRPr="00F47AF8" w:rsidRDefault="003957CD" w:rsidP="00371E5F">
      <w:pPr>
        <w:pStyle w:val="CGC2025Caption"/>
        <w:ind w:left="1418" w:hanging="1418"/>
      </w:pPr>
      <w:r w:rsidRPr="00F47AF8">
        <w:t>Table 3-2</w:t>
      </w:r>
      <w:r w:rsidRPr="00F47AF8">
        <w:tab/>
        <w:t>Change in estimated GST distribution from 2025–26 to 2026–27, Victoria (excludes no worse off payments)</w:t>
      </w:r>
    </w:p>
    <w:tbl>
      <w:tblPr>
        <w:tblW w:w="9360" w:type="dxa"/>
        <w:tblLook w:val="04A0" w:firstRow="1" w:lastRow="0" w:firstColumn="1" w:lastColumn="0" w:noHBand="0" w:noVBand="1"/>
      </w:tblPr>
      <w:tblGrid>
        <w:gridCol w:w="4240"/>
        <w:gridCol w:w="2560"/>
        <w:gridCol w:w="2560"/>
      </w:tblGrid>
      <w:tr w:rsidR="003957CD" w:rsidRPr="00295205" w14:paraId="21A994C6" w14:textId="77777777" w:rsidTr="00E51790">
        <w:trPr>
          <w:trHeight w:val="290"/>
        </w:trPr>
        <w:tc>
          <w:tcPr>
            <w:tcW w:w="4240" w:type="dxa"/>
            <w:tcBorders>
              <w:top w:val="nil"/>
              <w:left w:val="nil"/>
              <w:bottom w:val="single" w:sz="4" w:space="0" w:color="ADD6EA"/>
              <w:right w:val="nil"/>
            </w:tcBorders>
            <w:shd w:val="clear" w:color="000000" w:fill="006991"/>
            <w:noWrap/>
            <w:vAlign w:val="center"/>
            <w:hideMark/>
          </w:tcPr>
          <w:p w14:paraId="7099AA60"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95205">
              <w:rPr>
                <w:rFonts w:ascii="Open Sans Semibold" w:eastAsia="Times New Roman" w:hAnsi="Open Sans Semibold" w:cs="Open Sans Semibold"/>
                <w:color w:val="FFFFFF"/>
                <w:sz w:val="16"/>
                <w:szCs w:val="16"/>
                <w:lang w:eastAsia="en-AU"/>
              </w:rPr>
              <w:t> </w:t>
            </w:r>
          </w:p>
        </w:tc>
        <w:tc>
          <w:tcPr>
            <w:tcW w:w="2560" w:type="dxa"/>
            <w:tcBorders>
              <w:top w:val="nil"/>
              <w:left w:val="nil"/>
              <w:bottom w:val="single" w:sz="4" w:space="0" w:color="ADD6EA"/>
              <w:right w:val="nil"/>
            </w:tcBorders>
            <w:shd w:val="clear" w:color="000000" w:fill="006991"/>
            <w:noWrap/>
            <w:vAlign w:val="center"/>
            <w:hideMark/>
          </w:tcPr>
          <w:p w14:paraId="522A2903"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95205">
              <w:rPr>
                <w:rFonts w:ascii="Open Sans Semibold" w:eastAsia="Times New Roman" w:hAnsi="Open Sans Semibold" w:cs="Open Sans Semibold"/>
                <w:color w:val="FFFFFF"/>
                <w:sz w:val="16"/>
                <w:szCs w:val="16"/>
                <w:lang w:eastAsia="en-AU"/>
              </w:rPr>
              <w:t>$m</w:t>
            </w:r>
          </w:p>
        </w:tc>
        <w:tc>
          <w:tcPr>
            <w:tcW w:w="2560" w:type="dxa"/>
            <w:tcBorders>
              <w:top w:val="nil"/>
              <w:left w:val="nil"/>
              <w:bottom w:val="single" w:sz="4" w:space="0" w:color="ADD6EA"/>
              <w:right w:val="nil"/>
            </w:tcBorders>
            <w:shd w:val="clear" w:color="000000" w:fill="006991"/>
            <w:noWrap/>
            <w:vAlign w:val="center"/>
            <w:hideMark/>
          </w:tcPr>
          <w:p w14:paraId="36742B30"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95205">
              <w:rPr>
                <w:rFonts w:ascii="Open Sans Semibold" w:eastAsia="Times New Roman" w:hAnsi="Open Sans Semibold" w:cs="Open Sans Semibold"/>
                <w:color w:val="FFFFFF"/>
                <w:sz w:val="16"/>
                <w:szCs w:val="16"/>
                <w:lang w:eastAsia="en-AU"/>
              </w:rPr>
              <w:t>$pc</w:t>
            </w:r>
          </w:p>
        </w:tc>
      </w:tr>
      <w:tr w:rsidR="003957CD" w:rsidRPr="00295205" w14:paraId="056987C5" w14:textId="77777777" w:rsidTr="00E51790">
        <w:trPr>
          <w:trHeight w:val="290"/>
        </w:trPr>
        <w:tc>
          <w:tcPr>
            <w:tcW w:w="4240" w:type="dxa"/>
            <w:tcBorders>
              <w:top w:val="nil"/>
              <w:left w:val="nil"/>
              <w:bottom w:val="single" w:sz="4" w:space="0" w:color="ADD6EA"/>
              <w:right w:val="nil"/>
            </w:tcBorders>
            <w:noWrap/>
            <w:vAlign w:val="center"/>
            <w:hideMark/>
          </w:tcPr>
          <w:p w14:paraId="01BD3C96" w14:textId="77777777" w:rsidR="003957CD" w:rsidRPr="00295205"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xml:space="preserve">Change in </w:t>
            </w:r>
            <w:r w:rsidRPr="00295205">
              <w:rPr>
                <w:rFonts w:ascii="Open Sans Light" w:eastAsia="Times New Roman" w:hAnsi="Open Sans Light" w:cs="Open Sans Light"/>
                <w:color w:val="000000"/>
                <w:sz w:val="16"/>
                <w:szCs w:val="16"/>
                <w:lang w:eastAsia="en-AU"/>
              </w:rPr>
              <w:t>population</w:t>
            </w:r>
          </w:p>
        </w:tc>
        <w:tc>
          <w:tcPr>
            <w:tcW w:w="2560" w:type="dxa"/>
            <w:tcBorders>
              <w:top w:val="nil"/>
              <w:left w:val="nil"/>
              <w:bottom w:val="single" w:sz="4" w:space="0" w:color="ADD6EA"/>
              <w:right w:val="nil"/>
            </w:tcBorders>
            <w:noWrap/>
            <w:vAlign w:val="center"/>
            <w:hideMark/>
          </w:tcPr>
          <w:p w14:paraId="53C9F300"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52</w:t>
            </w:r>
          </w:p>
        </w:tc>
        <w:tc>
          <w:tcPr>
            <w:tcW w:w="2560" w:type="dxa"/>
            <w:tcBorders>
              <w:top w:val="nil"/>
              <w:left w:val="nil"/>
              <w:bottom w:val="single" w:sz="4" w:space="0" w:color="ADD6EA"/>
              <w:right w:val="nil"/>
            </w:tcBorders>
            <w:noWrap/>
            <w:vAlign w:val="center"/>
            <w:hideMark/>
          </w:tcPr>
          <w:p w14:paraId="057C1CCD"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7</w:t>
            </w:r>
          </w:p>
        </w:tc>
      </w:tr>
      <w:tr w:rsidR="003957CD" w:rsidRPr="00295205" w14:paraId="2FD66962" w14:textId="77777777" w:rsidTr="00E51790">
        <w:trPr>
          <w:trHeight w:val="290"/>
        </w:trPr>
        <w:tc>
          <w:tcPr>
            <w:tcW w:w="4240" w:type="dxa"/>
            <w:tcBorders>
              <w:top w:val="nil"/>
              <w:left w:val="nil"/>
              <w:bottom w:val="single" w:sz="4" w:space="0" w:color="ADD6EA"/>
              <w:right w:val="nil"/>
            </w:tcBorders>
            <w:noWrap/>
            <w:vAlign w:val="center"/>
            <w:hideMark/>
          </w:tcPr>
          <w:p w14:paraId="3C8A32E2" w14:textId="77777777" w:rsidR="003957CD" w:rsidRPr="00295205"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xml:space="preserve">Growth in GST pool </w:t>
            </w:r>
          </w:p>
        </w:tc>
        <w:tc>
          <w:tcPr>
            <w:tcW w:w="2560" w:type="dxa"/>
            <w:tcBorders>
              <w:top w:val="nil"/>
              <w:left w:val="nil"/>
              <w:bottom w:val="single" w:sz="4" w:space="0" w:color="ADD6EA"/>
              <w:right w:val="nil"/>
            </w:tcBorders>
            <w:noWrap/>
            <w:vAlign w:val="center"/>
            <w:hideMark/>
          </w:tcPr>
          <w:p w14:paraId="1CCEE949"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1,632</w:t>
            </w:r>
          </w:p>
        </w:tc>
        <w:tc>
          <w:tcPr>
            <w:tcW w:w="2560" w:type="dxa"/>
            <w:tcBorders>
              <w:top w:val="nil"/>
              <w:left w:val="nil"/>
              <w:bottom w:val="single" w:sz="4" w:space="0" w:color="ADD6EA"/>
              <w:right w:val="nil"/>
            </w:tcBorders>
            <w:noWrap/>
            <w:vAlign w:val="center"/>
            <w:hideMark/>
          </w:tcPr>
          <w:p w14:paraId="48D85F8C"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226</w:t>
            </w:r>
          </w:p>
        </w:tc>
      </w:tr>
      <w:tr w:rsidR="003957CD" w:rsidRPr="00295205" w14:paraId="1FC177EB" w14:textId="77777777" w:rsidTr="00E51790">
        <w:trPr>
          <w:trHeight w:val="290"/>
        </w:trPr>
        <w:tc>
          <w:tcPr>
            <w:tcW w:w="4240" w:type="dxa"/>
            <w:tcBorders>
              <w:top w:val="nil"/>
              <w:left w:val="nil"/>
              <w:bottom w:val="single" w:sz="4" w:space="0" w:color="ADD6EA"/>
              <w:right w:val="nil"/>
            </w:tcBorders>
            <w:noWrap/>
            <w:vAlign w:val="center"/>
            <w:hideMark/>
          </w:tcPr>
          <w:p w14:paraId="4F95A12D" w14:textId="51E7A287" w:rsidR="003957CD" w:rsidRPr="00295205"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xml:space="preserve">Changes in assessed </w:t>
            </w:r>
            <w:r w:rsidR="001169A0">
              <w:rPr>
                <w:rFonts w:ascii="Open Sans Light" w:eastAsia="Times New Roman" w:hAnsi="Open Sans Light" w:cs="Open Sans Light"/>
                <w:sz w:val="16"/>
                <w:szCs w:val="16"/>
                <w:lang w:eastAsia="en-AU"/>
              </w:rPr>
              <w:t>GST</w:t>
            </w:r>
            <w:r w:rsidRPr="00295205">
              <w:rPr>
                <w:rFonts w:ascii="Open Sans Light" w:eastAsia="Times New Roman" w:hAnsi="Open Sans Light" w:cs="Open Sans Light"/>
                <w:sz w:val="16"/>
                <w:szCs w:val="16"/>
                <w:lang w:eastAsia="en-AU"/>
              </w:rPr>
              <w:t xml:space="preserve"> needs</w:t>
            </w:r>
          </w:p>
        </w:tc>
        <w:tc>
          <w:tcPr>
            <w:tcW w:w="2560" w:type="dxa"/>
            <w:tcBorders>
              <w:top w:val="nil"/>
              <w:left w:val="nil"/>
              <w:bottom w:val="single" w:sz="4" w:space="0" w:color="ADD6EA"/>
              <w:right w:val="nil"/>
            </w:tcBorders>
            <w:noWrap/>
            <w:vAlign w:val="center"/>
            <w:hideMark/>
          </w:tcPr>
          <w:p w14:paraId="3A552D9D"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w:t>
            </w:r>
          </w:p>
        </w:tc>
        <w:tc>
          <w:tcPr>
            <w:tcW w:w="2560" w:type="dxa"/>
            <w:tcBorders>
              <w:top w:val="nil"/>
              <w:left w:val="nil"/>
              <w:bottom w:val="single" w:sz="4" w:space="0" w:color="ADD6EA"/>
              <w:right w:val="nil"/>
            </w:tcBorders>
            <w:noWrap/>
            <w:vAlign w:val="center"/>
            <w:hideMark/>
          </w:tcPr>
          <w:p w14:paraId="70C3B9F2"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 </w:t>
            </w:r>
          </w:p>
        </w:tc>
      </w:tr>
      <w:tr w:rsidR="003957CD" w:rsidRPr="00295205" w14:paraId="01021C7E" w14:textId="77777777" w:rsidTr="00E51790">
        <w:trPr>
          <w:trHeight w:val="290"/>
        </w:trPr>
        <w:tc>
          <w:tcPr>
            <w:tcW w:w="4240" w:type="dxa"/>
            <w:tcBorders>
              <w:top w:val="nil"/>
              <w:left w:val="nil"/>
              <w:bottom w:val="single" w:sz="4" w:space="0" w:color="ADD6EA"/>
              <w:right w:val="nil"/>
            </w:tcBorders>
            <w:noWrap/>
            <w:vAlign w:val="center"/>
            <w:hideMark/>
          </w:tcPr>
          <w:p w14:paraId="5C2247B7" w14:textId="77777777" w:rsidR="003957CD" w:rsidRPr="00295205"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Method changes</w:t>
            </w:r>
          </w:p>
        </w:tc>
        <w:tc>
          <w:tcPr>
            <w:tcW w:w="2560" w:type="dxa"/>
            <w:tcBorders>
              <w:top w:val="nil"/>
              <w:left w:val="nil"/>
              <w:bottom w:val="single" w:sz="4" w:space="0" w:color="ADD6EA"/>
              <w:right w:val="nil"/>
            </w:tcBorders>
            <w:noWrap/>
            <w:vAlign w:val="center"/>
            <w:hideMark/>
          </w:tcPr>
          <w:p w14:paraId="2A260D0D"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-197</w:t>
            </w:r>
          </w:p>
        </w:tc>
        <w:tc>
          <w:tcPr>
            <w:tcW w:w="2560" w:type="dxa"/>
            <w:tcBorders>
              <w:top w:val="nil"/>
              <w:left w:val="nil"/>
              <w:bottom w:val="single" w:sz="4" w:space="0" w:color="ADD6EA"/>
              <w:right w:val="nil"/>
            </w:tcBorders>
            <w:noWrap/>
            <w:vAlign w:val="center"/>
            <w:hideMark/>
          </w:tcPr>
          <w:p w14:paraId="10CF6FD6"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-27</w:t>
            </w:r>
          </w:p>
        </w:tc>
      </w:tr>
      <w:tr w:rsidR="003957CD" w:rsidRPr="00295205" w14:paraId="29505CAA" w14:textId="77777777" w:rsidTr="00E51790">
        <w:trPr>
          <w:trHeight w:val="290"/>
        </w:trPr>
        <w:tc>
          <w:tcPr>
            <w:tcW w:w="4240" w:type="dxa"/>
            <w:tcBorders>
              <w:top w:val="nil"/>
              <w:left w:val="nil"/>
              <w:bottom w:val="single" w:sz="4" w:space="0" w:color="ADD6EA"/>
              <w:right w:val="nil"/>
            </w:tcBorders>
            <w:noWrap/>
            <w:vAlign w:val="center"/>
            <w:hideMark/>
          </w:tcPr>
          <w:p w14:paraId="490BC6A5" w14:textId="77777777" w:rsidR="003957CD" w:rsidRPr="00295205"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Data revisions</w:t>
            </w:r>
          </w:p>
        </w:tc>
        <w:tc>
          <w:tcPr>
            <w:tcW w:w="2560" w:type="dxa"/>
            <w:tcBorders>
              <w:top w:val="nil"/>
              <w:left w:val="nil"/>
              <w:bottom w:val="single" w:sz="4" w:space="0" w:color="ADD6EA"/>
              <w:right w:val="nil"/>
            </w:tcBorders>
            <w:noWrap/>
            <w:vAlign w:val="center"/>
            <w:hideMark/>
          </w:tcPr>
          <w:p w14:paraId="63D07C9C"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645</w:t>
            </w:r>
          </w:p>
        </w:tc>
        <w:tc>
          <w:tcPr>
            <w:tcW w:w="2560" w:type="dxa"/>
            <w:tcBorders>
              <w:top w:val="nil"/>
              <w:left w:val="nil"/>
              <w:bottom w:val="single" w:sz="4" w:space="0" w:color="ADD6EA"/>
              <w:right w:val="nil"/>
            </w:tcBorders>
            <w:noWrap/>
            <w:vAlign w:val="center"/>
            <w:hideMark/>
          </w:tcPr>
          <w:p w14:paraId="50495BB7"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89</w:t>
            </w:r>
          </w:p>
        </w:tc>
      </w:tr>
      <w:tr w:rsidR="003957CD" w:rsidRPr="00295205" w14:paraId="3A1066CE" w14:textId="77777777" w:rsidTr="00E51790">
        <w:trPr>
          <w:trHeight w:val="290"/>
        </w:trPr>
        <w:tc>
          <w:tcPr>
            <w:tcW w:w="4240" w:type="dxa"/>
            <w:tcBorders>
              <w:top w:val="nil"/>
              <w:left w:val="nil"/>
              <w:bottom w:val="single" w:sz="4" w:space="0" w:color="ADD6EA"/>
              <w:right w:val="nil"/>
            </w:tcBorders>
            <w:noWrap/>
            <w:vAlign w:val="center"/>
            <w:hideMark/>
          </w:tcPr>
          <w:p w14:paraId="0AFFAFCA" w14:textId="77777777" w:rsidR="003957CD" w:rsidRPr="00295205"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State circumstances</w:t>
            </w:r>
          </w:p>
        </w:tc>
        <w:tc>
          <w:tcPr>
            <w:tcW w:w="2560" w:type="dxa"/>
            <w:tcBorders>
              <w:top w:val="nil"/>
              <w:left w:val="nil"/>
              <w:bottom w:val="single" w:sz="4" w:space="0" w:color="ADD6EA"/>
              <w:right w:val="nil"/>
            </w:tcBorders>
            <w:noWrap/>
            <w:vAlign w:val="center"/>
            <w:hideMark/>
          </w:tcPr>
          <w:p w14:paraId="0E079D8C"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-888</w:t>
            </w:r>
          </w:p>
        </w:tc>
        <w:tc>
          <w:tcPr>
            <w:tcW w:w="2560" w:type="dxa"/>
            <w:tcBorders>
              <w:top w:val="nil"/>
              <w:left w:val="nil"/>
              <w:bottom w:val="single" w:sz="4" w:space="0" w:color="ADD6EA"/>
              <w:right w:val="nil"/>
            </w:tcBorders>
            <w:noWrap/>
            <w:vAlign w:val="center"/>
            <w:hideMark/>
          </w:tcPr>
          <w:p w14:paraId="5533AA12"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-123</w:t>
            </w:r>
          </w:p>
        </w:tc>
      </w:tr>
      <w:tr w:rsidR="003957CD" w:rsidRPr="00295205" w14:paraId="1C9F952F" w14:textId="77777777" w:rsidTr="00E51790">
        <w:trPr>
          <w:trHeight w:val="290"/>
        </w:trPr>
        <w:tc>
          <w:tcPr>
            <w:tcW w:w="4240" w:type="dxa"/>
            <w:tcBorders>
              <w:top w:val="nil"/>
              <w:left w:val="nil"/>
              <w:bottom w:val="single" w:sz="4" w:space="0" w:color="ADD6EA"/>
              <w:right w:val="nil"/>
            </w:tcBorders>
            <w:noWrap/>
            <w:vAlign w:val="center"/>
            <w:hideMark/>
          </w:tcPr>
          <w:p w14:paraId="2244C6C1" w14:textId="77777777" w:rsidR="003957CD" w:rsidRPr="00295205"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Total</w:t>
            </w:r>
          </w:p>
        </w:tc>
        <w:tc>
          <w:tcPr>
            <w:tcW w:w="2560" w:type="dxa"/>
            <w:tcBorders>
              <w:top w:val="nil"/>
              <w:left w:val="nil"/>
              <w:bottom w:val="single" w:sz="4" w:space="0" w:color="ADD6EA"/>
              <w:right w:val="nil"/>
            </w:tcBorders>
            <w:noWrap/>
            <w:vAlign w:val="center"/>
            <w:hideMark/>
          </w:tcPr>
          <w:p w14:paraId="43898C64"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-440</w:t>
            </w:r>
          </w:p>
        </w:tc>
        <w:tc>
          <w:tcPr>
            <w:tcW w:w="2560" w:type="dxa"/>
            <w:tcBorders>
              <w:top w:val="nil"/>
              <w:left w:val="nil"/>
              <w:bottom w:val="single" w:sz="4" w:space="0" w:color="ADD6EA"/>
              <w:right w:val="nil"/>
            </w:tcBorders>
            <w:noWrap/>
            <w:vAlign w:val="center"/>
            <w:hideMark/>
          </w:tcPr>
          <w:p w14:paraId="0EDBAD9A"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-61</w:t>
            </w:r>
          </w:p>
        </w:tc>
      </w:tr>
      <w:tr w:rsidR="003957CD" w:rsidRPr="00295205" w14:paraId="39738985" w14:textId="77777777" w:rsidTr="00E51790">
        <w:trPr>
          <w:trHeight w:val="290"/>
        </w:trPr>
        <w:tc>
          <w:tcPr>
            <w:tcW w:w="4240" w:type="dxa"/>
            <w:tcBorders>
              <w:top w:val="nil"/>
              <w:left w:val="nil"/>
              <w:bottom w:val="single" w:sz="4" w:space="0" w:color="ADD6EA"/>
              <w:right w:val="nil"/>
            </w:tcBorders>
            <w:noWrap/>
            <w:vAlign w:val="center"/>
            <w:hideMark/>
          </w:tcPr>
          <w:p w14:paraId="312AF44E" w14:textId="77777777" w:rsidR="003957CD" w:rsidRPr="00295205"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2018 legislated changes to determining relativities</w:t>
            </w:r>
          </w:p>
        </w:tc>
        <w:tc>
          <w:tcPr>
            <w:tcW w:w="2560" w:type="dxa"/>
            <w:tcBorders>
              <w:top w:val="nil"/>
              <w:left w:val="nil"/>
              <w:bottom w:val="single" w:sz="4" w:space="0" w:color="ADD6EA"/>
              <w:right w:val="nil"/>
            </w:tcBorders>
            <w:noWrap/>
            <w:vAlign w:val="center"/>
            <w:hideMark/>
          </w:tcPr>
          <w:p w14:paraId="57EB3212"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2</w:t>
            </w:r>
            <w:r>
              <w:rPr>
                <w:rFonts w:ascii="Open Sans Light" w:eastAsia="Times New Roman" w:hAnsi="Open Sans Light" w:cs="Open Sans Light"/>
                <w:sz w:val="16"/>
                <w:szCs w:val="16"/>
                <w:lang w:eastAsia="en-AU"/>
              </w:rPr>
              <w:t>49</w:t>
            </w:r>
          </w:p>
        </w:tc>
        <w:tc>
          <w:tcPr>
            <w:tcW w:w="2560" w:type="dxa"/>
            <w:tcBorders>
              <w:top w:val="nil"/>
              <w:left w:val="nil"/>
              <w:bottom w:val="single" w:sz="4" w:space="0" w:color="ADD6EA"/>
              <w:right w:val="nil"/>
            </w:tcBorders>
            <w:noWrap/>
            <w:vAlign w:val="center"/>
            <w:hideMark/>
          </w:tcPr>
          <w:p w14:paraId="74ECBF4B" w14:textId="77777777" w:rsidR="003957CD" w:rsidRPr="00295205"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295205">
              <w:rPr>
                <w:rFonts w:ascii="Open Sans Light" w:eastAsia="Times New Roman" w:hAnsi="Open Sans Light" w:cs="Open Sans Light"/>
                <w:sz w:val="16"/>
                <w:szCs w:val="16"/>
                <w:lang w:eastAsia="en-AU"/>
              </w:rPr>
              <w:t>35</w:t>
            </w:r>
          </w:p>
        </w:tc>
      </w:tr>
      <w:tr w:rsidR="003957CD" w:rsidRPr="00295205" w14:paraId="343372F3" w14:textId="77777777" w:rsidTr="00E51790">
        <w:trPr>
          <w:trHeight w:val="290"/>
        </w:trPr>
        <w:tc>
          <w:tcPr>
            <w:tcW w:w="4240" w:type="dxa"/>
            <w:tcBorders>
              <w:top w:val="nil"/>
              <w:left w:val="nil"/>
              <w:bottom w:val="single" w:sz="4" w:space="0" w:color="ADD6EA"/>
              <w:right w:val="nil"/>
            </w:tcBorders>
            <w:shd w:val="clear" w:color="000000" w:fill="D6E7F0"/>
            <w:noWrap/>
            <w:vAlign w:val="center"/>
            <w:hideMark/>
          </w:tcPr>
          <w:p w14:paraId="206F951A" w14:textId="77777777" w:rsidR="003957CD" w:rsidRPr="00295205"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95205">
              <w:rPr>
                <w:rFonts w:ascii="Open Sans Semibold" w:eastAsia="Times New Roman" w:hAnsi="Open Sans Semibold" w:cs="Open Sans Semibold"/>
                <w:color w:val="000000"/>
                <w:sz w:val="16"/>
                <w:szCs w:val="16"/>
                <w:lang w:eastAsia="en-AU"/>
              </w:rPr>
              <w:t>Total change</w:t>
            </w:r>
          </w:p>
        </w:tc>
        <w:tc>
          <w:tcPr>
            <w:tcW w:w="2560" w:type="dxa"/>
            <w:tcBorders>
              <w:top w:val="nil"/>
              <w:left w:val="nil"/>
              <w:bottom w:val="single" w:sz="4" w:space="0" w:color="ADD6EA"/>
              <w:right w:val="nil"/>
            </w:tcBorders>
            <w:shd w:val="clear" w:color="000000" w:fill="D6E7F0"/>
            <w:noWrap/>
            <w:vAlign w:val="center"/>
            <w:hideMark/>
          </w:tcPr>
          <w:p w14:paraId="73B7BB7E"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95205">
              <w:rPr>
                <w:rFonts w:ascii="Open Sans Semibold" w:eastAsia="Times New Roman" w:hAnsi="Open Sans Semibold" w:cs="Open Sans Semibold"/>
                <w:color w:val="000000"/>
                <w:sz w:val="16"/>
                <w:szCs w:val="16"/>
                <w:lang w:eastAsia="en-AU"/>
              </w:rPr>
              <w:t>1,494</w:t>
            </w:r>
          </w:p>
        </w:tc>
        <w:tc>
          <w:tcPr>
            <w:tcW w:w="2560" w:type="dxa"/>
            <w:tcBorders>
              <w:top w:val="nil"/>
              <w:left w:val="nil"/>
              <w:bottom w:val="single" w:sz="4" w:space="0" w:color="ADD6EA"/>
              <w:right w:val="nil"/>
            </w:tcBorders>
            <w:shd w:val="clear" w:color="000000" w:fill="D6E7F0"/>
            <w:noWrap/>
            <w:vAlign w:val="center"/>
            <w:hideMark/>
          </w:tcPr>
          <w:p w14:paraId="6AA0C1B0" w14:textId="77777777" w:rsidR="003957CD" w:rsidRPr="00295205"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295205">
              <w:rPr>
                <w:rFonts w:ascii="Open Sans Semibold" w:eastAsia="Times New Roman" w:hAnsi="Open Sans Semibold" w:cs="Open Sans Semibold"/>
                <w:color w:val="000000"/>
                <w:sz w:val="16"/>
                <w:szCs w:val="16"/>
                <w:lang w:eastAsia="en-AU"/>
              </w:rPr>
              <w:t>207</w:t>
            </w:r>
          </w:p>
        </w:tc>
      </w:tr>
    </w:tbl>
    <w:p w14:paraId="34CDB157" w14:textId="77777777" w:rsidR="003957CD" w:rsidRPr="00F47AF8" w:rsidRDefault="003957CD" w:rsidP="003957CD">
      <w:pPr>
        <w:tabs>
          <w:tab w:val="clear" w:pos="567"/>
        </w:tabs>
        <w:spacing w:before="0" w:line="240" w:lineRule="auto"/>
        <w:rPr>
          <w:rFonts w:ascii="Work Sans SemiBold" w:hAnsi="Work Sans SemiBold" w:cs="Cambria Math"/>
          <w:bCs/>
          <w:color w:val="000000"/>
          <w:szCs w:val="21"/>
          <w:shd w:val="clear" w:color="auto" w:fill="FFFFFF"/>
          <w14:shadow w14:blurRad="50800" w14:dist="50800" w14:dir="5400000" w14:sx="0" w14:sy="0" w14:kx="0" w14:ky="0" w14:algn="ctr">
            <w14:srgbClr w14:val="000000">
              <w14:alpha w14:val="1000"/>
            </w14:srgbClr>
          </w14:shadow>
        </w:rPr>
      </w:pPr>
      <w:r w:rsidRPr="00F47AF8">
        <w:br w:type="page"/>
      </w:r>
    </w:p>
    <w:p w14:paraId="52192102" w14:textId="77777777" w:rsidR="003957CD" w:rsidRPr="00F47AF8" w:rsidRDefault="003957CD" w:rsidP="00371E5F">
      <w:pPr>
        <w:pStyle w:val="CGC2025Caption"/>
      </w:pPr>
      <w:r w:rsidRPr="00F47AF8">
        <w:lastRenderedPageBreak/>
        <w:t>Figure 3-2</w:t>
      </w:r>
      <w:r w:rsidRPr="00F47AF8">
        <w:tab/>
        <w:t>Victoria: main changes in assessed GST needs, 2026</w:t>
      </w:r>
      <w:r w:rsidRPr="00BA42D7">
        <w:t>–</w:t>
      </w:r>
      <w:r>
        <w:t>27 relativities</w:t>
      </w:r>
    </w:p>
    <w:tbl>
      <w:tblPr>
        <w:tblW w:w="9260" w:type="dxa"/>
        <w:tblLook w:val="04A0" w:firstRow="1" w:lastRow="0" w:firstColumn="1" w:lastColumn="0" w:noHBand="0" w:noVBand="1"/>
      </w:tblPr>
      <w:tblGrid>
        <w:gridCol w:w="2780"/>
        <w:gridCol w:w="720"/>
        <w:gridCol w:w="720"/>
        <w:gridCol w:w="5040"/>
      </w:tblGrid>
      <w:tr w:rsidR="003957CD" w:rsidRPr="00924A8B" w14:paraId="06C48AE9" w14:textId="77777777" w:rsidTr="00E51790">
        <w:trPr>
          <w:trHeight w:val="290"/>
        </w:trPr>
        <w:tc>
          <w:tcPr>
            <w:tcW w:w="9260" w:type="dxa"/>
            <w:gridSpan w:val="4"/>
            <w:tcBorders>
              <w:top w:val="nil"/>
              <w:left w:val="nil"/>
              <w:bottom w:val="nil"/>
              <w:right w:val="nil"/>
            </w:tcBorders>
            <w:shd w:val="clear" w:color="000000" w:fill="006991"/>
            <w:vAlign w:val="center"/>
            <w:hideMark/>
          </w:tcPr>
          <w:p w14:paraId="291431BB"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924A8B">
              <w:rPr>
                <w:rFonts w:ascii="Open Sans Semibold" w:eastAsia="Times New Roman" w:hAnsi="Open Sans Semibold" w:cs="Open Sans Semibold"/>
                <w:color w:val="FFFFFF"/>
                <w:sz w:val="16"/>
                <w:szCs w:val="16"/>
                <w:lang w:eastAsia="en-AU"/>
              </w:rPr>
              <w:t>Method changes</w:t>
            </w:r>
          </w:p>
        </w:tc>
      </w:tr>
      <w:tr w:rsidR="003957CD" w:rsidRPr="00924A8B" w14:paraId="202CC390" w14:textId="77777777" w:rsidTr="00E51790">
        <w:trPr>
          <w:trHeight w:val="290"/>
        </w:trPr>
        <w:tc>
          <w:tcPr>
            <w:tcW w:w="2780" w:type="dxa"/>
            <w:tcBorders>
              <w:top w:val="single" w:sz="4" w:space="0" w:color="ADD6EA"/>
              <w:left w:val="nil"/>
              <w:bottom w:val="nil"/>
              <w:right w:val="nil"/>
            </w:tcBorders>
            <w:shd w:val="clear" w:color="000000" w:fill="D6E7F0"/>
            <w:hideMark/>
          </w:tcPr>
          <w:p w14:paraId="3D11B40F"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6B356BC1"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7B73AFD0"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Explanation</w:t>
            </w:r>
          </w:p>
        </w:tc>
      </w:tr>
      <w:tr w:rsidR="003957CD" w:rsidRPr="00924A8B" w14:paraId="6CD6E59E" w14:textId="77777777" w:rsidTr="00E51790">
        <w:trPr>
          <w:trHeight w:val="290"/>
        </w:trPr>
        <w:tc>
          <w:tcPr>
            <w:tcW w:w="2780" w:type="dxa"/>
            <w:tcBorders>
              <w:top w:val="single" w:sz="4" w:space="0" w:color="ADD6EA"/>
              <w:left w:val="nil"/>
              <w:bottom w:val="nil"/>
              <w:right w:val="nil"/>
            </w:tcBorders>
            <w:shd w:val="clear" w:color="000000" w:fill="B6D5E4"/>
            <w:hideMark/>
          </w:tcPr>
          <w:p w14:paraId="70572EAC"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5BA661A3"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18FC8C73"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2BA4D046"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 </w:t>
            </w:r>
          </w:p>
        </w:tc>
      </w:tr>
      <w:tr w:rsidR="003957CD" w:rsidRPr="00924A8B" w14:paraId="6F42FC04" w14:textId="77777777" w:rsidTr="00AE7036">
        <w:trPr>
          <w:trHeight w:val="1777"/>
        </w:trPr>
        <w:tc>
          <w:tcPr>
            <w:tcW w:w="2780" w:type="dxa"/>
            <w:tcBorders>
              <w:top w:val="single" w:sz="4" w:space="0" w:color="ADD6EA"/>
              <w:left w:val="nil"/>
              <w:bottom w:val="nil"/>
              <w:right w:val="nil"/>
            </w:tcBorders>
            <w:shd w:val="clear" w:color="000000" w:fill="FFFFFF"/>
            <w:hideMark/>
          </w:tcPr>
          <w:p w14:paraId="0B33D696"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Justice method changes</w:t>
            </w:r>
          </w:p>
        </w:tc>
        <w:tc>
          <w:tcPr>
            <w:tcW w:w="720" w:type="dxa"/>
            <w:tcBorders>
              <w:top w:val="single" w:sz="4" w:space="0" w:color="ADD6EA"/>
              <w:left w:val="nil"/>
              <w:bottom w:val="nil"/>
              <w:right w:val="nil"/>
            </w:tcBorders>
            <w:shd w:val="clear" w:color="000000" w:fill="EBBFA0"/>
            <w:hideMark/>
          </w:tcPr>
          <w:p w14:paraId="5EBBF974"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-257</w:t>
            </w:r>
          </w:p>
        </w:tc>
        <w:tc>
          <w:tcPr>
            <w:tcW w:w="720" w:type="dxa"/>
            <w:tcBorders>
              <w:top w:val="single" w:sz="4" w:space="0" w:color="ADD6EA"/>
              <w:left w:val="nil"/>
              <w:bottom w:val="nil"/>
              <w:right w:val="nil"/>
            </w:tcBorders>
            <w:shd w:val="clear" w:color="000000" w:fill="EBBFA0"/>
            <w:hideMark/>
          </w:tcPr>
          <w:p w14:paraId="6C5DC37C"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-36</w:t>
            </w:r>
          </w:p>
        </w:tc>
        <w:tc>
          <w:tcPr>
            <w:tcW w:w="5040" w:type="dxa"/>
            <w:tcBorders>
              <w:top w:val="single" w:sz="4" w:space="0" w:color="ADD6EA"/>
              <w:left w:val="nil"/>
              <w:bottom w:val="nil"/>
              <w:right w:val="nil"/>
            </w:tcBorders>
            <w:shd w:val="clear" w:color="000000" w:fill="FFFFFF"/>
            <w:hideMark/>
          </w:tcPr>
          <w:p w14:paraId="64215EE9" w14:textId="7C2A6B74"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The Commission updated the police regression with the latest available data. These data show an increase in the cost of policing offenders</w:t>
            </w:r>
            <w:r>
              <w:rPr>
                <w:rFonts w:ascii="Open Sans Light" w:eastAsia="Times New Roman" w:hAnsi="Open Sans Light" w:cs="Open Sans Light"/>
                <w:color w:val="000000"/>
                <w:sz w:val="16"/>
                <w:szCs w:val="16"/>
                <w:lang w:eastAsia="en-AU"/>
              </w:rPr>
              <w:t>,</w:t>
            </w:r>
            <w:r w:rsidRPr="00924A8B">
              <w:rPr>
                <w:rFonts w:ascii="Open Sans Light" w:eastAsia="Times New Roman" w:hAnsi="Open Sans Light" w:cs="Open Sans Light"/>
                <w:color w:val="000000"/>
                <w:sz w:val="16"/>
                <w:szCs w:val="16"/>
                <w:lang w:eastAsia="en-AU"/>
              </w:rPr>
              <w:t xml:space="preserve"> which decrease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Victoria’s assessed GST needs. Court defendant data </w:t>
            </w:r>
            <w:r>
              <w:rPr>
                <w:rFonts w:ascii="Open Sans Light" w:eastAsia="Times New Roman" w:hAnsi="Open Sans Light" w:cs="Open Sans Light"/>
                <w:color w:val="000000"/>
                <w:sz w:val="16"/>
                <w:szCs w:val="16"/>
                <w:lang w:eastAsia="en-AU"/>
              </w:rPr>
              <w:t xml:space="preserve">have </w:t>
            </w:r>
            <w:r w:rsidRPr="00924A8B">
              <w:rPr>
                <w:rFonts w:ascii="Open Sans Light" w:eastAsia="Times New Roman" w:hAnsi="Open Sans Light" w:cs="Open Sans Light"/>
                <w:color w:val="000000"/>
                <w:sz w:val="16"/>
                <w:szCs w:val="16"/>
                <w:lang w:eastAsia="en-AU"/>
              </w:rPr>
              <w:t xml:space="preserve">also </w:t>
            </w:r>
            <w:r>
              <w:rPr>
                <w:rFonts w:ascii="Open Sans Light" w:eastAsia="Times New Roman" w:hAnsi="Open Sans Light" w:cs="Open Sans Light"/>
                <w:color w:val="000000"/>
                <w:sz w:val="16"/>
                <w:szCs w:val="16"/>
                <w:lang w:eastAsia="en-AU"/>
              </w:rPr>
              <w:t>been</w:t>
            </w:r>
            <w:r w:rsidRPr="00924A8B">
              <w:rPr>
                <w:rFonts w:ascii="Open Sans Light" w:eastAsia="Times New Roman" w:hAnsi="Open Sans Light" w:cs="Open Sans Light"/>
                <w:color w:val="000000"/>
                <w:sz w:val="16"/>
                <w:szCs w:val="16"/>
                <w:lang w:eastAsia="en-AU"/>
              </w:rPr>
              <w:t xml:space="preserve"> updated and show an increase in the share of First Nations defendants. This increase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assessed GST needs </w:t>
            </w:r>
            <w:r w:rsidR="00704CAC">
              <w:rPr>
                <w:rFonts w:ascii="Open Sans Light" w:eastAsia="Times New Roman" w:hAnsi="Open Sans Light" w:cs="Open Sans Light"/>
                <w:color w:val="000000"/>
                <w:sz w:val="16"/>
                <w:szCs w:val="16"/>
                <w:lang w:eastAsia="en-AU"/>
              </w:rPr>
              <w:t>of</w:t>
            </w:r>
            <w:r w:rsidR="00704CAC" w:rsidRPr="00924A8B">
              <w:rPr>
                <w:rFonts w:ascii="Open Sans Light" w:eastAsia="Times New Roman" w:hAnsi="Open Sans Light" w:cs="Open Sans Light"/>
                <w:color w:val="000000"/>
                <w:sz w:val="16"/>
                <w:szCs w:val="16"/>
                <w:lang w:eastAsia="en-AU"/>
              </w:rPr>
              <w:t xml:space="preserve"> </w:t>
            </w:r>
            <w:r w:rsidRPr="00924A8B">
              <w:rPr>
                <w:rFonts w:ascii="Open Sans Light" w:eastAsia="Times New Roman" w:hAnsi="Open Sans Light" w:cs="Open Sans Light"/>
                <w:color w:val="000000"/>
                <w:sz w:val="16"/>
                <w:szCs w:val="16"/>
                <w:lang w:eastAsia="en-AU"/>
              </w:rPr>
              <w:t>states with higher proportions of First Nations populations and decrease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assessed GST needs </w:t>
            </w:r>
            <w:r w:rsidR="00704CAC">
              <w:rPr>
                <w:rFonts w:ascii="Open Sans Light" w:eastAsia="Times New Roman" w:hAnsi="Open Sans Light" w:cs="Open Sans Light"/>
                <w:color w:val="000000"/>
                <w:sz w:val="16"/>
                <w:szCs w:val="16"/>
                <w:lang w:eastAsia="en-AU"/>
              </w:rPr>
              <w:t>of</w:t>
            </w:r>
            <w:r w:rsidR="00704CAC" w:rsidRPr="00924A8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924A8B">
              <w:rPr>
                <w:rFonts w:ascii="Open Sans Light" w:eastAsia="Times New Roman" w:hAnsi="Open Sans Light" w:cs="Open Sans Light"/>
                <w:color w:val="000000"/>
                <w:sz w:val="16"/>
                <w:szCs w:val="16"/>
                <w:lang w:eastAsia="en-AU"/>
              </w:rPr>
              <w:t>other states, including Victoria.</w:t>
            </w:r>
          </w:p>
        </w:tc>
      </w:tr>
      <w:tr w:rsidR="003957CD" w:rsidRPr="00924A8B" w14:paraId="435CFEA6" w14:textId="77777777" w:rsidTr="00E51790">
        <w:trPr>
          <w:trHeight w:val="290"/>
        </w:trPr>
        <w:tc>
          <w:tcPr>
            <w:tcW w:w="9260" w:type="dxa"/>
            <w:gridSpan w:val="4"/>
            <w:tcBorders>
              <w:top w:val="nil"/>
              <w:left w:val="nil"/>
              <w:bottom w:val="nil"/>
              <w:right w:val="nil"/>
            </w:tcBorders>
            <w:shd w:val="clear" w:color="000000" w:fill="006991"/>
            <w:vAlign w:val="center"/>
            <w:hideMark/>
          </w:tcPr>
          <w:p w14:paraId="77CB0A74"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924A8B">
              <w:rPr>
                <w:rFonts w:ascii="Open Sans Semibold" w:eastAsia="Times New Roman" w:hAnsi="Open Sans Semibold" w:cs="Open Sans Semibold"/>
                <w:color w:val="FFFFFF"/>
                <w:sz w:val="16"/>
                <w:szCs w:val="16"/>
                <w:lang w:eastAsia="en-AU"/>
              </w:rPr>
              <w:t>Revisions</w:t>
            </w:r>
          </w:p>
        </w:tc>
      </w:tr>
      <w:tr w:rsidR="003957CD" w:rsidRPr="00924A8B" w14:paraId="0E90A2B4" w14:textId="77777777" w:rsidTr="00E51790">
        <w:trPr>
          <w:trHeight w:val="290"/>
        </w:trPr>
        <w:tc>
          <w:tcPr>
            <w:tcW w:w="2780" w:type="dxa"/>
            <w:tcBorders>
              <w:top w:val="single" w:sz="4" w:space="0" w:color="ADD6EA"/>
              <w:left w:val="nil"/>
              <w:bottom w:val="nil"/>
              <w:right w:val="nil"/>
            </w:tcBorders>
            <w:shd w:val="clear" w:color="000000" w:fill="D6E7F0"/>
            <w:hideMark/>
          </w:tcPr>
          <w:p w14:paraId="61A1FF8B"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1ED55E26"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7A89ABCC"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Explanation</w:t>
            </w:r>
          </w:p>
        </w:tc>
      </w:tr>
      <w:tr w:rsidR="003957CD" w:rsidRPr="00924A8B" w14:paraId="4A04C52E" w14:textId="77777777" w:rsidTr="00E51790">
        <w:trPr>
          <w:trHeight w:val="290"/>
        </w:trPr>
        <w:tc>
          <w:tcPr>
            <w:tcW w:w="2780" w:type="dxa"/>
            <w:tcBorders>
              <w:top w:val="single" w:sz="4" w:space="0" w:color="ADD6EA"/>
              <w:left w:val="nil"/>
              <w:bottom w:val="nil"/>
              <w:right w:val="nil"/>
            </w:tcBorders>
            <w:shd w:val="clear" w:color="000000" w:fill="B6D5E4"/>
            <w:hideMark/>
          </w:tcPr>
          <w:p w14:paraId="5DBE94F4"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73652C01"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0B561AA0"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01483423"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 </w:t>
            </w:r>
          </w:p>
        </w:tc>
      </w:tr>
      <w:tr w:rsidR="003957CD" w:rsidRPr="00924A8B" w14:paraId="3D5EE33E" w14:textId="77777777" w:rsidTr="00AE7036">
        <w:trPr>
          <w:trHeight w:val="1553"/>
        </w:trPr>
        <w:tc>
          <w:tcPr>
            <w:tcW w:w="2780" w:type="dxa"/>
            <w:tcBorders>
              <w:top w:val="single" w:sz="4" w:space="0" w:color="ADD6EA"/>
              <w:left w:val="nil"/>
              <w:bottom w:val="nil"/>
              <w:right w:val="nil"/>
            </w:tcBorders>
            <w:shd w:val="clear" w:color="000000" w:fill="FFFFFF"/>
            <w:hideMark/>
          </w:tcPr>
          <w:p w14:paraId="340D64D5"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Natural disaster relief</w:t>
            </w:r>
          </w:p>
        </w:tc>
        <w:tc>
          <w:tcPr>
            <w:tcW w:w="720" w:type="dxa"/>
            <w:tcBorders>
              <w:top w:val="single" w:sz="4" w:space="0" w:color="ADD6EA"/>
              <w:left w:val="nil"/>
              <w:bottom w:val="nil"/>
              <w:right w:val="nil"/>
            </w:tcBorders>
            <w:shd w:val="clear" w:color="000000" w:fill="ADD6EA"/>
            <w:hideMark/>
          </w:tcPr>
          <w:p w14:paraId="00E20CA2"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558</w:t>
            </w:r>
          </w:p>
        </w:tc>
        <w:tc>
          <w:tcPr>
            <w:tcW w:w="720" w:type="dxa"/>
            <w:tcBorders>
              <w:top w:val="single" w:sz="4" w:space="0" w:color="ADD6EA"/>
              <w:left w:val="nil"/>
              <w:bottom w:val="nil"/>
              <w:right w:val="nil"/>
            </w:tcBorders>
            <w:shd w:val="clear" w:color="000000" w:fill="ADD6EA"/>
            <w:hideMark/>
          </w:tcPr>
          <w:p w14:paraId="7B0B60BD"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77</w:t>
            </w:r>
          </w:p>
        </w:tc>
        <w:tc>
          <w:tcPr>
            <w:tcW w:w="5040" w:type="dxa"/>
            <w:tcBorders>
              <w:top w:val="single" w:sz="4" w:space="0" w:color="ADD6EA"/>
              <w:left w:val="nil"/>
              <w:bottom w:val="nil"/>
              <w:right w:val="nil"/>
            </w:tcBorders>
            <w:shd w:val="clear" w:color="000000" w:fill="FFFFFF"/>
            <w:hideMark/>
          </w:tcPr>
          <w:p w14:paraId="7E8B3435" w14:textId="392CA9E4"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 xml:space="preserve">A significant downward revision </w:t>
            </w:r>
            <w:r w:rsidR="00DE46A9">
              <w:rPr>
                <w:rFonts w:ascii="Open Sans Light" w:eastAsia="Times New Roman" w:hAnsi="Open Sans Light" w:cs="Open Sans Light"/>
                <w:color w:val="000000"/>
                <w:sz w:val="16"/>
                <w:szCs w:val="16"/>
                <w:lang w:eastAsia="en-AU"/>
              </w:rPr>
              <w:t>by</w:t>
            </w:r>
            <w:r w:rsidR="00DE46A9" w:rsidRPr="00924A8B">
              <w:rPr>
                <w:rFonts w:ascii="Open Sans Light" w:eastAsia="Times New Roman" w:hAnsi="Open Sans Light" w:cs="Open Sans Light"/>
                <w:color w:val="000000"/>
                <w:sz w:val="16"/>
                <w:szCs w:val="16"/>
                <w:lang w:eastAsia="en-AU"/>
              </w:rPr>
              <w:t xml:space="preserve"> </w:t>
            </w:r>
            <w:r w:rsidRPr="00924A8B">
              <w:rPr>
                <w:rFonts w:ascii="Open Sans Light" w:eastAsia="Times New Roman" w:hAnsi="Open Sans Light" w:cs="Open Sans Light"/>
                <w:color w:val="000000"/>
                <w:sz w:val="16"/>
                <w:szCs w:val="16"/>
                <w:lang w:eastAsia="en-AU"/>
              </w:rPr>
              <w:t>New South Wales</w:t>
            </w:r>
            <w:r w:rsidR="00DE46A9">
              <w:rPr>
                <w:rFonts w:ascii="Open Sans Light" w:eastAsia="Times New Roman" w:hAnsi="Open Sans Light" w:cs="Open Sans Light"/>
                <w:color w:val="000000"/>
                <w:sz w:val="16"/>
                <w:szCs w:val="16"/>
                <w:lang w:eastAsia="en-AU"/>
              </w:rPr>
              <w:t xml:space="preserve"> to its</w:t>
            </w:r>
            <w:r w:rsidRPr="00924A8B">
              <w:rPr>
                <w:rFonts w:ascii="Open Sans Light" w:eastAsia="Times New Roman" w:hAnsi="Open Sans Light" w:cs="Open Sans Light"/>
                <w:color w:val="000000"/>
                <w:sz w:val="16"/>
                <w:szCs w:val="16"/>
                <w:lang w:eastAsia="en-AU"/>
              </w:rPr>
              <w:t xml:space="preserve"> natural disaster relief expenses in 2022–23 decrease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its assessed GST needs and increase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assessed GST needs </w:t>
            </w:r>
            <w:r w:rsidR="002F31FE">
              <w:rPr>
                <w:rFonts w:ascii="Open Sans Light" w:eastAsia="Times New Roman" w:hAnsi="Open Sans Light" w:cs="Open Sans Light"/>
                <w:color w:val="000000"/>
                <w:sz w:val="16"/>
                <w:szCs w:val="16"/>
                <w:lang w:eastAsia="en-AU"/>
              </w:rPr>
              <w:t>of</w:t>
            </w:r>
            <w:r w:rsidR="002F31FE" w:rsidRPr="00924A8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924A8B">
              <w:rPr>
                <w:rFonts w:ascii="Open Sans Light" w:eastAsia="Times New Roman" w:hAnsi="Open Sans Light" w:cs="Open Sans Light"/>
                <w:color w:val="000000"/>
                <w:sz w:val="16"/>
                <w:szCs w:val="16"/>
                <w:lang w:eastAsia="en-AU"/>
              </w:rPr>
              <w:t xml:space="preserve">other states, including Victoria. </w:t>
            </w:r>
            <w:r>
              <w:rPr>
                <w:rFonts w:ascii="Open Sans Light" w:eastAsia="Times New Roman" w:hAnsi="Open Sans Light" w:cs="Open Sans Light"/>
                <w:color w:val="000000"/>
                <w:sz w:val="16"/>
                <w:szCs w:val="16"/>
                <w:lang w:eastAsia="en-AU"/>
              </w:rPr>
              <w:t xml:space="preserve">Also increasing Victoria’s assessed GST needs </w:t>
            </w:r>
            <w:r w:rsidR="005E15EA">
              <w:rPr>
                <w:rFonts w:ascii="Open Sans Light" w:eastAsia="Times New Roman" w:hAnsi="Open Sans Light" w:cs="Open Sans Light"/>
                <w:color w:val="000000"/>
                <w:sz w:val="16"/>
                <w:szCs w:val="16"/>
                <w:lang w:eastAsia="en-AU"/>
              </w:rPr>
              <w:t xml:space="preserve">is </w:t>
            </w:r>
            <w:r w:rsidRPr="00924A8B">
              <w:rPr>
                <w:rFonts w:ascii="Open Sans Light" w:eastAsia="Times New Roman" w:hAnsi="Open Sans Light" w:cs="Open Sans Light"/>
                <w:color w:val="000000"/>
                <w:sz w:val="16"/>
                <w:szCs w:val="16"/>
                <w:lang w:eastAsia="en-AU"/>
              </w:rPr>
              <w:t>a</w:t>
            </w:r>
            <w:r>
              <w:rPr>
                <w:rFonts w:ascii="Open Sans Light" w:eastAsia="Times New Roman" w:hAnsi="Open Sans Light" w:cs="Open Sans Light"/>
                <w:color w:val="000000"/>
                <w:sz w:val="16"/>
                <w:szCs w:val="16"/>
                <w:lang w:eastAsia="en-AU"/>
              </w:rPr>
              <w:t>n</w:t>
            </w:r>
            <w:r w:rsidRPr="00924A8B">
              <w:rPr>
                <w:rFonts w:ascii="Open Sans Light" w:eastAsia="Times New Roman" w:hAnsi="Open Sans Light" w:cs="Open Sans Light"/>
                <w:color w:val="000000"/>
                <w:sz w:val="16"/>
                <w:szCs w:val="16"/>
                <w:lang w:eastAsia="en-AU"/>
              </w:rPr>
              <w:t xml:space="preserve"> upward revision to </w:t>
            </w:r>
            <w:r>
              <w:rPr>
                <w:rFonts w:ascii="Open Sans Light" w:eastAsia="Times New Roman" w:hAnsi="Open Sans Light" w:cs="Open Sans Light"/>
                <w:color w:val="000000"/>
                <w:sz w:val="16"/>
                <w:szCs w:val="16"/>
                <w:lang w:eastAsia="en-AU"/>
              </w:rPr>
              <w:t>its 2023</w:t>
            </w:r>
            <w:r w:rsidRPr="00924A8B">
              <w:rPr>
                <w:rFonts w:ascii="Open Sans Light" w:eastAsia="Times New Roman" w:hAnsi="Open Sans Light" w:cs="Open Sans Light"/>
                <w:color w:val="000000"/>
                <w:sz w:val="16"/>
                <w:szCs w:val="16"/>
                <w:lang w:eastAsia="en-AU"/>
              </w:rPr>
              <w:t>–</w:t>
            </w:r>
            <w:r>
              <w:rPr>
                <w:rFonts w:ascii="Open Sans Light" w:eastAsia="Times New Roman" w:hAnsi="Open Sans Light" w:cs="Open Sans Light"/>
                <w:color w:val="000000"/>
                <w:sz w:val="16"/>
                <w:szCs w:val="16"/>
                <w:lang w:eastAsia="en-AU"/>
              </w:rPr>
              <w:t>24</w:t>
            </w:r>
            <w:r w:rsidRPr="00924A8B">
              <w:rPr>
                <w:rFonts w:ascii="Open Sans Light" w:eastAsia="Times New Roman" w:hAnsi="Open Sans Light" w:cs="Open Sans Light"/>
                <w:color w:val="000000"/>
                <w:sz w:val="16"/>
                <w:szCs w:val="16"/>
                <w:lang w:eastAsia="en-AU"/>
              </w:rPr>
              <w:t xml:space="preserve"> expenses </w:t>
            </w:r>
            <w:r>
              <w:rPr>
                <w:rFonts w:ascii="Open Sans Light" w:eastAsia="Times New Roman" w:hAnsi="Open Sans Light" w:cs="Open Sans Light"/>
                <w:color w:val="000000"/>
                <w:sz w:val="16"/>
                <w:szCs w:val="16"/>
                <w:lang w:eastAsia="en-AU"/>
              </w:rPr>
              <w:t xml:space="preserve">and </w:t>
            </w:r>
            <w:r w:rsidR="000B49B0">
              <w:rPr>
                <w:rFonts w:ascii="Open Sans Light" w:eastAsia="Times New Roman" w:hAnsi="Open Sans Light" w:cs="Open Sans Light"/>
                <w:color w:val="000000"/>
                <w:sz w:val="16"/>
                <w:szCs w:val="16"/>
                <w:lang w:eastAsia="en-AU"/>
              </w:rPr>
              <w:t xml:space="preserve">an adjustment </w:t>
            </w:r>
            <w:r>
              <w:rPr>
                <w:rFonts w:ascii="Open Sans Light" w:eastAsia="Times New Roman" w:hAnsi="Open Sans Light" w:cs="Open Sans Light"/>
                <w:color w:val="000000"/>
                <w:sz w:val="16"/>
                <w:szCs w:val="16"/>
                <w:lang w:eastAsia="en-AU"/>
              </w:rPr>
              <w:t>t</w:t>
            </w:r>
            <w:r w:rsidRPr="00924A8B">
              <w:rPr>
                <w:rFonts w:ascii="Open Sans Light" w:eastAsia="Times New Roman" w:hAnsi="Open Sans Light" w:cs="Open Sans Light"/>
                <w:color w:val="000000"/>
                <w:sz w:val="16"/>
                <w:szCs w:val="16"/>
                <w:lang w:eastAsia="en-AU"/>
              </w:rPr>
              <w:t xml:space="preserve">he Commission </w:t>
            </w:r>
            <w:r w:rsidR="00611AE7">
              <w:rPr>
                <w:rFonts w:ascii="Open Sans Light" w:eastAsia="Times New Roman" w:hAnsi="Open Sans Light" w:cs="Open Sans Light"/>
                <w:color w:val="000000"/>
                <w:sz w:val="16"/>
                <w:szCs w:val="16"/>
                <w:lang w:eastAsia="en-AU"/>
              </w:rPr>
              <w:t xml:space="preserve">makes </w:t>
            </w:r>
            <w:r w:rsidR="000B49B0" w:rsidRPr="00DF2029">
              <w:rPr>
                <w:rFonts w:ascii="Open Sans Light" w:eastAsia="Times New Roman" w:hAnsi="Open Sans Light" w:cs="Open Sans Light"/>
                <w:color w:val="000000"/>
                <w:sz w:val="16"/>
                <w:szCs w:val="16"/>
                <w:lang w:eastAsia="en-AU"/>
              </w:rPr>
              <w:t>to correct for the use of unrevised data in previous updates</w:t>
            </w:r>
            <w:r w:rsidR="00457AC9">
              <w:rPr>
                <w:rFonts w:ascii="Open Sans Light" w:eastAsia="Times New Roman" w:hAnsi="Open Sans Light" w:cs="Open Sans Light"/>
                <w:color w:val="000000"/>
                <w:sz w:val="16"/>
                <w:szCs w:val="16"/>
                <w:lang w:eastAsia="en-AU"/>
              </w:rPr>
              <w:t xml:space="preserve">. </w:t>
            </w:r>
          </w:p>
        </w:tc>
      </w:tr>
      <w:tr w:rsidR="003957CD" w:rsidRPr="00924A8B" w14:paraId="56CB827D" w14:textId="77777777" w:rsidTr="00E51790">
        <w:trPr>
          <w:trHeight w:val="290"/>
        </w:trPr>
        <w:tc>
          <w:tcPr>
            <w:tcW w:w="9260" w:type="dxa"/>
            <w:gridSpan w:val="4"/>
            <w:tcBorders>
              <w:top w:val="nil"/>
              <w:left w:val="nil"/>
              <w:bottom w:val="nil"/>
              <w:right w:val="nil"/>
            </w:tcBorders>
            <w:shd w:val="clear" w:color="000000" w:fill="006991"/>
            <w:vAlign w:val="center"/>
            <w:hideMark/>
          </w:tcPr>
          <w:p w14:paraId="7C40A374"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924A8B">
              <w:rPr>
                <w:rFonts w:ascii="Open Sans Semibold" w:eastAsia="Times New Roman" w:hAnsi="Open Sans Semibold" w:cs="Open Sans Semibold"/>
                <w:color w:val="FFFFFF"/>
                <w:sz w:val="16"/>
                <w:szCs w:val="16"/>
                <w:lang w:eastAsia="en-AU"/>
              </w:rPr>
              <w:t xml:space="preserve">Changes in circumstances </w:t>
            </w:r>
          </w:p>
        </w:tc>
      </w:tr>
      <w:tr w:rsidR="003957CD" w:rsidRPr="00924A8B" w14:paraId="1F36F068" w14:textId="77777777" w:rsidTr="00E51790">
        <w:trPr>
          <w:trHeight w:val="290"/>
        </w:trPr>
        <w:tc>
          <w:tcPr>
            <w:tcW w:w="2780" w:type="dxa"/>
            <w:tcBorders>
              <w:top w:val="single" w:sz="4" w:space="0" w:color="ADD6EA"/>
              <w:left w:val="nil"/>
              <w:bottom w:val="nil"/>
              <w:right w:val="nil"/>
            </w:tcBorders>
            <w:shd w:val="clear" w:color="000000" w:fill="D6E7F0"/>
            <w:hideMark/>
          </w:tcPr>
          <w:p w14:paraId="5859DE3C"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0AAF820F"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0A1D4043"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Explanation</w:t>
            </w:r>
          </w:p>
        </w:tc>
      </w:tr>
      <w:tr w:rsidR="003957CD" w:rsidRPr="00924A8B" w14:paraId="1B37A33E" w14:textId="77777777" w:rsidTr="00E51790">
        <w:trPr>
          <w:trHeight w:val="290"/>
        </w:trPr>
        <w:tc>
          <w:tcPr>
            <w:tcW w:w="2780" w:type="dxa"/>
            <w:tcBorders>
              <w:top w:val="single" w:sz="4" w:space="0" w:color="ADD6EA"/>
              <w:left w:val="nil"/>
              <w:bottom w:val="nil"/>
              <w:right w:val="nil"/>
            </w:tcBorders>
            <w:shd w:val="clear" w:color="000000" w:fill="B6D5E4"/>
            <w:hideMark/>
          </w:tcPr>
          <w:p w14:paraId="19B183C0"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4A18188B"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19726464" w14:textId="77777777" w:rsidR="003957CD" w:rsidRPr="00924A8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54820647" w14:textId="77777777" w:rsidR="003957CD" w:rsidRPr="00924A8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924A8B">
              <w:rPr>
                <w:rFonts w:ascii="Open Sans Semibold" w:eastAsia="Times New Roman" w:hAnsi="Open Sans Semibold" w:cs="Open Sans Semibold"/>
                <w:color w:val="000000"/>
                <w:sz w:val="16"/>
                <w:szCs w:val="16"/>
                <w:lang w:eastAsia="en-AU"/>
              </w:rPr>
              <w:t> </w:t>
            </w:r>
          </w:p>
        </w:tc>
      </w:tr>
      <w:tr w:rsidR="003957CD" w:rsidRPr="00924A8B" w14:paraId="0F4F8C8A" w14:textId="77777777" w:rsidTr="005E5652">
        <w:trPr>
          <w:trHeight w:val="1128"/>
        </w:trPr>
        <w:tc>
          <w:tcPr>
            <w:tcW w:w="2780" w:type="dxa"/>
            <w:tcBorders>
              <w:top w:val="single" w:sz="4" w:space="0" w:color="ADD6EA"/>
              <w:left w:val="nil"/>
              <w:bottom w:val="nil"/>
              <w:right w:val="nil"/>
            </w:tcBorders>
            <w:shd w:val="clear" w:color="000000" w:fill="FFFFFF"/>
            <w:hideMark/>
          </w:tcPr>
          <w:p w14:paraId="407E4602"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Mining production</w:t>
            </w:r>
          </w:p>
        </w:tc>
        <w:tc>
          <w:tcPr>
            <w:tcW w:w="720" w:type="dxa"/>
            <w:tcBorders>
              <w:top w:val="single" w:sz="4" w:space="0" w:color="ADD6EA"/>
              <w:left w:val="nil"/>
              <w:bottom w:val="nil"/>
              <w:right w:val="nil"/>
            </w:tcBorders>
            <w:shd w:val="clear" w:color="000000" w:fill="EBBFA0"/>
            <w:hideMark/>
          </w:tcPr>
          <w:p w14:paraId="47509551"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-912</w:t>
            </w:r>
          </w:p>
        </w:tc>
        <w:tc>
          <w:tcPr>
            <w:tcW w:w="720" w:type="dxa"/>
            <w:tcBorders>
              <w:top w:val="single" w:sz="4" w:space="0" w:color="ADD6EA"/>
              <w:left w:val="nil"/>
              <w:bottom w:val="nil"/>
              <w:right w:val="nil"/>
            </w:tcBorders>
            <w:shd w:val="clear" w:color="000000" w:fill="EBBFA0"/>
            <w:hideMark/>
          </w:tcPr>
          <w:p w14:paraId="797D0F0D"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-126</w:t>
            </w:r>
          </w:p>
        </w:tc>
        <w:tc>
          <w:tcPr>
            <w:tcW w:w="5040" w:type="dxa"/>
            <w:tcBorders>
              <w:top w:val="single" w:sz="4" w:space="0" w:color="ADD6EA"/>
              <w:left w:val="nil"/>
              <w:bottom w:val="nil"/>
              <w:right w:val="nil"/>
            </w:tcBorders>
            <w:shd w:val="clear" w:color="000000" w:fill="FFFFFF"/>
            <w:hideMark/>
          </w:tcPr>
          <w:p w14:paraId="4DB762A1" w14:textId="0F62A533"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Coal and iron ore prices fell between 2021–22 and 2024–25. This decrease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Queensland’s and Western Australia’s revenue raising capacities and increase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their </w:t>
            </w:r>
            <w:r w:rsidRPr="00924A8B">
              <w:rPr>
                <w:rFonts w:ascii="Open Sans Light" w:eastAsia="Times New Roman" w:hAnsi="Open Sans Light" w:cs="Open Sans Light"/>
                <w:color w:val="000000"/>
                <w:sz w:val="16"/>
                <w:szCs w:val="16"/>
                <w:lang w:eastAsia="en-AU"/>
              </w:rPr>
              <w:t xml:space="preserve">assessed GST needs. </w:t>
            </w:r>
            <w:r>
              <w:rPr>
                <w:rFonts w:ascii="Open Sans Light" w:eastAsia="Times New Roman" w:hAnsi="Open Sans Light" w:cs="Open Sans Light"/>
                <w:color w:val="000000"/>
                <w:sz w:val="16"/>
                <w:szCs w:val="16"/>
                <w:lang w:eastAsia="en-AU"/>
              </w:rPr>
              <w:t xml:space="preserve">Consequently, </w:t>
            </w:r>
            <w:proofErr w:type="gramStart"/>
            <w:r>
              <w:rPr>
                <w:rFonts w:ascii="Open Sans Light" w:eastAsia="Times New Roman" w:hAnsi="Open Sans Light" w:cs="Open Sans Light"/>
                <w:color w:val="000000"/>
                <w:sz w:val="16"/>
                <w:szCs w:val="16"/>
                <w:lang w:eastAsia="en-AU"/>
              </w:rPr>
              <w:t>t</w:t>
            </w:r>
            <w:r w:rsidRPr="00924A8B">
              <w:rPr>
                <w:rFonts w:ascii="Open Sans Light" w:eastAsia="Times New Roman" w:hAnsi="Open Sans Light" w:cs="Open Sans Light"/>
                <w:color w:val="000000"/>
                <w:sz w:val="16"/>
                <w:szCs w:val="16"/>
                <w:lang w:eastAsia="en-AU"/>
              </w:rPr>
              <w:t>his decrease</w:t>
            </w:r>
            <w:r>
              <w:rPr>
                <w:rFonts w:ascii="Open Sans Light" w:eastAsia="Times New Roman" w:hAnsi="Open Sans Light" w:cs="Open Sans Light"/>
                <w:color w:val="000000"/>
                <w:sz w:val="16"/>
                <w:szCs w:val="16"/>
                <w:lang w:eastAsia="en-AU"/>
              </w:rPr>
              <w:t>s</w:t>
            </w:r>
            <w:proofErr w:type="gramEnd"/>
            <w:r w:rsidRPr="00924A8B">
              <w:rPr>
                <w:rFonts w:ascii="Open Sans Light" w:eastAsia="Times New Roman" w:hAnsi="Open Sans Light" w:cs="Open Sans Light"/>
                <w:color w:val="000000"/>
                <w:sz w:val="16"/>
                <w:szCs w:val="16"/>
                <w:lang w:eastAsia="en-AU"/>
              </w:rPr>
              <w:t xml:space="preserve"> assessed GST needs </w:t>
            </w:r>
            <w:r w:rsidR="002F31FE">
              <w:rPr>
                <w:rFonts w:ascii="Open Sans Light" w:eastAsia="Times New Roman" w:hAnsi="Open Sans Light" w:cs="Open Sans Light"/>
                <w:color w:val="000000"/>
                <w:sz w:val="16"/>
                <w:szCs w:val="16"/>
                <w:lang w:eastAsia="en-AU"/>
              </w:rPr>
              <w:t>of</w:t>
            </w:r>
            <w:r w:rsidR="002F31FE" w:rsidRPr="00924A8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924A8B">
              <w:rPr>
                <w:rFonts w:ascii="Open Sans Light" w:eastAsia="Times New Roman" w:hAnsi="Open Sans Light" w:cs="Open Sans Light"/>
                <w:color w:val="000000"/>
                <w:sz w:val="16"/>
                <w:szCs w:val="16"/>
                <w:lang w:eastAsia="en-AU"/>
              </w:rPr>
              <w:t>other states, including Victoria.</w:t>
            </w:r>
          </w:p>
        </w:tc>
      </w:tr>
      <w:tr w:rsidR="003957CD" w:rsidRPr="00924A8B" w14:paraId="24C93265" w14:textId="77777777" w:rsidTr="005E5652">
        <w:trPr>
          <w:trHeight w:val="939"/>
        </w:trPr>
        <w:tc>
          <w:tcPr>
            <w:tcW w:w="2780" w:type="dxa"/>
            <w:tcBorders>
              <w:top w:val="single" w:sz="4" w:space="0" w:color="ADD6EA"/>
              <w:left w:val="nil"/>
              <w:bottom w:val="nil"/>
              <w:right w:val="nil"/>
            </w:tcBorders>
            <w:shd w:val="clear" w:color="000000" w:fill="FFFFFF"/>
            <w:hideMark/>
          </w:tcPr>
          <w:p w14:paraId="79CF39A2"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COVID-19</w:t>
            </w:r>
          </w:p>
        </w:tc>
        <w:tc>
          <w:tcPr>
            <w:tcW w:w="720" w:type="dxa"/>
            <w:tcBorders>
              <w:top w:val="single" w:sz="4" w:space="0" w:color="ADD6EA"/>
              <w:left w:val="nil"/>
              <w:bottom w:val="nil"/>
              <w:right w:val="nil"/>
            </w:tcBorders>
            <w:shd w:val="clear" w:color="000000" w:fill="EBBFA0"/>
            <w:hideMark/>
          </w:tcPr>
          <w:p w14:paraId="1DE30233"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-853</w:t>
            </w:r>
          </w:p>
        </w:tc>
        <w:tc>
          <w:tcPr>
            <w:tcW w:w="720" w:type="dxa"/>
            <w:tcBorders>
              <w:top w:val="single" w:sz="4" w:space="0" w:color="ADD6EA"/>
              <w:left w:val="nil"/>
              <w:bottom w:val="nil"/>
              <w:right w:val="nil"/>
            </w:tcBorders>
            <w:shd w:val="clear" w:color="000000" w:fill="EBBFA0"/>
            <w:hideMark/>
          </w:tcPr>
          <w:p w14:paraId="28D82C3B"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-118</w:t>
            </w:r>
          </w:p>
        </w:tc>
        <w:tc>
          <w:tcPr>
            <w:tcW w:w="5040" w:type="dxa"/>
            <w:tcBorders>
              <w:top w:val="single" w:sz="4" w:space="0" w:color="ADD6EA"/>
              <w:left w:val="nil"/>
              <w:bottom w:val="nil"/>
              <w:right w:val="nil"/>
            </w:tcBorders>
            <w:shd w:val="clear" w:color="000000" w:fill="FFFFFF"/>
            <w:hideMark/>
          </w:tcPr>
          <w:p w14:paraId="082594C6" w14:textId="77E96ECB"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COVID</w:t>
            </w:r>
            <w:r w:rsidR="00243440">
              <w:rPr>
                <w:rFonts w:ascii="Open Sans Light" w:eastAsia="Times New Roman" w:hAnsi="Open Sans Light" w:cs="Open Sans Light"/>
                <w:color w:val="000000"/>
                <w:sz w:val="16"/>
                <w:szCs w:val="16"/>
                <w:lang w:eastAsia="en-AU"/>
              </w:rPr>
              <w:t>-</w:t>
            </w:r>
            <w:r w:rsidRPr="00924A8B">
              <w:rPr>
                <w:rFonts w:ascii="Open Sans Light" w:eastAsia="Times New Roman" w:hAnsi="Open Sans Light" w:cs="Open Sans Light"/>
                <w:color w:val="000000"/>
                <w:sz w:val="16"/>
                <w:szCs w:val="16"/>
                <w:lang w:eastAsia="en-AU"/>
              </w:rPr>
              <w:t>19 expenses were largest in 2021–22 and declined significantly in subsequent years. States with above-average COVID</w:t>
            </w:r>
            <w:r w:rsidR="00243440">
              <w:rPr>
                <w:rFonts w:ascii="Open Sans Light" w:eastAsia="Times New Roman" w:hAnsi="Open Sans Light" w:cs="Open Sans Light"/>
                <w:color w:val="000000"/>
                <w:sz w:val="16"/>
                <w:szCs w:val="16"/>
                <w:lang w:eastAsia="en-AU"/>
              </w:rPr>
              <w:t>-</w:t>
            </w:r>
            <w:r w:rsidRPr="00924A8B">
              <w:rPr>
                <w:rFonts w:ascii="Open Sans Light" w:eastAsia="Times New Roman" w:hAnsi="Open Sans Light" w:cs="Open Sans Light"/>
                <w:color w:val="000000"/>
                <w:sz w:val="16"/>
                <w:szCs w:val="16"/>
                <w:lang w:eastAsia="en-AU"/>
              </w:rPr>
              <w:t xml:space="preserve">19 expenses, including Victoria, now have lower expenses, </w:t>
            </w:r>
            <w:r w:rsidR="00DA0486">
              <w:rPr>
                <w:rFonts w:ascii="Open Sans Light" w:eastAsia="Times New Roman" w:hAnsi="Open Sans Light" w:cs="Open Sans Light"/>
                <w:color w:val="000000"/>
                <w:sz w:val="16"/>
                <w:szCs w:val="16"/>
                <w:lang w:eastAsia="en-AU"/>
              </w:rPr>
              <w:t>decreasing</w:t>
            </w:r>
            <w:r>
              <w:rPr>
                <w:rFonts w:ascii="Open Sans Light" w:eastAsia="Times New Roman" w:hAnsi="Open Sans Light" w:cs="Open Sans Light"/>
                <w:color w:val="000000"/>
                <w:sz w:val="16"/>
                <w:szCs w:val="16"/>
                <w:lang w:eastAsia="en-AU"/>
              </w:rPr>
              <w:t xml:space="preserve"> </w:t>
            </w:r>
            <w:r w:rsidRPr="00924A8B">
              <w:rPr>
                <w:rFonts w:ascii="Open Sans Light" w:eastAsia="Times New Roman" w:hAnsi="Open Sans Light" w:cs="Open Sans Light"/>
                <w:color w:val="000000"/>
                <w:sz w:val="16"/>
                <w:szCs w:val="16"/>
                <w:lang w:eastAsia="en-AU"/>
              </w:rPr>
              <w:t>assessed GST needs.</w:t>
            </w:r>
          </w:p>
        </w:tc>
      </w:tr>
      <w:tr w:rsidR="003957CD" w:rsidRPr="00924A8B" w14:paraId="2A266193" w14:textId="77777777" w:rsidTr="00330189">
        <w:trPr>
          <w:trHeight w:val="720"/>
        </w:trPr>
        <w:tc>
          <w:tcPr>
            <w:tcW w:w="2780" w:type="dxa"/>
            <w:tcBorders>
              <w:top w:val="single" w:sz="4" w:space="0" w:color="ADD6EA"/>
              <w:left w:val="nil"/>
              <w:bottom w:val="nil"/>
              <w:right w:val="nil"/>
            </w:tcBorders>
            <w:shd w:val="clear" w:color="000000" w:fill="FFFFFF"/>
            <w:hideMark/>
          </w:tcPr>
          <w:p w14:paraId="559F0496"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Property sales</w:t>
            </w:r>
          </w:p>
        </w:tc>
        <w:tc>
          <w:tcPr>
            <w:tcW w:w="720" w:type="dxa"/>
            <w:tcBorders>
              <w:top w:val="single" w:sz="4" w:space="0" w:color="ADD6EA"/>
              <w:left w:val="nil"/>
              <w:bottom w:val="nil"/>
              <w:right w:val="nil"/>
            </w:tcBorders>
            <w:shd w:val="clear" w:color="auto" w:fill="ADD6EA"/>
            <w:hideMark/>
          </w:tcPr>
          <w:p w14:paraId="507FDBA9"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429</w:t>
            </w:r>
          </w:p>
        </w:tc>
        <w:tc>
          <w:tcPr>
            <w:tcW w:w="720" w:type="dxa"/>
            <w:tcBorders>
              <w:top w:val="single" w:sz="4" w:space="0" w:color="ADD6EA"/>
              <w:left w:val="nil"/>
              <w:bottom w:val="nil"/>
              <w:right w:val="nil"/>
            </w:tcBorders>
            <w:shd w:val="clear" w:color="auto" w:fill="ADD6EA"/>
            <w:hideMark/>
          </w:tcPr>
          <w:p w14:paraId="541AD52F"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59</w:t>
            </w:r>
          </w:p>
        </w:tc>
        <w:tc>
          <w:tcPr>
            <w:tcW w:w="5040" w:type="dxa"/>
            <w:tcBorders>
              <w:top w:val="single" w:sz="4" w:space="0" w:color="ADD6EA"/>
              <w:left w:val="nil"/>
              <w:bottom w:val="nil"/>
              <w:right w:val="nil"/>
            </w:tcBorders>
            <w:shd w:val="clear" w:color="000000" w:fill="FFFFFF"/>
            <w:hideMark/>
          </w:tcPr>
          <w:p w14:paraId="24715068" w14:textId="6B6AEF84"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A larger than average fall in the value of property transfer</w:t>
            </w:r>
            <w:r w:rsidR="002615DC">
              <w:rPr>
                <w:rFonts w:ascii="Open Sans Light" w:eastAsia="Times New Roman" w:hAnsi="Open Sans Light" w:cs="Open Sans Light"/>
                <w:color w:val="000000"/>
                <w:sz w:val="16"/>
                <w:szCs w:val="16"/>
                <w:lang w:eastAsia="en-AU"/>
              </w:rPr>
              <w:t>red</w:t>
            </w:r>
            <w:r w:rsidRPr="00924A8B">
              <w:rPr>
                <w:rFonts w:ascii="Open Sans Light" w:eastAsia="Times New Roman" w:hAnsi="Open Sans Light" w:cs="Open Sans Light"/>
                <w:color w:val="000000"/>
                <w:sz w:val="16"/>
                <w:szCs w:val="16"/>
                <w:lang w:eastAsia="en-AU"/>
              </w:rPr>
              <w:t xml:space="preserve"> in 2024–25 (from 2021–22) reduce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Victoria</w:t>
            </w:r>
            <w:r>
              <w:rPr>
                <w:rFonts w:ascii="Open Sans Light" w:eastAsia="Times New Roman" w:hAnsi="Open Sans Light" w:cs="Open Sans Light"/>
                <w:color w:val="000000"/>
                <w:sz w:val="16"/>
                <w:szCs w:val="16"/>
                <w:lang w:eastAsia="en-AU"/>
              </w:rPr>
              <w:t>’</w:t>
            </w:r>
            <w:r w:rsidRPr="00924A8B">
              <w:rPr>
                <w:rFonts w:ascii="Open Sans Light" w:eastAsia="Times New Roman" w:hAnsi="Open Sans Light" w:cs="Open Sans Light"/>
                <w:color w:val="000000"/>
                <w:sz w:val="16"/>
                <w:szCs w:val="16"/>
                <w:lang w:eastAsia="en-AU"/>
              </w:rPr>
              <w:t>s relative revenue raising capacity and increase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its assessed GST needs.</w:t>
            </w:r>
          </w:p>
        </w:tc>
      </w:tr>
      <w:tr w:rsidR="003957CD" w:rsidRPr="00924A8B" w14:paraId="5D9EF197" w14:textId="77777777" w:rsidTr="005E5652">
        <w:trPr>
          <w:trHeight w:val="925"/>
        </w:trPr>
        <w:tc>
          <w:tcPr>
            <w:tcW w:w="2780" w:type="dxa"/>
            <w:tcBorders>
              <w:top w:val="single" w:sz="4" w:space="0" w:color="ADD6EA"/>
              <w:left w:val="nil"/>
              <w:bottom w:val="nil"/>
              <w:right w:val="nil"/>
            </w:tcBorders>
            <w:shd w:val="clear" w:color="000000" w:fill="FFFFFF"/>
            <w:hideMark/>
          </w:tcPr>
          <w:p w14:paraId="1D7A1C4C"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 xml:space="preserve">Relative growth of investment needs for </w:t>
            </w:r>
            <w:r>
              <w:rPr>
                <w:rFonts w:ascii="Open Sans Light" w:eastAsia="Times New Roman" w:hAnsi="Open Sans Light" w:cs="Open Sans Light"/>
                <w:color w:val="000000"/>
                <w:sz w:val="16"/>
                <w:szCs w:val="16"/>
                <w:lang w:eastAsia="en-AU"/>
              </w:rPr>
              <w:t>u</w:t>
            </w:r>
            <w:r w:rsidRPr="00924A8B">
              <w:rPr>
                <w:rFonts w:ascii="Open Sans Light" w:eastAsia="Times New Roman" w:hAnsi="Open Sans Light" w:cs="Open Sans Light"/>
                <w:color w:val="000000"/>
                <w:sz w:val="16"/>
                <w:szCs w:val="16"/>
                <w:lang w:eastAsia="en-AU"/>
              </w:rPr>
              <w:t>rban transport</w:t>
            </w:r>
          </w:p>
        </w:tc>
        <w:tc>
          <w:tcPr>
            <w:tcW w:w="720" w:type="dxa"/>
            <w:tcBorders>
              <w:top w:val="single" w:sz="4" w:space="0" w:color="ADD6EA"/>
              <w:left w:val="nil"/>
              <w:bottom w:val="nil"/>
              <w:right w:val="nil"/>
            </w:tcBorders>
            <w:shd w:val="clear" w:color="auto" w:fill="ADD6EA"/>
            <w:hideMark/>
          </w:tcPr>
          <w:p w14:paraId="709C458E"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241</w:t>
            </w:r>
          </w:p>
        </w:tc>
        <w:tc>
          <w:tcPr>
            <w:tcW w:w="720" w:type="dxa"/>
            <w:tcBorders>
              <w:top w:val="single" w:sz="4" w:space="0" w:color="ADD6EA"/>
              <w:left w:val="nil"/>
              <w:bottom w:val="nil"/>
              <w:right w:val="nil"/>
            </w:tcBorders>
            <w:shd w:val="clear" w:color="auto" w:fill="ADD6EA"/>
            <w:hideMark/>
          </w:tcPr>
          <w:p w14:paraId="36255066"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33</w:t>
            </w:r>
          </w:p>
        </w:tc>
        <w:tc>
          <w:tcPr>
            <w:tcW w:w="5040" w:type="dxa"/>
            <w:tcBorders>
              <w:top w:val="single" w:sz="4" w:space="0" w:color="ADD6EA"/>
              <w:left w:val="nil"/>
              <w:bottom w:val="nil"/>
              <w:right w:val="nil"/>
            </w:tcBorders>
            <w:shd w:val="clear" w:color="000000" w:fill="FFFFFF"/>
            <w:hideMark/>
          </w:tcPr>
          <w:p w14:paraId="508A1D9D"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Melbourne had strong population growth in 2024–25, compared with a declining population in 2021–22. This increase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Victoria’s need for urban transport investment</w:t>
            </w:r>
            <w:r>
              <w:rPr>
                <w:rFonts w:ascii="Open Sans Light" w:eastAsia="Times New Roman" w:hAnsi="Open Sans Light" w:cs="Open Sans Light"/>
                <w:color w:val="000000"/>
                <w:sz w:val="16"/>
                <w:szCs w:val="16"/>
                <w:lang w:eastAsia="en-AU"/>
              </w:rPr>
              <w:t>,</w:t>
            </w:r>
            <w:r w:rsidRPr="00924A8B">
              <w:rPr>
                <w:rFonts w:ascii="Open Sans Light" w:eastAsia="Times New Roman" w:hAnsi="Open Sans Light" w:cs="Open Sans Light"/>
                <w:color w:val="000000"/>
                <w:sz w:val="16"/>
                <w:szCs w:val="16"/>
                <w:lang w:eastAsia="en-AU"/>
              </w:rPr>
              <w:t xml:space="preserve"> which increase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its assessed GST needs.</w:t>
            </w:r>
          </w:p>
        </w:tc>
      </w:tr>
      <w:tr w:rsidR="003957CD" w:rsidRPr="00924A8B" w14:paraId="349FE4BE" w14:textId="77777777" w:rsidTr="00E51790">
        <w:trPr>
          <w:trHeight w:val="720"/>
        </w:trPr>
        <w:tc>
          <w:tcPr>
            <w:tcW w:w="2780" w:type="dxa"/>
            <w:tcBorders>
              <w:top w:val="single" w:sz="4" w:space="0" w:color="ADD6EA"/>
              <w:left w:val="nil"/>
              <w:bottom w:val="single" w:sz="4" w:space="0" w:color="ADD6EA"/>
              <w:right w:val="nil"/>
            </w:tcBorders>
            <w:shd w:val="clear" w:color="000000" w:fill="FFFFFF"/>
            <w:hideMark/>
          </w:tcPr>
          <w:p w14:paraId="35A71ABA"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Net borrowing</w:t>
            </w:r>
          </w:p>
        </w:tc>
        <w:tc>
          <w:tcPr>
            <w:tcW w:w="720" w:type="dxa"/>
            <w:tcBorders>
              <w:top w:val="single" w:sz="4" w:space="0" w:color="ADD6EA"/>
              <w:left w:val="nil"/>
              <w:bottom w:val="single" w:sz="4" w:space="0" w:color="ADD6EA"/>
              <w:right w:val="nil"/>
            </w:tcBorders>
            <w:shd w:val="clear" w:color="000000" w:fill="EBBFA0"/>
            <w:hideMark/>
          </w:tcPr>
          <w:p w14:paraId="66B9287C"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-230</w:t>
            </w:r>
          </w:p>
        </w:tc>
        <w:tc>
          <w:tcPr>
            <w:tcW w:w="720" w:type="dxa"/>
            <w:tcBorders>
              <w:top w:val="single" w:sz="4" w:space="0" w:color="ADD6EA"/>
              <w:left w:val="nil"/>
              <w:bottom w:val="single" w:sz="4" w:space="0" w:color="ADD6EA"/>
              <w:right w:val="nil"/>
            </w:tcBorders>
            <w:shd w:val="clear" w:color="000000" w:fill="EBBFA0"/>
            <w:hideMark/>
          </w:tcPr>
          <w:p w14:paraId="685311DC" w14:textId="77777777" w:rsidR="003957CD" w:rsidRPr="00924A8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-32</w:t>
            </w:r>
          </w:p>
        </w:tc>
        <w:tc>
          <w:tcPr>
            <w:tcW w:w="5040" w:type="dxa"/>
            <w:tcBorders>
              <w:top w:val="single" w:sz="4" w:space="0" w:color="ADD6EA"/>
              <w:left w:val="nil"/>
              <w:bottom w:val="single" w:sz="4" w:space="0" w:color="ADD6EA"/>
              <w:right w:val="nil"/>
            </w:tcBorders>
            <w:shd w:val="clear" w:color="000000" w:fill="FFFFFF"/>
            <w:hideMark/>
          </w:tcPr>
          <w:p w14:paraId="55E10594" w14:textId="77777777" w:rsidR="003957CD" w:rsidRPr="00924A8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924A8B">
              <w:rPr>
                <w:rFonts w:ascii="Open Sans Light" w:eastAsia="Times New Roman" w:hAnsi="Open Sans Light" w:cs="Open Sans Light"/>
                <w:color w:val="000000"/>
                <w:sz w:val="16"/>
                <w:szCs w:val="16"/>
                <w:lang w:eastAsia="en-AU"/>
              </w:rPr>
              <w:t>Victoria had strong population growth in 2024–25 compared with a declining population in 2021–22. This increase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its ability to service assessed liabilities and decrease</w:t>
            </w:r>
            <w:r>
              <w:rPr>
                <w:rFonts w:ascii="Open Sans Light" w:eastAsia="Times New Roman" w:hAnsi="Open Sans Light" w:cs="Open Sans Light"/>
                <w:color w:val="000000"/>
                <w:sz w:val="16"/>
                <w:szCs w:val="16"/>
                <w:lang w:eastAsia="en-AU"/>
              </w:rPr>
              <w:t>s</w:t>
            </w:r>
            <w:r w:rsidRPr="00924A8B">
              <w:rPr>
                <w:rFonts w:ascii="Open Sans Light" w:eastAsia="Times New Roman" w:hAnsi="Open Sans Light" w:cs="Open Sans Light"/>
                <w:color w:val="000000"/>
                <w:sz w:val="16"/>
                <w:szCs w:val="16"/>
                <w:lang w:eastAsia="en-AU"/>
              </w:rPr>
              <w:t xml:space="preserve"> its assessed GST needs. </w:t>
            </w:r>
          </w:p>
        </w:tc>
      </w:tr>
    </w:tbl>
    <w:p w14:paraId="75172F07" w14:textId="77777777" w:rsidR="003957CD" w:rsidRPr="00F47AF8" w:rsidRDefault="003957CD" w:rsidP="003957CD">
      <w:pPr>
        <w:tabs>
          <w:tab w:val="clear" w:pos="567"/>
        </w:tabs>
        <w:spacing w:before="0" w:line="240" w:lineRule="auto"/>
        <w:rPr>
          <w:rFonts w:ascii="Open Sans Light" w:eastAsia="Times New Roman" w:hAnsi="Open Sans Light" w:cs="Times New Roman"/>
          <w:szCs w:val="20"/>
        </w:rPr>
      </w:pPr>
      <w:r w:rsidRPr="00F47AF8">
        <w:rPr>
          <w:rFonts w:ascii="Open Sans Light" w:eastAsia="Times New Roman" w:hAnsi="Open Sans Light" w:cs="Times New Roman"/>
          <w:szCs w:val="20"/>
        </w:rPr>
        <w:br w:type="page"/>
      </w:r>
    </w:p>
    <w:p w14:paraId="286267B1" w14:textId="77777777" w:rsidR="003957CD" w:rsidRPr="00F47AF8" w:rsidRDefault="003957CD" w:rsidP="003957CD">
      <w:pPr>
        <w:pStyle w:val="Heading2"/>
      </w:pPr>
      <w:r w:rsidRPr="00F47AF8">
        <w:lastRenderedPageBreak/>
        <w:t>Queensland</w:t>
      </w:r>
    </w:p>
    <w:p w14:paraId="6230BE07" w14:textId="77777777" w:rsidR="003957CD" w:rsidRPr="00F47AF8" w:rsidRDefault="003957CD" w:rsidP="003957CD">
      <w:r w:rsidRPr="00F47AF8">
        <w:t xml:space="preserve">In </w:t>
      </w:r>
      <w:r w:rsidRPr="00637832">
        <w:t>2026</w:t>
      </w:r>
      <w:r>
        <w:rPr>
          <w:rFonts w:ascii="Times New Roman" w:hAnsi="Times New Roman" w:cs="Times New Roman"/>
        </w:rPr>
        <w:t>‍</w:t>
      </w:r>
      <w:r>
        <w:t>–</w:t>
      </w:r>
      <w:r>
        <w:rPr>
          <w:rFonts w:ascii="Times New Roman" w:hAnsi="Times New Roman" w:cs="Times New Roman"/>
        </w:rPr>
        <w:t>‍</w:t>
      </w:r>
      <w:r w:rsidRPr="00637832">
        <w:t>27</w:t>
      </w:r>
      <w:r w:rsidRPr="00F47AF8">
        <w:t>, Queensland’s GST distribution is estimated to increase by $1,</w:t>
      </w:r>
      <w:r>
        <w:t>680 </w:t>
      </w:r>
      <w:r w:rsidRPr="00F47AF8">
        <w:t>million ($29</w:t>
      </w:r>
      <w:r>
        <w:t>0 </w:t>
      </w:r>
      <w:r w:rsidRPr="00F47AF8">
        <w:t>per</w:t>
      </w:r>
      <w:r>
        <w:t> </w:t>
      </w:r>
      <w:r w:rsidRPr="00F47AF8">
        <w:t xml:space="preserve">capita). </w:t>
      </w:r>
      <w:r>
        <w:t xml:space="preserve">Its assessed GST needs </w:t>
      </w:r>
      <w:r w:rsidRPr="000B22EB">
        <w:t xml:space="preserve">have </w:t>
      </w:r>
      <w:r>
        <w:t>increased by $1,370 million ($236 per capita) in 2026</w:t>
      </w:r>
      <w:r w:rsidRPr="00F47AF8">
        <w:t>–27</w:t>
      </w:r>
      <w:r>
        <w:t>.</w:t>
      </w:r>
    </w:p>
    <w:p w14:paraId="02F6EC63" w14:textId="77777777" w:rsidR="003957CD" w:rsidRPr="00F47AF8" w:rsidRDefault="003957CD" w:rsidP="002F5ED5">
      <w:pPr>
        <w:pStyle w:val="CGCBulletPoints"/>
      </w:pPr>
      <w:r w:rsidRPr="00F47AF8">
        <w:t xml:space="preserve">Queensland’s assessed GST needs </w:t>
      </w:r>
      <w:r>
        <w:t xml:space="preserve">have </w:t>
      </w:r>
      <w:r w:rsidRPr="00F47AF8">
        <w:t>increased largely due to:</w:t>
      </w:r>
    </w:p>
    <w:p w14:paraId="55D73D46" w14:textId="77777777" w:rsidR="003957CD" w:rsidRPr="00B4326F" w:rsidRDefault="003957CD" w:rsidP="002F5ED5">
      <w:pPr>
        <w:pStyle w:val="CGCBulletPoints-Level2"/>
      </w:pPr>
      <w:r w:rsidRPr="00B4326F">
        <w:t>lower COVID-19 expenses, noting Queensland’s below-average COVID-19 expenses</w:t>
      </w:r>
    </w:p>
    <w:p w14:paraId="3D567FD2" w14:textId="7EE84919" w:rsidR="003957CD" w:rsidRPr="00F47AF8" w:rsidRDefault="003957CD" w:rsidP="002F5ED5">
      <w:pPr>
        <w:pStyle w:val="CGCBulletPoints-Level2"/>
      </w:pPr>
      <w:r>
        <w:t xml:space="preserve">a significant downward revision </w:t>
      </w:r>
      <w:r w:rsidR="00DE46A9">
        <w:t xml:space="preserve">by </w:t>
      </w:r>
      <w:r>
        <w:t>New South Wales</w:t>
      </w:r>
      <w:r w:rsidR="00DE46A9">
        <w:t xml:space="preserve"> to its</w:t>
      </w:r>
      <w:r>
        <w:t xml:space="preserve"> natural disaster relief expenses, which increases assessed GST needs </w:t>
      </w:r>
      <w:r w:rsidR="002F31FE">
        <w:t xml:space="preserve">of </w:t>
      </w:r>
      <w:r>
        <w:t>the other states</w:t>
      </w:r>
    </w:p>
    <w:p w14:paraId="3A728085" w14:textId="5CECE888" w:rsidR="003957CD" w:rsidRPr="00F47AF8" w:rsidRDefault="003957CD" w:rsidP="002F5ED5">
      <w:pPr>
        <w:pStyle w:val="CGCBulletPoints-Level2"/>
      </w:pPr>
      <w:r w:rsidRPr="00F47AF8">
        <w:t>lower coal prices</w:t>
      </w:r>
      <w:r>
        <w:t>,</w:t>
      </w:r>
      <w:r w:rsidRPr="00F47AF8">
        <w:t xml:space="preserve"> </w:t>
      </w:r>
      <w:r>
        <w:t xml:space="preserve">which </w:t>
      </w:r>
      <w:r w:rsidRPr="00F47AF8">
        <w:t>decreas</w:t>
      </w:r>
      <w:r>
        <w:t>e</w:t>
      </w:r>
      <w:r w:rsidRPr="00F47AF8">
        <w:t xml:space="preserve"> </w:t>
      </w:r>
      <w:r>
        <w:t>its</w:t>
      </w:r>
      <w:r w:rsidRPr="00F47AF8">
        <w:t xml:space="preserve"> capacity to raise revenue from coal royalties.</w:t>
      </w:r>
    </w:p>
    <w:p w14:paraId="55B93100" w14:textId="62DC1DF8" w:rsidR="003957CD" w:rsidRPr="00F47AF8" w:rsidRDefault="003957CD" w:rsidP="002F5ED5">
      <w:pPr>
        <w:pStyle w:val="CGCBulletPoints"/>
      </w:pPr>
      <w:r>
        <w:t xml:space="preserve">This is partially </w:t>
      </w:r>
      <w:r w:rsidR="00470B71">
        <w:t>offset</w:t>
      </w:r>
      <w:r>
        <w:t xml:space="preserve"> by </w:t>
      </w:r>
      <w:r w:rsidRPr="00F47AF8">
        <w:t>above</w:t>
      </w:r>
      <w:r w:rsidRPr="00F47AF8">
        <w:noBreakHyphen/>
        <w:t>average growth in the value of property transfer</w:t>
      </w:r>
      <w:r w:rsidR="002615DC">
        <w:t>red</w:t>
      </w:r>
      <w:r>
        <w:t xml:space="preserve"> in Queensland. This </w:t>
      </w:r>
      <w:r w:rsidRPr="00F47AF8">
        <w:t>increase</w:t>
      </w:r>
      <w:r>
        <w:t>s</w:t>
      </w:r>
      <w:r w:rsidRPr="00F47AF8">
        <w:t xml:space="preserve"> its relative capacity to raise revenue from stamp duties</w:t>
      </w:r>
      <w:r>
        <w:t xml:space="preserve"> and decreases its assessed GST needs</w:t>
      </w:r>
      <w:r w:rsidRPr="00F47AF8">
        <w:t>.</w:t>
      </w:r>
    </w:p>
    <w:p w14:paraId="3C99C02A" w14:textId="77777777" w:rsidR="003957CD" w:rsidRPr="00F47AF8" w:rsidRDefault="003957CD" w:rsidP="002F5ED5">
      <w:pPr>
        <w:pStyle w:val="CGCBulletPoints"/>
      </w:pPr>
      <w:r>
        <w:t>E</w:t>
      </w:r>
      <w:r w:rsidRPr="00F47AF8">
        <w:t>xpected growth in the GST pool contribut</w:t>
      </w:r>
      <w:r>
        <w:t>es</w:t>
      </w:r>
      <w:r w:rsidRPr="00F47AF8">
        <w:t xml:space="preserve"> to an increase in Queensland’s GST distribution.</w:t>
      </w:r>
    </w:p>
    <w:p w14:paraId="02775E1D" w14:textId="026C1B5C" w:rsidR="00CB1789" w:rsidRPr="00F47AF8" w:rsidRDefault="003957CD" w:rsidP="002F5ED5">
      <w:pPr>
        <w:pStyle w:val="CGCBulletPoints"/>
      </w:pPr>
      <w:r w:rsidRPr="00F47AF8">
        <w:t xml:space="preserve">Compared with </w:t>
      </w:r>
      <w:r w:rsidRPr="009F159D">
        <w:t>2025</w:t>
      </w:r>
      <w:r>
        <w:rPr>
          <w:rFonts w:ascii="Times New Roman" w:hAnsi="Times New Roman" w:cs="Times New Roman"/>
        </w:rPr>
        <w:t>‍</w:t>
      </w:r>
      <w:r>
        <w:t>–</w:t>
      </w:r>
      <w:r>
        <w:rPr>
          <w:rFonts w:ascii="Times New Roman" w:hAnsi="Times New Roman" w:cs="Times New Roman"/>
        </w:rPr>
        <w:t>‍</w:t>
      </w:r>
      <w:r w:rsidRPr="009F159D">
        <w:t>26</w:t>
      </w:r>
      <w:r w:rsidRPr="00F47AF8">
        <w:t xml:space="preserve">, the 2018 </w:t>
      </w:r>
      <w:r>
        <w:t>legislated</w:t>
      </w:r>
      <w:r w:rsidRPr="00F47AF8">
        <w:t xml:space="preserve"> changes to determining relativities decrease Queensland’s GST distribution</w:t>
      </w:r>
      <w:r>
        <w:t xml:space="preserve"> </w:t>
      </w:r>
      <w:r w:rsidR="00CE2002">
        <w:t>by</w:t>
      </w:r>
      <w:r w:rsidR="00B22505">
        <w:t xml:space="preserve"> </w:t>
      </w:r>
      <w:r w:rsidRPr="00F47AF8">
        <w:t>$76</w:t>
      </w:r>
      <w:r>
        <w:t>3</w:t>
      </w:r>
      <w:r w:rsidRPr="00F47AF8">
        <w:t xml:space="preserve"> million. </w:t>
      </w:r>
      <w:r w:rsidR="00196F61">
        <w:t>This is because i</w:t>
      </w:r>
      <w:r>
        <w:t>n 2025</w:t>
      </w:r>
      <w:r>
        <w:rPr>
          <w:rFonts w:ascii="Times New Roman" w:hAnsi="Times New Roman" w:cs="Times New Roman"/>
        </w:rPr>
        <w:t>‍</w:t>
      </w:r>
      <w:r>
        <w:t>–</w:t>
      </w:r>
      <w:r>
        <w:rPr>
          <w:rFonts w:ascii="Times New Roman" w:hAnsi="Times New Roman" w:cs="Times New Roman"/>
        </w:rPr>
        <w:t>‍</w:t>
      </w:r>
      <w:r>
        <w:t>26</w:t>
      </w:r>
      <w:r w:rsidRPr="00F47AF8">
        <w:t xml:space="preserve">, Queensland’s relativity was lifted to the standard state for all 3 assessment years. In 2026–27, its relativity </w:t>
      </w:r>
      <w:r>
        <w:t>i</w:t>
      </w:r>
      <w:r w:rsidRPr="00F47AF8">
        <w:t xml:space="preserve">s lifted to the standard state for 2 assessment years. </w:t>
      </w:r>
    </w:p>
    <w:p w14:paraId="210615BB" w14:textId="77777777" w:rsidR="003957CD" w:rsidRPr="00F47AF8" w:rsidRDefault="003957CD" w:rsidP="00371E5F">
      <w:pPr>
        <w:pStyle w:val="CGC2025Caption"/>
        <w:ind w:left="1418" w:hanging="1418"/>
      </w:pPr>
      <w:r w:rsidRPr="00F47AF8">
        <w:t>Table 3-3</w:t>
      </w:r>
      <w:r w:rsidRPr="00F47AF8">
        <w:tab/>
        <w:t>Change in estimated GST distribution from 2025–26 to 2026–27, Queensland (excludes no worse off payments)</w:t>
      </w:r>
    </w:p>
    <w:tbl>
      <w:tblPr>
        <w:tblW w:w="9360" w:type="dxa"/>
        <w:tblLook w:val="04A0" w:firstRow="1" w:lastRow="0" w:firstColumn="1" w:lastColumn="0" w:noHBand="0" w:noVBand="1"/>
      </w:tblPr>
      <w:tblGrid>
        <w:gridCol w:w="4240"/>
        <w:gridCol w:w="2560"/>
        <w:gridCol w:w="2560"/>
      </w:tblGrid>
      <w:tr w:rsidR="003957CD" w:rsidRPr="001A59D1" w14:paraId="74C81326" w14:textId="77777777" w:rsidTr="00E51790">
        <w:trPr>
          <w:trHeight w:val="290"/>
        </w:trPr>
        <w:tc>
          <w:tcPr>
            <w:tcW w:w="4240" w:type="dxa"/>
            <w:tcBorders>
              <w:top w:val="nil"/>
              <w:left w:val="nil"/>
              <w:bottom w:val="single" w:sz="4" w:space="0" w:color="ADD6EA"/>
              <w:right w:val="nil"/>
            </w:tcBorders>
            <w:shd w:val="clear" w:color="000000" w:fill="006991"/>
            <w:noWrap/>
            <w:vAlign w:val="center"/>
            <w:hideMark/>
          </w:tcPr>
          <w:p w14:paraId="017C5A6A"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 </w:t>
            </w:r>
          </w:p>
        </w:tc>
        <w:tc>
          <w:tcPr>
            <w:tcW w:w="2560" w:type="dxa"/>
            <w:tcBorders>
              <w:top w:val="nil"/>
              <w:left w:val="nil"/>
              <w:bottom w:val="single" w:sz="4" w:space="0" w:color="ADD6EA"/>
              <w:right w:val="nil"/>
            </w:tcBorders>
            <w:shd w:val="clear" w:color="000000" w:fill="006991"/>
            <w:noWrap/>
            <w:vAlign w:val="center"/>
            <w:hideMark/>
          </w:tcPr>
          <w:p w14:paraId="1AA53FD2"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$m</w:t>
            </w:r>
          </w:p>
        </w:tc>
        <w:tc>
          <w:tcPr>
            <w:tcW w:w="2560" w:type="dxa"/>
            <w:tcBorders>
              <w:top w:val="nil"/>
              <w:left w:val="nil"/>
              <w:bottom w:val="single" w:sz="4" w:space="0" w:color="ADD6EA"/>
              <w:right w:val="nil"/>
            </w:tcBorders>
            <w:shd w:val="clear" w:color="000000" w:fill="006991"/>
            <w:noWrap/>
            <w:vAlign w:val="center"/>
            <w:hideMark/>
          </w:tcPr>
          <w:p w14:paraId="508E0E51"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$pc</w:t>
            </w:r>
          </w:p>
        </w:tc>
      </w:tr>
      <w:tr w:rsidR="003957CD" w:rsidRPr="001A59D1" w14:paraId="72E1CDD6" w14:textId="77777777" w:rsidTr="00E51790">
        <w:trPr>
          <w:trHeight w:val="290"/>
        </w:trPr>
        <w:tc>
          <w:tcPr>
            <w:tcW w:w="4240" w:type="dxa"/>
            <w:tcBorders>
              <w:top w:val="nil"/>
              <w:left w:val="nil"/>
              <w:bottom w:val="single" w:sz="4" w:space="0" w:color="ADD6EA"/>
              <w:right w:val="nil"/>
            </w:tcBorders>
            <w:noWrap/>
            <w:vAlign w:val="center"/>
            <w:hideMark/>
          </w:tcPr>
          <w:p w14:paraId="3A939988"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Change in </w:t>
            </w:r>
            <w:r w:rsidRPr="001A59D1">
              <w:rPr>
                <w:rFonts w:ascii="Open Sans Light" w:eastAsia="Times New Roman" w:hAnsi="Open Sans Light" w:cs="Open Sans Light"/>
                <w:color w:val="000000"/>
                <w:sz w:val="16"/>
                <w:szCs w:val="16"/>
                <w:lang w:eastAsia="en-AU"/>
              </w:rPr>
              <w:t>population</w:t>
            </w:r>
          </w:p>
        </w:tc>
        <w:tc>
          <w:tcPr>
            <w:tcW w:w="2560" w:type="dxa"/>
            <w:tcBorders>
              <w:top w:val="nil"/>
              <w:left w:val="nil"/>
              <w:bottom w:val="single" w:sz="4" w:space="0" w:color="ADD6EA"/>
              <w:right w:val="nil"/>
            </w:tcBorders>
            <w:noWrap/>
            <w:vAlign w:val="center"/>
            <w:hideMark/>
          </w:tcPr>
          <w:p w14:paraId="4B75D2A5"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36</w:t>
            </w:r>
          </w:p>
        </w:tc>
        <w:tc>
          <w:tcPr>
            <w:tcW w:w="2560" w:type="dxa"/>
            <w:tcBorders>
              <w:top w:val="nil"/>
              <w:left w:val="nil"/>
              <w:bottom w:val="single" w:sz="4" w:space="0" w:color="ADD6EA"/>
              <w:right w:val="nil"/>
            </w:tcBorders>
            <w:noWrap/>
            <w:vAlign w:val="center"/>
            <w:hideMark/>
          </w:tcPr>
          <w:p w14:paraId="021ECE6D"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6</w:t>
            </w:r>
          </w:p>
        </w:tc>
      </w:tr>
      <w:tr w:rsidR="003957CD" w:rsidRPr="001A59D1" w14:paraId="3791F9AA" w14:textId="77777777" w:rsidTr="00E51790">
        <w:trPr>
          <w:trHeight w:val="290"/>
        </w:trPr>
        <w:tc>
          <w:tcPr>
            <w:tcW w:w="4240" w:type="dxa"/>
            <w:tcBorders>
              <w:top w:val="nil"/>
              <w:left w:val="nil"/>
              <w:bottom w:val="single" w:sz="4" w:space="0" w:color="ADD6EA"/>
              <w:right w:val="nil"/>
            </w:tcBorders>
            <w:noWrap/>
            <w:vAlign w:val="center"/>
            <w:hideMark/>
          </w:tcPr>
          <w:p w14:paraId="5BA28B52"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Growth in GST pool </w:t>
            </w:r>
          </w:p>
        </w:tc>
        <w:tc>
          <w:tcPr>
            <w:tcW w:w="2560" w:type="dxa"/>
            <w:tcBorders>
              <w:top w:val="nil"/>
              <w:left w:val="nil"/>
              <w:bottom w:val="single" w:sz="4" w:space="0" w:color="ADD6EA"/>
              <w:right w:val="nil"/>
            </w:tcBorders>
            <w:noWrap/>
            <w:vAlign w:val="center"/>
            <w:hideMark/>
          </w:tcPr>
          <w:p w14:paraId="05C7AE05"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1,037</w:t>
            </w:r>
          </w:p>
        </w:tc>
        <w:tc>
          <w:tcPr>
            <w:tcW w:w="2560" w:type="dxa"/>
            <w:tcBorders>
              <w:top w:val="nil"/>
              <w:left w:val="nil"/>
              <w:bottom w:val="single" w:sz="4" w:space="0" w:color="ADD6EA"/>
              <w:right w:val="nil"/>
            </w:tcBorders>
            <w:noWrap/>
            <w:vAlign w:val="center"/>
            <w:hideMark/>
          </w:tcPr>
          <w:p w14:paraId="586BB880"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179</w:t>
            </w:r>
          </w:p>
        </w:tc>
      </w:tr>
      <w:tr w:rsidR="003957CD" w:rsidRPr="001A59D1" w14:paraId="4E6EB151" w14:textId="77777777" w:rsidTr="00E51790">
        <w:trPr>
          <w:trHeight w:val="290"/>
        </w:trPr>
        <w:tc>
          <w:tcPr>
            <w:tcW w:w="4240" w:type="dxa"/>
            <w:tcBorders>
              <w:top w:val="nil"/>
              <w:left w:val="nil"/>
              <w:bottom w:val="single" w:sz="4" w:space="0" w:color="ADD6EA"/>
              <w:right w:val="nil"/>
            </w:tcBorders>
            <w:noWrap/>
            <w:vAlign w:val="center"/>
            <w:hideMark/>
          </w:tcPr>
          <w:p w14:paraId="7623CF90" w14:textId="3718AB22"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Changes in assessed </w:t>
            </w:r>
            <w:r w:rsidR="001169A0">
              <w:rPr>
                <w:rFonts w:ascii="Open Sans Light" w:eastAsia="Times New Roman" w:hAnsi="Open Sans Light" w:cs="Open Sans Light"/>
                <w:sz w:val="16"/>
                <w:szCs w:val="16"/>
                <w:lang w:eastAsia="en-AU"/>
              </w:rPr>
              <w:t xml:space="preserve">GST </w:t>
            </w:r>
            <w:r w:rsidRPr="001A59D1">
              <w:rPr>
                <w:rFonts w:ascii="Open Sans Light" w:eastAsia="Times New Roman" w:hAnsi="Open Sans Light" w:cs="Open Sans Light"/>
                <w:sz w:val="16"/>
                <w:szCs w:val="16"/>
                <w:lang w:eastAsia="en-AU"/>
              </w:rPr>
              <w:t>needs</w:t>
            </w:r>
          </w:p>
        </w:tc>
        <w:tc>
          <w:tcPr>
            <w:tcW w:w="2560" w:type="dxa"/>
            <w:tcBorders>
              <w:top w:val="nil"/>
              <w:left w:val="nil"/>
              <w:bottom w:val="single" w:sz="4" w:space="0" w:color="ADD6EA"/>
              <w:right w:val="nil"/>
            </w:tcBorders>
            <w:noWrap/>
            <w:vAlign w:val="center"/>
            <w:hideMark/>
          </w:tcPr>
          <w:p w14:paraId="56DEBB3A"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w:t>
            </w:r>
          </w:p>
        </w:tc>
        <w:tc>
          <w:tcPr>
            <w:tcW w:w="2560" w:type="dxa"/>
            <w:tcBorders>
              <w:top w:val="nil"/>
              <w:left w:val="nil"/>
              <w:bottom w:val="single" w:sz="4" w:space="0" w:color="ADD6EA"/>
              <w:right w:val="nil"/>
            </w:tcBorders>
            <w:noWrap/>
            <w:vAlign w:val="center"/>
            <w:hideMark/>
          </w:tcPr>
          <w:p w14:paraId="39C179E9"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w:t>
            </w:r>
          </w:p>
        </w:tc>
      </w:tr>
      <w:tr w:rsidR="003957CD" w:rsidRPr="001A59D1" w14:paraId="705EEDB6" w14:textId="77777777" w:rsidTr="00E51790">
        <w:trPr>
          <w:trHeight w:val="290"/>
        </w:trPr>
        <w:tc>
          <w:tcPr>
            <w:tcW w:w="4240" w:type="dxa"/>
            <w:tcBorders>
              <w:top w:val="nil"/>
              <w:left w:val="nil"/>
              <w:bottom w:val="single" w:sz="4" w:space="0" w:color="ADD6EA"/>
              <w:right w:val="nil"/>
            </w:tcBorders>
            <w:noWrap/>
            <w:vAlign w:val="center"/>
            <w:hideMark/>
          </w:tcPr>
          <w:p w14:paraId="079549D2"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Method changes</w:t>
            </w:r>
          </w:p>
        </w:tc>
        <w:tc>
          <w:tcPr>
            <w:tcW w:w="2560" w:type="dxa"/>
            <w:tcBorders>
              <w:top w:val="nil"/>
              <w:left w:val="nil"/>
              <w:bottom w:val="single" w:sz="4" w:space="0" w:color="ADD6EA"/>
              <w:right w:val="nil"/>
            </w:tcBorders>
            <w:noWrap/>
            <w:vAlign w:val="center"/>
            <w:hideMark/>
          </w:tcPr>
          <w:p w14:paraId="053DA528"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113</w:t>
            </w:r>
          </w:p>
        </w:tc>
        <w:tc>
          <w:tcPr>
            <w:tcW w:w="2560" w:type="dxa"/>
            <w:tcBorders>
              <w:top w:val="nil"/>
              <w:left w:val="nil"/>
              <w:bottom w:val="single" w:sz="4" w:space="0" w:color="ADD6EA"/>
              <w:right w:val="nil"/>
            </w:tcBorders>
            <w:noWrap/>
            <w:vAlign w:val="center"/>
            <w:hideMark/>
          </w:tcPr>
          <w:p w14:paraId="28F594EC"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19</w:t>
            </w:r>
          </w:p>
        </w:tc>
      </w:tr>
      <w:tr w:rsidR="003957CD" w:rsidRPr="001A59D1" w14:paraId="3D029D56" w14:textId="77777777" w:rsidTr="00E51790">
        <w:trPr>
          <w:trHeight w:val="290"/>
        </w:trPr>
        <w:tc>
          <w:tcPr>
            <w:tcW w:w="4240" w:type="dxa"/>
            <w:tcBorders>
              <w:top w:val="nil"/>
              <w:left w:val="nil"/>
              <w:bottom w:val="single" w:sz="4" w:space="0" w:color="ADD6EA"/>
              <w:right w:val="nil"/>
            </w:tcBorders>
            <w:noWrap/>
            <w:vAlign w:val="center"/>
            <w:hideMark/>
          </w:tcPr>
          <w:p w14:paraId="04D24001"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Data revisions</w:t>
            </w:r>
          </w:p>
        </w:tc>
        <w:tc>
          <w:tcPr>
            <w:tcW w:w="2560" w:type="dxa"/>
            <w:tcBorders>
              <w:top w:val="nil"/>
              <w:left w:val="nil"/>
              <w:bottom w:val="single" w:sz="4" w:space="0" w:color="ADD6EA"/>
              <w:right w:val="nil"/>
            </w:tcBorders>
            <w:noWrap/>
            <w:vAlign w:val="center"/>
            <w:hideMark/>
          </w:tcPr>
          <w:p w14:paraId="10EE1499"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5</w:t>
            </w:r>
            <w:r>
              <w:rPr>
                <w:rFonts w:ascii="Open Sans Light" w:eastAsia="Times New Roman" w:hAnsi="Open Sans Light" w:cs="Open Sans Light"/>
                <w:sz w:val="16"/>
                <w:szCs w:val="16"/>
                <w:lang w:eastAsia="en-AU"/>
              </w:rPr>
              <w:t>9</w:t>
            </w:r>
          </w:p>
        </w:tc>
        <w:tc>
          <w:tcPr>
            <w:tcW w:w="2560" w:type="dxa"/>
            <w:tcBorders>
              <w:top w:val="nil"/>
              <w:left w:val="nil"/>
              <w:bottom w:val="single" w:sz="4" w:space="0" w:color="ADD6EA"/>
              <w:right w:val="nil"/>
            </w:tcBorders>
            <w:noWrap/>
            <w:vAlign w:val="center"/>
            <w:hideMark/>
          </w:tcPr>
          <w:p w14:paraId="1898E7D5"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10</w:t>
            </w:r>
          </w:p>
        </w:tc>
      </w:tr>
      <w:tr w:rsidR="003957CD" w:rsidRPr="001A59D1" w14:paraId="6118B36E" w14:textId="77777777" w:rsidTr="00E51790">
        <w:trPr>
          <w:trHeight w:val="290"/>
        </w:trPr>
        <w:tc>
          <w:tcPr>
            <w:tcW w:w="4240" w:type="dxa"/>
            <w:tcBorders>
              <w:top w:val="nil"/>
              <w:left w:val="nil"/>
              <w:bottom w:val="single" w:sz="4" w:space="0" w:color="ADD6EA"/>
              <w:right w:val="nil"/>
            </w:tcBorders>
            <w:noWrap/>
            <w:vAlign w:val="center"/>
            <w:hideMark/>
          </w:tcPr>
          <w:p w14:paraId="285AC69C"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State circumstances</w:t>
            </w:r>
          </w:p>
        </w:tc>
        <w:tc>
          <w:tcPr>
            <w:tcW w:w="2560" w:type="dxa"/>
            <w:tcBorders>
              <w:top w:val="nil"/>
              <w:left w:val="nil"/>
              <w:bottom w:val="single" w:sz="4" w:space="0" w:color="ADD6EA"/>
              <w:right w:val="nil"/>
            </w:tcBorders>
            <w:noWrap/>
            <w:vAlign w:val="center"/>
            <w:hideMark/>
          </w:tcPr>
          <w:p w14:paraId="3D820465"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1,198</w:t>
            </w:r>
          </w:p>
        </w:tc>
        <w:tc>
          <w:tcPr>
            <w:tcW w:w="2560" w:type="dxa"/>
            <w:tcBorders>
              <w:top w:val="nil"/>
              <w:left w:val="nil"/>
              <w:bottom w:val="single" w:sz="4" w:space="0" w:color="ADD6EA"/>
              <w:right w:val="nil"/>
            </w:tcBorders>
            <w:noWrap/>
            <w:vAlign w:val="center"/>
            <w:hideMark/>
          </w:tcPr>
          <w:p w14:paraId="3FEF7999"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207</w:t>
            </w:r>
          </w:p>
        </w:tc>
      </w:tr>
      <w:tr w:rsidR="003957CD" w:rsidRPr="001A59D1" w14:paraId="2170A298" w14:textId="77777777" w:rsidTr="00E51790">
        <w:trPr>
          <w:trHeight w:val="290"/>
        </w:trPr>
        <w:tc>
          <w:tcPr>
            <w:tcW w:w="4240" w:type="dxa"/>
            <w:tcBorders>
              <w:top w:val="nil"/>
              <w:left w:val="nil"/>
              <w:bottom w:val="single" w:sz="4" w:space="0" w:color="ADD6EA"/>
              <w:right w:val="nil"/>
            </w:tcBorders>
            <w:noWrap/>
            <w:vAlign w:val="center"/>
            <w:hideMark/>
          </w:tcPr>
          <w:p w14:paraId="0BA85C6E"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Total</w:t>
            </w:r>
          </w:p>
        </w:tc>
        <w:tc>
          <w:tcPr>
            <w:tcW w:w="2560" w:type="dxa"/>
            <w:tcBorders>
              <w:top w:val="nil"/>
              <w:left w:val="nil"/>
              <w:bottom w:val="single" w:sz="4" w:space="0" w:color="ADD6EA"/>
              <w:right w:val="nil"/>
            </w:tcBorders>
            <w:noWrap/>
            <w:vAlign w:val="center"/>
            <w:hideMark/>
          </w:tcPr>
          <w:p w14:paraId="54EE96CA"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1,370</w:t>
            </w:r>
          </w:p>
        </w:tc>
        <w:tc>
          <w:tcPr>
            <w:tcW w:w="2560" w:type="dxa"/>
            <w:tcBorders>
              <w:top w:val="nil"/>
              <w:left w:val="nil"/>
              <w:bottom w:val="single" w:sz="4" w:space="0" w:color="ADD6EA"/>
              <w:right w:val="nil"/>
            </w:tcBorders>
            <w:noWrap/>
            <w:vAlign w:val="center"/>
            <w:hideMark/>
          </w:tcPr>
          <w:p w14:paraId="601BB160"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236</w:t>
            </w:r>
          </w:p>
        </w:tc>
      </w:tr>
      <w:tr w:rsidR="003957CD" w:rsidRPr="001A59D1" w14:paraId="07978C7C" w14:textId="77777777" w:rsidTr="00E51790">
        <w:trPr>
          <w:trHeight w:val="290"/>
        </w:trPr>
        <w:tc>
          <w:tcPr>
            <w:tcW w:w="4240" w:type="dxa"/>
            <w:tcBorders>
              <w:top w:val="nil"/>
              <w:left w:val="nil"/>
              <w:bottom w:val="single" w:sz="4" w:space="0" w:color="ADD6EA"/>
              <w:right w:val="nil"/>
            </w:tcBorders>
            <w:noWrap/>
            <w:vAlign w:val="center"/>
            <w:hideMark/>
          </w:tcPr>
          <w:p w14:paraId="791A5837"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2018 legislated changes to determining relativities</w:t>
            </w:r>
          </w:p>
        </w:tc>
        <w:tc>
          <w:tcPr>
            <w:tcW w:w="2560" w:type="dxa"/>
            <w:tcBorders>
              <w:top w:val="nil"/>
              <w:left w:val="nil"/>
              <w:bottom w:val="single" w:sz="4" w:space="0" w:color="ADD6EA"/>
              <w:right w:val="nil"/>
            </w:tcBorders>
            <w:noWrap/>
            <w:vAlign w:val="center"/>
            <w:hideMark/>
          </w:tcPr>
          <w:p w14:paraId="02B71C43"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-763</w:t>
            </w:r>
          </w:p>
        </w:tc>
        <w:tc>
          <w:tcPr>
            <w:tcW w:w="2560" w:type="dxa"/>
            <w:tcBorders>
              <w:top w:val="nil"/>
              <w:left w:val="nil"/>
              <w:bottom w:val="single" w:sz="4" w:space="0" w:color="ADD6EA"/>
              <w:right w:val="nil"/>
            </w:tcBorders>
            <w:noWrap/>
            <w:vAlign w:val="center"/>
            <w:hideMark/>
          </w:tcPr>
          <w:p w14:paraId="45C3E791"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-132</w:t>
            </w:r>
          </w:p>
        </w:tc>
      </w:tr>
      <w:tr w:rsidR="003957CD" w:rsidRPr="001A59D1" w14:paraId="49073E8C" w14:textId="77777777" w:rsidTr="00E51790">
        <w:trPr>
          <w:trHeight w:val="290"/>
        </w:trPr>
        <w:tc>
          <w:tcPr>
            <w:tcW w:w="4240" w:type="dxa"/>
            <w:tcBorders>
              <w:top w:val="nil"/>
              <w:left w:val="nil"/>
              <w:bottom w:val="single" w:sz="4" w:space="0" w:color="ADD6EA"/>
              <w:right w:val="nil"/>
            </w:tcBorders>
            <w:shd w:val="clear" w:color="000000" w:fill="D6E7F0"/>
            <w:noWrap/>
            <w:vAlign w:val="center"/>
            <w:hideMark/>
          </w:tcPr>
          <w:p w14:paraId="5BF51D41" w14:textId="77777777" w:rsidR="003957CD" w:rsidRPr="001A59D1"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Total change</w:t>
            </w:r>
          </w:p>
        </w:tc>
        <w:tc>
          <w:tcPr>
            <w:tcW w:w="2560" w:type="dxa"/>
            <w:tcBorders>
              <w:top w:val="nil"/>
              <w:left w:val="nil"/>
              <w:bottom w:val="single" w:sz="4" w:space="0" w:color="ADD6EA"/>
              <w:right w:val="nil"/>
            </w:tcBorders>
            <w:shd w:val="clear" w:color="000000" w:fill="D6E7F0"/>
            <w:noWrap/>
            <w:vAlign w:val="center"/>
            <w:hideMark/>
          </w:tcPr>
          <w:p w14:paraId="657026E5"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1,680</w:t>
            </w:r>
          </w:p>
        </w:tc>
        <w:tc>
          <w:tcPr>
            <w:tcW w:w="2560" w:type="dxa"/>
            <w:tcBorders>
              <w:top w:val="nil"/>
              <w:left w:val="nil"/>
              <w:bottom w:val="single" w:sz="4" w:space="0" w:color="ADD6EA"/>
              <w:right w:val="nil"/>
            </w:tcBorders>
            <w:shd w:val="clear" w:color="000000" w:fill="D6E7F0"/>
            <w:noWrap/>
            <w:vAlign w:val="center"/>
            <w:hideMark/>
          </w:tcPr>
          <w:p w14:paraId="1A9108B1"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290</w:t>
            </w:r>
          </w:p>
        </w:tc>
      </w:tr>
    </w:tbl>
    <w:p w14:paraId="35F76F4E" w14:textId="77777777" w:rsidR="003957CD" w:rsidRPr="00F47AF8" w:rsidRDefault="003957CD" w:rsidP="003957CD">
      <w:pPr>
        <w:pStyle w:val="CGCTablenote"/>
      </w:pPr>
    </w:p>
    <w:p w14:paraId="7075D322" w14:textId="77777777" w:rsidR="003957CD" w:rsidRPr="00F47AF8" w:rsidRDefault="003957CD" w:rsidP="003957CD">
      <w:pPr>
        <w:tabs>
          <w:tab w:val="clear" w:pos="567"/>
        </w:tabs>
        <w:spacing w:before="0" w:line="240" w:lineRule="auto"/>
        <w:rPr>
          <w:rFonts w:ascii="Work Sans SemiBold" w:hAnsi="Work Sans SemiBold" w:cs="Cambria Math"/>
          <w:bCs/>
          <w:color w:val="000000"/>
          <w:szCs w:val="21"/>
          <w:shd w:val="clear" w:color="auto" w:fill="FFFFFF"/>
          <w14:shadow w14:blurRad="50800" w14:dist="50800" w14:dir="5400000" w14:sx="0" w14:sy="0" w14:kx="0" w14:ky="0" w14:algn="ctr">
            <w14:srgbClr w14:val="000000">
              <w14:alpha w14:val="1000"/>
            </w14:srgbClr>
          </w14:shadow>
        </w:rPr>
      </w:pPr>
      <w:r w:rsidRPr="00F47AF8">
        <w:br w:type="page"/>
      </w:r>
    </w:p>
    <w:p w14:paraId="7331AA59" w14:textId="77777777" w:rsidR="003957CD" w:rsidRPr="00F47AF8" w:rsidRDefault="003957CD" w:rsidP="00371E5F">
      <w:pPr>
        <w:pStyle w:val="CGC2025Caption"/>
      </w:pPr>
      <w:r w:rsidRPr="00F47AF8">
        <w:lastRenderedPageBreak/>
        <w:t>Figure 3</w:t>
      </w:r>
      <w:r w:rsidRPr="00F47AF8">
        <w:noBreakHyphen/>
        <w:t>3</w:t>
      </w:r>
      <w:r w:rsidRPr="00F47AF8">
        <w:tab/>
        <w:t>Queensland: main changes in assessed GST needs, 2026</w:t>
      </w:r>
      <w:r w:rsidRPr="00BA42D7">
        <w:t>–</w:t>
      </w:r>
      <w:r>
        <w:t>27 relativities</w:t>
      </w:r>
    </w:p>
    <w:tbl>
      <w:tblPr>
        <w:tblW w:w="9260" w:type="dxa"/>
        <w:tblLook w:val="04A0" w:firstRow="1" w:lastRow="0" w:firstColumn="1" w:lastColumn="0" w:noHBand="0" w:noVBand="1"/>
      </w:tblPr>
      <w:tblGrid>
        <w:gridCol w:w="2780"/>
        <w:gridCol w:w="720"/>
        <w:gridCol w:w="720"/>
        <w:gridCol w:w="5040"/>
      </w:tblGrid>
      <w:tr w:rsidR="003957CD" w:rsidRPr="00E5247E" w14:paraId="4B6ABA62" w14:textId="77777777" w:rsidTr="00E51790">
        <w:trPr>
          <w:trHeight w:val="290"/>
        </w:trPr>
        <w:tc>
          <w:tcPr>
            <w:tcW w:w="9260" w:type="dxa"/>
            <w:gridSpan w:val="4"/>
            <w:tcBorders>
              <w:top w:val="nil"/>
              <w:left w:val="nil"/>
              <w:bottom w:val="nil"/>
              <w:right w:val="nil"/>
            </w:tcBorders>
            <w:shd w:val="clear" w:color="000000" w:fill="006991"/>
            <w:vAlign w:val="center"/>
            <w:hideMark/>
          </w:tcPr>
          <w:p w14:paraId="536100DB"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E5247E">
              <w:rPr>
                <w:rFonts w:ascii="Open Sans Semibold" w:eastAsia="Times New Roman" w:hAnsi="Open Sans Semibold" w:cs="Open Sans Semibold"/>
                <w:color w:val="FFFFFF"/>
                <w:sz w:val="16"/>
                <w:szCs w:val="16"/>
                <w:lang w:eastAsia="en-AU"/>
              </w:rPr>
              <w:t>Revisions</w:t>
            </w:r>
          </w:p>
        </w:tc>
      </w:tr>
      <w:tr w:rsidR="003957CD" w:rsidRPr="00E5247E" w14:paraId="7AC888C4" w14:textId="77777777" w:rsidTr="00E51790">
        <w:trPr>
          <w:trHeight w:val="290"/>
        </w:trPr>
        <w:tc>
          <w:tcPr>
            <w:tcW w:w="2780" w:type="dxa"/>
            <w:tcBorders>
              <w:top w:val="single" w:sz="4" w:space="0" w:color="ADD6EA"/>
              <w:left w:val="nil"/>
              <w:bottom w:val="nil"/>
              <w:right w:val="nil"/>
            </w:tcBorders>
            <w:shd w:val="clear" w:color="000000" w:fill="D6E7F0"/>
            <w:hideMark/>
          </w:tcPr>
          <w:p w14:paraId="587D1FDC"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533C2817" w14:textId="77777777" w:rsidR="003957CD" w:rsidRPr="00E5247E"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45DAED25"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Explanation</w:t>
            </w:r>
          </w:p>
        </w:tc>
      </w:tr>
      <w:tr w:rsidR="003957CD" w:rsidRPr="00E5247E" w14:paraId="6F715EDB" w14:textId="77777777" w:rsidTr="00E51790">
        <w:trPr>
          <w:trHeight w:val="290"/>
        </w:trPr>
        <w:tc>
          <w:tcPr>
            <w:tcW w:w="2780" w:type="dxa"/>
            <w:tcBorders>
              <w:top w:val="single" w:sz="4" w:space="0" w:color="ADD6EA"/>
              <w:left w:val="nil"/>
              <w:bottom w:val="nil"/>
              <w:right w:val="nil"/>
            </w:tcBorders>
            <w:shd w:val="clear" w:color="000000" w:fill="B6D5E4"/>
            <w:hideMark/>
          </w:tcPr>
          <w:p w14:paraId="7A33CFB8"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30B4C440" w14:textId="77777777" w:rsidR="003957CD" w:rsidRPr="00E5247E"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21D98F36" w14:textId="77777777" w:rsidR="003957CD" w:rsidRPr="00E5247E"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3257DACB"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 </w:t>
            </w:r>
          </w:p>
        </w:tc>
      </w:tr>
      <w:tr w:rsidR="003957CD" w:rsidRPr="00E5247E" w14:paraId="55A1FDA3" w14:textId="77777777" w:rsidTr="005E5652">
        <w:trPr>
          <w:trHeight w:val="1358"/>
        </w:trPr>
        <w:tc>
          <w:tcPr>
            <w:tcW w:w="2780" w:type="dxa"/>
            <w:tcBorders>
              <w:top w:val="single" w:sz="4" w:space="0" w:color="ADD6EA"/>
              <w:left w:val="nil"/>
              <w:bottom w:val="nil"/>
              <w:right w:val="nil"/>
            </w:tcBorders>
            <w:shd w:val="clear" w:color="000000" w:fill="FFFFFF"/>
            <w:hideMark/>
          </w:tcPr>
          <w:p w14:paraId="6B50F1D7"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Natural disaster relief</w:t>
            </w:r>
          </w:p>
        </w:tc>
        <w:tc>
          <w:tcPr>
            <w:tcW w:w="720" w:type="dxa"/>
            <w:tcBorders>
              <w:top w:val="single" w:sz="4" w:space="0" w:color="ADD6EA"/>
              <w:left w:val="nil"/>
              <w:bottom w:val="nil"/>
              <w:right w:val="nil"/>
            </w:tcBorders>
            <w:shd w:val="clear" w:color="000000" w:fill="ADD6EA"/>
            <w:hideMark/>
          </w:tcPr>
          <w:p w14:paraId="1B5AAFBB"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279</w:t>
            </w:r>
          </w:p>
        </w:tc>
        <w:tc>
          <w:tcPr>
            <w:tcW w:w="720" w:type="dxa"/>
            <w:tcBorders>
              <w:top w:val="single" w:sz="4" w:space="0" w:color="ADD6EA"/>
              <w:left w:val="nil"/>
              <w:bottom w:val="nil"/>
              <w:right w:val="nil"/>
            </w:tcBorders>
            <w:shd w:val="clear" w:color="000000" w:fill="ADD6EA"/>
            <w:hideMark/>
          </w:tcPr>
          <w:p w14:paraId="01145EB2"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48</w:t>
            </w:r>
          </w:p>
        </w:tc>
        <w:tc>
          <w:tcPr>
            <w:tcW w:w="5040" w:type="dxa"/>
            <w:tcBorders>
              <w:top w:val="single" w:sz="4" w:space="0" w:color="ADD6EA"/>
              <w:left w:val="nil"/>
              <w:bottom w:val="nil"/>
              <w:right w:val="nil"/>
            </w:tcBorders>
            <w:shd w:val="clear" w:color="000000" w:fill="FFFFFF"/>
            <w:hideMark/>
          </w:tcPr>
          <w:p w14:paraId="05818A44" w14:textId="485EEDAF"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 xml:space="preserve">A significant downward revision </w:t>
            </w:r>
            <w:r w:rsidR="00DE46A9">
              <w:rPr>
                <w:rFonts w:ascii="Open Sans Light" w:eastAsia="Times New Roman" w:hAnsi="Open Sans Light" w:cs="Open Sans Light"/>
                <w:color w:val="000000"/>
                <w:sz w:val="16"/>
                <w:szCs w:val="16"/>
                <w:lang w:eastAsia="en-AU"/>
              </w:rPr>
              <w:t>by</w:t>
            </w:r>
            <w:r w:rsidR="00DE46A9" w:rsidRPr="00E5247E">
              <w:rPr>
                <w:rFonts w:ascii="Open Sans Light" w:eastAsia="Times New Roman" w:hAnsi="Open Sans Light" w:cs="Open Sans Light"/>
                <w:color w:val="000000"/>
                <w:sz w:val="16"/>
                <w:szCs w:val="16"/>
                <w:lang w:eastAsia="en-AU"/>
              </w:rPr>
              <w:t xml:space="preserve"> </w:t>
            </w:r>
            <w:r w:rsidRPr="00E5247E">
              <w:rPr>
                <w:rFonts w:ascii="Open Sans Light" w:eastAsia="Times New Roman" w:hAnsi="Open Sans Light" w:cs="Open Sans Light"/>
                <w:color w:val="000000"/>
                <w:sz w:val="16"/>
                <w:szCs w:val="16"/>
                <w:lang w:eastAsia="en-AU"/>
              </w:rPr>
              <w:t>New South Wales</w:t>
            </w:r>
            <w:r w:rsidR="00DE46A9">
              <w:rPr>
                <w:rFonts w:ascii="Open Sans Light" w:eastAsia="Times New Roman" w:hAnsi="Open Sans Light" w:cs="Open Sans Light"/>
                <w:color w:val="000000"/>
                <w:sz w:val="16"/>
                <w:szCs w:val="16"/>
                <w:lang w:eastAsia="en-AU"/>
              </w:rPr>
              <w:t xml:space="preserve"> to its</w:t>
            </w:r>
            <w:r w:rsidRPr="00E5247E">
              <w:rPr>
                <w:rFonts w:ascii="Open Sans Light" w:eastAsia="Times New Roman" w:hAnsi="Open Sans Light" w:cs="Open Sans Light"/>
                <w:color w:val="000000"/>
                <w:sz w:val="16"/>
                <w:szCs w:val="16"/>
                <w:lang w:eastAsia="en-AU"/>
              </w:rPr>
              <w:t xml:space="preserve"> natural disaster relief expenses in 2022–23 decrease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its assessed GST needs and increase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assessed GST needs </w:t>
            </w:r>
            <w:r w:rsidR="002F31FE">
              <w:rPr>
                <w:rFonts w:ascii="Open Sans Light" w:eastAsia="Times New Roman" w:hAnsi="Open Sans Light" w:cs="Open Sans Light"/>
                <w:color w:val="000000"/>
                <w:sz w:val="16"/>
                <w:szCs w:val="16"/>
                <w:lang w:eastAsia="en-AU"/>
              </w:rPr>
              <w:t>of</w:t>
            </w:r>
            <w:r w:rsidR="002F31FE" w:rsidRPr="00E5247E">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E5247E">
              <w:rPr>
                <w:rFonts w:ascii="Open Sans Light" w:eastAsia="Times New Roman" w:hAnsi="Open Sans Light" w:cs="Open Sans Light"/>
                <w:color w:val="000000"/>
                <w:sz w:val="16"/>
                <w:szCs w:val="16"/>
                <w:lang w:eastAsia="en-AU"/>
              </w:rPr>
              <w:t xml:space="preserve">other states, including Queensland. </w:t>
            </w:r>
            <w:r w:rsidR="001D3F41">
              <w:rPr>
                <w:rFonts w:ascii="Open Sans Light" w:eastAsia="Times New Roman" w:hAnsi="Open Sans Light" w:cs="Open Sans Light"/>
                <w:color w:val="000000"/>
                <w:sz w:val="16"/>
                <w:szCs w:val="16"/>
                <w:lang w:eastAsia="en-AU"/>
              </w:rPr>
              <w:t>Also, t</w:t>
            </w:r>
            <w:r w:rsidRPr="00E5247E">
              <w:rPr>
                <w:rFonts w:ascii="Open Sans Light" w:eastAsia="Times New Roman" w:hAnsi="Open Sans Light" w:cs="Open Sans Light"/>
                <w:color w:val="000000"/>
                <w:sz w:val="16"/>
                <w:szCs w:val="16"/>
                <w:lang w:eastAsia="en-AU"/>
              </w:rPr>
              <w:t>he Commission</w:t>
            </w:r>
            <w:r>
              <w:rPr>
                <w:rFonts w:ascii="Open Sans Light" w:eastAsia="Times New Roman" w:hAnsi="Open Sans Light" w:cs="Open Sans Light"/>
                <w:color w:val="000000"/>
                <w:sz w:val="16"/>
                <w:szCs w:val="16"/>
                <w:lang w:eastAsia="en-AU"/>
              </w:rPr>
              <w:t xml:space="preserve"> </w:t>
            </w:r>
            <w:r w:rsidR="00611AE7">
              <w:rPr>
                <w:rFonts w:ascii="Open Sans Light" w:eastAsia="Times New Roman" w:hAnsi="Open Sans Light" w:cs="Open Sans Light"/>
                <w:color w:val="000000"/>
                <w:sz w:val="16"/>
                <w:szCs w:val="16"/>
                <w:lang w:eastAsia="en-AU"/>
              </w:rPr>
              <w:t xml:space="preserve">makes an adjustment to correct </w:t>
            </w:r>
            <w:r w:rsidR="00611AE7" w:rsidRPr="00DF2029">
              <w:rPr>
                <w:rFonts w:ascii="Open Sans Light" w:eastAsia="Times New Roman" w:hAnsi="Open Sans Light" w:cs="Open Sans Light"/>
                <w:color w:val="000000"/>
                <w:sz w:val="16"/>
                <w:szCs w:val="16"/>
                <w:lang w:eastAsia="en-AU"/>
              </w:rPr>
              <w:t>for the use of unrevised data in previous updates</w:t>
            </w:r>
            <w:r w:rsidR="00611AE7">
              <w:rPr>
                <w:rFonts w:ascii="Open Sans Light" w:eastAsia="Times New Roman" w:hAnsi="Open Sans Light" w:cs="Open Sans Light"/>
                <w:color w:val="000000"/>
                <w:sz w:val="16"/>
                <w:szCs w:val="16"/>
                <w:lang w:eastAsia="en-AU"/>
              </w:rPr>
              <w:t xml:space="preserve"> </w:t>
            </w:r>
            <w:r w:rsidRPr="00E5247E">
              <w:rPr>
                <w:rFonts w:ascii="Open Sans Light" w:eastAsia="Times New Roman" w:hAnsi="Open Sans Light" w:cs="Open Sans Light"/>
                <w:color w:val="000000"/>
                <w:sz w:val="16"/>
                <w:szCs w:val="16"/>
                <w:lang w:eastAsia="en-AU"/>
              </w:rPr>
              <w:t>and this further increase</w:t>
            </w:r>
            <w:r>
              <w:rPr>
                <w:rFonts w:ascii="Open Sans Light" w:eastAsia="Times New Roman" w:hAnsi="Open Sans Light" w:cs="Open Sans Light"/>
                <w:color w:val="000000"/>
                <w:sz w:val="16"/>
                <w:szCs w:val="16"/>
                <w:lang w:eastAsia="en-AU"/>
              </w:rPr>
              <w:t xml:space="preserve">s </w:t>
            </w:r>
            <w:r w:rsidRPr="00E5247E">
              <w:rPr>
                <w:rFonts w:ascii="Open Sans Light" w:eastAsia="Times New Roman" w:hAnsi="Open Sans Light" w:cs="Open Sans Light"/>
                <w:color w:val="000000"/>
                <w:sz w:val="16"/>
                <w:szCs w:val="16"/>
                <w:lang w:eastAsia="en-AU"/>
              </w:rPr>
              <w:t>Queensland’s assessed GST needs.</w:t>
            </w:r>
          </w:p>
        </w:tc>
      </w:tr>
      <w:tr w:rsidR="003957CD" w:rsidRPr="00E5247E" w14:paraId="194B43A3" w14:textId="77777777" w:rsidTr="00E51790">
        <w:trPr>
          <w:trHeight w:val="290"/>
        </w:trPr>
        <w:tc>
          <w:tcPr>
            <w:tcW w:w="9260" w:type="dxa"/>
            <w:gridSpan w:val="4"/>
            <w:tcBorders>
              <w:top w:val="nil"/>
              <w:left w:val="nil"/>
              <w:bottom w:val="nil"/>
              <w:right w:val="nil"/>
            </w:tcBorders>
            <w:shd w:val="clear" w:color="000000" w:fill="006991"/>
            <w:vAlign w:val="center"/>
            <w:hideMark/>
          </w:tcPr>
          <w:p w14:paraId="428C3E9F"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E5247E">
              <w:rPr>
                <w:rFonts w:ascii="Open Sans Semibold" w:eastAsia="Times New Roman" w:hAnsi="Open Sans Semibold" w:cs="Open Sans Semibold"/>
                <w:color w:val="FFFFFF"/>
                <w:sz w:val="16"/>
                <w:szCs w:val="16"/>
                <w:lang w:eastAsia="en-AU"/>
              </w:rPr>
              <w:t xml:space="preserve">Changes in circumstances </w:t>
            </w:r>
          </w:p>
        </w:tc>
      </w:tr>
      <w:tr w:rsidR="003957CD" w:rsidRPr="00E5247E" w14:paraId="43334E43" w14:textId="77777777" w:rsidTr="00E51790">
        <w:trPr>
          <w:trHeight w:val="290"/>
        </w:trPr>
        <w:tc>
          <w:tcPr>
            <w:tcW w:w="2780" w:type="dxa"/>
            <w:tcBorders>
              <w:top w:val="single" w:sz="4" w:space="0" w:color="ADD6EA"/>
              <w:left w:val="nil"/>
              <w:bottom w:val="nil"/>
              <w:right w:val="nil"/>
            </w:tcBorders>
            <w:shd w:val="clear" w:color="000000" w:fill="D6E7F0"/>
            <w:hideMark/>
          </w:tcPr>
          <w:p w14:paraId="776E90F0"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67BB4763" w14:textId="77777777" w:rsidR="003957CD" w:rsidRPr="00E5247E"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16AE9914"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Explanation</w:t>
            </w:r>
          </w:p>
        </w:tc>
      </w:tr>
      <w:tr w:rsidR="003957CD" w:rsidRPr="00E5247E" w14:paraId="5869A4C3" w14:textId="77777777" w:rsidTr="00E51790">
        <w:trPr>
          <w:trHeight w:val="290"/>
        </w:trPr>
        <w:tc>
          <w:tcPr>
            <w:tcW w:w="2780" w:type="dxa"/>
            <w:tcBorders>
              <w:top w:val="single" w:sz="4" w:space="0" w:color="ADD6EA"/>
              <w:left w:val="nil"/>
              <w:bottom w:val="nil"/>
              <w:right w:val="nil"/>
            </w:tcBorders>
            <w:shd w:val="clear" w:color="000000" w:fill="B6D5E4"/>
            <w:hideMark/>
          </w:tcPr>
          <w:p w14:paraId="224E2A72"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2BBF238B" w14:textId="77777777" w:rsidR="003957CD" w:rsidRPr="00E5247E"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5EC353F3" w14:textId="77777777" w:rsidR="003957CD" w:rsidRPr="00E5247E"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067883EC" w14:textId="77777777" w:rsidR="003957CD" w:rsidRPr="00E5247E"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E5247E">
              <w:rPr>
                <w:rFonts w:ascii="Open Sans Semibold" w:eastAsia="Times New Roman" w:hAnsi="Open Sans Semibold" w:cs="Open Sans Semibold"/>
                <w:color w:val="000000"/>
                <w:sz w:val="16"/>
                <w:szCs w:val="16"/>
                <w:lang w:eastAsia="en-AU"/>
              </w:rPr>
              <w:t> </w:t>
            </w:r>
          </w:p>
        </w:tc>
      </w:tr>
      <w:tr w:rsidR="003957CD" w:rsidRPr="00E5247E" w14:paraId="570E110A" w14:textId="77777777" w:rsidTr="00E51790">
        <w:trPr>
          <w:trHeight w:val="1345"/>
        </w:trPr>
        <w:tc>
          <w:tcPr>
            <w:tcW w:w="2780" w:type="dxa"/>
            <w:tcBorders>
              <w:top w:val="single" w:sz="4" w:space="0" w:color="ADD6EA"/>
              <w:left w:val="nil"/>
              <w:bottom w:val="nil"/>
              <w:right w:val="nil"/>
            </w:tcBorders>
            <w:shd w:val="clear" w:color="000000" w:fill="FFFFFF"/>
            <w:hideMark/>
          </w:tcPr>
          <w:p w14:paraId="67E2B73C"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COVID-19</w:t>
            </w:r>
          </w:p>
        </w:tc>
        <w:tc>
          <w:tcPr>
            <w:tcW w:w="720" w:type="dxa"/>
            <w:tcBorders>
              <w:top w:val="single" w:sz="4" w:space="0" w:color="ADD6EA"/>
              <w:left w:val="nil"/>
              <w:bottom w:val="nil"/>
              <w:right w:val="nil"/>
            </w:tcBorders>
            <w:shd w:val="clear" w:color="000000" w:fill="ADD6EA"/>
            <w:hideMark/>
          </w:tcPr>
          <w:p w14:paraId="7F9C764C"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829</w:t>
            </w:r>
          </w:p>
        </w:tc>
        <w:tc>
          <w:tcPr>
            <w:tcW w:w="720" w:type="dxa"/>
            <w:tcBorders>
              <w:top w:val="single" w:sz="4" w:space="0" w:color="ADD6EA"/>
              <w:left w:val="nil"/>
              <w:bottom w:val="nil"/>
              <w:right w:val="nil"/>
            </w:tcBorders>
            <w:shd w:val="clear" w:color="000000" w:fill="ADD6EA"/>
            <w:hideMark/>
          </w:tcPr>
          <w:p w14:paraId="30734B54"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143</w:t>
            </w:r>
          </w:p>
        </w:tc>
        <w:tc>
          <w:tcPr>
            <w:tcW w:w="5040" w:type="dxa"/>
            <w:tcBorders>
              <w:top w:val="single" w:sz="4" w:space="0" w:color="ADD6EA"/>
              <w:left w:val="nil"/>
              <w:bottom w:val="nil"/>
              <w:right w:val="nil"/>
            </w:tcBorders>
            <w:shd w:val="clear" w:color="000000" w:fill="FFFFFF"/>
            <w:hideMark/>
          </w:tcPr>
          <w:p w14:paraId="521DA9F6" w14:textId="271153D6"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COVID</w:t>
            </w:r>
            <w:r w:rsidR="00243440">
              <w:rPr>
                <w:rFonts w:ascii="Open Sans Light" w:eastAsia="Times New Roman" w:hAnsi="Open Sans Light" w:cs="Open Sans Light"/>
                <w:color w:val="000000"/>
                <w:sz w:val="16"/>
                <w:szCs w:val="16"/>
                <w:lang w:eastAsia="en-AU"/>
              </w:rPr>
              <w:t>-</w:t>
            </w:r>
            <w:r w:rsidRPr="00E5247E">
              <w:rPr>
                <w:rFonts w:ascii="Open Sans Light" w:eastAsia="Times New Roman" w:hAnsi="Open Sans Light" w:cs="Open Sans Light"/>
                <w:color w:val="000000"/>
                <w:sz w:val="16"/>
                <w:szCs w:val="16"/>
                <w:lang w:eastAsia="en-AU"/>
              </w:rPr>
              <w:t>19 expenses were largest in 2021–22 and declined significantly in subsequent years. States with above-average COVID</w:t>
            </w:r>
            <w:r w:rsidR="00243440">
              <w:rPr>
                <w:rFonts w:ascii="Open Sans Light" w:eastAsia="Times New Roman" w:hAnsi="Open Sans Light" w:cs="Open Sans Light"/>
                <w:color w:val="000000"/>
                <w:sz w:val="16"/>
                <w:szCs w:val="16"/>
                <w:lang w:eastAsia="en-AU"/>
              </w:rPr>
              <w:t>-</w:t>
            </w:r>
            <w:r w:rsidRPr="00E5247E">
              <w:rPr>
                <w:rFonts w:ascii="Open Sans Light" w:eastAsia="Times New Roman" w:hAnsi="Open Sans Light" w:cs="Open Sans Light"/>
                <w:color w:val="000000"/>
                <w:sz w:val="16"/>
                <w:szCs w:val="16"/>
                <w:lang w:eastAsia="en-AU"/>
              </w:rPr>
              <w:t>19 expenses</w:t>
            </w:r>
            <w:r>
              <w:rPr>
                <w:rFonts w:ascii="Open Sans Light" w:eastAsia="Times New Roman" w:hAnsi="Open Sans Light" w:cs="Open Sans Light"/>
                <w:color w:val="000000"/>
                <w:sz w:val="16"/>
                <w:szCs w:val="16"/>
                <w:lang w:eastAsia="en-AU"/>
              </w:rPr>
              <w:t>,</w:t>
            </w:r>
            <w:r w:rsidRPr="00E5247E">
              <w:rPr>
                <w:rFonts w:ascii="Open Sans Light" w:eastAsia="Times New Roman" w:hAnsi="Open Sans Light" w:cs="Open Sans Light"/>
                <w:color w:val="000000"/>
                <w:sz w:val="16"/>
                <w:szCs w:val="16"/>
                <w:lang w:eastAsia="en-AU"/>
              </w:rPr>
              <w:t xml:space="preserve"> </w:t>
            </w:r>
            <w:r w:rsidR="00833BD4">
              <w:rPr>
                <w:rFonts w:ascii="Open Sans Light" w:eastAsia="Times New Roman" w:hAnsi="Open Sans Light" w:cs="Open Sans Light"/>
                <w:color w:val="000000"/>
                <w:sz w:val="16"/>
                <w:szCs w:val="16"/>
                <w:lang w:eastAsia="en-AU"/>
              </w:rPr>
              <w:t>notably</w:t>
            </w:r>
            <w:r w:rsidRPr="00E5247E">
              <w:rPr>
                <w:rFonts w:ascii="Open Sans Light" w:eastAsia="Times New Roman" w:hAnsi="Open Sans Light" w:cs="Open Sans Light"/>
                <w:color w:val="000000"/>
                <w:sz w:val="16"/>
                <w:szCs w:val="16"/>
                <w:lang w:eastAsia="en-AU"/>
              </w:rPr>
              <w:t xml:space="preserve"> New South Wales, Victoria and the ACT, now have lower expenses, </w:t>
            </w:r>
            <w:r w:rsidR="001C4A93">
              <w:rPr>
                <w:rFonts w:ascii="Open Sans Light" w:eastAsia="Times New Roman" w:hAnsi="Open Sans Light" w:cs="Open Sans Light"/>
                <w:color w:val="000000"/>
                <w:sz w:val="16"/>
                <w:szCs w:val="16"/>
                <w:lang w:eastAsia="en-AU"/>
              </w:rPr>
              <w:t>decreasing</w:t>
            </w:r>
            <w:r w:rsidRPr="00E5247E">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their </w:t>
            </w:r>
            <w:r w:rsidRPr="00E5247E">
              <w:rPr>
                <w:rFonts w:ascii="Open Sans Light" w:eastAsia="Times New Roman" w:hAnsi="Open Sans Light" w:cs="Open Sans Light"/>
                <w:color w:val="000000"/>
                <w:sz w:val="16"/>
                <w:szCs w:val="16"/>
                <w:lang w:eastAsia="en-AU"/>
              </w:rPr>
              <w:t xml:space="preserve">assessed GST needs and </w:t>
            </w:r>
            <w:r w:rsidR="001C4A93">
              <w:rPr>
                <w:rFonts w:ascii="Open Sans Light" w:eastAsia="Times New Roman" w:hAnsi="Open Sans Light" w:cs="Open Sans Light"/>
                <w:color w:val="000000"/>
                <w:sz w:val="16"/>
                <w:szCs w:val="16"/>
                <w:lang w:eastAsia="en-AU"/>
              </w:rPr>
              <w:t>increasing</w:t>
            </w:r>
            <w:r w:rsidR="001C4A93" w:rsidRPr="00E5247E">
              <w:rPr>
                <w:rFonts w:ascii="Open Sans Light" w:eastAsia="Times New Roman" w:hAnsi="Open Sans Light" w:cs="Open Sans Light"/>
                <w:color w:val="000000"/>
                <w:sz w:val="16"/>
                <w:szCs w:val="16"/>
                <w:lang w:eastAsia="en-AU"/>
              </w:rPr>
              <w:t xml:space="preserve"> </w:t>
            </w:r>
            <w:r w:rsidR="00833BD4">
              <w:rPr>
                <w:rFonts w:ascii="Open Sans Light" w:eastAsia="Times New Roman" w:hAnsi="Open Sans Light" w:cs="Open Sans Light"/>
                <w:color w:val="000000"/>
                <w:sz w:val="16"/>
                <w:szCs w:val="16"/>
                <w:lang w:eastAsia="en-AU"/>
              </w:rPr>
              <w:t xml:space="preserve">the </w:t>
            </w:r>
            <w:r w:rsidRPr="00E5247E">
              <w:rPr>
                <w:rFonts w:ascii="Open Sans Light" w:eastAsia="Times New Roman" w:hAnsi="Open Sans Light" w:cs="Open Sans Light"/>
                <w:color w:val="000000"/>
                <w:sz w:val="16"/>
                <w:szCs w:val="16"/>
                <w:lang w:eastAsia="en-AU"/>
              </w:rPr>
              <w:t xml:space="preserve">assessed GST needs </w:t>
            </w:r>
            <w:r w:rsidR="002F31FE">
              <w:rPr>
                <w:rFonts w:ascii="Open Sans Light" w:eastAsia="Times New Roman" w:hAnsi="Open Sans Light" w:cs="Open Sans Light"/>
                <w:color w:val="000000"/>
                <w:sz w:val="16"/>
                <w:szCs w:val="16"/>
                <w:lang w:eastAsia="en-AU"/>
              </w:rPr>
              <w:t>of</w:t>
            </w:r>
            <w:r w:rsidR="002F31FE" w:rsidRPr="00E5247E">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E5247E">
              <w:rPr>
                <w:rFonts w:ascii="Open Sans Light" w:eastAsia="Times New Roman" w:hAnsi="Open Sans Light" w:cs="Open Sans Light"/>
                <w:color w:val="000000"/>
                <w:sz w:val="16"/>
                <w:szCs w:val="16"/>
                <w:lang w:eastAsia="en-AU"/>
              </w:rPr>
              <w:t>other states, including Queensland.</w:t>
            </w:r>
          </w:p>
        </w:tc>
      </w:tr>
      <w:tr w:rsidR="003957CD" w:rsidRPr="00E5247E" w14:paraId="4FA41B66" w14:textId="77777777" w:rsidTr="005E5652">
        <w:trPr>
          <w:trHeight w:val="701"/>
        </w:trPr>
        <w:tc>
          <w:tcPr>
            <w:tcW w:w="2780" w:type="dxa"/>
            <w:tcBorders>
              <w:top w:val="single" w:sz="4" w:space="0" w:color="ADD6EA"/>
              <w:left w:val="nil"/>
              <w:bottom w:val="nil"/>
              <w:right w:val="nil"/>
            </w:tcBorders>
            <w:shd w:val="clear" w:color="000000" w:fill="FFFFFF"/>
            <w:hideMark/>
          </w:tcPr>
          <w:p w14:paraId="51B0A232"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Property sales</w:t>
            </w:r>
          </w:p>
        </w:tc>
        <w:tc>
          <w:tcPr>
            <w:tcW w:w="720" w:type="dxa"/>
            <w:tcBorders>
              <w:top w:val="single" w:sz="4" w:space="0" w:color="ADD6EA"/>
              <w:left w:val="nil"/>
              <w:bottom w:val="nil"/>
              <w:right w:val="nil"/>
            </w:tcBorders>
            <w:shd w:val="clear" w:color="000000" w:fill="EBBFA0"/>
            <w:hideMark/>
          </w:tcPr>
          <w:p w14:paraId="004B31C8"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-379</w:t>
            </w:r>
          </w:p>
        </w:tc>
        <w:tc>
          <w:tcPr>
            <w:tcW w:w="720" w:type="dxa"/>
            <w:tcBorders>
              <w:top w:val="single" w:sz="4" w:space="0" w:color="ADD6EA"/>
              <w:left w:val="nil"/>
              <w:bottom w:val="nil"/>
              <w:right w:val="nil"/>
            </w:tcBorders>
            <w:shd w:val="clear" w:color="000000" w:fill="EBBFA0"/>
            <w:hideMark/>
          </w:tcPr>
          <w:p w14:paraId="5FC1826C"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-65</w:t>
            </w:r>
          </w:p>
        </w:tc>
        <w:tc>
          <w:tcPr>
            <w:tcW w:w="5040" w:type="dxa"/>
            <w:tcBorders>
              <w:top w:val="single" w:sz="4" w:space="0" w:color="ADD6EA"/>
              <w:left w:val="nil"/>
              <w:bottom w:val="nil"/>
              <w:right w:val="nil"/>
            </w:tcBorders>
            <w:shd w:val="clear" w:color="000000" w:fill="FFFFFF"/>
            <w:hideMark/>
          </w:tcPr>
          <w:p w14:paraId="1DB54EFE" w14:textId="37ABAAFD"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Above-average growth in the value of property transfer</w:t>
            </w:r>
            <w:r w:rsidR="002615DC">
              <w:rPr>
                <w:rFonts w:ascii="Open Sans Light" w:eastAsia="Times New Roman" w:hAnsi="Open Sans Light" w:cs="Open Sans Light"/>
                <w:color w:val="000000"/>
                <w:sz w:val="16"/>
                <w:szCs w:val="16"/>
                <w:lang w:eastAsia="en-AU"/>
              </w:rPr>
              <w:t>red</w:t>
            </w:r>
            <w:r w:rsidRPr="00E5247E">
              <w:rPr>
                <w:rFonts w:ascii="Open Sans Light" w:eastAsia="Times New Roman" w:hAnsi="Open Sans Light" w:cs="Open Sans Light"/>
                <w:color w:val="000000"/>
                <w:sz w:val="16"/>
                <w:szCs w:val="16"/>
                <w:lang w:eastAsia="en-AU"/>
              </w:rPr>
              <w:t xml:space="preserve"> between 2021–22 and 2024–25 increase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Queensland</w:t>
            </w:r>
            <w:r>
              <w:rPr>
                <w:rFonts w:ascii="Open Sans Light" w:eastAsia="Times New Roman" w:hAnsi="Open Sans Light" w:cs="Open Sans Light"/>
                <w:color w:val="000000"/>
                <w:sz w:val="16"/>
                <w:szCs w:val="16"/>
                <w:lang w:eastAsia="en-AU"/>
              </w:rPr>
              <w:t>’</w:t>
            </w:r>
            <w:r w:rsidRPr="00E5247E">
              <w:rPr>
                <w:rFonts w:ascii="Open Sans Light" w:eastAsia="Times New Roman" w:hAnsi="Open Sans Light" w:cs="Open Sans Light"/>
                <w:color w:val="000000"/>
                <w:sz w:val="16"/>
                <w:szCs w:val="16"/>
                <w:lang w:eastAsia="en-AU"/>
              </w:rPr>
              <w:t>s relative revenue raising capacity and decreas</w:t>
            </w:r>
            <w:r>
              <w:rPr>
                <w:rFonts w:ascii="Open Sans Light" w:eastAsia="Times New Roman" w:hAnsi="Open Sans Light" w:cs="Open Sans Light"/>
                <w:color w:val="000000"/>
                <w:sz w:val="16"/>
                <w:szCs w:val="16"/>
                <w:lang w:eastAsia="en-AU"/>
              </w:rPr>
              <w:t>es</w:t>
            </w:r>
            <w:r w:rsidRPr="00E5247E">
              <w:rPr>
                <w:rFonts w:ascii="Open Sans Light" w:eastAsia="Times New Roman" w:hAnsi="Open Sans Light" w:cs="Open Sans Light"/>
                <w:color w:val="000000"/>
                <w:sz w:val="16"/>
                <w:szCs w:val="16"/>
                <w:lang w:eastAsia="en-AU"/>
              </w:rPr>
              <w:t xml:space="preserve"> its assessed GST needs. </w:t>
            </w:r>
          </w:p>
        </w:tc>
      </w:tr>
      <w:tr w:rsidR="003957CD" w:rsidRPr="00E5247E" w14:paraId="14804B71" w14:textId="77777777" w:rsidTr="005E5652">
        <w:trPr>
          <w:trHeight w:val="1357"/>
        </w:trPr>
        <w:tc>
          <w:tcPr>
            <w:tcW w:w="2780" w:type="dxa"/>
            <w:tcBorders>
              <w:top w:val="single" w:sz="4" w:space="0" w:color="ADD6EA"/>
              <w:left w:val="nil"/>
              <w:bottom w:val="nil"/>
              <w:right w:val="nil"/>
            </w:tcBorders>
            <w:shd w:val="clear" w:color="000000" w:fill="FFFFFF"/>
            <w:hideMark/>
          </w:tcPr>
          <w:p w14:paraId="65BBE993"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Mining production</w:t>
            </w:r>
          </w:p>
        </w:tc>
        <w:tc>
          <w:tcPr>
            <w:tcW w:w="720" w:type="dxa"/>
            <w:tcBorders>
              <w:top w:val="single" w:sz="4" w:space="0" w:color="ADD6EA"/>
              <w:left w:val="nil"/>
              <w:bottom w:val="nil"/>
              <w:right w:val="nil"/>
            </w:tcBorders>
            <w:shd w:val="clear" w:color="000000" w:fill="ADD6EA"/>
            <w:hideMark/>
          </w:tcPr>
          <w:p w14:paraId="74FC9E37"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284</w:t>
            </w:r>
          </w:p>
        </w:tc>
        <w:tc>
          <w:tcPr>
            <w:tcW w:w="720" w:type="dxa"/>
            <w:tcBorders>
              <w:top w:val="single" w:sz="4" w:space="0" w:color="ADD6EA"/>
              <w:left w:val="nil"/>
              <w:bottom w:val="nil"/>
              <w:right w:val="nil"/>
            </w:tcBorders>
            <w:shd w:val="clear" w:color="000000" w:fill="ADD6EA"/>
            <w:hideMark/>
          </w:tcPr>
          <w:p w14:paraId="1A4EA0D0"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49</w:t>
            </w:r>
          </w:p>
        </w:tc>
        <w:tc>
          <w:tcPr>
            <w:tcW w:w="5040" w:type="dxa"/>
            <w:tcBorders>
              <w:top w:val="single" w:sz="4" w:space="0" w:color="ADD6EA"/>
              <w:left w:val="nil"/>
              <w:bottom w:val="nil"/>
              <w:right w:val="nil"/>
            </w:tcBorders>
            <w:shd w:val="clear" w:color="000000" w:fill="FFFFFF"/>
            <w:hideMark/>
          </w:tcPr>
          <w:p w14:paraId="557C16B7" w14:textId="36166EB9"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Coal prices fell between 2021–22 and 2024–25. This decrease</w:t>
            </w:r>
            <w:r>
              <w:rPr>
                <w:rFonts w:ascii="Open Sans Light" w:eastAsia="Times New Roman" w:hAnsi="Open Sans Light" w:cs="Open Sans Light"/>
                <w:color w:val="000000"/>
                <w:sz w:val="16"/>
                <w:szCs w:val="16"/>
                <w:lang w:eastAsia="en-AU"/>
              </w:rPr>
              <w:t xml:space="preserve">s </w:t>
            </w:r>
            <w:r w:rsidRPr="00E5247E">
              <w:rPr>
                <w:rFonts w:ascii="Open Sans Light" w:eastAsia="Times New Roman" w:hAnsi="Open Sans Light" w:cs="Open Sans Light"/>
                <w:color w:val="000000"/>
                <w:sz w:val="16"/>
                <w:szCs w:val="16"/>
                <w:lang w:eastAsia="en-AU"/>
              </w:rPr>
              <w:t>Queensland’s revenue raising capacity and increase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its assessed GST needs. This </w:t>
            </w:r>
            <w:r>
              <w:rPr>
                <w:rFonts w:ascii="Open Sans Light" w:eastAsia="Times New Roman" w:hAnsi="Open Sans Light" w:cs="Open Sans Light"/>
                <w:color w:val="000000"/>
                <w:sz w:val="16"/>
                <w:szCs w:val="16"/>
                <w:lang w:eastAsia="en-AU"/>
              </w:rPr>
              <w:t>is</w:t>
            </w:r>
            <w:r w:rsidRPr="00E5247E">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partly</w:t>
            </w:r>
            <w:r w:rsidRPr="00E5247E">
              <w:rPr>
                <w:rFonts w:ascii="Open Sans Light" w:eastAsia="Times New Roman" w:hAnsi="Open Sans Light" w:cs="Open Sans Light"/>
                <w:color w:val="000000"/>
                <w:sz w:val="16"/>
                <w:szCs w:val="16"/>
                <w:lang w:eastAsia="en-AU"/>
              </w:rPr>
              <w:t xml:space="preserve"> offset by a decrease in iron ore prices, which increase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Western Australia’s assessed GST needs and decrease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assessed GST needs </w:t>
            </w:r>
            <w:r w:rsidR="002F31FE">
              <w:rPr>
                <w:rFonts w:ascii="Open Sans Light" w:eastAsia="Times New Roman" w:hAnsi="Open Sans Light" w:cs="Open Sans Light"/>
                <w:color w:val="000000"/>
                <w:sz w:val="16"/>
                <w:szCs w:val="16"/>
                <w:lang w:eastAsia="en-AU"/>
              </w:rPr>
              <w:t>of</w:t>
            </w:r>
            <w:r w:rsidR="002F31FE" w:rsidRPr="00E5247E">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E5247E">
              <w:rPr>
                <w:rFonts w:ascii="Open Sans Light" w:eastAsia="Times New Roman" w:hAnsi="Open Sans Light" w:cs="Open Sans Light"/>
                <w:color w:val="000000"/>
                <w:sz w:val="16"/>
                <w:szCs w:val="16"/>
                <w:lang w:eastAsia="en-AU"/>
              </w:rPr>
              <w:t>other states, including Queensland.</w:t>
            </w:r>
          </w:p>
        </w:tc>
      </w:tr>
      <w:tr w:rsidR="003957CD" w:rsidRPr="00E5247E" w14:paraId="29F64108" w14:textId="77777777" w:rsidTr="00E51790">
        <w:trPr>
          <w:trHeight w:val="720"/>
        </w:trPr>
        <w:tc>
          <w:tcPr>
            <w:tcW w:w="2780" w:type="dxa"/>
            <w:tcBorders>
              <w:top w:val="single" w:sz="4" w:space="0" w:color="ADD6EA"/>
              <w:left w:val="nil"/>
              <w:bottom w:val="nil"/>
              <w:right w:val="nil"/>
            </w:tcBorders>
            <w:shd w:val="clear" w:color="000000" w:fill="FFFFFF"/>
            <w:hideMark/>
          </w:tcPr>
          <w:p w14:paraId="18DAE32D"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Taxable payrolls</w:t>
            </w:r>
          </w:p>
        </w:tc>
        <w:tc>
          <w:tcPr>
            <w:tcW w:w="720" w:type="dxa"/>
            <w:tcBorders>
              <w:top w:val="single" w:sz="4" w:space="0" w:color="ADD6EA"/>
              <w:left w:val="nil"/>
              <w:bottom w:val="nil"/>
              <w:right w:val="nil"/>
            </w:tcBorders>
            <w:shd w:val="clear" w:color="000000" w:fill="EBBFA0"/>
            <w:hideMark/>
          </w:tcPr>
          <w:p w14:paraId="204A06DF"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-240</w:t>
            </w:r>
          </w:p>
        </w:tc>
        <w:tc>
          <w:tcPr>
            <w:tcW w:w="720" w:type="dxa"/>
            <w:tcBorders>
              <w:top w:val="single" w:sz="4" w:space="0" w:color="ADD6EA"/>
              <w:left w:val="nil"/>
              <w:bottom w:val="nil"/>
              <w:right w:val="nil"/>
            </w:tcBorders>
            <w:shd w:val="clear" w:color="000000" w:fill="EBBFA0"/>
            <w:hideMark/>
          </w:tcPr>
          <w:p w14:paraId="52F66477"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-42</w:t>
            </w:r>
          </w:p>
        </w:tc>
        <w:tc>
          <w:tcPr>
            <w:tcW w:w="5040" w:type="dxa"/>
            <w:tcBorders>
              <w:top w:val="single" w:sz="4" w:space="0" w:color="ADD6EA"/>
              <w:left w:val="nil"/>
              <w:bottom w:val="nil"/>
              <w:right w:val="nil"/>
            </w:tcBorders>
            <w:shd w:val="clear" w:color="000000" w:fill="FFFFFF"/>
            <w:hideMark/>
          </w:tcPr>
          <w:p w14:paraId="5178FFB2"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Queensland</w:t>
            </w:r>
            <w:r>
              <w:rPr>
                <w:rFonts w:ascii="Open Sans Light" w:eastAsia="Times New Roman" w:hAnsi="Open Sans Light" w:cs="Open Sans Light"/>
                <w:color w:val="000000"/>
                <w:sz w:val="16"/>
                <w:szCs w:val="16"/>
                <w:lang w:eastAsia="en-AU"/>
              </w:rPr>
              <w:t>’</w:t>
            </w:r>
            <w:r w:rsidRPr="00E5247E">
              <w:rPr>
                <w:rFonts w:ascii="Open Sans Light" w:eastAsia="Times New Roman" w:hAnsi="Open Sans Light" w:cs="Open Sans Light"/>
                <w:color w:val="000000"/>
                <w:sz w:val="16"/>
                <w:szCs w:val="16"/>
                <w:lang w:eastAsia="en-AU"/>
              </w:rPr>
              <w:t>s value of taxable payroll was much higher in 2024–25 than in 2021–22</w:t>
            </w:r>
            <w:r>
              <w:rPr>
                <w:rFonts w:ascii="Open Sans Light" w:eastAsia="Times New Roman" w:hAnsi="Open Sans Light" w:cs="Open Sans Light"/>
                <w:color w:val="000000"/>
                <w:sz w:val="16"/>
                <w:szCs w:val="16"/>
                <w:lang w:eastAsia="en-AU"/>
              </w:rPr>
              <w:t>,</w:t>
            </w:r>
            <w:r w:rsidRPr="00E5247E">
              <w:rPr>
                <w:rFonts w:ascii="Open Sans Light" w:eastAsia="Times New Roman" w:hAnsi="Open Sans Light" w:cs="Open Sans Light"/>
                <w:color w:val="000000"/>
                <w:sz w:val="16"/>
                <w:szCs w:val="16"/>
                <w:lang w:eastAsia="en-AU"/>
              </w:rPr>
              <w:t xml:space="preserve"> which increase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its capacity to raise payroll tax</w:t>
            </w:r>
            <w:r>
              <w:rPr>
                <w:rFonts w:ascii="Open Sans Light" w:eastAsia="Times New Roman" w:hAnsi="Open Sans Light" w:cs="Open Sans Light"/>
                <w:color w:val="000000"/>
                <w:sz w:val="16"/>
                <w:szCs w:val="16"/>
                <w:lang w:eastAsia="en-AU"/>
              </w:rPr>
              <w:t xml:space="preserve"> revenue</w:t>
            </w:r>
            <w:r w:rsidRPr="00E5247E">
              <w:rPr>
                <w:rFonts w:ascii="Open Sans Light" w:eastAsia="Times New Roman" w:hAnsi="Open Sans Light" w:cs="Open Sans Light"/>
                <w:color w:val="000000"/>
                <w:sz w:val="16"/>
                <w:szCs w:val="16"/>
                <w:lang w:eastAsia="en-AU"/>
              </w:rPr>
              <w:t>. This decrease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Queensland’s assessed GST needs.</w:t>
            </w:r>
          </w:p>
        </w:tc>
      </w:tr>
      <w:tr w:rsidR="003957CD" w:rsidRPr="00E5247E" w14:paraId="40D72E0E" w14:textId="77777777" w:rsidTr="00E51790">
        <w:trPr>
          <w:trHeight w:val="720"/>
        </w:trPr>
        <w:tc>
          <w:tcPr>
            <w:tcW w:w="2780" w:type="dxa"/>
            <w:tcBorders>
              <w:top w:val="single" w:sz="4" w:space="0" w:color="ADD6EA"/>
              <w:left w:val="nil"/>
              <w:bottom w:val="single" w:sz="4" w:space="0" w:color="ADD6EA"/>
              <w:right w:val="nil"/>
            </w:tcBorders>
            <w:shd w:val="clear" w:color="000000" w:fill="FFFFFF"/>
            <w:hideMark/>
          </w:tcPr>
          <w:p w14:paraId="6729A2ED"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Wage costs</w:t>
            </w:r>
          </w:p>
        </w:tc>
        <w:tc>
          <w:tcPr>
            <w:tcW w:w="720" w:type="dxa"/>
            <w:tcBorders>
              <w:top w:val="single" w:sz="4" w:space="0" w:color="ADD6EA"/>
              <w:left w:val="nil"/>
              <w:bottom w:val="nil"/>
              <w:right w:val="nil"/>
            </w:tcBorders>
            <w:shd w:val="clear" w:color="000000" w:fill="ADD6EA"/>
            <w:hideMark/>
          </w:tcPr>
          <w:p w14:paraId="435C41D4"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182</w:t>
            </w:r>
          </w:p>
        </w:tc>
        <w:tc>
          <w:tcPr>
            <w:tcW w:w="720" w:type="dxa"/>
            <w:tcBorders>
              <w:top w:val="single" w:sz="4" w:space="0" w:color="ADD6EA"/>
              <w:left w:val="nil"/>
              <w:bottom w:val="nil"/>
              <w:right w:val="nil"/>
            </w:tcBorders>
            <w:shd w:val="clear" w:color="000000" w:fill="ADD6EA"/>
            <w:hideMark/>
          </w:tcPr>
          <w:p w14:paraId="455632CA"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31</w:t>
            </w:r>
          </w:p>
        </w:tc>
        <w:tc>
          <w:tcPr>
            <w:tcW w:w="5040" w:type="dxa"/>
            <w:tcBorders>
              <w:top w:val="single" w:sz="4" w:space="0" w:color="ADD6EA"/>
              <w:left w:val="nil"/>
              <w:bottom w:val="nil"/>
              <w:right w:val="nil"/>
            </w:tcBorders>
            <w:shd w:val="clear" w:color="000000" w:fill="FFFFFF"/>
            <w:hideMark/>
          </w:tcPr>
          <w:p w14:paraId="16E741E2"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F47AF8">
              <w:rPr>
                <w:rFonts w:ascii="Open Sans Light" w:eastAsia="Times New Roman" w:hAnsi="Open Sans Light" w:cs="Open Sans Light"/>
                <w:color w:val="000000"/>
                <w:sz w:val="16"/>
                <w:szCs w:val="16"/>
                <w:lang w:eastAsia="en-AU"/>
              </w:rPr>
              <w:t>Wages in Queensland have been increasing faster than the national average in recent years</w:t>
            </w:r>
            <w:r>
              <w:rPr>
                <w:rFonts w:ascii="Open Sans Light" w:eastAsia="Times New Roman" w:hAnsi="Open Sans Light" w:cs="Open Sans Light"/>
                <w:color w:val="000000"/>
                <w:sz w:val="16"/>
                <w:szCs w:val="16"/>
                <w:lang w:eastAsia="en-AU"/>
              </w:rPr>
              <w:t xml:space="preserve">, </w:t>
            </w:r>
            <w:r w:rsidRPr="00F47AF8">
              <w:rPr>
                <w:rFonts w:ascii="Open Sans Light" w:eastAsia="Times New Roman" w:hAnsi="Open Sans Light" w:cs="Open Sans Light"/>
                <w:color w:val="000000"/>
                <w:sz w:val="16"/>
                <w:szCs w:val="16"/>
                <w:lang w:eastAsia="en-AU"/>
              </w:rPr>
              <w:t>increas</w:t>
            </w:r>
            <w:r>
              <w:rPr>
                <w:rFonts w:ascii="Open Sans Light" w:eastAsia="Times New Roman" w:hAnsi="Open Sans Light" w:cs="Open Sans Light"/>
                <w:color w:val="000000"/>
                <w:sz w:val="16"/>
                <w:szCs w:val="16"/>
                <w:lang w:eastAsia="en-AU"/>
              </w:rPr>
              <w:t>ing</w:t>
            </w:r>
            <w:r w:rsidRPr="00F47AF8">
              <w:rPr>
                <w:rFonts w:ascii="Open Sans Light" w:eastAsia="Times New Roman" w:hAnsi="Open Sans Light" w:cs="Open Sans Light"/>
                <w:color w:val="000000"/>
                <w:sz w:val="16"/>
                <w:szCs w:val="16"/>
                <w:lang w:eastAsia="en-AU"/>
              </w:rPr>
              <w:t xml:space="preserve"> its assessed GST needs.</w:t>
            </w:r>
          </w:p>
        </w:tc>
      </w:tr>
      <w:tr w:rsidR="003957CD" w:rsidRPr="00E5247E" w14:paraId="2C92EFAD" w14:textId="77777777" w:rsidTr="005E5652">
        <w:trPr>
          <w:trHeight w:val="910"/>
        </w:trPr>
        <w:tc>
          <w:tcPr>
            <w:tcW w:w="2780" w:type="dxa"/>
            <w:tcBorders>
              <w:top w:val="nil"/>
              <w:left w:val="nil"/>
              <w:bottom w:val="single" w:sz="4" w:space="0" w:color="ADD6EA"/>
              <w:right w:val="nil"/>
            </w:tcBorders>
            <w:shd w:val="clear" w:color="000000" w:fill="FFFFFF"/>
            <w:hideMark/>
          </w:tcPr>
          <w:p w14:paraId="1A0E9658" w14:textId="77777777"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 xml:space="preserve">Capital improvements in </w:t>
            </w:r>
            <w:r>
              <w:rPr>
                <w:rFonts w:ascii="Open Sans Light" w:eastAsia="Times New Roman" w:hAnsi="Open Sans Light" w:cs="Open Sans Light"/>
                <w:color w:val="000000"/>
                <w:sz w:val="16"/>
                <w:szCs w:val="16"/>
                <w:lang w:eastAsia="en-AU"/>
              </w:rPr>
              <w:t>u</w:t>
            </w:r>
            <w:r w:rsidRPr="00E5247E">
              <w:rPr>
                <w:rFonts w:ascii="Open Sans Light" w:eastAsia="Times New Roman" w:hAnsi="Open Sans Light" w:cs="Open Sans Light"/>
                <w:color w:val="000000"/>
                <w:sz w:val="16"/>
                <w:szCs w:val="16"/>
                <w:lang w:eastAsia="en-AU"/>
              </w:rPr>
              <w:t>rban transport</w:t>
            </w:r>
          </w:p>
        </w:tc>
        <w:tc>
          <w:tcPr>
            <w:tcW w:w="720" w:type="dxa"/>
            <w:tcBorders>
              <w:top w:val="nil"/>
              <w:left w:val="nil"/>
              <w:bottom w:val="single" w:sz="4" w:space="0" w:color="ADD6EA"/>
              <w:right w:val="nil"/>
            </w:tcBorders>
            <w:shd w:val="clear" w:color="000000" w:fill="ADD6EA"/>
            <w:hideMark/>
          </w:tcPr>
          <w:p w14:paraId="3CAA7DD8"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168</w:t>
            </w:r>
          </w:p>
        </w:tc>
        <w:tc>
          <w:tcPr>
            <w:tcW w:w="720" w:type="dxa"/>
            <w:tcBorders>
              <w:top w:val="nil"/>
              <w:left w:val="nil"/>
              <w:bottom w:val="single" w:sz="4" w:space="0" w:color="ADD6EA"/>
              <w:right w:val="nil"/>
            </w:tcBorders>
            <w:shd w:val="clear" w:color="000000" w:fill="ADD6EA"/>
            <w:hideMark/>
          </w:tcPr>
          <w:p w14:paraId="73AA9312" w14:textId="77777777" w:rsidR="003957CD" w:rsidRPr="00E5247E"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29</w:t>
            </w:r>
          </w:p>
        </w:tc>
        <w:tc>
          <w:tcPr>
            <w:tcW w:w="5040" w:type="dxa"/>
            <w:tcBorders>
              <w:top w:val="single" w:sz="4" w:space="0" w:color="ADD6EA"/>
              <w:left w:val="nil"/>
              <w:bottom w:val="single" w:sz="4" w:space="0" w:color="ADD6EA"/>
              <w:right w:val="nil"/>
            </w:tcBorders>
            <w:shd w:val="clear" w:color="000000" w:fill="FFFFFF"/>
            <w:hideMark/>
          </w:tcPr>
          <w:p w14:paraId="71D8FDF1" w14:textId="2B779081" w:rsidR="003957CD" w:rsidRPr="00E5247E"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E5247E">
              <w:rPr>
                <w:rFonts w:ascii="Open Sans Light" w:eastAsia="Times New Roman" w:hAnsi="Open Sans Light" w:cs="Open Sans Light"/>
                <w:color w:val="000000"/>
                <w:sz w:val="16"/>
                <w:szCs w:val="16"/>
                <w:lang w:eastAsia="en-AU"/>
              </w:rPr>
              <w:t>Investment in urban transport was around 19% lower in 2024–25 than in 2021–22. This increase</w:t>
            </w:r>
            <w:r>
              <w:rPr>
                <w:rFonts w:ascii="Open Sans Light" w:eastAsia="Times New Roman" w:hAnsi="Open Sans Light" w:cs="Open Sans Light"/>
                <w:color w:val="000000"/>
                <w:sz w:val="16"/>
                <w:szCs w:val="16"/>
                <w:lang w:eastAsia="en-AU"/>
              </w:rPr>
              <w:t>s</w:t>
            </w:r>
            <w:r w:rsidRPr="00E5247E">
              <w:rPr>
                <w:rFonts w:ascii="Open Sans Light" w:eastAsia="Times New Roman" w:hAnsi="Open Sans Light" w:cs="Open Sans Light"/>
                <w:color w:val="000000"/>
                <w:sz w:val="16"/>
                <w:szCs w:val="16"/>
                <w:lang w:eastAsia="en-AU"/>
              </w:rPr>
              <w:t xml:space="preserve"> assessed GST needs </w:t>
            </w:r>
            <w:r w:rsidR="002F31FE">
              <w:rPr>
                <w:rFonts w:ascii="Open Sans Light" w:eastAsia="Times New Roman" w:hAnsi="Open Sans Light" w:cs="Open Sans Light"/>
                <w:color w:val="000000"/>
                <w:sz w:val="16"/>
                <w:szCs w:val="16"/>
                <w:lang w:eastAsia="en-AU"/>
              </w:rPr>
              <w:t>of</w:t>
            </w:r>
            <w:r w:rsidR="002F31FE" w:rsidRPr="00E5247E">
              <w:rPr>
                <w:rFonts w:ascii="Open Sans Light" w:eastAsia="Times New Roman" w:hAnsi="Open Sans Light" w:cs="Open Sans Light"/>
                <w:color w:val="000000"/>
                <w:sz w:val="16"/>
                <w:szCs w:val="16"/>
                <w:lang w:eastAsia="en-AU"/>
              </w:rPr>
              <w:t xml:space="preserve"> </w:t>
            </w:r>
            <w:r w:rsidRPr="00E5247E">
              <w:rPr>
                <w:rFonts w:ascii="Open Sans Light" w:eastAsia="Times New Roman" w:hAnsi="Open Sans Light" w:cs="Open Sans Light"/>
                <w:color w:val="000000"/>
                <w:sz w:val="16"/>
                <w:szCs w:val="16"/>
                <w:lang w:eastAsia="en-AU"/>
              </w:rPr>
              <w:t xml:space="preserve">states with below-average urban transport investment needs, including Queensland. </w:t>
            </w:r>
          </w:p>
        </w:tc>
      </w:tr>
    </w:tbl>
    <w:p w14:paraId="1C0193B2" w14:textId="77777777" w:rsidR="003957CD" w:rsidRPr="00F47AF8" w:rsidRDefault="003957CD" w:rsidP="003957CD">
      <w:r w:rsidRPr="00F47AF8">
        <w:br w:type="page"/>
      </w:r>
    </w:p>
    <w:p w14:paraId="038BD0F6" w14:textId="77777777" w:rsidR="003957CD" w:rsidRPr="00F47AF8" w:rsidRDefault="003957CD" w:rsidP="003957CD">
      <w:pPr>
        <w:pStyle w:val="Heading2"/>
      </w:pPr>
      <w:r w:rsidRPr="00F47AF8">
        <w:lastRenderedPageBreak/>
        <w:t>Western</w:t>
      </w:r>
      <w:r>
        <w:t> </w:t>
      </w:r>
      <w:r w:rsidRPr="00F47AF8">
        <w:t>Australia</w:t>
      </w:r>
    </w:p>
    <w:p w14:paraId="25DC10CF" w14:textId="77777777" w:rsidR="003957CD" w:rsidRPr="00F47AF8" w:rsidRDefault="003957CD" w:rsidP="003957CD">
      <w:r w:rsidRPr="00F47AF8">
        <w:t xml:space="preserve">In </w:t>
      </w:r>
      <w:r w:rsidRPr="00637832">
        <w:t>2026</w:t>
      </w:r>
      <w:r>
        <w:rPr>
          <w:rFonts w:ascii="Times New Roman" w:hAnsi="Times New Roman" w:cs="Times New Roman"/>
        </w:rPr>
        <w:t>‍</w:t>
      </w:r>
      <w:r w:rsidRPr="00637832">
        <w:t>–</w:t>
      </w:r>
      <w:r>
        <w:rPr>
          <w:rFonts w:ascii="Times New Roman" w:hAnsi="Times New Roman" w:cs="Times New Roman"/>
        </w:rPr>
        <w:t>‍</w:t>
      </w:r>
      <w:r w:rsidRPr="00637832">
        <w:t>27</w:t>
      </w:r>
      <w:r w:rsidRPr="00F47AF8">
        <w:t>, Western</w:t>
      </w:r>
      <w:r>
        <w:t> </w:t>
      </w:r>
      <w:r w:rsidRPr="00F47AF8">
        <w:t>Australia’s GST distribution is estimated to increase by $1,3</w:t>
      </w:r>
      <w:r>
        <w:t>47 </w:t>
      </w:r>
      <w:r w:rsidRPr="00F47AF8">
        <w:t>million ($43</w:t>
      </w:r>
      <w:r>
        <w:t>1 </w:t>
      </w:r>
      <w:r w:rsidRPr="00F47AF8">
        <w:t>per</w:t>
      </w:r>
      <w:r>
        <w:t> </w:t>
      </w:r>
      <w:r w:rsidRPr="00F47AF8">
        <w:t xml:space="preserve">capita). </w:t>
      </w:r>
      <w:r>
        <w:t>Its assessed GST needs have increased by $717 million ($230 per capita) in 2026</w:t>
      </w:r>
      <w:r w:rsidRPr="00F47AF8">
        <w:t>–27</w:t>
      </w:r>
      <w:r>
        <w:t>.</w:t>
      </w:r>
    </w:p>
    <w:p w14:paraId="067DABD2" w14:textId="77777777" w:rsidR="003957CD" w:rsidRPr="00F47AF8" w:rsidRDefault="003957CD" w:rsidP="002F5ED5">
      <w:pPr>
        <w:pStyle w:val="CGCBulletPoints"/>
      </w:pPr>
      <w:r w:rsidRPr="00F47AF8">
        <w:t>Western</w:t>
      </w:r>
      <w:r>
        <w:t> </w:t>
      </w:r>
      <w:r w:rsidRPr="00F47AF8">
        <w:t xml:space="preserve">Australia’s assessed GST needs </w:t>
      </w:r>
      <w:r>
        <w:t xml:space="preserve">have </w:t>
      </w:r>
      <w:r w:rsidRPr="00F47AF8">
        <w:t>increased largely due to:</w:t>
      </w:r>
    </w:p>
    <w:p w14:paraId="1E3549DE" w14:textId="07A19648" w:rsidR="003957CD" w:rsidRPr="00F47AF8" w:rsidRDefault="003957CD" w:rsidP="002F5ED5">
      <w:pPr>
        <w:pStyle w:val="CGCBulletPoints-Level2"/>
      </w:pPr>
      <w:r w:rsidRPr="00F47AF8">
        <w:t>lower iron ore prices</w:t>
      </w:r>
      <w:r>
        <w:t>,</w:t>
      </w:r>
      <w:r w:rsidRPr="00F47AF8">
        <w:t xml:space="preserve"> </w:t>
      </w:r>
      <w:r>
        <w:t xml:space="preserve">which </w:t>
      </w:r>
      <w:r w:rsidRPr="00F47AF8">
        <w:t>decreas</w:t>
      </w:r>
      <w:r>
        <w:t>e</w:t>
      </w:r>
      <w:r w:rsidRPr="00F47AF8">
        <w:t xml:space="preserve"> </w:t>
      </w:r>
      <w:r>
        <w:t xml:space="preserve">its </w:t>
      </w:r>
      <w:r w:rsidRPr="00F47AF8">
        <w:t>capacity to raise revenue from iron ore royalties</w:t>
      </w:r>
    </w:p>
    <w:p w14:paraId="7D5F946C" w14:textId="3270EAD9" w:rsidR="003957CD" w:rsidRPr="00B4326F" w:rsidRDefault="003957CD" w:rsidP="002F5ED5">
      <w:pPr>
        <w:pStyle w:val="CGCBulletPoints-Level2"/>
      </w:pPr>
      <w:r w:rsidRPr="00B4326F">
        <w:t xml:space="preserve">lower COVID-19 expenses, noting </w:t>
      </w:r>
      <w:r>
        <w:t>Western Australia’s</w:t>
      </w:r>
      <w:r w:rsidRPr="00B4326F">
        <w:t xml:space="preserve"> below-average COVID-19 expenses</w:t>
      </w:r>
      <w:r w:rsidR="009D5717">
        <w:t>.</w:t>
      </w:r>
    </w:p>
    <w:p w14:paraId="56CDFE13" w14:textId="1A96CE35" w:rsidR="003957CD" w:rsidRPr="00F47AF8" w:rsidRDefault="003957CD" w:rsidP="002F5ED5">
      <w:pPr>
        <w:pStyle w:val="CGCBulletPoints"/>
      </w:pPr>
      <w:r>
        <w:t xml:space="preserve">This is partially </w:t>
      </w:r>
      <w:r w:rsidR="00470B71">
        <w:t>offset</w:t>
      </w:r>
      <w:r>
        <w:t xml:space="preserve"> by </w:t>
      </w:r>
      <w:r w:rsidRPr="00F47AF8">
        <w:t>above</w:t>
      </w:r>
      <w:r w:rsidRPr="00F47AF8">
        <w:noBreakHyphen/>
        <w:t>average growth in the value of property transfer</w:t>
      </w:r>
      <w:r w:rsidR="002615DC">
        <w:t>red</w:t>
      </w:r>
      <w:r>
        <w:t xml:space="preserve"> in Western Australia. This </w:t>
      </w:r>
      <w:r w:rsidRPr="00F47AF8">
        <w:t>increase</w:t>
      </w:r>
      <w:r>
        <w:t>s</w:t>
      </w:r>
      <w:r w:rsidRPr="00F47AF8">
        <w:t xml:space="preserve"> its relative capacity to raise revenue from stamp duties. Western Australia also receive</w:t>
      </w:r>
      <w:r>
        <w:t>d</w:t>
      </w:r>
      <w:r w:rsidRPr="00F47AF8">
        <w:t xml:space="preserve"> a greater share of Commonwealth payments in </w:t>
      </w:r>
      <w:r>
        <w:t>2024</w:t>
      </w:r>
      <w:r>
        <w:rPr>
          <w:rFonts w:ascii="Times New Roman" w:eastAsiaTheme="minorHAnsi" w:hAnsi="Times New Roman" w:cs="Times New Roman"/>
        </w:rPr>
        <w:t>‍</w:t>
      </w:r>
      <w:r w:rsidRPr="00637832">
        <w:rPr>
          <w:rFonts w:eastAsiaTheme="minorHAnsi" w:cstheme="minorBidi"/>
        </w:rPr>
        <w:t>–</w:t>
      </w:r>
      <w:r>
        <w:rPr>
          <w:rFonts w:ascii="Times New Roman" w:eastAsiaTheme="minorHAnsi" w:hAnsi="Times New Roman" w:cs="Times New Roman"/>
        </w:rPr>
        <w:t>‍</w:t>
      </w:r>
      <w:r>
        <w:t>25</w:t>
      </w:r>
      <w:r w:rsidRPr="00F47AF8">
        <w:t xml:space="preserve"> than in </w:t>
      </w:r>
      <w:r>
        <w:t>2021</w:t>
      </w:r>
      <w:r>
        <w:rPr>
          <w:rFonts w:ascii="Times New Roman" w:eastAsiaTheme="minorHAnsi" w:hAnsi="Times New Roman" w:cs="Times New Roman"/>
        </w:rPr>
        <w:t>‍</w:t>
      </w:r>
      <w:r w:rsidRPr="00637832">
        <w:rPr>
          <w:rFonts w:eastAsiaTheme="minorHAnsi" w:cstheme="minorBidi"/>
        </w:rPr>
        <w:t>–</w:t>
      </w:r>
      <w:r>
        <w:rPr>
          <w:rFonts w:ascii="Times New Roman" w:eastAsiaTheme="minorHAnsi" w:hAnsi="Times New Roman" w:cs="Times New Roman"/>
        </w:rPr>
        <w:t>‍</w:t>
      </w:r>
      <w:r>
        <w:t>22. Combined, these decrease its assessed GST needs</w:t>
      </w:r>
      <w:r w:rsidRPr="00F47AF8">
        <w:t>.</w:t>
      </w:r>
    </w:p>
    <w:p w14:paraId="37990F12" w14:textId="4594FB38" w:rsidR="003957CD" w:rsidRPr="00F47AF8" w:rsidRDefault="003957CD" w:rsidP="002F5ED5">
      <w:pPr>
        <w:pStyle w:val="CGCBulletPoints"/>
      </w:pPr>
      <w:r>
        <w:t>E</w:t>
      </w:r>
      <w:r w:rsidRPr="00F47AF8">
        <w:t>xpected growth in the GST pool contribute</w:t>
      </w:r>
      <w:r>
        <w:t>s</w:t>
      </w:r>
      <w:r w:rsidRPr="00F47AF8">
        <w:t xml:space="preserve"> to an increase in </w:t>
      </w:r>
      <w:r>
        <w:t>W</w:t>
      </w:r>
      <w:r w:rsidRPr="00F47AF8">
        <w:t>estern</w:t>
      </w:r>
      <w:r>
        <w:t xml:space="preserve"> </w:t>
      </w:r>
      <w:r w:rsidRPr="00F47AF8">
        <w:t>Australia’s GST distribution.</w:t>
      </w:r>
    </w:p>
    <w:p w14:paraId="05E3FC29" w14:textId="77777777" w:rsidR="003957CD" w:rsidRPr="004C7356" w:rsidRDefault="003957CD" w:rsidP="002F5ED5">
      <w:pPr>
        <w:pStyle w:val="CGCBulletPoints"/>
      </w:pPr>
      <w:r w:rsidRPr="004C7356">
        <w:t>In 202</w:t>
      </w:r>
      <w:r w:rsidRPr="00B0588B">
        <w:rPr>
          <w:rFonts w:eastAsiaTheme="minorHAnsi" w:cs="Times New Roman"/>
        </w:rPr>
        <w:t>5</w:t>
      </w:r>
      <w:r w:rsidRPr="004C7356">
        <w:rPr>
          <w:rFonts w:eastAsiaTheme="minorHAnsi" w:cstheme="minorBidi"/>
        </w:rPr>
        <w:t>–</w:t>
      </w:r>
      <w:r w:rsidRPr="004C7356">
        <w:rPr>
          <w:rFonts w:ascii="Times New Roman" w:eastAsiaTheme="minorHAnsi" w:hAnsi="Times New Roman" w:cs="Times New Roman"/>
        </w:rPr>
        <w:t>‍</w:t>
      </w:r>
      <w:r w:rsidRPr="004C7356">
        <w:t>26, Western Australia’s relativity was lifted to the floor (0.75). In 2026</w:t>
      </w:r>
      <w:r w:rsidRPr="004C7356">
        <w:rPr>
          <w:rFonts w:ascii="Times New Roman" w:eastAsiaTheme="minorHAnsi" w:hAnsi="Times New Roman" w:cs="Times New Roman"/>
        </w:rPr>
        <w:t>‍</w:t>
      </w:r>
      <w:r w:rsidRPr="004C7356">
        <w:rPr>
          <w:rFonts w:eastAsiaTheme="minorHAnsi" w:cstheme="minorBidi"/>
        </w:rPr>
        <w:t>–</w:t>
      </w:r>
      <w:r w:rsidRPr="004C7356">
        <w:rPr>
          <w:rFonts w:ascii="Times New Roman" w:eastAsiaTheme="minorHAnsi" w:hAnsi="Times New Roman" w:cs="Times New Roman"/>
        </w:rPr>
        <w:t>‍</w:t>
      </w:r>
      <w:r w:rsidRPr="004C7356">
        <w:t xml:space="preserve">27, it is lifted to the standard state (New South Wales, 0.82). The net impact of moving from 0.75 to 0.82 is $97 million. </w:t>
      </w:r>
    </w:p>
    <w:p w14:paraId="164D6379" w14:textId="77777777" w:rsidR="003957CD" w:rsidRPr="00F47AF8" w:rsidRDefault="003957CD" w:rsidP="00371E5F">
      <w:pPr>
        <w:pStyle w:val="CGC2025Caption"/>
        <w:ind w:left="1418" w:hanging="1418"/>
      </w:pPr>
      <w:r w:rsidRPr="00F47AF8">
        <w:t>Table 3-4</w:t>
      </w:r>
      <w:r w:rsidRPr="00F47AF8">
        <w:tab/>
        <w:t xml:space="preserve">Change in estimated GST distribution from </w:t>
      </w:r>
      <w:r w:rsidRPr="00F64DDF">
        <w:t>2025</w:t>
      </w:r>
      <w:r>
        <w:rPr>
          <w:rFonts w:ascii="Times New Roman" w:hAnsi="Times New Roman" w:cs="Times New Roman"/>
        </w:rPr>
        <w:t>‍</w:t>
      </w:r>
      <w:r w:rsidRPr="00F64DDF">
        <w:t>–</w:t>
      </w:r>
      <w:r>
        <w:rPr>
          <w:rFonts w:ascii="Times New Roman" w:hAnsi="Times New Roman" w:cs="Times New Roman"/>
        </w:rPr>
        <w:t>‍</w:t>
      </w:r>
      <w:r w:rsidRPr="00F64DDF">
        <w:t>26</w:t>
      </w:r>
      <w:r w:rsidRPr="00F47AF8">
        <w:t xml:space="preserve"> to </w:t>
      </w:r>
      <w:r w:rsidRPr="00F64DDF">
        <w:t>2026</w:t>
      </w:r>
      <w:r>
        <w:rPr>
          <w:rFonts w:ascii="Times New Roman" w:hAnsi="Times New Roman" w:cs="Times New Roman"/>
        </w:rPr>
        <w:t>‍</w:t>
      </w:r>
      <w:r w:rsidRPr="00F64DDF">
        <w:t>–</w:t>
      </w:r>
      <w:r>
        <w:rPr>
          <w:rFonts w:ascii="Times New Roman" w:hAnsi="Times New Roman" w:cs="Times New Roman"/>
        </w:rPr>
        <w:t>‍</w:t>
      </w:r>
      <w:r w:rsidRPr="00F64DDF">
        <w:t>27</w:t>
      </w:r>
      <w:r w:rsidRPr="00F47AF8">
        <w:t>, Western Australia (excludes no worse off payments)</w:t>
      </w:r>
    </w:p>
    <w:tbl>
      <w:tblPr>
        <w:tblW w:w="9360" w:type="dxa"/>
        <w:tblLook w:val="04A0" w:firstRow="1" w:lastRow="0" w:firstColumn="1" w:lastColumn="0" w:noHBand="0" w:noVBand="1"/>
      </w:tblPr>
      <w:tblGrid>
        <w:gridCol w:w="4240"/>
        <w:gridCol w:w="2560"/>
        <w:gridCol w:w="2560"/>
      </w:tblGrid>
      <w:tr w:rsidR="003957CD" w:rsidRPr="001A59D1" w14:paraId="4CBB60D4" w14:textId="77777777" w:rsidTr="00E51790">
        <w:trPr>
          <w:trHeight w:val="290"/>
        </w:trPr>
        <w:tc>
          <w:tcPr>
            <w:tcW w:w="4240" w:type="dxa"/>
            <w:tcBorders>
              <w:top w:val="nil"/>
              <w:left w:val="nil"/>
              <w:bottom w:val="single" w:sz="4" w:space="0" w:color="ADD6EA"/>
              <w:right w:val="nil"/>
            </w:tcBorders>
            <w:shd w:val="clear" w:color="000000" w:fill="006991"/>
            <w:noWrap/>
            <w:vAlign w:val="center"/>
            <w:hideMark/>
          </w:tcPr>
          <w:p w14:paraId="31EDE3BD"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 </w:t>
            </w:r>
          </w:p>
        </w:tc>
        <w:tc>
          <w:tcPr>
            <w:tcW w:w="2560" w:type="dxa"/>
            <w:tcBorders>
              <w:top w:val="nil"/>
              <w:left w:val="nil"/>
              <w:bottom w:val="single" w:sz="4" w:space="0" w:color="ADD6EA"/>
              <w:right w:val="nil"/>
            </w:tcBorders>
            <w:shd w:val="clear" w:color="000000" w:fill="006991"/>
            <w:noWrap/>
            <w:vAlign w:val="center"/>
            <w:hideMark/>
          </w:tcPr>
          <w:p w14:paraId="0E4687C7"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$m</w:t>
            </w:r>
          </w:p>
        </w:tc>
        <w:tc>
          <w:tcPr>
            <w:tcW w:w="2560" w:type="dxa"/>
            <w:tcBorders>
              <w:top w:val="nil"/>
              <w:left w:val="nil"/>
              <w:bottom w:val="single" w:sz="4" w:space="0" w:color="ADD6EA"/>
              <w:right w:val="nil"/>
            </w:tcBorders>
            <w:shd w:val="clear" w:color="000000" w:fill="006991"/>
            <w:noWrap/>
            <w:vAlign w:val="center"/>
            <w:hideMark/>
          </w:tcPr>
          <w:p w14:paraId="42D3A706"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$pc</w:t>
            </w:r>
          </w:p>
        </w:tc>
      </w:tr>
      <w:tr w:rsidR="003957CD" w:rsidRPr="001A59D1" w14:paraId="0313469A" w14:textId="77777777" w:rsidTr="00E51790">
        <w:trPr>
          <w:trHeight w:val="290"/>
        </w:trPr>
        <w:tc>
          <w:tcPr>
            <w:tcW w:w="4240" w:type="dxa"/>
            <w:tcBorders>
              <w:top w:val="nil"/>
              <w:left w:val="nil"/>
              <w:bottom w:val="single" w:sz="4" w:space="0" w:color="ADD6EA"/>
              <w:right w:val="nil"/>
            </w:tcBorders>
            <w:noWrap/>
            <w:vAlign w:val="center"/>
            <w:hideMark/>
          </w:tcPr>
          <w:p w14:paraId="4B7E8214"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Change in </w:t>
            </w:r>
            <w:r w:rsidRPr="001A59D1">
              <w:rPr>
                <w:rFonts w:ascii="Open Sans Light" w:eastAsia="Times New Roman" w:hAnsi="Open Sans Light" w:cs="Open Sans Light"/>
                <w:color w:val="000000"/>
                <w:sz w:val="16"/>
                <w:szCs w:val="16"/>
                <w:lang w:eastAsia="en-AU"/>
              </w:rPr>
              <w:t>population</w:t>
            </w:r>
          </w:p>
        </w:tc>
        <w:tc>
          <w:tcPr>
            <w:tcW w:w="2560" w:type="dxa"/>
            <w:tcBorders>
              <w:top w:val="nil"/>
              <w:left w:val="nil"/>
              <w:bottom w:val="single" w:sz="4" w:space="0" w:color="ADD6EA"/>
              <w:right w:val="nil"/>
            </w:tcBorders>
            <w:noWrap/>
            <w:vAlign w:val="center"/>
            <w:hideMark/>
          </w:tcPr>
          <w:p w14:paraId="4F5103AB"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37</w:t>
            </w:r>
          </w:p>
        </w:tc>
        <w:tc>
          <w:tcPr>
            <w:tcW w:w="2560" w:type="dxa"/>
            <w:tcBorders>
              <w:top w:val="nil"/>
              <w:left w:val="nil"/>
              <w:bottom w:val="single" w:sz="4" w:space="0" w:color="ADD6EA"/>
              <w:right w:val="nil"/>
            </w:tcBorders>
            <w:noWrap/>
            <w:vAlign w:val="center"/>
            <w:hideMark/>
          </w:tcPr>
          <w:p w14:paraId="72069F1E"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12</w:t>
            </w:r>
          </w:p>
        </w:tc>
      </w:tr>
      <w:tr w:rsidR="003957CD" w:rsidRPr="001A59D1" w14:paraId="3756FE91" w14:textId="77777777" w:rsidTr="00E51790">
        <w:trPr>
          <w:trHeight w:val="290"/>
        </w:trPr>
        <w:tc>
          <w:tcPr>
            <w:tcW w:w="4240" w:type="dxa"/>
            <w:tcBorders>
              <w:top w:val="nil"/>
              <w:left w:val="nil"/>
              <w:bottom w:val="single" w:sz="4" w:space="0" w:color="ADD6EA"/>
              <w:right w:val="nil"/>
            </w:tcBorders>
            <w:noWrap/>
            <w:vAlign w:val="center"/>
            <w:hideMark/>
          </w:tcPr>
          <w:p w14:paraId="1588296F"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Growth in GST pool </w:t>
            </w:r>
          </w:p>
        </w:tc>
        <w:tc>
          <w:tcPr>
            <w:tcW w:w="2560" w:type="dxa"/>
            <w:tcBorders>
              <w:top w:val="nil"/>
              <w:left w:val="nil"/>
              <w:bottom w:val="single" w:sz="4" w:space="0" w:color="ADD6EA"/>
              <w:right w:val="nil"/>
            </w:tcBorders>
            <w:noWrap/>
            <w:vAlign w:val="center"/>
            <w:hideMark/>
          </w:tcPr>
          <w:p w14:paraId="23AA569A"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496</w:t>
            </w:r>
          </w:p>
        </w:tc>
        <w:tc>
          <w:tcPr>
            <w:tcW w:w="2560" w:type="dxa"/>
            <w:tcBorders>
              <w:top w:val="nil"/>
              <w:left w:val="nil"/>
              <w:bottom w:val="single" w:sz="4" w:space="0" w:color="ADD6EA"/>
              <w:right w:val="nil"/>
            </w:tcBorders>
            <w:noWrap/>
            <w:vAlign w:val="center"/>
            <w:hideMark/>
          </w:tcPr>
          <w:p w14:paraId="58C9232B"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159</w:t>
            </w:r>
          </w:p>
        </w:tc>
      </w:tr>
      <w:tr w:rsidR="003957CD" w:rsidRPr="001A59D1" w14:paraId="116F0BD9" w14:textId="77777777" w:rsidTr="00E51790">
        <w:trPr>
          <w:trHeight w:val="290"/>
        </w:trPr>
        <w:tc>
          <w:tcPr>
            <w:tcW w:w="4240" w:type="dxa"/>
            <w:tcBorders>
              <w:top w:val="nil"/>
              <w:left w:val="nil"/>
              <w:bottom w:val="single" w:sz="4" w:space="0" w:color="ADD6EA"/>
              <w:right w:val="nil"/>
            </w:tcBorders>
            <w:noWrap/>
            <w:vAlign w:val="center"/>
            <w:hideMark/>
          </w:tcPr>
          <w:p w14:paraId="1F70C144" w14:textId="442B4F0F"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Changes in assessed </w:t>
            </w:r>
            <w:r w:rsidR="001169A0">
              <w:rPr>
                <w:rFonts w:ascii="Open Sans Light" w:eastAsia="Times New Roman" w:hAnsi="Open Sans Light" w:cs="Open Sans Light"/>
                <w:sz w:val="16"/>
                <w:szCs w:val="16"/>
                <w:lang w:eastAsia="en-AU"/>
              </w:rPr>
              <w:t>GST</w:t>
            </w:r>
            <w:r w:rsidRPr="001A59D1">
              <w:rPr>
                <w:rFonts w:ascii="Open Sans Light" w:eastAsia="Times New Roman" w:hAnsi="Open Sans Light" w:cs="Open Sans Light"/>
                <w:sz w:val="16"/>
                <w:szCs w:val="16"/>
                <w:lang w:eastAsia="en-AU"/>
              </w:rPr>
              <w:t xml:space="preserve"> needs</w:t>
            </w:r>
          </w:p>
        </w:tc>
        <w:tc>
          <w:tcPr>
            <w:tcW w:w="2560" w:type="dxa"/>
            <w:tcBorders>
              <w:top w:val="nil"/>
              <w:left w:val="nil"/>
              <w:bottom w:val="single" w:sz="4" w:space="0" w:color="ADD6EA"/>
              <w:right w:val="nil"/>
            </w:tcBorders>
            <w:noWrap/>
            <w:vAlign w:val="center"/>
            <w:hideMark/>
          </w:tcPr>
          <w:p w14:paraId="43B31735"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w:t>
            </w:r>
          </w:p>
        </w:tc>
        <w:tc>
          <w:tcPr>
            <w:tcW w:w="2560" w:type="dxa"/>
            <w:tcBorders>
              <w:top w:val="nil"/>
              <w:left w:val="nil"/>
              <w:bottom w:val="single" w:sz="4" w:space="0" w:color="ADD6EA"/>
              <w:right w:val="nil"/>
            </w:tcBorders>
            <w:noWrap/>
            <w:vAlign w:val="center"/>
            <w:hideMark/>
          </w:tcPr>
          <w:p w14:paraId="488E2D5C"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w:t>
            </w:r>
          </w:p>
        </w:tc>
      </w:tr>
      <w:tr w:rsidR="003957CD" w:rsidRPr="001A59D1" w14:paraId="58011305" w14:textId="77777777" w:rsidTr="00E51790">
        <w:trPr>
          <w:trHeight w:val="290"/>
        </w:trPr>
        <w:tc>
          <w:tcPr>
            <w:tcW w:w="4240" w:type="dxa"/>
            <w:tcBorders>
              <w:top w:val="nil"/>
              <w:left w:val="nil"/>
              <w:bottom w:val="single" w:sz="4" w:space="0" w:color="ADD6EA"/>
              <w:right w:val="nil"/>
            </w:tcBorders>
            <w:noWrap/>
            <w:vAlign w:val="center"/>
            <w:hideMark/>
          </w:tcPr>
          <w:p w14:paraId="6C264D1C"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Method changes</w:t>
            </w:r>
          </w:p>
        </w:tc>
        <w:tc>
          <w:tcPr>
            <w:tcW w:w="2560" w:type="dxa"/>
            <w:tcBorders>
              <w:top w:val="nil"/>
              <w:left w:val="nil"/>
              <w:bottom w:val="single" w:sz="4" w:space="0" w:color="ADD6EA"/>
              <w:right w:val="nil"/>
            </w:tcBorders>
            <w:noWrap/>
            <w:vAlign w:val="center"/>
            <w:hideMark/>
          </w:tcPr>
          <w:p w14:paraId="14691DBD"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-63</w:t>
            </w:r>
          </w:p>
        </w:tc>
        <w:tc>
          <w:tcPr>
            <w:tcW w:w="2560" w:type="dxa"/>
            <w:tcBorders>
              <w:top w:val="nil"/>
              <w:left w:val="nil"/>
              <w:bottom w:val="single" w:sz="4" w:space="0" w:color="ADD6EA"/>
              <w:right w:val="nil"/>
            </w:tcBorders>
            <w:noWrap/>
            <w:vAlign w:val="center"/>
            <w:hideMark/>
          </w:tcPr>
          <w:p w14:paraId="1FA6AB29"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-20</w:t>
            </w:r>
          </w:p>
        </w:tc>
      </w:tr>
      <w:tr w:rsidR="003957CD" w:rsidRPr="001A59D1" w14:paraId="6DDBEB6A" w14:textId="77777777" w:rsidTr="00E51790">
        <w:trPr>
          <w:trHeight w:val="290"/>
        </w:trPr>
        <w:tc>
          <w:tcPr>
            <w:tcW w:w="4240" w:type="dxa"/>
            <w:tcBorders>
              <w:top w:val="nil"/>
              <w:left w:val="nil"/>
              <w:bottom w:val="single" w:sz="4" w:space="0" w:color="ADD6EA"/>
              <w:right w:val="nil"/>
            </w:tcBorders>
            <w:noWrap/>
            <w:vAlign w:val="center"/>
            <w:hideMark/>
          </w:tcPr>
          <w:p w14:paraId="3C437976"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Data revisions</w:t>
            </w:r>
          </w:p>
        </w:tc>
        <w:tc>
          <w:tcPr>
            <w:tcW w:w="2560" w:type="dxa"/>
            <w:tcBorders>
              <w:top w:val="nil"/>
              <w:left w:val="nil"/>
              <w:bottom w:val="single" w:sz="4" w:space="0" w:color="ADD6EA"/>
              <w:right w:val="nil"/>
            </w:tcBorders>
            <w:noWrap/>
            <w:vAlign w:val="center"/>
            <w:hideMark/>
          </w:tcPr>
          <w:p w14:paraId="03978B1F"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-141</w:t>
            </w:r>
          </w:p>
        </w:tc>
        <w:tc>
          <w:tcPr>
            <w:tcW w:w="2560" w:type="dxa"/>
            <w:tcBorders>
              <w:top w:val="nil"/>
              <w:left w:val="nil"/>
              <w:bottom w:val="single" w:sz="4" w:space="0" w:color="ADD6EA"/>
              <w:right w:val="nil"/>
            </w:tcBorders>
            <w:noWrap/>
            <w:vAlign w:val="center"/>
            <w:hideMark/>
          </w:tcPr>
          <w:p w14:paraId="67C0E346"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-45</w:t>
            </w:r>
          </w:p>
        </w:tc>
      </w:tr>
      <w:tr w:rsidR="003957CD" w:rsidRPr="001A59D1" w14:paraId="24932476" w14:textId="77777777" w:rsidTr="00E51790">
        <w:trPr>
          <w:trHeight w:val="290"/>
        </w:trPr>
        <w:tc>
          <w:tcPr>
            <w:tcW w:w="4240" w:type="dxa"/>
            <w:tcBorders>
              <w:top w:val="nil"/>
              <w:left w:val="nil"/>
              <w:bottom w:val="single" w:sz="4" w:space="0" w:color="ADD6EA"/>
              <w:right w:val="nil"/>
            </w:tcBorders>
            <w:noWrap/>
            <w:vAlign w:val="center"/>
            <w:hideMark/>
          </w:tcPr>
          <w:p w14:paraId="28E32C6F"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State circumstances</w:t>
            </w:r>
          </w:p>
        </w:tc>
        <w:tc>
          <w:tcPr>
            <w:tcW w:w="2560" w:type="dxa"/>
            <w:tcBorders>
              <w:top w:val="nil"/>
              <w:left w:val="nil"/>
              <w:bottom w:val="single" w:sz="4" w:space="0" w:color="ADD6EA"/>
              <w:right w:val="nil"/>
            </w:tcBorders>
            <w:noWrap/>
            <w:vAlign w:val="center"/>
            <w:hideMark/>
          </w:tcPr>
          <w:p w14:paraId="2E2C5998"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921</w:t>
            </w:r>
          </w:p>
        </w:tc>
        <w:tc>
          <w:tcPr>
            <w:tcW w:w="2560" w:type="dxa"/>
            <w:tcBorders>
              <w:top w:val="nil"/>
              <w:left w:val="nil"/>
              <w:bottom w:val="single" w:sz="4" w:space="0" w:color="ADD6EA"/>
              <w:right w:val="nil"/>
            </w:tcBorders>
            <w:noWrap/>
            <w:vAlign w:val="center"/>
            <w:hideMark/>
          </w:tcPr>
          <w:p w14:paraId="7675E9B1"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295</w:t>
            </w:r>
          </w:p>
        </w:tc>
      </w:tr>
      <w:tr w:rsidR="003957CD" w:rsidRPr="001A59D1" w14:paraId="0FD8F589" w14:textId="77777777" w:rsidTr="00E51790">
        <w:trPr>
          <w:trHeight w:val="290"/>
        </w:trPr>
        <w:tc>
          <w:tcPr>
            <w:tcW w:w="4240" w:type="dxa"/>
            <w:tcBorders>
              <w:top w:val="nil"/>
              <w:left w:val="nil"/>
              <w:bottom w:val="single" w:sz="4" w:space="0" w:color="ADD6EA"/>
              <w:right w:val="nil"/>
            </w:tcBorders>
            <w:noWrap/>
            <w:vAlign w:val="center"/>
            <w:hideMark/>
          </w:tcPr>
          <w:p w14:paraId="3BEA91C4"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Total</w:t>
            </w:r>
          </w:p>
        </w:tc>
        <w:tc>
          <w:tcPr>
            <w:tcW w:w="2560" w:type="dxa"/>
            <w:tcBorders>
              <w:top w:val="nil"/>
              <w:left w:val="nil"/>
              <w:bottom w:val="single" w:sz="4" w:space="0" w:color="ADD6EA"/>
              <w:right w:val="nil"/>
            </w:tcBorders>
            <w:noWrap/>
            <w:vAlign w:val="center"/>
            <w:hideMark/>
          </w:tcPr>
          <w:p w14:paraId="30E6F04F"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717</w:t>
            </w:r>
          </w:p>
        </w:tc>
        <w:tc>
          <w:tcPr>
            <w:tcW w:w="2560" w:type="dxa"/>
            <w:tcBorders>
              <w:top w:val="nil"/>
              <w:left w:val="nil"/>
              <w:bottom w:val="single" w:sz="4" w:space="0" w:color="ADD6EA"/>
              <w:right w:val="nil"/>
            </w:tcBorders>
            <w:noWrap/>
            <w:vAlign w:val="center"/>
            <w:hideMark/>
          </w:tcPr>
          <w:p w14:paraId="269DD3F4"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230</w:t>
            </w:r>
          </w:p>
        </w:tc>
      </w:tr>
      <w:tr w:rsidR="003957CD" w:rsidRPr="001A59D1" w14:paraId="331A447B" w14:textId="77777777" w:rsidTr="00E51790">
        <w:trPr>
          <w:trHeight w:val="290"/>
        </w:trPr>
        <w:tc>
          <w:tcPr>
            <w:tcW w:w="4240" w:type="dxa"/>
            <w:tcBorders>
              <w:top w:val="nil"/>
              <w:left w:val="nil"/>
              <w:bottom w:val="single" w:sz="4" w:space="0" w:color="ADD6EA"/>
              <w:right w:val="nil"/>
            </w:tcBorders>
            <w:noWrap/>
            <w:vAlign w:val="center"/>
            <w:hideMark/>
          </w:tcPr>
          <w:p w14:paraId="11503D99"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2018 legislated changes to determining relativities</w:t>
            </w:r>
          </w:p>
        </w:tc>
        <w:tc>
          <w:tcPr>
            <w:tcW w:w="2560" w:type="dxa"/>
            <w:tcBorders>
              <w:top w:val="nil"/>
              <w:left w:val="nil"/>
              <w:bottom w:val="single" w:sz="4" w:space="0" w:color="ADD6EA"/>
              <w:right w:val="nil"/>
            </w:tcBorders>
            <w:noWrap/>
            <w:vAlign w:val="center"/>
            <w:hideMark/>
          </w:tcPr>
          <w:p w14:paraId="4E57CC3B"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97</w:t>
            </w:r>
          </w:p>
        </w:tc>
        <w:tc>
          <w:tcPr>
            <w:tcW w:w="2560" w:type="dxa"/>
            <w:tcBorders>
              <w:top w:val="nil"/>
              <w:left w:val="nil"/>
              <w:bottom w:val="single" w:sz="4" w:space="0" w:color="ADD6EA"/>
              <w:right w:val="nil"/>
            </w:tcBorders>
            <w:noWrap/>
            <w:vAlign w:val="center"/>
            <w:hideMark/>
          </w:tcPr>
          <w:p w14:paraId="1942CF60"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31</w:t>
            </w:r>
          </w:p>
        </w:tc>
      </w:tr>
      <w:tr w:rsidR="003957CD" w:rsidRPr="001A59D1" w14:paraId="05B6B832" w14:textId="77777777" w:rsidTr="00E51790">
        <w:trPr>
          <w:trHeight w:val="290"/>
        </w:trPr>
        <w:tc>
          <w:tcPr>
            <w:tcW w:w="4240" w:type="dxa"/>
            <w:tcBorders>
              <w:top w:val="nil"/>
              <w:left w:val="nil"/>
              <w:bottom w:val="single" w:sz="4" w:space="0" w:color="ADD6EA"/>
              <w:right w:val="nil"/>
            </w:tcBorders>
            <w:shd w:val="clear" w:color="000000" w:fill="D6E7F0"/>
            <w:noWrap/>
            <w:vAlign w:val="center"/>
            <w:hideMark/>
          </w:tcPr>
          <w:p w14:paraId="11C1FBC7" w14:textId="77777777" w:rsidR="003957CD" w:rsidRPr="001A59D1"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Total change</w:t>
            </w:r>
          </w:p>
        </w:tc>
        <w:tc>
          <w:tcPr>
            <w:tcW w:w="2560" w:type="dxa"/>
            <w:tcBorders>
              <w:top w:val="nil"/>
              <w:left w:val="nil"/>
              <w:bottom w:val="single" w:sz="4" w:space="0" w:color="ADD6EA"/>
              <w:right w:val="nil"/>
            </w:tcBorders>
            <w:shd w:val="clear" w:color="000000" w:fill="D6E7F0"/>
            <w:noWrap/>
            <w:vAlign w:val="center"/>
            <w:hideMark/>
          </w:tcPr>
          <w:p w14:paraId="59E4B3A5"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1,347</w:t>
            </w:r>
          </w:p>
        </w:tc>
        <w:tc>
          <w:tcPr>
            <w:tcW w:w="2560" w:type="dxa"/>
            <w:tcBorders>
              <w:top w:val="nil"/>
              <w:left w:val="nil"/>
              <w:bottom w:val="single" w:sz="4" w:space="0" w:color="ADD6EA"/>
              <w:right w:val="nil"/>
            </w:tcBorders>
            <w:shd w:val="clear" w:color="000000" w:fill="D6E7F0"/>
            <w:noWrap/>
            <w:vAlign w:val="center"/>
            <w:hideMark/>
          </w:tcPr>
          <w:p w14:paraId="35CC9D2E"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431</w:t>
            </w:r>
          </w:p>
        </w:tc>
      </w:tr>
    </w:tbl>
    <w:p w14:paraId="4DC4F868" w14:textId="77777777" w:rsidR="003957CD" w:rsidRPr="00F47AF8" w:rsidRDefault="003957CD" w:rsidP="003957CD">
      <w:pPr>
        <w:tabs>
          <w:tab w:val="clear" w:pos="567"/>
        </w:tabs>
        <w:spacing w:before="0" w:line="240" w:lineRule="auto"/>
        <w:rPr>
          <w:rFonts w:ascii="Open Sans Light" w:eastAsia="Times New Roman" w:hAnsi="Open Sans Light" w:cs="Times New Roman"/>
          <w:szCs w:val="20"/>
        </w:rPr>
      </w:pPr>
    </w:p>
    <w:p w14:paraId="187A87FF" w14:textId="77777777" w:rsidR="003957CD" w:rsidRPr="00F47AF8" w:rsidRDefault="003957CD" w:rsidP="003957CD">
      <w:pPr>
        <w:tabs>
          <w:tab w:val="clear" w:pos="567"/>
        </w:tabs>
        <w:spacing w:before="0" w:line="240" w:lineRule="auto"/>
        <w:rPr>
          <w:rFonts w:ascii="Open Sans Light" w:eastAsia="Times New Roman" w:hAnsi="Open Sans Light" w:cs="Times New Roman"/>
          <w:szCs w:val="20"/>
        </w:rPr>
      </w:pPr>
      <w:r w:rsidRPr="00F47AF8">
        <w:rPr>
          <w:rFonts w:ascii="Open Sans Light" w:eastAsia="Times New Roman" w:hAnsi="Open Sans Light" w:cs="Times New Roman"/>
          <w:szCs w:val="20"/>
        </w:rPr>
        <w:br w:type="page"/>
      </w:r>
    </w:p>
    <w:p w14:paraId="2FC00FCA" w14:textId="77777777" w:rsidR="003957CD" w:rsidRPr="00F47AF8" w:rsidRDefault="003957CD" w:rsidP="00371E5F">
      <w:pPr>
        <w:pStyle w:val="CGC2025Caption"/>
        <w:ind w:left="1418" w:hanging="1418"/>
      </w:pPr>
      <w:r w:rsidRPr="00F47AF8">
        <w:lastRenderedPageBreak/>
        <w:t>Figure 3-4</w:t>
      </w:r>
      <w:r w:rsidRPr="00F47AF8">
        <w:tab/>
        <w:t>Western</w:t>
      </w:r>
      <w:r>
        <w:t> </w:t>
      </w:r>
      <w:r w:rsidRPr="00F47AF8">
        <w:t>Australia: main changes in assessed GST needs, 2026</w:t>
      </w:r>
      <w:r w:rsidRPr="00BA42D7">
        <w:t>–</w:t>
      </w:r>
      <w:r>
        <w:t>27 relativities</w:t>
      </w:r>
    </w:p>
    <w:tbl>
      <w:tblPr>
        <w:tblW w:w="9260" w:type="dxa"/>
        <w:tblLook w:val="04A0" w:firstRow="1" w:lastRow="0" w:firstColumn="1" w:lastColumn="0" w:noHBand="0" w:noVBand="1"/>
      </w:tblPr>
      <w:tblGrid>
        <w:gridCol w:w="2780"/>
        <w:gridCol w:w="720"/>
        <w:gridCol w:w="720"/>
        <w:gridCol w:w="5040"/>
      </w:tblGrid>
      <w:tr w:rsidR="003957CD" w:rsidRPr="002D2556" w14:paraId="5710AAB8" w14:textId="77777777" w:rsidTr="00E51790">
        <w:trPr>
          <w:trHeight w:val="290"/>
        </w:trPr>
        <w:tc>
          <w:tcPr>
            <w:tcW w:w="9260" w:type="dxa"/>
            <w:gridSpan w:val="4"/>
            <w:tcBorders>
              <w:top w:val="nil"/>
              <w:left w:val="nil"/>
              <w:bottom w:val="nil"/>
              <w:right w:val="nil"/>
            </w:tcBorders>
            <w:shd w:val="clear" w:color="000000" w:fill="006991"/>
            <w:vAlign w:val="center"/>
            <w:hideMark/>
          </w:tcPr>
          <w:p w14:paraId="762A7D2A"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2D2556">
              <w:rPr>
                <w:rFonts w:ascii="Open Sans Semibold" w:eastAsia="Times New Roman" w:hAnsi="Open Sans Semibold" w:cs="Open Sans Semibold"/>
                <w:color w:val="FFFFFF"/>
                <w:sz w:val="16"/>
                <w:szCs w:val="16"/>
                <w:lang w:eastAsia="en-AU"/>
              </w:rPr>
              <w:t>Revisions</w:t>
            </w:r>
          </w:p>
        </w:tc>
      </w:tr>
      <w:tr w:rsidR="003957CD" w:rsidRPr="002D2556" w14:paraId="6CF20F57" w14:textId="77777777" w:rsidTr="00E51790">
        <w:trPr>
          <w:trHeight w:val="290"/>
        </w:trPr>
        <w:tc>
          <w:tcPr>
            <w:tcW w:w="2780" w:type="dxa"/>
            <w:tcBorders>
              <w:top w:val="single" w:sz="4" w:space="0" w:color="ADD6EA"/>
              <w:left w:val="nil"/>
              <w:bottom w:val="nil"/>
              <w:right w:val="nil"/>
            </w:tcBorders>
            <w:shd w:val="clear" w:color="000000" w:fill="D6E7F0"/>
            <w:hideMark/>
          </w:tcPr>
          <w:p w14:paraId="3572356D"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7978759B" w14:textId="77777777" w:rsidR="003957CD" w:rsidRPr="002D2556"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1D44A170"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Explanation</w:t>
            </w:r>
          </w:p>
        </w:tc>
      </w:tr>
      <w:tr w:rsidR="003957CD" w:rsidRPr="002D2556" w14:paraId="2DBC759A" w14:textId="77777777" w:rsidTr="00E51790">
        <w:trPr>
          <w:trHeight w:val="290"/>
        </w:trPr>
        <w:tc>
          <w:tcPr>
            <w:tcW w:w="2780" w:type="dxa"/>
            <w:tcBorders>
              <w:top w:val="single" w:sz="4" w:space="0" w:color="ADD6EA"/>
              <w:left w:val="nil"/>
              <w:bottom w:val="nil"/>
              <w:right w:val="nil"/>
            </w:tcBorders>
            <w:shd w:val="clear" w:color="000000" w:fill="B6D5E4"/>
            <w:hideMark/>
          </w:tcPr>
          <w:p w14:paraId="1D436BA7"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3E85A0A3" w14:textId="77777777" w:rsidR="003957CD" w:rsidRPr="002D2556"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2770652F" w14:textId="77777777" w:rsidR="003957CD" w:rsidRPr="002D2556"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1DE678FE"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 </w:t>
            </w:r>
          </w:p>
        </w:tc>
      </w:tr>
      <w:tr w:rsidR="003957CD" w:rsidRPr="002D2556" w14:paraId="366E107A" w14:textId="77777777" w:rsidTr="005E5652">
        <w:trPr>
          <w:trHeight w:val="1134"/>
        </w:trPr>
        <w:tc>
          <w:tcPr>
            <w:tcW w:w="2780" w:type="dxa"/>
            <w:tcBorders>
              <w:top w:val="single" w:sz="4" w:space="0" w:color="ADD6EA"/>
              <w:left w:val="nil"/>
              <w:bottom w:val="nil"/>
              <w:right w:val="nil"/>
            </w:tcBorders>
            <w:shd w:val="clear" w:color="000000" w:fill="FFFFFF"/>
            <w:hideMark/>
          </w:tcPr>
          <w:p w14:paraId="31F859CE" w14:textId="7777777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Natural disaster relief</w:t>
            </w:r>
          </w:p>
        </w:tc>
        <w:tc>
          <w:tcPr>
            <w:tcW w:w="720" w:type="dxa"/>
            <w:tcBorders>
              <w:top w:val="single" w:sz="4" w:space="0" w:color="ADD6EA"/>
              <w:left w:val="nil"/>
              <w:bottom w:val="nil"/>
              <w:right w:val="nil"/>
            </w:tcBorders>
            <w:shd w:val="clear" w:color="000000" w:fill="EBBFA0"/>
            <w:hideMark/>
          </w:tcPr>
          <w:p w14:paraId="1F9A0AE8"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-171</w:t>
            </w:r>
          </w:p>
        </w:tc>
        <w:tc>
          <w:tcPr>
            <w:tcW w:w="720" w:type="dxa"/>
            <w:tcBorders>
              <w:top w:val="single" w:sz="4" w:space="0" w:color="ADD6EA"/>
              <w:left w:val="nil"/>
              <w:bottom w:val="nil"/>
              <w:right w:val="nil"/>
            </w:tcBorders>
            <w:shd w:val="clear" w:color="000000" w:fill="EBBFA0"/>
            <w:hideMark/>
          </w:tcPr>
          <w:p w14:paraId="73A11C4D"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-55</w:t>
            </w:r>
          </w:p>
        </w:tc>
        <w:tc>
          <w:tcPr>
            <w:tcW w:w="5040" w:type="dxa"/>
            <w:tcBorders>
              <w:top w:val="single" w:sz="4" w:space="0" w:color="ADD6EA"/>
              <w:left w:val="nil"/>
              <w:bottom w:val="nil"/>
              <w:right w:val="nil"/>
            </w:tcBorders>
            <w:shd w:val="clear" w:color="000000" w:fill="FFFFFF"/>
            <w:hideMark/>
          </w:tcPr>
          <w:p w14:paraId="06C7B4C1" w14:textId="66B7B381"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 xml:space="preserve">A downward revision </w:t>
            </w:r>
            <w:r w:rsidR="00D923B3">
              <w:rPr>
                <w:rFonts w:ascii="Open Sans Light" w:eastAsia="Times New Roman" w:hAnsi="Open Sans Light" w:cs="Open Sans Light"/>
                <w:color w:val="000000"/>
                <w:sz w:val="16"/>
                <w:szCs w:val="16"/>
                <w:lang w:eastAsia="en-AU"/>
              </w:rPr>
              <w:t>by</w:t>
            </w:r>
            <w:r w:rsidR="00D923B3" w:rsidRPr="002D2556">
              <w:rPr>
                <w:rFonts w:ascii="Open Sans Light" w:eastAsia="Times New Roman" w:hAnsi="Open Sans Light" w:cs="Open Sans Light"/>
                <w:color w:val="000000"/>
                <w:sz w:val="16"/>
                <w:szCs w:val="16"/>
                <w:lang w:eastAsia="en-AU"/>
              </w:rPr>
              <w:t xml:space="preserve"> </w:t>
            </w:r>
            <w:r w:rsidRPr="002D2556">
              <w:rPr>
                <w:rFonts w:ascii="Open Sans Light" w:eastAsia="Times New Roman" w:hAnsi="Open Sans Light" w:cs="Open Sans Light"/>
                <w:color w:val="000000"/>
                <w:sz w:val="16"/>
                <w:szCs w:val="16"/>
                <w:lang w:eastAsia="en-AU"/>
              </w:rPr>
              <w:t>Western Australia</w:t>
            </w:r>
            <w:r w:rsidR="00D923B3">
              <w:rPr>
                <w:rFonts w:ascii="Open Sans Light" w:eastAsia="Times New Roman" w:hAnsi="Open Sans Light" w:cs="Open Sans Light"/>
                <w:color w:val="000000"/>
                <w:sz w:val="16"/>
                <w:szCs w:val="16"/>
                <w:lang w:eastAsia="en-AU"/>
              </w:rPr>
              <w:t xml:space="preserve"> to its</w:t>
            </w:r>
            <w:r w:rsidRPr="002D2556">
              <w:rPr>
                <w:rFonts w:ascii="Open Sans Light" w:eastAsia="Times New Roman" w:hAnsi="Open Sans Light" w:cs="Open Sans Light"/>
                <w:color w:val="000000"/>
                <w:sz w:val="16"/>
                <w:szCs w:val="16"/>
                <w:lang w:eastAsia="en-AU"/>
              </w:rPr>
              <w:t xml:space="preserve"> natural disaster relief expenses in 2022–23 decrease</w:t>
            </w:r>
            <w:r>
              <w:rPr>
                <w:rFonts w:ascii="Open Sans Light" w:eastAsia="Times New Roman" w:hAnsi="Open Sans Light" w:cs="Open Sans Light"/>
                <w:color w:val="000000"/>
                <w:sz w:val="16"/>
                <w:szCs w:val="16"/>
                <w:lang w:eastAsia="en-AU"/>
              </w:rPr>
              <w:t>s</w:t>
            </w:r>
            <w:r w:rsidRPr="002D2556">
              <w:rPr>
                <w:rFonts w:ascii="Open Sans Light" w:eastAsia="Times New Roman" w:hAnsi="Open Sans Light" w:cs="Open Sans Light"/>
                <w:color w:val="000000"/>
                <w:sz w:val="16"/>
                <w:szCs w:val="16"/>
                <w:lang w:eastAsia="en-AU"/>
              </w:rPr>
              <w:t xml:space="preserve"> its assessed GST needs. </w:t>
            </w:r>
            <w:r w:rsidR="001D3F41">
              <w:rPr>
                <w:rFonts w:ascii="Open Sans Light" w:eastAsia="Times New Roman" w:hAnsi="Open Sans Light" w:cs="Open Sans Light"/>
                <w:color w:val="000000"/>
                <w:sz w:val="16"/>
                <w:szCs w:val="16"/>
                <w:lang w:eastAsia="en-AU"/>
              </w:rPr>
              <w:t>Also, t</w:t>
            </w:r>
            <w:r w:rsidRPr="002D2556">
              <w:rPr>
                <w:rFonts w:ascii="Open Sans Light" w:eastAsia="Times New Roman" w:hAnsi="Open Sans Light" w:cs="Open Sans Light"/>
                <w:color w:val="000000"/>
                <w:sz w:val="16"/>
                <w:szCs w:val="16"/>
                <w:lang w:eastAsia="en-AU"/>
              </w:rPr>
              <w:t xml:space="preserve">he Commission </w:t>
            </w:r>
            <w:r w:rsidR="00906D56" w:rsidRPr="00DF2029">
              <w:rPr>
                <w:rFonts w:ascii="Open Sans Light" w:eastAsia="Times New Roman" w:hAnsi="Open Sans Light" w:cs="Open Sans Light"/>
                <w:color w:val="000000"/>
                <w:sz w:val="16"/>
                <w:szCs w:val="16"/>
                <w:lang w:eastAsia="en-AU"/>
              </w:rPr>
              <w:t>makes an adjustment to correct for the use of unrevised data in previous updates</w:t>
            </w:r>
            <w:r w:rsidR="00906D56">
              <w:rPr>
                <w:rFonts w:ascii="Open Sans Light" w:eastAsia="Times New Roman" w:hAnsi="Open Sans Light" w:cs="Open Sans Light"/>
                <w:color w:val="000000"/>
                <w:sz w:val="16"/>
                <w:szCs w:val="16"/>
                <w:lang w:eastAsia="en-AU"/>
              </w:rPr>
              <w:t xml:space="preserve"> </w:t>
            </w:r>
            <w:r w:rsidRPr="002D2556">
              <w:rPr>
                <w:rFonts w:ascii="Open Sans Light" w:eastAsia="Times New Roman" w:hAnsi="Open Sans Light" w:cs="Open Sans Light"/>
                <w:color w:val="000000"/>
                <w:sz w:val="16"/>
                <w:szCs w:val="16"/>
                <w:lang w:eastAsia="en-AU"/>
              </w:rPr>
              <w:t>and this further decrease</w:t>
            </w:r>
            <w:r>
              <w:rPr>
                <w:rFonts w:ascii="Open Sans Light" w:eastAsia="Times New Roman" w:hAnsi="Open Sans Light" w:cs="Open Sans Light"/>
                <w:color w:val="000000"/>
                <w:sz w:val="16"/>
                <w:szCs w:val="16"/>
                <w:lang w:eastAsia="en-AU"/>
              </w:rPr>
              <w:t xml:space="preserve">s </w:t>
            </w:r>
            <w:r w:rsidRPr="002D2556">
              <w:rPr>
                <w:rFonts w:ascii="Open Sans Light" w:eastAsia="Times New Roman" w:hAnsi="Open Sans Light" w:cs="Open Sans Light"/>
                <w:color w:val="000000"/>
                <w:sz w:val="16"/>
                <w:szCs w:val="16"/>
                <w:lang w:eastAsia="en-AU"/>
              </w:rPr>
              <w:t>Western Australia’s assessed GST needs.</w:t>
            </w:r>
          </w:p>
        </w:tc>
      </w:tr>
      <w:tr w:rsidR="003957CD" w:rsidRPr="002D2556" w14:paraId="02D3FEA1" w14:textId="77777777" w:rsidTr="00E51790">
        <w:trPr>
          <w:trHeight w:val="290"/>
        </w:trPr>
        <w:tc>
          <w:tcPr>
            <w:tcW w:w="9260" w:type="dxa"/>
            <w:gridSpan w:val="4"/>
            <w:tcBorders>
              <w:top w:val="nil"/>
              <w:left w:val="nil"/>
              <w:bottom w:val="nil"/>
              <w:right w:val="nil"/>
            </w:tcBorders>
            <w:shd w:val="clear" w:color="000000" w:fill="006991"/>
            <w:vAlign w:val="center"/>
            <w:hideMark/>
          </w:tcPr>
          <w:p w14:paraId="377AF349"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2D2556">
              <w:rPr>
                <w:rFonts w:ascii="Open Sans Semibold" w:eastAsia="Times New Roman" w:hAnsi="Open Sans Semibold" w:cs="Open Sans Semibold"/>
                <w:color w:val="FFFFFF"/>
                <w:sz w:val="16"/>
                <w:szCs w:val="16"/>
                <w:lang w:eastAsia="en-AU"/>
              </w:rPr>
              <w:t xml:space="preserve">Changes in circumstances </w:t>
            </w:r>
          </w:p>
        </w:tc>
      </w:tr>
      <w:tr w:rsidR="003957CD" w:rsidRPr="002D2556" w14:paraId="4652A4DB" w14:textId="77777777" w:rsidTr="00E51790">
        <w:trPr>
          <w:trHeight w:val="290"/>
        </w:trPr>
        <w:tc>
          <w:tcPr>
            <w:tcW w:w="2780" w:type="dxa"/>
            <w:tcBorders>
              <w:top w:val="single" w:sz="4" w:space="0" w:color="ADD6EA"/>
              <w:left w:val="nil"/>
              <w:bottom w:val="nil"/>
              <w:right w:val="nil"/>
            </w:tcBorders>
            <w:shd w:val="clear" w:color="000000" w:fill="D6E7F0"/>
            <w:hideMark/>
          </w:tcPr>
          <w:p w14:paraId="19DC286E"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2E07B172" w14:textId="77777777" w:rsidR="003957CD" w:rsidRPr="002D2556"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782F36B5"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Explanation</w:t>
            </w:r>
          </w:p>
        </w:tc>
      </w:tr>
      <w:tr w:rsidR="003957CD" w:rsidRPr="002D2556" w14:paraId="2BB702F2" w14:textId="77777777" w:rsidTr="00E51790">
        <w:trPr>
          <w:trHeight w:val="290"/>
        </w:trPr>
        <w:tc>
          <w:tcPr>
            <w:tcW w:w="2780" w:type="dxa"/>
            <w:tcBorders>
              <w:top w:val="single" w:sz="4" w:space="0" w:color="ADD6EA"/>
              <w:left w:val="nil"/>
              <w:bottom w:val="nil"/>
              <w:right w:val="nil"/>
            </w:tcBorders>
            <w:shd w:val="clear" w:color="000000" w:fill="B6D5E4"/>
            <w:hideMark/>
          </w:tcPr>
          <w:p w14:paraId="6B8B3CFF"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57B001DD" w14:textId="77777777" w:rsidR="003957CD" w:rsidRPr="002D2556"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1644659C" w14:textId="77777777" w:rsidR="003957CD" w:rsidRPr="002D2556"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58FAE1D8" w14:textId="77777777" w:rsidR="003957CD" w:rsidRPr="002D255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2D2556">
              <w:rPr>
                <w:rFonts w:ascii="Open Sans Semibold" w:eastAsia="Times New Roman" w:hAnsi="Open Sans Semibold" w:cs="Open Sans Semibold"/>
                <w:color w:val="000000"/>
                <w:sz w:val="16"/>
                <w:szCs w:val="16"/>
                <w:lang w:eastAsia="en-AU"/>
              </w:rPr>
              <w:t> </w:t>
            </w:r>
          </w:p>
        </w:tc>
      </w:tr>
      <w:tr w:rsidR="003957CD" w:rsidRPr="002D2556" w14:paraId="7548A41C" w14:textId="77777777" w:rsidTr="00E51790">
        <w:trPr>
          <w:trHeight w:val="720"/>
        </w:trPr>
        <w:tc>
          <w:tcPr>
            <w:tcW w:w="2780" w:type="dxa"/>
            <w:tcBorders>
              <w:top w:val="single" w:sz="4" w:space="0" w:color="ADD6EA"/>
              <w:left w:val="nil"/>
              <w:bottom w:val="nil"/>
              <w:right w:val="nil"/>
            </w:tcBorders>
            <w:shd w:val="clear" w:color="000000" w:fill="FFFFFF"/>
            <w:hideMark/>
          </w:tcPr>
          <w:p w14:paraId="26F8D1D6" w14:textId="7777777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Mining production</w:t>
            </w:r>
          </w:p>
        </w:tc>
        <w:tc>
          <w:tcPr>
            <w:tcW w:w="720" w:type="dxa"/>
            <w:tcBorders>
              <w:top w:val="single" w:sz="4" w:space="0" w:color="ADD6EA"/>
              <w:left w:val="nil"/>
              <w:bottom w:val="nil"/>
              <w:right w:val="nil"/>
            </w:tcBorders>
            <w:shd w:val="clear" w:color="000000" w:fill="ADD6EA"/>
            <w:hideMark/>
          </w:tcPr>
          <w:p w14:paraId="3296C301"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1,390</w:t>
            </w:r>
          </w:p>
        </w:tc>
        <w:tc>
          <w:tcPr>
            <w:tcW w:w="720" w:type="dxa"/>
            <w:tcBorders>
              <w:top w:val="single" w:sz="4" w:space="0" w:color="ADD6EA"/>
              <w:left w:val="nil"/>
              <w:bottom w:val="nil"/>
              <w:right w:val="nil"/>
            </w:tcBorders>
            <w:shd w:val="clear" w:color="000000" w:fill="ADD6EA"/>
            <w:hideMark/>
          </w:tcPr>
          <w:p w14:paraId="5CC3C30C"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445</w:t>
            </w:r>
          </w:p>
        </w:tc>
        <w:tc>
          <w:tcPr>
            <w:tcW w:w="5040" w:type="dxa"/>
            <w:tcBorders>
              <w:top w:val="single" w:sz="4" w:space="0" w:color="ADD6EA"/>
              <w:left w:val="nil"/>
              <w:bottom w:val="nil"/>
              <w:right w:val="nil"/>
            </w:tcBorders>
            <w:shd w:val="clear" w:color="000000" w:fill="FFFFFF"/>
            <w:hideMark/>
          </w:tcPr>
          <w:p w14:paraId="5D1E7A5A" w14:textId="3537DD79"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Iron ore prices fell between 2021–22 and 2024–25. This decrease</w:t>
            </w:r>
            <w:r>
              <w:rPr>
                <w:rFonts w:ascii="Open Sans Light" w:eastAsia="Times New Roman" w:hAnsi="Open Sans Light" w:cs="Open Sans Light"/>
                <w:color w:val="000000"/>
                <w:sz w:val="16"/>
                <w:szCs w:val="16"/>
                <w:lang w:eastAsia="en-AU"/>
              </w:rPr>
              <w:t>s</w:t>
            </w:r>
            <w:r w:rsidRPr="002D2556">
              <w:rPr>
                <w:rFonts w:ascii="Open Sans Light" w:eastAsia="Times New Roman" w:hAnsi="Open Sans Light" w:cs="Open Sans Light"/>
                <w:color w:val="000000"/>
                <w:sz w:val="16"/>
                <w:szCs w:val="16"/>
                <w:lang w:eastAsia="en-AU"/>
              </w:rPr>
              <w:t xml:space="preserve"> Western Australia’s revenue raising capacity and increase</w:t>
            </w:r>
            <w:r>
              <w:rPr>
                <w:rFonts w:ascii="Open Sans Light" w:eastAsia="Times New Roman" w:hAnsi="Open Sans Light" w:cs="Open Sans Light"/>
                <w:color w:val="000000"/>
                <w:sz w:val="16"/>
                <w:szCs w:val="16"/>
                <w:lang w:eastAsia="en-AU"/>
              </w:rPr>
              <w:t>s</w:t>
            </w:r>
            <w:r w:rsidRPr="002D2556">
              <w:rPr>
                <w:rFonts w:ascii="Open Sans Light" w:eastAsia="Times New Roman" w:hAnsi="Open Sans Light" w:cs="Open Sans Light"/>
                <w:color w:val="000000"/>
                <w:sz w:val="16"/>
                <w:szCs w:val="16"/>
                <w:lang w:eastAsia="en-AU"/>
              </w:rPr>
              <w:t xml:space="preserve"> its assessed GST needs.</w:t>
            </w:r>
          </w:p>
        </w:tc>
      </w:tr>
      <w:tr w:rsidR="003957CD" w:rsidRPr="002D2556" w14:paraId="6583E699" w14:textId="77777777" w:rsidTr="00E51790">
        <w:trPr>
          <w:trHeight w:val="885"/>
        </w:trPr>
        <w:tc>
          <w:tcPr>
            <w:tcW w:w="2780" w:type="dxa"/>
            <w:tcBorders>
              <w:top w:val="single" w:sz="4" w:space="0" w:color="ADD6EA"/>
              <w:left w:val="nil"/>
              <w:bottom w:val="nil"/>
              <w:right w:val="nil"/>
            </w:tcBorders>
            <w:shd w:val="clear" w:color="000000" w:fill="FFFFFF"/>
            <w:hideMark/>
          </w:tcPr>
          <w:p w14:paraId="7ECCC911" w14:textId="7777777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Property sales</w:t>
            </w:r>
          </w:p>
        </w:tc>
        <w:tc>
          <w:tcPr>
            <w:tcW w:w="720" w:type="dxa"/>
            <w:tcBorders>
              <w:top w:val="single" w:sz="4" w:space="0" w:color="ADD6EA"/>
              <w:left w:val="nil"/>
              <w:bottom w:val="nil"/>
              <w:right w:val="nil"/>
            </w:tcBorders>
            <w:shd w:val="clear" w:color="000000" w:fill="EBBFA0"/>
            <w:hideMark/>
          </w:tcPr>
          <w:p w14:paraId="114A9DF8"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-538</w:t>
            </w:r>
          </w:p>
        </w:tc>
        <w:tc>
          <w:tcPr>
            <w:tcW w:w="720" w:type="dxa"/>
            <w:tcBorders>
              <w:top w:val="single" w:sz="4" w:space="0" w:color="ADD6EA"/>
              <w:left w:val="nil"/>
              <w:bottom w:val="nil"/>
              <w:right w:val="nil"/>
            </w:tcBorders>
            <w:shd w:val="clear" w:color="000000" w:fill="EBBFA0"/>
            <w:hideMark/>
          </w:tcPr>
          <w:p w14:paraId="769AF241"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-172</w:t>
            </w:r>
          </w:p>
        </w:tc>
        <w:tc>
          <w:tcPr>
            <w:tcW w:w="5040" w:type="dxa"/>
            <w:tcBorders>
              <w:top w:val="single" w:sz="4" w:space="0" w:color="ADD6EA"/>
              <w:left w:val="nil"/>
              <w:bottom w:val="nil"/>
              <w:right w:val="nil"/>
            </w:tcBorders>
            <w:shd w:val="clear" w:color="000000" w:fill="FFFFFF"/>
            <w:hideMark/>
          </w:tcPr>
          <w:p w14:paraId="314CAC8A" w14:textId="14D54FFD"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Above-average growth in the value of property transfer</w:t>
            </w:r>
            <w:r w:rsidR="002615DC">
              <w:rPr>
                <w:rFonts w:ascii="Open Sans Light" w:eastAsia="Times New Roman" w:hAnsi="Open Sans Light" w:cs="Open Sans Light"/>
                <w:color w:val="000000"/>
                <w:sz w:val="16"/>
                <w:szCs w:val="16"/>
                <w:lang w:eastAsia="en-AU"/>
              </w:rPr>
              <w:t>red</w:t>
            </w:r>
            <w:r w:rsidRPr="002D2556">
              <w:rPr>
                <w:rFonts w:ascii="Open Sans Light" w:eastAsia="Times New Roman" w:hAnsi="Open Sans Light" w:cs="Open Sans Light"/>
                <w:color w:val="000000"/>
                <w:sz w:val="16"/>
                <w:szCs w:val="16"/>
                <w:lang w:eastAsia="en-AU"/>
              </w:rPr>
              <w:t xml:space="preserve"> between 2021–22 and 2024–25 increase</w:t>
            </w:r>
            <w:r>
              <w:rPr>
                <w:rFonts w:ascii="Open Sans Light" w:eastAsia="Times New Roman" w:hAnsi="Open Sans Light" w:cs="Open Sans Light"/>
                <w:color w:val="000000"/>
                <w:sz w:val="16"/>
                <w:szCs w:val="16"/>
                <w:lang w:eastAsia="en-AU"/>
              </w:rPr>
              <w:t>s</w:t>
            </w:r>
            <w:r w:rsidRPr="002D2556">
              <w:rPr>
                <w:rFonts w:ascii="Open Sans Light" w:eastAsia="Times New Roman" w:hAnsi="Open Sans Light" w:cs="Open Sans Light"/>
                <w:color w:val="000000"/>
                <w:sz w:val="16"/>
                <w:szCs w:val="16"/>
                <w:lang w:eastAsia="en-AU"/>
              </w:rPr>
              <w:t xml:space="preserve"> Western Australia</w:t>
            </w:r>
            <w:r>
              <w:rPr>
                <w:rFonts w:ascii="Open Sans Light" w:eastAsia="Times New Roman" w:hAnsi="Open Sans Light" w:cs="Open Sans Light"/>
                <w:color w:val="000000"/>
                <w:sz w:val="16"/>
                <w:szCs w:val="16"/>
                <w:lang w:eastAsia="en-AU"/>
              </w:rPr>
              <w:t>’</w:t>
            </w:r>
            <w:r w:rsidRPr="002D2556">
              <w:rPr>
                <w:rFonts w:ascii="Open Sans Light" w:eastAsia="Times New Roman" w:hAnsi="Open Sans Light" w:cs="Open Sans Light"/>
                <w:color w:val="000000"/>
                <w:sz w:val="16"/>
                <w:szCs w:val="16"/>
                <w:lang w:eastAsia="en-AU"/>
              </w:rPr>
              <w:t>s relative revenue raising capacity and decrease</w:t>
            </w:r>
            <w:r>
              <w:rPr>
                <w:rFonts w:ascii="Open Sans Light" w:eastAsia="Times New Roman" w:hAnsi="Open Sans Light" w:cs="Open Sans Light"/>
                <w:color w:val="000000"/>
                <w:sz w:val="16"/>
                <w:szCs w:val="16"/>
                <w:lang w:eastAsia="en-AU"/>
              </w:rPr>
              <w:t>s</w:t>
            </w:r>
            <w:r w:rsidRPr="002D2556">
              <w:rPr>
                <w:rFonts w:ascii="Open Sans Light" w:eastAsia="Times New Roman" w:hAnsi="Open Sans Light" w:cs="Open Sans Light"/>
                <w:color w:val="000000"/>
                <w:sz w:val="16"/>
                <w:szCs w:val="16"/>
                <w:lang w:eastAsia="en-AU"/>
              </w:rPr>
              <w:t xml:space="preserve"> its assessed GST needs.</w:t>
            </w:r>
          </w:p>
        </w:tc>
      </w:tr>
      <w:tr w:rsidR="003957CD" w:rsidRPr="002D2556" w14:paraId="5B260B33" w14:textId="77777777" w:rsidTr="005E5652">
        <w:trPr>
          <w:trHeight w:val="1357"/>
        </w:trPr>
        <w:tc>
          <w:tcPr>
            <w:tcW w:w="2780" w:type="dxa"/>
            <w:tcBorders>
              <w:top w:val="single" w:sz="4" w:space="0" w:color="ADD6EA"/>
              <w:left w:val="nil"/>
              <w:bottom w:val="nil"/>
              <w:right w:val="nil"/>
            </w:tcBorders>
            <w:shd w:val="clear" w:color="000000" w:fill="FFFFFF"/>
            <w:hideMark/>
          </w:tcPr>
          <w:p w14:paraId="10326BD4" w14:textId="2FA05D60"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COVID-19</w:t>
            </w:r>
          </w:p>
        </w:tc>
        <w:tc>
          <w:tcPr>
            <w:tcW w:w="720" w:type="dxa"/>
            <w:tcBorders>
              <w:top w:val="single" w:sz="4" w:space="0" w:color="ADD6EA"/>
              <w:left w:val="nil"/>
              <w:bottom w:val="nil"/>
              <w:right w:val="nil"/>
            </w:tcBorders>
            <w:shd w:val="clear" w:color="000000" w:fill="ADD6EA"/>
            <w:hideMark/>
          </w:tcPr>
          <w:p w14:paraId="795F5B3C"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365</w:t>
            </w:r>
          </w:p>
        </w:tc>
        <w:tc>
          <w:tcPr>
            <w:tcW w:w="720" w:type="dxa"/>
            <w:tcBorders>
              <w:top w:val="single" w:sz="4" w:space="0" w:color="ADD6EA"/>
              <w:left w:val="nil"/>
              <w:bottom w:val="nil"/>
              <w:right w:val="nil"/>
            </w:tcBorders>
            <w:shd w:val="clear" w:color="000000" w:fill="ADD6EA"/>
            <w:hideMark/>
          </w:tcPr>
          <w:p w14:paraId="5A3C07FA"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117</w:t>
            </w:r>
          </w:p>
        </w:tc>
        <w:tc>
          <w:tcPr>
            <w:tcW w:w="5040" w:type="dxa"/>
            <w:tcBorders>
              <w:top w:val="single" w:sz="4" w:space="0" w:color="ADD6EA"/>
              <w:left w:val="nil"/>
              <w:bottom w:val="nil"/>
              <w:right w:val="nil"/>
            </w:tcBorders>
            <w:shd w:val="clear" w:color="000000" w:fill="FFFFFF"/>
            <w:hideMark/>
          </w:tcPr>
          <w:p w14:paraId="4C0AF356" w14:textId="334A2BA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COVID</w:t>
            </w:r>
            <w:r w:rsidR="00475415">
              <w:rPr>
                <w:rFonts w:ascii="Open Sans Light" w:eastAsia="Times New Roman" w:hAnsi="Open Sans Light" w:cs="Open Sans Light"/>
                <w:color w:val="000000"/>
                <w:sz w:val="16"/>
                <w:szCs w:val="16"/>
                <w:lang w:eastAsia="en-AU"/>
              </w:rPr>
              <w:t>-</w:t>
            </w:r>
            <w:r w:rsidRPr="002D2556">
              <w:rPr>
                <w:rFonts w:ascii="Open Sans Light" w:eastAsia="Times New Roman" w:hAnsi="Open Sans Light" w:cs="Open Sans Light"/>
                <w:color w:val="000000"/>
                <w:sz w:val="16"/>
                <w:szCs w:val="16"/>
                <w:lang w:eastAsia="en-AU"/>
              </w:rPr>
              <w:t>19 expenses were largest in 2021–22 and declined significantly in subsequent years. States with above-average COVID</w:t>
            </w:r>
            <w:r w:rsidR="00475415">
              <w:rPr>
                <w:rFonts w:ascii="Open Sans Light" w:eastAsia="Times New Roman" w:hAnsi="Open Sans Light" w:cs="Open Sans Light"/>
                <w:color w:val="000000"/>
                <w:sz w:val="16"/>
                <w:szCs w:val="16"/>
                <w:lang w:eastAsia="en-AU"/>
              </w:rPr>
              <w:t>-</w:t>
            </w:r>
            <w:r w:rsidRPr="002D2556">
              <w:rPr>
                <w:rFonts w:ascii="Open Sans Light" w:eastAsia="Times New Roman" w:hAnsi="Open Sans Light" w:cs="Open Sans Light"/>
                <w:color w:val="000000"/>
                <w:sz w:val="16"/>
                <w:szCs w:val="16"/>
                <w:lang w:eastAsia="en-AU"/>
              </w:rPr>
              <w:t>19 expenses</w:t>
            </w:r>
            <w:r>
              <w:rPr>
                <w:rFonts w:ascii="Open Sans Light" w:eastAsia="Times New Roman" w:hAnsi="Open Sans Light" w:cs="Open Sans Light"/>
                <w:color w:val="000000"/>
                <w:sz w:val="16"/>
                <w:szCs w:val="16"/>
                <w:lang w:eastAsia="en-AU"/>
              </w:rPr>
              <w:t>,</w:t>
            </w:r>
            <w:r w:rsidRPr="002D2556">
              <w:rPr>
                <w:rFonts w:ascii="Open Sans Light" w:eastAsia="Times New Roman" w:hAnsi="Open Sans Light" w:cs="Open Sans Light"/>
                <w:color w:val="000000"/>
                <w:sz w:val="16"/>
                <w:szCs w:val="16"/>
                <w:lang w:eastAsia="en-AU"/>
              </w:rPr>
              <w:t xml:space="preserve"> </w:t>
            </w:r>
            <w:r w:rsidR="009D3F97">
              <w:rPr>
                <w:rFonts w:ascii="Open Sans Light" w:eastAsia="Times New Roman" w:hAnsi="Open Sans Light" w:cs="Open Sans Light"/>
                <w:color w:val="000000"/>
                <w:sz w:val="16"/>
                <w:szCs w:val="16"/>
                <w:lang w:eastAsia="en-AU"/>
              </w:rPr>
              <w:t>notably</w:t>
            </w:r>
            <w:r w:rsidRPr="002D2556">
              <w:rPr>
                <w:rFonts w:ascii="Open Sans Light" w:eastAsia="Times New Roman" w:hAnsi="Open Sans Light" w:cs="Open Sans Light"/>
                <w:color w:val="000000"/>
                <w:sz w:val="16"/>
                <w:szCs w:val="16"/>
                <w:lang w:eastAsia="en-AU"/>
              </w:rPr>
              <w:t xml:space="preserve"> New South Wales, Victoria and the ACT, now have lower expenses, </w:t>
            </w:r>
            <w:r w:rsidR="00FD5ACC">
              <w:rPr>
                <w:rFonts w:ascii="Open Sans Light" w:eastAsia="Times New Roman" w:hAnsi="Open Sans Light" w:cs="Open Sans Light"/>
                <w:color w:val="000000"/>
                <w:sz w:val="16"/>
                <w:szCs w:val="16"/>
                <w:lang w:eastAsia="en-AU"/>
              </w:rPr>
              <w:t>decreasing</w:t>
            </w:r>
            <w:r w:rsidRPr="002D2556">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their </w:t>
            </w:r>
            <w:r w:rsidRPr="002D2556">
              <w:rPr>
                <w:rFonts w:ascii="Open Sans Light" w:eastAsia="Times New Roman" w:hAnsi="Open Sans Light" w:cs="Open Sans Light"/>
                <w:color w:val="000000"/>
                <w:sz w:val="16"/>
                <w:szCs w:val="16"/>
                <w:lang w:eastAsia="en-AU"/>
              </w:rPr>
              <w:t xml:space="preserve">assessed GST needs and </w:t>
            </w:r>
            <w:r w:rsidR="00FD5ACC">
              <w:rPr>
                <w:rFonts w:ascii="Open Sans Light" w:eastAsia="Times New Roman" w:hAnsi="Open Sans Light" w:cs="Open Sans Light"/>
                <w:color w:val="000000"/>
                <w:sz w:val="16"/>
                <w:szCs w:val="16"/>
                <w:lang w:eastAsia="en-AU"/>
              </w:rPr>
              <w:t>increasing</w:t>
            </w:r>
            <w:r w:rsidR="00FD5ACC" w:rsidRPr="002D2556">
              <w:rPr>
                <w:rFonts w:ascii="Open Sans Light" w:eastAsia="Times New Roman" w:hAnsi="Open Sans Light" w:cs="Open Sans Light"/>
                <w:color w:val="000000"/>
                <w:sz w:val="16"/>
                <w:szCs w:val="16"/>
                <w:lang w:eastAsia="en-AU"/>
              </w:rPr>
              <w:t xml:space="preserve"> </w:t>
            </w:r>
            <w:r w:rsidR="00844B59">
              <w:rPr>
                <w:rFonts w:ascii="Open Sans Light" w:eastAsia="Times New Roman" w:hAnsi="Open Sans Light" w:cs="Open Sans Light"/>
                <w:color w:val="000000"/>
                <w:sz w:val="16"/>
                <w:szCs w:val="16"/>
                <w:lang w:eastAsia="en-AU"/>
              </w:rPr>
              <w:t xml:space="preserve">the </w:t>
            </w:r>
            <w:r w:rsidRPr="002D2556">
              <w:rPr>
                <w:rFonts w:ascii="Open Sans Light" w:eastAsia="Times New Roman" w:hAnsi="Open Sans Light" w:cs="Open Sans Light"/>
                <w:color w:val="000000"/>
                <w:sz w:val="16"/>
                <w:szCs w:val="16"/>
                <w:lang w:eastAsia="en-AU"/>
              </w:rPr>
              <w:t xml:space="preserve">assessed GST needs </w:t>
            </w:r>
            <w:r w:rsidR="00A24BE5">
              <w:rPr>
                <w:rFonts w:ascii="Open Sans Light" w:eastAsia="Times New Roman" w:hAnsi="Open Sans Light" w:cs="Open Sans Light"/>
                <w:color w:val="000000"/>
                <w:sz w:val="16"/>
                <w:szCs w:val="16"/>
                <w:lang w:eastAsia="en-AU"/>
              </w:rPr>
              <w:t>of</w:t>
            </w:r>
            <w:r w:rsidR="00A24BE5" w:rsidRPr="002D2556">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2D2556">
              <w:rPr>
                <w:rFonts w:ascii="Open Sans Light" w:eastAsia="Times New Roman" w:hAnsi="Open Sans Light" w:cs="Open Sans Light"/>
                <w:color w:val="000000"/>
                <w:sz w:val="16"/>
                <w:szCs w:val="16"/>
                <w:lang w:eastAsia="en-AU"/>
              </w:rPr>
              <w:t>other states, including Western Australia.</w:t>
            </w:r>
          </w:p>
        </w:tc>
      </w:tr>
      <w:tr w:rsidR="003957CD" w:rsidRPr="002D2556" w14:paraId="23C5FC8F" w14:textId="77777777" w:rsidTr="005E5652">
        <w:trPr>
          <w:trHeight w:val="911"/>
        </w:trPr>
        <w:tc>
          <w:tcPr>
            <w:tcW w:w="2780" w:type="dxa"/>
            <w:tcBorders>
              <w:top w:val="single" w:sz="4" w:space="0" w:color="ADD6EA"/>
              <w:left w:val="nil"/>
              <w:bottom w:val="nil"/>
              <w:right w:val="nil"/>
            </w:tcBorders>
            <w:shd w:val="clear" w:color="000000" w:fill="FFFFFF"/>
            <w:hideMark/>
          </w:tcPr>
          <w:p w14:paraId="5D887F03" w14:textId="7777777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Commonwealth payments</w:t>
            </w:r>
          </w:p>
        </w:tc>
        <w:tc>
          <w:tcPr>
            <w:tcW w:w="720" w:type="dxa"/>
            <w:tcBorders>
              <w:top w:val="single" w:sz="4" w:space="0" w:color="ADD6EA"/>
              <w:left w:val="nil"/>
              <w:bottom w:val="nil"/>
              <w:right w:val="nil"/>
            </w:tcBorders>
            <w:shd w:val="clear" w:color="000000" w:fill="EBBFA0"/>
            <w:hideMark/>
          </w:tcPr>
          <w:p w14:paraId="587D8DF9"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-311</w:t>
            </w:r>
          </w:p>
        </w:tc>
        <w:tc>
          <w:tcPr>
            <w:tcW w:w="720" w:type="dxa"/>
            <w:tcBorders>
              <w:top w:val="single" w:sz="4" w:space="0" w:color="ADD6EA"/>
              <w:left w:val="nil"/>
              <w:bottom w:val="nil"/>
              <w:right w:val="nil"/>
            </w:tcBorders>
            <w:shd w:val="clear" w:color="000000" w:fill="EBBFA0"/>
            <w:hideMark/>
          </w:tcPr>
          <w:p w14:paraId="63BC7B45"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-100</w:t>
            </w:r>
          </w:p>
        </w:tc>
        <w:tc>
          <w:tcPr>
            <w:tcW w:w="5040" w:type="dxa"/>
            <w:tcBorders>
              <w:top w:val="single" w:sz="4" w:space="0" w:color="ADD6EA"/>
              <w:left w:val="nil"/>
              <w:bottom w:val="nil"/>
              <w:right w:val="nil"/>
            </w:tcBorders>
            <w:shd w:val="clear" w:color="000000" w:fill="FFFFFF"/>
            <w:hideMark/>
          </w:tcPr>
          <w:p w14:paraId="50D202E5" w14:textId="7777777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Western Australia received a greater share of assessed Commonwealth payments in 2024–25 than in 2021–22, mainly driven by payments for investment in rail. This decrease</w:t>
            </w:r>
            <w:r>
              <w:rPr>
                <w:rFonts w:ascii="Open Sans Light" w:eastAsia="Times New Roman" w:hAnsi="Open Sans Light" w:cs="Open Sans Light"/>
                <w:color w:val="000000"/>
                <w:sz w:val="16"/>
                <w:szCs w:val="16"/>
                <w:lang w:eastAsia="en-AU"/>
              </w:rPr>
              <w:t>s</w:t>
            </w:r>
            <w:r w:rsidRPr="002D2556">
              <w:rPr>
                <w:rFonts w:ascii="Open Sans Light" w:eastAsia="Times New Roman" w:hAnsi="Open Sans Light" w:cs="Open Sans Light"/>
                <w:color w:val="000000"/>
                <w:sz w:val="16"/>
                <w:szCs w:val="16"/>
                <w:lang w:eastAsia="en-AU"/>
              </w:rPr>
              <w:t xml:space="preserve"> its assessed GST needs.</w:t>
            </w:r>
          </w:p>
        </w:tc>
      </w:tr>
      <w:tr w:rsidR="003957CD" w:rsidRPr="002D2556" w14:paraId="3EE757ED" w14:textId="77777777" w:rsidTr="005E5652">
        <w:trPr>
          <w:trHeight w:val="701"/>
        </w:trPr>
        <w:tc>
          <w:tcPr>
            <w:tcW w:w="2780" w:type="dxa"/>
            <w:tcBorders>
              <w:top w:val="single" w:sz="4" w:space="0" w:color="ADD6EA"/>
              <w:left w:val="nil"/>
              <w:bottom w:val="nil"/>
              <w:right w:val="nil"/>
            </w:tcBorders>
            <w:shd w:val="clear" w:color="000000" w:fill="FFFFFF"/>
            <w:hideMark/>
          </w:tcPr>
          <w:p w14:paraId="7D76CCF7" w14:textId="7777777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Taxable land values</w:t>
            </w:r>
          </w:p>
        </w:tc>
        <w:tc>
          <w:tcPr>
            <w:tcW w:w="720" w:type="dxa"/>
            <w:tcBorders>
              <w:top w:val="single" w:sz="4" w:space="0" w:color="ADD6EA"/>
              <w:left w:val="nil"/>
              <w:bottom w:val="nil"/>
              <w:right w:val="nil"/>
            </w:tcBorders>
            <w:shd w:val="clear" w:color="000000" w:fill="ADD6EA"/>
            <w:hideMark/>
          </w:tcPr>
          <w:p w14:paraId="51A229D3"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160</w:t>
            </w:r>
          </w:p>
        </w:tc>
        <w:tc>
          <w:tcPr>
            <w:tcW w:w="720" w:type="dxa"/>
            <w:tcBorders>
              <w:top w:val="single" w:sz="4" w:space="0" w:color="ADD6EA"/>
              <w:left w:val="nil"/>
              <w:bottom w:val="nil"/>
              <w:right w:val="nil"/>
            </w:tcBorders>
            <w:shd w:val="clear" w:color="000000" w:fill="ADD6EA"/>
            <w:hideMark/>
          </w:tcPr>
          <w:p w14:paraId="552B5480"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51</w:t>
            </w:r>
          </w:p>
        </w:tc>
        <w:tc>
          <w:tcPr>
            <w:tcW w:w="5040" w:type="dxa"/>
            <w:tcBorders>
              <w:top w:val="single" w:sz="4" w:space="0" w:color="ADD6EA"/>
              <w:left w:val="nil"/>
              <w:bottom w:val="nil"/>
              <w:right w:val="nil"/>
            </w:tcBorders>
            <w:shd w:val="clear" w:color="000000" w:fill="FFFFFF"/>
            <w:hideMark/>
          </w:tcPr>
          <w:p w14:paraId="7A558BF6" w14:textId="7777777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 xml:space="preserve">Below-average growth </w:t>
            </w:r>
            <w:r>
              <w:rPr>
                <w:rFonts w:ascii="Open Sans Light" w:eastAsia="Times New Roman" w:hAnsi="Open Sans Light" w:cs="Open Sans Light"/>
                <w:color w:val="000000"/>
                <w:sz w:val="16"/>
                <w:szCs w:val="16"/>
                <w:lang w:eastAsia="en-AU"/>
              </w:rPr>
              <w:t>in</w:t>
            </w:r>
            <w:r w:rsidRPr="002D2556">
              <w:rPr>
                <w:rFonts w:ascii="Open Sans Light" w:eastAsia="Times New Roman" w:hAnsi="Open Sans Light" w:cs="Open Sans Light"/>
                <w:color w:val="000000"/>
                <w:sz w:val="16"/>
                <w:szCs w:val="16"/>
                <w:lang w:eastAsia="en-AU"/>
              </w:rPr>
              <w:t xml:space="preserve"> taxable land values </w:t>
            </w:r>
            <w:r>
              <w:rPr>
                <w:rFonts w:ascii="Open Sans Light" w:eastAsia="Times New Roman" w:hAnsi="Open Sans Light" w:cs="Open Sans Light"/>
                <w:color w:val="000000"/>
                <w:sz w:val="16"/>
                <w:szCs w:val="16"/>
                <w:lang w:eastAsia="en-AU"/>
              </w:rPr>
              <w:t>between</w:t>
            </w:r>
            <w:r w:rsidRPr="002D2556">
              <w:rPr>
                <w:rFonts w:ascii="Open Sans Light" w:eastAsia="Times New Roman" w:hAnsi="Open Sans Light" w:cs="Open Sans Light"/>
                <w:color w:val="000000"/>
                <w:sz w:val="16"/>
                <w:szCs w:val="16"/>
                <w:lang w:eastAsia="en-AU"/>
              </w:rPr>
              <w:t xml:space="preserve"> 2021–22 </w:t>
            </w:r>
            <w:r>
              <w:rPr>
                <w:rFonts w:ascii="Open Sans Light" w:eastAsia="Times New Roman" w:hAnsi="Open Sans Light" w:cs="Open Sans Light"/>
                <w:color w:val="000000"/>
                <w:sz w:val="16"/>
                <w:szCs w:val="16"/>
                <w:lang w:eastAsia="en-AU"/>
              </w:rPr>
              <w:t xml:space="preserve">and </w:t>
            </w:r>
            <w:r w:rsidRPr="002D2556">
              <w:rPr>
                <w:rFonts w:ascii="Open Sans Light" w:eastAsia="Times New Roman" w:hAnsi="Open Sans Light" w:cs="Open Sans Light"/>
                <w:color w:val="000000"/>
                <w:sz w:val="16"/>
                <w:szCs w:val="16"/>
                <w:lang w:eastAsia="en-AU"/>
              </w:rPr>
              <w:t>2024–25 decrease</w:t>
            </w:r>
            <w:r>
              <w:rPr>
                <w:rFonts w:ascii="Open Sans Light" w:eastAsia="Times New Roman" w:hAnsi="Open Sans Light" w:cs="Open Sans Light"/>
                <w:color w:val="000000"/>
                <w:sz w:val="16"/>
                <w:szCs w:val="16"/>
                <w:lang w:eastAsia="en-AU"/>
              </w:rPr>
              <w:t>s</w:t>
            </w:r>
            <w:r w:rsidRPr="002D2556">
              <w:rPr>
                <w:rFonts w:ascii="Open Sans Light" w:eastAsia="Times New Roman" w:hAnsi="Open Sans Light" w:cs="Open Sans Light"/>
                <w:color w:val="000000"/>
                <w:sz w:val="16"/>
                <w:szCs w:val="16"/>
                <w:lang w:eastAsia="en-AU"/>
              </w:rPr>
              <w:t xml:space="preserve"> Western Australia</w:t>
            </w:r>
            <w:r>
              <w:rPr>
                <w:rFonts w:ascii="Open Sans Light" w:eastAsia="Times New Roman" w:hAnsi="Open Sans Light" w:cs="Open Sans Light"/>
                <w:color w:val="000000"/>
                <w:sz w:val="16"/>
                <w:szCs w:val="16"/>
                <w:lang w:eastAsia="en-AU"/>
              </w:rPr>
              <w:t>’</w:t>
            </w:r>
            <w:r w:rsidRPr="002D2556">
              <w:rPr>
                <w:rFonts w:ascii="Open Sans Light" w:eastAsia="Times New Roman" w:hAnsi="Open Sans Light" w:cs="Open Sans Light"/>
                <w:color w:val="000000"/>
                <w:sz w:val="16"/>
                <w:szCs w:val="16"/>
                <w:lang w:eastAsia="en-AU"/>
              </w:rPr>
              <w:t>s relative revenue raising capacity and increase</w:t>
            </w:r>
            <w:r>
              <w:rPr>
                <w:rFonts w:ascii="Open Sans Light" w:eastAsia="Times New Roman" w:hAnsi="Open Sans Light" w:cs="Open Sans Light"/>
                <w:color w:val="000000"/>
                <w:sz w:val="16"/>
                <w:szCs w:val="16"/>
                <w:lang w:eastAsia="en-AU"/>
              </w:rPr>
              <w:t>s</w:t>
            </w:r>
            <w:r w:rsidRPr="002D2556">
              <w:rPr>
                <w:rFonts w:ascii="Open Sans Light" w:eastAsia="Times New Roman" w:hAnsi="Open Sans Light" w:cs="Open Sans Light"/>
                <w:color w:val="000000"/>
                <w:sz w:val="16"/>
                <w:szCs w:val="16"/>
                <w:lang w:eastAsia="en-AU"/>
              </w:rPr>
              <w:t xml:space="preserve"> its assessed GST needs.</w:t>
            </w:r>
          </w:p>
        </w:tc>
      </w:tr>
      <w:tr w:rsidR="003957CD" w:rsidRPr="002D2556" w14:paraId="7CA08356" w14:textId="77777777" w:rsidTr="005E5652">
        <w:trPr>
          <w:trHeight w:val="910"/>
        </w:trPr>
        <w:tc>
          <w:tcPr>
            <w:tcW w:w="2780" w:type="dxa"/>
            <w:tcBorders>
              <w:top w:val="single" w:sz="4" w:space="0" w:color="ADD6EA"/>
              <w:left w:val="nil"/>
              <w:bottom w:val="single" w:sz="4" w:space="0" w:color="ADD6EA"/>
              <w:right w:val="nil"/>
            </w:tcBorders>
            <w:shd w:val="clear" w:color="000000" w:fill="FFFFFF"/>
            <w:hideMark/>
          </w:tcPr>
          <w:p w14:paraId="4C24E6CE" w14:textId="77777777"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Taxable payrolls</w:t>
            </w:r>
          </w:p>
        </w:tc>
        <w:tc>
          <w:tcPr>
            <w:tcW w:w="720" w:type="dxa"/>
            <w:tcBorders>
              <w:top w:val="single" w:sz="4" w:space="0" w:color="ADD6EA"/>
              <w:left w:val="nil"/>
              <w:bottom w:val="single" w:sz="4" w:space="0" w:color="ADD6EA"/>
              <w:right w:val="nil"/>
            </w:tcBorders>
            <w:shd w:val="clear" w:color="000000" w:fill="EBBFA0"/>
            <w:hideMark/>
          </w:tcPr>
          <w:p w14:paraId="3EB74028"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-91</w:t>
            </w:r>
          </w:p>
        </w:tc>
        <w:tc>
          <w:tcPr>
            <w:tcW w:w="720" w:type="dxa"/>
            <w:tcBorders>
              <w:top w:val="single" w:sz="4" w:space="0" w:color="ADD6EA"/>
              <w:left w:val="nil"/>
              <w:bottom w:val="single" w:sz="4" w:space="0" w:color="ADD6EA"/>
              <w:right w:val="nil"/>
            </w:tcBorders>
            <w:shd w:val="clear" w:color="000000" w:fill="EBBFA0"/>
            <w:hideMark/>
          </w:tcPr>
          <w:p w14:paraId="172517C6" w14:textId="77777777" w:rsidR="003957CD" w:rsidRPr="002D2556"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-29</w:t>
            </w:r>
          </w:p>
        </w:tc>
        <w:tc>
          <w:tcPr>
            <w:tcW w:w="5040" w:type="dxa"/>
            <w:tcBorders>
              <w:top w:val="single" w:sz="4" w:space="0" w:color="ADD6EA"/>
              <w:left w:val="nil"/>
              <w:bottom w:val="single" w:sz="4" w:space="0" w:color="ADD6EA"/>
              <w:right w:val="nil"/>
            </w:tcBorders>
            <w:shd w:val="clear" w:color="000000" w:fill="FFFFFF"/>
            <w:hideMark/>
          </w:tcPr>
          <w:p w14:paraId="050DC739" w14:textId="7482783B" w:rsidR="003957CD" w:rsidRPr="002D2556"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2D2556">
              <w:rPr>
                <w:rFonts w:ascii="Open Sans Light" w:eastAsia="Times New Roman" w:hAnsi="Open Sans Light" w:cs="Open Sans Light"/>
                <w:color w:val="000000"/>
                <w:sz w:val="16"/>
                <w:szCs w:val="16"/>
                <w:lang w:eastAsia="en-AU"/>
              </w:rPr>
              <w:t xml:space="preserve">Payroll tax revenue increased by around 47% between 2021–22 and 2024–25. </w:t>
            </w:r>
            <w:proofErr w:type="gramStart"/>
            <w:r w:rsidRPr="002D2556">
              <w:rPr>
                <w:rFonts w:ascii="Open Sans Light" w:eastAsia="Times New Roman" w:hAnsi="Open Sans Light" w:cs="Open Sans Light"/>
                <w:color w:val="000000"/>
                <w:sz w:val="16"/>
                <w:szCs w:val="16"/>
                <w:lang w:eastAsia="en-AU"/>
              </w:rPr>
              <w:t>This decrease</w:t>
            </w:r>
            <w:r>
              <w:rPr>
                <w:rFonts w:ascii="Open Sans Light" w:eastAsia="Times New Roman" w:hAnsi="Open Sans Light" w:cs="Open Sans Light"/>
                <w:color w:val="000000"/>
                <w:sz w:val="16"/>
                <w:szCs w:val="16"/>
                <w:lang w:eastAsia="en-AU"/>
              </w:rPr>
              <w:t>s</w:t>
            </w:r>
            <w:proofErr w:type="gramEnd"/>
            <w:r>
              <w:rPr>
                <w:rFonts w:ascii="Open Sans Light" w:eastAsia="Times New Roman" w:hAnsi="Open Sans Light" w:cs="Open Sans Light"/>
                <w:color w:val="000000"/>
                <w:sz w:val="16"/>
                <w:szCs w:val="16"/>
                <w:lang w:eastAsia="en-AU"/>
              </w:rPr>
              <w:t xml:space="preserve"> </w:t>
            </w:r>
            <w:r w:rsidRPr="002D2556">
              <w:rPr>
                <w:rFonts w:ascii="Open Sans Light" w:eastAsia="Times New Roman" w:hAnsi="Open Sans Light" w:cs="Open Sans Light"/>
                <w:color w:val="000000"/>
                <w:sz w:val="16"/>
                <w:szCs w:val="16"/>
                <w:lang w:eastAsia="en-AU"/>
              </w:rPr>
              <w:t xml:space="preserve">assessed GST needs </w:t>
            </w:r>
            <w:r w:rsidR="00A24BE5">
              <w:rPr>
                <w:rFonts w:ascii="Open Sans Light" w:eastAsia="Times New Roman" w:hAnsi="Open Sans Light" w:cs="Open Sans Light"/>
                <w:color w:val="000000"/>
                <w:sz w:val="16"/>
                <w:szCs w:val="16"/>
                <w:lang w:eastAsia="en-AU"/>
              </w:rPr>
              <w:t>of</w:t>
            </w:r>
            <w:r w:rsidR="00A24BE5" w:rsidRPr="002D2556">
              <w:rPr>
                <w:rFonts w:ascii="Open Sans Light" w:eastAsia="Times New Roman" w:hAnsi="Open Sans Light" w:cs="Open Sans Light"/>
                <w:color w:val="000000"/>
                <w:sz w:val="16"/>
                <w:szCs w:val="16"/>
                <w:lang w:eastAsia="en-AU"/>
              </w:rPr>
              <w:t xml:space="preserve"> </w:t>
            </w:r>
            <w:r w:rsidRPr="002D2556">
              <w:rPr>
                <w:rFonts w:ascii="Open Sans Light" w:eastAsia="Times New Roman" w:hAnsi="Open Sans Light" w:cs="Open Sans Light"/>
                <w:color w:val="000000"/>
                <w:sz w:val="16"/>
                <w:szCs w:val="16"/>
                <w:lang w:eastAsia="en-AU"/>
              </w:rPr>
              <w:t>states with above-average capacity to raise payroll tax revenue, including Western Australia.</w:t>
            </w:r>
          </w:p>
        </w:tc>
      </w:tr>
    </w:tbl>
    <w:p w14:paraId="34DB6BD6" w14:textId="77777777" w:rsidR="003957CD" w:rsidRPr="00F47AF8" w:rsidRDefault="003957CD" w:rsidP="003957CD">
      <w:pPr>
        <w:pStyle w:val="Tablefootnote"/>
      </w:pPr>
    </w:p>
    <w:p w14:paraId="60C4B24E" w14:textId="77777777" w:rsidR="003957CD" w:rsidRPr="00F47AF8" w:rsidRDefault="003957CD" w:rsidP="003957CD">
      <w:pPr>
        <w:pStyle w:val="Tablefootnote"/>
      </w:pPr>
      <w:r w:rsidRPr="00F47AF8">
        <w:br w:type="page"/>
      </w:r>
    </w:p>
    <w:p w14:paraId="5FBBCE67" w14:textId="77777777" w:rsidR="003957CD" w:rsidRPr="00F47AF8" w:rsidRDefault="003957CD" w:rsidP="003957CD">
      <w:pPr>
        <w:pStyle w:val="Heading2"/>
      </w:pPr>
      <w:r w:rsidRPr="00F47AF8">
        <w:lastRenderedPageBreak/>
        <w:t>South</w:t>
      </w:r>
      <w:r>
        <w:t> </w:t>
      </w:r>
      <w:r w:rsidRPr="00F47AF8">
        <w:t>Australia</w:t>
      </w:r>
    </w:p>
    <w:p w14:paraId="42EA276D" w14:textId="77777777" w:rsidR="003957CD" w:rsidRPr="00F47AF8" w:rsidRDefault="003957CD" w:rsidP="003957CD">
      <w:r w:rsidRPr="00F47AF8">
        <w:t xml:space="preserve">In </w:t>
      </w:r>
      <w:r w:rsidRPr="00637832">
        <w:t>2026</w:t>
      </w:r>
      <w:r>
        <w:rPr>
          <w:rFonts w:ascii="Times New Roman" w:hAnsi="Times New Roman" w:cs="Times New Roman"/>
        </w:rPr>
        <w:t>‍</w:t>
      </w:r>
      <w:r w:rsidRPr="00637832">
        <w:t>–</w:t>
      </w:r>
      <w:r>
        <w:rPr>
          <w:rFonts w:ascii="Times New Roman" w:hAnsi="Times New Roman" w:cs="Times New Roman"/>
        </w:rPr>
        <w:t>‍</w:t>
      </w:r>
      <w:r w:rsidRPr="00637832">
        <w:t>27</w:t>
      </w:r>
      <w:r w:rsidRPr="00F47AF8">
        <w:t>, South</w:t>
      </w:r>
      <w:r>
        <w:t> </w:t>
      </w:r>
      <w:r w:rsidRPr="00F47AF8">
        <w:t>Australia’s GST distribution is estimated to increase by $3</w:t>
      </w:r>
      <w:r>
        <w:t>42 </w:t>
      </w:r>
      <w:r w:rsidRPr="00F47AF8">
        <w:t>million ($1</w:t>
      </w:r>
      <w:r>
        <w:t>78 </w:t>
      </w:r>
      <w:r w:rsidRPr="00F47AF8">
        <w:t>per</w:t>
      </w:r>
      <w:r>
        <w:t> </w:t>
      </w:r>
      <w:r w:rsidRPr="00F47AF8">
        <w:t xml:space="preserve">capita). </w:t>
      </w:r>
      <w:r>
        <w:t>Its assessed GST needs have decreased by $253 million ($131 per capita) in 2026</w:t>
      </w:r>
      <w:r w:rsidRPr="00F47AF8">
        <w:t>–27</w:t>
      </w:r>
      <w:r>
        <w:t>, however, this is more than offset by growth in the GST pool.</w:t>
      </w:r>
    </w:p>
    <w:p w14:paraId="2BF74A8E" w14:textId="77777777" w:rsidR="003957CD" w:rsidRPr="00F47AF8" w:rsidRDefault="003957CD" w:rsidP="002F5ED5">
      <w:pPr>
        <w:pStyle w:val="CGCBulletPoints"/>
      </w:pPr>
      <w:r>
        <w:t>South </w:t>
      </w:r>
      <w:r w:rsidRPr="00F47AF8">
        <w:t xml:space="preserve">Australia’s assessed GST needs </w:t>
      </w:r>
      <w:r>
        <w:t xml:space="preserve">have </w:t>
      </w:r>
      <w:r w:rsidRPr="00F47AF8">
        <w:t>decreased largely due to:</w:t>
      </w:r>
    </w:p>
    <w:p w14:paraId="48F3E7C7" w14:textId="4E37C199" w:rsidR="003957CD" w:rsidRPr="00F47AF8" w:rsidRDefault="003957CD" w:rsidP="002F5ED5">
      <w:pPr>
        <w:pStyle w:val="CGCBulletPoints-Level2"/>
      </w:pPr>
      <w:r w:rsidRPr="00F47AF8">
        <w:t>lower coal and iron ore prices</w:t>
      </w:r>
      <w:r>
        <w:t>,</w:t>
      </w:r>
      <w:r w:rsidRPr="00F47AF8">
        <w:t xml:space="preserve"> </w:t>
      </w:r>
      <w:r>
        <w:t xml:space="preserve">which </w:t>
      </w:r>
      <w:r w:rsidRPr="00F47AF8">
        <w:t>increas</w:t>
      </w:r>
      <w:r>
        <w:t>e</w:t>
      </w:r>
      <w:r w:rsidRPr="00F47AF8">
        <w:t xml:space="preserve"> Queensland’s and Western</w:t>
      </w:r>
      <w:r>
        <w:t> </w:t>
      </w:r>
      <w:r w:rsidRPr="00F47AF8">
        <w:t>Australia’s assessed GST needs and decreas</w:t>
      </w:r>
      <w:r>
        <w:t>e</w:t>
      </w:r>
      <w:r w:rsidRPr="00F47AF8">
        <w:t xml:space="preserve"> assessed GST needs </w:t>
      </w:r>
      <w:r w:rsidR="00A24BE5">
        <w:t>of</w:t>
      </w:r>
      <w:r w:rsidR="00A24BE5" w:rsidRPr="00F47AF8">
        <w:t xml:space="preserve"> </w:t>
      </w:r>
      <w:r>
        <w:t xml:space="preserve">the </w:t>
      </w:r>
      <w:r w:rsidRPr="00F47AF8">
        <w:t>other states</w:t>
      </w:r>
    </w:p>
    <w:p w14:paraId="500F8DFD" w14:textId="0DC842D5" w:rsidR="003957CD" w:rsidRPr="00F47AF8" w:rsidRDefault="003957CD" w:rsidP="002F5ED5">
      <w:pPr>
        <w:pStyle w:val="CGCBulletPoints-Level2"/>
      </w:pPr>
      <w:r w:rsidRPr="00F47AF8">
        <w:t>above</w:t>
      </w:r>
      <w:r w:rsidRPr="00F47AF8">
        <w:noBreakHyphen/>
        <w:t>average growth in the value of property transfer</w:t>
      </w:r>
      <w:r w:rsidR="002615DC">
        <w:t>red</w:t>
      </w:r>
      <w:r w:rsidRPr="00F47AF8">
        <w:t>, which increase</w:t>
      </w:r>
      <w:r>
        <w:t>s</w:t>
      </w:r>
      <w:r w:rsidRPr="00F47AF8">
        <w:t xml:space="preserve"> its relative capacity to raise revenue from stamp duties.</w:t>
      </w:r>
    </w:p>
    <w:p w14:paraId="7FC714CC" w14:textId="10D10177" w:rsidR="003957CD" w:rsidRPr="00F47AF8" w:rsidRDefault="003957CD" w:rsidP="002F5ED5">
      <w:pPr>
        <w:pStyle w:val="CGCBulletPoints"/>
      </w:pPr>
      <w:r>
        <w:t xml:space="preserve">This is partially </w:t>
      </w:r>
      <w:r w:rsidR="00470B71">
        <w:t>offset</w:t>
      </w:r>
      <w:r>
        <w:t xml:space="preserve"> by lower COVID-19 expenses, noting South Australia’s below-average COVID-19 expenses, which increase its assessed GST needs</w:t>
      </w:r>
      <w:r w:rsidRPr="00F47AF8">
        <w:t>.</w:t>
      </w:r>
    </w:p>
    <w:p w14:paraId="1375D9E9" w14:textId="77777777" w:rsidR="003957CD" w:rsidRDefault="003957CD" w:rsidP="002F5ED5">
      <w:pPr>
        <w:pStyle w:val="CGCBulletPoints"/>
      </w:pPr>
      <w:r>
        <w:t>E</w:t>
      </w:r>
      <w:r w:rsidRPr="00F47AF8">
        <w:t xml:space="preserve">xpected growth in the GST pool </w:t>
      </w:r>
      <w:r>
        <w:t>more than offsets South Australia’s reduced GST relativity and</w:t>
      </w:r>
      <w:r w:rsidRPr="00F47AF8">
        <w:t xml:space="preserve"> increase</w:t>
      </w:r>
      <w:r>
        <w:t>s</w:t>
      </w:r>
      <w:r w:rsidRPr="00F47AF8">
        <w:t xml:space="preserve"> </w:t>
      </w:r>
      <w:r>
        <w:t>its GST</w:t>
      </w:r>
      <w:r w:rsidRPr="00F47AF8">
        <w:t xml:space="preserve"> distribution</w:t>
      </w:r>
      <w:r>
        <w:t>.</w:t>
      </w:r>
    </w:p>
    <w:p w14:paraId="2B35869A" w14:textId="12342FA9" w:rsidR="003957CD" w:rsidRPr="00F47AF8" w:rsidRDefault="003957CD" w:rsidP="002F5ED5">
      <w:pPr>
        <w:pStyle w:val="CGCBulletPoints"/>
      </w:pPr>
      <w:r w:rsidRPr="00F47AF8">
        <w:t xml:space="preserve">Compared with </w:t>
      </w:r>
      <w:r w:rsidRPr="009F159D">
        <w:t>2025</w:t>
      </w:r>
      <w:r>
        <w:rPr>
          <w:rFonts w:ascii="Times New Roman" w:eastAsiaTheme="minorHAnsi" w:hAnsi="Times New Roman" w:cs="Times New Roman"/>
        </w:rPr>
        <w:t>‍</w:t>
      </w:r>
      <w:r w:rsidRPr="00637832">
        <w:rPr>
          <w:rFonts w:eastAsiaTheme="minorHAnsi" w:cstheme="minorBidi"/>
        </w:rPr>
        <w:t>–</w:t>
      </w:r>
      <w:r>
        <w:rPr>
          <w:rFonts w:ascii="Times New Roman" w:eastAsiaTheme="minorHAnsi" w:hAnsi="Times New Roman" w:cs="Times New Roman"/>
        </w:rPr>
        <w:t>‍</w:t>
      </w:r>
      <w:r w:rsidRPr="009F159D">
        <w:t>26</w:t>
      </w:r>
      <w:r w:rsidRPr="00F47AF8">
        <w:t xml:space="preserve">, the 2018 </w:t>
      </w:r>
      <w:r>
        <w:t>legislated</w:t>
      </w:r>
      <w:r w:rsidRPr="00F47AF8">
        <w:t xml:space="preserve"> changes to determining relativities increase South</w:t>
      </w:r>
      <w:r>
        <w:t> </w:t>
      </w:r>
      <w:r w:rsidRPr="00F47AF8">
        <w:t>Australia’s GST distribution</w:t>
      </w:r>
      <w:r>
        <w:t xml:space="preserve"> </w:t>
      </w:r>
      <w:r w:rsidR="00BA5484">
        <w:t xml:space="preserve">by </w:t>
      </w:r>
      <w:r w:rsidRPr="00F47AF8">
        <w:t>$6</w:t>
      </w:r>
      <w:r>
        <w:t>8</w:t>
      </w:r>
      <w:r w:rsidRPr="00F47AF8">
        <w:t> million.</w:t>
      </w:r>
    </w:p>
    <w:p w14:paraId="3F799C4F" w14:textId="77777777" w:rsidR="003957CD" w:rsidRPr="00F47AF8" w:rsidRDefault="003957CD" w:rsidP="00371E5F">
      <w:pPr>
        <w:pStyle w:val="CGC2025Caption"/>
        <w:ind w:left="1276" w:hanging="1276"/>
      </w:pPr>
      <w:r w:rsidRPr="00F47AF8">
        <w:t>Table 3-5</w:t>
      </w:r>
      <w:r w:rsidRPr="00F47AF8">
        <w:tab/>
        <w:t xml:space="preserve">Change in estimated GST distribution from </w:t>
      </w:r>
      <w:r w:rsidRPr="00F64DDF">
        <w:t>2025</w:t>
      </w:r>
      <w:r>
        <w:rPr>
          <w:rFonts w:ascii="Times New Roman" w:hAnsi="Times New Roman" w:cs="Times New Roman"/>
        </w:rPr>
        <w:t>‍</w:t>
      </w:r>
      <w:r w:rsidRPr="00F64DDF">
        <w:t>–</w:t>
      </w:r>
      <w:r>
        <w:rPr>
          <w:rFonts w:ascii="Times New Roman" w:hAnsi="Times New Roman" w:cs="Times New Roman"/>
        </w:rPr>
        <w:t>‍</w:t>
      </w:r>
      <w:r w:rsidRPr="00F64DDF">
        <w:t>26</w:t>
      </w:r>
      <w:r w:rsidRPr="00F47AF8">
        <w:t xml:space="preserve"> to </w:t>
      </w:r>
      <w:r w:rsidRPr="00F64DDF">
        <w:t>2026</w:t>
      </w:r>
      <w:r>
        <w:rPr>
          <w:rFonts w:ascii="Times New Roman" w:hAnsi="Times New Roman" w:cs="Times New Roman"/>
        </w:rPr>
        <w:t>‍</w:t>
      </w:r>
      <w:r w:rsidRPr="00F64DDF">
        <w:t>–</w:t>
      </w:r>
      <w:r>
        <w:rPr>
          <w:rFonts w:ascii="Times New Roman" w:hAnsi="Times New Roman" w:cs="Times New Roman"/>
        </w:rPr>
        <w:t>‍</w:t>
      </w:r>
      <w:r w:rsidRPr="00F64DDF">
        <w:t>27</w:t>
      </w:r>
      <w:r w:rsidRPr="00F47AF8">
        <w:t>, South Australia (excludes no worse off payments)</w:t>
      </w:r>
    </w:p>
    <w:tbl>
      <w:tblPr>
        <w:tblW w:w="9360" w:type="dxa"/>
        <w:tblLook w:val="04A0" w:firstRow="1" w:lastRow="0" w:firstColumn="1" w:lastColumn="0" w:noHBand="0" w:noVBand="1"/>
      </w:tblPr>
      <w:tblGrid>
        <w:gridCol w:w="4240"/>
        <w:gridCol w:w="2560"/>
        <w:gridCol w:w="2560"/>
      </w:tblGrid>
      <w:tr w:rsidR="003957CD" w:rsidRPr="001A59D1" w14:paraId="44504061" w14:textId="77777777" w:rsidTr="00E51790">
        <w:trPr>
          <w:trHeight w:val="290"/>
        </w:trPr>
        <w:tc>
          <w:tcPr>
            <w:tcW w:w="4240" w:type="dxa"/>
            <w:tcBorders>
              <w:top w:val="nil"/>
              <w:left w:val="nil"/>
              <w:bottom w:val="single" w:sz="4" w:space="0" w:color="ADD6EA"/>
              <w:right w:val="nil"/>
            </w:tcBorders>
            <w:shd w:val="clear" w:color="000000" w:fill="006991"/>
            <w:noWrap/>
            <w:vAlign w:val="center"/>
            <w:hideMark/>
          </w:tcPr>
          <w:p w14:paraId="376E5EC9"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 </w:t>
            </w:r>
          </w:p>
        </w:tc>
        <w:tc>
          <w:tcPr>
            <w:tcW w:w="2560" w:type="dxa"/>
            <w:tcBorders>
              <w:top w:val="nil"/>
              <w:left w:val="nil"/>
              <w:bottom w:val="single" w:sz="4" w:space="0" w:color="ADD6EA"/>
              <w:right w:val="nil"/>
            </w:tcBorders>
            <w:shd w:val="clear" w:color="000000" w:fill="006991"/>
            <w:noWrap/>
            <w:vAlign w:val="center"/>
            <w:hideMark/>
          </w:tcPr>
          <w:p w14:paraId="203727ED"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$m</w:t>
            </w:r>
          </w:p>
        </w:tc>
        <w:tc>
          <w:tcPr>
            <w:tcW w:w="2560" w:type="dxa"/>
            <w:tcBorders>
              <w:top w:val="nil"/>
              <w:left w:val="nil"/>
              <w:bottom w:val="single" w:sz="4" w:space="0" w:color="ADD6EA"/>
              <w:right w:val="nil"/>
            </w:tcBorders>
            <w:shd w:val="clear" w:color="000000" w:fill="006991"/>
            <w:noWrap/>
            <w:vAlign w:val="center"/>
            <w:hideMark/>
          </w:tcPr>
          <w:p w14:paraId="7F037FF1"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A59D1">
              <w:rPr>
                <w:rFonts w:ascii="Open Sans Semibold" w:eastAsia="Times New Roman" w:hAnsi="Open Sans Semibold" w:cs="Open Sans Semibold"/>
                <w:color w:val="FFFFFF"/>
                <w:sz w:val="16"/>
                <w:szCs w:val="16"/>
                <w:lang w:eastAsia="en-AU"/>
              </w:rPr>
              <w:t>$pc</w:t>
            </w:r>
          </w:p>
        </w:tc>
      </w:tr>
      <w:tr w:rsidR="003957CD" w:rsidRPr="001A59D1" w14:paraId="25FB3ED4" w14:textId="77777777" w:rsidTr="00E51790">
        <w:trPr>
          <w:trHeight w:val="290"/>
        </w:trPr>
        <w:tc>
          <w:tcPr>
            <w:tcW w:w="4240" w:type="dxa"/>
            <w:tcBorders>
              <w:top w:val="nil"/>
              <w:left w:val="nil"/>
              <w:bottom w:val="single" w:sz="4" w:space="0" w:color="ADD6EA"/>
              <w:right w:val="nil"/>
            </w:tcBorders>
            <w:noWrap/>
            <w:vAlign w:val="center"/>
            <w:hideMark/>
          </w:tcPr>
          <w:p w14:paraId="55C29E95"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Change in </w:t>
            </w:r>
            <w:r w:rsidRPr="001A59D1">
              <w:rPr>
                <w:rFonts w:ascii="Open Sans Light" w:eastAsia="Times New Roman" w:hAnsi="Open Sans Light" w:cs="Open Sans Light"/>
                <w:color w:val="000000"/>
                <w:sz w:val="16"/>
                <w:szCs w:val="16"/>
                <w:lang w:eastAsia="en-AU"/>
              </w:rPr>
              <w:t>population</w:t>
            </w:r>
          </w:p>
        </w:tc>
        <w:tc>
          <w:tcPr>
            <w:tcW w:w="2560" w:type="dxa"/>
            <w:tcBorders>
              <w:top w:val="nil"/>
              <w:left w:val="nil"/>
              <w:bottom w:val="single" w:sz="4" w:space="0" w:color="ADD6EA"/>
              <w:right w:val="nil"/>
            </w:tcBorders>
            <w:noWrap/>
            <w:vAlign w:val="center"/>
            <w:hideMark/>
          </w:tcPr>
          <w:p w14:paraId="264A8FB3"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-40</w:t>
            </w:r>
          </w:p>
        </w:tc>
        <w:tc>
          <w:tcPr>
            <w:tcW w:w="2560" w:type="dxa"/>
            <w:tcBorders>
              <w:top w:val="nil"/>
              <w:left w:val="nil"/>
              <w:bottom w:val="single" w:sz="4" w:space="0" w:color="ADD6EA"/>
              <w:right w:val="nil"/>
            </w:tcBorders>
            <w:noWrap/>
            <w:vAlign w:val="center"/>
            <w:hideMark/>
          </w:tcPr>
          <w:p w14:paraId="15778A24"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-21</w:t>
            </w:r>
          </w:p>
        </w:tc>
      </w:tr>
      <w:tr w:rsidR="003957CD" w:rsidRPr="001A59D1" w14:paraId="198E32AA" w14:textId="77777777" w:rsidTr="00E51790">
        <w:trPr>
          <w:trHeight w:val="290"/>
        </w:trPr>
        <w:tc>
          <w:tcPr>
            <w:tcW w:w="4240" w:type="dxa"/>
            <w:tcBorders>
              <w:top w:val="nil"/>
              <w:left w:val="nil"/>
              <w:bottom w:val="single" w:sz="4" w:space="0" w:color="ADD6EA"/>
              <w:right w:val="nil"/>
            </w:tcBorders>
            <w:noWrap/>
            <w:vAlign w:val="center"/>
            <w:hideMark/>
          </w:tcPr>
          <w:p w14:paraId="32A603E3"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Growth in GST pool </w:t>
            </w:r>
          </w:p>
        </w:tc>
        <w:tc>
          <w:tcPr>
            <w:tcW w:w="2560" w:type="dxa"/>
            <w:tcBorders>
              <w:top w:val="nil"/>
              <w:left w:val="nil"/>
              <w:bottom w:val="single" w:sz="4" w:space="0" w:color="ADD6EA"/>
              <w:right w:val="nil"/>
            </w:tcBorders>
            <w:noWrap/>
            <w:vAlign w:val="center"/>
            <w:hideMark/>
          </w:tcPr>
          <w:p w14:paraId="25EFF023"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566</w:t>
            </w:r>
          </w:p>
        </w:tc>
        <w:tc>
          <w:tcPr>
            <w:tcW w:w="2560" w:type="dxa"/>
            <w:tcBorders>
              <w:top w:val="nil"/>
              <w:left w:val="nil"/>
              <w:bottom w:val="single" w:sz="4" w:space="0" w:color="ADD6EA"/>
              <w:right w:val="nil"/>
            </w:tcBorders>
            <w:noWrap/>
            <w:vAlign w:val="center"/>
            <w:hideMark/>
          </w:tcPr>
          <w:p w14:paraId="00DC2BEF"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294</w:t>
            </w:r>
          </w:p>
        </w:tc>
      </w:tr>
      <w:tr w:rsidR="003957CD" w:rsidRPr="001A59D1" w14:paraId="63B9806E" w14:textId="77777777" w:rsidTr="00E51790">
        <w:trPr>
          <w:trHeight w:val="290"/>
        </w:trPr>
        <w:tc>
          <w:tcPr>
            <w:tcW w:w="4240" w:type="dxa"/>
            <w:tcBorders>
              <w:top w:val="nil"/>
              <w:left w:val="nil"/>
              <w:bottom w:val="single" w:sz="4" w:space="0" w:color="ADD6EA"/>
              <w:right w:val="nil"/>
            </w:tcBorders>
            <w:noWrap/>
            <w:vAlign w:val="center"/>
            <w:hideMark/>
          </w:tcPr>
          <w:p w14:paraId="7F3A5821" w14:textId="6018A5A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xml:space="preserve">Changes in assessed </w:t>
            </w:r>
            <w:r w:rsidR="001169A0">
              <w:rPr>
                <w:rFonts w:ascii="Open Sans Light" w:eastAsia="Times New Roman" w:hAnsi="Open Sans Light" w:cs="Open Sans Light"/>
                <w:sz w:val="16"/>
                <w:szCs w:val="16"/>
                <w:lang w:eastAsia="en-AU"/>
              </w:rPr>
              <w:t xml:space="preserve">GST </w:t>
            </w:r>
            <w:r w:rsidRPr="001A59D1">
              <w:rPr>
                <w:rFonts w:ascii="Open Sans Light" w:eastAsia="Times New Roman" w:hAnsi="Open Sans Light" w:cs="Open Sans Light"/>
                <w:sz w:val="16"/>
                <w:szCs w:val="16"/>
                <w:lang w:eastAsia="en-AU"/>
              </w:rPr>
              <w:t>needs</w:t>
            </w:r>
          </w:p>
        </w:tc>
        <w:tc>
          <w:tcPr>
            <w:tcW w:w="2560" w:type="dxa"/>
            <w:tcBorders>
              <w:top w:val="nil"/>
              <w:left w:val="nil"/>
              <w:bottom w:val="single" w:sz="4" w:space="0" w:color="ADD6EA"/>
              <w:right w:val="nil"/>
            </w:tcBorders>
            <w:noWrap/>
            <w:vAlign w:val="center"/>
            <w:hideMark/>
          </w:tcPr>
          <w:p w14:paraId="7C53F46A"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w:t>
            </w:r>
          </w:p>
        </w:tc>
        <w:tc>
          <w:tcPr>
            <w:tcW w:w="2560" w:type="dxa"/>
            <w:tcBorders>
              <w:top w:val="nil"/>
              <w:left w:val="nil"/>
              <w:bottom w:val="single" w:sz="4" w:space="0" w:color="ADD6EA"/>
              <w:right w:val="nil"/>
            </w:tcBorders>
            <w:noWrap/>
            <w:vAlign w:val="center"/>
            <w:hideMark/>
          </w:tcPr>
          <w:p w14:paraId="3BD489DC"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 </w:t>
            </w:r>
          </w:p>
        </w:tc>
      </w:tr>
      <w:tr w:rsidR="003957CD" w:rsidRPr="001A59D1" w14:paraId="012624F1" w14:textId="77777777" w:rsidTr="00E51790">
        <w:trPr>
          <w:trHeight w:val="290"/>
        </w:trPr>
        <w:tc>
          <w:tcPr>
            <w:tcW w:w="4240" w:type="dxa"/>
            <w:tcBorders>
              <w:top w:val="nil"/>
              <w:left w:val="nil"/>
              <w:bottom w:val="single" w:sz="4" w:space="0" w:color="ADD6EA"/>
              <w:right w:val="nil"/>
            </w:tcBorders>
            <w:noWrap/>
            <w:vAlign w:val="center"/>
            <w:hideMark/>
          </w:tcPr>
          <w:p w14:paraId="5E80EF0D"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Method changes</w:t>
            </w:r>
          </w:p>
        </w:tc>
        <w:tc>
          <w:tcPr>
            <w:tcW w:w="2560" w:type="dxa"/>
            <w:tcBorders>
              <w:top w:val="nil"/>
              <w:left w:val="nil"/>
              <w:bottom w:val="single" w:sz="4" w:space="0" w:color="ADD6EA"/>
              <w:right w:val="nil"/>
            </w:tcBorders>
            <w:noWrap/>
            <w:vAlign w:val="center"/>
            <w:hideMark/>
          </w:tcPr>
          <w:p w14:paraId="135F9F91"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-40</w:t>
            </w:r>
          </w:p>
        </w:tc>
        <w:tc>
          <w:tcPr>
            <w:tcW w:w="2560" w:type="dxa"/>
            <w:tcBorders>
              <w:top w:val="nil"/>
              <w:left w:val="nil"/>
              <w:bottom w:val="single" w:sz="4" w:space="0" w:color="ADD6EA"/>
              <w:right w:val="nil"/>
            </w:tcBorders>
            <w:noWrap/>
            <w:vAlign w:val="center"/>
            <w:hideMark/>
          </w:tcPr>
          <w:p w14:paraId="567928FC"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-21</w:t>
            </w:r>
          </w:p>
        </w:tc>
      </w:tr>
      <w:tr w:rsidR="003957CD" w:rsidRPr="001A59D1" w14:paraId="6957D974" w14:textId="77777777" w:rsidTr="00E51790">
        <w:trPr>
          <w:trHeight w:val="290"/>
        </w:trPr>
        <w:tc>
          <w:tcPr>
            <w:tcW w:w="4240" w:type="dxa"/>
            <w:tcBorders>
              <w:top w:val="nil"/>
              <w:left w:val="nil"/>
              <w:bottom w:val="single" w:sz="4" w:space="0" w:color="ADD6EA"/>
              <w:right w:val="nil"/>
            </w:tcBorders>
            <w:noWrap/>
            <w:vAlign w:val="center"/>
            <w:hideMark/>
          </w:tcPr>
          <w:p w14:paraId="2F63D96A"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Data revisions</w:t>
            </w:r>
          </w:p>
        </w:tc>
        <w:tc>
          <w:tcPr>
            <w:tcW w:w="2560" w:type="dxa"/>
            <w:tcBorders>
              <w:top w:val="nil"/>
              <w:left w:val="nil"/>
              <w:bottom w:val="single" w:sz="4" w:space="0" w:color="ADD6EA"/>
              <w:right w:val="nil"/>
            </w:tcBorders>
            <w:noWrap/>
            <w:vAlign w:val="center"/>
            <w:hideMark/>
          </w:tcPr>
          <w:p w14:paraId="24988343"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-25</w:t>
            </w:r>
          </w:p>
        </w:tc>
        <w:tc>
          <w:tcPr>
            <w:tcW w:w="2560" w:type="dxa"/>
            <w:tcBorders>
              <w:top w:val="nil"/>
              <w:left w:val="nil"/>
              <w:bottom w:val="single" w:sz="4" w:space="0" w:color="ADD6EA"/>
              <w:right w:val="nil"/>
            </w:tcBorders>
            <w:noWrap/>
            <w:vAlign w:val="center"/>
            <w:hideMark/>
          </w:tcPr>
          <w:p w14:paraId="09F078D2"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-13</w:t>
            </w:r>
          </w:p>
        </w:tc>
      </w:tr>
      <w:tr w:rsidR="003957CD" w:rsidRPr="001A59D1" w14:paraId="72FF562A" w14:textId="77777777" w:rsidTr="00E51790">
        <w:trPr>
          <w:trHeight w:val="290"/>
        </w:trPr>
        <w:tc>
          <w:tcPr>
            <w:tcW w:w="4240" w:type="dxa"/>
            <w:tcBorders>
              <w:top w:val="nil"/>
              <w:left w:val="nil"/>
              <w:bottom w:val="single" w:sz="4" w:space="0" w:color="ADD6EA"/>
              <w:right w:val="nil"/>
            </w:tcBorders>
            <w:noWrap/>
            <w:vAlign w:val="center"/>
            <w:hideMark/>
          </w:tcPr>
          <w:p w14:paraId="6A3E326F"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State circumstances</w:t>
            </w:r>
          </w:p>
        </w:tc>
        <w:tc>
          <w:tcPr>
            <w:tcW w:w="2560" w:type="dxa"/>
            <w:tcBorders>
              <w:top w:val="nil"/>
              <w:left w:val="nil"/>
              <w:bottom w:val="single" w:sz="4" w:space="0" w:color="ADD6EA"/>
              <w:right w:val="nil"/>
            </w:tcBorders>
            <w:noWrap/>
            <w:vAlign w:val="center"/>
            <w:hideMark/>
          </w:tcPr>
          <w:p w14:paraId="6F21B512"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-188</w:t>
            </w:r>
          </w:p>
        </w:tc>
        <w:tc>
          <w:tcPr>
            <w:tcW w:w="2560" w:type="dxa"/>
            <w:tcBorders>
              <w:top w:val="nil"/>
              <w:left w:val="nil"/>
              <w:bottom w:val="single" w:sz="4" w:space="0" w:color="ADD6EA"/>
              <w:right w:val="nil"/>
            </w:tcBorders>
            <w:noWrap/>
            <w:vAlign w:val="center"/>
            <w:hideMark/>
          </w:tcPr>
          <w:p w14:paraId="7B2C7131"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-97</w:t>
            </w:r>
          </w:p>
        </w:tc>
      </w:tr>
      <w:tr w:rsidR="003957CD" w:rsidRPr="001A59D1" w14:paraId="4E45528C" w14:textId="77777777" w:rsidTr="00E51790">
        <w:trPr>
          <w:trHeight w:val="290"/>
        </w:trPr>
        <w:tc>
          <w:tcPr>
            <w:tcW w:w="4240" w:type="dxa"/>
            <w:tcBorders>
              <w:top w:val="nil"/>
              <w:left w:val="nil"/>
              <w:bottom w:val="single" w:sz="4" w:space="0" w:color="ADD6EA"/>
              <w:right w:val="nil"/>
            </w:tcBorders>
            <w:noWrap/>
            <w:vAlign w:val="center"/>
            <w:hideMark/>
          </w:tcPr>
          <w:p w14:paraId="489982B7" w14:textId="77777777" w:rsidR="003957CD" w:rsidRPr="001A59D1"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Total</w:t>
            </w:r>
          </w:p>
        </w:tc>
        <w:tc>
          <w:tcPr>
            <w:tcW w:w="2560" w:type="dxa"/>
            <w:tcBorders>
              <w:top w:val="nil"/>
              <w:left w:val="nil"/>
              <w:bottom w:val="single" w:sz="4" w:space="0" w:color="ADD6EA"/>
              <w:right w:val="nil"/>
            </w:tcBorders>
            <w:noWrap/>
            <w:vAlign w:val="center"/>
            <w:hideMark/>
          </w:tcPr>
          <w:p w14:paraId="44389141"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-253</w:t>
            </w:r>
          </w:p>
        </w:tc>
        <w:tc>
          <w:tcPr>
            <w:tcW w:w="2560" w:type="dxa"/>
            <w:tcBorders>
              <w:top w:val="nil"/>
              <w:left w:val="nil"/>
              <w:bottom w:val="single" w:sz="4" w:space="0" w:color="ADD6EA"/>
              <w:right w:val="nil"/>
            </w:tcBorders>
            <w:noWrap/>
            <w:vAlign w:val="center"/>
            <w:hideMark/>
          </w:tcPr>
          <w:p w14:paraId="49293E3C"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-131</w:t>
            </w:r>
          </w:p>
        </w:tc>
      </w:tr>
      <w:tr w:rsidR="003957CD" w:rsidRPr="001A59D1" w14:paraId="6885D329" w14:textId="77777777" w:rsidTr="00E51790">
        <w:trPr>
          <w:trHeight w:val="290"/>
        </w:trPr>
        <w:tc>
          <w:tcPr>
            <w:tcW w:w="4240" w:type="dxa"/>
            <w:tcBorders>
              <w:top w:val="nil"/>
              <w:left w:val="nil"/>
              <w:bottom w:val="single" w:sz="4" w:space="0" w:color="ADD6EA"/>
              <w:right w:val="nil"/>
            </w:tcBorders>
            <w:noWrap/>
            <w:vAlign w:val="center"/>
            <w:hideMark/>
          </w:tcPr>
          <w:p w14:paraId="547C9B07" w14:textId="77777777" w:rsidR="003957CD" w:rsidRPr="001A59D1"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2018 legislated changes to determining relativities</w:t>
            </w:r>
          </w:p>
        </w:tc>
        <w:tc>
          <w:tcPr>
            <w:tcW w:w="2560" w:type="dxa"/>
            <w:tcBorders>
              <w:top w:val="nil"/>
              <w:left w:val="nil"/>
              <w:bottom w:val="single" w:sz="4" w:space="0" w:color="ADD6EA"/>
              <w:right w:val="nil"/>
            </w:tcBorders>
            <w:noWrap/>
            <w:vAlign w:val="center"/>
            <w:hideMark/>
          </w:tcPr>
          <w:p w14:paraId="4B543109"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68</w:t>
            </w:r>
          </w:p>
        </w:tc>
        <w:tc>
          <w:tcPr>
            <w:tcW w:w="2560" w:type="dxa"/>
            <w:tcBorders>
              <w:top w:val="nil"/>
              <w:left w:val="nil"/>
              <w:bottom w:val="single" w:sz="4" w:space="0" w:color="ADD6EA"/>
              <w:right w:val="nil"/>
            </w:tcBorders>
            <w:noWrap/>
            <w:vAlign w:val="center"/>
            <w:hideMark/>
          </w:tcPr>
          <w:p w14:paraId="77EA09C5" w14:textId="77777777" w:rsidR="003957CD" w:rsidRPr="001A59D1"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1A59D1">
              <w:rPr>
                <w:rFonts w:ascii="Open Sans Light" w:eastAsia="Times New Roman" w:hAnsi="Open Sans Light" w:cs="Open Sans Light"/>
                <w:sz w:val="16"/>
                <w:szCs w:val="16"/>
                <w:lang w:eastAsia="en-AU"/>
              </w:rPr>
              <w:t>3</w:t>
            </w:r>
            <w:r>
              <w:rPr>
                <w:rFonts w:ascii="Open Sans Light" w:eastAsia="Times New Roman" w:hAnsi="Open Sans Light" w:cs="Open Sans Light"/>
                <w:sz w:val="16"/>
                <w:szCs w:val="16"/>
                <w:lang w:eastAsia="en-AU"/>
              </w:rPr>
              <w:t>5</w:t>
            </w:r>
          </w:p>
        </w:tc>
      </w:tr>
      <w:tr w:rsidR="003957CD" w:rsidRPr="001A59D1" w14:paraId="66F465CD" w14:textId="77777777" w:rsidTr="00E51790">
        <w:trPr>
          <w:trHeight w:val="290"/>
        </w:trPr>
        <w:tc>
          <w:tcPr>
            <w:tcW w:w="4240" w:type="dxa"/>
            <w:tcBorders>
              <w:top w:val="nil"/>
              <w:left w:val="nil"/>
              <w:bottom w:val="single" w:sz="4" w:space="0" w:color="ADD6EA"/>
              <w:right w:val="nil"/>
            </w:tcBorders>
            <w:shd w:val="clear" w:color="000000" w:fill="D6E7F0"/>
            <w:noWrap/>
            <w:vAlign w:val="center"/>
            <w:hideMark/>
          </w:tcPr>
          <w:p w14:paraId="7102AAD3" w14:textId="77777777" w:rsidR="003957CD" w:rsidRPr="001A59D1"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Total change</w:t>
            </w:r>
          </w:p>
        </w:tc>
        <w:tc>
          <w:tcPr>
            <w:tcW w:w="2560" w:type="dxa"/>
            <w:tcBorders>
              <w:top w:val="nil"/>
              <w:left w:val="nil"/>
              <w:bottom w:val="single" w:sz="4" w:space="0" w:color="ADD6EA"/>
              <w:right w:val="nil"/>
            </w:tcBorders>
            <w:shd w:val="clear" w:color="000000" w:fill="D6E7F0"/>
            <w:noWrap/>
            <w:vAlign w:val="center"/>
            <w:hideMark/>
          </w:tcPr>
          <w:p w14:paraId="0E60662E"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342</w:t>
            </w:r>
          </w:p>
        </w:tc>
        <w:tc>
          <w:tcPr>
            <w:tcW w:w="2560" w:type="dxa"/>
            <w:tcBorders>
              <w:top w:val="nil"/>
              <w:left w:val="nil"/>
              <w:bottom w:val="single" w:sz="4" w:space="0" w:color="ADD6EA"/>
              <w:right w:val="nil"/>
            </w:tcBorders>
            <w:shd w:val="clear" w:color="000000" w:fill="D6E7F0"/>
            <w:noWrap/>
            <w:vAlign w:val="center"/>
            <w:hideMark/>
          </w:tcPr>
          <w:p w14:paraId="233C9A33" w14:textId="77777777" w:rsidR="003957CD" w:rsidRPr="001A59D1"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A59D1">
              <w:rPr>
                <w:rFonts w:ascii="Open Sans Semibold" w:eastAsia="Times New Roman" w:hAnsi="Open Sans Semibold" w:cs="Open Sans Semibold"/>
                <w:color w:val="000000"/>
                <w:sz w:val="16"/>
                <w:szCs w:val="16"/>
                <w:lang w:eastAsia="en-AU"/>
              </w:rPr>
              <w:t>178</w:t>
            </w:r>
          </w:p>
        </w:tc>
      </w:tr>
    </w:tbl>
    <w:p w14:paraId="48F24A0E" w14:textId="77777777" w:rsidR="003957CD" w:rsidRPr="00F47AF8" w:rsidRDefault="003957CD" w:rsidP="003957CD">
      <w:pPr>
        <w:tabs>
          <w:tab w:val="clear" w:pos="567"/>
        </w:tabs>
        <w:spacing w:before="0" w:line="240" w:lineRule="auto"/>
        <w:rPr>
          <w:rFonts w:ascii="Open Sans Light" w:eastAsia="Times New Roman" w:hAnsi="Open Sans Light" w:cs="Times New Roman"/>
          <w:szCs w:val="20"/>
        </w:rPr>
      </w:pPr>
      <w:r w:rsidRPr="00F47AF8">
        <w:rPr>
          <w:rFonts w:ascii="Open Sans Light" w:eastAsia="Times New Roman" w:hAnsi="Open Sans Light" w:cs="Times New Roman"/>
          <w:szCs w:val="20"/>
        </w:rPr>
        <w:br w:type="page"/>
      </w:r>
    </w:p>
    <w:p w14:paraId="120FDA19" w14:textId="77777777" w:rsidR="003957CD" w:rsidRPr="00F47AF8" w:rsidRDefault="003957CD" w:rsidP="00371E5F">
      <w:pPr>
        <w:pStyle w:val="CGC2025Caption"/>
      </w:pPr>
      <w:r w:rsidRPr="00F47AF8">
        <w:lastRenderedPageBreak/>
        <w:t>Figure 3</w:t>
      </w:r>
      <w:r w:rsidRPr="00F47AF8">
        <w:noBreakHyphen/>
        <w:t>5</w:t>
      </w:r>
      <w:r w:rsidRPr="00F47AF8">
        <w:tab/>
        <w:t>South</w:t>
      </w:r>
      <w:r>
        <w:t> </w:t>
      </w:r>
      <w:r w:rsidRPr="00F47AF8">
        <w:t>Australia: main changes in assessed GST needs, 2026</w:t>
      </w:r>
      <w:r w:rsidRPr="00BA42D7">
        <w:t>–</w:t>
      </w:r>
      <w:r>
        <w:t>27 relativities</w:t>
      </w:r>
    </w:p>
    <w:tbl>
      <w:tblPr>
        <w:tblW w:w="9260" w:type="dxa"/>
        <w:tblLook w:val="04A0" w:firstRow="1" w:lastRow="0" w:firstColumn="1" w:lastColumn="0" w:noHBand="0" w:noVBand="1"/>
      </w:tblPr>
      <w:tblGrid>
        <w:gridCol w:w="2780"/>
        <w:gridCol w:w="720"/>
        <w:gridCol w:w="720"/>
        <w:gridCol w:w="5040"/>
      </w:tblGrid>
      <w:tr w:rsidR="003957CD" w:rsidRPr="00B344FB" w14:paraId="6B433E69" w14:textId="77777777" w:rsidTr="00E51790">
        <w:trPr>
          <w:trHeight w:val="290"/>
        </w:trPr>
        <w:tc>
          <w:tcPr>
            <w:tcW w:w="9260" w:type="dxa"/>
            <w:gridSpan w:val="4"/>
            <w:tcBorders>
              <w:top w:val="nil"/>
              <w:left w:val="nil"/>
              <w:bottom w:val="nil"/>
              <w:right w:val="nil"/>
            </w:tcBorders>
            <w:shd w:val="clear" w:color="000000" w:fill="006991"/>
            <w:vAlign w:val="center"/>
            <w:hideMark/>
          </w:tcPr>
          <w:p w14:paraId="052EB0DA"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B344FB">
              <w:rPr>
                <w:rFonts w:ascii="Open Sans Semibold" w:eastAsia="Times New Roman" w:hAnsi="Open Sans Semibold" w:cs="Open Sans Semibold"/>
                <w:color w:val="FFFFFF"/>
                <w:sz w:val="16"/>
                <w:szCs w:val="16"/>
                <w:lang w:eastAsia="en-AU"/>
              </w:rPr>
              <w:t>Revisions</w:t>
            </w:r>
          </w:p>
        </w:tc>
      </w:tr>
      <w:tr w:rsidR="003957CD" w:rsidRPr="00B344FB" w14:paraId="625E97F0" w14:textId="77777777" w:rsidTr="00E51790">
        <w:trPr>
          <w:trHeight w:val="290"/>
        </w:trPr>
        <w:tc>
          <w:tcPr>
            <w:tcW w:w="2780" w:type="dxa"/>
            <w:tcBorders>
              <w:top w:val="single" w:sz="4" w:space="0" w:color="ADD6EA"/>
              <w:left w:val="nil"/>
              <w:bottom w:val="nil"/>
              <w:right w:val="nil"/>
            </w:tcBorders>
            <w:shd w:val="clear" w:color="000000" w:fill="D6E7F0"/>
            <w:hideMark/>
          </w:tcPr>
          <w:p w14:paraId="0DBE2A39"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53668BB9" w14:textId="77777777" w:rsidR="003957CD" w:rsidRPr="00B344F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200B08D5"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Explanation</w:t>
            </w:r>
          </w:p>
        </w:tc>
      </w:tr>
      <w:tr w:rsidR="003957CD" w:rsidRPr="00B344FB" w14:paraId="18D5387F" w14:textId="77777777" w:rsidTr="00E51790">
        <w:trPr>
          <w:trHeight w:val="290"/>
        </w:trPr>
        <w:tc>
          <w:tcPr>
            <w:tcW w:w="2780" w:type="dxa"/>
            <w:tcBorders>
              <w:top w:val="single" w:sz="4" w:space="0" w:color="ADD6EA"/>
              <w:left w:val="nil"/>
              <w:bottom w:val="nil"/>
              <w:right w:val="nil"/>
            </w:tcBorders>
            <w:shd w:val="clear" w:color="000000" w:fill="B6D5E4"/>
            <w:hideMark/>
          </w:tcPr>
          <w:p w14:paraId="61F7B3BE"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76B76CE4" w14:textId="77777777" w:rsidR="003957CD" w:rsidRPr="00B344F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75D9641B" w14:textId="77777777" w:rsidR="003957CD" w:rsidRPr="00B344F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2FE254A0"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 </w:t>
            </w:r>
          </w:p>
        </w:tc>
      </w:tr>
      <w:tr w:rsidR="003957CD" w:rsidRPr="00B344FB" w14:paraId="409403F8" w14:textId="77777777" w:rsidTr="005E5652">
        <w:trPr>
          <w:trHeight w:val="1134"/>
        </w:trPr>
        <w:tc>
          <w:tcPr>
            <w:tcW w:w="2780" w:type="dxa"/>
            <w:tcBorders>
              <w:top w:val="single" w:sz="4" w:space="0" w:color="ADD6EA"/>
              <w:left w:val="nil"/>
              <w:bottom w:val="nil"/>
              <w:right w:val="nil"/>
            </w:tcBorders>
            <w:shd w:val="clear" w:color="000000" w:fill="FFFFFF"/>
            <w:hideMark/>
          </w:tcPr>
          <w:p w14:paraId="46E526B8"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Net borrowing</w:t>
            </w:r>
          </w:p>
        </w:tc>
        <w:tc>
          <w:tcPr>
            <w:tcW w:w="720" w:type="dxa"/>
            <w:tcBorders>
              <w:top w:val="single" w:sz="4" w:space="0" w:color="ADD6EA"/>
              <w:left w:val="nil"/>
              <w:bottom w:val="nil"/>
              <w:right w:val="nil"/>
            </w:tcBorders>
            <w:shd w:val="clear" w:color="000000" w:fill="EBBFA0"/>
            <w:hideMark/>
          </w:tcPr>
          <w:p w14:paraId="600B3EBA"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-52</w:t>
            </w:r>
          </w:p>
        </w:tc>
        <w:tc>
          <w:tcPr>
            <w:tcW w:w="720" w:type="dxa"/>
            <w:tcBorders>
              <w:top w:val="single" w:sz="4" w:space="0" w:color="ADD6EA"/>
              <w:left w:val="nil"/>
              <w:bottom w:val="nil"/>
              <w:right w:val="nil"/>
            </w:tcBorders>
            <w:shd w:val="clear" w:color="000000" w:fill="EBBFA0"/>
            <w:hideMark/>
          </w:tcPr>
          <w:p w14:paraId="2A725644"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-27</w:t>
            </w:r>
          </w:p>
        </w:tc>
        <w:tc>
          <w:tcPr>
            <w:tcW w:w="5040" w:type="dxa"/>
            <w:tcBorders>
              <w:top w:val="single" w:sz="4" w:space="0" w:color="ADD6EA"/>
              <w:left w:val="nil"/>
              <w:bottom w:val="nil"/>
              <w:right w:val="nil"/>
            </w:tcBorders>
            <w:shd w:val="clear" w:color="000000" w:fill="FFFFFF"/>
            <w:hideMark/>
          </w:tcPr>
          <w:p w14:paraId="7F64295E" w14:textId="11CDDCD5"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A downward revision to the size of states</w:t>
            </w:r>
            <w:r>
              <w:rPr>
                <w:rFonts w:ascii="Open Sans Light" w:eastAsia="Times New Roman" w:hAnsi="Open Sans Light" w:cs="Open Sans Light"/>
                <w:color w:val="000000"/>
                <w:sz w:val="16"/>
                <w:szCs w:val="16"/>
                <w:lang w:eastAsia="en-AU"/>
              </w:rPr>
              <w:t>’</w:t>
            </w:r>
            <w:r w:rsidRPr="00B344FB">
              <w:rPr>
                <w:rFonts w:ascii="Open Sans Light" w:eastAsia="Times New Roman" w:hAnsi="Open Sans Light" w:cs="Open Sans Light"/>
                <w:color w:val="000000"/>
                <w:sz w:val="16"/>
                <w:szCs w:val="16"/>
                <w:lang w:eastAsia="en-AU"/>
              </w:rPr>
              <w:t xml:space="preserve"> net financial liabilities </w:t>
            </w:r>
            <w:r w:rsidR="00892855">
              <w:rPr>
                <w:rFonts w:ascii="Open Sans Light" w:eastAsia="Times New Roman" w:hAnsi="Open Sans Light" w:cs="Open Sans Light"/>
                <w:color w:val="000000"/>
                <w:sz w:val="16"/>
                <w:szCs w:val="16"/>
                <w:lang w:eastAsia="en-AU"/>
              </w:rPr>
              <w:t xml:space="preserve">has </w:t>
            </w:r>
            <w:r w:rsidRPr="00B344FB">
              <w:rPr>
                <w:rFonts w:ascii="Open Sans Light" w:eastAsia="Times New Roman" w:hAnsi="Open Sans Light" w:cs="Open Sans Light"/>
                <w:color w:val="000000"/>
                <w:sz w:val="16"/>
                <w:szCs w:val="16"/>
                <w:lang w:eastAsia="en-AU"/>
              </w:rPr>
              <w:t>reduce</w:t>
            </w:r>
            <w:r w:rsidR="00892855">
              <w:rPr>
                <w:rFonts w:ascii="Open Sans Light" w:eastAsia="Times New Roman" w:hAnsi="Open Sans Light" w:cs="Open Sans Light"/>
                <w:color w:val="000000"/>
                <w:sz w:val="16"/>
                <w:szCs w:val="16"/>
                <w:lang w:eastAsia="en-AU"/>
              </w:rPr>
              <w:t>d</w:t>
            </w:r>
            <w:r w:rsidRPr="00B344FB">
              <w:rPr>
                <w:rFonts w:ascii="Open Sans Light" w:eastAsia="Times New Roman" w:hAnsi="Open Sans Light" w:cs="Open Sans Light"/>
                <w:color w:val="000000"/>
                <w:sz w:val="16"/>
                <w:szCs w:val="16"/>
                <w:lang w:eastAsia="en-AU"/>
              </w:rPr>
              <w:t xml:space="preserve"> assessed liabilities per person. South Australia</w:t>
            </w:r>
            <w:r>
              <w:rPr>
                <w:rFonts w:ascii="Open Sans Light" w:eastAsia="Times New Roman" w:hAnsi="Open Sans Light" w:cs="Open Sans Light"/>
                <w:color w:val="000000"/>
                <w:sz w:val="16"/>
                <w:szCs w:val="16"/>
                <w:lang w:eastAsia="en-AU"/>
              </w:rPr>
              <w:t>’</w:t>
            </w:r>
            <w:r w:rsidRPr="00B344FB">
              <w:rPr>
                <w:rFonts w:ascii="Open Sans Light" w:eastAsia="Times New Roman" w:hAnsi="Open Sans Light" w:cs="Open Sans Light"/>
                <w:color w:val="000000"/>
                <w:sz w:val="16"/>
                <w:szCs w:val="16"/>
                <w:lang w:eastAsia="en-AU"/>
              </w:rPr>
              <w:t xml:space="preserve">s population growth rate </w:t>
            </w:r>
            <w:r>
              <w:rPr>
                <w:rFonts w:ascii="Open Sans Light" w:eastAsia="Times New Roman" w:hAnsi="Open Sans Light" w:cs="Open Sans Light"/>
                <w:color w:val="000000"/>
                <w:sz w:val="16"/>
                <w:szCs w:val="16"/>
                <w:lang w:eastAsia="en-AU"/>
              </w:rPr>
              <w:t xml:space="preserve">has been </w:t>
            </w:r>
            <w:r w:rsidRPr="00B344FB">
              <w:rPr>
                <w:rFonts w:ascii="Open Sans Light" w:eastAsia="Times New Roman" w:hAnsi="Open Sans Light" w:cs="Open Sans Light"/>
                <w:color w:val="000000"/>
                <w:sz w:val="16"/>
                <w:szCs w:val="16"/>
                <w:lang w:eastAsia="en-AU"/>
              </w:rPr>
              <w:t>revised up towards the national average, further reducing assessed liabilities per person. These both reduce South Australia’s assessed GST needs.</w:t>
            </w:r>
          </w:p>
        </w:tc>
      </w:tr>
      <w:tr w:rsidR="003957CD" w:rsidRPr="00B344FB" w14:paraId="1E63A9B5" w14:textId="77777777" w:rsidTr="00E51790">
        <w:trPr>
          <w:trHeight w:val="290"/>
        </w:trPr>
        <w:tc>
          <w:tcPr>
            <w:tcW w:w="9260" w:type="dxa"/>
            <w:gridSpan w:val="4"/>
            <w:tcBorders>
              <w:top w:val="nil"/>
              <w:left w:val="nil"/>
              <w:bottom w:val="nil"/>
              <w:right w:val="nil"/>
            </w:tcBorders>
            <w:shd w:val="clear" w:color="000000" w:fill="006991"/>
            <w:vAlign w:val="center"/>
            <w:hideMark/>
          </w:tcPr>
          <w:p w14:paraId="09690EA6"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B344FB">
              <w:rPr>
                <w:rFonts w:ascii="Open Sans Semibold" w:eastAsia="Times New Roman" w:hAnsi="Open Sans Semibold" w:cs="Open Sans Semibold"/>
                <w:color w:val="FFFFFF"/>
                <w:sz w:val="16"/>
                <w:szCs w:val="16"/>
                <w:lang w:eastAsia="en-AU"/>
              </w:rPr>
              <w:t xml:space="preserve">Changes in circumstances </w:t>
            </w:r>
          </w:p>
        </w:tc>
      </w:tr>
      <w:tr w:rsidR="003957CD" w:rsidRPr="00B344FB" w14:paraId="5F608BAF" w14:textId="77777777" w:rsidTr="00E51790">
        <w:trPr>
          <w:trHeight w:val="290"/>
        </w:trPr>
        <w:tc>
          <w:tcPr>
            <w:tcW w:w="2780" w:type="dxa"/>
            <w:tcBorders>
              <w:top w:val="single" w:sz="4" w:space="0" w:color="ADD6EA"/>
              <w:left w:val="nil"/>
              <w:bottom w:val="nil"/>
              <w:right w:val="nil"/>
            </w:tcBorders>
            <w:shd w:val="clear" w:color="000000" w:fill="D6E7F0"/>
            <w:hideMark/>
          </w:tcPr>
          <w:p w14:paraId="70724F74"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6C5F1903" w14:textId="77777777" w:rsidR="003957CD" w:rsidRPr="00B344F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174F7C4E"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Explanation</w:t>
            </w:r>
          </w:p>
        </w:tc>
      </w:tr>
      <w:tr w:rsidR="003957CD" w:rsidRPr="00B344FB" w14:paraId="7FB971C2" w14:textId="77777777" w:rsidTr="00E51790">
        <w:trPr>
          <w:trHeight w:val="290"/>
        </w:trPr>
        <w:tc>
          <w:tcPr>
            <w:tcW w:w="2780" w:type="dxa"/>
            <w:tcBorders>
              <w:top w:val="single" w:sz="4" w:space="0" w:color="ADD6EA"/>
              <w:left w:val="nil"/>
              <w:bottom w:val="nil"/>
              <w:right w:val="nil"/>
            </w:tcBorders>
            <w:shd w:val="clear" w:color="000000" w:fill="B6D5E4"/>
            <w:hideMark/>
          </w:tcPr>
          <w:p w14:paraId="15DBA021"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259AC684" w14:textId="77777777" w:rsidR="003957CD" w:rsidRPr="00B344F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3DBE7618" w14:textId="77777777" w:rsidR="003957CD" w:rsidRPr="00B344FB"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4EC53CC7" w14:textId="77777777" w:rsidR="003957CD" w:rsidRPr="00B344FB"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B344FB">
              <w:rPr>
                <w:rFonts w:ascii="Open Sans Semibold" w:eastAsia="Times New Roman" w:hAnsi="Open Sans Semibold" w:cs="Open Sans Semibold"/>
                <w:color w:val="000000"/>
                <w:sz w:val="16"/>
                <w:szCs w:val="16"/>
                <w:lang w:eastAsia="en-AU"/>
              </w:rPr>
              <w:t> </w:t>
            </w:r>
          </w:p>
        </w:tc>
      </w:tr>
      <w:tr w:rsidR="003957CD" w:rsidRPr="00B344FB" w14:paraId="12BD3DA4" w14:textId="77777777" w:rsidTr="005E5652">
        <w:trPr>
          <w:trHeight w:val="1357"/>
        </w:trPr>
        <w:tc>
          <w:tcPr>
            <w:tcW w:w="2780" w:type="dxa"/>
            <w:tcBorders>
              <w:top w:val="single" w:sz="4" w:space="0" w:color="ADD6EA"/>
              <w:left w:val="nil"/>
              <w:bottom w:val="nil"/>
              <w:right w:val="nil"/>
            </w:tcBorders>
            <w:shd w:val="clear" w:color="000000" w:fill="FFFFFF"/>
            <w:hideMark/>
          </w:tcPr>
          <w:p w14:paraId="084E2D05"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COVID-19</w:t>
            </w:r>
          </w:p>
        </w:tc>
        <w:tc>
          <w:tcPr>
            <w:tcW w:w="720" w:type="dxa"/>
            <w:tcBorders>
              <w:top w:val="single" w:sz="4" w:space="0" w:color="ADD6EA"/>
              <w:left w:val="nil"/>
              <w:bottom w:val="nil"/>
              <w:right w:val="nil"/>
            </w:tcBorders>
            <w:shd w:val="clear" w:color="000000" w:fill="ADD6EA"/>
            <w:hideMark/>
          </w:tcPr>
          <w:p w14:paraId="3A21D0F0"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267</w:t>
            </w:r>
          </w:p>
        </w:tc>
        <w:tc>
          <w:tcPr>
            <w:tcW w:w="720" w:type="dxa"/>
            <w:tcBorders>
              <w:top w:val="single" w:sz="4" w:space="0" w:color="ADD6EA"/>
              <w:left w:val="nil"/>
              <w:bottom w:val="nil"/>
              <w:right w:val="nil"/>
            </w:tcBorders>
            <w:shd w:val="clear" w:color="000000" w:fill="ADD6EA"/>
            <w:hideMark/>
          </w:tcPr>
          <w:p w14:paraId="3E5962E6"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138</w:t>
            </w:r>
          </w:p>
        </w:tc>
        <w:tc>
          <w:tcPr>
            <w:tcW w:w="5040" w:type="dxa"/>
            <w:tcBorders>
              <w:top w:val="single" w:sz="4" w:space="0" w:color="ADD6EA"/>
              <w:left w:val="nil"/>
              <w:bottom w:val="nil"/>
              <w:right w:val="nil"/>
            </w:tcBorders>
            <w:shd w:val="clear" w:color="000000" w:fill="FFFFFF"/>
            <w:hideMark/>
          </w:tcPr>
          <w:p w14:paraId="0633F7FC" w14:textId="3FDF83A0"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COVID</w:t>
            </w:r>
            <w:r w:rsidR="00243440">
              <w:rPr>
                <w:rFonts w:ascii="Open Sans Light" w:eastAsia="Times New Roman" w:hAnsi="Open Sans Light" w:cs="Open Sans Light"/>
                <w:color w:val="000000"/>
                <w:sz w:val="16"/>
                <w:szCs w:val="16"/>
                <w:lang w:eastAsia="en-AU"/>
              </w:rPr>
              <w:t>-</w:t>
            </w:r>
            <w:r w:rsidRPr="00B344FB">
              <w:rPr>
                <w:rFonts w:ascii="Open Sans Light" w:eastAsia="Times New Roman" w:hAnsi="Open Sans Light" w:cs="Open Sans Light"/>
                <w:color w:val="000000"/>
                <w:sz w:val="16"/>
                <w:szCs w:val="16"/>
                <w:lang w:eastAsia="en-AU"/>
              </w:rPr>
              <w:t>19 expenses were largest in 2021–22 and declined significantly in subsequent years. States with above-average COVID</w:t>
            </w:r>
            <w:r w:rsidR="00243440">
              <w:rPr>
                <w:rFonts w:ascii="Open Sans Light" w:eastAsia="Times New Roman" w:hAnsi="Open Sans Light" w:cs="Open Sans Light"/>
                <w:color w:val="000000"/>
                <w:sz w:val="16"/>
                <w:szCs w:val="16"/>
                <w:lang w:eastAsia="en-AU"/>
              </w:rPr>
              <w:t>-</w:t>
            </w:r>
            <w:r w:rsidRPr="00B344FB">
              <w:rPr>
                <w:rFonts w:ascii="Open Sans Light" w:eastAsia="Times New Roman" w:hAnsi="Open Sans Light" w:cs="Open Sans Light"/>
                <w:color w:val="000000"/>
                <w:sz w:val="16"/>
                <w:szCs w:val="16"/>
                <w:lang w:eastAsia="en-AU"/>
              </w:rPr>
              <w:t>19 expenses</w:t>
            </w:r>
            <w:r>
              <w:rPr>
                <w:rFonts w:ascii="Open Sans Light" w:eastAsia="Times New Roman" w:hAnsi="Open Sans Light" w:cs="Open Sans Light"/>
                <w:color w:val="000000"/>
                <w:sz w:val="16"/>
                <w:szCs w:val="16"/>
                <w:lang w:eastAsia="en-AU"/>
              </w:rPr>
              <w:t>,</w:t>
            </w:r>
            <w:r w:rsidRPr="00B344FB">
              <w:rPr>
                <w:rFonts w:ascii="Open Sans Light" w:eastAsia="Times New Roman" w:hAnsi="Open Sans Light" w:cs="Open Sans Light"/>
                <w:color w:val="000000"/>
                <w:sz w:val="16"/>
                <w:szCs w:val="16"/>
                <w:lang w:eastAsia="en-AU"/>
              </w:rPr>
              <w:t xml:space="preserve"> </w:t>
            </w:r>
            <w:r w:rsidR="00192687">
              <w:rPr>
                <w:rFonts w:ascii="Open Sans Light" w:eastAsia="Times New Roman" w:hAnsi="Open Sans Light" w:cs="Open Sans Light"/>
                <w:color w:val="000000"/>
                <w:sz w:val="16"/>
                <w:szCs w:val="16"/>
                <w:lang w:eastAsia="en-AU"/>
              </w:rPr>
              <w:t>notably</w:t>
            </w:r>
            <w:r w:rsidR="00192687" w:rsidRPr="00B344FB">
              <w:rPr>
                <w:rFonts w:ascii="Open Sans Light" w:eastAsia="Times New Roman" w:hAnsi="Open Sans Light" w:cs="Open Sans Light"/>
                <w:color w:val="000000"/>
                <w:sz w:val="16"/>
                <w:szCs w:val="16"/>
                <w:lang w:eastAsia="en-AU"/>
              </w:rPr>
              <w:t xml:space="preserve"> </w:t>
            </w:r>
            <w:r w:rsidRPr="00B344FB">
              <w:rPr>
                <w:rFonts w:ascii="Open Sans Light" w:eastAsia="Times New Roman" w:hAnsi="Open Sans Light" w:cs="Open Sans Light"/>
                <w:color w:val="000000"/>
                <w:sz w:val="16"/>
                <w:szCs w:val="16"/>
                <w:lang w:eastAsia="en-AU"/>
              </w:rPr>
              <w:t xml:space="preserve">New South Wales, Victoria and the ACT, now have lower expenses, </w:t>
            </w:r>
            <w:r w:rsidR="00FD5ACC">
              <w:rPr>
                <w:rFonts w:ascii="Open Sans Light" w:eastAsia="Times New Roman" w:hAnsi="Open Sans Light" w:cs="Open Sans Light"/>
                <w:color w:val="000000"/>
                <w:sz w:val="16"/>
                <w:szCs w:val="16"/>
                <w:lang w:eastAsia="en-AU"/>
              </w:rPr>
              <w:t>decreasing</w:t>
            </w:r>
            <w:r w:rsidRPr="00B344F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their </w:t>
            </w:r>
            <w:r w:rsidRPr="00B344FB">
              <w:rPr>
                <w:rFonts w:ascii="Open Sans Light" w:eastAsia="Times New Roman" w:hAnsi="Open Sans Light" w:cs="Open Sans Light"/>
                <w:color w:val="000000"/>
                <w:sz w:val="16"/>
                <w:szCs w:val="16"/>
                <w:lang w:eastAsia="en-AU"/>
              </w:rPr>
              <w:t xml:space="preserve">assessed GST needs and </w:t>
            </w:r>
            <w:r w:rsidR="00FD5ACC">
              <w:rPr>
                <w:rFonts w:ascii="Open Sans Light" w:eastAsia="Times New Roman" w:hAnsi="Open Sans Light" w:cs="Open Sans Light"/>
                <w:color w:val="000000"/>
                <w:sz w:val="16"/>
                <w:szCs w:val="16"/>
                <w:lang w:eastAsia="en-AU"/>
              </w:rPr>
              <w:t>increasing</w:t>
            </w:r>
            <w:r w:rsidR="00FD5ACC" w:rsidRPr="00B344FB">
              <w:rPr>
                <w:rFonts w:ascii="Open Sans Light" w:eastAsia="Times New Roman" w:hAnsi="Open Sans Light" w:cs="Open Sans Light"/>
                <w:color w:val="000000"/>
                <w:sz w:val="16"/>
                <w:szCs w:val="16"/>
                <w:lang w:eastAsia="en-AU"/>
              </w:rPr>
              <w:t xml:space="preserve"> </w:t>
            </w:r>
            <w:r w:rsidR="00192687">
              <w:rPr>
                <w:rFonts w:ascii="Open Sans Light" w:eastAsia="Times New Roman" w:hAnsi="Open Sans Light" w:cs="Open Sans Light"/>
                <w:color w:val="000000"/>
                <w:sz w:val="16"/>
                <w:szCs w:val="16"/>
                <w:lang w:eastAsia="en-AU"/>
              </w:rPr>
              <w:t xml:space="preserve">the </w:t>
            </w:r>
            <w:r w:rsidRPr="00B344FB">
              <w:rPr>
                <w:rFonts w:ascii="Open Sans Light" w:eastAsia="Times New Roman" w:hAnsi="Open Sans Light" w:cs="Open Sans Light"/>
                <w:color w:val="000000"/>
                <w:sz w:val="16"/>
                <w:szCs w:val="16"/>
                <w:lang w:eastAsia="en-AU"/>
              </w:rPr>
              <w:t xml:space="preserve">assessed GST needs </w:t>
            </w:r>
            <w:r w:rsidR="00A24BE5">
              <w:rPr>
                <w:rFonts w:ascii="Open Sans Light" w:eastAsia="Times New Roman" w:hAnsi="Open Sans Light" w:cs="Open Sans Light"/>
                <w:color w:val="000000"/>
                <w:sz w:val="16"/>
                <w:szCs w:val="16"/>
                <w:lang w:eastAsia="en-AU"/>
              </w:rPr>
              <w:t>of</w:t>
            </w:r>
            <w:r w:rsidR="00A24BE5" w:rsidRPr="00B344F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B344FB">
              <w:rPr>
                <w:rFonts w:ascii="Open Sans Light" w:eastAsia="Times New Roman" w:hAnsi="Open Sans Light" w:cs="Open Sans Light"/>
                <w:color w:val="000000"/>
                <w:sz w:val="16"/>
                <w:szCs w:val="16"/>
                <w:lang w:eastAsia="en-AU"/>
              </w:rPr>
              <w:t>other states, including South Australia.</w:t>
            </w:r>
          </w:p>
        </w:tc>
      </w:tr>
      <w:tr w:rsidR="003957CD" w:rsidRPr="00B344FB" w14:paraId="04FBBB04" w14:textId="77777777" w:rsidTr="005E5652">
        <w:trPr>
          <w:trHeight w:val="1148"/>
        </w:trPr>
        <w:tc>
          <w:tcPr>
            <w:tcW w:w="2780" w:type="dxa"/>
            <w:tcBorders>
              <w:top w:val="single" w:sz="4" w:space="0" w:color="ADD6EA"/>
              <w:left w:val="nil"/>
              <w:bottom w:val="nil"/>
              <w:right w:val="nil"/>
            </w:tcBorders>
            <w:shd w:val="clear" w:color="000000" w:fill="FFFFFF"/>
            <w:hideMark/>
          </w:tcPr>
          <w:p w14:paraId="00F26DCF"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Mining production</w:t>
            </w:r>
          </w:p>
        </w:tc>
        <w:tc>
          <w:tcPr>
            <w:tcW w:w="720" w:type="dxa"/>
            <w:tcBorders>
              <w:top w:val="single" w:sz="4" w:space="0" w:color="ADD6EA"/>
              <w:left w:val="nil"/>
              <w:bottom w:val="nil"/>
              <w:right w:val="nil"/>
            </w:tcBorders>
            <w:shd w:val="clear" w:color="000000" w:fill="EBBFA0"/>
            <w:hideMark/>
          </w:tcPr>
          <w:p w14:paraId="6F6B5EA3"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-236</w:t>
            </w:r>
          </w:p>
        </w:tc>
        <w:tc>
          <w:tcPr>
            <w:tcW w:w="720" w:type="dxa"/>
            <w:tcBorders>
              <w:top w:val="single" w:sz="4" w:space="0" w:color="ADD6EA"/>
              <w:left w:val="nil"/>
              <w:bottom w:val="nil"/>
              <w:right w:val="nil"/>
            </w:tcBorders>
            <w:shd w:val="clear" w:color="000000" w:fill="EBBFA0"/>
            <w:hideMark/>
          </w:tcPr>
          <w:p w14:paraId="051A7527"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-122</w:t>
            </w:r>
          </w:p>
        </w:tc>
        <w:tc>
          <w:tcPr>
            <w:tcW w:w="5040" w:type="dxa"/>
            <w:tcBorders>
              <w:top w:val="single" w:sz="4" w:space="0" w:color="ADD6EA"/>
              <w:left w:val="nil"/>
              <w:bottom w:val="nil"/>
              <w:right w:val="nil"/>
            </w:tcBorders>
            <w:shd w:val="clear" w:color="000000" w:fill="FFFFFF"/>
            <w:hideMark/>
          </w:tcPr>
          <w:p w14:paraId="630D0167" w14:textId="667A8253"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Coal and iron ore prices fell between 2021–22 and 2024–25. This decrease</w:t>
            </w:r>
            <w:r>
              <w:rPr>
                <w:rFonts w:ascii="Open Sans Light" w:eastAsia="Times New Roman" w:hAnsi="Open Sans Light" w:cs="Open Sans Light"/>
                <w:color w:val="000000"/>
                <w:sz w:val="16"/>
                <w:szCs w:val="16"/>
                <w:lang w:eastAsia="en-AU"/>
              </w:rPr>
              <w:t xml:space="preserve">s </w:t>
            </w:r>
            <w:r w:rsidRPr="00B344FB">
              <w:rPr>
                <w:rFonts w:ascii="Open Sans Light" w:eastAsia="Times New Roman" w:hAnsi="Open Sans Light" w:cs="Open Sans Light"/>
                <w:color w:val="000000"/>
                <w:sz w:val="16"/>
                <w:szCs w:val="16"/>
                <w:lang w:eastAsia="en-AU"/>
              </w:rPr>
              <w:t>Queensland’s and Western Australia’s revenue raising capacities and increase</w:t>
            </w:r>
            <w:r>
              <w:rPr>
                <w:rFonts w:ascii="Open Sans Light" w:eastAsia="Times New Roman" w:hAnsi="Open Sans Light" w:cs="Open Sans Light"/>
                <w:color w:val="000000"/>
                <w:sz w:val="16"/>
                <w:szCs w:val="16"/>
                <w:lang w:eastAsia="en-AU"/>
              </w:rPr>
              <w:t>s</w:t>
            </w:r>
            <w:r w:rsidRPr="00B344F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their </w:t>
            </w:r>
            <w:r w:rsidRPr="00B344FB">
              <w:rPr>
                <w:rFonts w:ascii="Open Sans Light" w:eastAsia="Times New Roman" w:hAnsi="Open Sans Light" w:cs="Open Sans Light"/>
                <w:color w:val="000000"/>
                <w:sz w:val="16"/>
                <w:szCs w:val="16"/>
                <w:lang w:eastAsia="en-AU"/>
              </w:rPr>
              <w:t xml:space="preserve">assessed GST needs. </w:t>
            </w:r>
            <w:r>
              <w:rPr>
                <w:rFonts w:ascii="Open Sans Light" w:eastAsia="Times New Roman" w:hAnsi="Open Sans Light" w:cs="Open Sans Light"/>
                <w:color w:val="000000"/>
                <w:sz w:val="16"/>
                <w:szCs w:val="16"/>
                <w:lang w:eastAsia="en-AU"/>
              </w:rPr>
              <w:t xml:space="preserve">Consequently, </w:t>
            </w:r>
            <w:proofErr w:type="gramStart"/>
            <w:r>
              <w:rPr>
                <w:rFonts w:ascii="Open Sans Light" w:eastAsia="Times New Roman" w:hAnsi="Open Sans Light" w:cs="Open Sans Light"/>
                <w:color w:val="000000"/>
                <w:sz w:val="16"/>
                <w:szCs w:val="16"/>
                <w:lang w:eastAsia="en-AU"/>
              </w:rPr>
              <w:t>t</w:t>
            </w:r>
            <w:r w:rsidRPr="00B344FB">
              <w:rPr>
                <w:rFonts w:ascii="Open Sans Light" w:eastAsia="Times New Roman" w:hAnsi="Open Sans Light" w:cs="Open Sans Light"/>
                <w:color w:val="000000"/>
                <w:sz w:val="16"/>
                <w:szCs w:val="16"/>
                <w:lang w:eastAsia="en-AU"/>
              </w:rPr>
              <w:t>his decrease</w:t>
            </w:r>
            <w:r>
              <w:rPr>
                <w:rFonts w:ascii="Open Sans Light" w:eastAsia="Times New Roman" w:hAnsi="Open Sans Light" w:cs="Open Sans Light"/>
                <w:color w:val="000000"/>
                <w:sz w:val="16"/>
                <w:szCs w:val="16"/>
                <w:lang w:eastAsia="en-AU"/>
              </w:rPr>
              <w:t>s</w:t>
            </w:r>
            <w:proofErr w:type="gramEnd"/>
            <w:r w:rsidRPr="00B344FB">
              <w:rPr>
                <w:rFonts w:ascii="Open Sans Light" w:eastAsia="Times New Roman" w:hAnsi="Open Sans Light" w:cs="Open Sans Light"/>
                <w:color w:val="000000"/>
                <w:sz w:val="16"/>
                <w:szCs w:val="16"/>
                <w:lang w:eastAsia="en-AU"/>
              </w:rPr>
              <w:t xml:space="preserve"> assessed GST needs </w:t>
            </w:r>
            <w:r w:rsidR="00A24BE5">
              <w:rPr>
                <w:rFonts w:ascii="Open Sans Light" w:eastAsia="Times New Roman" w:hAnsi="Open Sans Light" w:cs="Open Sans Light"/>
                <w:color w:val="000000"/>
                <w:sz w:val="16"/>
                <w:szCs w:val="16"/>
                <w:lang w:eastAsia="en-AU"/>
              </w:rPr>
              <w:t>of</w:t>
            </w:r>
            <w:r w:rsidR="00A24BE5" w:rsidRPr="00B344F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B344FB">
              <w:rPr>
                <w:rFonts w:ascii="Open Sans Light" w:eastAsia="Times New Roman" w:hAnsi="Open Sans Light" w:cs="Open Sans Light"/>
                <w:color w:val="000000"/>
                <w:sz w:val="16"/>
                <w:szCs w:val="16"/>
                <w:lang w:eastAsia="en-AU"/>
              </w:rPr>
              <w:t>other states, including South Australia.</w:t>
            </w:r>
          </w:p>
        </w:tc>
      </w:tr>
      <w:tr w:rsidR="003957CD" w:rsidRPr="00B344FB" w14:paraId="61EFBD30" w14:textId="77777777" w:rsidTr="005E5652">
        <w:trPr>
          <w:trHeight w:val="729"/>
        </w:trPr>
        <w:tc>
          <w:tcPr>
            <w:tcW w:w="2780" w:type="dxa"/>
            <w:tcBorders>
              <w:top w:val="single" w:sz="4" w:space="0" w:color="ADD6EA"/>
              <w:left w:val="nil"/>
              <w:bottom w:val="nil"/>
              <w:right w:val="nil"/>
            </w:tcBorders>
            <w:shd w:val="clear" w:color="000000" w:fill="FFFFFF"/>
            <w:hideMark/>
          </w:tcPr>
          <w:p w14:paraId="48423FD3"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Property sales</w:t>
            </w:r>
          </w:p>
        </w:tc>
        <w:tc>
          <w:tcPr>
            <w:tcW w:w="720" w:type="dxa"/>
            <w:tcBorders>
              <w:top w:val="single" w:sz="4" w:space="0" w:color="ADD6EA"/>
              <w:left w:val="nil"/>
              <w:bottom w:val="nil"/>
              <w:right w:val="nil"/>
            </w:tcBorders>
            <w:shd w:val="clear" w:color="000000" w:fill="EBBFA0"/>
            <w:hideMark/>
          </w:tcPr>
          <w:p w14:paraId="30976469"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-192</w:t>
            </w:r>
          </w:p>
        </w:tc>
        <w:tc>
          <w:tcPr>
            <w:tcW w:w="720" w:type="dxa"/>
            <w:tcBorders>
              <w:top w:val="single" w:sz="4" w:space="0" w:color="ADD6EA"/>
              <w:left w:val="nil"/>
              <w:bottom w:val="nil"/>
              <w:right w:val="nil"/>
            </w:tcBorders>
            <w:shd w:val="clear" w:color="000000" w:fill="EBBFA0"/>
            <w:hideMark/>
          </w:tcPr>
          <w:p w14:paraId="3AF3D30E"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-100</w:t>
            </w:r>
          </w:p>
        </w:tc>
        <w:tc>
          <w:tcPr>
            <w:tcW w:w="5040" w:type="dxa"/>
            <w:tcBorders>
              <w:top w:val="single" w:sz="4" w:space="0" w:color="ADD6EA"/>
              <w:left w:val="nil"/>
              <w:bottom w:val="nil"/>
              <w:right w:val="nil"/>
            </w:tcBorders>
            <w:shd w:val="clear" w:color="000000" w:fill="FFFFFF"/>
            <w:hideMark/>
          </w:tcPr>
          <w:p w14:paraId="36F4A1CB" w14:textId="3FA7C088"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Above-average growth in the value of property transfer</w:t>
            </w:r>
            <w:r w:rsidR="002615DC">
              <w:rPr>
                <w:rFonts w:ascii="Open Sans Light" w:eastAsia="Times New Roman" w:hAnsi="Open Sans Light" w:cs="Open Sans Light"/>
                <w:color w:val="000000"/>
                <w:sz w:val="16"/>
                <w:szCs w:val="16"/>
                <w:lang w:eastAsia="en-AU"/>
              </w:rPr>
              <w:t>red</w:t>
            </w:r>
            <w:r w:rsidRPr="00B344FB">
              <w:rPr>
                <w:rFonts w:ascii="Open Sans Light" w:eastAsia="Times New Roman" w:hAnsi="Open Sans Light" w:cs="Open Sans Light"/>
                <w:color w:val="000000"/>
                <w:sz w:val="16"/>
                <w:szCs w:val="16"/>
                <w:lang w:eastAsia="en-AU"/>
              </w:rPr>
              <w:t xml:space="preserve"> between 2021–22 and 2024–25 increase</w:t>
            </w:r>
            <w:r>
              <w:rPr>
                <w:rFonts w:ascii="Open Sans Light" w:eastAsia="Times New Roman" w:hAnsi="Open Sans Light" w:cs="Open Sans Light"/>
                <w:color w:val="000000"/>
                <w:sz w:val="16"/>
                <w:szCs w:val="16"/>
                <w:lang w:eastAsia="en-AU"/>
              </w:rPr>
              <w:t>s</w:t>
            </w:r>
            <w:r w:rsidRPr="00B344FB">
              <w:rPr>
                <w:rFonts w:ascii="Open Sans Light" w:eastAsia="Times New Roman" w:hAnsi="Open Sans Light" w:cs="Open Sans Light"/>
                <w:color w:val="000000"/>
                <w:sz w:val="16"/>
                <w:szCs w:val="16"/>
                <w:lang w:eastAsia="en-AU"/>
              </w:rPr>
              <w:t xml:space="preserve"> South Australia</w:t>
            </w:r>
            <w:r>
              <w:rPr>
                <w:rFonts w:ascii="Open Sans Light" w:eastAsia="Times New Roman" w:hAnsi="Open Sans Light" w:cs="Open Sans Light"/>
                <w:color w:val="000000"/>
                <w:sz w:val="16"/>
                <w:szCs w:val="16"/>
                <w:lang w:eastAsia="en-AU"/>
              </w:rPr>
              <w:t>’</w:t>
            </w:r>
            <w:r w:rsidRPr="00B344FB">
              <w:rPr>
                <w:rFonts w:ascii="Open Sans Light" w:eastAsia="Times New Roman" w:hAnsi="Open Sans Light" w:cs="Open Sans Light"/>
                <w:color w:val="000000"/>
                <w:sz w:val="16"/>
                <w:szCs w:val="16"/>
                <w:lang w:eastAsia="en-AU"/>
              </w:rPr>
              <w:t>s relative revenue raising capacity and decrease</w:t>
            </w:r>
            <w:r>
              <w:rPr>
                <w:rFonts w:ascii="Open Sans Light" w:eastAsia="Times New Roman" w:hAnsi="Open Sans Light" w:cs="Open Sans Light"/>
                <w:color w:val="000000"/>
                <w:sz w:val="16"/>
                <w:szCs w:val="16"/>
                <w:lang w:eastAsia="en-AU"/>
              </w:rPr>
              <w:t>s</w:t>
            </w:r>
            <w:r w:rsidRPr="00B344FB">
              <w:rPr>
                <w:rFonts w:ascii="Open Sans Light" w:eastAsia="Times New Roman" w:hAnsi="Open Sans Light" w:cs="Open Sans Light"/>
                <w:color w:val="000000"/>
                <w:sz w:val="16"/>
                <w:szCs w:val="16"/>
                <w:lang w:eastAsia="en-AU"/>
              </w:rPr>
              <w:t xml:space="preserve"> its assessed GST needs. </w:t>
            </w:r>
          </w:p>
        </w:tc>
      </w:tr>
      <w:tr w:rsidR="003957CD" w:rsidRPr="00B344FB" w14:paraId="166A709C" w14:textId="77777777" w:rsidTr="00B70FF2">
        <w:trPr>
          <w:trHeight w:val="938"/>
        </w:trPr>
        <w:tc>
          <w:tcPr>
            <w:tcW w:w="2780" w:type="dxa"/>
            <w:tcBorders>
              <w:top w:val="single" w:sz="4" w:space="0" w:color="ADD6EA"/>
              <w:left w:val="nil"/>
              <w:bottom w:val="nil"/>
              <w:right w:val="nil"/>
            </w:tcBorders>
            <w:shd w:val="clear" w:color="000000" w:fill="FFFFFF"/>
            <w:hideMark/>
          </w:tcPr>
          <w:p w14:paraId="4539CF7A"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 xml:space="preserve">Relative growth of investment needs for </w:t>
            </w:r>
            <w:r>
              <w:rPr>
                <w:rFonts w:ascii="Open Sans Light" w:eastAsia="Times New Roman" w:hAnsi="Open Sans Light" w:cs="Open Sans Light"/>
                <w:color w:val="000000"/>
                <w:sz w:val="16"/>
                <w:szCs w:val="16"/>
                <w:lang w:eastAsia="en-AU"/>
              </w:rPr>
              <w:t>s</w:t>
            </w:r>
            <w:r w:rsidRPr="00B344FB">
              <w:rPr>
                <w:rFonts w:ascii="Open Sans Light" w:eastAsia="Times New Roman" w:hAnsi="Open Sans Light" w:cs="Open Sans Light"/>
                <w:color w:val="000000"/>
                <w:sz w:val="16"/>
                <w:szCs w:val="16"/>
                <w:lang w:eastAsia="en-AU"/>
              </w:rPr>
              <w:t>chools</w:t>
            </w:r>
          </w:p>
        </w:tc>
        <w:tc>
          <w:tcPr>
            <w:tcW w:w="720" w:type="dxa"/>
            <w:tcBorders>
              <w:top w:val="single" w:sz="4" w:space="0" w:color="ADD6EA"/>
              <w:left w:val="nil"/>
              <w:bottom w:val="nil"/>
              <w:right w:val="nil"/>
            </w:tcBorders>
            <w:shd w:val="clear" w:color="000000" w:fill="ADD6EA"/>
            <w:hideMark/>
          </w:tcPr>
          <w:p w14:paraId="55D94A85"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69</w:t>
            </w:r>
          </w:p>
        </w:tc>
        <w:tc>
          <w:tcPr>
            <w:tcW w:w="720" w:type="dxa"/>
            <w:tcBorders>
              <w:top w:val="single" w:sz="4" w:space="0" w:color="ADD6EA"/>
              <w:left w:val="nil"/>
              <w:bottom w:val="nil"/>
              <w:right w:val="nil"/>
            </w:tcBorders>
            <w:shd w:val="clear" w:color="000000" w:fill="ADD6EA"/>
            <w:hideMark/>
          </w:tcPr>
          <w:p w14:paraId="0C0CA9EF"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36</w:t>
            </w:r>
          </w:p>
        </w:tc>
        <w:tc>
          <w:tcPr>
            <w:tcW w:w="5040" w:type="dxa"/>
            <w:tcBorders>
              <w:top w:val="single" w:sz="4" w:space="0" w:color="ADD6EA"/>
              <w:left w:val="nil"/>
              <w:bottom w:val="nil"/>
              <w:right w:val="nil"/>
            </w:tcBorders>
            <w:shd w:val="clear" w:color="000000" w:fill="FFFFFF"/>
            <w:hideMark/>
          </w:tcPr>
          <w:p w14:paraId="5CDFF297"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South Australia had below-average growth in government school students in 2021–22</w:t>
            </w:r>
            <w:r>
              <w:rPr>
                <w:rFonts w:ascii="Open Sans Light" w:eastAsia="Times New Roman" w:hAnsi="Open Sans Light" w:cs="Open Sans Light"/>
                <w:color w:val="000000"/>
                <w:sz w:val="16"/>
                <w:szCs w:val="16"/>
                <w:lang w:eastAsia="en-AU"/>
              </w:rPr>
              <w:t xml:space="preserve">, which </w:t>
            </w:r>
            <w:r w:rsidRPr="00B344FB">
              <w:rPr>
                <w:rFonts w:ascii="Open Sans Light" w:eastAsia="Times New Roman" w:hAnsi="Open Sans Light" w:cs="Open Sans Light"/>
                <w:color w:val="000000"/>
                <w:sz w:val="16"/>
                <w:szCs w:val="16"/>
                <w:lang w:eastAsia="en-AU"/>
              </w:rPr>
              <w:t>changed to above-average growth in 2024–25. This increase</w:t>
            </w:r>
            <w:r>
              <w:rPr>
                <w:rFonts w:ascii="Open Sans Light" w:eastAsia="Times New Roman" w:hAnsi="Open Sans Light" w:cs="Open Sans Light"/>
                <w:color w:val="000000"/>
                <w:sz w:val="16"/>
                <w:szCs w:val="16"/>
                <w:lang w:eastAsia="en-AU"/>
              </w:rPr>
              <w:t>s</w:t>
            </w:r>
            <w:r w:rsidRPr="00B344FB">
              <w:rPr>
                <w:rFonts w:ascii="Open Sans Light" w:eastAsia="Times New Roman" w:hAnsi="Open Sans Light" w:cs="Open Sans Light"/>
                <w:color w:val="000000"/>
                <w:sz w:val="16"/>
                <w:szCs w:val="16"/>
                <w:lang w:eastAsia="en-AU"/>
              </w:rPr>
              <w:t xml:space="preserve"> South Australia</w:t>
            </w:r>
            <w:r>
              <w:rPr>
                <w:rFonts w:ascii="Open Sans Light" w:eastAsia="Times New Roman" w:hAnsi="Open Sans Light" w:cs="Open Sans Light"/>
                <w:color w:val="000000"/>
                <w:sz w:val="16"/>
                <w:szCs w:val="16"/>
                <w:lang w:eastAsia="en-AU"/>
              </w:rPr>
              <w:t>’</w:t>
            </w:r>
            <w:r w:rsidRPr="00B344FB">
              <w:rPr>
                <w:rFonts w:ascii="Open Sans Light" w:eastAsia="Times New Roman" w:hAnsi="Open Sans Light" w:cs="Open Sans Light"/>
                <w:color w:val="000000"/>
                <w:sz w:val="16"/>
                <w:szCs w:val="16"/>
                <w:lang w:eastAsia="en-AU"/>
              </w:rPr>
              <w:t>s need for investment in schools and increase</w:t>
            </w:r>
            <w:r>
              <w:rPr>
                <w:rFonts w:ascii="Open Sans Light" w:eastAsia="Times New Roman" w:hAnsi="Open Sans Light" w:cs="Open Sans Light"/>
                <w:color w:val="000000"/>
                <w:sz w:val="16"/>
                <w:szCs w:val="16"/>
                <w:lang w:eastAsia="en-AU"/>
              </w:rPr>
              <w:t>s</w:t>
            </w:r>
            <w:r w:rsidRPr="00B344FB">
              <w:rPr>
                <w:rFonts w:ascii="Open Sans Light" w:eastAsia="Times New Roman" w:hAnsi="Open Sans Light" w:cs="Open Sans Light"/>
                <w:color w:val="000000"/>
                <w:sz w:val="16"/>
                <w:szCs w:val="16"/>
                <w:lang w:eastAsia="en-AU"/>
              </w:rPr>
              <w:t xml:space="preserve"> its assessed GST needs.</w:t>
            </w:r>
          </w:p>
        </w:tc>
      </w:tr>
      <w:tr w:rsidR="003957CD" w:rsidRPr="00B344FB" w14:paraId="5A4D73EB" w14:textId="77777777" w:rsidTr="00E51790">
        <w:trPr>
          <w:trHeight w:val="720"/>
        </w:trPr>
        <w:tc>
          <w:tcPr>
            <w:tcW w:w="2780" w:type="dxa"/>
            <w:tcBorders>
              <w:top w:val="single" w:sz="4" w:space="0" w:color="ADD6EA"/>
              <w:left w:val="nil"/>
              <w:bottom w:val="nil"/>
              <w:right w:val="nil"/>
            </w:tcBorders>
            <w:shd w:val="clear" w:color="000000" w:fill="FFFFFF"/>
            <w:hideMark/>
          </w:tcPr>
          <w:p w14:paraId="0C6EDDC7"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Net borrowing</w:t>
            </w:r>
          </w:p>
        </w:tc>
        <w:tc>
          <w:tcPr>
            <w:tcW w:w="720" w:type="dxa"/>
            <w:tcBorders>
              <w:top w:val="single" w:sz="4" w:space="0" w:color="ADD6EA"/>
              <w:left w:val="nil"/>
              <w:bottom w:val="nil"/>
              <w:right w:val="nil"/>
            </w:tcBorders>
            <w:shd w:val="clear" w:color="000000" w:fill="ADD6EA"/>
            <w:hideMark/>
          </w:tcPr>
          <w:p w14:paraId="143ECB40"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65</w:t>
            </w:r>
          </w:p>
        </w:tc>
        <w:tc>
          <w:tcPr>
            <w:tcW w:w="720" w:type="dxa"/>
            <w:tcBorders>
              <w:top w:val="single" w:sz="4" w:space="0" w:color="ADD6EA"/>
              <w:left w:val="nil"/>
              <w:bottom w:val="nil"/>
              <w:right w:val="nil"/>
            </w:tcBorders>
            <w:shd w:val="clear" w:color="000000" w:fill="ADD6EA"/>
            <w:hideMark/>
          </w:tcPr>
          <w:p w14:paraId="48081351"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34</w:t>
            </w:r>
          </w:p>
        </w:tc>
        <w:tc>
          <w:tcPr>
            <w:tcW w:w="5040" w:type="dxa"/>
            <w:tcBorders>
              <w:top w:val="single" w:sz="4" w:space="0" w:color="ADD6EA"/>
              <w:left w:val="nil"/>
              <w:bottom w:val="nil"/>
              <w:right w:val="nil"/>
            </w:tcBorders>
            <w:shd w:val="clear" w:color="000000" w:fill="FFFFFF"/>
            <w:hideMark/>
          </w:tcPr>
          <w:p w14:paraId="78D9E5AF"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 xml:space="preserve">South Australia had a smaller share of population growth in </w:t>
            </w:r>
            <w:r>
              <w:rPr>
                <w:rFonts w:ascii="Open Sans Light" w:eastAsia="Times New Roman" w:hAnsi="Open Sans Light" w:cs="Open Sans Light"/>
                <w:color w:val="000000"/>
                <w:sz w:val="16"/>
                <w:szCs w:val="16"/>
                <w:lang w:eastAsia="en-AU"/>
              </w:rPr>
              <w:br/>
            </w:r>
            <w:r w:rsidRPr="00B344FB">
              <w:rPr>
                <w:rFonts w:ascii="Open Sans Light" w:eastAsia="Times New Roman" w:hAnsi="Open Sans Light" w:cs="Open Sans Light"/>
                <w:color w:val="000000"/>
                <w:sz w:val="16"/>
                <w:szCs w:val="16"/>
                <w:lang w:eastAsia="en-AU"/>
              </w:rPr>
              <w:t>2024–25 than in 2021–22. This decrease</w:t>
            </w:r>
            <w:r>
              <w:rPr>
                <w:rFonts w:ascii="Open Sans Light" w:eastAsia="Times New Roman" w:hAnsi="Open Sans Light" w:cs="Open Sans Light"/>
                <w:color w:val="000000"/>
                <w:sz w:val="16"/>
                <w:szCs w:val="16"/>
                <w:lang w:eastAsia="en-AU"/>
              </w:rPr>
              <w:t xml:space="preserve">s </w:t>
            </w:r>
            <w:r w:rsidRPr="00B344FB">
              <w:rPr>
                <w:rFonts w:ascii="Open Sans Light" w:eastAsia="Times New Roman" w:hAnsi="Open Sans Light" w:cs="Open Sans Light"/>
                <w:color w:val="000000"/>
                <w:sz w:val="16"/>
                <w:szCs w:val="16"/>
                <w:lang w:eastAsia="en-AU"/>
              </w:rPr>
              <w:t>its ability to service assessed liabilities and increase</w:t>
            </w:r>
            <w:r>
              <w:rPr>
                <w:rFonts w:ascii="Open Sans Light" w:eastAsia="Times New Roman" w:hAnsi="Open Sans Light" w:cs="Open Sans Light"/>
                <w:color w:val="000000"/>
                <w:sz w:val="16"/>
                <w:szCs w:val="16"/>
                <w:lang w:eastAsia="en-AU"/>
              </w:rPr>
              <w:t>s</w:t>
            </w:r>
            <w:r w:rsidRPr="00B344FB">
              <w:rPr>
                <w:rFonts w:ascii="Open Sans Light" w:eastAsia="Times New Roman" w:hAnsi="Open Sans Light" w:cs="Open Sans Light"/>
                <w:color w:val="000000"/>
                <w:sz w:val="16"/>
                <w:szCs w:val="16"/>
                <w:lang w:eastAsia="en-AU"/>
              </w:rPr>
              <w:t xml:space="preserve"> its assessed GST needs.</w:t>
            </w:r>
          </w:p>
        </w:tc>
      </w:tr>
      <w:tr w:rsidR="003957CD" w:rsidRPr="00B344FB" w14:paraId="73138D22" w14:textId="77777777" w:rsidTr="00E51790">
        <w:trPr>
          <w:trHeight w:val="960"/>
        </w:trPr>
        <w:tc>
          <w:tcPr>
            <w:tcW w:w="2780" w:type="dxa"/>
            <w:tcBorders>
              <w:top w:val="single" w:sz="4" w:space="0" w:color="ADD6EA"/>
              <w:left w:val="nil"/>
              <w:bottom w:val="single" w:sz="4" w:space="0" w:color="ADD6EA"/>
              <w:right w:val="nil"/>
            </w:tcBorders>
            <w:shd w:val="clear" w:color="000000" w:fill="FFFFFF"/>
            <w:hideMark/>
          </w:tcPr>
          <w:p w14:paraId="6864D643" w14:textId="77777777"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 xml:space="preserve">Capital improvements in </w:t>
            </w:r>
            <w:r>
              <w:rPr>
                <w:rFonts w:ascii="Open Sans Light" w:eastAsia="Times New Roman" w:hAnsi="Open Sans Light" w:cs="Open Sans Light"/>
                <w:color w:val="000000"/>
                <w:sz w:val="16"/>
                <w:szCs w:val="16"/>
                <w:lang w:eastAsia="en-AU"/>
              </w:rPr>
              <w:t>u</w:t>
            </w:r>
            <w:r w:rsidRPr="00B344FB">
              <w:rPr>
                <w:rFonts w:ascii="Open Sans Light" w:eastAsia="Times New Roman" w:hAnsi="Open Sans Light" w:cs="Open Sans Light"/>
                <w:color w:val="000000"/>
                <w:sz w:val="16"/>
                <w:szCs w:val="16"/>
                <w:lang w:eastAsia="en-AU"/>
              </w:rPr>
              <w:t>rban transport</w:t>
            </w:r>
          </w:p>
        </w:tc>
        <w:tc>
          <w:tcPr>
            <w:tcW w:w="720" w:type="dxa"/>
            <w:tcBorders>
              <w:top w:val="single" w:sz="4" w:space="0" w:color="ADD6EA"/>
              <w:left w:val="nil"/>
              <w:bottom w:val="single" w:sz="4" w:space="0" w:color="ADD6EA"/>
              <w:right w:val="nil"/>
            </w:tcBorders>
            <w:shd w:val="clear" w:color="000000" w:fill="ADD6EA"/>
            <w:hideMark/>
          </w:tcPr>
          <w:p w14:paraId="7F7CA4A6"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60</w:t>
            </w:r>
          </w:p>
        </w:tc>
        <w:tc>
          <w:tcPr>
            <w:tcW w:w="720" w:type="dxa"/>
            <w:tcBorders>
              <w:top w:val="single" w:sz="4" w:space="0" w:color="ADD6EA"/>
              <w:left w:val="nil"/>
              <w:bottom w:val="single" w:sz="4" w:space="0" w:color="ADD6EA"/>
              <w:right w:val="nil"/>
            </w:tcBorders>
            <w:shd w:val="clear" w:color="000000" w:fill="ADD6EA"/>
            <w:hideMark/>
          </w:tcPr>
          <w:p w14:paraId="6BC56C1D" w14:textId="77777777" w:rsidR="003957CD" w:rsidRPr="00B344FB"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31</w:t>
            </w:r>
          </w:p>
        </w:tc>
        <w:tc>
          <w:tcPr>
            <w:tcW w:w="5040" w:type="dxa"/>
            <w:tcBorders>
              <w:top w:val="single" w:sz="4" w:space="0" w:color="ADD6EA"/>
              <w:left w:val="nil"/>
              <w:bottom w:val="single" w:sz="4" w:space="0" w:color="ADD6EA"/>
              <w:right w:val="nil"/>
            </w:tcBorders>
            <w:shd w:val="clear" w:color="000000" w:fill="FFFFFF"/>
            <w:hideMark/>
          </w:tcPr>
          <w:p w14:paraId="0FD17F76" w14:textId="5ECAE008" w:rsidR="003957CD" w:rsidRPr="00B344FB"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B344FB">
              <w:rPr>
                <w:rFonts w:ascii="Open Sans Light" w:eastAsia="Times New Roman" w:hAnsi="Open Sans Light" w:cs="Open Sans Light"/>
                <w:color w:val="000000"/>
                <w:sz w:val="16"/>
                <w:szCs w:val="16"/>
                <w:lang w:eastAsia="en-AU"/>
              </w:rPr>
              <w:t xml:space="preserve">Investment in urban transport was around 19% </w:t>
            </w:r>
            <w:r>
              <w:rPr>
                <w:rFonts w:ascii="Open Sans Light" w:eastAsia="Times New Roman" w:hAnsi="Open Sans Light" w:cs="Open Sans Light"/>
                <w:color w:val="000000"/>
                <w:sz w:val="16"/>
                <w:szCs w:val="16"/>
                <w:lang w:eastAsia="en-AU"/>
              </w:rPr>
              <w:t>lower in</w:t>
            </w:r>
            <w:r w:rsidRPr="00B344FB">
              <w:rPr>
                <w:rFonts w:ascii="Open Sans Light" w:eastAsia="Times New Roman" w:hAnsi="Open Sans Light" w:cs="Open Sans Light"/>
                <w:color w:val="000000"/>
                <w:sz w:val="16"/>
                <w:szCs w:val="16"/>
                <w:lang w:eastAsia="en-AU"/>
              </w:rPr>
              <w:t xml:space="preserve"> 2024–25 than in 2021–22. </w:t>
            </w:r>
            <w:proofErr w:type="gramStart"/>
            <w:r w:rsidRPr="00B344FB">
              <w:rPr>
                <w:rFonts w:ascii="Open Sans Light" w:eastAsia="Times New Roman" w:hAnsi="Open Sans Light" w:cs="Open Sans Light"/>
                <w:color w:val="000000"/>
                <w:sz w:val="16"/>
                <w:szCs w:val="16"/>
                <w:lang w:eastAsia="en-AU"/>
              </w:rPr>
              <w:t>This decrease</w:t>
            </w:r>
            <w:r>
              <w:rPr>
                <w:rFonts w:ascii="Open Sans Light" w:eastAsia="Times New Roman" w:hAnsi="Open Sans Light" w:cs="Open Sans Light"/>
                <w:color w:val="000000"/>
                <w:sz w:val="16"/>
                <w:szCs w:val="16"/>
                <w:lang w:eastAsia="en-AU"/>
              </w:rPr>
              <w:t>s</w:t>
            </w:r>
            <w:proofErr w:type="gramEnd"/>
            <w:r w:rsidRPr="00B344FB">
              <w:rPr>
                <w:rFonts w:ascii="Open Sans Light" w:eastAsia="Times New Roman" w:hAnsi="Open Sans Light" w:cs="Open Sans Light"/>
                <w:color w:val="000000"/>
                <w:sz w:val="16"/>
                <w:szCs w:val="16"/>
                <w:lang w:eastAsia="en-AU"/>
              </w:rPr>
              <w:t xml:space="preserve"> assessed GST needs </w:t>
            </w:r>
            <w:r w:rsidR="00A24BE5">
              <w:rPr>
                <w:rFonts w:ascii="Open Sans Light" w:eastAsia="Times New Roman" w:hAnsi="Open Sans Light" w:cs="Open Sans Light"/>
                <w:color w:val="000000"/>
                <w:sz w:val="16"/>
                <w:szCs w:val="16"/>
                <w:lang w:eastAsia="en-AU"/>
              </w:rPr>
              <w:t>of</w:t>
            </w:r>
            <w:r w:rsidR="00A24BE5" w:rsidRPr="00B344FB">
              <w:rPr>
                <w:rFonts w:ascii="Open Sans Light" w:eastAsia="Times New Roman" w:hAnsi="Open Sans Light" w:cs="Open Sans Light"/>
                <w:color w:val="000000"/>
                <w:sz w:val="16"/>
                <w:szCs w:val="16"/>
                <w:lang w:eastAsia="en-AU"/>
              </w:rPr>
              <w:t xml:space="preserve"> </w:t>
            </w:r>
            <w:r w:rsidRPr="00B344FB">
              <w:rPr>
                <w:rFonts w:ascii="Open Sans Light" w:eastAsia="Times New Roman" w:hAnsi="Open Sans Light" w:cs="Open Sans Light"/>
                <w:color w:val="000000"/>
                <w:sz w:val="16"/>
                <w:szCs w:val="16"/>
                <w:lang w:eastAsia="en-AU"/>
              </w:rPr>
              <w:t>states with above-average urban transport investment needs and increase</w:t>
            </w:r>
            <w:r>
              <w:rPr>
                <w:rFonts w:ascii="Open Sans Light" w:eastAsia="Times New Roman" w:hAnsi="Open Sans Light" w:cs="Open Sans Light"/>
                <w:color w:val="000000"/>
                <w:sz w:val="16"/>
                <w:szCs w:val="16"/>
                <w:lang w:eastAsia="en-AU"/>
              </w:rPr>
              <w:t>s</w:t>
            </w:r>
            <w:r w:rsidRPr="00B344FB">
              <w:rPr>
                <w:rFonts w:ascii="Open Sans Light" w:eastAsia="Times New Roman" w:hAnsi="Open Sans Light" w:cs="Open Sans Light"/>
                <w:color w:val="000000"/>
                <w:sz w:val="16"/>
                <w:szCs w:val="16"/>
                <w:lang w:eastAsia="en-AU"/>
              </w:rPr>
              <w:t xml:space="preserve"> assessed GST needs </w:t>
            </w:r>
            <w:r w:rsidR="00A24BE5">
              <w:rPr>
                <w:rFonts w:ascii="Open Sans Light" w:eastAsia="Times New Roman" w:hAnsi="Open Sans Light" w:cs="Open Sans Light"/>
                <w:color w:val="000000"/>
                <w:sz w:val="16"/>
                <w:szCs w:val="16"/>
                <w:lang w:eastAsia="en-AU"/>
              </w:rPr>
              <w:t>of</w:t>
            </w:r>
            <w:r w:rsidR="00A24BE5" w:rsidRPr="00B344FB">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B344FB">
              <w:rPr>
                <w:rFonts w:ascii="Open Sans Light" w:eastAsia="Times New Roman" w:hAnsi="Open Sans Light" w:cs="Open Sans Light"/>
                <w:color w:val="000000"/>
                <w:sz w:val="16"/>
                <w:szCs w:val="16"/>
                <w:lang w:eastAsia="en-AU"/>
              </w:rPr>
              <w:t>other states, including South</w:t>
            </w:r>
            <w:r w:rsidR="00DB3197">
              <w:rPr>
                <w:rFonts w:ascii="Open Sans Light" w:eastAsia="Times New Roman" w:hAnsi="Open Sans Light" w:cs="Open Sans Light"/>
                <w:color w:val="000000"/>
                <w:sz w:val="16"/>
                <w:szCs w:val="16"/>
                <w:lang w:eastAsia="en-AU"/>
              </w:rPr>
              <w:t> </w:t>
            </w:r>
            <w:r w:rsidRPr="00B344FB">
              <w:rPr>
                <w:rFonts w:ascii="Open Sans Light" w:eastAsia="Times New Roman" w:hAnsi="Open Sans Light" w:cs="Open Sans Light"/>
                <w:color w:val="000000"/>
                <w:sz w:val="16"/>
                <w:szCs w:val="16"/>
                <w:lang w:eastAsia="en-AU"/>
              </w:rPr>
              <w:t>Australia.</w:t>
            </w:r>
          </w:p>
        </w:tc>
      </w:tr>
    </w:tbl>
    <w:p w14:paraId="501A4531" w14:textId="77777777" w:rsidR="003957CD" w:rsidRPr="00F47AF8" w:rsidRDefault="003957CD" w:rsidP="003957CD">
      <w:pPr>
        <w:pStyle w:val="CGCTablenote"/>
        <w:ind w:left="0" w:firstLine="0"/>
      </w:pPr>
      <w:r w:rsidRPr="00F47AF8">
        <w:br w:type="page"/>
      </w:r>
    </w:p>
    <w:p w14:paraId="1ADD3BC0" w14:textId="77777777" w:rsidR="003957CD" w:rsidRPr="00F47AF8" w:rsidRDefault="003957CD" w:rsidP="003957CD">
      <w:pPr>
        <w:pStyle w:val="Heading2"/>
      </w:pPr>
      <w:r w:rsidRPr="00F47AF8">
        <w:lastRenderedPageBreak/>
        <w:t>Tasmania</w:t>
      </w:r>
    </w:p>
    <w:p w14:paraId="3449EB26" w14:textId="77777777" w:rsidR="003957CD" w:rsidRPr="00F47AF8" w:rsidRDefault="003957CD" w:rsidP="003957CD">
      <w:r w:rsidRPr="00F47AF8">
        <w:t xml:space="preserve">In </w:t>
      </w:r>
      <w:r w:rsidRPr="00637832">
        <w:t>2026</w:t>
      </w:r>
      <w:r>
        <w:rPr>
          <w:rFonts w:ascii="Times New Roman" w:hAnsi="Times New Roman" w:cs="Times New Roman"/>
        </w:rPr>
        <w:t>‍</w:t>
      </w:r>
      <w:r w:rsidRPr="00637832">
        <w:t>–</w:t>
      </w:r>
      <w:r>
        <w:rPr>
          <w:rFonts w:ascii="Times New Roman" w:hAnsi="Times New Roman" w:cs="Times New Roman"/>
        </w:rPr>
        <w:t>‍</w:t>
      </w:r>
      <w:r w:rsidRPr="00637832">
        <w:t>27</w:t>
      </w:r>
      <w:r w:rsidRPr="00F47AF8">
        <w:t>, Tasmania’s GST distribution is estimated to increase by $28</w:t>
      </w:r>
      <w:r>
        <w:t>6 </w:t>
      </w:r>
      <w:r w:rsidRPr="00F47AF8">
        <w:t>million ($49</w:t>
      </w:r>
      <w:r>
        <w:t>6 </w:t>
      </w:r>
      <w:r w:rsidRPr="00F47AF8">
        <w:t>per</w:t>
      </w:r>
      <w:r>
        <w:t> </w:t>
      </w:r>
      <w:r w:rsidRPr="00F47AF8">
        <w:t xml:space="preserve">capita). </w:t>
      </w:r>
      <w:r>
        <w:t>Its assessed GST needs have increased by $77 million ($134 per capita) in 2026</w:t>
      </w:r>
      <w:r w:rsidRPr="00F47AF8">
        <w:t>–27</w:t>
      </w:r>
      <w:r>
        <w:t>.</w:t>
      </w:r>
    </w:p>
    <w:p w14:paraId="12CEE5B4" w14:textId="77777777" w:rsidR="003957CD" w:rsidRPr="00F47AF8" w:rsidRDefault="003957CD" w:rsidP="002F5ED5">
      <w:pPr>
        <w:pStyle w:val="CGCBulletPoints"/>
      </w:pPr>
      <w:r w:rsidRPr="00F47AF8">
        <w:t xml:space="preserve">Tasmania’s assessed GST needs </w:t>
      </w:r>
      <w:r>
        <w:t xml:space="preserve">have </w:t>
      </w:r>
      <w:r w:rsidRPr="00F47AF8">
        <w:t>increased largely due to:</w:t>
      </w:r>
    </w:p>
    <w:p w14:paraId="264ED627" w14:textId="77777777" w:rsidR="003957CD" w:rsidRPr="00F47AF8" w:rsidRDefault="003957CD" w:rsidP="002F5ED5">
      <w:pPr>
        <w:pStyle w:val="CGCBulletPoints-Level2"/>
      </w:pPr>
      <w:r>
        <w:t>i</w:t>
      </w:r>
      <w:r w:rsidRPr="00F47AF8">
        <w:t>ncrease</w:t>
      </w:r>
      <w:r>
        <w:t>s in</w:t>
      </w:r>
      <w:r w:rsidRPr="00F47AF8">
        <w:t xml:space="preserve"> costs of admitted patients in regional areas</w:t>
      </w:r>
    </w:p>
    <w:p w14:paraId="397A4CA4" w14:textId="77777777" w:rsidR="003957CD" w:rsidRPr="00F47AF8" w:rsidRDefault="003957CD" w:rsidP="002F5ED5">
      <w:pPr>
        <w:pStyle w:val="CGCBulletPoints-Level2"/>
      </w:pPr>
      <w:r>
        <w:t>i</w:t>
      </w:r>
      <w:r w:rsidRPr="00F47AF8">
        <w:t>ncrease</w:t>
      </w:r>
      <w:r>
        <w:t>s in</w:t>
      </w:r>
      <w:r w:rsidRPr="00F47AF8">
        <w:t xml:space="preserve"> relative costs of policing in regional areas </w:t>
      </w:r>
    </w:p>
    <w:p w14:paraId="23DB0B71" w14:textId="77777777" w:rsidR="003957CD" w:rsidRPr="00B8621C" w:rsidRDefault="003957CD" w:rsidP="002F5ED5">
      <w:pPr>
        <w:pStyle w:val="CGCBulletPoints-Level2"/>
      </w:pPr>
      <w:r w:rsidRPr="00B8621C">
        <w:t>lower COVID-19 expenses, noting Tasmania’s below-average COVID-19 expenses</w:t>
      </w:r>
    </w:p>
    <w:p w14:paraId="2552BC0E" w14:textId="77777777" w:rsidR="003957CD" w:rsidRPr="00F47AF8" w:rsidRDefault="003957CD" w:rsidP="002F5ED5">
      <w:pPr>
        <w:pStyle w:val="CGCBulletPoints-Level2"/>
      </w:pPr>
      <w:r w:rsidRPr="00F47AF8">
        <w:t xml:space="preserve">a smaller share of population growth in </w:t>
      </w:r>
      <w:r w:rsidRPr="009F2091">
        <w:t>2024</w:t>
      </w:r>
      <w:r>
        <w:rPr>
          <w:rFonts w:ascii="Times New Roman" w:hAnsi="Times New Roman" w:cs="Times New Roman"/>
        </w:rPr>
        <w:t>‍</w:t>
      </w:r>
      <w:r w:rsidRPr="00C63759">
        <w:t>–</w:t>
      </w:r>
      <w:r>
        <w:rPr>
          <w:rFonts w:ascii="Times New Roman" w:hAnsi="Times New Roman" w:cs="Times New Roman"/>
        </w:rPr>
        <w:t>‍</w:t>
      </w:r>
      <w:r w:rsidRPr="009F2091">
        <w:t>25</w:t>
      </w:r>
      <w:r w:rsidRPr="00F47AF8">
        <w:t xml:space="preserve"> than in </w:t>
      </w:r>
      <w:r w:rsidRPr="009F2091">
        <w:t>2021</w:t>
      </w:r>
      <w:r>
        <w:rPr>
          <w:rFonts w:ascii="Times New Roman" w:hAnsi="Times New Roman" w:cs="Times New Roman"/>
        </w:rPr>
        <w:t>‍</w:t>
      </w:r>
      <w:r w:rsidRPr="00C63759">
        <w:t>–</w:t>
      </w:r>
      <w:r>
        <w:rPr>
          <w:rFonts w:ascii="Times New Roman" w:hAnsi="Times New Roman" w:cs="Times New Roman"/>
        </w:rPr>
        <w:t>‍</w:t>
      </w:r>
      <w:r w:rsidRPr="009F2091">
        <w:t>22</w:t>
      </w:r>
      <w:r w:rsidRPr="00F47AF8">
        <w:t xml:space="preserve">, </w:t>
      </w:r>
      <w:r>
        <w:t xml:space="preserve">which </w:t>
      </w:r>
      <w:r w:rsidRPr="00F47AF8">
        <w:t>increas</w:t>
      </w:r>
      <w:r>
        <w:t>es</w:t>
      </w:r>
      <w:r w:rsidRPr="00F47AF8">
        <w:t xml:space="preserve"> assessed GST needs for net borrowing.</w:t>
      </w:r>
    </w:p>
    <w:p w14:paraId="72051BEE" w14:textId="5C03200A" w:rsidR="003957CD" w:rsidRPr="00F47AF8" w:rsidRDefault="003957CD" w:rsidP="002F5ED5">
      <w:pPr>
        <w:pStyle w:val="CGCBulletPoints"/>
      </w:pPr>
      <w:r>
        <w:t xml:space="preserve">This is partially </w:t>
      </w:r>
      <w:r w:rsidR="00470B71">
        <w:t>offset</w:t>
      </w:r>
      <w:r>
        <w:t xml:space="preserve"> by data revisions due to the</w:t>
      </w:r>
      <w:r w:rsidRPr="00F47AF8">
        <w:t xml:space="preserve"> misclassifi</w:t>
      </w:r>
      <w:r>
        <w:t>cation of</w:t>
      </w:r>
      <w:r w:rsidRPr="00F47AF8">
        <w:t xml:space="preserve"> some major city hospital </w:t>
      </w:r>
      <w:r>
        <w:t>activity</w:t>
      </w:r>
      <w:r w:rsidRPr="00F47AF8">
        <w:t xml:space="preserve"> to other remoteness areas</w:t>
      </w:r>
      <w:r>
        <w:t>, which reduces Tasmania’s assessed GST needs</w:t>
      </w:r>
      <w:r w:rsidRPr="00F47AF8">
        <w:t>.</w:t>
      </w:r>
    </w:p>
    <w:p w14:paraId="490D782A" w14:textId="77777777" w:rsidR="003957CD" w:rsidRPr="00F47AF8" w:rsidRDefault="003957CD" w:rsidP="002F5ED5">
      <w:pPr>
        <w:pStyle w:val="CGCBulletPoints"/>
      </w:pPr>
      <w:r>
        <w:t>E</w:t>
      </w:r>
      <w:r w:rsidRPr="00F47AF8">
        <w:t>xpected growth in the GST pool contribute</w:t>
      </w:r>
      <w:r>
        <w:t>s</w:t>
      </w:r>
      <w:r w:rsidRPr="00F47AF8">
        <w:t xml:space="preserve"> to an increase in Tasmania’s GST distribution.</w:t>
      </w:r>
    </w:p>
    <w:p w14:paraId="24C7C318" w14:textId="2BEA4087" w:rsidR="003957CD" w:rsidRPr="00F47AF8" w:rsidRDefault="003957CD" w:rsidP="002F5ED5">
      <w:pPr>
        <w:pStyle w:val="CGCBulletPoints"/>
      </w:pPr>
      <w:r w:rsidRPr="00F47AF8">
        <w:t xml:space="preserve">Compared with </w:t>
      </w:r>
      <w:r w:rsidRPr="009F159D">
        <w:t>2025</w:t>
      </w:r>
      <w:r>
        <w:rPr>
          <w:rFonts w:ascii="Times New Roman" w:eastAsiaTheme="minorHAnsi" w:hAnsi="Times New Roman" w:cs="Times New Roman"/>
        </w:rPr>
        <w:t>‍</w:t>
      </w:r>
      <w:r w:rsidRPr="00C63759">
        <w:t>–</w:t>
      </w:r>
      <w:r>
        <w:rPr>
          <w:rFonts w:ascii="Times New Roman" w:eastAsiaTheme="minorHAnsi" w:hAnsi="Times New Roman" w:cs="Times New Roman"/>
        </w:rPr>
        <w:t>‍</w:t>
      </w:r>
      <w:r w:rsidRPr="009F159D">
        <w:t>26</w:t>
      </w:r>
      <w:r w:rsidRPr="00F47AF8">
        <w:t xml:space="preserve">, the 2018 </w:t>
      </w:r>
      <w:r>
        <w:t>legislated</w:t>
      </w:r>
      <w:r w:rsidRPr="00F47AF8">
        <w:t xml:space="preserve"> changes to determining relativities increase Tasmania’s GST distribution</w:t>
      </w:r>
      <w:r>
        <w:t xml:space="preserve"> </w:t>
      </w:r>
      <w:r w:rsidR="00BA5484">
        <w:t>by</w:t>
      </w:r>
      <w:r>
        <w:t xml:space="preserve"> </w:t>
      </w:r>
      <w:r w:rsidRPr="00F47AF8">
        <w:t>$21 million.</w:t>
      </w:r>
    </w:p>
    <w:p w14:paraId="1E942F69" w14:textId="77777777" w:rsidR="003957CD" w:rsidRPr="00F47AF8" w:rsidRDefault="003957CD" w:rsidP="00371E5F">
      <w:pPr>
        <w:pStyle w:val="CGC2025Caption"/>
        <w:ind w:left="1276" w:hanging="1276"/>
      </w:pPr>
      <w:r w:rsidRPr="00F47AF8">
        <w:t>Table 3-6</w:t>
      </w:r>
      <w:r w:rsidRPr="00F47AF8">
        <w:tab/>
        <w:t xml:space="preserve">Change in estimated GST distribution from </w:t>
      </w:r>
      <w:r w:rsidRPr="00F64DDF">
        <w:t>2025</w:t>
      </w:r>
      <w:r>
        <w:rPr>
          <w:rFonts w:ascii="Times New Roman" w:hAnsi="Times New Roman" w:cs="Times New Roman"/>
        </w:rPr>
        <w:t>‍</w:t>
      </w:r>
      <w:r w:rsidRPr="00F64DDF">
        <w:t>–</w:t>
      </w:r>
      <w:r>
        <w:rPr>
          <w:rFonts w:ascii="Times New Roman" w:hAnsi="Times New Roman" w:cs="Times New Roman"/>
        </w:rPr>
        <w:t>‍</w:t>
      </w:r>
      <w:r w:rsidRPr="00F64DDF">
        <w:t>26</w:t>
      </w:r>
      <w:r w:rsidRPr="00F47AF8">
        <w:t xml:space="preserve"> to </w:t>
      </w:r>
      <w:r w:rsidRPr="00F64DDF">
        <w:t>2026</w:t>
      </w:r>
      <w:r>
        <w:rPr>
          <w:rFonts w:ascii="Times New Roman" w:hAnsi="Times New Roman" w:cs="Times New Roman"/>
        </w:rPr>
        <w:t>‍</w:t>
      </w:r>
      <w:r w:rsidRPr="00F64DDF">
        <w:t>–</w:t>
      </w:r>
      <w:r>
        <w:rPr>
          <w:rFonts w:ascii="Times New Roman" w:hAnsi="Times New Roman" w:cs="Times New Roman"/>
        </w:rPr>
        <w:t>‍</w:t>
      </w:r>
      <w:r w:rsidRPr="00F64DDF">
        <w:t>27</w:t>
      </w:r>
      <w:r w:rsidRPr="00F47AF8">
        <w:t>, Tasmania (excludes no worse off payments)</w:t>
      </w:r>
    </w:p>
    <w:tbl>
      <w:tblPr>
        <w:tblW w:w="9360" w:type="dxa"/>
        <w:tblLook w:val="04A0" w:firstRow="1" w:lastRow="0" w:firstColumn="1" w:lastColumn="0" w:noHBand="0" w:noVBand="1"/>
      </w:tblPr>
      <w:tblGrid>
        <w:gridCol w:w="4240"/>
        <w:gridCol w:w="2560"/>
        <w:gridCol w:w="2560"/>
      </w:tblGrid>
      <w:tr w:rsidR="003957CD" w:rsidRPr="005055E6" w14:paraId="191749AB" w14:textId="77777777" w:rsidTr="00E51790">
        <w:trPr>
          <w:trHeight w:val="290"/>
        </w:trPr>
        <w:tc>
          <w:tcPr>
            <w:tcW w:w="4240" w:type="dxa"/>
            <w:tcBorders>
              <w:top w:val="nil"/>
              <w:left w:val="nil"/>
              <w:bottom w:val="single" w:sz="4" w:space="0" w:color="ADD6EA"/>
              <w:right w:val="nil"/>
            </w:tcBorders>
            <w:shd w:val="clear" w:color="000000" w:fill="006991"/>
            <w:noWrap/>
            <w:vAlign w:val="center"/>
            <w:hideMark/>
          </w:tcPr>
          <w:p w14:paraId="35EB91C2"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055E6">
              <w:rPr>
                <w:rFonts w:ascii="Open Sans Semibold" w:eastAsia="Times New Roman" w:hAnsi="Open Sans Semibold" w:cs="Open Sans Semibold"/>
                <w:color w:val="FFFFFF"/>
                <w:sz w:val="16"/>
                <w:szCs w:val="16"/>
                <w:lang w:eastAsia="en-AU"/>
              </w:rPr>
              <w:t> </w:t>
            </w:r>
          </w:p>
        </w:tc>
        <w:tc>
          <w:tcPr>
            <w:tcW w:w="2560" w:type="dxa"/>
            <w:tcBorders>
              <w:top w:val="nil"/>
              <w:left w:val="nil"/>
              <w:bottom w:val="single" w:sz="4" w:space="0" w:color="ADD6EA"/>
              <w:right w:val="nil"/>
            </w:tcBorders>
            <w:shd w:val="clear" w:color="000000" w:fill="006991"/>
            <w:noWrap/>
            <w:vAlign w:val="center"/>
            <w:hideMark/>
          </w:tcPr>
          <w:p w14:paraId="29438550"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055E6">
              <w:rPr>
                <w:rFonts w:ascii="Open Sans Semibold" w:eastAsia="Times New Roman" w:hAnsi="Open Sans Semibold" w:cs="Open Sans Semibold"/>
                <w:color w:val="FFFFFF"/>
                <w:sz w:val="16"/>
                <w:szCs w:val="16"/>
                <w:lang w:eastAsia="en-AU"/>
              </w:rPr>
              <w:t>$m</w:t>
            </w:r>
          </w:p>
        </w:tc>
        <w:tc>
          <w:tcPr>
            <w:tcW w:w="2560" w:type="dxa"/>
            <w:tcBorders>
              <w:top w:val="nil"/>
              <w:left w:val="nil"/>
              <w:bottom w:val="single" w:sz="4" w:space="0" w:color="ADD6EA"/>
              <w:right w:val="nil"/>
            </w:tcBorders>
            <w:shd w:val="clear" w:color="000000" w:fill="006991"/>
            <w:noWrap/>
            <w:vAlign w:val="center"/>
            <w:hideMark/>
          </w:tcPr>
          <w:p w14:paraId="1E5E0CA1"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055E6">
              <w:rPr>
                <w:rFonts w:ascii="Open Sans Semibold" w:eastAsia="Times New Roman" w:hAnsi="Open Sans Semibold" w:cs="Open Sans Semibold"/>
                <w:color w:val="FFFFFF"/>
                <w:sz w:val="16"/>
                <w:szCs w:val="16"/>
                <w:lang w:eastAsia="en-AU"/>
              </w:rPr>
              <w:t>$pc</w:t>
            </w:r>
          </w:p>
        </w:tc>
      </w:tr>
      <w:tr w:rsidR="003957CD" w:rsidRPr="005055E6" w14:paraId="746F67EA" w14:textId="77777777" w:rsidTr="00E51790">
        <w:trPr>
          <w:trHeight w:val="290"/>
        </w:trPr>
        <w:tc>
          <w:tcPr>
            <w:tcW w:w="4240" w:type="dxa"/>
            <w:tcBorders>
              <w:top w:val="nil"/>
              <w:left w:val="nil"/>
              <w:bottom w:val="single" w:sz="4" w:space="0" w:color="ADD6EA"/>
              <w:right w:val="nil"/>
            </w:tcBorders>
            <w:noWrap/>
            <w:vAlign w:val="center"/>
            <w:hideMark/>
          </w:tcPr>
          <w:p w14:paraId="2D71DC0C" w14:textId="77777777" w:rsidR="003957CD" w:rsidRPr="005055E6"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xml:space="preserve">Change in </w:t>
            </w:r>
            <w:r w:rsidRPr="005055E6">
              <w:rPr>
                <w:rFonts w:ascii="Open Sans Light" w:eastAsia="Times New Roman" w:hAnsi="Open Sans Light" w:cs="Open Sans Light"/>
                <w:color w:val="000000"/>
                <w:sz w:val="16"/>
                <w:szCs w:val="16"/>
                <w:lang w:eastAsia="en-AU"/>
              </w:rPr>
              <w:t>population</w:t>
            </w:r>
          </w:p>
        </w:tc>
        <w:tc>
          <w:tcPr>
            <w:tcW w:w="2560" w:type="dxa"/>
            <w:tcBorders>
              <w:top w:val="nil"/>
              <w:left w:val="nil"/>
              <w:bottom w:val="single" w:sz="4" w:space="0" w:color="ADD6EA"/>
              <w:right w:val="nil"/>
            </w:tcBorders>
            <w:noWrap/>
            <w:vAlign w:val="center"/>
            <w:hideMark/>
          </w:tcPr>
          <w:p w14:paraId="0413714F"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-37</w:t>
            </w:r>
          </w:p>
        </w:tc>
        <w:tc>
          <w:tcPr>
            <w:tcW w:w="2560" w:type="dxa"/>
            <w:tcBorders>
              <w:top w:val="nil"/>
              <w:left w:val="nil"/>
              <w:bottom w:val="single" w:sz="4" w:space="0" w:color="ADD6EA"/>
              <w:right w:val="nil"/>
            </w:tcBorders>
            <w:noWrap/>
            <w:vAlign w:val="center"/>
            <w:hideMark/>
          </w:tcPr>
          <w:p w14:paraId="78EE98F8"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-65</w:t>
            </w:r>
          </w:p>
        </w:tc>
      </w:tr>
      <w:tr w:rsidR="003957CD" w:rsidRPr="005055E6" w14:paraId="75512595" w14:textId="77777777" w:rsidTr="00E51790">
        <w:trPr>
          <w:trHeight w:val="290"/>
        </w:trPr>
        <w:tc>
          <w:tcPr>
            <w:tcW w:w="4240" w:type="dxa"/>
            <w:tcBorders>
              <w:top w:val="nil"/>
              <w:left w:val="nil"/>
              <w:bottom w:val="single" w:sz="4" w:space="0" w:color="ADD6EA"/>
              <w:right w:val="nil"/>
            </w:tcBorders>
            <w:noWrap/>
            <w:vAlign w:val="center"/>
            <w:hideMark/>
          </w:tcPr>
          <w:p w14:paraId="70F265BB" w14:textId="77777777" w:rsidR="003957CD" w:rsidRPr="005055E6"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xml:space="preserve">Growth in GST pool </w:t>
            </w:r>
          </w:p>
        </w:tc>
        <w:tc>
          <w:tcPr>
            <w:tcW w:w="2560" w:type="dxa"/>
            <w:tcBorders>
              <w:top w:val="nil"/>
              <w:left w:val="nil"/>
              <w:bottom w:val="single" w:sz="4" w:space="0" w:color="ADD6EA"/>
              <w:right w:val="nil"/>
            </w:tcBorders>
            <w:noWrap/>
            <w:vAlign w:val="center"/>
            <w:hideMark/>
          </w:tcPr>
          <w:p w14:paraId="1E359C2A"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225</w:t>
            </w:r>
          </w:p>
        </w:tc>
        <w:tc>
          <w:tcPr>
            <w:tcW w:w="2560" w:type="dxa"/>
            <w:tcBorders>
              <w:top w:val="nil"/>
              <w:left w:val="nil"/>
              <w:bottom w:val="single" w:sz="4" w:space="0" w:color="ADD6EA"/>
              <w:right w:val="nil"/>
            </w:tcBorders>
            <w:noWrap/>
            <w:vAlign w:val="center"/>
            <w:hideMark/>
          </w:tcPr>
          <w:p w14:paraId="09B4BA06"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390</w:t>
            </w:r>
          </w:p>
        </w:tc>
      </w:tr>
      <w:tr w:rsidR="003957CD" w:rsidRPr="005055E6" w14:paraId="6E8BCFDB" w14:textId="77777777" w:rsidTr="00E51790">
        <w:trPr>
          <w:trHeight w:val="290"/>
        </w:trPr>
        <w:tc>
          <w:tcPr>
            <w:tcW w:w="4240" w:type="dxa"/>
            <w:tcBorders>
              <w:top w:val="nil"/>
              <w:left w:val="nil"/>
              <w:bottom w:val="single" w:sz="4" w:space="0" w:color="ADD6EA"/>
              <w:right w:val="nil"/>
            </w:tcBorders>
            <w:noWrap/>
            <w:vAlign w:val="center"/>
            <w:hideMark/>
          </w:tcPr>
          <w:p w14:paraId="451BC82E" w14:textId="54047405" w:rsidR="003957CD" w:rsidRPr="005055E6"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xml:space="preserve">Changes in assessed </w:t>
            </w:r>
            <w:r w:rsidR="001169A0">
              <w:rPr>
                <w:rFonts w:ascii="Open Sans Light" w:eastAsia="Times New Roman" w:hAnsi="Open Sans Light" w:cs="Open Sans Light"/>
                <w:sz w:val="16"/>
                <w:szCs w:val="16"/>
                <w:lang w:eastAsia="en-AU"/>
              </w:rPr>
              <w:t xml:space="preserve">GST </w:t>
            </w:r>
            <w:r w:rsidRPr="005055E6">
              <w:rPr>
                <w:rFonts w:ascii="Open Sans Light" w:eastAsia="Times New Roman" w:hAnsi="Open Sans Light" w:cs="Open Sans Light"/>
                <w:sz w:val="16"/>
                <w:szCs w:val="16"/>
                <w:lang w:eastAsia="en-AU"/>
              </w:rPr>
              <w:t>needs</w:t>
            </w:r>
          </w:p>
        </w:tc>
        <w:tc>
          <w:tcPr>
            <w:tcW w:w="2560" w:type="dxa"/>
            <w:tcBorders>
              <w:top w:val="nil"/>
              <w:left w:val="nil"/>
              <w:bottom w:val="single" w:sz="4" w:space="0" w:color="ADD6EA"/>
              <w:right w:val="nil"/>
            </w:tcBorders>
            <w:noWrap/>
            <w:vAlign w:val="center"/>
            <w:hideMark/>
          </w:tcPr>
          <w:p w14:paraId="55DB5AB6"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w:t>
            </w:r>
          </w:p>
        </w:tc>
        <w:tc>
          <w:tcPr>
            <w:tcW w:w="2560" w:type="dxa"/>
            <w:tcBorders>
              <w:top w:val="nil"/>
              <w:left w:val="nil"/>
              <w:bottom w:val="single" w:sz="4" w:space="0" w:color="ADD6EA"/>
              <w:right w:val="nil"/>
            </w:tcBorders>
            <w:noWrap/>
            <w:vAlign w:val="center"/>
            <w:hideMark/>
          </w:tcPr>
          <w:p w14:paraId="5B33D554"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w:t>
            </w:r>
          </w:p>
        </w:tc>
      </w:tr>
      <w:tr w:rsidR="003957CD" w:rsidRPr="005055E6" w14:paraId="5A91D764" w14:textId="77777777" w:rsidTr="00E51790">
        <w:trPr>
          <w:trHeight w:val="290"/>
        </w:trPr>
        <w:tc>
          <w:tcPr>
            <w:tcW w:w="4240" w:type="dxa"/>
            <w:tcBorders>
              <w:top w:val="nil"/>
              <w:left w:val="nil"/>
              <w:bottom w:val="single" w:sz="4" w:space="0" w:color="ADD6EA"/>
              <w:right w:val="nil"/>
            </w:tcBorders>
            <w:noWrap/>
            <w:vAlign w:val="center"/>
            <w:hideMark/>
          </w:tcPr>
          <w:p w14:paraId="04B1E452" w14:textId="77777777" w:rsidR="003957CD" w:rsidRPr="005055E6"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Method changes</w:t>
            </w:r>
          </w:p>
        </w:tc>
        <w:tc>
          <w:tcPr>
            <w:tcW w:w="2560" w:type="dxa"/>
            <w:tcBorders>
              <w:top w:val="nil"/>
              <w:left w:val="nil"/>
              <w:bottom w:val="single" w:sz="4" w:space="0" w:color="ADD6EA"/>
              <w:right w:val="nil"/>
            </w:tcBorders>
            <w:noWrap/>
            <w:vAlign w:val="center"/>
            <w:hideMark/>
          </w:tcPr>
          <w:p w14:paraId="3790D6A9"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66</w:t>
            </w:r>
          </w:p>
        </w:tc>
        <w:tc>
          <w:tcPr>
            <w:tcW w:w="2560" w:type="dxa"/>
            <w:tcBorders>
              <w:top w:val="nil"/>
              <w:left w:val="nil"/>
              <w:bottom w:val="single" w:sz="4" w:space="0" w:color="ADD6EA"/>
              <w:right w:val="nil"/>
            </w:tcBorders>
            <w:noWrap/>
            <w:vAlign w:val="center"/>
            <w:hideMark/>
          </w:tcPr>
          <w:p w14:paraId="4A87E610"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114</w:t>
            </w:r>
          </w:p>
        </w:tc>
      </w:tr>
      <w:tr w:rsidR="003957CD" w:rsidRPr="005055E6" w14:paraId="4928C302" w14:textId="77777777" w:rsidTr="00E51790">
        <w:trPr>
          <w:trHeight w:val="290"/>
        </w:trPr>
        <w:tc>
          <w:tcPr>
            <w:tcW w:w="4240" w:type="dxa"/>
            <w:tcBorders>
              <w:top w:val="nil"/>
              <w:left w:val="nil"/>
              <w:bottom w:val="single" w:sz="4" w:space="0" w:color="ADD6EA"/>
              <w:right w:val="nil"/>
            </w:tcBorders>
            <w:noWrap/>
            <w:vAlign w:val="center"/>
            <w:hideMark/>
          </w:tcPr>
          <w:p w14:paraId="28010087" w14:textId="77777777" w:rsidR="003957CD" w:rsidRPr="005055E6"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Data revisions</w:t>
            </w:r>
          </w:p>
        </w:tc>
        <w:tc>
          <w:tcPr>
            <w:tcW w:w="2560" w:type="dxa"/>
            <w:tcBorders>
              <w:top w:val="nil"/>
              <w:left w:val="nil"/>
              <w:bottom w:val="single" w:sz="4" w:space="0" w:color="ADD6EA"/>
              <w:right w:val="nil"/>
            </w:tcBorders>
            <w:noWrap/>
            <w:vAlign w:val="center"/>
            <w:hideMark/>
          </w:tcPr>
          <w:p w14:paraId="497E15C8"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-11</w:t>
            </w:r>
            <w:r>
              <w:rPr>
                <w:rFonts w:ascii="Open Sans Light" w:eastAsia="Times New Roman" w:hAnsi="Open Sans Light" w:cs="Open Sans Light"/>
                <w:sz w:val="16"/>
                <w:szCs w:val="16"/>
                <w:lang w:eastAsia="en-AU"/>
              </w:rPr>
              <w:t>2</w:t>
            </w:r>
          </w:p>
        </w:tc>
        <w:tc>
          <w:tcPr>
            <w:tcW w:w="2560" w:type="dxa"/>
            <w:tcBorders>
              <w:top w:val="nil"/>
              <w:left w:val="nil"/>
              <w:bottom w:val="single" w:sz="4" w:space="0" w:color="ADD6EA"/>
              <w:right w:val="nil"/>
            </w:tcBorders>
            <w:noWrap/>
            <w:vAlign w:val="center"/>
            <w:hideMark/>
          </w:tcPr>
          <w:p w14:paraId="0516723A"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-195</w:t>
            </w:r>
          </w:p>
        </w:tc>
      </w:tr>
      <w:tr w:rsidR="003957CD" w:rsidRPr="005055E6" w14:paraId="007DB42C" w14:textId="77777777" w:rsidTr="00E51790">
        <w:trPr>
          <w:trHeight w:val="290"/>
        </w:trPr>
        <w:tc>
          <w:tcPr>
            <w:tcW w:w="4240" w:type="dxa"/>
            <w:tcBorders>
              <w:top w:val="nil"/>
              <w:left w:val="nil"/>
              <w:bottom w:val="single" w:sz="4" w:space="0" w:color="ADD6EA"/>
              <w:right w:val="nil"/>
            </w:tcBorders>
            <w:noWrap/>
            <w:vAlign w:val="center"/>
            <w:hideMark/>
          </w:tcPr>
          <w:p w14:paraId="3BCDF673" w14:textId="77777777" w:rsidR="003957CD" w:rsidRPr="005055E6"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State circumstances</w:t>
            </w:r>
          </w:p>
        </w:tc>
        <w:tc>
          <w:tcPr>
            <w:tcW w:w="2560" w:type="dxa"/>
            <w:tcBorders>
              <w:top w:val="nil"/>
              <w:left w:val="nil"/>
              <w:bottom w:val="single" w:sz="4" w:space="0" w:color="ADD6EA"/>
              <w:right w:val="nil"/>
            </w:tcBorders>
            <w:noWrap/>
            <w:vAlign w:val="center"/>
            <w:hideMark/>
          </w:tcPr>
          <w:p w14:paraId="677461A2"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124</w:t>
            </w:r>
          </w:p>
        </w:tc>
        <w:tc>
          <w:tcPr>
            <w:tcW w:w="2560" w:type="dxa"/>
            <w:tcBorders>
              <w:top w:val="nil"/>
              <w:left w:val="nil"/>
              <w:bottom w:val="single" w:sz="4" w:space="0" w:color="ADD6EA"/>
              <w:right w:val="nil"/>
            </w:tcBorders>
            <w:noWrap/>
            <w:vAlign w:val="center"/>
            <w:hideMark/>
          </w:tcPr>
          <w:p w14:paraId="76D2651B"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215</w:t>
            </w:r>
          </w:p>
        </w:tc>
      </w:tr>
      <w:tr w:rsidR="003957CD" w:rsidRPr="005055E6" w14:paraId="7ECB89E3" w14:textId="77777777" w:rsidTr="00E51790">
        <w:trPr>
          <w:trHeight w:val="290"/>
        </w:trPr>
        <w:tc>
          <w:tcPr>
            <w:tcW w:w="4240" w:type="dxa"/>
            <w:tcBorders>
              <w:top w:val="nil"/>
              <w:left w:val="nil"/>
              <w:bottom w:val="single" w:sz="4" w:space="0" w:color="ADD6EA"/>
              <w:right w:val="nil"/>
            </w:tcBorders>
            <w:noWrap/>
            <w:vAlign w:val="center"/>
            <w:hideMark/>
          </w:tcPr>
          <w:p w14:paraId="7175BD18" w14:textId="77777777" w:rsidR="003957CD" w:rsidRPr="005055E6"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Total</w:t>
            </w:r>
          </w:p>
        </w:tc>
        <w:tc>
          <w:tcPr>
            <w:tcW w:w="2560" w:type="dxa"/>
            <w:tcBorders>
              <w:top w:val="nil"/>
              <w:left w:val="nil"/>
              <w:bottom w:val="single" w:sz="4" w:space="0" w:color="ADD6EA"/>
              <w:right w:val="nil"/>
            </w:tcBorders>
            <w:noWrap/>
            <w:vAlign w:val="center"/>
            <w:hideMark/>
          </w:tcPr>
          <w:p w14:paraId="4CE43C01"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77</w:t>
            </w:r>
          </w:p>
        </w:tc>
        <w:tc>
          <w:tcPr>
            <w:tcW w:w="2560" w:type="dxa"/>
            <w:tcBorders>
              <w:top w:val="nil"/>
              <w:left w:val="nil"/>
              <w:bottom w:val="single" w:sz="4" w:space="0" w:color="ADD6EA"/>
              <w:right w:val="nil"/>
            </w:tcBorders>
            <w:noWrap/>
            <w:vAlign w:val="center"/>
            <w:hideMark/>
          </w:tcPr>
          <w:p w14:paraId="6ADEC229"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134</w:t>
            </w:r>
          </w:p>
        </w:tc>
      </w:tr>
      <w:tr w:rsidR="003957CD" w:rsidRPr="005055E6" w14:paraId="73AC9592" w14:textId="77777777" w:rsidTr="00E51790">
        <w:trPr>
          <w:trHeight w:val="290"/>
        </w:trPr>
        <w:tc>
          <w:tcPr>
            <w:tcW w:w="4240" w:type="dxa"/>
            <w:tcBorders>
              <w:top w:val="nil"/>
              <w:left w:val="nil"/>
              <w:bottom w:val="single" w:sz="4" w:space="0" w:color="ADD6EA"/>
              <w:right w:val="nil"/>
            </w:tcBorders>
            <w:noWrap/>
            <w:vAlign w:val="center"/>
            <w:hideMark/>
          </w:tcPr>
          <w:p w14:paraId="6175D85A" w14:textId="77777777" w:rsidR="003957CD" w:rsidRPr="005055E6"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2018 legislated changes to determining relativities</w:t>
            </w:r>
          </w:p>
        </w:tc>
        <w:tc>
          <w:tcPr>
            <w:tcW w:w="2560" w:type="dxa"/>
            <w:tcBorders>
              <w:top w:val="nil"/>
              <w:left w:val="nil"/>
              <w:bottom w:val="single" w:sz="4" w:space="0" w:color="ADD6EA"/>
              <w:right w:val="nil"/>
            </w:tcBorders>
            <w:noWrap/>
            <w:vAlign w:val="center"/>
            <w:hideMark/>
          </w:tcPr>
          <w:p w14:paraId="00F9DD86"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21</w:t>
            </w:r>
          </w:p>
        </w:tc>
        <w:tc>
          <w:tcPr>
            <w:tcW w:w="2560" w:type="dxa"/>
            <w:tcBorders>
              <w:top w:val="nil"/>
              <w:left w:val="nil"/>
              <w:bottom w:val="single" w:sz="4" w:space="0" w:color="ADD6EA"/>
              <w:right w:val="nil"/>
            </w:tcBorders>
            <w:noWrap/>
            <w:vAlign w:val="center"/>
            <w:hideMark/>
          </w:tcPr>
          <w:p w14:paraId="0CB41594"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36</w:t>
            </w:r>
          </w:p>
        </w:tc>
      </w:tr>
      <w:tr w:rsidR="003957CD" w:rsidRPr="005055E6" w14:paraId="4ECFEE96" w14:textId="77777777" w:rsidTr="00E51790">
        <w:trPr>
          <w:trHeight w:val="290"/>
        </w:trPr>
        <w:tc>
          <w:tcPr>
            <w:tcW w:w="4240" w:type="dxa"/>
            <w:tcBorders>
              <w:top w:val="nil"/>
              <w:left w:val="nil"/>
              <w:bottom w:val="single" w:sz="4" w:space="0" w:color="ADD6EA"/>
              <w:right w:val="nil"/>
            </w:tcBorders>
            <w:shd w:val="clear" w:color="000000" w:fill="D6E7F0"/>
            <w:noWrap/>
            <w:vAlign w:val="center"/>
            <w:hideMark/>
          </w:tcPr>
          <w:p w14:paraId="3EF30055" w14:textId="77777777" w:rsidR="003957CD" w:rsidRPr="005055E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5055E6">
              <w:rPr>
                <w:rFonts w:ascii="Open Sans Semibold" w:eastAsia="Times New Roman" w:hAnsi="Open Sans Semibold" w:cs="Open Sans Semibold"/>
                <w:color w:val="000000"/>
                <w:sz w:val="16"/>
                <w:szCs w:val="16"/>
                <w:lang w:eastAsia="en-AU"/>
              </w:rPr>
              <w:t>Total change</w:t>
            </w:r>
          </w:p>
        </w:tc>
        <w:tc>
          <w:tcPr>
            <w:tcW w:w="2560" w:type="dxa"/>
            <w:tcBorders>
              <w:top w:val="nil"/>
              <w:left w:val="nil"/>
              <w:bottom w:val="single" w:sz="4" w:space="0" w:color="ADD6EA"/>
              <w:right w:val="nil"/>
            </w:tcBorders>
            <w:shd w:val="clear" w:color="000000" w:fill="D6E7F0"/>
            <w:noWrap/>
            <w:vAlign w:val="center"/>
            <w:hideMark/>
          </w:tcPr>
          <w:p w14:paraId="0B608989"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055E6">
              <w:rPr>
                <w:rFonts w:ascii="Open Sans Semibold" w:eastAsia="Times New Roman" w:hAnsi="Open Sans Semibold" w:cs="Open Sans Semibold"/>
                <w:color w:val="000000"/>
                <w:sz w:val="16"/>
                <w:szCs w:val="16"/>
                <w:lang w:eastAsia="en-AU"/>
              </w:rPr>
              <w:t>286</w:t>
            </w:r>
          </w:p>
        </w:tc>
        <w:tc>
          <w:tcPr>
            <w:tcW w:w="2560" w:type="dxa"/>
            <w:tcBorders>
              <w:top w:val="nil"/>
              <w:left w:val="nil"/>
              <w:bottom w:val="single" w:sz="4" w:space="0" w:color="ADD6EA"/>
              <w:right w:val="nil"/>
            </w:tcBorders>
            <w:shd w:val="clear" w:color="000000" w:fill="D6E7F0"/>
            <w:noWrap/>
            <w:vAlign w:val="center"/>
            <w:hideMark/>
          </w:tcPr>
          <w:p w14:paraId="1188F948"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055E6">
              <w:rPr>
                <w:rFonts w:ascii="Open Sans Semibold" w:eastAsia="Times New Roman" w:hAnsi="Open Sans Semibold" w:cs="Open Sans Semibold"/>
                <w:color w:val="000000"/>
                <w:sz w:val="16"/>
                <w:szCs w:val="16"/>
                <w:lang w:eastAsia="en-AU"/>
              </w:rPr>
              <w:t>49</w:t>
            </w:r>
            <w:r>
              <w:rPr>
                <w:rFonts w:ascii="Open Sans Semibold" w:eastAsia="Times New Roman" w:hAnsi="Open Sans Semibold" w:cs="Open Sans Semibold"/>
                <w:color w:val="000000"/>
                <w:sz w:val="16"/>
                <w:szCs w:val="16"/>
                <w:lang w:eastAsia="en-AU"/>
              </w:rPr>
              <w:t>6</w:t>
            </w:r>
          </w:p>
        </w:tc>
      </w:tr>
    </w:tbl>
    <w:p w14:paraId="1A00C982" w14:textId="77777777" w:rsidR="003957CD" w:rsidRPr="00F47AF8" w:rsidRDefault="003957CD" w:rsidP="003957CD">
      <w:pPr>
        <w:tabs>
          <w:tab w:val="clear" w:pos="567"/>
        </w:tabs>
        <w:spacing w:before="0" w:line="240" w:lineRule="auto"/>
        <w:rPr>
          <w:rFonts w:ascii="Open Sans Light" w:eastAsia="Times New Roman" w:hAnsi="Open Sans Light" w:cs="Times New Roman"/>
          <w:szCs w:val="20"/>
        </w:rPr>
      </w:pPr>
      <w:r w:rsidRPr="00F47AF8">
        <w:rPr>
          <w:rFonts w:ascii="Open Sans Light" w:eastAsia="Times New Roman" w:hAnsi="Open Sans Light" w:cs="Times New Roman"/>
          <w:szCs w:val="20"/>
        </w:rPr>
        <w:br w:type="page"/>
      </w:r>
    </w:p>
    <w:p w14:paraId="2B3F51FA" w14:textId="77777777" w:rsidR="003957CD" w:rsidRPr="00F47AF8" w:rsidRDefault="003957CD" w:rsidP="00371E5F">
      <w:pPr>
        <w:pStyle w:val="CGC2025Caption"/>
      </w:pPr>
      <w:r w:rsidRPr="00F47AF8">
        <w:lastRenderedPageBreak/>
        <w:t>Figure 3-6</w:t>
      </w:r>
      <w:r w:rsidRPr="00F47AF8">
        <w:tab/>
        <w:t>Tasmania: main changes in assessed GST needs, 2026</w:t>
      </w:r>
      <w:r w:rsidRPr="00BA42D7">
        <w:t>–</w:t>
      </w:r>
      <w:r>
        <w:t>27 relativities</w:t>
      </w:r>
    </w:p>
    <w:tbl>
      <w:tblPr>
        <w:tblW w:w="9260" w:type="dxa"/>
        <w:tblLook w:val="04A0" w:firstRow="1" w:lastRow="0" w:firstColumn="1" w:lastColumn="0" w:noHBand="0" w:noVBand="1"/>
      </w:tblPr>
      <w:tblGrid>
        <w:gridCol w:w="2780"/>
        <w:gridCol w:w="720"/>
        <w:gridCol w:w="720"/>
        <w:gridCol w:w="5040"/>
      </w:tblGrid>
      <w:tr w:rsidR="003957CD" w:rsidRPr="00845D98" w14:paraId="120B2508" w14:textId="77777777" w:rsidTr="00E51790">
        <w:trPr>
          <w:trHeight w:val="290"/>
        </w:trPr>
        <w:tc>
          <w:tcPr>
            <w:tcW w:w="9260" w:type="dxa"/>
            <w:gridSpan w:val="4"/>
            <w:tcBorders>
              <w:top w:val="nil"/>
              <w:left w:val="nil"/>
              <w:bottom w:val="nil"/>
              <w:right w:val="nil"/>
            </w:tcBorders>
            <w:shd w:val="clear" w:color="000000" w:fill="006991"/>
            <w:vAlign w:val="center"/>
            <w:hideMark/>
          </w:tcPr>
          <w:p w14:paraId="37389DD1"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845D98">
              <w:rPr>
                <w:rFonts w:ascii="Open Sans Semibold" w:eastAsia="Times New Roman" w:hAnsi="Open Sans Semibold" w:cs="Open Sans Semibold"/>
                <w:color w:val="FFFFFF"/>
                <w:sz w:val="16"/>
                <w:szCs w:val="16"/>
                <w:lang w:eastAsia="en-AU"/>
              </w:rPr>
              <w:t>Method changes</w:t>
            </w:r>
          </w:p>
        </w:tc>
      </w:tr>
      <w:tr w:rsidR="003957CD" w:rsidRPr="00845D98" w14:paraId="4844933A" w14:textId="77777777" w:rsidTr="00E51790">
        <w:trPr>
          <w:trHeight w:val="290"/>
        </w:trPr>
        <w:tc>
          <w:tcPr>
            <w:tcW w:w="2780" w:type="dxa"/>
            <w:tcBorders>
              <w:top w:val="single" w:sz="4" w:space="0" w:color="ADD6EA"/>
              <w:left w:val="nil"/>
              <w:bottom w:val="nil"/>
              <w:right w:val="nil"/>
            </w:tcBorders>
            <w:shd w:val="clear" w:color="000000" w:fill="D6E7F0"/>
            <w:hideMark/>
          </w:tcPr>
          <w:p w14:paraId="50987008"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030ED1BB"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6A9098D8"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Explanation</w:t>
            </w:r>
          </w:p>
        </w:tc>
      </w:tr>
      <w:tr w:rsidR="003957CD" w:rsidRPr="00845D98" w14:paraId="28EC02D3" w14:textId="77777777" w:rsidTr="00E51790">
        <w:trPr>
          <w:trHeight w:val="290"/>
        </w:trPr>
        <w:tc>
          <w:tcPr>
            <w:tcW w:w="2780" w:type="dxa"/>
            <w:tcBorders>
              <w:top w:val="single" w:sz="4" w:space="0" w:color="ADD6EA"/>
              <w:left w:val="nil"/>
              <w:bottom w:val="nil"/>
              <w:right w:val="nil"/>
            </w:tcBorders>
            <w:shd w:val="clear" w:color="000000" w:fill="B6D5E4"/>
            <w:hideMark/>
          </w:tcPr>
          <w:p w14:paraId="09D0F31D"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300B4740"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3BB92011"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48100065"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 </w:t>
            </w:r>
          </w:p>
        </w:tc>
      </w:tr>
      <w:tr w:rsidR="003957CD" w:rsidRPr="00845D98" w14:paraId="7D013F22" w14:textId="77777777" w:rsidTr="00B70FF2">
        <w:trPr>
          <w:trHeight w:val="1595"/>
        </w:trPr>
        <w:tc>
          <w:tcPr>
            <w:tcW w:w="2780" w:type="dxa"/>
            <w:tcBorders>
              <w:top w:val="single" w:sz="4" w:space="0" w:color="ADD6EA"/>
              <w:left w:val="nil"/>
              <w:bottom w:val="nil"/>
              <w:right w:val="nil"/>
            </w:tcBorders>
            <w:shd w:val="clear" w:color="000000" w:fill="FFFFFF"/>
            <w:hideMark/>
          </w:tcPr>
          <w:p w14:paraId="01353438" w14:textId="7777777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Justice method changes</w:t>
            </w:r>
          </w:p>
        </w:tc>
        <w:tc>
          <w:tcPr>
            <w:tcW w:w="720" w:type="dxa"/>
            <w:tcBorders>
              <w:top w:val="single" w:sz="4" w:space="0" w:color="ADD6EA"/>
              <w:left w:val="nil"/>
              <w:bottom w:val="nil"/>
              <w:right w:val="nil"/>
            </w:tcBorders>
            <w:shd w:val="clear" w:color="000000" w:fill="ADD6EA"/>
            <w:hideMark/>
          </w:tcPr>
          <w:p w14:paraId="7120FA78"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62</w:t>
            </w:r>
          </w:p>
        </w:tc>
        <w:tc>
          <w:tcPr>
            <w:tcW w:w="720" w:type="dxa"/>
            <w:tcBorders>
              <w:top w:val="single" w:sz="4" w:space="0" w:color="ADD6EA"/>
              <w:left w:val="nil"/>
              <w:bottom w:val="nil"/>
              <w:right w:val="nil"/>
            </w:tcBorders>
            <w:shd w:val="clear" w:color="000000" w:fill="ADD6EA"/>
            <w:hideMark/>
          </w:tcPr>
          <w:p w14:paraId="1935BB4B"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108</w:t>
            </w:r>
          </w:p>
        </w:tc>
        <w:tc>
          <w:tcPr>
            <w:tcW w:w="5040" w:type="dxa"/>
            <w:tcBorders>
              <w:top w:val="single" w:sz="4" w:space="0" w:color="ADD6EA"/>
              <w:left w:val="nil"/>
              <w:bottom w:val="nil"/>
              <w:right w:val="nil"/>
            </w:tcBorders>
            <w:shd w:val="clear" w:color="000000" w:fill="FFFFFF"/>
            <w:hideMark/>
          </w:tcPr>
          <w:p w14:paraId="3D5EE844" w14:textId="30F15823"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The Commission</w:t>
            </w:r>
            <w:r>
              <w:rPr>
                <w:rFonts w:ascii="Open Sans Light" w:eastAsia="Times New Roman" w:hAnsi="Open Sans Light" w:cs="Open Sans Light"/>
                <w:color w:val="000000"/>
                <w:sz w:val="16"/>
                <w:szCs w:val="16"/>
                <w:lang w:eastAsia="en-AU"/>
              </w:rPr>
              <w:t xml:space="preserve"> </w:t>
            </w:r>
            <w:r w:rsidRPr="00845D98">
              <w:rPr>
                <w:rFonts w:ascii="Open Sans Light" w:eastAsia="Times New Roman" w:hAnsi="Open Sans Light" w:cs="Open Sans Light"/>
                <w:color w:val="000000"/>
                <w:sz w:val="16"/>
                <w:szCs w:val="16"/>
                <w:lang w:eastAsia="en-AU"/>
              </w:rPr>
              <w:t>updated the police regression with the latest available data. These data show an increase in the cost of policing offenders and higher relative costs in non-remote areas</w:t>
            </w:r>
            <w:r>
              <w:rPr>
                <w:rFonts w:ascii="Open Sans Light" w:eastAsia="Times New Roman" w:hAnsi="Open Sans Light" w:cs="Open Sans Light"/>
                <w:color w:val="000000"/>
                <w:sz w:val="16"/>
                <w:szCs w:val="16"/>
                <w:lang w:eastAsia="en-AU"/>
              </w:rPr>
              <w:t>,</w:t>
            </w:r>
            <w:r w:rsidRPr="00845D98">
              <w:rPr>
                <w:rFonts w:ascii="Open Sans Light" w:eastAsia="Times New Roman" w:hAnsi="Open Sans Light" w:cs="Open Sans Light"/>
                <w:color w:val="000000"/>
                <w:sz w:val="16"/>
                <w:szCs w:val="16"/>
                <w:lang w:eastAsia="en-AU"/>
              </w:rPr>
              <w:t xml:space="preserve"> which increase</w:t>
            </w:r>
            <w:r>
              <w:rPr>
                <w:rFonts w:ascii="Open Sans Light" w:eastAsia="Times New Roman" w:hAnsi="Open Sans Light" w:cs="Open Sans Light"/>
                <w:color w:val="000000"/>
                <w:sz w:val="16"/>
                <w:szCs w:val="16"/>
                <w:lang w:eastAsia="en-AU"/>
              </w:rPr>
              <w:t>s</w:t>
            </w:r>
            <w:r w:rsidRPr="00845D98">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Tasmania’s </w:t>
            </w:r>
            <w:r w:rsidRPr="00845D98">
              <w:rPr>
                <w:rFonts w:ascii="Open Sans Light" w:eastAsia="Times New Roman" w:hAnsi="Open Sans Light" w:cs="Open Sans Light"/>
                <w:color w:val="000000"/>
                <w:sz w:val="16"/>
                <w:szCs w:val="16"/>
                <w:lang w:eastAsia="en-AU"/>
              </w:rPr>
              <w:t xml:space="preserve">assessed </w:t>
            </w:r>
            <w:r>
              <w:rPr>
                <w:rFonts w:ascii="Open Sans Light" w:eastAsia="Times New Roman" w:hAnsi="Open Sans Light" w:cs="Open Sans Light"/>
                <w:color w:val="000000"/>
                <w:sz w:val="16"/>
                <w:szCs w:val="16"/>
                <w:lang w:eastAsia="en-AU"/>
              </w:rPr>
              <w:t xml:space="preserve">GST </w:t>
            </w:r>
            <w:r w:rsidRPr="00845D98">
              <w:rPr>
                <w:rFonts w:ascii="Open Sans Light" w:eastAsia="Times New Roman" w:hAnsi="Open Sans Light" w:cs="Open Sans Light"/>
                <w:color w:val="000000"/>
                <w:sz w:val="16"/>
                <w:szCs w:val="16"/>
                <w:lang w:eastAsia="en-AU"/>
              </w:rPr>
              <w:t xml:space="preserve">needs. State prisoner data </w:t>
            </w:r>
            <w:r>
              <w:rPr>
                <w:rFonts w:ascii="Open Sans Light" w:eastAsia="Times New Roman" w:hAnsi="Open Sans Light" w:cs="Open Sans Light"/>
                <w:color w:val="000000"/>
                <w:sz w:val="16"/>
                <w:szCs w:val="16"/>
                <w:lang w:eastAsia="en-AU"/>
              </w:rPr>
              <w:t xml:space="preserve">have </w:t>
            </w:r>
            <w:r w:rsidRPr="00845D98">
              <w:rPr>
                <w:rFonts w:ascii="Open Sans Light" w:eastAsia="Times New Roman" w:hAnsi="Open Sans Light" w:cs="Open Sans Light"/>
                <w:color w:val="000000"/>
                <w:sz w:val="16"/>
                <w:szCs w:val="16"/>
                <w:lang w:eastAsia="en-AU"/>
              </w:rPr>
              <w:t xml:space="preserve">also </w:t>
            </w:r>
            <w:r>
              <w:rPr>
                <w:rFonts w:ascii="Open Sans Light" w:eastAsia="Times New Roman" w:hAnsi="Open Sans Light" w:cs="Open Sans Light"/>
                <w:color w:val="000000"/>
                <w:sz w:val="16"/>
                <w:szCs w:val="16"/>
                <w:lang w:eastAsia="en-AU"/>
              </w:rPr>
              <w:t>been</w:t>
            </w:r>
            <w:r w:rsidRPr="00845D98">
              <w:rPr>
                <w:rFonts w:ascii="Open Sans Light" w:eastAsia="Times New Roman" w:hAnsi="Open Sans Light" w:cs="Open Sans Light"/>
                <w:color w:val="000000"/>
                <w:sz w:val="16"/>
                <w:szCs w:val="16"/>
                <w:lang w:eastAsia="en-AU"/>
              </w:rPr>
              <w:t xml:space="preserve"> updated and show a growing proportion of First</w:t>
            </w:r>
            <w:r w:rsidR="005B47A4">
              <w:rPr>
                <w:rFonts w:ascii="Open Sans Light" w:eastAsia="Times New Roman" w:hAnsi="Open Sans Light" w:cs="Open Sans Light"/>
                <w:color w:val="000000"/>
                <w:sz w:val="16"/>
                <w:szCs w:val="16"/>
                <w:lang w:eastAsia="en-AU"/>
              </w:rPr>
              <w:t> </w:t>
            </w:r>
            <w:r w:rsidRPr="00845D98">
              <w:rPr>
                <w:rFonts w:ascii="Open Sans Light" w:eastAsia="Times New Roman" w:hAnsi="Open Sans Light" w:cs="Open Sans Light"/>
                <w:color w:val="000000"/>
                <w:sz w:val="16"/>
                <w:szCs w:val="16"/>
                <w:lang w:eastAsia="en-AU"/>
              </w:rPr>
              <w:t>Nations defendants</w:t>
            </w:r>
            <w:r>
              <w:rPr>
                <w:rFonts w:ascii="Open Sans Light" w:eastAsia="Times New Roman" w:hAnsi="Open Sans Light" w:cs="Open Sans Light"/>
                <w:color w:val="000000"/>
                <w:sz w:val="16"/>
                <w:szCs w:val="16"/>
                <w:lang w:eastAsia="en-AU"/>
              </w:rPr>
              <w:t xml:space="preserve"> who</w:t>
            </w:r>
            <w:r w:rsidRPr="00845D98">
              <w:rPr>
                <w:rFonts w:ascii="Open Sans Light" w:eastAsia="Times New Roman" w:hAnsi="Open Sans Light" w:cs="Open Sans Light"/>
                <w:color w:val="000000"/>
                <w:sz w:val="16"/>
                <w:szCs w:val="16"/>
                <w:lang w:eastAsia="en-AU"/>
              </w:rPr>
              <w:t xml:space="preserve"> </w:t>
            </w:r>
            <w:r w:rsidR="00A946FF">
              <w:rPr>
                <w:rFonts w:ascii="Open Sans Light" w:eastAsia="Times New Roman" w:hAnsi="Open Sans Light" w:cs="Open Sans Light"/>
                <w:color w:val="000000"/>
                <w:sz w:val="16"/>
                <w:szCs w:val="16"/>
                <w:lang w:eastAsia="en-AU"/>
              </w:rPr>
              <w:t>have</w:t>
            </w:r>
            <w:r w:rsidR="00A946FF" w:rsidRPr="00845D98">
              <w:rPr>
                <w:rFonts w:ascii="Open Sans Light" w:eastAsia="Times New Roman" w:hAnsi="Open Sans Light" w:cs="Open Sans Light"/>
                <w:color w:val="000000"/>
                <w:sz w:val="16"/>
                <w:szCs w:val="16"/>
                <w:lang w:eastAsia="en-AU"/>
              </w:rPr>
              <w:t xml:space="preserve"> </w:t>
            </w:r>
            <w:r w:rsidRPr="00845D98">
              <w:rPr>
                <w:rFonts w:ascii="Open Sans Light" w:eastAsia="Times New Roman" w:hAnsi="Open Sans Light" w:cs="Open Sans Light"/>
                <w:color w:val="000000"/>
                <w:sz w:val="16"/>
                <w:szCs w:val="16"/>
                <w:lang w:eastAsia="en-AU"/>
              </w:rPr>
              <w:t>lower (rather than higher) levels of disadvantage. This increase</w:t>
            </w:r>
            <w:r>
              <w:rPr>
                <w:rFonts w:ascii="Open Sans Light" w:eastAsia="Times New Roman" w:hAnsi="Open Sans Light" w:cs="Open Sans Light"/>
                <w:color w:val="000000"/>
                <w:sz w:val="16"/>
                <w:szCs w:val="16"/>
                <w:lang w:eastAsia="en-AU"/>
              </w:rPr>
              <w:t xml:space="preserve">s Tasmania’s </w:t>
            </w:r>
            <w:r w:rsidRPr="00845D98">
              <w:rPr>
                <w:rFonts w:ascii="Open Sans Light" w:eastAsia="Times New Roman" w:hAnsi="Open Sans Light" w:cs="Open Sans Light"/>
                <w:color w:val="000000"/>
                <w:sz w:val="16"/>
                <w:szCs w:val="16"/>
                <w:lang w:eastAsia="en-AU"/>
              </w:rPr>
              <w:t>assessed GST needs.</w:t>
            </w:r>
          </w:p>
        </w:tc>
      </w:tr>
      <w:tr w:rsidR="003957CD" w:rsidRPr="00845D98" w14:paraId="3146D968" w14:textId="77777777" w:rsidTr="00E51790">
        <w:trPr>
          <w:trHeight w:val="290"/>
        </w:trPr>
        <w:tc>
          <w:tcPr>
            <w:tcW w:w="9260" w:type="dxa"/>
            <w:gridSpan w:val="4"/>
            <w:tcBorders>
              <w:top w:val="nil"/>
              <w:left w:val="nil"/>
              <w:bottom w:val="nil"/>
              <w:right w:val="nil"/>
            </w:tcBorders>
            <w:shd w:val="clear" w:color="000000" w:fill="006991"/>
            <w:vAlign w:val="center"/>
            <w:hideMark/>
          </w:tcPr>
          <w:p w14:paraId="33DFF1AA"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845D98">
              <w:rPr>
                <w:rFonts w:ascii="Open Sans Semibold" w:eastAsia="Times New Roman" w:hAnsi="Open Sans Semibold" w:cs="Open Sans Semibold"/>
                <w:color w:val="FFFFFF"/>
                <w:sz w:val="16"/>
                <w:szCs w:val="16"/>
                <w:lang w:eastAsia="en-AU"/>
              </w:rPr>
              <w:t>Revisions</w:t>
            </w:r>
          </w:p>
        </w:tc>
      </w:tr>
      <w:tr w:rsidR="003957CD" w:rsidRPr="00845D98" w14:paraId="1ADE7730" w14:textId="77777777" w:rsidTr="00E51790">
        <w:trPr>
          <w:trHeight w:val="290"/>
        </w:trPr>
        <w:tc>
          <w:tcPr>
            <w:tcW w:w="2780" w:type="dxa"/>
            <w:tcBorders>
              <w:top w:val="single" w:sz="4" w:space="0" w:color="ADD6EA"/>
              <w:left w:val="nil"/>
              <w:bottom w:val="nil"/>
              <w:right w:val="nil"/>
            </w:tcBorders>
            <w:shd w:val="clear" w:color="000000" w:fill="D6E7F0"/>
            <w:hideMark/>
          </w:tcPr>
          <w:p w14:paraId="060F2BAC"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0F0B2481"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39841320"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Explanation</w:t>
            </w:r>
          </w:p>
        </w:tc>
      </w:tr>
      <w:tr w:rsidR="003957CD" w:rsidRPr="00845D98" w14:paraId="0AFB29D2" w14:textId="77777777" w:rsidTr="00E51790">
        <w:trPr>
          <w:trHeight w:val="290"/>
        </w:trPr>
        <w:tc>
          <w:tcPr>
            <w:tcW w:w="2780" w:type="dxa"/>
            <w:tcBorders>
              <w:top w:val="single" w:sz="4" w:space="0" w:color="ADD6EA"/>
              <w:left w:val="nil"/>
              <w:bottom w:val="nil"/>
              <w:right w:val="nil"/>
            </w:tcBorders>
            <w:shd w:val="clear" w:color="000000" w:fill="B6D5E4"/>
            <w:hideMark/>
          </w:tcPr>
          <w:p w14:paraId="638F27A1"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05F0385D"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6BAEF856"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3279F00E"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 </w:t>
            </w:r>
          </w:p>
        </w:tc>
      </w:tr>
      <w:tr w:rsidR="003957CD" w:rsidRPr="00845D98" w14:paraId="645761CE" w14:textId="77777777" w:rsidTr="00B70FF2">
        <w:trPr>
          <w:trHeight w:val="1162"/>
        </w:trPr>
        <w:tc>
          <w:tcPr>
            <w:tcW w:w="2780" w:type="dxa"/>
            <w:tcBorders>
              <w:top w:val="single" w:sz="4" w:space="0" w:color="ADD6EA"/>
              <w:left w:val="nil"/>
              <w:bottom w:val="nil"/>
              <w:right w:val="nil"/>
            </w:tcBorders>
            <w:shd w:val="clear" w:color="000000" w:fill="FFFFFF"/>
            <w:hideMark/>
          </w:tcPr>
          <w:p w14:paraId="608023DF" w14:textId="7777777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Population dispersion</w:t>
            </w:r>
          </w:p>
        </w:tc>
        <w:tc>
          <w:tcPr>
            <w:tcW w:w="720" w:type="dxa"/>
            <w:tcBorders>
              <w:top w:val="single" w:sz="4" w:space="0" w:color="ADD6EA"/>
              <w:left w:val="nil"/>
              <w:bottom w:val="nil"/>
              <w:right w:val="nil"/>
            </w:tcBorders>
            <w:shd w:val="clear" w:color="000000" w:fill="EBBFA0"/>
            <w:hideMark/>
          </w:tcPr>
          <w:p w14:paraId="2EECFFE6"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-76</w:t>
            </w:r>
          </w:p>
        </w:tc>
        <w:tc>
          <w:tcPr>
            <w:tcW w:w="720" w:type="dxa"/>
            <w:tcBorders>
              <w:top w:val="single" w:sz="4" w:space="0" w:color="ADD6EA"/>
              <w:left w:val="nil"/>
              <w:bottom w:val="nil"/>
              <w:right w:val="nil"/>
            </w:tcBorders>
            <w:shd w:val="clear" w:color="000000" w:fill="EBBFA0"/>
            <w:hideMark/>
          </w:tcPr>
          <w:p w14:paraId="5521E4E2"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-131</w:t>
            </w:r>
          </w:p>
        </w:tc>
        <w:tc>
          <w:tcPr>
            <w:tcW w:w="5040" w:type="dxa"/>
            <w:tcBorders>
              <w:top w:val="single" w:sz="4" w:space="0" w:color="ADD6EA"/>
              <w:left w:val="nil"/>
              <w:bottom w:val="nil"/>
              <w:right w:val="nil"/>
            </w:tcBorders>
            <w:shd w:val="clear" w:color="000000" w:fill="FFFFFF"/>
            <w:hideMark/>
          </w:tcPr>
          <w:p w14:paraId="10569323" w14:textId="398AA47A"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Previous data had misclassified some major city hospital activity to other remoteness areas. This revision increase</w:t>
            </w:r>
            <w:r>
              <w:rPr>
                <w:rFonts w:ascii="Open Sans Light" w:eastAsia="Times New Roman" w:hAnsi="Open Sans Light" w:cs="Open Sans Light"/>
                <w:color w:val="000000"/>
                <w:sz w:val="16"/>
                <w:szCs w:val="16"/>
                <w:lang w:eastAsia="en-AU"/>
              </w:rPr>
              <w:t>s</w:t>
            </w:r>
            <w:r w:rsidRPr="00845D98">
              <w:rPr>
                <w:rFonts w:ascii="Open Sans Light" w:eastAsia="Times New Roman" w:hAnsi="Open Sans Light" w:cs="Open Sans Light"/>
                <w:color w:val="000000"/>
                <w:sz w:val="16"/>
                <w:szCs w:val="16"/>
                <w:lang w:eastAsia="en-AU"/>
              </w:rPr>
              <w:t xml:space="preserve"> the costs of providing health services in major cities and decrease</w:t>
            </w:r>
            <w:r>
              <w:rPr>
                <w:rFonts w:ascii="Open Sans Light" w:eastAsia="Times New Roman" w:hAnsi="Open Sans Light" w:cs="Open Sans Light"/>
                <w:color w:val="000000"/>
                <w:sz w:val="16"/>
                <w:szCs w:val="16"/>
                <w:lang w:eastAsia="en-AU"/>
              </w:rPr>
              <w:t>s</w:t>
            </w:r>
            <w:r w:rsidRPr="00845D98">
              <w:rPr>
                <w:rFonts w:ascii="Open Sans Light" w:eastAsia="Times New Roman" w:hAnsi="Open Sans Light" w:cs="Open Sans Light"/>
                <w:color w:val="000000"/>
                <w:sz w:val="16"/>
                <w:szCs w:val="16"/>
                <w:lang w:eastAsia="en-AU"/>
              </w:rPr>
              <w:t xml:space="preserve"> costs for other areas. This reduces assessed GST needs </w:t>
            </w:r>
            <w:r w:rsidR="00503B73">
              <w:rPr>
                <w:rFonts w:ascii="Open Sans Light" w:eastAsia="Times New Roman" w:hAnsi="Open Sans Light" w:cs="Open Sans Light"/>
                <w:color w:val="000000"/>
                <w:sz w:val="16"/>
                <w:szCs w:val="16"/>
                <w:lang w:eastAsia="en-AU"/>
              </w:rPr>
              <w:t>of</w:t>
            </w:r>
            <w:r w:rsidR="00503B73" w:rsidRPr="00845D98">
              <w:rPr>
                <w:rFonts w:ascii="Open Sans Light" w:eastAsia="Times New Roman" w:hAnsi="Open Sans Light" w:cs="Open Sans Light"/>
                <w:color w:val="000000"/>
                <w:sz w:val="16"/>
                <w:szCs w:val="16"/>
                <w:lang w:eastAsia="en-AU"/>
              </w:rPr>
              <w:t xml:space="preserve"> </w:t>
            </w:r>
            <w:r w:rsidRPr="00845D98">
              <w:rPr>
                <w:rFonts w:ascii="Open Sans Light" w:eastAsia="Times New Roman" w:hAnsi="Open Sans Light" w:cs="Open Sans Light"/>
                <w:color w:val="000000"/>
                <w:sz w:val="16"/>
                <w:szCs w:val="16"/>
                <w:lang w:eastAsia="en-AU"/>
              </w:rPr>
              <w:t>states with more regional and remote areas, including Tasmania.</w:t>
            </w:r>
          </w:p>
        </w:tc>
      </w:tr>
      <w:tr w:rsidR="003957CD" w:rsidRPr="00845D98" w14:paraId="257352C6" w14:textId="77777777" w:rsidTr="00E51790">
        <w:trPr>
          <w:trHeight w:val="290"/>
        </w:trPr>
        <w:tc>
          <w:tcPr>
            <w:tcW w:w="9260" w:type="dxa"/>
            <w:gridSpan w:val="4"/>
            <w:tcBorders>
              <w:top w:val="nil"/>
              <w:left w:val="nil"/>
              <w:bottom w:val="nil"/>
              <w:right w:val="nil"/>
            </w:tcBorders>
            <w:shd w:val="clear" w:color="000000" w:fill="006991"/>
            <w:vAlign w:val="center"/>
            <w:hideMark/>
          </w:tcPr>
          <w:p w14:paraId="07500F9B"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845D98">
              <w:rPr>
                <w:rFonts w:ascii="Open Sans Semibold" w:eastAsia="Times New Roman" w:hAnsi="Open Sans Semibold" w:cs="Open Sans Semibold"/>
                <w:color w:val="FFFFFF"/>
                <w:sz w:val="16"/>
                <w:szCs w:val="16"/>
                <w:lang w:eastAsia="en-AU"/>
              </w:rPr>
              <w:t xml:space="preserve">Changes in circumstances </w:t>
            </w:r>
          </w:p>
        </w:tc>
      </w:tr>
      <w:tr w:rsidR="003957CD" w:rsidRPr="00845D98" w14:paraId="1D99DFCC" w14:textId="77777777" w:rsidTr="00E51790">
        <w:trPr>
          <w:trHeight w:val="290"/>
        </w:trPr>
        <w:tc>
          <w:tcPr>
            <w:tcW w:w="2780" w:type="dxa"/>
            <w:tcBorders>
              <w:top w:val="single" w:sz="4" w:space="0" w:color="ADD6EA"/>
              <w:left w:val="nil"/>
              <w:bottom w:val="nil"/>
              <w:right w:val="nil"/>
            </w:tcBorders>
            <w:shd w:val="clear" w:color="000000" w:fill="D6E7F0"/>
            <w:hideMark/>
          </w:tcPr>
          <w:p w14:paraId="543B48E0"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01679624"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7DF7919B"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Explanation</w:t>
            </w:r>
          </w:p>
        </w:tc>
      </w:tr>
      <w:tr w:rsidR="003957CD" w:rsidRPr="00845D98" w14:paraId="448220BE" w14:textId="77777777" w:rsidTr="00E51790">
        <w:trPr>
          <w:trHeight w:val="290"/>
        </w:trPr>
        <w:tc>
          <w:tcPr>
            <w:tcW w:w="2780" w:type="dxa"/>
            <w:tcBorders>
              <w:top w:val="single" w:sz="4" w:space="0" w:color="ADD6EA"/>
              <w:left w:val="nil"/>
              <w:bottom w:val="nil"/>
              <w:right w:val="nil"/>
            </w:tcBorders>
            <w:shd w:val="clear" w:color="000000" w:fill="B6D5E4"/>
            <w:hideMark/>
          </w:tcPr>
          <w:p w14:paraId="332B571F"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20BA1B14"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1EAD8770" w14:textId="77777777" w:rsidR="003957CD" w:rsidRPr="00845D98"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02319DDF" w14:textId="77777777" w:rsidR="003957CD" w:rsidRPr="00845D98"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845D98">
              <w:rPr>
                <w:rFonts w:ascii="Open Sans Semibold" w:eastAsia="Times New Roman" w:hAnsi="Open Sans Semibold" w:cs="Open Sans Semibold"/>
                <w:color w:val="000000"/>
                <w:sz w:val="16"/>
                <w:szCs w:val="16"/>
                <w:lang w:eastAsia="en-AU"/>
              </w:rPr>
              <w:t> </w:t>
            </w:r>
          </w:p>
        </w:tc>
      </w:tr>
      <w:tr w:rsidR="003957CD" w:rsidRPr="00845D98" w14:paraId="7360F865" w14:textId="77777777" w:rsidTr="00B70FF2">
        <w:trPr>
          <w:trHeight w:val="1609"/>
        </w:trPr>
        <w:tc>
          <w:tcPr>
            <w:tcW w:w="2780" w:type="dxa"/>
            <w:tcBorders>
              <w:top w:val="single" w:sz="4" w:space="0" w:color="ADD6EA"/>
              <w:left w:val="nil"/>
              <w:bottom w:val="nil"/>
              <w:right w:val="nil"/>
            </w:tcBorders>
            <w:shd w:val="clear" w:color="000000" w:fill="FFFFFF"/>
            <w:hideMark/>
          </w:tcPr>
          <w:p w14:paraId="4F2F03B9" w14:textId="7777777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Population dispersion</w:t>
            </w:r>
          </w:p>
        </w:tc>
        <w:tc>
          <w:tcPr>
            <w:tcW w:w="720" w:type="dxa"/>
            <w:tcBorders>
              <w:top w:val="single" w:sz="4" w:space="0" w:color="ADD6EA"/>
              <w:left w:val="nil"/>
              <w:bottom w:val="nil"/>
              <w:right w:val="nil"/>
            </w:tcBorders>
            <w:shd w:val="clear" w:color="000000" w:fill="ADD6EA"/>
            <w:hideMark/>
          </w:tcPr>
          <w:p w14:paraId="59AEB3DC"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64</w:t>
            </w:r>
          </w:p>
        </w:tc>
        <w:tc>
          <w:tcPr>
            <w:tcW w:w="720" w:type="dxa"/>
            <w:tcBorders>
              <w:top w:val="single" w:sz="4" w:space="0" w:color="ADD6EA"/>
              <w:left w:val="nil"/>
              <w:bottom w:val="nil"/>
              <w:right w:val="nil"/>
            </w:tcBorders>
            <w:shd w:val="clear" w:color="000000" w:fill="ADD6EA"/>
            <w:hideMark/>
          </w:tcPr>
          <w:p w14:paraId="1E36EF18"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111</w:t>
            </w:r>
          </w:p>
        </w:tc>
        <w:tc>
          <w:tcPr>
            <w:tcW w:w="5040" w:type="dxa"/>
            <w:tcBorders>
              <w:top w:val="single" w:sz="4" w:space="0" w:color="ADD6EA"/>
              <w:left w:val="nil"/>
              <w:bottom w:val="nil"/>
              <w:right w:val="nil"/>
            </w:tcBorders>
            <w:shd w:val="clear" w:color="000000" w:fill="FFFFFF"/>
            <w:hideMark/>
          </w:tcPr>
          <w:p w14:paraId="3C7F1BF9" w14:textId="229E9365"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 xml:space="preserve">Above-average increases in costs of admitted patients in regional areas between 2021–22 and 2024–25 increase assessed GST needs </w:t>
            </w:r>
            <w:r w:rsidR="00503B73">
              <w:rPr>
                <w:rFonts w:ascii="Open Sans Light" w:eastAsia="Times New Roman" w:hAnsi="Open Sans Light" w:cs="Open Sans Light"/>
                <w:color w:val="000000"/>
                <w:sz w:val="16"/>
                <w:szCs w:val="16"/>
                <w:lang w:eastAsia="en-AU"/>
              </w:rPr>
              <w:t>of</w:t>
            </w:r>
            <w:r w:rsidR="00503B73" w:rsidRPr="00845D98">
              <w:rPr>
                <w:rFonts w:ascii="Open Sans Light" w:eastAsia="Times New Roman" w:hAnsi="Open Sans Light" w:cs="Open Sans Light"/>
                <w:color w:val="000000"/>
                <w:sz w:val="16"/>
                <w:szCs w:val="16"/>
                <w:lang w:eastAsia="en-AU"/>
              </w:rPr>
              <w:t xml:space="preserve"> </w:t>
            </w:r>
            <w:r w:rsidRPr="00845D98">
              <w:rPr>
                <w:rFonts w:ascii="Open Sans Light" w:eastAsia="Times New Roman" w:hAnsi="Open Sans Light" w:cs="Open Sans Light"/>
                <w:color w:val="000000"/>
                <w:sz w:val="16"/>
                <w:szCs w:val="16"/>
                <w:lang w:eastAsia="en-AU"/>
              </w:rPr>
              <w:t>states with large shares of people in regional areas</w:t>
            </w:r>
            <w:r>
              <w:rPr>
                <w:rFonts w:ascii="Open Sans Light" w:eastAsia="Times New Roman" w:hAnsi="Open Sans Light" w:cs="Open Sans Light"/>
                <w:color w:val="000000"/>
                <w:sz w:val="16"/>
                <w:szCs w:val="16"/>
                <w:lang w:eastAsia="en-AU"/>
              </w:rPr>
              <w:t>,</w:t>
            </w:r>
            <w:r w:rsidRPr="00845D98">
              <w:rPr>
                <w:rFonts w:ascii="Open Sans Light" w:eastAsia="Times New Roman" w:hAnsi="Open Sans Light" w:cs="Open Sans Light"/>
                <w:color w:val="000000"/>
                <w:sz w:val="16"/>
                <w:szCs w:val="16"/>
                <w:lang w:eastAsia="en-AU"/>
              </w:rPr>
              <w:t xml:space="preserve"> including Tasmania. </w:t>
            </w:r>
            <w:r>
              <w:rPr>
                <w:rFonts w:ascii="Open Sans Light" w:eastAsia="Times New Roman" w:hAnsi="Open Sans Light" w:cs="Open Sans Light"/>
                <w:color w:val="000000"/>
                <w:sz w:val="16"/>
                <w:szCs w:val="16"/>
                <w:lang w:eastAsia="en-AU"/>
              </w:rPr>
              <w:t xml:space="preserve">Further, health spending </w:t>
            </w:r>
            <w:r w:rsidRPr="00845D98">
              <w:rPr>
                <w:rFonts w:ascii="Open Sans Light" w:eastAsia="Times New Roman" w:hAnsi="Open Sans Light" w:cs="Open Sans Light"/>
                <w:color w:val="000000"/>
                <w:sz w:val="16"/>
                <w:szCs w:val="16"/>
                <w:lang w:eastAsia="en-AU"/>
              </w:rPr>
              <w:t>increased between 2021–22 and 2024–25</w:t>
            </w:r>
            <w:r>
              <w:rPr>
                <w:rFonts w:ascii="Open Sans Light" w:eastAsia="Times New Roman" w:hAnsi="Open Sans Light" w:cs="Open Sans Light"/>
                <w:color w:val="000000"/>
                <w:sz w:val="16"/>
                <w:szCs w:val="16"/>
                <w:lang w:eastAsia="en-AU"/>
              </w:rPr>
              <w:t xml:space="preserve"> and population dispersion is an important driver of health spending</w:t>
            </w:r>
            <w:r w:rsidRPr="00845D98">
              <w:rPr>
                <w:rFonts w:ascii="Open Sans Light" w:eastAsia="Times New Roman" w:hAnsi="Open Sans Light" w:cs="Open Sans Light"/>
                <w:color w:val="000000"/>
                <w:sz w:val="16"/>
                <w:szCs w:val="16"/>
                <w:lang w:eastAsia="en-AU"/>
              </w:rPr>
              <w:t>. This increase</w:t>
            </w:r>
            <w:r>
              <w:rPr>
                <w:rFonts w:ascii="Open Sans Light" w:eastAsia="Times New Roman" w:hAnsi="Open Sans Light" w:cs="Open Sans Light"/>
                <w:color w:val="000000"/>
                <w:sz w:val="16"/>
                <w:szCs w:val="16"/>
                <w:lang w:eastAsia="en-AU"/>
              </w:rPr>
              <w:t>s</w:t>
            </w:r>
            <w:r w:rsidRPr="00845D98">
              <w:rPr>
                <w:rFonts w:ascii="Open Sans Light" w:eastAsia="Times New Roman" w:hAnsi="Open Sans Light" w:cs="Open Sans Light"/>
                <w:color w:val="000000"/>
                <w:sz w:val="16"/>
                <w:szCs w:val="16"/>
                <w:lang w:eastAsia="en-AU"/>
              </w:rPr>
              <w:t xml:space="preserve"> assessed GST needs </w:t>
            </w:r>
            <w:r w:rsidR="00B63491">
              <w:rPr>
                <w:rFonts w:ascii="Open Sans Light" w:eastAsia="Times New Roman" w:hAnsi="Open Sans Light" w:cs="Open Sans Light"/>
                <w:color w:val="000000"/>
                <w:sz w:val="16"/>
                <w:szCs w:val="16"/>
                <w:lang w:eastAsia="en-AU"/>
              </w:rPr>
              <w:t>of</w:t>
            </w:r>
            <w:r w:rsidR="00B63491" w:rsidRPr="00845D98">
              <w:rPr>
                <w:rFonts w:ascii="Open Sans Light" w:eastAsia="Times New Roman" w:hAnsi="Open Sans Light" w:cs="Open Sans Light"/>
                <w:color w:val="000000"/>
                <w:sz w:val="16"/>
                <w:szCs w:val="16"/>
                <w:lang w:eastAsia="en-AU"/>
              </w:rPr>
              <w:t xml:space="preserve"> </w:t>
            </w:r>
            <w:r w:rsidRPr="00845D98">
              <w:rPr>
                <w:rFonts w:ascii="Open Sans Light" w:eastAsia="Times New Roman" w:hAnsi="Open Sans Light" w:cs="Open Sans Light"/>
                <w:color w:val="000000"/>
                <w:sz w:val="16"/>
                <w:szCs w:val="16"/>
                <w:lang w:eastAsia="en-AU"/>
              </w:rPr>
              <w:t>states with more regional areas, including Tasmania.</w:t>
            </w:r>
          </w:p>
        </w:tc>
      </w:tr>
      <w:tr w:rsidR="003957CD" w:rsidRPr="00845D98" w14:paraId="44AC0DE4" w14:textId="77777777" w:rsidTr="00B70FF2">
        <w:trPr>
          <w:trHeight w:val="1358"/>
        </w:trPr>
        <w:tc>
          <w:tcPr>
            <w:tcW w:w="2780" w:type="dxa"/>
            <w:tcBorders>
              <w:top w:val="single" w:sz="4" w:space="0" w:color="ADD6EA"/>
              <w:left w:val="nil"/>
              <w:bottom w:val="nil"/>
              <w:right w:val="nil"/>
            </w:tcBorders>
            <w:shd w:val="clear" w:color="000000" w:fill="FFFFFF"/>
            <w:hideMark/>
          </w:tcPr>
          <w:p w14:paraId="6A262BD5" w14:textId="7777777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COVID-19</w:t>
            </w:r>
          </w:p>
        </w:tc>
        <w:tc>
          <w:tcPr>
            <w:tcW w:w="720" w:type="dxa"/>
            <w:tcBorders>
              <w:top w:val="single" w:sz="4" w:space="0" w:color="ADD6EA"/>
              <w:left w:val="nil"/>
              <w:bottom w:val="nil"/>
              <w:right w:val="nil"/>
            </w:tcBorders>
            <w:shd w:val="clear" w:color="000000" w:fill="ADD6EA"/>
            <w:hideMark/>
          </w:tcPr>
          <w:p w14:paraId="556C6F02"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60</w:t>
            </w:r>
          </w:p>
        </w:tc>
        <w:tc>
          <w:tcPr>
            <w:tcW w:w="720" w:type="dxa"/>
            <w:tcBorders>
              <w:top w:val="single" w:sz="4" w:space="0" w:color="ADD6EA"/>
              <w:left w:val="nil"/>
              <w:bottom w:val="nil"/>
              <w:right w:val="nil"/>
            </w:tcBorders>
            <w:shd w:val="clear" w:color="000000" w:fill="ADD6EA"/>
            <w:hideMark/>
          </w:tcPr>
          <w:p w14:paraId="3BEB7765"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104</w:t>
            </w:r>
          </w:p>
        </w:tc>
        <w:tc>
          <w:tcPr>
            <w:tcW w:w="5040" w:type="dxa"/>
            <w:tcBorders>
              <w:top w:val="single" w:sz="4" w:space="0" w:color="ADD6EA"/>
              <w:left w:val="nil"/>
              <w:bottom w:val="nil"/>
              <w:right w:val="nil"/>
            </w:tcBorders>
            <w:shd w:val="clear" w:color="000000" w:fill="FFFFFF"/>
            <w:hideMark/>
          </w:tcPr>
          <w:p w14:paraId="53502519" w14:textId="1D3E66D5"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COVID</w:t>
            </w:r>
            <w:r w:rsidR="00243440">
              <w:rPr>
                <w:rFonts w:ascii="Open Sans Light" w:eastAsia="Times New Roman" w:hAnsi="Open Sans Light" w:cs="Open Sans Light"/>
                <w:color w:val="000000"/>
                <w:sz w:val="16"/>
                <w:szCs w:val="16"/>
                <w:lang w:eastAsia="en-AU"/>
              </w:rPr>
              <w:t>-</w:t>
            </w:r>
            <w:r w:rsidRPr="00845D98">
              <w:rPr>
                <w:rFonts w:ascii="Open Sans Light" w:eastAsia="Times New Roman" w:hAnsi="Open Sans Light" w:cs="Open Sans Light"/>
                <w:color w:val="000000"/>
                <w:sz w:val="16"/>
                <w:szCs w:val="16"/>
                <w:lang w:eastAsia="en-AU"/>
              </w:rPr>
              <w:t>19 expenses were largest in 2021–22 and declined significantly in subsequent years. States with above-average COVID</w:t>
            </w:r>
            <w:r w:rsidR="00243440">
              <w:rPr>
                <w:rFonts w:ascii="Open Sans Light" w:eastAsia="Times New Roman" w:hAnsi="Open Sans Light" w:cs="Open Sans Light"/>
                <w:color w:val="000000"/>
                <w:sz w:val="16"/>
                <w:szCs w:val="16"/>
                <w:lang w:eastAsia="en-AU"/>
              </w:rPr>
              <w:t>-</w:t>
            </w:r>
            <w:r w:rsidRPr="00845D98">
              <w:rPr>
                <w:rFonts w:ascii="Open Sans Light" w:eastAsia="Times New Roman" w:hAnsi="Open Sans Light" w:cs="Open Sans Light"/>
                <w:color w:val="000000"/>
                <w:sz w:val="16"/>
                <w:szCs w:val="16"/>
                <w:lang w:eastAsia="en-AU"/>
              </w:rPr>
              <w:t>19 expenses</w:t>
            </w:r>
            <w:r>
              <w:rPr>
                <w:rFonts w:ascii="Open Sans Light" w:eastAsia="Times New Roman" w:hAnsi="Open Sans Light" w:cs="Open Sans Light"/>
                <w:color w:val="000000"/>
                <w:sz w:val="16"/>
                <w:szCs w:val="16"/>
                <w:lang w:eastAsia="en-AU"/>
              </w:rPr>
              <w:t>,</w:t>
            </w:r>
            <w:r w:rsidRPr="00845D98">
              <w:rPr>
                <w:rFonts w:ascii="Open Sans Light" w:eastAsia="Times New Roman" w:hAnsi="Open Sans Light" w:cs="Open Sans Light"/>
                <w:color w:val="000000"/>
                <w:sz w:val="16"/>
                <w:szCs w:val="16"/>
                <w:lang w:eastAsia="en-AU"/>
              </w:rPr>
              <w:t xml:space="preserve"> </w:t>
            </w:r>
            <w:r w:rsidR="00865E5D">
              <w:rPr>
                <w:rFonts w:ascii="Open Sans Light" w:eastAsia="Times New Roman" w:hAnsi="Open Sans Light" w:cs="Open Sans Light"/>
                <w:color w:val="000000"/>
                <w:sz w:val="16"/>
                <w:szCs w:val="16"/>
                <w:lang w:eastAsia="en-AU"/>
              </w:rPr>
              <w:t>notably</w:t>
            </w:r>
            <w:r w:rsidR="00865E5D" w:rsidRPr="00845D98">
              <w:rPr>
                <w:rFonts w:ascii="Open Sans Light" w:eastAsia="Times New Roman" w:hAnsi="Open Sans Light" w:cs="Open Sans Light"/>
                <w:color w:val="000000"/>
                <w:sz w:val="16"/>
                <w:szCs w:val="16"/>
                <w:lang w:eastAsia="en-AU"/>
              </w:rPr>
              <w:t xml:space="preserve"> </w:t>
            </w:r>
            <w:r w:rsidRPr="00845D98">
              <w:rPr>
                <w:rFonts w:ascii="Open Sans Light" w:eastAsia="Times New Roman" w:hAnsi="Open Sans Light" w:cs="Open Sans Light"/>
                <w:color w:val="000000"/>
                <w:sz w:val="16"/>
                <w:szCs w:val="16"/>
                <w:lang w:eastAsia="en-AU"/>
              </w:rPr>
              <w:t xml:space="preserve">New South Wales, Victoria and the ACT, now have lower expenses, </w:t>
            </w:r>
            <w:r w:rsidR="00FD5ACC">
              <w:rPr>
                <w:rFonts w:ascii="Open Sans Light" w:eastAsia="Times New Roman" w:hAnsi="Open Sans Light" w:cs="Open Sans Light"/>
                <w:color w:val="000000"/>
                <w:sz w:val="16"/>
                <w:szCs w:val="16"/>
                <w:lang w:eastAsia="en-AU"/>
              </w:rPr>
              <w:t>decreasing</w:t>
            </w:r>
            <w:r w:rsidRPr="00845D98">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their </w:t>
            </w:r>
            <w:r w:rsidRPr="00845D98">
              <w:rPr>
                <w:rFonts w:ascii="Open Sans Light" w:eastAsia="Times New Roman" w:hAnsi="Open Sans Light" w:cs="Open Sans Light"/>
                <w:color w:val="000000"/>
                <w:sz w:val="16"/>
                <w:szCs w:val="16"/>
                <w:lang w:eastAsia="en-AU"/>
              </w:rPr>
              <w:t xml:space="preserve">assessed GST needs and </w:t>
            </w:r>
            <w:r w:rsidR="00FD5ACC">
              <w:rPr>
                <w:rFonts w:ascii="Open Sans Light" w:eastAsia="Times New Roman" w:hAnsi="Open Sans Light" w:cs="Open Sans Light"/>
                <w:color w:val="000000"/>
                <w:sz w:val="16"/>
                <w:szCs w:val="16"/>
                <w:lang w:eastAsia="en-AU"/>
              </w:rPr>
              <w:t>increasing</w:t>
            </w:r>
            <w:r w:rsidR="00FD5ACC" w:rsidRPr="00845D98">
              <w:rPr>
                <w:rFonts w:ascii="Open Sans Light" w:eastAsia="Times New Roman" w:hAnsi="Open Sans Light" w:cs="Open Sans Light"/>
                <w:color w:val="000000"/>
                <w:sz w:val="16"/>
                <w:szCs w:val="16"/>
                <w:lang w:eastAsia="en-AU"/>
              </w:rPr>
              <w:t xml:space="preserve"> </w:t>
            </w:r>
            <w:r w:rsidR="00865E5D">
              <w:rPr>
                <w:rFonts w:ascii="Open Sans Light" w:eastAsia="Times New Roman" w:hAnsi="Open Sans Light" w:cs="Open Sans Light"/>
                <w:color w:val="000000"/>
                <w:sz w:val="16"/>
                <w:szCs w:val="16"/>
                <w:lang w:eastAsia="en-AU"/>
              </w:rPr>
              <w:t xml:space="preserve">the </w:t>
            </w:r>
            <w:r w:rsidRPr="00845D98">
              <w:rPr>
                <w:rFonts w:ascii="Open Sans Light" w:eastAsia="Times New Roman" w:hAnsi="Open Sans Light" w:cs="Open Sans Light"/>
                <w:color w:val="000000"/>
                <w:sz w:val="16"/>
                <w:szCs w:val="16"/>
                <w:lang w:eastAsia="en-AU"/>
              </w:rPr>
              <w:t xml:space="preserve">assessed GST needs </w:t>
            </w:r>
            <w:r w:rsidR="00B63491">
              <w:rPr>
                <w:rFonts w:ascii="Open Sans Light" w:eastAsia="Times New Roman" w:hAnsi="Open Sans Light" w:cs="Open Sans Light"/>
                <w:color w:val="000000"/>
                <w:sz w:val="16"/>
                <w:szCs w:val="16"/>
                <w:lang w:eastAsia="en-AU"/>
              </w:rPr>
              <w:t>of</w:t>
            </w:r>
            <w:r w:rsidR="00B63491" w:rsidRPr="00845D98">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845D98">
              <w:rPr>
                <w:rFonts w:ascii="Open Sans Light" w:eastAsia="Times New Roman" w:hAnsi="Open Sans Light" w:cs="Open Sans Light"/>
                <w:color w:val="000000"/>
                <w:sz w:val="16"/>
                <w:szCs w:val="16"/>
                <w:lang w:eastAsia="en-AU"/>
              </w:rPr>
              <w:t>other states, including Tasmania.</w:t>
            </w:r>
          </w:p>
        </w:tc>
      </w:tr>
      <w:tr w:rsidR="003957CD" w:rsidRPr="00845D98" w14:paraId="6F7E4E87" w14:textId="77777777" w:rsidTr="00E51790">
        <w:trPr>
          <w:trHeight w:val="720"/>
        </w:trPr>
        <w:tc>
          <w:tcPr>
            <w:tcW w:w="2780" w:type="dxa"/>
            <w:tcBorders>
              <w:top w:val="single" w:sz="4" w:space="0" w:color="ADD6EA"/>
              <w:left w:val="nil"/>
              <w:bottom w:val="nil"/>
              <w:right w:val="nil"/>
            </w:tcBorders>
            <w:shd w:val="clear" w:color="000000" w:fill="FFFFFF"/>
            <w:hideMark/>
          </w:tcPr>
          <w:p w14:paraId="179DCD8E" w14:textId="7777777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Net borrowing</w:t>
            </w:r>
          </w:p>
        </w:tc>
        <w:tc>
          <w:tcPr>
            <w:tcW w:w="720" w:type="dxa"/>
            <w:tcBorders>
              <w:top w:val="single" w:sz="4" w:space="0" w:color="ADD6EA"/>
              <w:left w:val="nil"/>
              <w:bottom w:val="nil"/>
              <w:right w:val="nil"/>
            </w:tcBorders>
            <w:shd w:val="clear" w:color="000000" w:fill="ADD6EA"/>
            <w:hideMark/>
          </w:tcPr>
          <w:p w14:paraId="1BE37F61"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58</w:t>
            </w:r>
          </w:p>
        </w:tc>
        <w:tc>
          <w:tcPr>
            <w:tcW w:w="720" w:type="dxa"/>
            <w:tcBorders>
              <w:top w:val="single" w:sz="4" w:space="0" w:color="ADD6EA"/>
              <w:left w:val="nil"/>
              <w:bottom w:val="nil"/>
              <w:right w:val="nil"/>
            </w:tcBorders>
            <w:shd w:val="clear" w:color="000000" w:fill="ADD6EA"/>
            <w:hideMark/>
          </w:tcPr>
          <w:p w14:paraId="019A67F6"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101</w:t>
            </w:r>
          </w:p>
        </w:tc>
        <w:tc>
          <w:tcPr>
            <w:tcW w:w="5040" w:type="dxa"/>
            <w:tcBorders>
              <w:top w:val="single" w:sz="4" w:space="0" w:color="ADD6EA"/>
              <w:left w:val="nil"/>
              <w:bottom w:val="nil"/>
              <w:right w:val="nil"/>
            </w:tcBorders>
            <w:shd w:val="clear" w:color="000000" w:fill="FFFFFF"/>
            <w:hideMark/>
          </w:tcPr>
          <w:p w14:paraId="1B92F2EE" w14:textId="7777777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Tasmania had a smaller share of population growth in 2024–25 than in 2021–22. This decrease</w:t>
            </w:r>
            <w:r>
              <w:rPr>
                <w:rFonts w:ascii="Open Sans Light" w:eastAsia="Times New Roman" w:hAnsi="Open Sans Light" w:cs="Open Sans Light"/>
                <w:color w:val="000000"/>
                <w:sz w:val="16"/>
                <w:szCs w:val="16"/>
                <w:lang w:eastAsia="en-AU"/>
              </w:rPr>
              <w:t>s</w:t>
            </w:r>
            <w:r w:rsidRPr="00845D98">
              <w:rPr>
                <w:rFonts w:ascii="Open Sans Light" w:eastAsia="Times New Roman" w:hAnsi="Open Sans Light" w:cs="Open Sans Light"/>
                <w:color w:val="000000"/>
                <w:sz w:val="16"/>
                <w:szCs w:val="16"/>
                <w:lang w:eastAsia="en-AU"/>
              </w:rPr>
              <w:t xml:space="preserve"> its ability to service assessed liabilities and increase</w:t>
            </w:r>
            <w:r>
              <w:rPr>
                <w:rFonts w:ascii="Open Sans Light" w:eastAsia="Times New Roman" w:hAnsi="Open Sans Light" w:cs="Open Sans Light"/>
                <w:color w:val="000000"/>
                <w:sz w:val="16"/>
                <w:szCs w:val="16"/>
                <w:lang w:eastAsia="en-AU"/>
              </w:rPr>
              <w:t>s</w:t>
            </w:r>
            <w:r w:rsidRPr="00845D98">
              <w:rPr>
                <w:rFonts w:ascii="Open Sans Light" w:eastAsia="Times New Roman" w:hAnsi="Open Sans Light" w:cs="Open Sans Light"/>
                <w:color w:val="000000"/>
                <w:sz w:val="16"/>
                <w:szCs w:val="16"/>
                <w:lang w:eastAsia="en-AU"/>
              </w:rPr>
              <w:t xml:space="preserve"> its assessed GST needs.</w:t>
            </w:r>
          </w:p>
        </w:tc>
      </w:tr>
      <w:tr w:rsidR="003957CD" w:rsidRPr="00845D98" w14:paraId="45771947" w14:textId="77777777" w:rsidTr="00B70FF2">
        <w:trPr>
          <w:trHeight w:val="1134"/>
        </w:trPr>
        <w:tc>
          <w:tcPr>
            <w:tcW w:w="2780" w:type="dxa"/>
            <w:tcBorders>
              <w:top w:val="single" w:sz="4" w:space="0" w:color="ADD6EA"/>
              <w:left w:val="nil"/>
              <w:bottom w:val="single" w:sz="4" w:space="0" w:color="ADD6EA"/>
              <w:right w:val="nil"/>
            </w:tcBorders>
            <w:shd w:val="clear" w:color="000000" w:fill="FFFFFF"/>
            <w:hideMark/>
          </w:tcPr>
          <w:p w14:paraId="5B9793FB" w14:textId="7777777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Mining production</w:t>
            </w:r>
          </w:p>
        </w:tc>
        <w:tc>
          <w:tcPr>
            <w:tcW w:w="720" w:type="dxa"/>
            <w:tcBorders>
              <w:top w:val="single" w:sz="4" w:space="0" w:color="ADD6EA"/>
              <w:left w:val="nil"/>
              <w:bottom w:val="nil"/>
              <w:right w:val="nil"/>
            </w:tcBorders>
            <w:shd w:val="clear" w:color="000000" w:fill="EBBFA0"/>
            <w:hideMark/>
          </w:tcPr>
          <w:p w14:paraId="6114DAE0"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-54</w:t>
            </w:r>
          </w:p>
        </w:tc>
        <w:tc>
          <w:tcPr>
            <w:tcW w:w="720" w:type="dxa"/>
            <w:tcBorders>
              <w:top w:val="single" w:sz="4" w:space="0" w:color="ADD6EA"/>
              <w:left w:val="nil"/>
              <w:bottom w:val="nil"/>
              <w:right w:val="nil"/>
            </w:tcBorders>
            <w:shd w:val="clear" w:color="000000" w:fill="EBBFA0"/>
            <w:hideMark/>
          </w:tcPr>
          <w:p w14:paraId="781DA348"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-93</w:t>
            </w:r>
          </w:p>
        </w:tc>
        <w:tc>
          <w:tcPr>
            <w:tcW w:w="5040" w:type="dxa"/>
            <w:tcBorders>
              <w:top w:val="single" w:sz="4" w:space="0" w:color="ADD6EA"/>
              <w:left w:val="nil"/>
              <w:bottom w:val="nil"/>
              <w:right w:val="nil"/>
            </w:tcBorders>
            <w:shd w:val="clear" w:color="000000" w:fill="FFFFFF"/>
            <w:hideMark/>
          </w:tcPr>
          <w:p w14:paraId="240DEE2E" w14:textId="1341013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Coal and iron ore prices fell between 2021–22 and 2024–25. This decrease</w:t>
            </w:r>
            <w:r>
              <w:rPr>
                <w:rFonts w:ascii="Open Sans Light" w:eastAsia="Times New Roman" w:hAnsi="Open Sans Light" w:cs="Open Sans Light"/>
                <w:color w:val="000000"/>
                <w:sz w:val="16"/>
                <w:szCs w:val="16"/>
                <w:lang w:eastAsia="en-AU"/>
              </w:rPr>
              <w:t>s</w:t>
            </w:r>
            <w:r w:rsidRPr="00845D98">
              <w:rPr>
                <w:rFonts w:ascii="Open Sans Light" w:eastAsia="Times New Roman" w:hAnsi="Open Sans Light" w:cs="Open Sans Light"/>
                <w:color w:val="000000"/>
                <w:sz w:val="16"/>
                <w:szCs w:val="16"/>
                <w:lang w:eastAsia="en-AU"/>
              </w:rPr>
              <w:t xml:space="preserve"> Queensland’s and Western Australia’s revenue raising capacities and increase</w:t>
            </w:r>
            <w:r>
              <w:rPr>
                <w:rFonts w:ascii="Open Sans Light" w:eastAsia="Times New Roman" w:hAnsi="Open Sans Light" w:cs="Open Sans Light"/>
                <w:color w:val="000000"/>
                <w:sz w:val="16"/>
                <w:szCs w:val="16"/>
                <w:lang w:eastAsia="en-AU"/>
              </w:rPr>
              <w:t>s</w:t>
            </w:r>
            <w:r w:rsidRPr="00845D98">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their</w:t>
            </w:r>
            <w:r w:rsidRPr="00845D98">
              <w:rPr>
                <w:rFonts w:ascii="Open Sans Light" w:eastAsia="Times New Roman" w:hAnsi="Open Sans Light" w:cs="Open Sans Light"/>
                <w:color w:val="000000"/>
                <w:sz w:val="16"/>
                <w:szCs w:val="16"/>
                <w:lang w:eastAsia="en-AU"/>
              </w:rPr>
              <w:t xml:space="preserve"> assessed GST needs. </w:t>
            </w:r>
            <w:r>
              <w:rPr>
                <w:rFonts w:ascii="Open Sans Light" w:eastAsia="Times New Roman" w:hAnsi="Open Sans Light" w:cs="Open Sans Light"/>
                <w:color w:val="000000"/>
                <w:sz w:val="16"/>
                <w:szCs w:val="16"/>
                <w:lang w:eastAsia="en-AU"/>
              </w:rPr>
              <w:t xml:space="preserve">Consequently, </w:t>
            </w:r>
            <w:proofErr w:type="gramStart"/>
            <w:r>
              <w:rPr>
                <w:rFonts w:ascii="Open Sans Light" w:eastAsia="Times New Roman" w:hAnsi="Open Sans Light" w:cs="Open Sans Light"/>
                <w:color w:val="000000"/>
                <w:sz w:val="16"/>
                <w:szCs w:val="16"/>
                <w:lang w:eastAsia="en-AU"/>
              </w:rPr>
              <w:t>t</w:t>
            </w:r>
            <w:r w:rsidRPr="00845D98">
              <w:rPr>
                <w:rFonts w:ascii="Open Sans Light" w:eastAsia="Times New Roman" w:hAnsi="Open Sans Light" w:cs="Open Sans Light"/>
                <w:color w:val="000000"/>
                <w:sz w:val="16"/>
                <w:szCs w:val="16"/>
                <w:lang w:eastAsia="en-AU"/>
              </w:rPr>
              <w:t>his decrease</w:t>
            </w:r>
            <w:r>
              <w:rPr>
                <w:rFonts w:ascii="Open Sans Light" w:eastAsia="Times New Roman" w:hAnsi="Open Sans Light" w:cs="Open Sans Light"/>
                <w:color w:val="000000"/>
                <w:sz w:val="16"/>
                <w:szCs w:val="16"/>
                <w:lang w:eastAsia="en-AU"/>
              </w:rPr>
              <w:t>s</w:t>
            </w:r>
            <w:proofErr w:type="gramEnd"/>
            <w:r>
              <w:rPr>
                <w:rFonts w:ascii="Open Sans Light" w:eastAsia="Times New Roman" w:hAnsi="Open Sans Light" w:cs="Open Sans Light"/>
                <w:color w:val="000000"/>
                <w:sz w:val="16"/>
                <w:szCs w:val="16"/>
                <w:lang w:eastAsia="en-AU"/>
              </w:rPr>
              <w:t xml:space="preserve"> </w:t>
            </w:r>
            <w:r w:rsidRPr="00845D98">
              <w:rPr>
                <w:rFonts w:ascii="Open Sans Light" w:eastAsia="Times New Roman" w:hAnsi="Open Sans Light" w:cs="Open Sans Light"/>
                <w:color w:val="000000"/>
                <w:sz w:val="16"/>
                <w:szCs w:val="16"/>
                <w:lang w:eastAsia="en-AU"/>
              </w:rPr>
              <w:t xml:space="preserve">assessed GST needs </w:t>
            </w:r>
            <w:r w:rsidR="00B63491">
              <w:rPr>
                <w:rFonts w:ascii="Open Sans Light" w:eastAsia="Times New Roman" w:hAnsi="Open Sans Light" w:cs="Open Sans Light"/>
                <w:color w:val="000000"/>
                <w:sz w:val="16"/>
                <w:szCs w:val="16"/>
                <w:lang w:eastAsia="en-AU"/>
              </w:rPr>
              <w:t>of</w:t>
            </w:r>
            <w:r w:rsidR="00B63491" w:rsidRPr="00845D98">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845D98">
              <w:rPr>
                <w:rFonts w:ascii="Open Sans Light" w:eastAsia="Times New Roman" w:hAnsi="Open Sans Light" w:cs="Open Sans Light"/>
                <w:color w:val="000000"/>
                <w:sz w:val="16"/>
                <w:szCs w:val="16"/>
                <w:lang w:eastAsia="en-AU"/>
              </w:rPr>
              <w:t>other states, including Tasmania.</w:t>
            </w:r>
          </w:p>
        </w:tc>
      </w:tr>
      <w:tr w:rsidR="003957CD" w:rsidRPr="00845D98" w14:paraId="4ABE0598" w14:textId="77777777" w:rsidTr="00E51790">
        <w:trPr>
          <w:trHeight w:val="960"/>
        </w:trPr>
        <w:tc>
          <w:tcPr>
            <w:tcW w:w="2780" w:type="dxa"/>
            <w:tcBorders>
              <w:top w:val="nil"/>
              <w:left w:val="nil"/>
              <w:bottom w:val="single" w:sz="4" w:space="0" w:color="ADD6EA"/>
              <w:right w:val="nil"/>
            </w:tcBorders>
            <w:shd w:val="clear" w:color="000000" w:fill="FFFFFF"/>
            <w:hideMark/>
          </w:tcPr>
          <w:p w14:paraId="051185F9" w14:textId="77777777"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 xml:space="preserve">Relative growth of investment needs for </w:t>
            </w:r>
            <w:r>
              <w:rPr>
                <w:rFonts w:ascii="Open Sans Light" w:eastAsia="Times New Roman" w:hAnsi="Open Sans Light" w:cs="Open Sans Light"/>
                <w:color w:val="000000"/>
                <w:sz w:val="16"/>
                <w:szCs w:val="16"/>
                <w:lang w:eastAsia="en-AU"/>
              </w:rPr>
              <w:t>u</w:t>
            </w:r>
            <w:r w:rsidRPr="00845D98">
              <w:rPr>
                <w:rFonts w:ascii="Open Sans Light" w:eastAsia="Times New Roman" w:hAnsi="Open Sans Light" w:cs="Open Sans Light"/>
                <w:color w:val="000000"/>
                <w:sz w:val="16"/>
                <w:szCs w:val="16"/>
                <w:lang w:eastAsia="en-AU"/>
              </w:rPr>
              <w:t>rban transport</w:t>
            </w:r>
          </w:p>
        </w:tc>
        <w:tc>
          <w:tcPr>
            <w:tcW w:w="720" w:type="dxa"/>
            <w:tcBorders>
              <w:top w:val="single" w:sz="4" w:space="0" w:color="ADD6EA"/>
              <w:left w:val="nil"/>
              <w:bottom w:val="single" w:sz="4" w:space="0" w:color="ADD6EA"/>
              <w:right w:val="nil"/>
            </w:tcBorders>
            <w:shd w:val="clear" w:color="000000" w:fill="EBBFA0"/>
            <w:hideMark/>
          </w:tcPr>
          <w:p w14:paraId="0C4D5862"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-39</w:t>
            </w:r>
          </w:p>
        </w:tc>
        <w:tc>
          <w:tcPr>
            <w:tcW w:w="720" w:type="dxa"/>
            <w:tcBorders>
              <w:top w:val="single" w:sz="4" w:space="0" w:color="ADD6EA"/>
              <w:left w:val="nil"/>
              <w:bottom w:val="single" w:sz="4" w:space="0" w:color="ADD6EA"/>
              <w:right w:val="nil"/>
            </w:tcBorders>
            <w:shd w:val="clear" w:color="000000" w:fill="EBBFA0"/>
            <w:hideMark/>
          </w:tcPr>
          <w:p w14:paraId="0E44608D" w14:textId="77777777" w:rsidR="003957CD" w:rsidRPr="00845D98"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-67</w:t>
            </w:r>
          </w:p>
        </w:tc>
        <w:tc>
          <w:tcPr>
            <w:tcW w:w="5040" w:type="dxa"/>
            <w:tcBorders>
              <w:top w:val="single" w:sz="4" w:space="0" w:color="ADD6EA"/>
              <w:left w:val="nil"/>
              <w:bottom w:val="single" w:sz="4" w:space="0" w:color="ADD6EA"/>
              <w:right w:val="nil"/>
            </w:tcBorders>
            <w:shd w:val="clear" w:color="000000" w:fill="FFFFFF"/>
            <w:hideMark/>
          </w:tcPr>
          <w:p w14:paraId="7038B67E" w14:textId="74037D12" w:rsidR="003957CD" w:rsidRPr="00845D98"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845D98">
              <w:rPr>
                <w:rFonts w:ascii="Open Sans Light" w:eastAsia="Times New Roman" w:hAnsi="Open Sans Light" w:cs="Open Sans Light"/>
                <w:color w:val="000000"/>
                <w:sz w:val="16"/>
                <w:szCs w:val="16"/>
                <w:lang w:eastAsia="en-AU"/>
              </w:rPr>
              <w:t>In 2021–22, Tasmania introduced a ferry service in Hobart. This resulted in a significant increase in assessed investment needs for that year. As 2021–22 is no longer in the assess</w:t>
            </w:r>
            <w:r w:rsidR="00EE262E">
              <w:rPr>
                <w:rFonts w:ascii="Open Sans Light" w:eastAsia="Times New Roman" w:hAnsi="Open Sans Light" w:cs="Open Sans Light"/>
                <w:color w:val="000000"/>
                <w:sz w:val="16"/>
                <w:szCs w:val="16"/>
                <w:lang w:eastAsia="en-AU"/>
              </w:rPr>
              <w:t>ment</w:t>
            </w:r>
            <w:r w:rsidRPr="00845D98">
              <w:rPr>
                <w:rFonts w:ascii="Open Sans Light" w:eastAsia="Times New Roman" w:hAnsi="Open Sans Light" w:cs="Open Sans Light"/>
                <w:color w:val="000000"/>
                <w:sz w:val="16"/>
                <w:szCs w:val="16"/>
                <w:lang w:eastAsia="en-AU"/>
              </w:rPr>
              <w:t xml:space="preserve"> period, Tasmania</w:t>
            </w:r>
            <w:r>
              <w:rPr>
                <w:rFonts w:ascii="Open Sans Light" w:eastAsia="Times New Roman" w:hAnsi="Open Sans Light" w:cs="Open Sans Light"/>
                <w:color w:val="000000"/>
                <w:sz w:val="16"/>
                <w:szCs w:val="16"/>
                <w:lang w:eastAsia="en-AU"/>
              </w:rPr>
              <w:t>’</w:t>
            </w:r>
            <w:r w:rsidRPr="00845D98">
              <w:rPr>
                <w:rFonts w:ascii="Open Sans Light" w:eastAsia="Times New Roman" w:hAnsi="Open Sans Light" w:cs="Open Sans Light"/>
                <w:color w:val="000000"/>
                <w:sz w:val="16"/>
                <w:szCs w:val="16"/>
                <w:lang w:eastAsia="en-AU"/>
              </w:rPr>
              <w:t>s assessed GST needs</w:t>
            </w:r>
            <w:r w:rsidR="00D73F2D">
              <w:rPr>
                <w:rFonts w:ascii="Open Sans Light" w:eastAsia="Times New Roman" w:hAnsi="Open Sans Light" w:cs="Open Sans Light"/>
                <w:color w:val="000000"/>
                <w:sz w:val="16"/>
                <w:szCs w:val="16"/>
                <w:lang w:eastAsia="en-AU"/>
              </w:rPr>
              <w:t xml:space="preserve"> have </w:t>
            </w:r>
            <w:r w:rsidR="00784333">
              <w:rPr>
                <w:rFonts w:ascii="Open Sans Light" w:eastAsia="Times New Roman" w:hAnsi="Open Sans Light" w:cs="Open Sans Light"/>
                <w:color w:val="000000"/>
                <w:sz w:val="16"/>
                <w:szCs w:val="16"/>
                <w:lang w:eastAsia="en-AU"/>
              </w:rPr>
              <w:t>decreased</w:t>
            </w:r>
            <w:r w:rsidRPr="00845D98">
              <w:rPr>
                <w:rFonts w:ascii="Open Sans Light" w:eastAsia="Times New Roman" w:hAnsi="Open Sans Light" w:cs="Open Sans Light"/>
                <w:color w:val="000000"/>
                <w:sz w:val="16"/>
                <w:szCs w:val="16"/>
                <w:lang w:eastAsia="en-AU"/>
              </w:rPr>
              <w:t>.</w:t>
            </w:r>
          </w:p>
        </w:tc>
      </w:tr>
    </w:tbl>
    <w:p w14:paraId="76E981F1" w14:textId="77777777" w:rsidR="003957CD" w:rsidRPr="00F47AF8" w:rsidRDefault="003957CD" w:rsidP="003957CD">
      <w:pPr>
        <w:pStyle w:val="CGCTablenote"/>
      </w:pPr>
      <w:r w:rsidRPr="00F47AF8">
        <w:br w:type="page"/>
      </w:r>
    </w:p>
    <w:p w14:paraId="13C8C281" w14:textId="77777777" w:rsidR="003957CD" w:rsidRPr="00F47AF8" w:rsidRDefault="003957CD" w:rsidP="003957CD">
      <w:pPr>
        <w:pStyle w:val="Heading2"/>
      </w:pPr>
      <w:r w:rsidRPr="00F47AF8">
        <w:lastRenderedPageBreak/>
        <w:t>Australian</w:t>
      </w:r>
      <w:r>
        <w:t> </w:t>
      </w:r>
      <w:r w:rsidRPr="00F47AF8">
        <w:t>Capital</w:t>
      </w:r>
      <w:r>
        <w:t> </w:t>
      </w:r>
      <w:r w:rsidRPr="00F47AF8">
        <w:t>Territory</w:t>
      </w:r>
    </w:p>
    <w:p w14:paraId="17DA90BA" w14:textId="77777777" w:rsidR="003957CD" w:rsidRPr="00F47AF8" w:rsidRDefault="003957CD" w:rsidP="003957CD">
      <w:r w:rsidRPr="00F47AF8">
        <w:t xml:space="preserve">In </w:t>
      </w:r>
      <w:r w:rsidRPr="00637832">
        <w:t>2026</w:t>
      </w:r>
      <w:r>
        <w:rPr>
          <w:rFonts w:ascii="Times New Roman" w:hAnsi="Times New Roman" w:cs="Times New Roman"/>
        </w:rPr>
        <w:t>‍</w:t>
      </w:r>
      <w:r w:rsidRPr="00637832">
        <w:t>–</w:t>
      </w:r>
      <w:r>
        <w:rPr>
          <w:rFonts w:ascii="Times New Roman" w:hAnsi="Times New Roman" w:cs="Times New Roman"/>
        </w:rPr>
        <w:t>‍</w:t>
      </w:r>
      <w:r w:rsidRPr="00637832">
        <w:t>27</w:t>
      </w:r>
      <w:r w:rsidRPr="00F47AF8">
        <w:t>, the ACT’s GST distribution is estimated to increase by $11</w:t>
      </w:r>
      <w:r>
        <w:t>0 </w:t>
      </w:r>
      <w:r w:rsidRPr="00F47AF8">
        <w:t>million ($22</w:t>
      </w:r>
      <w:r>
        <w:t>2 </w:t>
      </w:r>
      <w:r w:rsidRPr="00F47AF8">
        <w:t>per</w:t>
      </w:r>
      <w:r>
        <w:t> </w:t>
      </w:r>
      <w:r w:rsidRPr="00F47AF8">
        <w:t xml:space="preserve">capita). </w:t>
      </w:r>
      <w:r>
        <w:t>Its assessed GST needs have decreased by $31 million ($63 per capita) in 2026</w:t>
      </w:r>
      <w:r w:rsidRPr="00F47AF8">
        <w:t>–27</w:t>
      </w:r>
      <w:r>
        <w:t>, however, this is more than offset by growth in the GST pool.</w:t>
      </w:r>
    </w:p>
    <w:p w14:paraId="36EEFC73" w14:textId="77777777" w:rsidR="003957CD" w:rsidRPr="00F47AF8" w:rsidRDefault="003957CD" w:rsidP="002F5ED5">
      <w:pPr>
        <w:pStyle w:val="CGCBulletPoints"/>
      </w:pPr>
      <w:r w:rsidRPr="00F47AF8">
        <w:t xml:space="preserve">The ACT’s assessed GST needs </w:t>
      </w:r>
      <w:r>
        <w:t xml:space="preserve">have </w:t>
      </w:r>
      <w:r w:rsidRPr="00F47AF8">
        <w:t>decreased largely due to:</w:t>
      </w:r>
    </w:p>
    <w:p w14:paraId="09578932" w14:textId="7EC4E9AE" w:rsidR="003957CD" w:rsidRPr="00F47AF8" w:rsidRDefault="003957CD" w:rsidP="002F5ED5">
      <w:pPr>
        <w:pStyle w:val="CGCBulletPoints-Level2"/>
      </w:pPr>
      <w:r w:rsidRPr="00F47AF8">
        <w:t>lower coal and iron ore prices</w:t>
      </w:r>
      <w:r>
        <w:t>,</w:t>
      </w:r>
      <w:r w:rsidRPr="00F47AF8">
        <w:t xml:space="preserve"> </w:t>
      </w:r>
      <w:r>
        <w:t>which</w:t>
      </w:r>
      <w:r w:rsidRPr="00F47AF8">
        <w:t xml:space="preserve"> increas</w:t>
      </w:r>
      <w:r>
        <w:t>e</w:t>
      </w:r>
      <w:r w:rsidRPr="00F47AF8">
        <w:t xml:space="preserve"> Queensland’s and Western</w:t>
      </w:r>
      <w:r>
        <w:t> </w:t>
      </w:r>
      <w:r w:rsidRPr="00F47AF8">
        <w:t>Australia’s assessed GST needs and decreas</w:t>
      </w:r>
      <w:r>
        <w:t>e</w:t>
      </w:r>
      <w:r w:rsidRPr="00F47AF8">
        <w:t xml:space="preserve"> assessed GST needs </w:t>
      </w:r>
      <w:r w:rsidR="00B63491">
        <w:t>of</w:t>
      </w:r>
      <w:r w:rsidR="00B63491" w:rsidRPr="00F47AF8">
        <w:t xml:space="preserve"> </w:t>
      </w:r>
      <w:r>
        <w:t xml:space="preserve">the </w:t>
      </w:r>
      <w:r w:rsidRPr="00F47AF8">
        <w:t>other states</w:t>
      </w:r>
    </w:p>
    <w:p w14:paraId="7E36E63A" w14:textId="3ED2A312" w:rsidR="003957CD" w:rsidRPr="00F47AF8" w:rsidRDefault="003957CD" w:rsidP="002F5ED5">
      <w:pPr>
        <w:pStyle w:val="CGCBulletPoints-Level2"/>
      </w:pPr>
      <w:r w:rsidRPr="00F47AF8">
        <w:t>an upwards revision to population growth rates, which decreas</w:t>
      </w:r>
      <w:r>
        <w:t>es its</w:t>
      </w:r>
      <w:r w:rsidRPr="00F47AF8">
        <w:t xml:space="preserve"> assessed GST needs in net borrowing.</w:t>
      </w:r>
      <w:bookmarkStart w:id="63" w:name="tempbookmark"/>
      <w:bookmarkEnd w:id="63"/>
    </w:p>
    <w:p w14:paraId="1B2B3F93" w14:textId="5BB2193B" w:rsidR="003957CD" w:rsidRPr="00F47AF8" w:rsidRDefault="003957CD" w:rsidP="002F5ED5">
      <w:pPr>
        <w:pStyle w:val="CGCBulletPoints"/>
      </w:pPr>
      <w:r>
        <w:t xml:space="preserve">This is partially </w:t>
      </w:r>
      <w:r w:rsidR="00470B71">
        <w:t>offset</w:t>
      </w:r>
      <w:r>
        <w:t xml:space="preserve"> by </w:t>
      </w:r>
      <w:r w:rsidRPr="00F47AF8">
        <w:t>a larger than average fall in the value of property transfer</w:t>
      </w:r>
      <w:r w:rsidR="002615DC">
        <w:t>red</w:t>
      </w:r>
      <w:r>
        <w:t xml:space="preserve"> in the ACT</w:t>
      </w:r>
      <w:r w:rsidRPr="00F47AF8">
        <w:t>, which decrease</w:t>
      </w:r>
      <w:r>
        <w:t>s</w:t>
      </w:r>
      <w:r w:rsidRPr="00F47AF8">
        <w:t xml:space="preserve"> its relative capacity to raise revenue from stamp duties</w:t>
      </w:r>
      <w:r>
        <w:t xml:space="preserve"> and increases its assessed GST needs</w:t>
      </w:r>
      <w:r w:rsidRPr="00F47AF8">
        <w:t>.</w:t>
      </w:r>
    </w:p>
    <w:p w14:paraId="6532B1A8" w14:textId="77777777" w:rsidR="003957CD" w:rsidRDefault="003957CD" w:rsidP="002F5ED5">
      <w:pPr>
        <w:pStyle w:val="CGCBulletPoints"/>
      </w:pPr>
      <w:r>
        <w:t>E</w:t>
      </w:r>
      <w:r w:rsidRPr="00F47AF8">
        <w:t xml:space="preserve">xpected growth in the GST pool </w:t>
      </w:r>
      <w:r>
        <w:t xml:space="preserve">more than offsets the ACT’s reduced GST relativity and </w:t>
      </w:r>
      <w:r w:rsidRPr="00F47AF8">
        <w:t>increase</w:t>
      </w:r>
      <w:r>
        <w:t>s</w:t>
      </w:r>
      <w:r w:rsidRPr="00F47AF8">
        <w:t xml:space="preserve"> </w:t>
      </w:r>
      <w:r>
        <w:t>its GST</w:t>
      </w:r>
      <w:r w:rsidRPr="00F47AF8">
        <w:t xml:space="preserve"> distribution</w:t>
      </w:r>
      <w:r>
        <w:t>.</w:t>
      </w:r>
    </w:p>
    <w:p w14:paraId="64D67044" w14:textId="66D5684B" w:rsidR="003957CD" w:rsidRPr="00F47AF8" w:rsidRDefault="003957CD" w:rsidP="002F5ED5">
      <w:pPr>
        <w:pStyle w:val="CGCBulletPoints"/>
      </w:pPr>
      <w:r w:rsidRPr="00F47AF8">
        <w:t xml:space="preserve">Compared with </w:t>
      </w:r>
      <w:r w:rsidRPr="009F159D">
        <w:t>2025</w:t>
      </w:r>
      <w:r>
        <w:rPr>
          <w:rFonts w:ascii="Times New Roman" w:eastAsiaTheme="minorHAnsi" w:hAnsi="Times New Roman" w:cs="Times New Roman"/>
        </w:rPr>
        <w:t>‍</w:t>
      </w:r>
      <w:r w:rsidRPr="00637832">
        <w:rPr>
          <w:rFonts w:eastAsiaTheme="minorHAnsi" w:cstheme="minorBidi"/>
        </w:rPr>
        <w:t>–</w:t>
      </w:r>
      <w:r>
        <w:rPr>
          <w:rFonts w:ascii="Times New Roman" w:eastAsiaTheme="minorHAnsi" w:hAnsi="Times New Roman" w:cs="Times New Roman"/>
        </w:rPr>
        <w:t>‍</w:t>
      </w:r>
      <w:r w:rsidRPr="009F159D">
        <w:t>26</w:t>
      </w:r>
      <w:r w:rsidRPr="00F47AF8">
        <w:t xml:space="preserve">, the 2018 </w:t>
      </w:r>
      <w:r>
        <w:t>legislated</w:t>
      </w:r>
      <w:r w:rsidRPr="00F47AF8">
        <w:t xml:space="preserve"> changes to determining relativities increase the ACT’s GST distribution</w:t>
      </w:r>
      <w:r>
        <w:t xml:space="preserve"> </w:t>
      </w:r>
      <w:r w:rsidR="00BA5484">
        <w:t xml:space="preserve">by </w:t>
      </w:r>
      <w:r w:rsidRPr="00F47AF8">
        <w:t>$17 million.</w:t>
      </w:r>
    </w:p>
    <w:p w14:paraId="119DD2AC" w14:textId="77777777" w:rsidR="003957CD" w:rsidRPr="00F47AF8" w:rsidRDefault="003957CD" w:rsidP="00371E5F">
      <w:pPr>
        <w:pStyle w:val="CGC2025Caption"/>
        <w:ind w:left="1276" w:hanging="1276"/>
      </w:pPr>
      <w:r w:rsidRPr="00F47AF8">
        <w:t>Table 3-7</w:t>
      </w:r>
      <w:r w:rsidRPr="00F47AF8">
        <w:tab/>
        <w:t xml:space="preserve">Change in estimated GST distribution from </w:t>
      </w:r>
      <w:r w:rsidRPr="00AA1E50">
        <w:t>2025</w:t>
      </w:r>
      <w:r>
        <w:rPr>
          <w:rFonts w:ascii="Times New Roman" w:hAnsi="Times New Roman" w:cs="Times New Roman"/>
        </w:rPr>
        <w:t>‍</w:t>
      </w:r>
      <w:r w:rsidRPr="00AA1E50">
        <w:t>–</w:t>
      </w:r>
      <w:r>
        <w:rPr>
          <w:rFonts w:ascii="Times New Roman" w:hAnsi="Times New Roman" w:cs="Times New Roman"/>
        </w:rPr>
        <w:t>‍</w:t>
      </w:r>
      <w:r w:rsidRPr="00AA1E50">
        <w:t>26</w:t>
      </w:r>
      <w:r w:rsidRPr="00F47AF8">
        <w:t xml:space="preserve"> to </w:t>
      </w:r>
      <w:r w:rsidRPr="00AA1E50">
        <w:t>2026</w:t>
      </w:r>
      <w:r>
        <w:rPr>
          <w:rFonts w:ascii="Times New Roman" w:hAnsi="Times New Roman" w:cs="Times New Roman"/>
        </w:rPr>
        <w:t>‍</w:t>
      </w:r>
      <w:r w:rsidRPr="00AA1E50">
        <w:t>–</w:t>
      </w:r>
      <w:r>
        <w:rPr>
          <w:rFonts w:ascii="Times New Roman" w:hAnsi="Times New Roman" w:cs="Times New Roman"/>
        </w:rPr>
        <w:t>‍</w:t>
      </w:r>
      <w:r w:rsidRPr="00AA1E50">
        <w:t>27</w:t>
      </w:r>
      <w:r w:rsidRPr="00F47AF8">
        <w:t>, ACT (excludes no worse off payments)</w:t>
      </w:r>
    </w:p>
    <w:tbl>
      <w:tblPr>
        <w:tblW w:w="9360" w:type="dxa"/>
        <w:tblLook w:val="04A0" w:firstRow="1" w:lastRow="0" w:firstColumn="1" w:lastColumn="0" w:noHBand="0" w:noVBand="1"/>
      </w:tblPr>
      <w:tblGrid>
        <w:gridCol w:w="4240"/>
        <w:gridCol w:w="2560"/>
        <w:gridCol w:w="2560"/>
      </w:tblGrid>
      <w:tr w:rsidR="003957CD" w:rsidRPr="005055E6" w14:paraId="6D594BDD" w14:textId="77777777" w:rsidTr="00E51790">
        <w:trPr>
          <w:trHeight w:val="290"/>
        </w:trPr>
        <w:tc>
          <w:tcPr>
            <w:tcW w:w="4240" w:type="dxa"/>
            <w:tcBorders>
              <w:top w:val="nil"/>
              <w:left w:val="nil"/>
              <w:bottom w:val="single" w:sz="4" w:space="0" w:color="ADD6EA"/>
              <w:right w:val="nil"/>
            </w:tcBorders>
            <w:shd w:val="clear" w:color="000000" w:fill="006991"/>
            <w:noWrap/>
            <w:vAlign w:val="center"/>
            <w:hideMark/>
          </w:tcPr>
          <w:p w14:paraId="6EA7CE86"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055E6">
              <w:rPr>
                <w:rFonts w:ascii="Open Sans Semibold" w:eastAsia="Times New Roman" w:hAnsi="Open Sans Semibold" w:cs="Open Sans Semibold"/>
                <w:color w:val="FFFFFF"/>
                <w:sz w:val="16"/>
                <w:szCs w:val="16"/>
                <w:lang w:eastAsia="en-AU"/>
              </w:rPr>
              <w:t> </w:t>
            </w:r>
          </w:p>
        </w:tc>
        <w:tc>
          <w:tcPr>
            <w:tcW w:w="2560" w:type="dxa"/>
            <w:tcBorders>
              <w:top w:val="nil"/>
              <w:left w:val="nil"/>
              <w:bottom w:val="single" w:sz="4" w:space="0" w:color="ADD6EA"/>
              <w:right w:val="nil"/>
            </w:tcBorders>
            <w:shd w:val="clear" w:color="000000" w:fill="006991"/>
            <w:noWrap/>
            <w:vAlign w:val="center"/>
            <w:hideMark/>
          </w:tcPr>
          <w:p w14:paraId="36AAD3CE"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055E6">
              <w:rPr>
                <w:rFonts w:ascii="Open Sans Semibold" w:eastAsia="Times New Roman" w:hAnsi="Open Sans Semibold" w:cs="Open Sans Semibold"/>
                <w:color w:val="FFFFFF"/>
                <w:sz w:val="16"/>
                <w:szCs w:val="16"/>
                <w:lang w:eastAsia="en-AU"/>
              </w:rPr>
              <w:t>$m</w:t>
            </w:r>
          </w:p>
        </w:tc>
        <w:tc>
          <w:tcPr>
            <w:tcW w:w="2560" w:type="dxa"/>
            <w:tcBorders>
              <w:top w:val="nil"/>
              <w:left w:val="nil"/>
              <w:bottom w:val="single" w:sz="4" w:space="0" w:color="ADD6EA"/>
              <w:right w:val="nil"/>
            </w:tcBorders>
            <w:shd w:val="clear" w:color="000000" w:fill="006991"/>
            <w:noWrap/>
            <w:vAlign w:val="center"/>
            <w:hideMark/>
          </w:tcPr>
          <w:p w14:paraId="528C59AE"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055E6">
              <w:rPr>
                <w:rFonts w:ascii="Open Sans Semibold" w:eastAsia="Times New Roman" w:hAnsi="Open Sans Semibold" w:cs="Open Sans Semibold"/>
                <w:color w:val="FFFFFF"/>
                <w:sz w:val="16"/>
                <w:szCs w:val="16"/>
                <w:lang w:eastAsia="en-AU"/>
              </w:rPr>
              <w:t>$pc</w:t>
            </w:r>
          </w:p>
        </w:tc>
      </w:tr>
      <w:tr w:rsidR="003957CD" w:rsidRPr="005055E6" w14:paraId="227B158B" w14:textId="77777777" w:rsidTr="00E51790">
        <w:trPr>
          <w:trHeight w:val="290"/>
        </w:trPr>
        <w:tc>
          <w:tcPr>
            <w:tcW w:w="4240" w:type="dxa"/>
            <w:tcBorders>
              <w:top w:val="nil"/>
              <w:left w:val="nil"/>
              <w:bottom w:val="single" w:sz="4" w:space="0" w:color="ADD6EA"/>
              <w:right w:val="nil"/>
            </w:tcBorders>
            <w:noWrap/>
            <w:vAlign w:val="center"/>
            <w:hideMark/>
          </w:tcPr>
          <w:p w14:paraId="15C04D75" w14:textId="77777777" w:rsidR="003957CD" w:rsidRPr="005055E6"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xml:space="preserve">Change in </w:t>
            </w:r>
            <w:r w:rsidRPr="005055E6">
              <w:rPr>
                <w:rFonts w:ascii="Open Sans Light" w:eastAsia="Times New Roman" w:hAnsi="Open Sans Light" w:cs="Open Sans Light"/>
                <w:color w:val="000000"/>
                <w:sz w:val="16"/>
                <w:szCs w:val="16"/>
                <w:lang w:eastAsia="en-AU"/>
              </w:rPr>
              <w:t>population</w:t>
            </w:r>
          </w:p>
        </w:tc>
        <w:tc>
          <w:tcPr>
            <w:tcW w:w="2560" w:type="dxa"/>
            <w:tcBorders>
              <w:top w:val="nil"/>
              <w:left w:val="nil"/>
              <w:bottom w:val="single" w:sz="4" w:space="0" w:color="ADD6EA"/>
              <w:right w:val="nil"/>
            </w:tcBorders>
            <w:noWrap/>
            <w:vAlign w:val="center"/>
            <w:hideMark/>
          </w:tcPr>
          <w:p w14:paraId="0D6831D6"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w:t>
            </w:r>
          </w:p>
        </w:tc>
        <w:tc>
          <w:tcPr>
            <w:tcW w:w="2560" w:type="dxa"/>
            <w:tcBorders>
              <w:top w:val="nil"/>
              <w:left w:val="nil"/>
              <w:bottom w:val="single" w:sz="4" w:space="0" w:color="ADD6EA"/>
              <w:right w:val="nil"/>
            </w:tcBorders>
            <w:noWrap/>
            <w:vAlign w:val="center"/>
            <w:hideMark/>
          </w:tcPr>
          <w:p w14:paraId="714C9849"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2</w:t>
            </w:r>
          </w:p>
        </w:tc>
      </w:tr>
      <w:tr w:rsidR="003957CD" w:rsidRPr="005055E6" w14:paraId="0257EE7A" w14:textId="77777777" w:rsidTr="00E51790">
        <w:trPr>
          <w:trHeight w:val="290"/>
        </w:trPr>
        <w:tc>
          <w:tcPr>
            <w:tcW w:w="4240" w:type="dxa"/>
            <w:tcBorders>
              <w:top w:val="nil"/>
              <w:left w:val="nil"/>
              <w:bottom w:val="single" w:sz="4" w:space="0" w:color="ADD6EA"/>
              <w:right w:val="nil"/>
            </w:tcBorders>
            <w:noWrap/>
            <w:vAlign w:val="center"/>
            <w:hideMark/>
          </w:tcPr>
          <w:p w14:paraId="66F6340F" w14:textId="77777777" w:rsidR="003957CD" w:rsidRPr="005055E6"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xml:space="preserve">Growth in GST pool </w:t>
            </w:r>
          </w:p>
        </w:tc>
        <w:tc>
          <w:tcPr>
            <w:tcW w:w="2560" w:type="dxa"/>
            <w:tcBorders>
              <w:top w:val="nil"/>
              <w:left w:val="nil"/>
              <w:bottom w:val="single" w:sz="4" w:space="0" w:color="ADD6EA"/>
              <w:right w:val="nil"/>
            </w:tcBorders>
            <w:noWrap/>
            <w:vAlign w:val="center"/>
            <w:hideMark/>
          </w:tcPr>
          <w:p w14:paraId="0E3816FE"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123</w:t>
            </w:r>
          </w:p>
        </w:tc>
        <w:tc>
          <w:tcPr>
            <w:tcW w:w="2560" w:type="dxa"/>
            <w:tcBorders>
              <w:top w:val="nil"/>
              <w:left w:val="nil"/>
              <w:bottom w:val="single" w:sz="4" w:space="0" w:color="ADD6EA"/>
              <w:right w:val="nil"/>
            </w:tcBorders>
            <w:noWrap/>
            <w:vAlign w:val="center"/>
            <w:hideMark/>
          </w:tcPr>
          <w:p w14:paraId="18D6C533"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248</w:t>
            </w:r>
          </w:p>
        </w:tc>
      </w:tr>
      <w:tr w:rsidR="003957CD" w:rsidRPr="005055E6" w14:paraId="08C8A3BF" w14:textId="77777777" w:rsidTr="00E51790">
        <w:trPr>
          <w:trHeight w:val="290"/>
        </w:trPr>
        <w:tc>
          <w:tcPr>
            <w:tcW w:w="4240" w:type="dxa"/>
            <w:tcBorders>
              <w:top w:val="nil"/>
              <w:left w:val="nil"/>
              <w:bottom w:val="single" w:sz="4" w:space="0" w:color="ADD6EA"/>
              <w:right w:val="nil"/>
            </w:tcBorders>
            <w:noWrap/>
            <w:vAlign w:val="center"/>
            <w:hideMark/>
          </w:tcPr>
          <w:p w14:paraId="02647399" w14:textId="3DA5176D" w:rsidR="003957CD" w:rsidRPr="005055E6"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xml:space="preserve">Changes in assessed </w:t>
            </w:r>
            <w:r w:rsidR="001169A0">
              <w:rPr>
                <w:rFonts w:ascii="Open Sans Light" w:eastAsia="Times New Roman" w:hAnsi="Open Sans Light" w:cs="Open Sans Light"/>
                <w:sz w:val="16"/>
                <w:szCs w:val="16"/>
                <w:lang w:eastAsia="en-AU"/>
              </w:rPr>
              <w:t xml:space="preserve">GST </w:t>
            </w:r>
            <w:r w:rsidRPr="005055E6">
              <w:rPr>
                <w:rFonts w:ascii="Open Sans Light" w:eastAsia="Times New Roman" w:hAnsi="Open Sans Light" w:cs="Open Sans Light"/>
                <w:sz w:val="16"/>
                <w:szCs w:val="16"/>
                <w:lang w:eastAsia="en-AU"/>
              </w:rPr>
              <w:t>needs</w:t>
            </w:r>
          </w:p>
        </w:tc>
        <w:tc>
          <w:tcPr>
            <w:tcW w:w="2560" w:type="dxa"/>
            <w:tcBorders>
              <w:top w:val="nil"/>
              <w:left w:val="nil"/>
              <w:bottom w:val="single" w:sz="4" w:space="0" w:color="ADD6EA"/>
              <w:right w:val="nil"/>
            </w:tcBorders>
            <w:noWrap/>
            <w:vAlign w:val="center"/>
            <w:hideMark/>
          </w:tcPr>
          <w:p w14:paraId="62B36DAE"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w:t>
            </w:r>
          </w:p>
        </w:tc>
        <w:tc>
          <w:tcPr>
            <w:tcW w:w="2560" w:type="dxa"/>
            <w:tcBorders>
              <w:top w:val="nil"/>
              <w:left w:val="nil"/>
              <w:bottom w:val="single" w:sz="4" w:space="0" w:color="ADD6EA"/>
              <w:right w:val="nil"/>
            </w:tcBorders>
            <w:noWrap/>
            <w:vAlign w:val="center"/>
            <w:hideMark/>
          </w:tcPr>
          <w:p w14:paraId="1883866C"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 </w:t>
            </w:r>
          </w:p>
        </w:tc>
      </w:tr>
      <w:tr w:rsidR="003957CD" w:rsidRPr="005055E6" w14:paraId="13A15D03" w14:textId="77777777" w:rsidTr="00E51790">
        <w:trPr>
          <w:trHeight w:val="290"/>
        </w:trPr>
        <w:tc>
          <w:tcPr>
            <w:tcW w:w="4240" w:type="dxa"/>
            <w:tcBorders>
              <w:top w:val="nil"/>
              <w:left w:val="nil"/>
              <w:bottom w:val="single" w:sz="4" w:space="0" w:color="ADD6EA"/>
              <w:right w:val="nil"/>
            </w:tcBorders>
            <w:noWrap/>
            <w:vAlign w:val="center"/>
            <w:hideMark/>
          </w:tcPr>
          <w:p w14:paraId="143E86F1" w14:textId="77777777" w:rsidR="003957CD" w:rsidRPr="005055E6"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Method changes</w:t>
            </w:r>
          </w:p>
        </w:tc>
        <w:tc>
          <w:tcPr>
            <w:tcW w:w="2560" w:type="dxa"/>
            <w:tcBorders>
              <w:top w:val="nil"/>
              <w:left w:val="nil"/>
              <w:bottom w:val="single" w:sz="4" w:space="0" w:color="ADD6EA"/>
              <w:right w:val="nil"/>
            </w:tcBorders>
            <w:noWrap/>
            <w:vAlign w:val="center"/>
            <w:hideMark/>
          </w:tcPr>
          <w:p w14:paraId="3DCB9A00"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-15</w:t>
            </w:r>
          </w:p>
        </w:tc>
        <w:tc>
          <w:tcPr>
            <w:tcW w:w="2560" w:type="dxa"/>
            <w:tcBorders>
              <w:top w:val="nil"/>
              <w:left w:val="nil"/>
              <w:bottom w:val="single" w:sz="4" w:space="0" w:color="ADD6EA"/>
              <w:right w:val="nil"/>
            </w:tcBorders>
            <w:noWrap/>
            <w:vAlign w:val="center"/>
            <w:hideMark/>
          </w:tcPr>
          <w:p w14:paraId="46DFD2A8"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-31</w:t>
            </w:r>
          </w:p>
        </w:tc>
      </w:tr>
      <w:tr w:rsidR="003957CD" w:rsidRPr="005055E6" w14:paraId="33B95789" w14:textId="77777777" w:rsidTr="00E51790">
        <w:trPr>
          <w:trHeight w:val="290"/>
        </w:trPr>
        <w:tc>
          <w:tcPr>
            <w:tcW w:w="4240" w:type="dxa"/>
            <w:tcBorders>
              <w:top w:val="nil"/>
              <w:left w:val="nil"/>
              <w:bottom w:val="single" w:sz="4" w:space="0" w:color="ADD6EA"/>
              <w:right w:val="nil"/>
            </w:tcBorders>
            <w:noWrap/>
            <w:vAlign w:val="center"/>
            <w:hideMark/>
          </w:tcPr>
          <w:p w14:paraId="3079F7BC" w14:textId="77777777" w:rsidR="003957CD" w:rsidRPr="005055E6"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Data revisions</w:t>
            </w:r>
          </w:p>
        </w:tc>
        <w:tc>
          <w:tcPr>
            <w:tcW w:w="2560" w:type="dxa"/>
            <w:tcBorders>
              <w:top w:val="nil"/>
              <w:left w:val="nil"/>
              <w:bottom w:val="single" w:sz="4" w:space="0" w:color="ADD6EA"/>
              <w:right w:val="nil"/>
            </w:tcBorders>
            <w:noWrap/>
            <w:vAlign w:val="center"/>
            <w:hideMark/>
          </w:tcPr>
          <w:p w14:paraId="5221B140"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51</w:t>
            </w:r>
          </w:p>
        </w:tc>
        <w:tc>
          <w:tcPr>
            <w:tcW w:w="2560" w:type="dxa"/>
            <w:tcBorders>
              <w:top w:val="nil"/>
              <w:left w:val="nil"/>
              <w:bottom w:val="single" w:sz="4" w:space="0" w:color="ADD6EA"/>
              <w:right w:val="nil"/>
            </w:tcBorders>
            <w:noWrap/>
            <w:vAlign w:val="center"/>
            <w:hideMark/>
          </w:tcPr>
          <w:p w14:paraId="7199C8CD"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103</w:t>
            </w:r>
          </w:p>
        </w:tc>
      </w:tr>
      <w:tr w:rsidR="003957CD" w:rsidRPr="005055E6" w14:paraId="6F57841E" w14:textId="77777777" w:rsidTr="00E51790">
        <w:trPr>
          <w:trHeight w:val="290"/>
        </w:trPr>
        <w:tc>
          <w:tcPr>
            <w:tcW w:w="4240" w:type="dxa"/>
            <w:tcBorders>
              <w:top w:val="nil"/>
              <w:left w:val="nil"/>
              <w:bottom w:val="single" w:sz="4" w:space="0" w:color="ADD6EA"/>
              <w:right w:val="nil"/>
            </w:tcBorders>
            <w:noWrap/>
            <w:vAlign w:val="center"/>
            <w:hideMark/>
          </w:tcPr>
          <w:p w14:paraId="685FEE5F" w14:textId="77777777" w:rsidR="003957CD" w:rsidRPr="005055E6"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State circumstances</w:t>
            </w:r>
          </w:p>
        </w:tc>
        <w:tc>
          <w:tcPr>
            <w:tcW w:w="2560" w:type="dxa"/>
            <w:tcBorders>
              <w:top w:val="nil"/>
              <w:left w:val="nil"/>
              <w:bottom w:val="single" w:sz="4" w:space="0" w:color="ADD6EA"/>
              <w:right w:val="nil"/>
            </w:tcBorders>
            <w:noWrap/>
            <w:vAlign w:val="center"/>
            <w:hideMark/>
          </w:tcPr>
          <w:p w14:paraId="434896EA"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-67</w:t>
            </w:r>
          </w:p>
        </w:tc>
        <w:tc>
          <w:tcPr>
            <w:tcW w:w="2560" w:type="dxa"/>
            <w:tcBorders>
              <w:top w:val="nil"/>
              <w:left w:val="nil"/>
              <w:bottom w:val="single" w:sz="4" w:space="0" w:color="ADD6EA"/>
              <w:right w:val="nil"/>
            </w:tcBorders>
            <w:noWrap/>
            <w:vAlign w:val="center"/>
            <w:hideMark/>
          </w:tcPr>
          <w:p w14:paraId="52D27822"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-135</w:t>
            </w:r>
          </w:p>
        </w:tc>
      </w:tr>
      <w:tr w:rsidR="003957CD" w:rsidRPr="005055E6" w14:paraId="0B681CB5" w14:textId="77777777" w:rsidTr="00E51790">
        <w:trPr>
          <w:trHeight w:val="290"/>
        </w:trPr>
        <w:tc>
          <w:tcPr>
            <w:tcW w:w="4240" w:type="dxa"/>
            <w:tcBorders>
              <w:top w:val="nil"/>
              <w:left w:val="nil"/>
              <w:bottom w:val="single" w:sz="4" w:space="0" w:color="ADD6EA"/>
              <w:right w:val="nil"/>
            </w:tcBorders>
            <w:noWrap/>
            <w:vAlign w:val="center"/>
            <w:hideMark/>
          </w:tcPr>
          <w:p w14:paraId="0B7475F4" w14:textId="77777777" w:rsidR="003957CD" w:rsidRPr="005055E6"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Total</w:t>
            </w:r>
          </w:p>
        </w:tc>
        <w:tc>
          <w:tcPr>
            <w:tcW w:w="2560" w:type="dxa"/>
            <w:tcBorders>
              <w:top w:val="nil"/>
              <w:left w:val="nil"/>
              <w:bottom w:val="single" w:sz="4" w:space="0" w:color="ADD6EA"/>
              <w:right w:val="nil"/>
            </w:tcBorders>
            <w:noWrap/>
            <w:vAlign w:val="center"/>
            <w:hideMark/>
          </w:tcPr>
          <w:p w14:paraId="0DDDB948"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-31</w:t>
            </w:r>
          </w:p>
        </w:tc>
        <w:tc>
          <w:tcPr>
            <w:tcW w:w="2560" w:type="dxa"/>
            <w:tcBorders>
              <w:top w:val="nil"/>
              <w:left w:val="nil"/>
              <w:bottom w:val="single" w:sz="4" w:space="0" w:color="ADD6EA"/>
              <w:right w:val="nil"/>
            </w:tcBorders>
            <w:noWrap/>
            <w:vAlign w:val="center"/>
            <w:hideMark/>
          </w:tcPr>
          <w:p w14:paraId="0E19B602"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-63</w:t>
            </w:r>
          </w:p>
        </w:tc>
      </w:tr>
      <w:tr w:rsidR="003957CD" w:rsidRPr="005055E6" w14:paraId="106B0FC6" w14:textId="77777777" w:rsidTr="00E51790">
        <w:trPr>
          <w:trHeight w:val="290"/>
        </w:trPr>
        <w:tc>
          <w:tcPr>
            <w:tcW w:w="4240" w:type="dxa"/>
            <w:tcBorders>
              <w:top w:val="nil"/>
              <w:left w:val="nil"/>
              <w:bottom w:val="single" w:sz="4" w:space="0" w:color="ADD6EA"/>
              <w:right w:val="nil"/>
            </w:tcBorders>
            <w:noWrap/>
            <w:vAlign w:val="center"/>
            <w:hideMark/>
          </w:tcPr>
          <w:p w14:paraId="34220526" w14:textId="77777777" w:rsidR="003957CD" w:rsidRPr="005055E6"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2018 legislated changes to determining relativities</w:t>
            </w:r>
          </w:p>
        </w:tc>
        <w:tc>
          <w:tcPr>
            <w:tcW w:w="2560" w:type="dxa"/>
            <w:tcBorders>
              <w:top w:val="nil"/>
              <w:left w:val="nil"/>
              <w:bottom w:val="single" w:sz="4" w:space="0" w:color="ADD6EA"/>
              <w:right w:val="nil"/>
            </w:tcBorders>
            <w:noWrap/>
            <w:vAlign w:val="center"/>
            <w:hideMark/>
          </w:tcPr>
          <w:p w14:paraId="182C61E4"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17</w:t>
            </w:r>
          </w:p>
        </w:tc>
        <w:tc>
          <w:tcPr>
            <w:tcW w:w="2560" w:type="dxa"/>
            <w:tcBorders>
              <w:top w:val="nil"/>
              <w:left w:val="nil"/>
              <w:bottom w:val="single" w:sz="4" w:space="0" w:color="ADD6EA"/>
              <w:right w:val="nil"/>
            </w:tcBorders>
            <w:noWrap/>
            <w:vAlign w:val="center"/>
            <w:hideMark/>
          </w:tcPr>
          <w:p w14:paraId="79B42E8F" w14:textId="77777777" w:rsidR="003957CD" w:rsidRPr="005055E6"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5055E6">
              <w:rPr>
                <w:rFonts w:ascii="Open Sans Light" w:eastAsia="Times New Roman" w:hAnsi="Open Sans Light" w:cs="Open Sans Light"/>
                <w:sz w:val="16"/>
                <w:szCs w:val="16"/>
                <w:lang w:eastAsia="en-AU"/>
              </w:rPr>
              <w:t>35</w:t>
            </w:r>
          </w:p>
        </w:tc>
      </w:tr>
      <w:tr w:rsidR="003957CD" w:rsidRPr="005055E6" w14:paraId="5C25BF1D" w14:textId="77777777" w:rsidTr="00E51790">
        <w:trPr>
          <w:trHeight w:val="290"/>
        </w:trPr>
        <w:tc>
          <w:tcPr>
            <w:tcW w:w="4240" w:type="dxa"/>
            <w:tcBorders>
              <w:top w:val="nil"/>
              <w:left w:val="nil"/>
              <w:bottom w:val="single" w:sz="4" w:space="0" w:color="ADD6EA"/>
              <w:right w:val="nil"/>
            </w:tcBorders>
            <w:shd w:val="clear" w:color="000000" w:fill="D6E7F0"/>
            <w:noWrap/>
            <w:vAlign w:val="center"/>
            <w:hideMark/>
          </w:tcPr>
          <w:p w14:paraId="7648E117" w14:textId="77777777" w:rsidR="003957CD" w:rsidRPr="005055E6"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5055E6">
              <w:rPr>
                <w:rFonts w:ascii="Open Sans Semibold" w:eastAsia="Times New Roman" w:hAnsi="Open Sans Semibold" w:cs="Open Sans Semibold"/>
                <w:color w:val="000000"/>
                <w:sz w:val="16"/>
                <w:szCs w:val="16"/>
                <w:lang w:eastAsia="en-AU"/>
              </w:rPr>
              <w:t>Total change</w:t>
            </w:r>
          </w:p>
        </w:tc>
        <w:tc>
          <w:tcPr>
            <w:tcW w:w="2560" w:type="dxa"/>
            <w:tcBorders>
              <w:top w:val="nil"/>
              <w:left w:val="nil"/>
              <w:bottom w:val="single" w:sz="4" w:space="0" w:color="ADD6EA"/>
              <w:right w:val="nil"/>
            </w:tcBorders>
            <w:shd w:val="clear" w:color="000000" w:fill="D6E7F0"/>
            <w:noWrap/>
            <w:vAlign w:val="center"/>
            <w:hideMark/>
          </w:tcPr>
          <w:p w14:paraId="64F0181A"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055E6">
              <w:rPr>
                <w:rFonts w:ascii="Open Sans Semibold" w:eastAsia="Times New Roman" w:hAnsi="Open Sans Semibold" w:cs="Open Sans Semibold"/>
                <w:color w:val="000000"/>
                <w:sz w:val="16"/>
                <w:szCs w:val="16"/>
                <w:lang w:eastAsia="en-AU"/>
              </w:rPr>
              <w:t>110</w:t>
            </w:r>
          </w:p>
        </w:tc>
        <w:tc>
          <w:tcPr>
            <w:tcW w:w="2560" w:type="dxa"/>
            <w:tcBorders>
              <w:top w:val="nil"/>
              <w:left w:val="nil"/>
              <w:bottom w:val="single" w:sz="4" w:space="0" w:color="ADD6EA"/>
              <w:right w:val="nil"/>
            </w:tcBorders>
            <w:shd w:val="clear" w:color="000000" w:fill="D6E7F0"/>
            <w:noWrap/>
            <w:vAlign w:val="center"/>
            <w:hideMark/>
          </w:tcPr>
          <w:p w14:paraId="69D99B3F" w14:textId="77777777" w:rsidR="003957CD" w:rsidRPr="005055E6"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5055E6">
              <w:rPr>
                <w:rFonts w:ascii="Open Sans Semibold" w:eastAsia="Times New Roman" w:hAnsi="Open Sans Semibold" w:cs="Open Sans Semibold"/>
                <w:color w:val="000000"/>
                <w:sz w:val="16"/>
                <w:szCs w:val="16"/>
                <w:lang w:eastAsia="en-AU"/>
              </w:rPr>
              <w:t>222</w:t>
            </w:r>
          </w:p>
        </w:tc>
      </w:tr>
    </w:tbl>
    <w:p w14:paraId="2F21A5B6" w14:textId="77777777" w:rsidR="003957CD" w:rsidRPr="00F47AF8" w:rsidRDefault="003957CD" w:rsidP="003957CD">
      <w:pPr>
        <w:tabs>
          <w:tab w:val="clear" w:pos="567"/>
        </w:tabs>
        <w:spacing w:before="0" w:line="240" w:lineRule="auto"/>
        <w:rPr>
          <w:rFonts w:ascii="Open Sans Light" w:eastAsia="Times New Roman" w:hAnsi="Open Sans Light" w:cs="Times New Roman"/>
          <w:szCs w:val="20"/>
        </w:rPr>
      </w:pPr>
      <w:r w:rsidRPr="00F47AF8">
        <w:rPr>
          <w:rFonts w:ascii="Open Sans Light" w:eastAsia="Times New Roman" w:hAnsi="Open Sans Light" w:cs="Times New Roman"/>
          <w:szCs w:val="20"/>
        </w:rPr>
        <w:br w:type="page"/>
      </w:r>
    </w:p>
    <w:p w14:paraId="38DEF95B" w14:textId="77777777" w:rsidR="003957CD" w:rsidRPr="00F47AF8" w:rsidRDefault="003957CD" w:rsidP="00371E5F">
      <w:pPr>
        <w:pStyle w:val="CGC2025Caption"/>
      </w:pPr>
      <w:r w:rsidRPr="00F47AF8">
        <w:lastRenderedPageBreak/>
        <w:t>Figure 3</w:t>
      </w:r>
      <w:r w:rsidRPr="00F47AF8">
        <w:noBreakHyphen/>
        <w:t>7</w:t>
      </w:r>
      <w:r w:rsidRPr="00F47AF8">
        <w:tab/>
        <w:t>ACT: main changes in assessed GST needs, 2026</w:t>
      </w:r>
      <w:r w:rsidRPr="00BA42D7">
        <w:t>–</w:t>
      </w:r>
      <w:r>
        <w:t>27 relativities</w:t>
      </w:r>
    </w:p>
    <w:tbl>
      <w:tblPr>
        <w:tblW w:w="9260" w:type="dxa"/>
        <w:tblLook w:val="04A0" w:firstRow="1" w:lastRow="0" w:firstColumn="1" w:lastColumn="0" w:noHBand="0" w:noVBand="1"/>
      </w:tblPr>
      <w:tblGrid>
        <w:gridCol w:w="2780"/>
        <w:gridCol w:w="720"/>
        <w:gridCol w:w="720"/>
        <w:gridCol w:w="5040"/>
      </w:tblGrid>
      <w:tr w:rsidR="003957CD" w:rsidRPr="00461CB4" w14:paraId="6BA472AD" w14:textId="77777777" w:rsidTr="00E51790">
        <w:trPr>
          <w:trHeight w:val="290"/>
        </w:trPr>
        <w:tc>
          <w:tcPr>
            <w:tcW w:w="9260" w:type="dxa"/>
            <w:gridSpan w:val="4"/>
            <w:tcBorders>
              <w:top w:val="nil"/>
              <w:left w:val="nil"/>
              <w:bottom w:val="nil"/>
              <w:right w:val="nil"/>
            </w:tcBorders>
            <w:shd w:val="clear" w:color="000000" w:fill="006991"/>
            <w:vAlign w:val="center"/>
            <w:hideMark/>
          </w:tcPr>
          <w:p w14:paraId="5D10E169"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461CB4">
              <w:rPr>
                <w:rFonts w:ascii="Open Sans Semibold" w:eastAsia="Times New Roman" w:hAnsi="Open Sans Semibold" w:cs="Open Sans Semibold"/>
                <w:color w:val="FFFFFF"/>
                <w:sz w:val="16"/>
                <w:szCs w:val="16"/>
                <w:lang w:eastAsia="en-AU"/>
              </w:rPr>
              <w:t>Revisions</w:t>
            </w:r>
          </w:p>
        </w:tc>
      </w:tr>
      <w:tr w:rsidR="003957CD" w:rsidRPr="00461CB4" w14:paraId="7E69B968" w14:textId="77777777" w:rsidTr="00E51790">
        <w:trPr>
          <w:trHeight w:val="290"/>
        </w:trPr>
        <w:tc>
          <w:tcPr>
            <w:tcW w:w="2780" w:type="dxa"/>
            <w:tcBorders>
              <w:top w:val="single" w:sz="4" w:space="0" w:color="ADD6EA"/>
              <w:left w:val="nil"/>
              <w:bottom w:val="nil"/>
              <w:right w:val="nil"/>
            </w:tcBorders>
            <w:shd w:val="clear" w:color="000000" w:fill="D6E7F0"/>
            <w:hideMark/>
          </w:tcPr>
          <w:p w14:paraId="1ED04884"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377AB88F" w14:textId="77777777" w:rsidR="003957CD" w:rsidRPr="00461CB4"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7A072029"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Explanation</w:t>
            </w:r>
          </w:p>
        </w:tc>
      </w:tr>
      <w:tr w:rsidR="003957CD" w:rsidRPr="00461CB4" w14:paraId="4DA02B64" w14:textId="77777777" w:rsidTr="00E51790">
        <w:trPr>
          <w:trHeight w:val="290"/>
        </w:trPr>
        <w:tc>
          <w:tcPr>
            <w:tcW w:w="2780" w:type="dxa"/>
            <w:tcBorders>
              <w:top w:val="single" w:sz="4" w:space="0" w:color="ADD6EA"/>
              <w:left w:val="nil"/>
              <w:bottom w:val="nil"/>
              <w:right w:val="nil"/>
            </w:tcBorders>
            <w:shd w:val="clear" w:color="000000" w:fill="B6D5E4"/>
            <w:hideMark/>
          </w:tcPr>
          <w:p w14:paraId="38FAB601"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05251B82" w14:textId="77777777" w:rsidR="003957CD" w:rsidRPr="00461CB4"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7B9D0737" w14:textId="77777777" w:rsidR="003957CD" w:rsidRPr="00461CB4"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522AC3A3"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 </w:t>
            </w:r>
          </w:p>
        </w:tc>
      </w:tr>
      <w:tr w:rsidR="003957CD" w:rsidRPr="00461CB4" w14:paraId="23489550" w14:textId="77777777" w:rsidTr="005F7F1E">
        <w:trPr>
          <w:trHeight w:val="1148"/>
        </w:trPr>
        <w:tc>
          <w:tcPr>
            <w:tcW w:w="2780" w:type="dxa"/>
            <w:tcBorders>
              <w:top w:val="single" w:sz="4" w:space="0" w:color="ADD6EA"/>
              <w:left w:val="nil"/>
              <w:bottom w:val="nil"/>
              <w:right w:val="nil"/>
            </w:tcBorders>
            <w:shd w:val="clear" w:color="000000" w:fill="FFFFFF"/>
            <w:hideMark/>
          </w:tcPr>
          <w:p w14:paraId="14AD79BE"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Net borrowing</w:t>
            </w:r>
          </w:p>
        </w:tc>
        <w:tc>
          <w:tcPr>
            <w:tcW w:w="720" w:type="dxa"/>
            <w:tcBorders>
              <w:top w:val="single" w:sz="4" w:space="0" w:color="ADD6EA"/>
              <w:left w:val="nil"/>
              <w:bottom w:val="nil"/>
              <w:right w:val="nil"/>
            </w:tcBorders>
            <w:shd w:val="clear" w:color="000000" w:fill="EBBFA0"/>
            <w:hideMark/>
          </w:tcPr>
          <w:p w14:paraId="5E241C67"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-30</w:t>
            </w:r>
          </w:p>
        </w:tc>
        <w:tc>
          <w:tcPr>
            <w:tcW w:w="720" w:type="dxa"/>
            <w:tcBorders>
              <w:top w:val="single" w:sz="4" w:space="0" w:color="ADD6EA"/>
              <w:left w:val="nil"/>
              <w:bottom w:val="nil"/>
              <w:right w:val="nil"/>
            </w:tcBorders>
            <w:shd w:val="clear" w:color="000000" w:fill="EBBFA0"/>
            <w:hideMark/>
          </w:tcPr>
          <w:p w14:paraId="2A6285F8"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-60</w:t>
            </w:r>
          </w:p>
        </w:tc>
        <w:tc>
          <w:tcPr>
            <w:tcW w:w="5040" w:type="dxa"/>
            <w:tcBorders>
              <w:top w:val="single" w:sz="4" w:space="0" w:color="ADD6EA"/>
              <w:left w:val="nil"/>
              <w:bottom w:val="nil"/>
              <w:right w:val="nil"/>
            </w:tcBorders>
            <w:shd w:val="clear" w:color="000000" w:fill="FFFFFF"/>
            <w:hideMark/>
          </w:tcPr>
          <w:p w14:paraId="20BA39D0" w14:textId="700CF3AC"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A downward revision to the size of states</w:t>
            </w:r>
            <w:r>
              <w:rPr>
                <w:rFonts w:ascii="Open Sans Light" w:eastAsia="Times New Roman" w:hAnsi="Open Sans Light" w:cs="Open Sans Light"/>
                <w:color w:val="000000"/>
                <w:sz w:val="16"/>
                <w:szCs w:val="16"/>
                <w:lang w:eastAsia="en-AU"/>
              </w:rPr>
              <w:t>’</w:t>
            </w:r>
            <w:r w:rsidRPr="00461CB4">
              <w:rPr>
                <w:rFonts w:ascii="Open Sans Light" w:eastAsia="Times New Roman" w:hAnsi="Open Sans Light" w:cs="Open Sans Light"/>
                <w:color w:val="000000"/>
                <w:sz w:val="16"/>
                <w:szCs w:val="16"/>
                <w:lang w:eastAsia="en-AU"/>
              </w:rPr>
              <w:t xml:space="preserve"> net financial liabilities </w:t>
            </w:r>
            <w:r w:rsidR="00AB547F">
              <w:rPr>
                <w:rFonts w:ascii="Open Sans Light" w:eastAsia="Times New Roman" w:hAnsi="Open Sans Light" w:cs="Open Sans Light"/>
                <w:color w:val="000000"/>
                <w:sz w:val="16"/>
                <w:szCs w:val="16"/>
                <w:lang w:eastAsia="en-AU"/>
              </w:rPr>
              <w:t xml:space="preserve">has </w:t>
            </w:r>
            <w:r w:rsidRPr="00461CB4">
              <w:rPr>
                <w:rFonts w:ascii="Open Sans Light" w:eastAsia="Times New Roman" w:hAnsi="Open Sans Light" w:cs="Open Sans Light"/>
                <w:color w:val="000000"/>
                <w:sz w:val="16"/>
                <w:szCs w:val="16"/>
                <w:lang w:eastAsia="en-AU"/>
              </w:rPr>
              <w:t>reduce</w:t>
            </w:r>
            <w:r w:rsidR="00AB547F">
              <w:rPr>
                <w:rFonts w:ascii="Open Sans Light" w:eastAsia="Times New Roman" w:hAnsi="Open Sans Light" w:cs="Open Sans Light"/>
                <w:color w:val="000000"/>
                <w:sz w:val="16"/>
                <w:szCs w:val="16"/>
                <w:lang w:eastAsia="en-AU"/>
              </w:rPr>
              <w:t>d</w:t>
            </w:r>
            <w:r w:rsidRPr="00461CB4">
              <w:rPr>
                <w:rFonts w:ascii="Open Sans Light" w:eastAsia="Times New Roman" w:hAnsi="Open Sans Light" w:cs="Open Sans Light"/>
                <w:color w:val="000000"/>
                <w:sz w:val="16"/>
                <w:szCs w:val="16"/>
                <w:lang w:eastAsia="en-AU"/>
              </w:rPr>
              <w:t xml:space="preserve"> assessed liabilities per person. The ACT</w:t>
            </w:r>
            <w:r>
              <w:rPr>
                <w:rFonts w:ascii="Open Sans Light" w:eastAsia="Times New Roman" w:hAnsi="Open Sans Light" w:cs="Open Sans Light"/>
                <w:color w:val="000000"/>
                <w:sz w:val="16"/>
                <w:szCs w:val="16"/>
                <w:lang w:eastAsia="en-AU"/>
              </w:rPr>
              <w:t>’</w:t>
            </w:r>
            <w:r w:rsidRPr="00461CB4">
              <w:rPr>
                <w:rFonts w:ascii="Open Sans Light" w:eastAsia="Times New Roman" w:hAnsi="Open Sans Light" w:cs="Open Sans Light"/>
                <w:color w:val="000000"/>
                <w:sz w:val="16"/>
                <w:szCs w:val="16"/>
                <w:lang w:eastAsia="en-AU"/>
              </w:rPr>
              <w:t xml:space="preserve">s population growth rate </w:t>
            </w:r>
            <w:r>
              <w:rPr>
                <w:rFonts w:ascii="Open Sans Light" w:eastAsia="Times New Roman" w:hAnsi="Open Sans Light" w:cs="Open Sans Light"/>
                <w:color w:val="000000"/>
                <w:sz w:val="16"/>
                <w:szCs w:val="16"/>
                <w:lang w:eastAsia="en-AU"/>
              </w:rPr>
              <w:t>h</w:t>
            </w:r>
            <w:r w:rsidRPr="00461CB4">
              <w:rPr>
                <w:rFonts w:ascii="Open Sans Light" w:eastAsia="Times New Roman" w:hAnsi="Open Sans Light" w:cs="Open Sans Light"/>
                <w:color w:val="000000"/>
                <w:sz w:val="16"/>
                <w:szCs w:val="16"/>
                <w:lang w:eastAsia="en-AU"/>
              </w:rPr>
              <w:t xml:space="preserve">as </w:t>
            </w:r>
            <w:r>
              <w:rPr>
                <w:rFonts w:ascii="Open Sans Light" w:eastAsia="Times New Roman" w:hAnsi="Open Sans Light" w:cs="Open Sans Light"/>
                <w:color w:val="000000"/>
                <w:sz w:val="16"/>
                <w:szCs w:val="16"/>
                <w:lang w:eastAsia="en-AU"/>
              </w:rPr>
              <w:t>been</w:t>
            </w:r>
            <w:r w:rsidRPr="00461CB4">
              <w:rPr>
                <w:rFonts w:ascii="Open Sans Light" w:eastAsia="Times New Roman" w:hAnsi="Open Sans Light" w:cs="Open Sans Light"/>
                <w:color w:val="000000"/>
                <w:sz w:val="16"/>
                <w:szCs w:val="16"/>
                <w:lang w:eastAsia="en-AU"/>
              </w:rPr>
              <w:t xml:space="preserve"> revised up towards the national average, further reducing assessed liabilities per person. These both reduce the ACT’s assessed GST needs.</w:t>
            </w:r>
          </w:p>
        </w:tc>
      </w:tr>
      <w:tr w:rsidR="003957CD" w:rsidRPr="00461CB4" w14:paraId="4BDACBAC" w14:textId="77777777" w:rsidTr="005F7F1E">
        <w:trPr>
          <w:trHeight w:val="1372"/>
        </w:trPr>
        <w:tc>
          <w:tcPr>
            <w:tcW w:w="2780" w:type="dxa"/>
            <w:tcBorders>
              <w:top w:val="single" w:sz="4" w:space="0" w:color="ADD6EA"/>
              <w:left w:val="nil"/>
              <w:bottom w:val="nil"/>
              <w:right w:val="nil"/>
            </w:tcBorders>
            <w:shd w:val="clear" w:color="000000" w:fill="FFFFFF"/>
            <w:hideMark/>
          </w:tcPr>
          <w:p w14:paraId="3294F31B"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Natural disaster relief</w:t>
            </w:r>
          </w:p>
        </w:tc>
        <w:tc>
          <w:tcPr>
            <w:tcW w:w="720" w:type="dxa"/>
            <w:tcBorders>
              <w:top w:val="single" w:sz="4" w:space="0" w:color="ADD6EA"/>
              <w:left w:val="nil"/>
              <w:bottom w:val="nil"/>
              <w:right w:val="nil"/>
            </w:tcBorders>
            <w:shd w:val="clear" w:color="000000" w:fill="ADD6EA"/>
            <w:hideMark/>
          </w:tcPr>
          <w:p w14:paraId="173F32DF"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28</w:t>
            </w:r>
          </w:p>
        </w:tc>
        <w:tc>
          <w:tcPr>
            <w:tcW w:w="720" w:type="dxa"/>
            <w:tcBorders>
              <w:top w:val="single" w:sz="4" w:space="0" w:color="ADD6EA"/>
              <w:left w:val="nil"/>
              <w:bottom w:val="nil"/>
              <w:right w:val="nil"/>
            </w:tcBorders>
            <w:shd w:val="clear" w:color="000000" w:fill="ADD6EA"/>
            <w:hideMark/>
          </w:tcPr>
          <w:p w14:paraId="6E8F433D"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57</w:t>
            </w:r>
          </w:p>
        </w:tc>
        <w:tc>
          <w:tcPr>
            <w:tcW w:w="5040" w:type="dxa"/>
            <w:tcBorders>
              <w:top w:val="single" w:sz="4" w:space="0" w:color="ADD6EA"/>
              <w:left w:val="nil"/>
              <w:bottom w:val="nil"/>
              <w:right w:val="nil"/>
            </w:tcBorders>
            <w:shd w:val="clear" w:color="000000" w:fill="FFFFFF"/>
            <w:hideMark/>
          </w:tcPr>
          <w:p w14:paraId="09137E23" w14:textId="5384795B"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 xml:space="preserve">A significant downward revision </w:t>
            </w:r>
            <w:r w:rsidR="00017987">
              <w:rPr>
                <w:rFonts w:ascii="Open Sans Light" w:eastAsia="Times New Roman" w:hAnsi="Open Sans Light" w:cs="Open Sans Light"/>
                <w:color w:val="000000"/>
                <w:sz w:val="16"/>
                <w:szCs w:val="16"/>
                <w:lang w:eastAsia="en-AU"/>
              </w:rPr>
              <w:t>by</w:t>
            </w:r>
            <w:r w:rsidR="00017987" w:rsidRPr="00461CB4">
              <w:rPr>
                <w:rFonts w:ascii="Open Sans Light" w:eastAsia="Times New Roman" w:hAnsi="Open Sans Light" w:cs="Open Sans Light"/>
                <w:color w:val="000000"/>
                <w:sz w:val="16"/>
                <w:szCs w:val="16"/>
                <w:lang w:eastAsia="en-AU"/>
              </w:rPr>
              <w:t xml:space="preserve"> </w:t>
            </w:r>
            <w:r w:rsidRPr="00461CB4">
              <w:rPr>
                <w:rFonts w:ascii="Open Sans Light" w:eastAsia="Times New Roman" w:hAnsi="Open Sans Light" w:cs="Open Sans Light"/>
                <w:color w:val="000000"/>
                <w:sz w:val="16"/>
                <w:szCs w:val="16"/>
                <w:lang w:eastAsia="en-AU"/>
              </w:rPr>
              <w:t>New South Wales</w:t>
            </w:r>
            <w:r w:rsidR="00017987">
              <w:rPr>
                <w:rFonts w:ascii="Open Sans Light" w:eastAsia="Times New Roman" w:hAnsi="Open Sans Light" w:cs="Open Sans Light"/>
                <w:color w:val="000000"/>
                <w:sz w:val="16"/>
                <w:szCs w:val="16"/>
                <w:lang w:eastAsia="en-AU"/>
              </w:rPr>
              <w:t xml:space="preserve"> to its</w:t>
            </w:r>
            <w:r w:rsidRPr="00461CB4">
              <w:rPr>
                <w:rFonts w:ascii="Open Sans Light" w:eastAsia="Times New Roman" w:hAnsi="Open Sans Light" w:cs="Open Sans Light"/>
                <w:color w:val="000000"/>
                <w:sz w:val="16"/>
                <w:szCs w:val="16"/>
                <w:lang w:eastAsia="en-AU"/>
              </w:rPr>
              <w:t xml:space="preserve"> natural disaster relief expenses in 2022–23 decrease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its assessed GST needs and increase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assessed GST needs </w:t>
            </w:r>
            <w:r w:rsidR="00B63491">
              <w:rPr>
                <w:rFonts w:ascii="Open Sans Light" w:eastAsia="Times New Roman" w:hAnsi="Open Sans Light" w:cs="Open Sans Light"/>
                <w:color w:val="000000"/>
                <w:sz w:val="16"/>
                <w:szCs w:val="16"/>
                <w:lang w:eastAsia="en-AU"/>
              </w:rPr>
              <w:t>of</w:t>
            </w:r>
            <w:r w:rsidR="00B63491" w:rsidRPr="00461CB4">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461CB4">
              <w:rPr>
                <w:rFonts w:ascii="Open Sans Light" w:eastAsia="Times New Roman" w:hAnsi="Open Sans Light" w:cs="Open Sans Light"/>
                <w:color w:val="000000"/>
                <w:sz w:val="16"/>
                <w:szCs w:val="16"/>
                <w:lang w:eastAsia="en-AU"/>
              </w:rPr>
              <w:t xml:space="preserve">other states, including the ACT. </w:t>
            </w:r>
            <w:r w:rsidR="00013CB9">
              <w:rPr>
                <w:rFonts w:ascii="Open Sans Light" w:eastAsia="Times New Roman" w:hAnsi="Open Sans Light" w:cs="Open Sans Light"/>
                <w:color w:val="000000"/>
                <w:sz w:val="16"/>
                <w:szCs w:val="16"/>
                <w:lang w:eastAsia="en-AU"/>
              </w:rPr>
              <w:t>Also, t</w:t>
            </w:r>
            <w:r w:rsidRPr="00461CB4">
              <w:rPr>
                <w:rFonts w:ascii="Open Sans Light" w:eastAsia="Times New Roman" w:hAnsi="Open Sans Light" w:cs="Open Sans Light"/>
                <w:color w:val="000000"/>
                <w:sz w:val="16"/>
                <w:szCs w:val="16"/>
                <w:lang w:eastAsia="en-AU"/>
              </w:rPr>
              <w:t xml:space="preserve">he Commission </w:t>
            </w:r>
            <w:r w:rsidR="003A64B8" w:rsidRPr="00DF2029">
              <w:rPr>
                <w:rFonts w:ascii="Open Sans Light" w:eastAsia="Times New Roman" w:hAnsi="Open Sans Light" w:cs="Open Sans Light"/>
                <w:color w:val="000000"/>
                <w:sz w:val="16"/>
                <w:szCs w:val="16"/>
                <w:lang w:eastAsia="en-AU"/>
              </w:rPr>
              <w:t>makes an adjustment to correct for the use of unrevised data in previous updates</w:t>
            </w:r>
            <w:r w:rsidR="003A64B8">
              <w:rPr>
                <w:rFonts w:ascii="Open Sans Light" w:eastAsia="Times New Roman" w:hAnsi="Open Sans Light" w:cs="Open Sans Light"/>
                <w:color w:val="000000"/>
                <w:sz w:val="16"/>
                <w:szCs w:val="16"/>
                <w:lang w:eastAsia="en-AU"/>
              </w:rPr>
              <w:t xml:space="preserve"> </w:t>
            </w:r>
            <w:r w:rsidRPr="00461CB4">
              <w:rPr>
                <w:rFonts w:ascii="Open Sans Light" w:eastAsia="Times New Roman" w:hAnsi="Open Sans Light" w:cs="Open Sans Light"/>
                <w:color w:val="000000"/>
                <w:sz w:val="16"/>
                <w:szCs w:val="16"/>
                <w:lang w:eastAsia="en-AU"/>
              </w:rPr>
              <w:t>and this further increase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the ACT’s assessed GST needs.</w:t>
            </w:r>
          </w:p>
        </w:tc>
      </w:tr>
      <w:tr w:rsidR="003957CD" w:rsidRPr="00461CB4" w14:paraId="60466A0A" w14:textId="77777777" w:rsidTr="005F7F1E">
        <w:trPr>
          <w:trHeight w:val="1134"/>
        </w:trPr>
        <w:tc>
          <w:tcPr>
            <w:tcW w:w="2780" w:type="dxa"/>
            <w:tcBorders>
              <w:top w:val="single" w:sz="4" w:space="0" w:color="ADD6EA"/>
              <w:left w:val="nil"/>
              <w:bottom w:val="nil"/>
              <w:right w:val="nil"/>
            </w:tcBorders>
            <w:shd w:val="clear" w:color="000000" w:fill="FFFFFF"/>
            <w:hideMark/>
          </w:tcPr>
          <w:p w14:paraId="23C45FDA"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Population dispersion</w:t>
            </w:r>
          </w:p>
        </w:tc>
        <w:tc>
          <w:tcPr>
            <w:tcW w:w="720" w:type="dxa"/>
            <w:tcBorders>
              <w:top w:val="single" w:sz="4" w:space="0" w:color="ADD6EA"/>
              <w:left w:val="nil"/>
              <w:bottom w:val="nil"/>
              <w:right w:val="nil"/>
            </w:tcBorders>
            <w:shd w:val="clear" w:color="000000" w:fill="ADD6EA"/>
            <w:hideMark/>
          </w:tcPr>
          <w:p w14:paraId="3F9DE3EB"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28</w:t>
            </w:r>
          </w:p>
        </w:tc>
        <w:tc>
          <w:tcPr>
            <w:tcW w:w="720" w:type="dxa"/>
            <w:tcBorders>
              <w:top w:val="single" w:sz="4" w:space="0" w:color="ADD6EA"/>
              <w:left w:val="nil"/>
              <w:bottom w:val="nil"/>
              <w:right w:val="nil"/>
            </w:tcBorders>
            <w:shd w:val="clear" w:color="000000" w:fill="ADD6EA"/>
            <w:hideMark/>
          </w:tcPr>
          <w:p w14:paraId="273D9147"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57</w:t>
            </w:r>
          </w:p>
        </w:tc>
        <w:tc>
          <w:tcPr>
            <w:tcW w:w="5040" w:type="dxa"/>
            <w:tcBorders>
              <w:top w:val="single" w:sz="4" w:space="0" w:color="ADD6EA"/>
              <w:left w:val="nil"/>
              <w:bottom w:val="nil"/>
              <w:right w:val="nil"/>
            </w:tcBorders>
            <w:shd w:val="clear" w:color="000000" w:fill="FFFFFF"/>
            <w:hideMark/>
          </w:tcPr>
          <w:p w14:paraId="7FFB21A3" w14:textId="2121A6A6"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Previous data had misclassified some major city hospital activity to other remoteness areas. This revision increase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the costs of providing health services in major cities and decrease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costs for other areas. This increase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assessed GST needs </w:t>
            </w:r>
            <w:r w:rsidR="00B63491">
              <w:rPr>
                <w:rFonts w:ascii="Open Sans Light" w:eastAsia="Times New Roman" w:hAnsi="Open Sans Light" w:cs="Open Sans Light"/>
                <w:color w:val="000000"/>
                <w:sz w:val="16"/>
                <w:szCs w:val="16"/>
                <w:lang w:eastAsia="en-AU"/>
              </w:rPr>
              <w:t>of</w:t>
            </w:r>
            <w:r w:rsidR="00B63491" w:rsidRPr="00461CB4">
              <w:rPr>
                <w:rFonts w:ascii="Open Sans Light" w:eastAsia="Times New Roman" w:hAnsi="Open Sans Light" w:cs="Open Sans Light"/>
                <w:color w:val="000000"/>
                <w:sz w:val="16"/>
                <w:szCs w:val="16"/>
                <w:lang w:eastAsia="en-AU"/>
              </w:rPr>
              <w:t xml:space="preserve"> </w:t>
            </w:r>
            <w:r w:rsidRPr="00461CB4">
              <w:rPr>
                <w:rFonts w:ascii="Open Sans Light" w:eastAsia="Times New Roman" w:hAnsi="Open Sans Light" w:cs="Open Sans Light"/>
                <w:color w:val="000000"/>
                <w:sz w:val="16"/>
                <w:szCs w:val="16"/>
                <w:lang w:eastAsia="en-AU"/>
              </w:rPr>
              <w:t>states with less remote areas, including the ACT.</w:t>
            </w:r>
          </w:p>
        </w:tc>
      </w:tr>
      <w:tr w:rsidR="003957CD" w:rsidRPr="00461CB4" w14:paraId="3F29C82D" w14:textId="77777777" w:rsidTr="00E51790">
        <w:trPr>
          <w:trHeight w:val="290"/>
        </w:trPr>
        <w:tc>
          <w:tcPr>
            <w:tcW w:w="9260" w:type="dxa"/>
            <w:gridSpan w:val="4"/>
            <w:tcBorders>
              <w:top w:val="nil"/>
              <w:left w:val="nil"/>
              <w:bottom w:val="nil"/>
              <w:right w:val="nil"/>
            </w:tcBorders>
            <w:shd w:val="clear" w:color="000000" w:fill="006991"/>
            <w:vAlign w:val="center"/>
            <w:hideMark/>
          </w:tcPr>
          <w:p w14:paraId="085EFD58"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461CB4">
              <w:rPr>
                <w:rFonts w:ascii="Open Sans Semibold" w:eastAsia="Times New Roman" w:hAnsi="Open Sans Semibold" w:cs="Open Sans Semibold"/>
                <w:color w:val="FFFFFF"/>
                <w:sz w:val="16"/>
                <w:szCs w:val="16"/>
                <w:lang w:eastAsia="en-AU"/>
              </w:rPr>
              <w:t xml:space="preserve">Changes in circumstances </w:t>
            </w:r>
          </w:p>
        </w:tc>
      </w:tr>
      <w:tr w:rsidR="003957CD" w:rsidRPr="00461CB4" w14:paraId="002621D1" w14:textId="77777777" w:rsidTr="00E51790">
        <w:trPr>
          <w:trHeight w:val="290"/>
        </w:trPr>
        <w:tc>
          <w:tcPr>
            <w:tcW w:w="2780" w:type="dxa"/>
            <w:tcBorders>
              <w:top w:val="single" w:sz="4" w:space="0" w:color="ADD6EA"/>
              <w:left w:val="nil"/>
              <w:bottom w:val="nil"/>
              <w:right w:val="nil"/>
            </w:tcBorders>
            <w:shd w:val="clear" w:color="000000" w:fill="D6E7F0"/>
            <w:hideMark/>
          </w:tcPr>
          <w:p w14:paraId="40F12A75"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7EF6A89C" w14:textId="77777777" w:rsidR="003957CD" w:rsidRPr="00461CB4"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57AF6E45"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Explanation</w:t>
            </w:r>
          </w:p>
        </w:tc>
      </w:tr>
      <w:tr w:rsidR="003957CD" w:rsidRPr="00461CB4" w14:paraId="5895FF27" w14:textId="77777777" w:rsidTr="00E51790">
        <w:trPr>
          <w:trHeight w:val="290"/>
        </w:trPr>
        <w:tc>
          <w:tcPr>
            <w:tcW w:w="2780" w:type="dxa"/>
            <w:tcBorders>
              <w:top w:val="single" w:sz="4" w:space="0" w:color="ADD6EA"/>
              <w:left w:val="nil"/>
              <w:bottom w:val="nil"/>
              <w:right w:val="nil"/>
            </w:tcBorders>
            <w:shd w:val="clear" w:color="000000" w:fill="B6D5E4"/>
            <w:hideMark/>
          </w:tcPr>
          <w:p w14:paraId="51EBECBF"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62E64077" w14:textId="77777777" w:rsidR="003957CD" w:rsidRPr="00461CB4"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3643FEBB" w14:textId="77777777" w:rsidR="003957CD" w:rsidRPr="00461CB4"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69901C2E" w14:textId="77777777" w:rsidR="003957CD" w:rsidRPr="00461CB4"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461CB4">
              <w:rPr>
                <w:rFonts w:ascii="Open Sans Semibold" w:eastAsia="Times New Roman" w:hAnsi="Open Sans Semibold" w:cs="Open Sans Semibold"/>
                <w:color w:val="000000"/>
                <w:sz w:val="16"/>
                <w:szCs w:val="16"/>
                <w:lang w:eastAsia="en-AU"/>
              </w:rPr>
              <w:t> </w:t>
            </w:r>
          </w:p>
        </w:tc>
      </w:tr>
      <w:tr w:rsidR="003957CD" w:rsidRPr="00461CB4" w14:paraId="771584CF" w14:textId="77777777" w:rsidTr="005F7F1E">
        <w:trPr>
          <w:trHeight w:val="1134"/>
        </w:trPr>
        <w:tc>
          <w:tcPr>
            <w:tcW w:w="2780" w:type="dxa"/>
            <w:tcBorders>
              <w:top w:val="single" w:sz="4" w:space="0" w:color="ADD6EA"/>
              <w:left w:val="nil"/>
              <w:bottom w:val="nil"/>
              <w:right w:val="nil"/>
            </w:tcBorders>
            <w:shd w:val="clear" w:color="000000" w:fill="FFFFFF"/>
            <w:hideMark/>
          </w:tcPr>
          <w:p w14:paraId="0D6A7155"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Mining production</w:t>
            </w:r>
          </w:p>
        </w:tc>
        <w:tc>
          <w:tcPr>
            <w:tcW w:w="720" w:type="dxa"/>
            <w:tcBorders>
              <w:top w:val="single" w:sz="4" w:space="0" w:color="ADD6EA"/>
              <w:left w:val="nil"/>
              <w:bottom w:val="nil"/>
              <w:right w:val="nil"/>
            </w:tcBorders>
            <w:shd w:val="clear" w:color="000000" w:fill="EBBFA0"/>
            <w:hideMark/>
          </w:tcPr>
          <w:p w14:paraId="478A8E83"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-64</w:t>
            </w:r>
          </w:p>
        </w:tc>
        <w:tc>
          <w:tcPr>
            <w:tcW w:w="720" w:type="dxa"/>
            <w:tcBorders>
              <w:top w:val="single" w:sz="4" w:space="0" w:color="ADD6EA"/>
              <w:left w:val="nil"/>
              <w:bottom w:val="nil"/>
              <w:right w:val="nil"/>
            </w:tcBorders>
            <w:shd w:val="clear" w:color="000000" w:fill="EBBFA0"/>
            <w:hideMark/>
          </w:tcPr>
          <w:p w14:paraId="298A201E"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-129</w:t>
            </w:r>
          </w:p>
        </w:tc>
        <w:tc>
          <w:tcPr>
            <w:tcW w:w="5040" w:type="dxa"/>
            <w:tcBorders>
              <w:top w:val="single" w:sz="4" w:space="0" w:color="ADD6EA"/>
              <w:left w:val="nil"/>
              <w:bottom w:val="nil"/>
              <w:right w:val="nil"/>
            </w:tcBorders>
            <w:shd w:val="clear" w:color="000000" w:fill="FFFFFF"/>
            <w:hideMark/>
          </w:tcPr>
          <w:p w14:paraId="32FEE149" w14:textId="17C4F4B3"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Coal and iron ore prices fell between 2021–22 and 2024–25. This decrease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Queensland’s and Western Australia’s revenue raising capacities and increase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their </w:t>
            </w:r>
            <w:r w:rsidRPr="00461CB4">
              <w:rPr>
                <w:rFonts w:ascii="Open Sans Light" w:eastAsia="Times New Roman" w:hAnsi="Open Sans Light" w:cs="Open Sans Light"/>
                <w:color w:val="000000"/>
                <w:sz w:val="16"/>
                <w:szCs w:val="16"/>
                <w:lang w:eastAsia="en-AU"/>
              </w:rPr>
              <w:t xml:space="preserve">assessed GST needs. </w:t>
            </w:r>
            <w:r>
              <w:rPr>
                <w:rFonts w:ascii="Open Sans Light" w:eastAsia="Times New Roman" w:hAnsi="Open Sans Light" w:cs="Open Sans Light"/>
                <w:color w:val="000000"/>
                <w:sz w:val="16"/>
                <w:szCs w:val="16"/>
                <w:lang w:eastAsia="en-AU"/>
              </w:rPr>
              <w:t xml:space="preserve">Consequently, </w:t>
            </w:r>
            <w:proofErr w:type="gramStart"/>
            <w:r>
              <w:rPr>
                <w:rFonts w:ascii="Open Sans Light" w:eastAsia="Times New Roman" w:hAnsi="Open Sans Light" w:cs="Open Sans Light"/>
                <w:color w:val="000000"/>
                <w:sz w:val="16"/>
                <w:szCs w:val="16"/>
                <w:lang w:eastAsia="en-AU"/>
              </w:rPr>
              <w:t>t</w:t>
            </w:r>
            <w:r w:rsidRPr="00461CB4">
              <w:rPr>
                <w:rFonts w:ascii="Open Sans Light" w:eastAsia="Times New Roman" w:hAnsi="Open Sans Light" w:cs="Open Sans Light"/>
                <w:color w:val="000000"/>
                <w:sz w:val="16"/>
                <w:szCs w:val="16"/>
                <w:lang w:eastAsia="en-AU"/>
              </w:rPr>
              <w:t>his decrease</w:t>
            </w:r>
            <w:r>
              <w:rPr>
                <w:rFonts w:ascii="Open Sans Light" w:eastAsia="Times New Roman" w:hAnsi="Open Sans Light" w:cs="Open Sans Light"/>
                <w:color w:val="000000"/>
                <w:sz w:val="16"/>
                <w:szCs w:val="16"/>
                <w:lang w:eastAsia="en-AU"/>
              </w:rPr>
              <w:t>s</w:t>
            </w:r>
            <w:proofErr w:type="gramEnd"/>
            <w:r>
              <w:rPr>
                <w:rFonts w:ascii="Open Sans Light" w:eastAsia="Times New Roman" w:hAnsi="Open Sans Light" w:cs="Open Sans Light"/>
                <w:color w:val="000000"/>
                <w:sz w:val="16"/>
                <w:szCs w:val="16"/>
                <w:lang w:eastAsia="en-AU"/>
              </w:rPr>
              <w:t xml:space="preserve"> </w:t>
            </w:r>
            <w:r w:rsidRPr="00461CB4">
              <w:rPr>
                <w:rFonts w:ascii="Open Sans Light" w:eastAsia="Times New Roman" w:hAnsi="Open Sans Light" w:cs="Open Sans Light"/>
                <w:color w:val="000000"/>
                <w:sz w:val="16"/>
                <w:szCs w:val="16"/>
                <w:lang w:eastAsia="en-AU"/>
              </w:rPr>
              <w:t xml:space="preserve">assessed GST needs </w:t>
            </w:r>
            <w:r w:rsidR="00B63491">
              <w:rPr>
                <w:rFonts w:ascii="Open Sans Light" w:eastAsia="Times New Roman" w:hAnsi="Open Sans Light" w:cs="Open Sans Light"/>
                <w:color w:val="000000"/>
                <w:sz w:val="16"/>
                <w:szCs w:val="16"/>
                <w:lang w:eastAsia="en-AU"/>
              </w:rPr>
              <w:t>of</w:t>
            </w:r>
            <w:r w:rsidR="00B63491" w:rsidRPr="00461CB4">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461CB4">
              <w:rPr>
                <w:rFonts w:ascii="Open Sans Light" w:eastAsia="Times New Roman" w:hAnsi="Open Sans Light" w:cs="Open Sans Light"/>
                <w:color w:val="000000"/>
                <w:sz w:val="16"/>
                <w:szCs w:val="16"/>
                <w:lang w:eastAsia="en-AU"/>
              </w:rPr>
              <w:t>other states, including the ACT.</w:t>
            </w:r>
          </w:p>
        </w:tc>
      </w:tr>
      <w:tr w:rsidR="003957CD" w:rsidRPr="00461CB4" w14:paraId="2AA4F26F" w14:textId="77777777" w:rsidTr="00E51790">
        <w:trPr>
          <w:trHeight w:val="720"/>
        </w:trPr>
        <w:tc>
          <w:tcPr>
            <w:tcW w:w="2780" w:type="dxa"/>
            <w:tcBorders>
              <w:top w:val="single" w:sz="4" w:space="0" w:color="ADD6EA"/>
              <w:left w:val="nil"/>
              <w:bottom w:val="nil"/>
              <w:right w:val="nil"/>
            </w:tcBorders>
            <w:shd w:val="clear" w:color="000000" w:fill="FFFFFF"/>
            <w:hideMark/>
          </w:tcPr>
          <w:p w14:paraId="0F94EA7E"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Property sales</w:t>
            </w:r>
          </w:p>
        </w:tc>
        <w:tc>
          <w:tcPr>
            <w:tcW w:w="720" w:type="dxa"/>
            <w:tcBorders>
              <w:top w:val="single" w:sz="4" w:space="0" w:color="ADD6EA"/>
              <w:left w:val="nil"/>
              <w:bottom w:val="nil"/>
              <w:right w:val="nil"/>
            </w:tcBorders>
            <w:shd w:val="clear" w:color="000000" w:fill="ADD6EA"/>
            <w:hideMark/>
          </w:tcPr>
          <w:p w14:paraId="5EF4AFD3"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46</w:t>
            </w:r>
          </w:p>
        </w:tc>
        <w:tc>
          <w:tcPr>
            <w:tcW w:w="720" w:type="dxa"/>
            <w:tcBorders>
              <w:top w:val="single" w:sz="4" w:space="0" w:color="ADD6EA"/>
              <w:left w:val="nil"/>
              <w:bottom w:val="nil"/>
              <w:right w:val="nil"/>
            </w:tcBorders>
            <w:shd w:val="clear" w:color="000000" w:fill="ADD6EA"/>
            <w:hideMark/>
          </w:tcPr>
          <w:p w14:paraId="6C0A1980"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93</w:t>
            </w:r>
          </w:p>
        </w:tc>
        <w:tc>
          <w:tcPr>
            <w:tcW w:w="5040" w:type="dxa"/>
            <w:tcBorders>
              <w:top w:val="single" w:sz="4" w:space="0" w:color="ADD6EA"/>
              <w:left w:val="nil"/>
              <w:bottom w:val="nil"/>
              <w:right w:val="nil"/>
            </w:tcBorders>
            <w:shd w:val="clear" w:color="000000" w:fill="FFFFFF"/>
            <w:hideMark/>
          </w:tcPr>
          <w:p w14:paraId="5A813A43" w14:textId="4A2CF5F8"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A larger than average fall in the value of property transfer</w:t>
            </w:r>
            <w:r w:rsidR="002615DC">
              <w:rPr>
                <w:rFonts w:ascii="Open Sans Light" w:eastAsia="Times New Roman" w:hAnsi="Open Sans Light" w:cs="Open Sans Light"/>
                <w:color w:val="000000"/>
                <w:sz w:val="16"/>
                <w:szCs w:val="16"/>
                <w:lang w:eastAsia="en-AU"/>
              </w:rPr>
              <w:t>red</w:t>
            </w:r>
            <w:r w:rsidRPr="00461CB4">
              <w:rPr>
                <w:rFonts w:ascii="Open Sans Light" w:eastAsia="Times New Roman" w:hAnsi="Open Sans Light" w:cs="Open Sans Light"/>
                <w:color w:val="000000"/>
                <w:sz w:val="16"/>
                <w:szCs w:val="16"/>
                <w:lang w:eastAsia="en-AU"/>
              </w:rPr>
              <w:t xml:space="preserve"> in 2024–25 (from 2021–22) reduce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the ACT’s relative revenue raising capacity and increase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its assessed GST needs.</w:t>
            </w:r>
          </w:p>
        </w:tc>
      </w:tr>
      <w:tr w:rsidR="003957CD" w:rsidRPr="00461CB4" w14:paraId="5A289458" w14:textId="77777777" w:rsidTr="00E51790">
        <w:trPr>
          <w:trHeight w:val="720"/>
        </w:trPr>
        <w:tc>
          <w:tcPr>
            <w:tcW w:w="2780" w:type="dxa"/>
            <w:tcBorders>
              <w:top w:val="single" w:sz="4" w:space="0" w:color="ADD6EA"/>
              <w:left w:val="nil"/>
              <w:bottom w:val="nil"/>
              <w:right w:val="nil"/>
            </w:tcBorders>
            <w:shd w:val="clear" w:color="000000" w:fill="FFFFFF"/>
            <w:hideMark/>
          </w:tcPr>
          <w:p w14:paraId="14F55ADA"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Net borrowing</w:t>
            </w:r>
          </w:p>
        </w:tc>
        <w:tc>
          <w:tcPr>
            <w:tcW w:w="720" w:type="dxa"/>
            <w:tcBorders>
              <w:top w:val="single" w:sz="4" w:space="0" w:color="ADD6EA"/>
              <w:left w:val="nil"/>
              <w:bottom w:val="nil"/>
              <w:right w:val="nil"/>
            </w:tcBorders>
            <w:shd w:val="clear" w:color="000000" w:fill="ADD6EA"/>
            <w:hideMark/>
          </w:tcPr>
          <w:p w14:paraId="23AB1E76"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25</w:t>
            </w:r>
          </w:p>
        </w:tc>
        <w:tc>
          <w:tcPr>
            <w:tcW w:w="720" w:type="dxa"/>
            <w:tcBorders>
              <w:top w:val="single" w:sz="4" w:space="0" w:color="ADD6EA"/>
              <w:left w:val="nil"/>
              <w:bottom w:val="nil"/>
              <w:right w:val="nil"/>
            </w:tcBorders>
            <w:shd w:val="clear" w:color="000000" w:fill="ADD6EA"/>
            <w:hideMark/>
          </w:tcPr>
          <w:p w14:paraId="76BC505B"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50</w:t>
            </w:r>
          </w:p>
        </w:tc>
        <w:tc>
          <w:tcPr>
            <w:tcW w:w="5040" w:type="dxa"/>
            <w:tcBorders>
              <w:top w:val="single" w:sz="4" w:space="0" w:color="ADD6EA"/>
              <w:left w:val="nil"/>
              <w:bottom w:val="nil"/>
              <w:right w:val="nil"/>
            </w:tcBorders>
            <w:shd w:val="clear" w:color="000000" w:fill="FFFFFF"/>
            <w:hideMark/>
          </w:tcPr>
          <w:p w14:paraId="3163BBCE"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The ACT had a smaller share of population growth in 2024–25 than in 2021–22. This decrease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its ability to service assessed liabilities and increase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its assessed GST needs.</w:t>
            </w:r>
          </w:p>
        </w:tc>
      </w:tr>
      <w:tr w:rsidR="003957CD" w:rsidRPr="00461CB4" w14:paraId="1DAE8E0C" w14:textId="77777777" w:rsidTr="00E51790">
        <w:trPr>
          <w:trHeight w:val="720"/>
        </w:trPr>
        <w:tc>
          <w:tcPr>
            <w:tcW w:w="2780" w:type="dxa"/>
            <w:tcBorders>
              <w:top w:val="single" w:sz="4" w:space="0" w:color="ADD6EA"/>
              <w:left w:val="nil"/>
              <w:bottom w:val="single" w:sz="4" w:space="0" w:color="ADD6EA"/>
              <w:right w:val="nil"/>
            </w:tcBorders>
            <w:shd w:val="clear" w:color="000000" w:fill="FFFFFF"/>
            <w:hideMark/>
          </w:tcPr>
          <w:p w14:paraId="61CFCAE2"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Taxable land values</w:t>
            </w:r>
          </w:p>
        </w:tc>
        <w:tc>
          <w:tcPr>
            <w:tcW w:w="720" w:type="dxa"/>
            <w:tcBorders>
              <w:top w:val="single" w:sz="4" w:space="0" w:color="ADD6EA"/>
              <w:left w:val="nil"/>
              <w:bottom w:val="single" w:sz="4" w:space="0" w:color="ADD6EA"/>
              <w:right w:val="nil"/>
            </w:tcBorders>
            <w:shd w:val="clear" w:color="000000" w:fill="ADD6EA"/>
            <w:hideMark/>
          </w:tcPr>
          <w:p w14:paraId="7BA734E9"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22</w:t>
            </w:r>
          </w:p>
        </w:tc>
        <w:tc>
          <w:tcPr>
            <w:tcW w:w="720" w:type="dxa"/>
            <w:tcBorders>
              <w:top w:val="single" w:sz="4" w:space="0" w:color="ADD6EA"/>
              <w:left w:val="nil"/>
              <w:bottom w:val="single" w:sz="4" w:space="0" w:color="ADD6EA"/>
              <w:right w:val="nil"/>
            </w:tcBorders>
            <w:shd w:val="clear" w:color="000000" w:fill="ADD6EA"/>
            <w:hideMark/>
          </w:tcPr>
          <w:p w14:paraId="58A5D5AA" w14:textId="77777777" w:rsidR="003957CD" w:rsidRPr="00461CB4"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44</w:t>
            </w:r>
          </w:p>
        </w:tc>
        <w:tc>
          <w:tcPr>
            <w:tcW w:w="5040" w:type="dxa"/>
            <w:tcBorders>
              <w:top w:val="single" w:sz="4" w:space="0" w:color="ADD6EA"/>
              <w:left w:val="nil"/>
              <w:bottom w:val="single" w:sz="4" w:space="0" w:color="ADD6EA"/>
              <w:right w:val="nil"/>
            </w:tcBorders>
            <w:shd w:val="clear" w:color="000000" w:fill="FFFFFF"/>
            <w:hideMark/>
          </w:tcPr>
          <w:p w14:paraId="6D02C0E2" w14:textId="77777777" w:rsidR="003957CD" w:rsidRPr="00461CB4"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461CB4">
              <w:rPr>
                <w:rFonts w:ascii="Open Sans Light" w:eastAsia="Times New Roman" w:hAnsi="Open Sans Light" w:cs="Open Sans Light"/>
                <w:color w:val="000000"/>
                <w:sz w:val="16"/>
                <w:szCs w:val="16"/>
                <w:lang w:eastAsia="en-AU"/>
              </w:rPr>
              <w:t xml:space="preserve">Below-average growth </w:t>
            </w:r>
            <w:r>
              <w:rPr>
                <w:rFonts w:ascii="Open Sans Light" w:eastAsia="Times New Roman" w:hAnsi="Open Sans Light" w:cs="Open Sans Light"/>
                <w:color w:val="000000"/>
                <w:sz w:val="16"/>
                <w:szCs w:val="16"/>
                <w:lang w:eastAsia="en-AU"/>
              </w:rPr>
              <w:t>in</w:t>
            </w:r>
            <w:r w:rsidRPr="00461CB4">
              <w:rPr>
                <w:rFonts w:ascii="Open Sans Light" w:eastAsia="Times New Roman" w:hAnsi="Open Sans Light" w:cs="Open Sans Light"/>
                <w:color w:val="000000"/>
                <w:sz w:val="16"/>
                <w:szCs w:val="16"/>
                <w:lang w:eastAsia="en-AU"/>
              </w:rPr>
              <w:t xml:space="preserve"> taxable land values </w:t>
            </w:r>
            <w:r>
              <w:rPr>
                <w:rFonts w:ascii="Open Sans Light" w:eastAsia="Times New Roman" w:hAnsi="Open Sans Light" w:cs="Open Sans Light"/>
                <w:color w:val="000000"/>
                <w:sz w:val="16"/>
                <w:szCs w:val="16"/>
                <w:lang w:eastAsia="en-AU"/>
              </w:rPr>
              <w:t>between 2021</w:t>
            </w:r>
            <w:r w:rsidRPr="00461CB4">
              <w:rPr>
                <w:rFonts w:ascii="Open Sans Light" w:eastAsia="Times New Roman" w:hAnsi="Open Sans Light" w:cs="Open Sans Light"/>
                <w:color w:val="000000"/>
                <w:sz w:val="16"/>
                <w:szCs w:val="16"/>
                <w:lang w:eastAsia="en-AU"/>
              </w:rPr>
              <w:t>–</w:t>
            </w:r>
            <w:r>
              <w:rPr>
                <w:rFonts w:ascii="Open Sans Light" w:eastAsia="Times New Roman" w:hAnsi="Open Sans Light" w:cs="Open Sans Light"/>
                <w:color w:val="000000"/>
                <w:sz w:val="16"/>
                <w:szCs w:val="16"/>
                <w:lang w:eastAsia="en-AU"/>
              </w:rPr>
              <w:t>22 and</w:t>
            </w:r>
            <w:r w:rsidRPr="00461CB4">
              <w:rPr>
                <w:rFonts w:ascii="Open Sans Light" w:eastAsia="Times New Roman" w:hAnsi="Open Sans Light" w:cs="Open Sans Light"/>
                <w:color w:val="000000"/>
                <w:sz w:val="16"/>
                <w:szCs w:val="16"/>
                <w:lang w:eastAsia="en-AU"/>
              </w:rPr>
              <w:t xml:space="preserve"> 2024–25 decrease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the ACT</w:t>
            </w:r>
            <w:r>
              <w:rPr>
                <w:rFonts w:ascii="Open Sans Light" w:eastAsia="Times New Roman" w:hAnsi="Open Sans Light" w:cs="Open Sans Light"/>
                <w:color w:val="000000"/>
                <w:sz w:val="16"/>
                <w:szCs w:val="16"/>
                <w:lang w:eastAsia="en-AU"/>
              </w:rPr>
              <w:t>’</w:t>
            </w:r>
            <w:r w:rsidRPr="00461CB4">
              <w:rPr>
                <w:rFonts w:ascii="Open Sans Light" w:eastAsia="Times New Roman" w:hAnsi="Open Sans Light" w:cs="Open Sans Light"/>
                <w:color w:val="000000"/>
                <w:sz w:val="16"/>
                <w:szCs w:val="16"/>
                <w:lang w:eastAsia="en-AU"/>
              </w:rPr>
              <w:t>s relative revenue raising capacity and increase</w:t>
            </w:r>
            <w:r>
              <w:rPr>
                <w:rFonts w:ascii="Open Sans Light" w:eastAsia="Times New Roman" w:hAnsi="Open Sans Light" w:cs="Open Sans Light"/>
                <w:color w:val="000000"/>
                <w:sz w:val="16"/>
                <w:szCs w:val="16"/>
                <w:lang w:eastAsia="en-AU"/>
              </w:rPr>
              <w:t>s</w:t>
            </w:r>
            <w:r w:rsidRPr="00461CB4">
              <w:rPr>
                <w:rFonts w:ascii="Open Sans Light" w:eastAsia="Times New Roman" w:hAnsi="Open Sans Light" w:cs="Open Sans Light"/>
                <w:color w:val="000000"/>
                <w:sz w:val="16"/>
                <w:szCs w:val="16"/>
                <w:lang w:eastAsia="en-AU"/>
              </w:rPr>
              <w:t xml:space="preserve"> its assessed GST needs. </w:t>
            </w:r>
          </w:p>
        </w:tc>
      </w:tr>
    </w:tbl>
    <w:p w14:paraId="4C8C2439" w14:textId="77777777" w:rsidR="003957CD" w:rsidRPr="00F47AF8" w:rsidRDefault="003957CD" w:rsidP="003957CD">
      <w:pPr>
        <w:pStyle w:val="CGCTablenote"/>
        <w:ind w:left="0" w:firstLine="0"/>
      </w:pPr>
      <w:r w:rsidRPr="00F47AF8">
        <w:br w:type="page"/>
      </w:r>
    </w:p>
    <w:p w14:paraId="37566B96" w14:textId="77777777" w:rsidR="003957CD" w:rsidRPr="00F47AF8" w:rsidRDefault="003957CD" w:rsidP="003957CD">
      <w:pPr>
        <w:pStyle w:val="Heading2"/>
      </w:pPr>
      <w:r w:rsidRPr="00F47AF8">
        <w:lastRenderedPageBreak/>
        <w:t>Northern</w:t>
      </w:r>
      <w:r>
        <w:t> </w:t>
      </w:r>
      <w:r w:rsidRPr="00F47AF8">
        <w:t>Territory</w:t>
      </w:r>
    </w:p>
    <w:p w14:paraId="096A1AE9" w14:textId="77777777" w:rsidR="003957CD" w:rsidRPr="00F47AF8" w:rsidRDefault="003957CD" w:rsidP="003957CD">
      <w:r w:rsidRPr="00F47AF8">
        <w:t xml:space="preserve">In </w:t>
      </w:r>
      <w:r w:rsidRPr="00637832">
        <w:t>2026</w:t>
      </w:r>
      <w:r>
        <w:rPr>
          <w:rFonts w:ascii="Times New Roman" w:hAnsi="Times New Roman" w:cs="Times New Roman"/>
        </w:rPr>
        <w:t>‍</w:t>
      </w:r>
      <w:r w:rsidRPr="00637832">
        <w:t>–</w:t>
      </w:r>
      <w:r>
        <w:rPr>
          <w:rFonts w:ascii="Times New Roman" w:hAnsi="Times New Roman" w:cs="Times New Roman"/>
        </w:rPr>
        <w:t>‍</w:t>
      </w:r>
      <w:r w:rsidRPr="00637832">
        <w:t>27</w:t>
      </w:r>
      <w:r w:rsidRPr="00F47AF8">
        <w:t>, the Northern</w:t>
      </w:r>
      <w:r>
        <w:t> </w:t>
      </w:r>
      <w:r w:rsidRPr="00F47AF8">
        <w:t>Territory’s GST distribution is estimated to increase by $3</w:t>
      </w:r>
      <w:r>
        <w:t>89 </w:t>
      </w:r>
      <w:r w:rsidRPr="00F47AF8">
        <w:t>million ($1,4</w:t>
      </w:r>
      <w:r>
        <w:t>46 </w:t>
      </w:r>
      <w:r w:rsidRPr="00F47AF8">
        <w:t>per</w:t>
      </w:r>
      <w:r>
        <w:t> </w:t>
      </w:r>
      <w:r w:rsidRPr="00F47AF8">
        <w:t xml:space="preserve">capita). </w:t>
      </w:r>
      <w:r>
        <w:t>Its assessed GST needs have increased by $89 million ($330 per capita) in 2026</w:t>
      </w:r>
      <w:r w:rsidRPr="00F47AF8">
        <w:t>–27</w:t>
      </w:r>
      <w:r>
        <w:t>.</w:t>
      </w:r>
    </w:p>
    <w:p w14:paraId="4696FFB6" w14:textId="77777777" w:rsidR="003957CD" w:rsidRPr="00F47AF8" w:rsidRDefault="003957CD" w:rsidP="002F5ED5">
      <w:pPr>
        <w:pStyle w:val="CGCBulletPoints"/>
      </w:pPr>
      <w:r w:rsidRPr="00F47AF8">
        <w:t>The Northern</w:t>
      </w:r>
      <w:r>
        <w:t> </w:t>
      </w:r>
      <w:r w:rsidRPr="00F47AF8">
        <w:t xml:space="preserve">Territory’s assessed GST needs </w:t>
      </w:r>
      <w:r>
        <w:t xml:space="preserve">have </w:t>
      </w:r>
      <w:r w:rsidRPr="00F47AF8">
        <w:t>increased largely due to:</w:t>
      </w:r>
    </w:p>
    <w:p w14:paraId="29DCC342" w14:textId="77777777" w:rsidR="003957CD" w:rsidRPr="00F47AF8" w:rsidRDefault="003957CD" w:rsidP="002F5ED5">
      <w:pPr>
        <w:pStyle w:val="CGCBulletPoints-Level2"/>
      </w:pPr>
      <w:r>
        <w:t>i</w:t>
      </w:r>
      <w:r w:rsidRPr="00F47AF8">
        <w:t>ncrease</w:t>
      </w:r>
      <w:r>
        <w:t>s in</w:t>
      </w:r>
      <w:r w:rsidRPr="00F47AF8">
        <w:t xml:space="preserve"> costs of servicing First Nations populations in </w:t>
      </w:r>
      <w:r>
        <w:t>2024</w:t>
      </w:r>
      <w:r>
        <w:rPr>
          <w:rFonts w:ascii="Times New Roman" w:hAnsi="Times New Roman" w:cs="Times New Roman"/>
        </w:rPr>
        <w:t>‍</w:t>
      </w:r>
      <w:r w:rsidRPr="00637832">
        <w:t>–</w:t>
      </w:r>
      <w:r>
        <w:rPr>
          <w:rFonts w:ascii="Times New Roman" w:hAnsi="Times New Roman" w:cs="Times New Roman"/>
        </w:rPr>
        <w:t>‍</w:t>
      </w:r>
      <w:r>
        <w:t>25</w:t>
      </w:r>
      <w:r w:rsidRPr="00F47AF8">
        <w:t xml:space="preserve"> compared with </w:t>
      </w:r>
      <w:r>
        <w:t>2021</w:t>
      </w:r>
      <w:r>
        <w:rPr>
          <w:rFonts w:ascii="Times New Roman" w:hAnsi="Times New Roman" w:cs="Times New Roman"/>
        </w:rPr>
        <w:t>‍</w:t>
      </w:r>
      <w:r w:rsidRPr="00637832">
        <w:t>–</w:t>
      </w:r>
      <w:r>
        <w:rPr>
          <w:rFonts w:ascii="Times New Roman" w:hAnsi="Times New Roman" w:cs="Times New Roman"/>
        </w:rPr>
        <w:t>‍</w:t>
      </w:r>
      <w:r>
        <w:t>22</w:t>
      </w:r>
    </w:p>
    <w:p w14:paraId="153B8229" w14:textId="77777777" w:rsidR="003957CD" w:rsidRPr="00F47AF8" w:rsidRDefault="003957CD" w:rsidP="002F5ED5">
      <w:pPr>
        <w:pStyle w:val="CGCBulletPoints-Level2"/>
      </w:pPr>
      <w:r w:rsidRPr="00F47AF8">
        <w:t xml:space="preserve">revised data in the </w:t>
      </w:r>
      <w:proofErr w:type="gramStart"/>
      <w:r w:rsidRPr="00F47AF8">
        <w:t>schools</w:t>
      </w:r>
      <w:proofErr w:type="gramEnd"/>
      <w:r w:rsidRPr="00F47AF8">
        <w:t xml:space="preserve"> assessment</w:t>
      </w:r>
      <w:r>
        <w:t>,</w:t>
      </w:r>
      <w:r w:rsidRPr="00F47AF8">
        <w:t xml:space="preserve"> </w:t>
      </w:r>
      <w:r>
        <w:t>which show</w:t>
      </w:r>
      <w:r w:rsidRPr="00F47AF8">
        <w:t xml:space="preserve"> an increase in investment needs due to an increase in the cost of educating First Nations students</w:t>
      </w:r>
    </w:p>
    <w:p w14:paraId="26FD27CD" w14:textId="77777777" w:rsidR="003957CD" w:rsidRPr="00F47AF8" w:rsidRDefault="003957CD" w:rsidP="002F5ED5">
      <w:pPr>
        <w:pStyle w:val="CGCBulletPoints-Level2"/>
      </w:pPr>
      <w:r w:rsidRPr="00F47AF8">
        <w:t>increase</w:t>
      </w:r>
      <w:r>
        <w:t>s in</w:t>
      </w:r>
      <w:r w:rsidRPr="00F47AF8">
        <w:t xml:space="preserve"> health spending, where population dispersion is a big driver.</w:t>
      </w:r>
    </w:p>
    <w:p w14:paraId="58ECB332" w14:textId="3122DC26" w:rsidR="003957CD" w:rsidRPr="00F47AF8" w:rsidRDefault="003957CD" w:rsidP="002F5ED5">
      <w:pPr>
        <w:pStyle w:val="CGCBulletPoints"/>
      </w:pPr>
      <w:r>
        <w:t xml:space="preserve">This is partially </w:t>
      </w:r>
      <w:r w:rsidR="00D90CE7">
        <w:t xml:space="preserve">offset </w:t>
      </w:r>
      <w:r>
        <w:t xml:space="preserve">by data </w:t>
      </w:r>
      <w:r w:rsidRPr="00F47AF8">
        <w:t xml:space="preserve">revisions </w:t>
      </w:r>
      <w:r>
        <w:t xml:space="preserve">due </w:t>
      </w:r>
      <w:r w:rsidRPr="00F47AF8">
        <w:t xml:space="preserve">to </w:t>
      </w:r>
      <w:r>
        <w:t>the misclassification of</w:t>
      </w:r>
      <w:r w:rsidRPr="00F47AF8">
        <w:t xml:space="preserve"> some major city hospital </w:t>
      </w:r>
      <w:r>
        <w:t>activity</w:t>
      </w:r>
      <w:r w:rsidRPr="00F47AF8">
        <w:t xml:space="preserve"> to other remoteness areas</w:t>
      </w:r>
      <w:r>
        <w:t xml:space="preserve">. </w:t>
      </w:r>
      <w:r w:rsidRPr="00F47AF8">
        <w:t>The Northern</w:t>
      </w:r>
      <w:r>
        <w:t> </w:t>
      </w:r>
      <w:r w:rsidRPr="00F47AF8">
        <w:t>Territory also receive</w:t>
      </w:r>
      <w:r>
        <w:t>d</w:t>
      </w:r>
      <w:r w:rsidRPr="00F47AF8">
        <w:t xml:space="preserve"> a greater share of Commonwealth payments in </w:t>
      </w:r>
      <w:r>
        <w:t>2024</w:t>
      </w:r>
      <w:r>
        <w:rPr>
          <w:rFonts w:ascii="Times New Roman" w:eastAsiaTheme="minorHAnsi" w:hAnsi="Times New Roman" w:cs="Times New Roman"/>
        </w:rPr>
        <w:t>‍</w:t>
      </w:r>
      <w:r w:rsidRPr="00637832">
        <w:rPr>
          <w:rFonts w:eastAsiaTheme="minorHAnsi" w:cstheme="minorBidi"/>
        </w:rPr>
        <w:t>–</w:t>
      </w:r>
      <w:r>
        <w:rPr>
          <w:rFonts w:ascii="Times New Roman" w:eastAsiaTheme="minorHAnsi" w:hAnsi="Times New Roman" w:cs="Times New Roman"/>
        </w:rPr>
        <w:t>‍</w:t>
      </w:r>
      <w:r>
        <w:t>25</w:t>
      </w:r>
      <w:r w:rsidRPr="00F47AF8">
        <w:t xml:space="preserve"> than in </w:t>
      </w:r>
      <w:r>
        <w:t>2021</w:t>
      </w:r>
      <w:r>
        <w:rPr>
          <w:rFonts w:ascii="Times New Roman" w:eastAsiaTheme="minorHAnsi" w:hAnsi="Times New Roman" w:cs="Times New Roman"/>
        </w:rPr>
        <w:t>‍</w:t>
      </w:r>
      <w:r w:rsidRPr="00637832">
        <w:rPr>
          <w:rFonts w:eastAsiaTheme="minorHAnsi" w:cstheme="minorBidi"/>
        </w:rPr>
        <w:t>–</w:t>
      </w:r>
      <w:r>
        <w:rPr>
          <w:rFonts w:ascii="Times New Roman" w:eastAsiaTheme="minorHAnsi" w:hAnsi="Times New Roman" w:cs="Times New Roman"/>
        </w:rPr>
        <w:t>‍</w:t>
      </w:r>
      <w:r>
        <w:t>22.</w:t>
      </w:r>
      <w:r w:rsidR="00F0087F">
        <w:t xml:space="preserve"> Combined, these </w:t>
      </w:r>
      <w:r w:rsidR="00413816">
        <w:t xml:space="preserve">decrease its assessed GST needs. </w:t>
      </w:r>
    </w:p>
    <w:p w14:paraId="0BA36932" w14:textId="77777777" w:rsidR="003957CD" w:rsidRPr="00F47AF8" w:rsidRDefault="003957CD" w:rsidP="002F5ED5">
      <w:pPr>
        <w:pStyle w:val="CGCBulletPoints"/>
      </w:pPr>
      <w:r>
        <w:t>E</w:t>
      </w:r>
      <w:r w:rsidRPr="00F47AF8">
        <w:t>xpected growth in the GST pool contribute</w:t>
      </w:r>
      <w:r>
        <w:t>s</w:t>
      </w:r>
      <w:r w:rsidRPr="00F47AF8">
        <w:t xml:space="preserve"> to an increase in the Northern</w:t>
      </w:r>
      <w:r>
        <w:t> </w:t>
      </w:r>
      <w:r w:rsidRPr="00F47AF8">
        <w:t>Territory’s GST distribution.</w:t>
      </w:r>
    </w:p>
    <w:p w14:paraId="17076973" w14:textId="38CA34ED" w:rsidR="003957CD" w:rsidRPr="00F47AF8" w:rsidRDefault="003957CD" w:rsidP="002F5ED5">
      <w:pPr>
        <w:pStyle w:val="CGCBulletPoints"/>
      </w:pPr>
      <w:r w:rsidRPr="00F47AF8">
        <w:t xml:space="preserve">Compared with </w:t>
      </w:r>
      <w:r w:rsidRPr="009F159D">
        <w:t>2025</w:t>
      </w:r>
      <w:r>
        <w:rPr>
          <w:rFonts w:ascii="Times New Roman" w:eastAsiaTheme="minorHAnsi" w:hAnsi="Times New Roman" w:cs="Times New Roman"/>
        </w:rPr>
        <w:t>‍</w:t>
      </w:r>
      <w:r w:rsidRPr="00637832">
        <w:rPr>
          <w:rFonts w:eastAsiaTheme="minorHAnsi" w:cstheme="minorBidi"/>
        </w:rPr>
        <w:t>–</w:t>
      </w:r>
      <w:r>
        <w:rPr>
          <w:rFonts w:ascii="Times New Roman" w:eastAsiaTheme="minorHAnsi" w:hAnsi="Times New Roman" w:cs="Times New Roman"/>
        </w:rPr>
        <w:t>‍</w:t>
      </w:r>
      <w:r w:rsidRPr="009F159D">
        <w:t>26</w:t>
      </w:r>
      <w:r w:rsidRPr="00F47AF8">
        <w:t xml:space="preserve">, the 2018 </w:t>
      </w:r>
      <w:r>
        <w:t>legislated</w:t>
      </w:r>
      <w:r w:rsidRPr="00F47AF8">
        <w:t xml:space="preserve"> changes to determining relativities increase the Northern</w:t>
      </w:r>
      <w:r>
        <w:t> </w:t>
      </w:r>
      <w:r w:rsidRPr="00F47AF8">
        <w:t>Territory’s GST distribution</w:t>
      </w:r>
      <w:r>
        <w:t xml:space="preserve"> </w:t>
      </w:r>
      <w:r w:rsidR="00BA5484">
        <w:t xml:space="preserve">by </w:t>
      </w:r>
      <w:r w:rsidRPr="00F47AF8">
        <w:t>$12 million.</w:t>
      </w:r>
    </w:p>
    <w:p w14:paraId="126522CB" w14:textId="0F7B2221" w:rsidR="003957CD" w:rsidRPr="00F47AF8" w:rsidRDefault="003957CD" w:rsidP="00371E5F">
      <w:pPr>
        <w:pStyle w:val="CGC2025Caption"/>
        <w:ind w:left="1276" w:hanging="1276"/>
      </w:pPr>
      <w:r w:rsidRPr="00F47AF8">
        <w:t>Table 3-8</w:t>
      </w:r>
      <w:r w:rsidRPr="00F47AF8">
        <w:tab/>
        <w:t xml:space="preserve">Change in estimated GST distribution from </w:t>
      </w:r>
      <w:r w:rsidRPr="00E0718D">
        <w:t>2025</w:t>
      </w:r>
      <w:r>
        <w:rPr>
          <w:rFonts w:ascii="Times New Roman" w:hAnsi="Times New Roman" w:cs="Times New Roman"/>
        </w:rPr>
        <w:t>‍</w:t>
      </w:r>
      <w:r w:rsidRPr="00E0718D">
        <w:t>–</w:t>
      </w:r>
      <w:r>
        <w:rPr>
          <w:rFonts w:ascii="Times New Roman" w:hAnsi="Times New Roman" w:cs="Times New Roman"/>
        </w:rPr>
        <w:t>‍</w:t>
      </w:r>
      <w:r w:rsidRPr="00E0718D">
        <w:t>26</w:t>
      </w:r>
      <w:r w:rsidRPr="00F47AF8">
        <w:t xml:space="preserve"> to </w:t>
      </w:r>
      <w:r w:rsidRPr="00E0718D">
        <w:t>2026</w:t>
      </w:r>
      <w:r>
        <w:rPr>
          <w:rFonts w:ascii="Times New Roman" w:hAnsi="Times New Roman" w:cs="Times New Roman"/>
        </w:rPr>
        <w:t>‍</w:t>
      </w:r>
      <w:r w:rsidRPr="00E0718D">
        <w:t>–</w:t>
      </w:r>
      <w:r>
        <w:rPr>
          <w:rFonts w:ascii="Times New Roman" w:hAnsi="Times New Roman" w:cs="Times New Roman"/>
        </w:rPr>
        <w:t>‍</w:t>
      </w:r>
      <w:r w:rsidRPr="00E0718D">
        <w:t>27</w:t>
      </w:r>
      <w:r w:rsidRPr="00F47AF8">
        <w:t>, Northern Territory (excludes no worse off payments)</w:t>
      </w:r>
    </w:p>
    <w:tbl>
      <w:tblPr>
        <w:tblW w:w="9360" w:type="dxa"/>
        <w:tblLook w:val="04A0" w:firstRow="1" w:lastRow="0" w:firstColumn="1" w:lastColumn="0" w:noHBand="0" w:noVBand="1"/>
      </w:tblPr>
      <w:tblGrid>
        <w:gridCol w:w="4240"/>
        <w:gridCol w:w="2560"/>
        <w:gridCol w:w="2560"/>
      </w:tblGrid>
      <w:tr w:rsidR="003957CD" w:rsidRPr="00F34C09" w14:paraId="1683345A" w14:textId="77777777" w:rsidTr="00E51790">
        <w:trPr>
          <w:trHeight w:val="290"/>
        </w:trPr>
        <w:tc>
          <w:tcPr>
            <w:tcW w:w="4240" w:type="dxa"/>
            <w:tcBorders>
              <w:top w:val="nil"/>
              <w:left w:val="nil"/>
              <w:bottom w:val="single" w:sz="4" w:space="0" w:color="ADD6EA"/>
              <w:right w:val="nil"/>
            </w:tcBorders>
            <w:shd w:val="clear" w:color="000000" w:fill="006991"/>
            <w:noWrap/>
            <w:vAlign w:val="center"/>
            <w:hideMark/>
          </w:tcPr>
          <w:p w14:paraId="4CF47A32" w14:textId="77777777" w:rsidR="003957CD" w:rsidRPr="00F34C09"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34C09">
              <w:rPr>
                <w:rFonts w:ascii="Open Sans Semibold" w:eastAsia="Times New Roman" w:hAnsi="Open Sans Semibold" w:cs="Open Sans Semibold"/>
                <w:color w:val="FFFFFF"/>
                <w:sz w:val="16"/>
                <w:szCs w:val="16"/>
                <w:lang w:eastAsia="en-AU"/>
              </w:rPr>
              <w:t> </w:t>
            </w:r>
          </w:p>
        </w:tc>
        <w:tc>
          <w:tcPr>
            <w:tcW w:w="2560" w:type="dxa"/>
            <w:tcBorders>
              <w:top w:val="nil"/>
              <w:left w:val="nil"/>
              <w:bottom w:val="single" w:sz="4" w:space="0" w:color="ADD6EA"/>
              <w:right w:val="nil"/>
            </w:tcBorders>
            <w:shd w:val="clear" w:color="000000" w:fill="006991"/>
            <w:noWrap/>
            <w:vAlign w:val="center"/>
            <w:hideMark/>
          </w:tcPr>
          <w:p w14:paraId="5A00AFB2" w14:textId="77777777" w:rsidR="003957CD" w:rsidRPr="00F34C09"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34C09">
              <w:rPr>
                <w:rFonts w:ascii="Open Sans Semibold" w:eastAsia="Times New Roman" w:hAnsi="Open Sans Semibold" w:cs="Open Sans Semibold"/>
                <w:color w:val="FFFFFF"/>
                <w:sz w:val="16"/>
                <w:szCs w:val="16"/>
                <w:lang w:eastAsia="en-AU"/>
              </w:rPr>
              <w:t>$m</w:t>
            </w:r>
          </w:p>
        </w:tc>
        <w:tc>
          <w:tcPr>
            <w:tcW w:w="2560" w:type="dxa"/>
            <w:tcBorders>
              <w:top w:val="nil"/>
              <w:left w:val="nil"/>
              <w:bottom w:val="single" w:sz="4" w:space="0" w:color="ADD6EA"/>
              <w:right w:val="nil"/>
            </w:tcBorders>
            <w:shd w:val="clear" w:color="000000" w:fill="006991"/>
            <w:noWrap/>
            <w:vAlign w:val="center"/>
            <w:hideMark/>
          </w:tcPr>
          <w:p w14:paraId="67613034" w14:textId="77777777" w:rsidR="003957CD" w:rsidRPr="00F34C09" w:rsidRDefault="003957CD" w:rsidP="00E5179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34C09">
              <w:rPr>
                <w:rFonts w:ascii="Open Sans Semibold" w:eastAsia="Times New Roman" w:hAnsi="Open Sans Semibold" w:cs="Open Sans Semibold"/>
                <w:color w:val="FFFFFF"/>
                <w:sz w:val="16"/>
                <w:szCs w:val="16"/>
                <w:lang w:eastAsia="en-AU"/>
              </w:rPr>
              <w:t>$pc</w:t>
            </w:r>
          </w:p>
        </w:tc>
      </w:tr>
      <w:tr w:rsidR="003957CD" w:rsidRPr="00F34C09" w14:paraId="28B27E15" w14:textId="77777777" w:rsidTr="00E51790">
        <w:trPr>
          <w:trHeight w:val="290"/>
        </w:trPr>
        <w:tc>
          <w:tcPr>
            <w:tcW w:w="4240" w:type="dxa"/>
            <w:tcBorders>
              <w:top w:val="nil"/>
              <w:left w:val="nil"/>
              <w:bottom w:val="single" w:sz="4" w:space="0" w:color="ADD6EA"/>
              <w:right w:val="nil"/>
            </w:tcBorders>
            <w:noWrap/>
            <w:vAlign w:val="center"/>
            <w:hideMark/>
          </w:tcPr>
          <w:p w14:paraId="427C2508" w14:textId="77777777" w:rsidR="003957CD" w:rsidRPr="00F34C09"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 xml:space="preserve">Change in </w:t>
            </w:r>
            <w:r w:rsidRPr="00F34C09">
              <w:rPr>
                <w:rFonts w:ascii="Open Sans Light" w:eastAsia="Times New Roman" w:hAnsi="Open Sans Light" w:cs="Open Sans Light"/>
                <w:color w:val="000000"/>
                <w:sz w:val="16"/>
                <w:szCs w:val="16"/>
                <w:lang w:eastAsia="en-AU"/>
              </w:rPr>
              <w:t>population</w:t>
            </w:r>
          </w:p>
        </w:tc>
        <w:tc>
          <w:tcPr>
            <w:tcW w:w="2560" w:type="dxa"/>
            <w:tcBorders>
              <w:top w:val="nil"/>
              <w:left w:val="nil"/>
              <w:bottom w:val="single" w:sz="4" w:space="0" w:color="ADD6EA"/>
              <w:right w:val="nil"/>
            </w:tcBorders>
            <w:noWrap/>
            <w:vAlign w:val="center"/>
            <w:hideMark/>
          </w:tcPr>
          <w:p w14:paraId="2FA5708F"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-5</w:t>
            </w:r>
          </w:p>
        </w:tc>
        <w:tc>
          <w:tcPr>
            <w:tcW w:w="2560" w:type="dxa"/>
            <w:tcBorders>
              <w:top w:val="nil"/>
              <w:left w:val="nil"/>
              <w:bottom w:val="single" w:sz="4" w:space="0" w:color="ADD6EA"/>
              <w:right w:val="nil"/>
            </w:tcBorders>
            <w:noWrap/>
            <w:vAlign w:val="center"/>
            <w:hideMark/>
          </w:tcPr>
          <w:p w14:paraId="78DBF0D1"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-19</w:t>
            </w:r>
          </w:p>
        </w:tc>
      </w:tr>
      <w:tr w:rsidR="003957CD" w:rsidRPr="00F34C09" w14:paraId="366AB4EB" w14:textId="77777777" w:rsidTr="00E51790">
        <w:trPr>
          <w:trHeight w:val="290"/>
        </w:trPr>
        <w:tc>
          <w:tcPr>
            <w:tcW w:w="4240" w:type="dxa"/>
            <w:tcBorders>
              <w:top w:val="nil"/>
              <w:left w:val="nil"/>
              <w:bottom w:val="single" w:sz="4" w:space="0" w:color="ADD6EA"/>
              <w:right w:val="nil"/>
            </w:tcBorders>
            <w:noWrap/>
            <w:vAlign w:val="center"/>
            <w:hideMark/>
          </w:tcPr>
          <w:p w14:paraId="629BC4B8" w14:textId="77777777" w:rsidR="003957CD" w:rsidRPr="00F34C09"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 xml:space="preserve">Growth in GST pool </w:t>
            </w:r>
          </w:p>
        </w:tc>
        <w:tc>
          <w:tcPr>
            <w:tcW w:w="2560" w:type="dxa"/>
            <w:tcBorders>
              <w:top w:val="nil"/>
              <w:left w:val="nil"/>
              <w:bottom w:val="single" w:sz="4" w:space="0" w:color="ADD6EA"/>
              <w:right w:val="nil"/>
            </w:tcBorders>
            <w:noWrap/>
            <w:vAlign w:val="center"/>
            <w:hideMark/>
          </w:tcPr>
          <w:p w14:paraId="0CD69F90"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293</w:t>
            </w:r>
          </w:p>
        </w:tc>
        <w:tc>
          <w:tcPr>
            <w:tcW w:w="2560" w:type="dxa"/>
            <w:tcBorders>
              <w:top w:val="nil"/>
              <w:left w:val="nil"/>
              <w:bottom w:val="single" w:sz="4" w:space="0" w:color="ADD6EA"/>
              <w:right w:val="nil"/>
            </w:tcBorders>
            <w:noWrap/>
            <w:vAlign w:val="center"/>
            <w:hideMark/>
          </w:tcPr>
          <w:p w14:paraId="20B40D30"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1,091</w:t>
            </w:r>
          </w:p>
        </w:tc>
      </w:tr>
      <w:tr w:rsidR="003957CD" w:rsidRPr="00F34C09" w14:paraId="080AA706" w14:textId="77777777" w:rsidTr="00E51790">
        <w:trPr>
          <w:trHeight w:val="290"/>
        </w:trPr>
        <w:tc>
          <w:tcPr>
            <w:tcW w:w="4240" w:type="dxa"/>
            <w:tcBorders>
              <w:top w:val="nil"/>
              <w:left w:val="nil"/>
              <w:bottom w:val="single" w:sz="4" w:space="0" w:color="ADD6EA"/>
              <w:right w:val="nil"/>
            </w:tcBorders>
            <w:noWrap/>
            <w:vAlign w:val="center"/>
            <w:hideMark/>
          </w:tcPr>
          <w:p w14:paraId="36AB63FA" w14:textId="2D65A78D" w:rsidR="003957CD" w:rsidRPr="00F34C09"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 xml:space="preserve">Changes in assessed </w:t>
            </w:r>
            <w:r w:rsidR="001169A0">
              <w:rPr>
                <w:rFonts w:ascii="Open Sans Light" w:eastAsia="Times New Roman" w:hAnsi="Open Sans Light" w:cs="Open Sans Light"/>
                <w:sz w:val="16"/>
                <w:szCs w:val="16"/>
                <w:lang w:eastAsia="en-AU"/>
              </w:rPr>
              <w:t>GST</w:t>
            </w:r>
            <w:r w:rsidRPr="00F34C09">
              <w:rPr>
                <w:rFonts w:ascii="Open Sans Light" w:eastAsia="Times New Roman" w:hAnsi="Open Sans Light" w:cs="Open Sans Light"/>
                <w:sz w:val="16"/>
                <w:szCs w:val="16"/>
                <w:lang w:eastAsia="en-AU"/>
              </w:rPr>
              <w:t xml:space="preserve"> needs</w:t>
            </w:r>
          </w:p>
        </w:tc>
        <w:tc>
          <w:tcPr>
            <w:tcW w:w="2560" w:type="dxa"/>
            <w:tcBorders>
              <w:top w:val="nil"/>
              <w:left w:val="nil"/>
              <w:bottom w:val="single" w:sz="4" w:space="0" w:color="ADD6EA"/>
              <w:right w:val="nil"/>
            </w:tcBorders>
            <w:noWrap/>
            <w:vAlign w:val="center"/>
            <w:hideMark/>
          </w:tcPr>
          <w:p w14:paraId="68274808"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 </w:t>
            </w:r>
          </w:p>
        </w:tc>
        <w:tc>
          <w:tcPr>
            <w:tcW w:w="2560" w:type="dxa"/>
            <w:tcBorders>
              <w:top w:val="nil"/>
              <w:left w:val="nil"/>
              <w:bottom w:val="single" w:sz="4" w:space="0" w:color="ADD6EA"/>
              <w:right w:val="nil"/>
            </w:tcBorders>
            <w:noWrap/>
            <w:vAlign w:val="center"/>
            <w:hideMark/>
          </w:tcPr>
          <w:p w14:paraId="46034F6B"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 </w:t>
            </w:r>
          </w:p>
        </w:tc>
      </w:tr>
      <w:tr w:rsidR="003957CD" w:rsidRPr="00F34C09" w14:paraId="10171886" w14:textId="77777777" w:rsidTr="00E51790">
        <w:trPr>
          <w:trHeight w:val="290"/>
        </w:trPr>
        <w:tc>
          <w:tcPr>
            <w:tcW w:w="4240" w:type="dxa"/>
            <w:tcBorders>
              <w:top w:val="nil"/>
              <w:left w:val="nil"/>
              <w:bottom w:val="single" w:sz="4" w:space="0" w:color="ADD6EA"/>
              <w:right w:val="nil"/>
            </w:tcBorders>
            <w:noWrap/>
            <w:vAlign w:val="center"/>
            <w:hideMark/>
          </w:tcPr>
          <w:p w14:paraId="1BB63AEB" w14:textId="77777777" w:rsidR="003957CD" w:rsidRPr="00F34C09"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Method changes</w:t>
            </w:r>
          </w:p>
        </w:tc>
        <w:tc>
          <w:tcPr>
            <w:tcW w:w="2560" w:type="dxa"/>
            <w:tcBorders>
              <w:top w:val="nil"/>
              <w:left w:val="nil"/>
              <w:bottom w:val="single" w:sz="4" w:space="0" w:color="ADD6EA"/>
              <w:right w:val="nil"/>
            </w:tcBorders>
            <w:noWrap/>
            <w:vAlign w:val="center"/>
            <w:hideMark/>
          </w:tcPr>
          <w:p w14:paraId="38FF0384"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-7</w:t>
            </w:r>
          </w:p>
        </w:tc>
        <w:tc>
          <w:tcPr>
            <w:tcW w:w="2560" w:type="dxa"/>
            <w:tcBorders>
              <w:top w:val="nil"/>
              <w:left w:val="nil"/>
              <w:bottom w:val="single" w:sz="4" w:space="0" w:color="ADD6EA"/>
              <w:right w:val="nil"/>
            </w:tcBorders>
            <w:noWrap/>
            <w:vAlign w:val="center"/>
            <w:hideMark/>
          </w:tcPr>
          <w:p w14:paraId="2A36B6FF"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-28</w:t>
            </w:r>
          </w:p>
        </w:tc>
      </w:tr>
      <w:tr w:rsidR="003957CD" w:rsidRPr="00F34C09" w14:paraId="7D1DD741" w14:textId="77777777" w:rsidTr="00E51790">
        <w:trPr>
          <w:trHeight w:val="290"/>
        </w:trPr>
        <w:tc>
          <w:tcPr>
            <w:tcW w:w="4240" w:type="dxa"/>
            <w:tcBorders>
              <w:top w:val="nil"/>
              <w:left w:val="nil"/>
              <w:bottom w:val="single" w:sz="4" w:space="0" w:color="ADD6EA"/>
              <w:right w:val="nil"/>
            </w:tcBorders>
            <w:noWrap/>
            <w:vAlign w:val="center"/>
            <w:hideMark/>
          </w:tcPr>
          <w:p w14:paraId="611495E2" w14:textId="77777777" w:rsidR="003957CD" w:rsidRPr="00F34C09"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Data revisions</w:t>
            </w:r>
          </w:p>
        </w:tc>
        <w:tc>
          <w:tcPr>
            <w:tcW w:w="2560" w:type="dxa"/>
            <w:tcBorders>
              <w:top w:val="nil"/>
              <w:left w:val="nil"/>
              <w:bottom w:val="single" w:sz="4" w:space="0" w:color="ADD6EA"/>
              <w:right w:val="nil"/>
            </w:tcBorders>
            <w:noWrap/>
            <w:vAlign w:val="center"/>
            <w:hideMark/>
          </w:tcPr>
          <w:p w14:paraId="6DC6EAB2"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16</w:t>
            </w:r>
          </w:p>
        </w:tc>
        <w:tc>
          <w:tcPr>
            <w:tcW w:w="2560" w:type="dxa"/>
            <w:tcBorders>
              <w:top w:val="nil"/>
              <w:left w:val="nil"/>
              <w:bottom w:val="single" w:sz="4" w:space="0" w:color="ADD6EA"/>
              <w:right w:val="nil"/>
            </w:tcBorders>
            <w:noWrap/>
            <w:vAlign w:val="center"/>
            <w:hideMark/>
          </w:tcPr>
          <w:p w14:paraId="0326A894"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58</w:t>
            </w:r>
          </w:p>
        </w:tc>
      </w:tr>
      <w:tr w:rsidR="003957CD" w:rsidRPr="00F34C09" w14:paraId="5B4809F3" w14:textId="77777777" w:rsidTr="00E51790">
        <w:trPr>
          <w:trHeight w:val="290"/>
        </w:trPr>
        <w:tc>
          <w:tcPr>
            <w:tcW w:w="4240" w:type="dxa"/>
            <w:tcBorders>
              <w:top w:val="nil"/>
              <w:left w:val="nil"/>
              <w:bottom w:val="single" w:sz="4" w:space="0" w:color="ADD6EA"/>
              <w:right w:val="nil"/>
            </w:tcBorders>
            <w:noWrap/>
            <w:vAlign w:val="center"/>
            <w:hideMark/>
          </w:tcPr>
          <w:p w14:paraId="7CD7E03C" w14:textId="77777777" w:rsidR="003957CD" w:rsidRPr="00F34C09"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State circumstances</w:t>
            </w:r>
          </w:p>
        </w:tc>
        <w:tc>
          <w:tcPr>
            <w:tcW w:w="2560" w:type="dxa"/>
            <w:tcBorders>
              <w:top w:val="nil"/>
              <w:left w:val="nil"/>
              <w:bottom w:val="single" w:sz="4" w:space="0" w:color="ADD6EA"/>
              <w:right w:val="nil"/>
            </w:tcBorders>
            <w:noWrap/>
            <w:vAlign w:val="center"/>
            <w:hideMark/>
          </w:tcPr>
          <w:p w14:paraId="00C245E0"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80</w:t>
            </w:r>
          </w:p>
        </w:tc>
        <w:tc>
          <w:tcPr>
            <w:tcW w:w="2560" w:type="dxa"/>
            <w:tcBorders>
              <w:top w:val="nil"/>
              <w:left w:val="nil"/>
              <w:bottom w:val="single" w:sz="4" w:space="0" w:color="ADD6EA"/>
              <w:right w:val="nil"/>
            </w:tcBorders>
            <w:noWrap/>
            <w:vAlign w:val="center"/>
            <w:hideMark/>
          </w:tcPr>
          <w:p w14:paraId="37FF6164"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299</w:t>
            </w:r>
          </w:p>
        </w:tc>
      </w:tr>
      <w:tr w:rsidR="003957CD" w:rsidRPr="00F34C09" w14:paraId="7219964F" w14:textId="77777777" w:rsidTr="00E51790">
        <w:trPr>
          <w:trHeight w:val="290"/>
        </w:trPr>
        <w:tc>
          <w:tcPr>
            <w:tcW w:w="4240" w:type="dxa"/>
            <w:tcBorders>
              <w:top w:val="nil"/>
              <w:left w:val="nil"/>
              <w:bottom w:val="single" w:sz="4" w:space="0" w:color="ADD6EA"/>
              <w:right w:val="nil"/>
            </w:tcBorders>
            <w:noWrap/>
            <w:vAlign w:val="center"/>
            <w:hideMark/>
          </w:tcPr>
          <w:p w14:paraId="75B2A5A9" w14:textId="77777777" w:rsidR="003957CD" w:rsidRPr="00F34C09" w:rsidRDefault="003957CD" w:rsidP="00E51790">
            <w:pPr>
              <w:tabs>
                <w:tab w:val="clear" w:pos="567"/>
              </w:tabs>
              <w:spacing w:before="0" w:line="240" w:lineRule="auto"/>
              <w:ind w:firstLineChars="100" w:firstLine="160"/>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Total</w:t>
            </w:r>
          </w:p>
        </w:tc>
        <w:tc>
          <w:tcPr>
            <w:tcW w:w="2560" w:type="dxa"/>
            <w:tcBorders>
              <w:top w:val="nil"/>
              <w:left w:val="nil"/>
              <w:bottom w:val="single" w:sz="4" w:space="0" w:color="ADD6EA"/>
              <w:right w:val="nil"/>
            </w:tcBorders>
            <w:noWrap/>
            <w:vAlign w:val="center"/>
            <w:hideMark/>
          </w:tcPr>
          <w:p w14:paraId="618A444C"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89</w:t>
            </w:r>
          </w:p>
        </w:tc>
        <w:tc>
          <w:tcPr>
            <w:tcW w:w="2560" w:type="dxa"/>
            <w:tcBorders>
              <w:top w:val="nil"/>
              <w:left w:val="nil"/>
              <w:bottom w:val="single" w:sz="4" w:space="0" w:color="ADD6EA"/>
              <w:right w:val="nil"/>
            </w:tcBorders>
            <w:noWrap/>
            <w:vAlign w:val="center"/>
            <w:hideMark/>
          </w:tcPr>
          <w:p w14:paraId="106AF3D9"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3</w:t>
            </w:r>
            <w:r>
              <w:rPr>
                <w:rFonts w:ascii="Open Sans Light" w:eastAsia="Times New Roman" w:hAnsi="Open Sans Light" w:cs="Open Sans Light"/>
                <w:sz w:val="16"/>
                <w:szCs w:val="16"/>
                <w:lang w:eastAsia="en-AU"/>
              </w:rPr>
              <w:t>30</w:t>
            </w:r>
          </w:p>
        </w:tc>
      </w:tr>
      <w:tr w:rsidR="003957CD" w:rsidRPr="00F34C09" w14:paraId="63E6B75D" w14:textId="77777777" w:rsidTr="00E51790">
        <w:trPr>
          <w:trHeight w:val="290"/>
        </w:trPr>
        <w:tc>
          <w:tcPr>
            <w:tcW w:w="4240" w:type="dxa"/>
            <w:tcBorders>
              <w:top w:val="nil"/>
              <w:left w:val="nil"/>
              <w:bottom w:val="single" w:sz="4" w:space="0" w:color="ADD6EA"/>
              <w:right w:val="nil"/>
            </w:tcBorders>
            <w:noWrap/>
            <w:vAlign w:val="center"/>
            <w:hideMark/>
          </w:tcPr>
          <w:p w14:paraId="5AA843AB" w14:textId="77777777" w:rsidR="003957CD" w:rsidRPr="00F34C09" w:rsidRDefault="003957CD" w:rsidP="00E51790">
            <w:pPr>
              <w:tabs>
                <w:tab w:val="clear" w:pos="567"/>
              </w:tabs>
              <w:spacing w:before="0" w:line="240" w:lineRule="auto"/>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2018 legislated changes to determining relativities</w:t>
            </w:r>
          </w:p>
        </w:tc>
        <w:tc>
          <w:tcPr>
            <w:tcW w:w="2560" w:type="dxa"/>
            <w:tcBorders>
              <w:top w:val="nil"/>
              <w:left w:val="nil"/>
              <w:bottom w:val="single" w:sz="4" w:space="0" w:color="ADD6EA"/>
              <w:right w:val="nil"/>
            </w:tcBorders>
            <w:noWrap/>
            <w:vAlign w:val="center"/>
            <w:hideMark/>
          </w:tcPr>
          <w:p w14:paraId="0438D16A"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12</w:t>
            </w:r>
          </w:p>
        </w:tc>
        <w:tc>
          <w:tcPr>
            <w:tcW w:w="2560" w:type="dxa"/>
            <w:tcBorders>
              <w:top w:val="nil"/>
              <w:left w:val="nil"/>
              <w:bottom w:val="single" w:sz="4" w:space="0" w:color="ADD6EA"/>
              <w:right w:val="nil"/>
            </w:tcBorders>
            <w:noWrap/>
            <w:vAlign w:val="center"/>
            <w:hideMark/>
          </w:tcPr>
          <w:p w14:paraId="12C67E44" w14:textId="77777777" w:rsidR="003957CD" w:rsidRPr="00F34C09" w:rsidRDefault="003957CD" w:rsidP="00E51790">
            <w:pPr>
              <w:tabs>
                <w:tab w:val="clear" w:pos="567"/>
              </w:tabs>
              <w:spacing w:before="0" w:line="240" w:lineRule="auto"/>
              <w:jc w:val="right"/>
              <w:rPr>
                <w:rFonts w:ascii="Open Sans Light" w:eastAsia="Times New Roman" w:hAnsi="Open Sans Light" w:cs="Open Sans Light"/>
                <w:sz w:val="16"/>
                <w:szCs w:val="16"/>
                <w:lang w:eastAsia="en-AU"/>
              </w:rPr>
            </w:pPr>
            <w:r w:rsidRPr="00F34C09">
              <w:rPr>
                <w:rFonts w:ascii="Open Sans Light" w:eastAsia="Times New Roman" w:hAnsi="Open Sans Light" w:cs="Open Sans Light"/>
                <w:sz w:val="16"/>
                <w:szCs w:val="16"/>
                <w:lang w:eastAsia="en-AU"/>
              </w:rPr>
              <w:t>45</w:t>
            </w:r>
          </w:p>
        </w:tc>
      </w:tr>
      <w:tr w:rsidR="003957CD" w:rsidRPr="00F34C09" w14:paraId="3971D132" w14:textId="77777777" w:rsidTr="00E51790">
        <w:trPr>
          <w:trHeight w:val="290"/>
        </w:trPr>
        <w:tc>
          <w:tcPr>
            <w:tcW w:w="4240" w:type="dxa"/>
            <w:tcBorders>
              <w:top w:val="nil"/>
              <w:left w:val="nil"/>
              <w:bottom w:val="single" w:sz="4" w:space="0" w:color="ADD6EA"/>
              <w:right w:val="nil"/>
            </w:tcBorders>
            <w:shd w:val="clear" w:color="000000" w:fill="D6E7F0"/>
            <w:noWrap/>
            <w:vAlign w:val="center"/>
            <w:hideMark/>
          </w:tcPr>
          <w:p w14:paraId="251561A0" w14:textId="77777777" w:rsidR="003957CD" w:rsidRPr="00F34C09"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F34C09">
              <w:rPr>
                <w:rFonts w:ascii="Open Sans Semibold" w:eastAsia="Times New Roman" w:hAnsi="Open Sans Semibold" w:cs="Open Sans Semibold"/>
                <w:color w:val="000000"/>
                <w:sz w:val="16"/>
                <w:szCs w:val="16"/>
                <w:lang w:eastAsia="en-AU"/>
              </w:rPr>
              <w:t>Total change</w:t>
            </w:r>
          </w:p>
        </w:tc>
        <w:tc>
          <w:tcPr>
            <w:tcW w:w="2560" w:type="dxa"/>
            <w:tcBorders>
              <w:top w:val="nil"/>
              <w:left w:val="nil"/>
              <w:bottom w:val="single" w:sz="4" w:space="0" w:color="ADD6EA"/>
              <w:right w:val="nil"/>
            </w:tcBorders>
            <w:shd w:val="clear" w:color="000000" w:fill="D6E7F0"/>
            <w:noWrap/>
            <w:vAlign w:val="center"/>
            <w:hideMark/>
          </w:tcPr>
          <w:p w14:paraId="404EEDBF" w14:textId="77777777" w:rsidR="003957CD" w:rsidRPr="00F34C09"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34C09">
              <w:rPr>
                <w:rFonts w:ascii="Open Sans Semibold" w:eastAsia="Times New Roman" w:hAnsi="Open Sans Semibold" w:cs="Open Sans Semibold"/>
                <w:color w:val="000000"/>
                <w:sz w:val="16"/>
                <w:szCs w:val="16"/>
                <w:lang w:eastAsia="en-AU"/>
              </w:rPr>
              <w:t>389</w:t>
            </w:r>
          </w:p>
        </w:tc>
        <w:tc>
          <w:tcPr>
            <w:tcW w:w="2560" w:type="dxa"/>
            <w:tcBorders>
              <w:top w:val="nil"/>
              <w:left w:val="nil"/>
              <w:bottom w:val="single" w:sz="4" w:space="0" w:color="ADD6EA"/>
              <w:right w:val="nil"/>
            </w:tcBorders>
            <w:shd w:val="clear" w:color="000000" w:fill="D6E7F0"/>
            <w:noWrap/>
            <w:vAlign w:val="center"/>
            <w:hideMark/>
          </w:tcPr>
          <w:p w14:paraId="2F03A230" w14:textId="77777777" w:rsidR="003957CD" w:rsidRPr="00F34C09" w:rsidRDefault="003957CD" w:rsidP="00E5179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34C09">
              <w:rPr>
                <w:rFonts w:ascii="Open Sans Semibold" w:eastAsia="Times New Roman" w:hAnsi="Open Sans Semibold" w:cs="Open Sans Semibold"/>
                <w:color w:val="000000"/>
                <w:sz w:val="16"/>
                <w:szCs w:val="16"/>
                <w:lang w:eastAsia="en-AU"/>
              </w:rPr>
              <w:t>1,446</w:t>
            </w:r>
          </w:p>
        </w:tc>
      </w:tr>
    </w:tbl>
    <w:p w14:paraId="5E73491F" w14:textId="77777777" w:rsidR="003957CD" w:rsidRPr="00F47AF8" w:rsidRDefault="003957CD" w:rsidP="003957CD">
      <w:pPr>
        <w:pStyle w:val="Tablefootnote"/>
        <w:rPr>
          <w:rFonts w:ascii="Work Sans SemiBold" w:hAnsi="Work Sans SemiBold" w:cs="Cambria Math"/>
          <w:bCs/>
          <w:color w:val="000000"/>
          <w:szCs w:val="21"/>
          <w:shd w:val="clear" w:color="auto" w:fill="FFFFFF"/>
          <w14:shadow w14:blurRad="50800" w14:dist="50800" w14:dir="5400000" w14:sx="0" w14:sy="0" w14:kx="0" w14:ky="0" w14:algn="ctr">
            <w14:srgbClr w14:val="000000">
              <w14:alpha w14:val="1000"/>
            </w14:srgbClr>
          </w14:shadow>
        </w:rPr>
      </w:pPr>
      <w:r w:rsidRPr="00F47AF8">
        <w:br w:type="page"/>
      </w:r>
    </w:p>
    <w:p w14:paraId="07C921ED" w14:textId="77777777" w:rsidR="003957CD" w:rsidRPr="00F47AF8" w:rsidRDefault="003957CD" w:rsidP="00371E5F">
      <w:pPr>
        <w:pStyle w:val="CGC2025Caption"/>
        <w:ind w:left="1276" w:hanging="1276"/>
      </w:pPr>
      <w:r w:rsidRPr="00F47AF8">
        <w:lastRenderedPageBreak/>
        <w:t>Figure 3-8</w:t>
      </w:r>
      <w:r w:rsidRPr="00F47AF8">
        <w:tab/>
        <w:t>Northern</w:t>
      </w:r>
      <w:r>
        <w:t> </w:t>
      </w:r>
      <w:r w:rsidRPr="00F47AF8">
        <w:t>Territory: main changes in assessed GST needs, 2026</w:t>
      </w:r>
      <w:r w:rsidRPr="00BA42D7">
        <w:t>–</w:t>
      </w:r>
      <w:r>
        <w:t>27 relativities</w:t>
      </w:r>
    </w:p>
    <w:tbl>
      <w:tblPr>
        <w:tblW w:w="9260" w:type="dxa"/>
        <w:tblLook w:val="04A0" w:firstRow="1" w:lastRow="0" w:firstColumn="1" w:lastColumn="0" w:noHBand="0" w:noVBand="1"/>
      </w:tblPr>
      <w:tblGrid>
        <w:gridCol w:w="2780"/>
        <w:gridCol w:w="720"/>
        <w:gridCol w:w="720"/>
        <w:gridCol w:w="5040"/>
      </w:tblGrid>
      <w:tr w:rsidR="003957CD" w:rsidRPr="0066473A" w14:paraId="5D8E97C5" w14:textId="77777777" w:rsidTr="00E51790">
        <w:trPr>
          <w:trHeight w:val="290"/>
        </w:trPr>
        <w:tc>
          <w:tcPr>
            <w:tcW w:w="9260" w:type="dxa"/>
            <w:gridSpan w:val="4"/>
            <w:tcBorders>
              <w:top w:val="nil"/>
              <w:left w:val="nil"/>
              <w:bottom w:val="nil"/>
              <w:right w:val="nil"/>
            </w:tcBorders>
            <w:shd w:val="clear" w:color="000000" w:fill="006991"/>
            <w:vAlign w:val="center"/>
            <w:hideMark/>
          </w:tcPr>
          <w:p w14:paraId="4A2737A5"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66473A">
              <w:rPr>
                <w:rFonts w:ascii="Open Sans Semibold" w:eastAsia="Times New Roman" w:hAnsi="Open Sans Semibold" w:cs="Open Sans Semibold"/>
                <w:color w:val="FFFFFF"/>
                <w:sz w:val="16"/>
                <w:szCs w:val="16"/>
                <w:lang w:eastAsia="en-AU"/>
              </w:rPr>
              <w:t>Revisions</w:t>
            </w:r>
          </w:p>
        </w:tc>
      </w:tr>
      <w:tr w:rsidR="003957CD" w:rsidRPr="0066473A" w14:paraId="758E4C41" w14:textId="77777777" w:rsidTr="00E51790">
        <w:trPr>
          <w:trHeight w:val="290"/>
        </w:trPr>
        <w:tc>
          <w:tcPr>
            <w:tcW w:w="2780" w:type="dxa"/>
            <w:tcBorders>
              <w:top w:val="single" w:sz="4" w:space="0" w:color="ADD6EA"/>
              <w:left w:val="nil"/>
              <w:bottom w:val="nil"/>
              <w:right w:val="nil"/>
            </w:tcBorders>
            <w:shd w:val="clear" w:color="000000" w:fill="D6E7F0"/>
            <w:hideMark/>
          </w:tcPr>
          <w:p w14:paraId="426150CF"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2A65F2C9" w14:textId="77777777" w:rsidR="003957CD" w:rsidRPr="0066473A"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241FDDD7"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Explanation</w:t>
            </w:r>
          </w:p>
        </w:tc>
      </w:tr>
      <w:tr w:rsidR="003957CD" w:rsidRPr="0066473A" w14:paraId="05FFAFAE" w14:textId="77777777" w:rsidTr="00E51790">
        <w:trPr>
          <w:trHeight w:val="290"/>
        </w:trPr>
        <w:tc>
          <w:tcPr>
            <w:tcW w:w="2780" w:type="dxa"/>
            <w:tcBorders>
              <w:top w:val="single" w:sz="4" w:space="0" w:color="ADD6EA"/>
              <w:left w:val="nil"/>
              <w:bottom w:val="nil"/>
              <w:right w:val="nil"/>
            </w:tcBorders>
            <w:shd w:val="clear" w:color="000000" w:fill="B6D5E4"/>
            <w:hideMark/>
          </w:tcPr>
          <w:p w14:paraId="6F1060EE"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62638C76" w14:textId="77777777" w:rsidR="003957CD" w:rsidRPr="0066473A"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20106A67" w14:textId="77777777" w:rsidR="003957CD" w:rsidRPr="0066473A"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30CEBB99"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 </w:t>
            </w:r>
          </w:p>
        </w:tc>
      </w:tr>
      <w:tr w:rsidR="003957CD" w:rsidRPr="0066473A" w14:paraId="2A83A17C" w14:textId="77777777" w:rsidTr="005F7F1E">
        <w:trPr>
          <w:trHeight w:val="1148"/>
        </w:trPr>
        <w:tc>
          <w:tcPr>
            <w:tcW w:w="2780" w:type="dxa"/>
            <w:tcBorders>
              <w:top w:val="single" w:sz="4" w:space="0" w:color="ADD6EA"/>
              <w:left w:val="nil"/>
              <w:bottom w:val="nil"/>
              <w:right w:val="nil"/>
            </w:tcBorders>
            <w:shd w:val="clear" w:color="000000" w:fill="FFFFFF"/>
            <w:hideMark/>
          </w:tcPr>
          <w:p w14:paraId="3D036A8C"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Population dispersion</w:t>
            </w:r>
          </w:p>
        </w:tc>
        <w:tc>
          <w:tcPr>
            <w:tcW w:w="720" w:type="dxa"/>
            <w:tcBorders>
              <w:top w:val="single" w:sz="4" w:space="0" w:color="ADD6EA"/>
              <w:left w:val="nil"/>
              <w:bottom w:val="nil"/>
              <w:right w:val="nil"/>
            </w:tcBorders>
            <w:shd w:val="clear" w:color="000000" w:fill="EBBFA0"/>
            <w:hideMark/>
          </w:tcPr>
          <w:p w14:paraId="471B4983"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-66</w:t>
            </w:r>
          </w:p>
        </w:tc>
        <w:tc>
          <w:tcPr>
            <w:tcW w:w="720" w:type="dxa"/>
            <w:tcBorders>
              <w:top w:val="single" w:sz="4" w:space="0" w:color="ADD6EA"/>
              <w:left w:val="nil"/>
              <w:bottom w:val="nil"/>
              <w:right w:val="nil"/>
            </w:tcBorders>
            <w:shd w:val="clear" w:color="000000" w:fill="EBBFA0"/>
            <w:hideMark/>
          </w:tcPr>
          <w:p w14:paraId="7CDFF975"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-245</w:t>
            </w:r>
          </w:p>
        </w:tc>
        <w:tc>
          <w:tcPr>
            <w:tcW w:w="5040" w:type="dxa"/>
            <w:tcBorders>
              <w:top w:val="single" w:sz="4" w:space="0" w:color="ADD6EA"/>
              <w:left w:val="nil"/>
              <w:bottom w:val="nil"/>
              <w:right w:val="nil"/>
            </w:tcBorders>
            <w:shd w:val="clear" w:color="000000" w:fill="FFFFFF"/>
            <w:hideMark/>
          </w:tcPr>
          <w:p w14:paraId="3771F9A9" w14:textId="49364B0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Previous data had misclassified some major city hospital activity to other remoteness areas. This revision increase</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 xml:space="preserve"> the costs of providing health services in major cities and decrease</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 xml:space="preserve"> costs for other areas. This reduce</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 xml:space="preserve"> assessed GST needs </w:t>
            </w:r>
            <w:r w:rsidR="00B63491">
              <w:rPr>
                <w:rFonts w:ascii="Open Sans Light" w:eastAsia="Times New Roman" w:hAnsi="Open Sans Light" w:cs="Open Sans Light"/>
                <w:color w:val="000000"/>
                <w:sz w:val="16"/>
                <w:szCs w:val="16"/>
                <w:lang w:eastAsia="en-AU"/>
              </w:rPr>
              <w:t>of</w:t>
            </w:r>
            <w:r w:rsidR="00B63491" w:rsidRPr="0066473A">
              <w:rPr>
                <w:rFonts w:ascii="Open Sans Light" w:eastAsia="Times New Roman" w:hAnsi="Open Sans Light" w:cs="Open Sans Light"/>
                <w:color w:val="000000"/>
                <w:sz w:val="16"/>
                <w:szCs w:val="16"/>
                <w:lang w:eastAsia="en-AU"/>
              </w:rPr>
              <w:t xml:space="preserve"> </w:t>
            </w:r>
            <w:r w:rsidRPr="0066473A">
              <w:rPr>
                <w:rFonts w:ascii="Open Sans Light" w:eastAsia="Times New Roman" w:hAnsi="Open Sans Light" w:cs="Open Sans Light"/>
                <w:color w:val="000000"/>
                <w:sz w:val="16"/>
                <w:szCs w:val="16"/>
                <w:lang w:eastAsia="en-AU"/>
              </w:rPr>
              <w:t>states with more regional and remote areas, including the Northern Territory.</w:t>
            </w:r>
          </w:p>
        </w:tc>
      </w:tr>
      <w:tr w:rsidR="003957CD" w:rsidRPr="0066473A" w14:paraId="1126997E" w14:textId="77777777" w:rsidTr="00E51790">
        <w:trPr>
          <w:trHeight w:val="720"/>
        </w:trPr>
        <w:tc>
          <w:tcPr>
            <w:tcW w:w="2780" w:type="dxa"/>
            <w:tcBorders>
              <w:top w:val="single" w:sz="4" w:space="0" w:color="ADD6EA"/>
              <w:left w:val="nil"/>
              <w:bottom w:val="nil"/>
              <w:right w:val="nil"/>
            </w:tcBorders>
            <w:shd w:val="clear" w:color="000000" w:fill="FFFFFF"/>
            <w:hideMark/>
          </w:tcPr>
          <w:p w14:paraId="16D6EAC4"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 xml:space="preserve">Relative growth of investment needs for </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chools</w:t>
            </w:r>
          </w:p>
        </w:tc>
        <w:tc>
          <w:tcPr>
            <w:tcW w:w="720" w:type="dxa"/>
            <w:tcBorders>
              <w:top w:val="single" w:sz="4" w:space="0" w:color="ADD6EA"/>
              <w:left w:val="nil"/>
              <w:bottom w:val="nil"/>
              <w:right w:val="nil"/>
            </w:tcBorders>
            <w:shd w:val="clear" w:color="000000" w:fill="ADD6EA"/>
            <w:hideMark/>
          </w:tcPr>
          <w:p w14:paraId="4DF91713"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42</w:t>
            </w:r>
          </w:p>
        </w:tc>
        <w:tc>
          <w:tcPr>
            <w:tcW w:w="720" w:type="dxa"/>
            <w:tcBorders>
              <w:top w:val="single" w:sz="4" w:space="0" w:color="ADD6EA"/>
              <w:left w:val="nil"/>
              <w:bottom w:val="nil"/>
              <w:right w:val="nil"/>
            </w:tcBorders>
            <w:shd w:val="clear" w:color="000000" w:fill="ADD6EA"/>
            <w:hideMark/>
          </w:tcPr>
          <w:p w14:paraId="67F724BE"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157</w:t>
            </w:r>
          </w:p>
        </w:tc>
        <w:tc>
          <w:tcPr>
            <w:tcW w:w="5040" w:type="dxa"/>
            <w:tcBorders>
              <w:top w:val="single" w:sz="4" w:space="0" w:color="ADD6EA"/>
              <w:left w:val="nil"/>
              <w:bottom w:val="nil"/>
              <w:right w:val="nil"/>
            </w:tcBorders>
            <w:shd w:val="clear" w:color="000000" w:fill="FFFFFF"/>
            <w:hideMark/>
          </w:tcPr>
          <w:p w14:paraId="0F497BFF"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Updated data show an increase in the cost of educating First</w:t>
            </w:r>
            <w:r>
              <w:rPr>
                <w:rFonts w:ascii="Open Sans Light" w:eastAsia="Times New Roman" w:hAnsi="Open Sans Light" w:cs="Open Sans Light"/>
                <w:color w:val="000000"/>
                <w:sz w:val="16"/>
                <w:szCs w:val="16"/>
                <w:lang w:eastAsia="en-AU"/>
              </w:rPr>
              <w:t> </w:t>
            </w:r>
            <w:r w:rsidRPr="0066473A">
              <w:rPr>
                <w:rFonts w:ascii="Open Sans Light" w:eastAsia="Times New Roman" w:hAnsi="Open Sans Light" w:cs="Open Sans Light"/>
                <w:color w:val="000000"/>
                <w:sz w:val="16"/>
                <w:szCs w:val="16"/>
                <w:lang w:eastAsia="en-AU"/>
              </w:rPr>
              <w:t>Nations students</w:t>
            </w:r>
            <w:r>
              <w:rPr>
                <w:rFonts w:ascii="Open Sans Light" w:eastAsia="Times New Roman" w:hAnsi="Open Sans Light" w:cs="Open Sans Light"/>
                <w:color w:val="000000"/>
                <w:sz w:val="16"/>
                <w:szCs w:val="16"/>
                <w:lang w:eastAsia="en-AU"/>
              </w:rPr>
              <w:t>,</w:t>
            </w:r>
            <w:r w:rsidRPr="0066473A">
              <w:rPr>
                <w:rFonts w:ascii="Open Sans Light" w:eastAsia="Times New Roman" w:hAnsi="Open Sans Light" w:cs="Open Sans Light"/>
                <w:color w:val="000000"/>
                <w:sz w:val="16"/>
                <w:szCs w:val="16"/>
                <w:lang w:eastAsia="en-AU"/>
              </w:rPr>
              <w:t xml:space="preserve"> which increase</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 xml:space="preserve"> the Northern Territory’s assessed GST needs.</w:t>
            </w:r>
          </w:p>
        </w:tc>
      </w:tr>
      <w:tr w:rsidR="003957CD" w:rsidRPr="0066473A" w14:paraId="6F3E4F62" w14:textId="77777777" w:rsidTr="005F7F1E">
        <w:trPr>
          <w:trHeight w:val="1148"/>
        </w:trPr>
        <w:tc>
          <w:tcPr>
            <w:tcW w:w="2780" w:type="dxa"/>
            <w:tcBorders>
              <w:top w:val="single" w:sz="4" w:space="0" w:color="ADD6EA"/>
              <w:left w:val="nil"/>
              <w:bottom w:val="nil"/>
              <w:right w:val="nil"/>
            </w:tcBorders>
            <w:shd w:val="clear" w:color="000000" w:fill="FFFFFF"/>
            <w:hideMark/>
          </w:tcPr>
          <w:p w14:paraId="10DB1E90"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Net borrowing</w:t>
            </w:r>
          </w:p>
        </w:tc>
        <w:tc>
          <w:tcPr>
            <w:tcW w:w="720" w:type="dxa"/>
            <w:tcBorders>
              <w:top w:val="single" w:sz="4" w:space="0" w:color="ADD6EA"/>
              <w:left w:val="nil"/>
              <w:bottom w:val="nil"/>
              <w:right w:val="nil"/>
            </w:tcBorders>
            <w:shd w:val="clear" w:color="000000" w:fill="EBBFA0"/>
            <w:hideMark/>
          </w:tcPr>
          <w:p w14:paraId="41303F19"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-32</w:t>
            </w:r>
          </w:p>
        </w:tc>
        <w:tc>
          <w:tcPr>
            <w:tcW w:w="720" w:type="dxa"/>
            <w:tcBorders>
              <w:top w:val="single" w:sz="4" w:space="0" w:color="ADD6EA"/>
              <w:left w:val="nil"/>
              <w:bottom w:val="nil"/>
              <w:right w:val="nil"/>
            </w:tcBorders>
            <w:shd w:val="clear" w:color="000000" w:fill="EBBFA0"/>
            <w:hideMark/>
          </w:tcPr>
          <w:p w14:paraId="72F1722D"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-118</w:t>
            </w:r>
          </w:p>
        </w:tc>
        <w:tc>
          <w:tcPr>
            <w:tcW w:w="5040" w:type="dxa"/>
            <w:tcBorders>
              <w:top w:val="single" w:sz="4" w:space="0" w:color="ADD6EA"/>
              <w:left w:val="nil"/>
              <w:bottom w:val="nil"/>
              <w:right w:val="nil"/>
            </w:tcBorders>
            <w:shd w:val="clear" w:color="000000" w:fill="FFFFFF"/>
            <w:hideMark/>
          </w:tcPr>
          <w:p w14:paraId="33B62F38" w14:textId="10DB1BB4"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A downward revision to the size of states</w:t>
            </w:r>
            <w:r>
              <w:rPr>
                <w:rFonts w:ascii="Open Sans Light" w:eastAsia="Times New Roman" w:hAnsi="Open Sans Light" w:cs="Open Sans Light"/>
                <w:color w:val="000000"/>
                <w:sz w:val="16"/>
                <w:szCs w:val="16"/>
                <w:lang w:eastAsia="en-AU"/>
              </w:rPr>
              <w:t>’</w:t>
            </w:r>
            <w:r w:rsidRPr="0066473A">
              <w:rPr>
                <w:rFonts w:ascii="Open Sans Light" w:eastAsia="Times New Roman" w:hAnsi="Open Sans Light" w:cs="Open Sans Light"/>
                <w:color w:val="000000"/>
                <w:sz w:val="16"/>
                <w:szCs w:val="16"/>
                <w:lang w:eastAsia="en-AU"/>
              </w:rPr>
              <w:t xml:space="preserve"> net financial liabilities </w:t>
            </w:r>
            <w:r w:rsidR="00F05F4B">
              <w:rPr>
                <w:rFonts w:ascii="Open Sans Light" w:eastAsia="Times New Roman" w:hAnsi="Open Sans Light" w:cs="Open Sans Light"/>
                <w:color w:val="000000"/>
                <w:sz w:val="16"/>
                <w:szCs w:val="16"/>
                <w:lang w:eastAsia="en-AU"/>
              </w:rPr>
              <w:t xml:space="preserve">has </w:t>
            </w:r>
            <w:r w:rsidRPr="0066473A">
              <w:rPr>
                <w:rFonts w:ascii="Open Sans Light" w:eastAsia="Times New Roman" w:hAnsi="Open Sans Light" w:cs="Open Sans Light"/>
                <w:color w:val="000000"/>
                <w:sz w:val="16"/>
                <w:szCs w:val="16"/>
                <w:lang w:eastAsia="en-AU"/>
              </w:rPr>
              <w:t>reduce</w:t>
            </w:r>
            <w:r w:rsidR="00F05F4B">
              <w:rPr>
                <w:rFonts w:ascii="Open Sans Light" w:eastAsia="Times New Roman" w:hAnsi="Open Sans Light" w:cs="Open Sans Light"/>
                <w:color w:val="000000"/>
                <w:sz w:val="16"/>
                <w:szCs w:val="16"/>
                <w:lang w:eastAsia="en-AU"/>
              </w:rPr>
              <w:t>d</w:t>
            </w:r>
            <w:r w:rsidRPr="0066473A">
              <w:rPr>
                <w:rFonts w:ascii="Open Sans Light" w:eastAsia="Times New Roman" w:hAnsi="Open Sans Light" w:cs="Open Sans Light"/>
                <w:color w:val="000000"/>
                <w:sz w:val="16"/>
                <w:szCs w:val="16"/>
                <w:lang w:eastAsia="en-AU"/>
              </w:rPr>
              <w:t xml:space="preserve"> assessed liabilities per person. The Northern Territory</w:t>
            </w:r>
            <w:r>
              <w:rPr>
                <w:rFonts w:ascii="Open Sans Light" w:eastAsia="Times New Roman" w:hAnsi="Open Sans Light" w:cs="Open Sans Light"/>
                <w:color w:val="000000"/>
                <w:sz w:val="16"/>
                <w:szCs w:val="16"/>
                <w:lang w:eastAsia="en-AU"/>
              </w:rPr>
              <w:t>’</w:t>
            </w:r>
            <w:r w:rsidRPr="0066473A">
              <w:rPr>
                <w:rFonts w:ascii="Open Sans Light" w:eastAsia="Times New Roman" w:hAnsi="Open Sans Light" w:cs="Open Sans Light"/>
                <w:color w:val="000000"/>
                <w:sz w:val="16"/>
                <w:szCs w:val="16"/>
                <w:lang w:eastAsia="en-AU"/>
              </w:rPr>
              <w:t xml:space="preserve">s population growth rate </w:t>
            </w:r>
            <w:r>
              <w:rPr>
                <w:rFonts w:ascii="Open Sans Light" w:eastAsia="Times New Roman" w:hAnsi="Open Sans Light" w:cs="Open Sans Light"/>
                <w:color w:val="000000"/>
                <w:sz w:val="16"/>
                <w:szCs w:val="16"/>
                <w:lang w:eastAsia="en-AU"/>
              </w:rPr>
              <w:t xml:space="preserve">has been </w:t>
            </w:r>
            <w:r w:rsidRPr="0066473A">
              <w:rPr>
                <w:rFonts w:ascii="Open Sans Light" w:eastAsia="Times New Roman" w:hAnsi="Open Sans Light" w:cs="Open Sans Light"/>
                <w:color w:val="000000"/>
                <w:sz w:val="16"/>
                <w:szCs w:val="16"/>
                <w:lang w:eastAsia="en-AU"/>
              </w:rPr>
              <w:t xml:space="preserve">revised up towards the national average, further reducing assessed liabilities per person. </w:t>
            </w:r>
            <w:r>
              <w:rPr>
                <w:rFonts w:ascii="Open Sans Light" w:eastAsia="Times New Roman" w:hAnsi="Open Sans Light" w:cs="Open Sans Light"/>
                <w:color w:val="000000"/>
                <w:sz w:val="16"/>
                <w:szCs w:val="16"/>
                <w:lang w:eastAsia="en-AU"/>
              </w:rPr>
              <w:t>T</w:t>
            </w:r>
            <w:r w:rsidRPr="0066473A">
              <w:rPr>
                <w:rFonts w:ascii="Open Sans Light" w:eastAsia="Times New Roman" w:hAnsi="Open Sans Light" w:cs="Open Sans Light"/>
                <w:color w:val="000000"/>
                <w:sz w:val="16"/>
                <w:szCs w:val="16"/>
                <w:lang w:eastAsia="en-AU"/>
              </w:rPr>
              <w:t xml:space="preserve">hese </w:t>
            </w:r>
            <w:r>
              <w:rPr>
                <w:rFonts w:ascii="Open Sans Light" w:eastAsia="Times New Roman" w:hAnsi="Open Sans Light" w:cs="Open Sans Light"/>
                <w:color w:val="000000"/>
                <w:sz w:val="16"/>
                <w:szCs w:val="16"/>
                <w:lang w:eastAsia="en-AU"/>
              </w:rPr>
              <w:t xml:space="preserve">both </w:t>
            </w:r>
            <w:r w:rsidRPr="0066473A">
              <w:rPr>
                <w:rFonts w:ascii="Open Sans Light" w:eastAsia="Times New Roman" w:hAnsi="Open Sans Light" w:cs="Open Sans Light"/>
                <w:color w:val="000000"/>
                <w:sz w:val="16"/>
                <w:szCs w:val="16"/>
                <w:lang w:eastAsia="en-AU"/>
              </w:rPr>
              <w:t>reduce the Northern Territory’s assessed GST needs.</w:t>
            </w:r>
          </w:p>
        </w:tc>
      </w:tr>
      <w:tr w:rsidR="003957CD" w:rsidRPr="0066473A" w14:paraId="5629108D" w14:textId="77777777" w:rsidTr="00E51790">
        <w:trPr>
          <w:trHeight w:val="290"/>
        </w:trPr>
        <w:tc>
          <w:tcPr>
            <w:tcW w:w="9260" w:type="dxa"/>
            <w:gridSpan w:val="4"/>
            <w:tcBorders>
              <w:top w:val="nil"/>
              <w:left w:val="nil"/>
              <w:bottom w:val="nil"/>
              <w:right w:val="nil"/>
            </w:tcBorders>
            <w:shd w:val="clear" w:color="000000" w:fill="006991"/>
            <w:vAlign w:val="center"/>
            <w:hideMark/>
          </w:tcPr>
          <w:p w14:paraId="44784CDA"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FFFFFF"/>
                <w:sz w:val="16"/>
                <w:szCs w:val="16"/>
                <w:lang w:eastAsia="en-AU"/>
              </w:rPr>
            </w:pPr>
            <w:r w:rsidRPr="0066473A">
              <w:rPr>
                <w:rFonts w:ascii="Open Sans Semibold" w:eastAsia="Times New Roman" w:hAnsi="Open Sans Semibold" w:cs="Open Sans Semibold"/>
                <w:color w:val="FFFFFF"/>
                <w:sz w:val="16"/>
                <w:szCs w:val="16"/>
                <w:lang w:eastAsia="en-AU"/>
              </w:rPr>
              <w:t xml:space="preserve">Changes in circumstances </w:t>
            </w:r>
          </w:p>
        </w:tc>
      </w:tr>
      <w:tr w:rsidR="003957CD" w:rsidRPr="0066473A" w14:paraId="4F99DC54" w14:textId="77777777" w:rsidTr="00E51790">
        <w:trPr>
          <w:trHeight w:val="290"/>
        </w:trPr>
        <w:tc>
          <w:tcPr>
            <w:tcW w:w="2780" w:type="dxa"/>
            <w:tcBorders>
              <w:top w:val="single" w:sz="4" w:space="0" w:color="ADD6EA"/>
              <w:left w:val="nil"/>
              <w:bottom w:val="nil"/>
              <w:right w:val="nil"/>
            </w:tcBorders>
            <w:shd w:val="clear" w:color="000000" w:fill="D6E7F0"/>
            <w:hideMark/>
          </w:tcPr>
          <w:p w14:paraId="006CC466"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Driver</w:t>
            </w:r>
          </w:p>
        </w:tc>
        <w:tc>
          <w:tcPr>
            <w:tcW w:w="1440" w:type="dxa"/>
            <w:gridSpan w:val="2"/>
            <w:tcBorders>
              <w:top w:val="single" w:sz="4" w:space="0" w:color="ADD6EA"/>
              <w:left w:val="nil"/>
              <w:bottom w:val="nil"/>
              <w:right w:val="nil"/>
            </w:tcBorders>
            <w:shd w:val="clear" w:color="000000" w:fill="D6E7F0"/>
            <w:hideMark/>
          </w:tcPr>
          <w:p w14:paraId="67B721FE" w14:textId="77777777" w:rsidR="003957CD" w:rsidRPr="0066473A"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Change</w:t>
            </w:r>
          </w:p>
        </w:tc>
        <w:tc>
          <w:tcPr>
            <w:tcW w:w="5040" w:type="dxa"/>
            <w:tcBorders>
              <w:top w:val="single" w:sz="4" w:space="0" w:color="ADD6EA"/>
              <w:left w:val="nil"/>
              <w:bottom w:val="nil"/>
              <w:right w:val="nil"/>
            </w:tcBorders>
            <w:shd w:val="clear" w:color="000000" w:fill="D6E7F0"/>
            <w:hideMark/>
          </w:tcPr>
          <w:p w14:paraId="779FFC2A"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Explanation</w:t>
            </w:r>
          </w:p>
        </w:tc>
      </w:tr>
      <w:tr w:rsidR="003957CD" w:rsidRPr="0066473A" w14:paraId="5330F209" w14:textId="77777777" w:rsidTr="00E51790">
        <w:trPr>
          <w:trHeight w:val="290"/>
        </w:trPr>
        <w:tc>
          <w:tcPr>
            <w:tcW w:w="2780" w:type="dxa"/>
            <w:tcBorders>
              <w:top w:val="single" w:sz="4" w:space="0" w:color="ADD6EA"/>
              <w:left w:val="nil"/>
              <w:bottom w:val="nil"/>
              <w:right w:val="nil"/>
            </w:tcBorders>
            <w:shd w:val="clear" w:color="000000" w:fill="B6D5E4"/>
            <w:hideMark/>
          </w:tcPr>
          <w:p w14:paraId="5CA67322"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 </w:t>
            </w:r>
          </w:p>
        </w:tc>
        <w:tc>
          <w:tcPr>
            <w:tcW w:w="720" w:type="dxa"/>
            <w:tcBorders>
              <w:top w:val="single" w:sz="4" w:space="0" w:color="ADD6EA"/>
              <w:left w:val="nil"/>
              <w:bottom w:val="nil"/>
              <w:right w:val="nil"/>
            </w:tcBorders>
            <w:shd w:val="clear" w:color="000000" w:fill="B6D5E4"/>
            <w:hideMark/>
          </w:tcPr>
          <w:p w14:paraId="789BB96A" w14:textId="77777777" w:rsidR="003957CD" w:rsidRPr="0066473A"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$m</w:t>
            </w:r>
          </w:p>
        </w:tc>
        <w:tc>
          <w:tcPr>
            <w:tcW w:w="720" w:type="dxa"/>
            <w:tcBorders>
              <w:top w:val="single" w:sz="4" w:space="0" w:color="ADD6EA"/>
              <w:left w:val="nil"/>
              <w:bottom w:val="nil"/>
              <w:right w:val="nil"/>
            </w:tcBorders>
            <w:shd w:val="clear" w:color="000000" w:fill="B6D5E4"/>
            <w:hideMark/>
          </w:tcPr>
          <w:p w14:paraId="0924FE17" w14:textId="77777777" w:rsidR="003957CD" w:rsidRPr="0066473A" w:rsidRDefault="003957CD" w:rsidP="00E51790">
            <w:pPr>
              <w:tabs>
                <w:tab w:val="clear" w:pos="567"/>
              </w:tabs>
              <w:spacing w:before="0" w:line="240" w:lineRule="auto"/>
              <w:jc w:val="center"/>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$pc</w:t>
            </w:r>
          </w:p>
        </w:tc>
        <w:tc>
          <w:tcPr>
            <w:tcW w:w="5040" w:type="dxa"/>
            <w:tcBorders>
              <w:top w:val="single" w:sz="4" w:space="0" w:color="ADD6EA"/>
              <w:left w:val="nil"/>
              <w:bottom w:val="nil"/>
              <w:right w:val="nil"/>
            </w:tcBorders>
            <w:shd w:val="clear" w:color="000000" w:fill="B6D5E4"/>
            <w:hideMark/>
          </w:tcPr>
          <w:p w14:paraId="6B345F17" w14:textId="77777777" w:rsidR="003957CD" w:rsidRPr="0066473A" w:rsidRDefault="003957CD" w:rsidP="00E51790">
            <w:pPr>
              <w:tabs>
                <w:tab w:val="clear" w:pos="567"/>
              </w:tabs>
              <w:spacing w:before="0" w:line="240" w:lineRule="auto"/>
              <w:rPr>
                <w:rFonts w:ascii="Open Sans Semibold" w:eastAsia="Times New Roman" w:hAnsi="Open Sans Semibold" w:cs="Open Sans Semibold"/>
                <w:color w:val="000000"/>
                <w:sz w:val="16"/>
                <w:szCs w:val="16"/>
                <w:lang w:eastAsia="en-AU"/>
              </w:rPr>
            </w:pPr>
            <w:r w:rsidRPr="0066473A">
              <w:rPr>
                <w:rFonts w:ascii="Open Sans Semibold" w:eastAsia="Times New Roman" w:hAnsi="Open Sans Semibold" w:cs="Open Sans Semibold"/>
                <w:color w:val="000000"/>
                <w:sz w:val="16"/>
                <w:szCs w:val="16"/>
                <w:lang w:eastAsia="en-AU"/>
              </w:rPr>
              <w:t> </w:t>
            </w:r>
          </w:p>
        </w:tc>
      </w:tr>
      <w:tr w:rsidR="003957CD" w:rsidRPr="0066473A" w14:paraId="417005CA" w14:textId="77777777" w:rsidTr="005F7F1E">
        <w:trPr>
          <w:trHeight w:val="925"/>
        </w:trPr>
        <w:tc>
          <w:tcPr>
            <w:tcW w:w="2780" w:type="dxa"/>
            <w:tcBorders>
              <w:top w:val="single" w:sz="4" w:space="0" w:color="ADD6EA"/>
              <w:left w:val="nil"/>
              <w:bottom w:val="nil"/>
              <w:right w:val="nil"/>
            </w:tcBorders>
            <w:shd w:val="clear" w:color="000000" w:fill="FFFFFF"/>
            <w:hideMark/>
          </w:tcPr>
          <w:p w14:paraId="17C226B4"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Indigenous status</w:t>
            </w:r>
          </w:p>
        </w:tc>
        <w:tc>
          <w:tcPr>
            <w:tcW w:w="720" w:type="dxa"/>
            <w:tcBorders>
              <w:top w:val="single" w:sz="4" w:space="0" w:color="ADD6EA"/>
              <w:left w:val="nil"/>
              <w:bottom w:val="nil"/>
              <w:right w:val="nil"/>
            </w:tcBorders>
            <w:shd w:val="clear" w:color="000000" w:fill="ADD6EA"/>
            <w:hideMark/>
          </w:tcPr>
          <w:p w14:paraId="0E537C4B"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63</w:t>
            </w:r>
          </w:p>
        </w:tc>
        <w:tc>
          <w:tcPr>
            <w:tcW w:w="720" w:type="dxa"/>
            <w:tcBorders>
              <w:top w:val="single" w:sz="4" w:space="0" w:color="ADD6EA"/>
              <w:left w:val="nil"/>
              <w:bottom w:val="nil"/>
              <w:right w:val="nil"/>
            </w:tcBorders>
            <w:shd w:val="clear" w:color="000000" w:fill="ADD6EA"/>
            <w:hideMark/>
          </w:tcPr>
          <w:p w14:paraId="33D405DD"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234</w:t>
            </w:r>
          </w:p>
        </w:tc>
        <w:tc>
          <w:tcPr>
            <w:tcW w:w="5040" w:type="dxa"/>
            <w:tcBorders>
              <w:top w:val="single" w:sz="4" w:space="0" w:color="ADD6EA"/>
              <w:left w:val="nil"/>
              <w:bottom w:val="nil"/>
              <w:right w:val="nil"/>
            </w:tcBorders>
            <w:shd w:val="clear" w:color="000000" w:fill="FFFFFF"/>
            <w:hideMark/>
          </w:tcPr>
          <w:p w14:paraId="67F1C719"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The increase in costs between 2021–22 and 2024–25 of servicing First Nations populations in health and schools increase</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 xml:space="preserve"> the influence of Indigenous status on the GST distribution. This increase</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 xml:space="preserve"> the Northern Territory</w:t>
            </w:r>
            <w:r>
              <w:rPr>
                <w:rFonts w:ascii="Open Sans Light" w:eastAsia="Times New Roman" w:hAnsi="Open Sans Light" w:cs="Open Sans Light"/>
                <w:color w:val="000000"/>
                <w:sz w:val="16"/>
                <w:szCs w:val="16"/>
                <w:lang w:eastAsia="en-AU"/>
              </w:rPr>
              <w:t>’</w:t>
            </w:r>
            <w:r w:rsidRPr="0066473A">
              <w:rPr>
                <w:rFonts w:ascii="Open Sans Light" w:eastAsia="Times New Roman" w:hAnsi="Open Sans Light" w:cs="Open Sans Light"/>
                <w:color w:val="000000"/>
                <w:sz w:val="16"/>
                <w:szCs w:val="16"/>
                <w:lang w:eastAsia="en-AU"/>
              </w:rPr>
              <w:t>s assessed GST needs.</w:t>
            </w:r>
          </w:p>
        </w:tc>
      </w:tr>
      <w:tr w:rsidR="003957CD" w:rsidRPr="0066473A" w14:paraId="4A02A463" w14:textId="77777777" w:rsidTr="005F7F1E">
        <w:trPr>
          <w:trHeight w:val="938"/>
        </w:trPr>
        <w:tc>
          <w:tcPr>
            <w:tcW w:w="2780" w:type="dxa"/>
            <w:tcBorders>
              <w:top w:val="single" w:sz="4" w:space="0" w:color="ADD6EA"/>
              <w:left w:val="nil"/>
              <w:bottom w:val="nil"/>
              <w:right w:val="nil"/>
            </w:tcBorders>
            <w:shd w:val="clear" w:color="000000" w:fill="FFFFFF"/>
            <w:hideMark/>
          </w:tcPr>
          <w:p w14:paraId="019AEBF4"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Commonwealth payments</w:t>
            </w:r>
          </w:p>
        </w:tc>
        <w:tc>
          <w:tcPr>
            <w:tcW w:w="720" w:type="dxa"/>
            <w:tcBorders>
              <w:top w:val="single" w:sz="4" w:space="0" w:color="ADD6EA"/>
              <w:left w:val="nil"/>
              <w:bottom w:val="nil"/>
              <w:right w:val="nil"/>
            </w:tcBorders>
            <w:shd w:val="clear" w:color="000000" w:fill="EBBFA0"/>
            <w:hideMark/>
          </w:tcPr>
          <w:p w14:paraId="2F5AB3C0"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-33</w:t>
            </w:r>
          </w:p>
        </w:tc>
        <w:tc>
          <w:tcPr>
            <w:tcW w:w="720" w:type="dxa"/>
            <w:tcBorders>
              <w:top w:val="single" w:sz="4" w:space="0" w:color="ADD6EA"/>
              <w:left w:val="nil"/>
              <w:bottom w:val="nil"/>
              <w:right w:val="nil"/>
            </w:tcBorders>
            <w:shd w:val="clear" w:color="000000" w:fill="EBBFA0"/>
            <w:hideMark/>
          </w:tcPr>
          <w:p w14:paraId="45AEAADC"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-124</w:t>
            </w:r>
          </w:p>
        </w:tc>
        <w:tc>
          <w:tcPr>
            <w:tcW w:w="5040" w:type="dxa"/>
            <w:tcBorders>
              <w:top w:val="single" w:sz="4" w:space="0" w:color="ADD6EA"/>
              <w:left w:val="nil"/>
              <w:bottom w:val="nil"/>
              <w:right w:val="nil"/>
            </w:tcBorders>
            <w:shd w:val="clear" w:color="000000" w:fill="FFFFFF"/>
            <w:hideMark/>
          </w:tcPr>
          <w:p w14:paraId="58DDA4A8"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The Northern Territory received a greater relative share of assessed Commonwealth payments in 2024–25 compared with 2021–22, mainly driven by the National Water Grid Fund, reducing its assessed GST needs.</w:t>
            </w:r>
          </w:p>
        </w:tc>
      </w:tr>
      <w:tr w:rsidR="003957CD" w:rsidRPr="0066473A" w14:paraId="18D12A72" w14:textId="77777777" w:rsidTr="005F7F1E">
        <w:trPr>
          <w:trHeight w:val="1366"/>
        </w:trPr>
        <w:tc>
          <w:tcPr>
            <w:tcW w:w="2780" w:type="dxa"/>
            <w:tcBorders>
              <w:top w:val="single" w:sz="4" w:space="0" w:color="ADD6EA"/>
              <w:left w:val="nil"/>
              <w:bottom w:val="nil"/>
              <w:right w:val="nil"/>
            </w:tcBorders>
            <w:shd w:val="clear" w:color="000000" w:fill="FFFFFF"/>
            <w:hideMark/>
          </w:tcPr>
          <w:p w14:paraId="62693E42"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Population dispersion</w:t>
            </w:r>
          </w:p>
        </w:tc>
        <w:tc>
          <w:tcPr>
            <w:tcW w:w="720" w:type="dxa"/>
            <w:tcBorders>
              <w:top w:val="single" w:sz="4" w:space="0" w:color="ADD6EA"/>
              <w:left w:val="nil"/>
              <w:bottom w:val="nil"/>
              <w:right w:val="nil"/>
            </w:tcBorders>
            <w:shd w:val="clear" w:color="000000" w:fill="ADD6EA"/>
            <w:hideMark/>
          </w:tcPr>
          <w:p w14:paraId="7A865113"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32</w:t>
            </w:r>
          </w:p>
        </w:tc>
        <w:tc>
          <w:tcPr>
            <w:tcW w:w="720" w:type="dxa"/>
            <w:tcBorders>
              <w:top w:val="single" w:sz="4" w:space="0" w:color="ADD6EA"/>
              <w:left w:val="nil"/>
              <w:bottom w:val="nil"/>
              <w:right w:val="nil"/>
            </w:tcBorders>
            <w:shd w:val="clear" w:color="000000" w:fill="ADD6EA"/>
            <w:hideMark/>
          </w:tcPr>
          <w:p w14:paraId="0DE143B6"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12</w:t>
            </w:r>
            <w:r>
              <w:rPr>
                <w:rFonts w:ascii="Open Sans Light" w:eastAsia="Times New Roman" w:hAnsi="Open Sans Light" w:cs="Open Sans Light"/>
                <w:color w:val="000000"/>
                <w:sz w:val="16"/>
                <w:szCs w:val="16"/>
                <w:lang w:eastAsia="en-AU"/>
              </w:rPr>
              <w:t>1</w:t>
            </w:r>
          </w:p>
        </w:tc>
        <w:tc>
          <w:tcPr>
            <w:tcW w:w="5040" w:type="dxa"/>
            <w:tcBorders>
              <w:top w:val="single" w:sz="4" w:space="0" w:color="ADD6EA"/>
              <w:left w:val="nil"/>
              <w:bottom w:val="nil"/>
              <w:right w:val="nil"/>
            </w:tcBorders>
            <w:shd w:val="clear" w:color="000000" w:fill="FFFFFF"/>
            <w:hideMark/>
          </w:tcPr>
          <w:p w14:paraId="15EF4FB2" w14:textId="63C004F2"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 xml:space="preserve">Population dispersion is an important </w:t>
            </w:r>
            <w:r w:rsidR="00226D5A">
              <w:rPr>
                <w:rFonts w:ascii="Open Sans Light" w:eastAsia="Times New Roman" w:hAnsi="Open Sans Light" w:cs="Open Sans Light"/>
                <w:color w:val="000000"/>
                <w:sz w:val="16"/>
                <w:szCs w:val="16"/>
                <w:lang w:eastAsia="en-AU"/>
              </w:rPr>
              <w:t xml:space="preserve">cost </w:t>
            </w:r>
            <w:r w:rsidRPr="0066473A">
              <w:rPr>
                <w:rFonts w:ascii="Open Sans Light" w:eastAsia="Times New Roman" w:hAnsi="Open Sans Light" w:cs="Open Sans Light"/>
                <w:color w:val="000000"/>
                <w:sz w:val="16"/>
                <w:szCs w:val="16"/>
                <w:lang w:eastAsia="en-AU"/>
              </w:rPr>
              <w:t xml:space="preserve">driver in </w:t>
            </w:r>
            <w:r w:rsidR="00226D5A">
              <w:rPr>
                <w:rFonts w:ascii="Open Sans Light" w:eastAsia="Times New Roman" w:hAnsi="Open Sans Light" w:cs="Open Sans Light"/>
                <w:color w:val="000000"/>
                <w:sz w:val="16"/>
                <w:szCs w:val="16"/>
                <w:lang w:eastAsia="en-AU"/>
              </w:rPr>
              <w:t xml:space="preserve">the </w:t>
            </w:r>
            <w:r w:rsidRPr="0066473A">
              <w:rPr>
                <w:rFonts w:ascii="Open Sans Light" w:eastAsia="Times New Roman" w:hAnsi="Open Sans Light" w:cs="Open Sans Light"/>
                <w:color w:val="000000"/>
                <w:sz w:val="16"/>
                <w:szCs w:val="16"/>
                <w:lang w:eastAsia="en-AU"/>
              </w:rPr>
              <w:t xml:space="preserve">health </w:t>
            </w:r>
            <w:r w:rsidR="00226D5A">
              <w:rPr>
                <w:rFonts w:ascii="Open Sans Light" w:eastAsia="Times New Roman" w:hAnsi="Open Sans Light" w:cs="Open Sans Light"/>
                <w:color w:val="000000"/>
                <w:sz w:val="16"/>
                <w:szCs w:val="16"/>
                <w:lang w:eastAsia="en-AU"/>
              </w:rPr>
              <w:t xml:space="preserve">assessment </w:t>
            </w:r>
            <w:r w:rsidRPr="0066473A">
              <w:rPr>
                <w:rFonts w:ascii="Open Sans Light" w:eastAsia="Times New Roman" w:hAnsi="Open Sans Light" w:cs="Open Sans Light"/>
                <w:color w:val="000000"/>
                <w:sz w:val="16"/>
                <w:szCs w:val="16"/>
                <w:lang w:eastAsia="en-AU"/>
              </w:rPr>
              <w:t>and health spending increased between 2021–22 and 2024–25. This increase</w:t>
            </w:r>
            <w:r>
              <w:rPr>
                <w:rFonts w:ascii="Open Sans Light" w:eastAsia="Times New Roman" w:hAnsi="Open Sans Light" w:cs="Open Sans Light"/>
                <w:color w:val="000000"/>
                <w:sz w:val="16"/>
                <w:szCs w:val="16"/>
                <w:lang w:eastAsia="en-AU"/>
              </w:rPr>
              <w:t xml:space="preserve">s </w:t>
            </w:r>
            <w:r w:rsidRPr="0066473A">
              <w:rPr>
                <w:rFonts w:ascii="Open Sans Light" w:eastAsia="Times New Roman" w:hAnsi="Open Sans Light" w:cs="Open Sans Light"/>
                <w:color w:val="000000"/>
                <w:sz w:val="16"/>
                <w:szCs w:val="16"/>
                <w:lang w:eastAsia="en-AU"/>
              </w:rPr>
              <w:t xml:space="preserve">assessed GST needs </w:t>
            </w:r>
            <w:r w:rsidR="00B63491">
              <w:rPr>
                <w:rFonts w:ascii="Open Sans Light" w:eastAsia="Times New Roman" w:hAnsi="Open Sans Light" w:cs="Open Sans Light"/>
                <w:color w:val="000000"/>
                <w:sz w:val="16"/>
                <w:szCs w:val="16"/>
                <w:lang w:eastAsia="en-AU"/>
              </w:rPr>
              <w:t>of</w:t>
            </w:r>
            <w:r w:rsidR="00B63491" w:rsidRPr="0066473A">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states with more</w:t>
            </w:r>
            <w:r w:rsidRPr="0066473A">
              <w:rPr>
                <w:rFonts w:ascii="Open Sans Light" w:eastAsia="Times New Roman" w:hAnsi="Open Sans Light" w:cs="Open Sans Light"/>
                <w:color w:val="000000"/>
                <w:sz w:val="16"/>
                <w:szCs w:val="16"/>
                <w:lang w:eastAsia="en-AU"/>
              </w:rPr>
              <w:t xml:space="preserve"> remote </w:t>
            </w:r>
            <w:r>
              <w:rPr>
                <w:rFonts w:ascii="Open Sans Light" w:eastAsia="Times New Roman" w:hAnsi="Open Sans Light" w:cs="Open Sans Light"/>
                <w:color w:val="000000"/>
                <w:sz w:val="16"/>
                <w:szCs w:val="16"/>
                <w:lang w:eastAsia="en-AU"/>
              </w:rPr>
              <w:t>areas,</w:t>
            </w:r>
            <w:r w:rsidRPr="0066473A">
              <w:rPr>
                <w:rFonts w:ascii="Open Sans Light" w:eastAsia="Times New Roman" w:hAnsi="Open Sans Light" w:cs="Open Sans Light"/>
                <w:color w:val="000000"/>
                <w:sz w:val="16"/>
                <w:szCs w:val="16"/>
                <w:lang w:eastAsia="en-AU"/>
              </w:rPr>
              <w:t xml:space="preserve"> including the Northern Territory. Above-average increases in the cost of admitted patients in outer regional areas further increase the Northern Territory</w:t>
            </w:r>
            <w:r>
              <w:rPr>
                <w:rFonts w:ascii="Open Sans Light" w:eastAsia="Times New Roman" w:hAnsi="Open Sans Light" w:cs="Open Sans Light"/>
                <w:color w:val="000000"/>
                <w:sz w:val="16"/>
                <w:szCs w:val="16"/>
                <w:lang w:eastAsia="en-AU"/>
              </w:rPr>
              <w:t>’</w:t>
            </w:r>
            <w:r w:rsidRPr="0066473A">
              <w:rPr>
                <w:rFonts w:ascii="Open Sans Light" w:eastAsia="Times New Roman" w:hAnsi="Open Sans Light" w:cs="Open Sans Light"/>
                <w:color w:val="000000"/>
                <w:sz w:val="16"/>
                <w:szCs w:val="16"/>
                <w:lang w:eastAsia="en-AU"/>
              </w:rPr>
              <w:t>s assessed GST needs.</w:t>
            </w:r>
          </w:p>
        </w:tc>
      </w:tr>
      <w:tr w:rsidR="003957CD" w:rsidRPr="0066473A" w14:paraId="7BAC653C" w14:textId="77777777" w:rsidTr="005F7F1E">
        <w:trPr>
          <w:trHeight w:val="1130"/>
        </w:trPr>
        <w:tc>
          <w:tcPr>
            <w:tcW w:w="2780" w:type="dxa"/>
            <w:tcBorders>
              <w:top w:val="single" w:sz="4" w:space="0" w:color="ADD6EA"/>
              <w:left w:val="nil"/>
              <w:bottom w:val="single" w:sz="4" w:space="0" w:color="ADD6EA"/>
              <w:right w:val="nil"/>
            </w:tcBorders>
            <w:shd w:val="clear" w:color="000000" w:fill="FFFFFF"/>
            <w:hideMark/>
          </w:tcPr>
          <w:p w14:paraId="2B561588" w14:textId="7777777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Mining production</w:t>
            </w:r>
          </w:p>
        </w:tc>
        <w:tc>
          <w:tcPr>
            <w:tcW w:w="720" w:type="dxa"/>
            <w:tcBorders>
              <w:top w:val="single" w:sz="4" w:space="0" w:color="ADD6EA"/>
              <w:left w:val="nil"/>
              <w:bottom w:val="single" w:sz="4" w:space="0" w:color="ADD6EA"/>
              <w:right w:val="nil"/>
            </w:tcBorders>
            <w:shd w:val="clear" w:color="000000" w:fill="EBBFA0"/>
            <w:hideMark/>
          </w:tcPr>
          <w:p w14:paraId="2084CC23"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-27</w:t>
            </w:r>
          </w:p>
        </w:tc>
        <w:tc>
          <w:tcPr>
            <w:tcW w:w="720" w:type="dxa"/>
            <w:tcBorders>
              <w:top w:val="single" w:sz="4" w:space="0" w:color="ADD6EA"/>
              <w:left w:val="nil"/>
              <w:bottom w:val="single" w:sz="4" w:space="0" w:color="ADD6EA"/>
              <w:right w:val="nil"/>
            </w:tcBorders>
            <w:shd w:val="clear" w:color="000000" w:fill="EBBFA0"/>
            <w:hideMark/>
          </w:tcPr>
          <w:p w14:paraId="21982A5E" w14:textId="77777777" w:rsidR="003957CD" w:rsidRPr="0066473A" w:rsidRDefault="003957CD" w:rsidP="00E51790">
            <w:pPr>
              <w:tabs>
                <w:tab w:val="clear" w:pos="567"/>
              </w:tabs>
              <w:spacing w:before="0" w:line="240" w:lineRule="auto"/>
              <w:jc w:val="center"/>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-102</w:t>
            </w:r>
          </w:p>
        </w:tc>
        <w:tc>
          <w:tcPr>
            <w:tcW w:w="5040" w:type="dxa"/>
            <w:tcBorders>
              <w:top w:val="single" w:sz="4" w:space="0" w:color="ADD6EA"/>
              <w:left w:val="nil"/>
              <w:bottom w:val="single" w:sz="4" w:space="0" w:color="ADD6EA"/>
              <w:right w:val="nil"/>
            </w:tcBorders>
            <w:shd w:val="clear" w:color="000000" w:fill="FFFFFF"/>
            <w:hideMark/>
          </w:tcPr>
          <w:p w14:paraId="659E0ED8" w14:textId="31FB9BC7" w:rsidR="003957CD" w:rsidRPr="0066473A" w:rsidRDefault="003957CD" w:rsidP="00E51790">
            <w:pPr>
              <w:tabs>
                <w:tab w:val="clear" w:pos="567"/>
              </w:tabs>
              <w:spacing w:before="0" w:line="240" w:lineRule="auto"/>
              <w:rPr>
                <w:rFonts w:ascii="Open Sans Light" w:eastAsia="Times New Roman" w:hAnsi="Open Sans Light" w:cs="Open Sans Light"/>
                <w:color w:val="000000"/>
                <w:sz w:val="16"/>
                <w:szCs w:val="16"/>
                <w:lang w:eastAsia="en-AU"/>
              </w:rPr>
            </w:pPr>
            <w:r w:rsidRPr="0066473A">
              <w:rPr>
                <w:rFonts w:ascii="Open Sans Light" w:eastAsia="Times New Roman" w:hAnsi="Open Sans Light" w:cs="Open Sans Light"/>
                <w:color w:val="000000"/>
                <w:sz w:val="16"/>
                <w:szCs w:val="16"/>
                <w:lang w:eastAsia="en-AU"/>
              </w:rPr>
              <w:t>Coal and iron ore prices fell between 2021–22 and 2024–25. This decrease</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 xml:space="preserve"> Queensland’s and Western Australia’s revenue raising capacities and increase</w:t>
            </w:r>
            <w:r>
              <w:rPr>
                <w:rFonts w:ascii="Open Sans Light" w:eastAsia="Times New Roman" w:hAnsi="Open Sans Light" w:cs="Open Sans Light"/>
                <w:color w:val="000000"/>
                <w:sz w:val="16"/>
                <w:szCs w:val="16"/>
                <w:lang w:eastAsia="en-AU"/>
              </w:rPr>
              <w:t>s</w:t>
            </w:r>
            <w:r w:rsidRPr="0066473A">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their </w:t>
            </w:r>
            <w:r w:rsidRPr="0066473A">
              <w:rPr>
                <w:rFonts w:ascii="Open Sans Light" w:eastAsia="Times New Roman" w:hAnsi="Open Sans Light" w:cs="Open Sans Light"/>
                <w:color w:val="000000"/>
                <w:sz w:val="16"/>
                <w:szCs w:val="16"/>
                <w:lang w:eastAsia="en-AU"/>
              </w:rPr>
              <w:t xml:space="preserve">assessed GST needs. </w:t>
            </w:r>
            <w:r>
              <w:rPr>
                <w:rFonts w:ascii="Open Sans Light" w:eastAsia="Times New Roman" w:hAnsi="Open Sans Light" w:cs="Open Sans Light"/>
                <w:color w:val="000000"/>
                <w:sz w:val="16"/>
                <w:szCs w:val="16"/>
                <w:lang w:eastAsia="en-AU"/>
              </w:rPr>
              <w:t xml:space="preserve">Consequently, </w:t>
            </w:r>
            <w:proofErr w:type="gramStart"/>
            <w:r>
              <w:rPr>
                <w:rFonts w:ascii="Open Sans Light" w:eastAsia="Times New Roman" w:hAnsi="Open Sans Light" w:cs="Open Sans Light"/>
                <w:color w:val="000000"/>
                <w:sz w:val="16"/>
                <w:szCs w:val="16"/>
                <w:lang w:eastAsia="en-AU"/>
              </w:rPr>
              <w:t>t</w:t>
            </w:r>
            <w:r w:rsidRPr="0066473A">
              <w:rPr>
                <w:rFonts w:ascii="Open Sans Light" w:eastAsia="Times New Roman" w:hAnsi="Open Sans Light" w:cs="Open Sans Light"/>
                <w:color w:val="000000"/>
                <w:sz w:val="16"/>
                <w:szCs w:val="16"/>
                <w:lang w:eastAsia="en-AU"/>
              </w:rPr>
              <w:t>his decrease</w:t>
            </w:r>
            <w:r>
              <w:rPr>
                <w:rFonts w:ascii="Open Sans Light" w:eastAsia="Times New Roman" w:hAnsi="Open Sans Light" w:cs="Open Sans Light"/>
                <w:color w:val="000000"/>
                <w:sz w:val="16"/>
                <w:szCs w:val="16"/>
                <w:lang w:eastAsia="en-AU"/>
              </w:rPr>
              <w:t>s</w:t>
            </w:r>
            <w:proofErr w:type="gramEnd"/>
            <w:r w:rsidRPr="0066473A">
              <w:rPr>
                <w:rFonts w:ascii="Open Sans Light" w:eastAsia="Times New Roman" w:hAnsi="Open Sans Light" w:cs="Open Sans Light"/>
                <w:color w:val="000000"/>
                <w:sz w:val="16"/>
                <w:szCs w:val="16"/>
                <w:lang w:eastAsia="en-AU"/>
              </w:rPr>
              <w:t xml:space="preserve"> assesse</w:t>
            </w:r>
            <w:r w:rsidR="00344298">
              <w:rPr>
                <w:rFonts w:ascii="Open Sans Light" w:eastAsia="Times New Roman" w:hAnsi="Open Sans Light" w:cs="Open Sans Light"/>
                <w:color w:val="000000"/>
                <w:sz w:val="16"/>
                <w:szCs w:val="16"/>
                <w:lang w:eastAsia="en-AU"/>
              </w:rPr>
              <w:t>d</w:t>
            </w:r>
            <w:r w:rsidRPr="0066473A">
              <w:rPr>
                <w:rFonts w:ascii="Open Sans Light" w:eastAsia="Times New Roman" w:hAnsi="Open Sans Light" w:cs="Open Sans Light"/>
                <w:color w:val="000000"/>
                <w:sz w:val="16"/>
                <w:szCs w:val="16"/>
                <w:lang w:eastAsia="en-AU"/>
              </w:rPr>
              <w:t xml:space="preserve"> GST needs </w:t>
            </w:r>
            <w:r w:rsidR="00B63491">
              <w:rPr>
                <w:rFonts w:ascii="Open Sans Light" w:eastAsia="Times New Roman" w:hAnsi="Open Sans Light" w:cs="Open Sans Light"/>
                <w:color w:val="000000"/>
                <w:sz w:val="16"/>
                <w:szCs w:val="16"/>
                <w:lang w:eastAsia="en-AU"/>
              </w:rPr>
              <w:t>of</w:t>
            </w:r>
            <w:r w:rsidR="00B63491" w:rsidRPr="0066473A">
              <w:rPr>
                <w:rFonts w:ascii="Open Sans Light" w:eastAsia="Times New Roman" w:hAnsi="Open Sans Light" w:cs="Open Sans Light"/>
                <w:color w:val="000000"/>
                <w:sz w:val="16"/>
                <w:szCs w:val="16"/>
                <w:lang w:eastAsia="en-AU"/>
              </w:rPr>
              <w:t xml:space="preserve"> </w:t>
            </w:r>
            <w:r>
              <w:rPr>
                <w:rFonts w:ascii="Open Sans Light" w:eastAsia="Times New Roman" w:hAnsi="Open Sans Light" w:cs="Open Sans Light"/>
                <w:color w:val="000000"/>
                <w:sz w:val="16"/>
                <w:szCs w:val="16"/>
                <w:lang w:eastAsia="en-AU"/>
              </w:rPr>
              <w:t xml:space="preserve">the </w:t>
            </w:r>
            <w:r w:rsidRPr="0066473A">
              <w:rPr>
                <w:rFonts w:ascii="Open Sans Light" w:eastAsia="Times New Roman" w:hAnsi="Open Sans Light" w:cs="Open Sans Light"/>
                <w:color w:val="000000"/>
                <w:sz w:val="16"/>
                <w:szCs w:val="16"/>
                <w:lang w:eastAsia="en-AU"/>
              </w:rPr>
              <w:t>other states, including the Northern Territory.</w:t>
            </w:r>
          </w:p>
        </w:tc>
      </w:tr>
    </w:tbl>
    <w:p w14:paraId="1FB496CD" w14:textId="77777777" w:rsidR="003957CD" w:rsidRPr="00E0718D" w:rsidRDefault="003957CD" w:rsidP="003957CD">
      <w:pPr>
        <w:pStyle w:val="Tableheading"/>
      </w:pPr>
    </w:p>
    <w:p w14:paraId="6E09EE71" w14:textId="77777777" w:rsidR="003957CD" w:rsidRPr="00C6523E" w:rsidRDefault="003957CD" w:rsidP="003957CD"/>
    <w:p w14:paraId="53F3B8EE" w14:textId="243EE346" w:rsidR="003957CD" w:rsidRDefault="003957CD">
      <w:pPr>
        <w:tabs>
          <w:tab w:val="clear" w:pos="567"/>
        </w:tabs>
        <w:spacing w:before="0" w:line="240" w:lineRule="auto"/>
        <w:rPr>
          <w:rFonts w:ascii="Open Sans Light" w:eastAsia="Times New Roman" w:hAnsi="Open Sans Light" w:cs="Times New Roman"/>
          <w:szCs w:val="20"/>
        </w:rPr>
      </w:pPr>
      <w:r>
        <w:rPr>
          <w:rFonts w:ascii="Open Sans Light" w:eastAsia="Times New Roman" w:hAnsi="Open Sans Light" w:cs="Times New Roman"/>
          <w:szCs w:val="20"/>
        </w:rPr>
        <w:br w:type="page"/>
      </w:r>
    </w:p>
    <w:p w14:paraId="3AC336C9" w14:textId="219CB90E" w:rsidR="003957CD" w:rsidRDefault="003957CD" w:rsidP="003957CD">
      <w:pPr>
        <w:pStyle w:val="Heading1"/>
        <w:numPr>
          <w:ilvl w:val="0"/>
          <w:numId w:val="0"/>
        </w:numPr>
      </w:pPr>
      <w:bookmarkStart w:id="64" w:name="_Toc222762275"/>
      <w:r>
        <w:lastRenderedPageBreak/>
        <w:t xml:space="preserve">Appendix A: </w:t>
      </w:r>
      <w:r w:rsidR="008C257B">
        <w:t>T</w:t>
      </w:r>
      <w:r>
        <w:t xml:space="preserve">he Commission’s </w:t>
      </w:r>
      <w:r w:rsidR="001D2D3F">
        <w:t>a</w:t>
      </w:r>
      <w:r>
        <w:t>pproach</w:t>
      </w:r>
      <w:bookmarkEnd w:id="64"/>
    </w:p>
    <w:p w14:paraId="6E198ED7" w14:textId="77777777" w:rsidR="003957CD" w:rsidRPr="004A1395" w:rsidRDefault="003957CD" w:rsidP="003957CD">
      <w:pPr>
        <w:pStyle w:val="Heading2"/>
      </w:pPr>
      <w:r w:rsidRPr="00E56F3A">
        <w:t>Horizontal fiscal equalisation</w:t>
      </w:r>
    </w:p>
    <w:p w14:paraId="6589B56E" w14:textId="77777777" w:rsidR="003957CD" w:rsidRPr="004A1395" w:rsidRDefault="003957CD" w:rsidP="003957CD">
      <w:r w:rsidRPr="004A1395">
        <w:t>Pursuing horizontal fiscal equalisation is not an exact science</w:t>
      </w:r>
      <w:r>
        <w:t>.</w:t>
      </w:r>
      <w:r w:rsidRPr="004A1395">
        <w:t xml:space="preserve"> </w:t>
      </w:r>
      <w:r>
        <w:t>I</w:t>
      </w:r>
      <w:r w:rsidRPr="004A1395">
        <w:t xml:space="preserve">t depends on the availability of appropriate data and requires the Commission to </w:t>
      </w:r>
      <w:r>
        <w:t>apply</w:t>
      </w:r>
      <w:r w:rsidRPr="004A1395">
        <w:t xml:space="preserve"> estimates, trade</w:t>
      </w:r>
      <w:r>
        <w:noBreakHyphen/>
      </w:r>
      <w:r w:rsidRPr="004A1395">
        <w:t>offs and judgements.</w:t>
      </w:r>
    </w:p>
    <w:p w14:paraId="6F022961" w14:textId="2DA2336A" w:rsidR="003957CD" w:rsidRPr="00067019" w:rsidRDefault="003957CD" w:rsidP="003957CD">
      <w:r w:rsidRPr="00067019">
        <w:t xml:space="preserve">The Commission depends heavily on reliable and fit-for-purpose data. </w:t>
      </w:r>
      <w:r w:rsidRPr="009D457B">
        <w:t>Around every 5</w:t>
      </w:r>
      <w:r>
        <w:t> </w:t>
      </w:r>
      <w:r w:rsidRPr="009D457B">
        <w:t xml:space="preserve">years, the </w:t>
      </w:r>
      <w:r w:rsidR="00A234A3">
        <w:t xml:space="preserve">Commonwealth Treasurer </w:t>
      </w:r>
      <w:r>
        <w:t xml:space="preserve">asks the </w:t>
      </w:r>
      <w:r w:rsidRPr="009D457B">
        <w:t>C</w:t>
      </w:r>
      <w:r>
        <w:t>ommission t</w:t>
      </w:r>
      <w:r w:rsidRPr="009D457B">
        <w:t>o undertake a methodology review</w:t>
      </w:r>
      <w:r>
        <w:t>. The review tests all methods and data to allow changes, where necessary, to support</w:t>
      </w:r>
      <w:r w:rsidRPr="009D457B">
        <w:t xml:space="preserve"> </w:t>
      </w:r>
      <w:r>
        <w:t xml:space="preserve">a continuing fit-for-purpose </w:t>
      </w:r>
      <w:r w:rsidRPr="009D457B">
        <w:t xml:space="preserve">approach. </w:t>
      </w:r>
      <w:r>
        <w:t>B</w:t>
      </w:r>
      <w:r w:rsidRPr="00067019">
        <w:t xml:space="preserve">etween reviews, the Commission </w:t>
      </w:r>
      <w:r>
        <w:t xml:space="preserve">generally </w:t>
      </w:r>
      <w:r w:rsidRPr="00067019">
        <w:t>retains the same assessment methods, providing an annual update incorporating the most recent state financial and other data.</w:t>
      </w:r>
    </w:p>
    <w:p w14:paraId="40FA6812" w14:textId="77777777" w:rsidR="003957CD" w:rsidRPr="00067019" w:rsidRDefault="003957CD" w:rsidP="003957CD">
      <w:r w:rsidRPr="0056343F">
        <w:t>The C</w:t>
      </w:r>
      <w:r>
        <w:t>ommission</w:t>
      </w:r>
      <w:r w:rsidRPr="0056343F">
        <w:t xml:space="preserve"> assesses each state’s revenue raising capacity in comparison to the average revenue collected by all states. The C</w:t>
      </w:r>
      <w:r>
        <w:t>ommission</w:t>
      </w:r>
      <w:r w:rsidRPr="0056343F">
        <w:t xml:space="preserve"> also accounts for circumstances outside the control of each state that affect its cost of providing services, relative to other states. In each revenue and expense assessment, the C</w:t>
      </w:r>
      <w:r>
        <w:t>ommission</w:t>
      </w:r>
      <w:r w:rsidRPr="0056343F">
        <w:t xml:space="preserve"> considers a range of economic, demographic and geographic characteristics (for example</w:t>
      </w:r>
      <w:r>
        <w:t xml:space="preserve">, value of property transferred, </w:t>
      </w:r>
      <w:r w:rsidRPr="0056343F">
        <w:t>age, socio-economic status and levels of remoteness).</w:t>
      </w:r>
    </w:p>
    <w:p w14:paraId="617761DD" w14:textId="3BDCF3B9" w:rsidR="003957CD" w:rsidRPr="00067019" w:rsidRDefault="003957CD" w:rsidP="003957CD">
      <w:r w:rsidRPr="00067019">
        <w:t>The Commission’s recommendation for the distribution of GST is based on a 3-year lagged</w:t>
      </w:r>
      <w:r w:rsidR="004606ED">
        <w:t>,</w:t>
      </w:r>
      <w:r w:rsidRPr="00067019">
        <w:t xml:space="preserve"> moving average of </w:t>
      </w:r>
      <w:r w:rsidR="008A43D9">
        <w:t>state fiscal capacities</w:t>
      </w:r>
      <w:r w:rsidRPr="00067019">
        <w:t xml:space="preserve">. This balances the need for contemporaneity, predictability and smoothing the impacts of </w:t>
      </w:r>
      <w:r>
        <w:t>fiscal shocks</w:t>
      </w:r>
      <w:r w:rsidRPr="00067019">
        <w:t>. States have supported this approach through recent methodology reviews, including the 2025 </w:t>
      </w:r>
      <w:r w:rsidR="009F7E26">
        <w:t>Methodology </w:t>
      </w:r>
      <w:r w:rsidRPr="00067019">
        <w:t>Review.</w:t>
      </w:r>
    </w:p>
    <w:p w14:paraId="3BF247A2" w14:textId="0C0128BB" w:rsidR="003957CD" w:rsidRDefault="003957CD" w:rsidP="003957CD">
      <w:r w:rsidRPr="00F05DE1">
        <w:t>The C</w:t>
      </w:r>
      <w:r w:rsidR="00EE6C45">
        <w:t>ommission</w:t>
      </w:r>
      <w:r w:rsidRPr="00F05DE1">
        <w:t>’s approach to calculating GST relativities is guided by the policy neutrality supporting principle. This means that a state’s policy choices (in relation to the revenue it raises or the services it provides) should not directly influence its GST share. Similarly, the C</w:t>
      </w:r>
      <w:r w:rsidR="00EE6C45">
        <w:t>ommission</w:t>
      </w:r>
      <w:r w:rsidRPr="00F05DE1">
        <w:t>’s assessments should not create incentives or disincentives for states to choose a particular policy approach. For example, a state that runs a larger budget deficit than other states through its policy choices will not be rewarded with an increase in its GST share.</w:t>
      </w:r>
    </w:p>
    <w:p w14:paraId="58B2DE5A" w14:textId="77777777" w:rsidR="003957CD" w:rsidRPr="005A47B4" w:rsidRDefault="003957CD" w:rsidP="003957CD">
      <w:pPr>
        <w:rPr>
          <w:szCs w:val="20"/>
        </w:rPr>
      </w:pPr>
      <w:r w:rsidRPr="005A47B4">
        <w:rPr>
          <w:szCs w:val="20"/>
        </w:rPr>
        <w:t xml:space="preserve">The Commission recognises that in some instances its assessment methods are complex. Complexity is often a result of </w:t>
      </w:r>
      <w:r>
        <w:rPr>
          <w:szCs w:val="20"/>
        </w:rPr>
        <w:t xml:space="preserve">pursuing </w:t>
      </w:r>
      <w:r w:rsidRPr="005A47B4">
        <w:rPr>
          <w:szCs w:val="20"/>
        </w:rPr>
        <w:t xml:space="preserve">methods </w:t>
      </w:r>
      <w:r>
        <w:rPr>
          <w:szCs w:val="20"/>
        </w:rPr>
        <w:t xml:space="preserve">that </w:t>
      </w:r>
      <w:r w:rsidRPr="005A47B4">
        <w:rPr>
          <w:szCs w:val="20"/>
        </w:rPr>
        <w:t>are ‘policy neutral’</w:t>
      </w:r>
      <w:r>
        <w:rPr>
          <w:szCs w:val="20"/>
        </w:rPr>
        <w:t xml:space="preserve"> to the extent possible</w:t>
      </w:r>
      <w:r w:rsidRPr="005A47B4">
        <w:rPr>
          <w:szCs w:val="20"/>
        </w:rPr>
        <w:t>. Complexity can also arise from adopting methods that seek to best reflect a wide range of state expenditures and revenues. The Commission adopts a materiality threshold as a guardrail against undue complexity. States have generally supported this approach.</w:t>
      </w:r>
    </w:p>
    <w:p w14:paraId="61090DFE" w14:textId="77777777" w:rsidR="003957CD" w:rsidRPr="005A47B4" w:rsidRDefault="003957CD" w:rsidP="003957CD">
      <w:r w:rsidRPr="005A47B4">
        <w:t xml:space="preserve">The Commission values collaboration and consultation with states to ensure the most reliable methods are put in place. All the Commission’s calculations are made available to the states, except where states or other data custodians impose confidentiality restrictions on underlying data. Staff from the Commission and state treasuries work together to support </w:t>
      </w:r>
      <w:r>
        <w:t xml:space="preserve">a common </w:t>
      </w:r>
      <w:r w:rsidRPr="005A47B4">
        <w:t xml:space="preserve">understanding </w:t>
      </w:r>
      <w:r>
        <w:t xml:space="preserve">of the Commission’s approach </w:t>
      </w:r>
      <w:r w:rsidRPr="005A47B4">
        <w:t>through training and ongoing dialogue. The Commission is always open to assisting sta</w:t>
      </w:r>
      <w:r>
        <w:t>keholders</w:t>
      </w:r>
      <w:r w:rsidRPr="005A47B4">
        <w:t xml:space="preserve"> to improve their understanding of its assessments and the implications for the distribution of GST revenue.</w:t>
      </w:r>
    </w:p>
    <w:p w14:paraId="336AA74F" w14:textId="77777777" w:rsidR="003957CD" w:rsidRDefault="003957CD" w:rsidP="003957CD">
      <w:r w:rsidRPr="004A1395">
        <w:t xml:space="preserve">The Commission seeks to make its work as consistent, transparent and understandable as possible. </w:t>
      </w:r>
      <w:r w:rsidRPr="005A47B4">
        <w:t xml:space="preserve">To support public understanding, the Commission has introduced an Occasional and Research Paper series. These papers (available on the </w:t>
      </w:r>
      <w:r>
        <w:t>CGC</w:t>
      </w:r>
      <w:r w:rsidRPr="005A47B4">
        <w:t xml:space="preserve"> website) explain in non</w:t>
      </w:r>
      <w:r>
        <w:noBreakHyphen/>
      </w:r>
      <w:r w:rsidRPr="005A47B4">
        <w:t>technical terms how the Commission assesses states’ relative fiscal capacities</w:t>
      </w:r>
      <w:r>
        <w:t xml:space="preserve"> and describe various features of the Commission’s approach</w:t>
      </w:r>
      <w:r w:rsidRPr="005A47B4">
        <w:t>.</w:t>
      </w:r>
    </w:p>
    <w:p w14:paraId="1DA159F8" w14:textId="77777777" w:rsidR="003957CD" w:rsidRPr="00E01D7B" w:rsidRDefault="003957CD" w:rsidP="003957CD">
      <w:pPr>
        <w:pStyle w:val="Heading2"/>
      </w:pPr>
      <w:r w:rsidRPr="00E01D7B">
        <w:t>Estimating states’ relative fiscal capacities</w:t>
      </w:r>
    </w:p>
    <w:p w14:paraId="52053185" w14:textId="600B7D85" w:rsidR="003957CD" w:rsidRPr="00E01D7B" w:rsidRDefault="003957CD" w:rsidP="003957CD">
      <w:r w:rsidRPr="00E01D7B">
        <w:t>The Commission takes account of states’ different abilities to raise revenue and different costs of providing services. It is normal for each state’s GST relativity to change from year to year (see Figure </w:t>
      </w:r>
      <w:r w:rsidR="00D708D8">
        <w:t>A-</w:t>
      </w:r>
      <w:r w:rsidRPr="00E01D7B">
        <w:t xml:space="preserve">1). For example, a state could experience an increased share of property transfers, a decline in its share of Commonwealth payments or an increased </w:t>
      </w:r>
      <w:r w:rsidRPr="00E01D7B">
        <w:lastRenderedPageBreak/>
        <w:t xml:space="preserve">share of national population growth (‘changes in </w:t>
      </w:r>
      <w:r w:rsidR="00AF354D">
        <w:t xml:space="preserve">state </w:t>
      </w:r>
      <w:r w:rsidRPr="00E01D7B">
        <w:t xml:space="preserve">circumstances’). There could be ‘data revisions’, such as updated data on </w:t>
      </w:r>
      <w:r>
        <w:t xml:space="preserve">natural disaster relief expenses </w:t>
      </w:r>
      <w:r w:rsidRPr="00E01D7B">
        <w:t xml:space="preserve">for a year that has already been in the Commission’s calculations. Each state’s GST relativity is also affected by other states’ circumstances or data revisions. The amount of GST each state receives also depends on the size of the GST pool and its share of the national population, as well as the 2018 </w:t>
      </w:r>
      <w:r w:rsidR="007D42B8" w:rsidRPr="00B77163">
        <w:t xml:space="preserve">legislated changes to determining </w:t>
      </w:r>
      <w:r w:rsidR="007D42B8" w:rsidRPr="007D42B8">
        <w:t>relativities</w:t>
      </w:r>
      <w:r w:rsidRPr="007D42B8">
        <w:t>.</w:t>
      </w:r>
    </w:p>
    <w:p w14:paraId="2C499E86" w14:textId="77777777" w:rsidR="003957CD" w:rsidRDefault="003957CD" w:rsidP="003957CD">
      <w:r w:rsidRPr="00E01D7B">
        <w:t xml:space="preserve">The Commission only recommends GST distribution for the upcoming financial year. Forecasts of a state’s GST share beyond one year would be highly uncertain as they would depend on expectations about revenue and expenses, non-contemporaneous data and assumptions about the </w:t>
      </w:r>
      <w:r>
        <w:t xml:space="preserve">future </w:t>
      </w:r>
      <w:r w:rsidRPr="00E01D7B">
        <w:t>movements of all these factors across all 8 states.</w:t>
      </w:r>
    </w:p>
    <w:p w14:paraId="1F53410A" w14:textId="77777777" w:rsidR="003957CD" w:rsidRDefault="003957CD" w:rsidP="003957CD">
      <w:pPr>
        <w:pStyle w:val="CGC2025Caption"/>
      </w:pPr>
      <w:r>
        <w:t>Figure A-1</w:t>
      </w:r>
      <w:r>
        <w:tab/>
        <w:t>GST relativities, 2000–01 to 2026–27</w:t>
      </w:r>
    </w:p>
    <w:p w14:paraId="57F2E59D" w14:textId="77777777" w:rsidR="003957CD" w:rsidRPr="00BD05B2" w:rsidRDefault="003957CD" w:rsidP="003957CD">
      <w:pPr>
        <w:pStyle w:val="BodyText"/>
        <w:rPr>
          <w:lang w:eastAsia="en-US"/>
        </w:rPr>
      </w:pPr>
      <w:r w:rsidRPr="00086B64">
        <w:rPr>
          <w:noProof/>
        </w:rPr>
        <w:drawing>
          <wp:inline distT="0" distB="0" distL="0" distR="0" wp14:anchorId="18F3557B" wp14:editId="4A231657">
            <wp:extent cx="5647690" cy="5086985"/>
            <wp:effectExtent l="0" t="0" r="0" b="0"/>
            <wp:docPr id="14247897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47690" cy="5086985"/>
                    </a:xfrm>
                    <a:prstGeom prst="rect">
                      <a:avLst/>
                    </a:prstGeom>
                    <a:noFill/>
                    <a:ln>
                      <a:noFill/>
                    </a:ln>
                  </pic:spPr>
                </pic:pic>
              </a:graphicData>
            </a:graphic>
          </wp:inline>
        </w:drawing>
      </w:r>
    </w:p>
    <w:p w14:paraId="1BA1CA3A" w14:textId="729EEB01" w:rsidR="008C58FC" w:rsidRDefault="008C58FC">
      <w:pPr>
        <w:tabs>
          <w:tab w:val="clear" w:pos="567"/>
        </w:tabs>
        <w:spacing w:before="0" w:line="240" w:lineRule="auto"/>
        <w:rPr>
          <w:rFonts w:ascii="Open Sans Light" w:eastAsia="Times New Roman" w:hAnsi="Open Sans Light" w:cs="Times New Roman"/>
          <w:szCs w:val="20"/>
        </w:rPr>
      </w:pPr>
      <w:r>
        <w:rPr>
          <w:rFonts w:ascii="Open Sans Light" w:eastAsia="Times New Roman" w:hAnsi="Open Sans Light" w:cs="Times New Roman"/>
          <w:szCs w:val="20"/>
        </w:rPr>
        <w:br w:type="page"/>
      </w:r>
    </w:p>
    <w:p w14:paraId="5D58771A" w14:textId="77777777" w:rsidR="008C58FC" w:rsidRPr="00EC0F6A" w:rsidRDefault="008C58FC" w:rsidP="008C58FC">
      <w:pPr>
        <w:pStyle w:val="Heading1"/>
        <w:numPr>
          <w:ilvl w:val="0"/>
          <w:numId w:val="0"/>
        </w:numPr>
        <w:rPr>
          <w:vertAlign w:val="subscript"/>
        </w:rPr>
      </w:pPr>
      <w:bookmarkStart w:id="65" w:name="_Toc222762276"/>
      <w:r>
        <w:lastRenderedPageBreak/>
        <w:t>Appendix</w:t>
      </w:r>
      <w:r w:rsidRPr="00994C2F">
        <w:t xml:space="preserve"> </w:t>
      </w:r>
      <w:r>
        <w:t>B</w:t>
      </w:r>
      <w:r w:rsidRPr="00994C2F">
        <w:t xml:space="preserve">: </w:t>
      </w:r>
      <w:r>
        <w:t xml:space="preserve">How </w:t>
      </w:r>
      <w:r w:rsidRPr="00994C2F">
        <w:t xml:space="preserve">GST </w:t>
      </w:r>
      <w:r>
        <w:t>relativities are calculated 2026-27</w:t>
      </w:r>
      <w:bookmarkEnd w:id="65"/>
    </w:p>
    <w:p w14:paraId="25DE0646" w14:textId="77777777" w:rsidR="008C58FC" w:rsidRDefault="008C58FC" w:rsidP="008C58FC">
      <w:bookmarkStart w:id="66" w:name="_Toc127802157"/>
      <w:bookmarkStart w:id="67" w:name="_Toc127804780"/>
      <w:r w:rsidRPr="00292199">
        <w:t xml:space="preserve">This </w:t>
      </w:r>
      <w:r>
        <w:t>appendix</w:t>
      </w:r>
      <w:r w:rsidRPr="00292199">
        <w:t xml:space="preserve"> provides details on how GST relativities are calculated.</w:t>
      </w:r>
      <w:bookmarkEnd w:id="66"/>
      <w:bookmarkEnd w:id="67"/>
      <w:r w:rsidRPr="00292199">
        <w:t xml:space="preserve"> </w:t>
      </w:r>
      <w:r w:rsidRPr="000C5F13">
        <w:t xml:space="preserve">Box </w:t>
      </w:r>
      <w:r>
        <w:t>B</w:t>
      </w:r>
      <w:r w:rsidRPr="000C5F13">
        <w:t xml:space="preserve">-1 explains key terms used in the </w:t>
      </w:r>
      <w:r>
        <w:t>appendix</w:t>
      </w:r>
      <w:r w:rsidRPr="000C5F13">
        <w:t xml:space="preserve">. </w:t>
      </w:r>
    </w:p>
    <w:p w14:paraId="51A37F80" w14:textId="77777777" w:rsidR="008C58FC" w:rsidRDefault="008C58FC" w:rsidP="008C58FC">
      <w:pPr>
        <w:tabs>
          <w:tab w:val="clear" w:pos="567"/>
        </w:tabs>
        <w:spacing w:before="0" w:line="240" w:lineRule="auto"/>
        <w:rPr>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8FF"/>
        <w:tblLayout w:type="fixed"/>
        <w:tblLook w:val="04A0" w:firstRow="1" w:lastRow="0" w:firstColumn="1" w:lastColumn="0" w:noHBand="0" w:noVBand="1"/>
      </w:tblPr>
      <w:tblGrid>
        <w:gridCol w:w="9185"/>
      </w:tblGrid>
      <w:tr w:rsidR="008C58FC" w14:paraId="4949BAF0" w14:textId="77777777" w:rsidTr="00E51790">
        <w:tc>
          <w:tcPr>
            <w:tcW w:w="9185" w:type="dxa"/>
            <w:shd w:val="clear" w:color="auto" w:fill="E5F8FF"/>
          </w:tcPr>
          <w:p w14:paraId="085F23B3" w14:textId="6142229B" w:rsidR="008C58FC" w:rsidRDefault="008C58FC" w:rsidP="00E51790">
            <w:pPr>
              <w:pStyle w:val="Heading2"/>
            </w:pPr>
            <w:r>
              <w:t>Box B-1</w:t>
            </w:r>
            <w:r>
              <w:tab/>
              <w:t>Key relativity terms explained</w:t>
            </w:r>
          </w:p>
          <w:p w14:paraId="44E94778" w14:textId="77777777" w:rsidR="008C58FC" w:rsidRPr="00F84471" w:rsidRDefault="008C58FC" w:rsidP="00E51790">
            <w:r w:rsidRPr="00065974">
              <w:t xml:space="preserve">The Commission’s recommendations on GST relativities are consistent with the </w:t>
            </w:r>
            <w:r w:rsidRPr="00065974">
              <w:rPr>
                <w:i/>
              </w:rPr>
              <w:t>Commonwealth Grants Commission Act 1973</w:t>
            </w:r>
            <w:r w:rsidRPr="00065974">
              <w:t xml:space="preserve">, the </w:t>
            </w:r>
            <w:r w:rsidRPr="00065974">
              <w:rPr>
                <w:i/>
              </w:rPr>
              <w:t>Federal Financial Relations Act 2009</w:t>
            </w:r>
            <w:r w:rsidRPr="00065974">
              <w:rPr>
                <w:iCs/>
              </w:rPr>
              <w:t xml:space="preserve">, the </w:t>
            </w:r>
            <w:r w:rsidRPr="00065974">
              <w:rPr>
                <w:i/>
              </w:rPr>
              <w:t xml:space="preserve">Treasury Laws Amendment (Making Sure Every State and Territory Gets Their Fair Share of GST) Act 2018 </w:t>
            </w:r>
            <w:r w:rsidRPr="00065974">
              <w:t>and the terms of reference issued by the Commonwealth Treasurer. The Commission undertakes several steps to produce GST relativities.</w:t>
            </w:r>
          </w:p>
          <w:p w14:paraId="44679E56" w14:textId="77777777" w:rsidR="008C58FC" w:rsidRDefault="008C58FC" w:rsidP="00E51790">
            <w:pPr>
              <w:pStyle w:val="Heading3"/>
            </w:pPr>
            <w:r>
              <w:t>Assessed relativities</w:t>
            </w:r>
          </w:p>
          <w:p w14:paraId="5632179E" w14:textId="77777777" w:rsidR="008C58FC" w:rsidRPr="00C95B56" w:rsidRDefault="008C58FC" w:rsidP="00E51790">
            <w:r w:rsidRPr="00C95B56">
              <w:t xml:space="preserve">Assessed relativities are calculated for each assessment year by comparing each state’s relative </w:t>
            </w:r>
            <w:r>
              <w:t>capacity</w:t>
            </w:r>
            <w:r w:rsidRPr="00C95B56">
              <w:t xml:space="preserve"> to raise revenue with its relative cost of providing services.</w:t>
            </w:r>
            <w:r>
              <w:t xml:space="preserve"> </w:t>
            </w:r>
          </w:p>
          <w:p w14:paraId="5AC0E216" w14:textId="77777777" w:rsidR="008C58FC" w:rsidRPr="00C95B56" w:rsidRDefault="008C58FC" w:rsidP="00E51790">
            <w:r w:rsidRPr="00C95B56">
              <w:t>Drivers of differences in revenue capacity include mineral endowments, land values, property transactions, and taxable payrolls. States also receive different levels of funding through Commonwealth payments.</w:t>
            </w:r>
          </w:p>
          <w:p w14:paraId="34AE5017" w14:textId="77777777" w:rsidR="008C58FC" w:rsidRDefault="008C58FC" w:rsidP="00E51790">
            <w:r w:rsidRPr="00C95B56">
              <w:t>Service costs can vary by state for a range of reasons, including socio-demographic characteristics of the population, wage pressures, population dispersion, population density and rates of population growth.</w:t>
            </w:r>
          </w:p>
          <w:p w14:paraId="1E4363FD" w14:textId="77777777" w:rsidR="008C58FC" w:rsidRDefault="008C58FC" w:rsidP="00E51790">
            <w:pPr>
              <w:pStyle w:val="CGC2025Bullet1"/>
              <w:ind w:left="0" w:firstLine="0"/>
            </w:pPr>
            <w:r w:rsidRPr="004D2A75">
              <w:t xml:space="preserve">Assessed relativities match a state’s assessed expenditure with its assessed revenue including GST. Without the 2018 GST distribution legislation, GST relativities would equal assessed relativities. </w:t>
            </w:r>
          </w:p>
          <w:p w14:paraId="1A5FAE63" w14:textId="77777777" w:rsidR="008C58FC" w:rsidRDefault="008C58FC" w:rsidP="00E51790">
            <w:pPr>
              <w:pStyle w:val="Heading3"/>
            </w:pPr>
            <w:r>
              <w:t>Standard state relativities</w:t>
            </w:r>
          </w:p>
          <w:p w14:paraId="63B1DEC2" w14:textId="00E46E43" w:rsidR="008C58FC" w:rsidRPr="00C95B56" w:rsidRDefault="008C58FC" w:rsidP="00E51790">
            <w:r w:rsidRPr="004D2A75">
              <w:t xml:space="preserve">Standard state relativities are calculated for each assessment year by adjusting assessed relativities so that no state has a relativity </w:t>
            </w:r>
            <w:r w:rsidR="00F44567">
              <w:t>less than</w:t>
            </w:r>
            <w:r w:rsidR="00F44567" w:rsidRPr="004D2A75">
              <w:t xml:space="preserve"> </w:t>
            </w:r>
            <w:r w:rsidRPr="004D2A75">
              <w:t>the lower of New South Wales or Victoria (referred to as the ‘standard state’). Therefore, any state that is fiscally stronger (and therefore has a lower assessed relativity) than the standard state, will</w:t>
            </w:r>
            <w:r w:rsidRPr="00972706">
              <w:t xml:space="preserve"> have its relativity increased to the assessed relativity of the standard state. Given the GST is distributed from a fixed funding pool, relativities for all states are </w:t>
            </w:r>
            <w:r w:rsidRPr="0017649F">
              <w:t>adjusted down</w:t>
            </w:r>
            <w:r>
              <w:t xml:space="preserve"> </w:t>
            </w:r>
            <w:r w:rsidRPr="00972706">
              <w:t>on a population</w:t>
            </w:r>
            <w:r>
              <w:t xml:space="preserve"> </w:t>
            </w:r>
            <w:r w:rsidRPr="00972706">
              <w:t>share basis to accommodate this increase.</w:t>
            </w:r>
          </w:p>
          <w:p w14:paraId="39BBADAA" w14:textId="77777777" w:rsidR="008C58FC" w:rsidRDefault="008C58FC" w:rsidP="00E51790">
            <w:pPr>
              <w:pStyle w:val="Heading3"/>
            </w:pPr>
            <w:r>
              <w:t>GST relativity floor</w:t>
            </w:r>
          </w:p>
          <w:p w14:paraId="70022FE4" w14:textId="7E457534" w:rsidR="008C58FC" w:rsidRDefault="008C58FC" w:rsidP="00E51790">
            <w:r w:rsidRPr="00C95B56">
              <w:t>The GST relativity floor sets a minimum relativity</w:t>
            </w:r>
            <w:r>
              <w:t xml:space="preserve"> (0.75)</w:t>
            </w:r>
            <w:r w:rsidRPr="00C95B56">
              <w:t>, below which a</w:t>
            </w:r>
            <w:r>
              <w:t>ny</w:t>
            </w:r>
            <w:r w:rsidRPr="00C95B56">
              <w:t xml:space="preserve"> state’s per capita share of the GST pool cannot fall</w:t>
            </w:r>
            <w:r w:rsidRPr="00C86309">
              <w:t>. If</w:t>
            </w:r>
            <w:r>
              <w:t xml:space="preserve"> a standard state’s relativity</w:t>
            </w:r>
            <w:r w:rsidRPr="00C95B56">
              <w:t xml:space="preserve"> is below the floor, </w:t>
            </w:r>
            <w:r>
              <w:t xml:space="preserve">its </w:t>
            </w:r>
            <w:r w:rsidRPr="00C95B56">
              <w:t>GST relativity is adjusted up to the floor</w:t>
            </w:r>
            <w:r>
              <w:t>, along with any other states that may also have a GST relativity below this floor after being lifted to the standard state</w:t>
            </w:r>
            <w:r w:rsidRPr="00C95B56">
              <w:t xml:space="preserve">. To accommodate this, the relativities of </w:t>
            </w:r>
            <w:r>
              <w:t xml:space="preserve">the remaining </w:t>
            </w:r>
            <w:r w:rsidRPr="00C95B56">
              <w:t>states are adjusted down on a population</w:t>
            </w:r>
            <w:r>
              <w:t xml:space="preserve"> </w:t>
            </w:r>
            <w:r w:rsidRPr="00C95B56">
              <w:t>share basis.</w:t>
            </w:r>
            <w:r>
              <w:t xml:space="preserve"> In 2026–27, the standard state relativities </w:t>
            </w:r>
            <w:r w:rsidR="00DB1D52">
              <w:t xml:space="preserve">are </w:t>
            </w:r>
            <w:r>
              <w:t xml:space="preserve">above 0.75, so no adjustments related to the GST relativity floor </w:t>
            </w:r>
            <w:r w:rsidR="00DB1D52">
              <w:t xml:space="preserve">have been </w:t>
            </w:r>
            <w:r>
              <w:t>required.</w:t>
            </w:r>
          </w:p>
          <w:p w14:paraId="1EF43591" w14:textId="77777777" w:rsidR="008C58FC" w:rsidRPr="00C95B56" w:rsidRDefault="008C58FC" w:rsidP="00E51790">
            <w:pPr>
              <w:pStyle w:val="Heading3"/>
            </w:pPr>
            <w:r>
              <w:t>GST relativities</w:t>
            </w:r>
          </w:p>
          <w:p w14:paraId="19B7B958" w14:textId="77777777" w:rsidR="008C58FC" w:rsidRPr="00694DD1" w:rsidRDefault="008C58FC" w:rsidP="00E51790">
            <w:r w:rsidRPr="00C95B56">
              <w:t>The final numbers are called GST relativities. The Commission recommends these to the Commonwealth Treasurer for the distribution of the GST pool.</w:t>
            </w:r>
          </w:p>
          <w:p w14:paraId="29DE1EA0" w14:textId="77777777" w:rsidR="008C58FC" w:rsidRDefault="008C58FC" w:rsidP="00E51790">
            <w:pPr>
              <w:tabs>
                <w:tab w:val="clear" w:pos="567"/>
              </w:tabs>
              <w:spacing w:before="0" w:line="240" w:lineRule="auto"/>
              <w:rPr>
                <w:highlight w:val="yellow"/>
              </w:rPr>
            </w:pPr>
          </w:p>
        </w:tc>
      </w:tr>
    </w:tbl>
    <w:p w14:paraId="2C9568B9" w14:textId="77777777" w:rsidR="008C58FC" w:rsidRDefault="008C58FC" w:rsidP="008C58FC"/>
    <w:p w14:paraId="7ADF4B62" w14:textId="77777777" w:rsidR="008C58FC" w:rsidRDefault="008C58FC" w:rsidP="008C58FC"/>
    <w:p w14:paraId="635BE80F" w14:textId="77777777" w:rsidR="008C58FC" w:rsidRDefault="008C58FC" w:rsidP="008C58FC">
      <w:pPr>
        <w:pStyle w:val="Heading2"/>
      </w:pPr>
      <w:r>
        <w:lastRenderedPageBreak/>
        <w:t>Assessed, standard state and GST relativities</w:t>
      </w:r>
    </w:p>
    <w:p w14:paraId="57E27239" w14:textId="4C10F9EB" w:rsidR="008C58FC" w:rsidRDefault="008C58FC" w:rsidP="008C58FC">
      <w:r w:rsidRPr="00CE171D">
        <w:t xml:space="preserve">Table </w:t>
      </w:r>
      <w:r>
        <w:t>B</w:t>
      </w:r>
      <w:r w:rsidRPr="00CE171D">
        <w:t xml:space="preserve">-1 shows </w:t>
      </w:r>
      <w:r w:rsidR="00DE1353">
        <w:t xml:space="preserve">the assessed and </w:t>
      </w:r>
      <w:r w:rsidRPr="00CE171D">
        <w:t xml:space="preserve">GST relativities </w:t>
      </w:r>
      <w:r w:rsidR="008A0CF3">
        <w:t>for 2026–27</w:t>
      </w:r>
      <w:r w:rsidRPr="00CE171D">
        <w:t xml:space="preserve">.  </w:t>
      </w:r>
    </w:p>
    <w:p w14:paraId="2544C854" w14:textId="77777777" w:rsidR="008C58FC" w:rsidRDefault="008C58FC" w:rsidP="008C58FC">
      <w:pPr>
        <w:pStyle w:val="CGC2025Caption"/>
      </w:pPr>
      <w:r>
        <w:t>Table B-1</w:t>
      </w:r>
      <w:r>
        <w:tab/>
        <w:t>Assessed relativities to GST relativities, 2026-27</w:t>
      </w:r>
    </w:p>
    <w:tbl>
      <w:tblPr>
        <w:tblW w:w="8960" w:type="dxa"/>
        <w:tblLook w:val="04A0" w:firstRow="1" w:lastRow="0" w:firstColumn="1" w:lastColumn="0" w:noHBand="0" w:noVBand="1"/>
      </w:tblPr>
      <w:tblGrid>
        <w:gridCol w:w="1280"/>
        <w:gridCol w:w="960"/>
        <w:gridCol w:w="960"/>
        <w:gridCol w:w="960"/>
        <w:gridCol w:w="960"/>
        <w:gridCol w:w="960"/>
        <w:gridCol w:w="960"/>
        <w:gridCol w:w="960"/>
        <w:gridCol w:w="960"/>
      </w:tblGrid>
      <w:tr w:rsidR="00F85D77" w:rsidRPr="00F85D77" w14:paraId="72054A69" w14:textId="77777777" w:rsidTr="00F85D77">
        <w:trPr>
          <w:trHeight w:val="380"/>
        </w:trPr>
        <w:tc>
          <w:tcPr>
            <w:tcW w:w="1280" w:type="dxa"/>
            <w:tcBorders>
              <w:top w:val="nil"/>
              <w:left w:val="nil"/>
              <w:bottom w:val="nil"/>
              <w:right w:val="nil"/>
            </w:tcBorders>
            <w:shd w:val="clear" w:color="000000" w:fill="006991"/>
            <w:vAlign w:val="bottom"/>
            <w:hideMark/>
          </w:tcPr>
          <w:p w14:paraId="0C8F250E" w14:textId="77777777" w:rsidR="00F85D77" w:rsidRPr="00F85D77" w:rsidRDefault="00F85D77" w:rsidP="00F85D77">
            <w:pPr>
              <w:tabs>
                <w:tab w:val="clear" w:pos="567"/>
              </w:tabs>
              <w:spacing w:before="0" w:line="240" w:lineRule="auto"/>
              <w:rPr>
                <w:rFonts w:ascii="Open Sans Semibold" w:eastAsia="Times New Roman" w:hAnsi="Open Sans Semibold" w:cs="Open Sans Semibold"/>
                <w:color w:val="FFFFFF"/>
                <w:sz w:val="16"/>
                <w:szCs w:val="16"/>
                <w:lang w:eastAsia="en-AU"/>
              </w:rPr>
            </w:pPr>
            <w:bookmarkStart w:id="68" w:name="RANGE!A4:I14"/>
            <w:r w:rsidRPr="00F85D77">
              <w:rPr>
                <w:rFonts w:ascii="Open Sans Semibold" w:eastAsia="Times New Roman" w:hAnsi="Open Sans Semibold" w:cs="Open Sans Semibold"/>
                <w:color w:val="FFFFFF"/>
                <w:sz w:val="16"/>
                <w:szCs w:val="16"/>
                <w:lang w:eastAsia="en-AU"/>
              </w:rPr>
              <w:t> </w:t>
            </w:r>
            <w:bookmarkEnd w:id="68"/>
          </w:p>
        </w:tc>
        <w:tc>
          <w:tcPr>
            <w:tcW w:w="960" w:type="dxa"/>
            <w:tcBorders>
              <w:top w:val="nil"/>
              <w:left w:val="nil"/>
              <w:bottom w:val="nil"/>
              <w:right w:val="nil"/>
            </w:tcBorders>
            <w:shd w:val="clear" w:color="000000" w:fill="006991"/>
            <w:vAlign w:val="center"/>
            <w:hideMark/>
          </w:tcPr>
          <w:p w14:paraId="6A8D30AC"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85D77">
              <w:rPr>
                <w:rFonts w:ascii="Open Sans Semibold" w:eastAsia="Times New Roman" w:hAnsi="Open Sans Semibold" w:cs="Open Sans Semibold"/>
                <w:color w:val="FFFFFF"/>
                <w:sz w:val="16"/>
                <w:szCs w:val="16"/>
                <w:lang w:eastAsia="en-AU"/>
              </w:rPr>
              <w:t>NSW</w:t>
            </w:r>
          </w:p>
        </w:tc>
        <w:tc>
          <w:tcPr>
            <w:tcW w:w="960" w:type="dxa"/>
            <w:tcBorders>
              <w:top w:val="nil"/>
              <w:left w:val="nil"/>
              <w:bottom w:val="nil"/>
              <w:right w:val="nil"/>
            </w:tcBorders>
            <w:shd w:val="clear" w:color="000000" w:fill="006991"/>
            <w:vAlign w:val="center"/>
            <w:hideMark/>
          </w:tcPr>
          <w:p w14:paraId="4591253A"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85D77">
              <w:rPr>
                <w:rFonts w:ascii="Open Sans Semibold" w:eastAsia="Times New Roman" w:hAnsi="Open Sans Semibold" w:cs="Open Sans Semibold"/>
                <w:color w:val="FFFFFF"/>
                <w:sz w:val="16"/>
                <w:szCs w:val="16"/>
                <w:lang w:eastAsia="en-AU"/>
              </w:rPr>
              <w:t>Vic</w:t>
            </w:r>
          </w:p>
        </w:tc>
        <w:tc>
          <w:tcPr>
            <w:tcW w:w="960" w:type="dxa"/>
            <w:tcBorders>
              <w:top w:val="nil"/>
              <w:left w:val="nil"/>
              <w:bottom w:val="nil"/>
              <w:right w:val="nil"/>
            </w:tcBorders>
            <w:shd w:val="clear" w:color="000000" w:fill="006991"/>
            <w:vAlign w:val="center"/>
            <w:hideMark/>
          </w:tcPr>
          <w:p w14:paraId="6C4E0DBD"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85D77">
              <w:rPr>
                <w:rFonts w:ascii="Open Sans Semibold" w:eastAsia="Times New Roman" w:hAnsi="Open Sans Semibold" w:cs="Open Sans Semibold"/>
                <w:color w:val="FFFFFF"/>
                <w:sz w:val="16"/>
                <w:szCs w:val="16"/>
                <w:lang w:eastAsia="en-AU"/>
              </w:rPr>
              <w:t>Qld</w:t>
            </w:r>
          </w:p>
        </w:tc>
        <w:tc>
          <w:tcPr>
            <w:tcW w:w="960" w:type="dxa"/>
            <w:tcBorders>
              <w:top w:val="nil"/>
              <w:left w:val="nil"/>
              <w:bottom w:val="nil"/>
              <w:right w:val="nil"/>
            </w:tcBorders>
            <w:shd w:val="clear" w:color="000000" w:fill="006991"/>
            <w:vAlign w:val="center"/>
            <w:hideMark/>
          </w:tcPr>
          <w:p w14:paraId="09720C8A"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85D77">
              <w:rPr>
                <w:rFonts w:ascii="Open Sans Semibold" w:eastAsia="Times New Roman" w:hAnsi="Open Sans Semibold" w:cs="Open Sans Semibold"/>
                <w:color w:val="FFFFFF"/>
                <w:sz w:val="16"/>
                <w:szCs w:val="16"/>
                <w:lang w:eastAsia="en-AU"/>
              </w:rPr>
              <w:t>WA</w:t>
            </w:r>
          </w:p>
        </w:tc>
        <w:tc>
          <w:tcPr>
            <w:tcW w:w="960" w:type="dxa"/>
            <w:tcBorders>
              <w:top w:val="nil"/>
              <w:left w:val="nil"/>
              <w:bottom w:val="nil"/>
              <w:right w:val="nil"/>
            </w:tcBorders>
            <w:shd w:val="clear" w:color="000000" w:fill="006991"/>
            <w:vAlign w:val="center"/>
            <w:hideMark/>
          </w:tcPr>
          <w:p w14:paraId="7757CDCA"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85D77">
              <w:rPr>
                <w:rFonts w:ascii="Open Sans Semibold" w:eastAsia="Times New Roman" w:hAnsi="Open Sans Semibold" w:cs="Open Sans Semibold"/>
                <w:color w:val="FFFFFF"/>
                <w:sz w:val="16"/>
                <w:szCs w:val="16"/>
                <w:lang w:eastAsia="en-AU"/>
              </w:rPr>
              <w:t>SA</w:t>
            </w:r>
          </w:p>
        </w:tc>
        <w:tc>
          <w:tcPr>
            <w:tcW w:w="960" w:type="dxa"/>
            <w:tcBorders>
              <w:top w:val="nil"/>
              <w:left w:val="nil"/>
              <w:bottom w:val="nil"/>
              <w:right w:val="nil"/>
            </w:tcBorders>
            <w:shd w:val="clear" w:color="000000" w:fill="006991"/>
            <w:vAlign w:val="center"/>
            <w:hideMark/>
          </w:tcPr>
          <w:p w14:paraId="7E7EBF68"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85D77">
              <w:rPr>
                <w:rFonts w:ascii="Open Sans Semibold" w:eastAsia="Times New Roman" w:hAnsi="Open Sans Semibold" w:cs="Open Sans Semibold"/>
                <w:color w:val="FFFFFF"/>
                <w:sz w:val="16"/>
                <w:szCs w:val="16"/>
                <w:lang w:eastAsia="en-AU"/>
              </w:rPr>
              <w:t>Tas</w:t>
            </w:r>
          </w:p>
        </w:tc>
        <w:tc>
          <w:tcPr>
            <w:tcW w:w="960" w:type="dxa"/>
            <w:tcBorders>
              <w:top w:val="nil"/>
              <w:left w:val="nil"/>
              <w:bottom w:val="nil"/>
              <w:right w:val="nil"/>
            </w:tcBorders>
            <w:shd w:val="clear" w:color="000000" w:fill="006991"/>
            <w:vAlign w:val="center"/>
            <w:hideMark/>
          </w:tcPr>
          <w:p w14:paraId="5F81F0E4"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85D77">
              <w:rPr>
                <w:rFonts w:ascii="Open Sans Semibold" w:eastAsia="Times New Roman" w:hAnsi="Open Sans Semibold" w:cs="Open Sans Semibold"/>
                <w:color w:val="FFFFFF"/>
                <w:sz w:val="16"/>
                <w:szCs w:val="16"/>
                <w:lang w:eastAsia="en-AU"/>
              </w:rPr>
              <w:t>ACT</w:t>
            </w:r>
          </w:p>
        </w:tc>
        <w:tc>
          <w:tcPr>
            <w:tcW w:w="960" w:type="dxa"/>
            <w:tcBorders>
              <w:top w:val="nil"/>
              <w:left w:val="nil"/>
              <w:bottom w:val="nil"/>
              <w:right w:val="nil"/>
            </w:tcBorders>
            <w:shd w:val="clear" w:color="000000" w:fill="006991"/>
            <w:vAlign w:val="center"/>
            <w:hideMark/>
          </w:tcPr>
          <w:p w14:paraId="17033B43"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F85D77">
              <w:rPr>
                <w:rFonts w:ascii="Open Sans Semibold" w:eastAsia="Times New Roman" w:hAnsi="Open Sans Semibold" w:cs="Open Sans Semibold"/>
                <w:color w:val="FFFFFF"/>
                <w:sz w:val="16"/>
                <w:szCs w:val="16"/>
                <w:lang w:eastAsia="en-AU"/>
              </w:rPr>
              <w:t>NT</w:t>
            </w:r>
          </w:p>
        </w:tc>
      </w:tr>
      <w:tr w:rsidR="00F85D77" w:rsidRPr="00F85D77" w14:paraId="598F6CDB" w14:textId="77777777" w:rsidTr="00F85D77">
        <w:trPr>
          <w:trHeight w:val="315"/>
        </w:trPr>
        <w:tc>
          <w:tcPr>
            <w:tcW w:w="8960" w:type="dxa"/>
            <w:gridSpan w:val="9"/>
            <w:tcBorders>
              <w:top w:val="single" w:sz="4" w:space="0" w:color="ADD6EA"/>
              <w:left w:val="nil"/>
              <w:bottom w:val="single" w:sz="4" w:space="0" w:color="ADD6EA"/>
              <w:right w:val="nil"/>
            </w:tcBorders>
            <w:vAlign w:val="bottom"/>
            <w:hideMark/>
          </w:tcPr>
          <w:p w14:paraId="50048C83" w14:textId="77777777" w:rsidR="00F85D77" w:rsidRPr="00F85D77" w:rsidRDefault="00F85D77" w:rsidP="00F85D77">
            <w:pPr>
              <w:tabs>
                <w:tab w:val="clear" w:pos="567"/>
              </w:tabs>
              <w:spacing w:before="0" w:line="240" w:lineRule="auto"/>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Assessed relativities</w:t>
            </w:r>
          </w:p>
        </w:tc>
      </w:tr>
      <w:tr w:rsidR="00F85D77" w:rsidRPr="00F85D77" w14:paraId="493BB46A" w14:textId="77777777" w:rsidTr="00F85D77">
        <w:trPr>
          <w:trHeight w:val="315"/>
        </w:trPr>
        <w:tc>
          <w:tcPr>
            <w:tcW w:w="1280" w:type="dxa"/>
            <w:tcBorders>
              <w:top w:val="nil"/>
              <w:left w:val="nil"/>
              <w:bottom w:val="nil"/>
              <w:right w:val="nil"/>
            </w:tcBorders>
            <w:vAlign w:val="bottom"/>
            <w:hideMark/>
          </w:tcPr>
          <w:p w14:paraId="6E5003A5" w14:textId="79E6633B" w:rsidR="00F85D77" w:rsidRPr="00F85D77" w:rsidRDefault="00F85D77" w:rsidP="00F85D77">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2022</w:t>
            </w:r>
            <w:r w:rsidR="007B6460">
              <w:rPr>
                <w:rFonts w:ascii="Open Sans Light" w:eastAsia="Times New Roman" w:hAnsi="Open Sans Light" w:cs="Open Sans Light"/>
                <w:color w:val="000000"/>
                <w:sz w:val="16"/>
                <w:szCs w:val="16"/>
                <w:lang w:eastAsia="en-AU"/>
              </w:rPr>
              <w:t>–</w:t>
            </w:r>
            <w:r w:rsidRPr="00F85D77">
              <w:rPr>
                <w:rFonts w:ascii="Open Sans Light" w:eastAsia="Times New Roman" w:hAnsi="Open Sans Light" w:cs="Open Sans Light"/>
                <w:color w:val="000000"/>
                <w:sz w:val="16"/>
                <w:szCs w:val="16"/>
                <w:lang w:eastAsia="en-AU"/>
              </w:rPr>
              <w:t>23</w:t>
            </w:r>
          </w:p>
        </w:tc>
        <w:tc>
          <w:tcPr>
            <w:tcW w:w="960" w:type="dxa"/>
            <w:tcBorders>
              <w:top w:val="nil"/>
              <w:left w:val="nil"/>
              <w:bottom w:val="nil"/>
              <w:right w:val="nil"/>
            </w:tcBorders>
            <w:noWrap/>
            <w:vAlign w:val="bottom"/>
            <w:hideMark/>
          </w:tcPr>
          <w:p w14:paraId="0EA8B4F9"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0.88759</w:t>
            </w:r>
          </w:p>
        </w:tc>
        <w:tc>
          <w:tcPr>
            <w:tcW w:w="960" w:type="dxa"/>
            <w:tcBorders>
              <w:top w:val="nil"/>
              <w:left w:val="nil"/>
              <w:bottom w:val="nil"/>
              <w:right w:val="nil"/>
            </w:tcBorders>
            <w:noWrap/>
            <w:vAlign w:val="bottom"/>
            <w:hideMark/>
          </w:tcPr>
          <w:p w14:paraId="79337AD0"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1.17122</w:t>
            </w:r>
          </w:p>
        </w:tc>
        <w:tc>
          <w:tcPr>
            <w:tcW w:w="960" w:type="dxa"/>
            <w:tcBorders>
              <w:top w:val="nil"/>
              <w:left w:val="nil"/>
              <w:bottom w:val="nil"/>
              <w:right w:val="nil"/>
            </w:tcBorders>
            <w:noWrap/>
            <w:vAlign w:val="bottom"/>
            <w:hideMark/>
          </w:tcPr>
          <w:p w14:paraId="46FB6CE8"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0.82115</w:t>
            </w:r>
          </w:p>
        </w:tc>
        <w:tc>
          <w:tcPr>
            <w:tcW w:w="960" w:type="dxa"/>
            <w:tcBorders>
              <w:top w:val="nil"/>
              <w:left w:val="nil"/>
              <w:bottom w:val="nil"/>
              <w:right w:val="nil"/>
            </w:tcBorders>
            <w:noWrap/>
            <w:vAlign w:val="bottom"/>
            <w:hideMark/>
          </w:tcPr>
          <w:p w14:paraId="368DD720"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0.25891</w:t>
            </w:r>
          </w:p>
        </w:tc>
        <w:tc>
          <w:tcPr>
            <w:tcW w:w="960" w:type="dxa"/>
            <w:tcBorders>
              <w:top w:val="nil"/>
              <w:left w:val="nil"/>
              <w:bottom w:val="nil"/>
              <w:right w:val="nil"/>
            </w:tcBorders>
            <w:noWrap/>
            <w:vAlign w:val="bottom"/>
            <w:hideMark/>
          </w:tcPr>
          <w:p w14:paraId="7A82AE1A"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1.58677</w:t>
            </w:r>
          </w:p>
        </w:tc>
        <w:tc>
          <w:tcPr>
            <w:tcW w:w="960" w:type="dxa"/>
            <w:tcBorders>
              <w:top w:val="nil"/>
              <w:left w:val="nil"/>
              <w:bottom w:val="nil"/>
              <w:right w:val="nil"/>
            </w:tcBorders>
            <w:noWrap/>
            <w:vAlign w:val="bottom"/>
            <w:hideMark/>
          </w:tcPr>
          <w:p w14:paraId="025E2697"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1.97862</w:t>
            </w:r>
          </w:p>
        </w:tc>
        <w:tc>
          <w:tcPr>
            <w:tcW w:w="960" w:type="dxa"/>
            <w:tcBorders>
              <w:top w:val="nil"/>
              <w:left w:val="nil"/>
              <w:bottom w:val="nil"/>
              <w:right w:val="nil"/>
            </w:tcBorders>
            <w:noWrap/>
            <w:vAlign w:val="bottom"/>
            <w:hideMark/>
          </w:tcPr>
          <w:p w14:paraId="70FB2E2B"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1.25690</w:t>
            </w:r>
          </w:p>
        </w:tc>
        <w:tc>
          <w:tcPr>
            <w:tcW w:w="960" w:type="dxa"/>
            <w:tcBorders>
              <w:top w:val="nil"/>
              <w:left w:val="nil"/>
              <w:bottom w:val="nil"/>
              <w:right w:val="nil"/>
            </w:tcBorders>
            <w:noWrap/>
            <w:vAlign w:val="bottom"/>
            <w:hideMark/>
          </w:tcPr>
          <w:p w14:paraId="6F27141E"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5.25840</w:t>
            </w:r>
          </w:p>
        </w:tc>
      </w:tr>
      <w:tr w:rsidR="00F85D77" w:rsidRPr="00F85D77" w14:paraId="31C5C216" w14:textId="77777777" w:rsidTr="00F85D77">
        <w:trPr>
          <w:trHeight w:val="315"/>
        </w:trPr>
        <w:tc>
          <w:tcPr>
            <w:tcW w:w="1280" w:type="dxa"/>
            <w:tcBorders>
              <w:top w:val="single" w:sz="4" w:space="0" w:color="ADD6EA"/>
              <w:left w:val="nil"/>
              <w:bottom w:val="nil"/>
              <w:right w:val="nil"/>
            </w:tcBorders>
            <w:vAlign w:val="bottom"/>
            <w:hideMark/>
          </w:tcPr>
          <w:p w14:paraId="1285278B" w14:textId="6D5D4BE5" w:rsidR="00F85D77" w:rsidRPr="00F85D77" w:rsidRDefault="00F85D77" w:rsidP="00F85D77">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2023</w:t>
            </w:r>
            <w:r w:rsidR="007B6460">
              <w:rPr>
                <w:rFonts w:ascii="Open Sans Light" w:eastAsia="Times New Roman" w:hAnsi="Open Sans Light" w:cs="Open Sans Light"/>
                <w:color w:val="000000"/>
                <w:sz w:val="16"/>
                <w:szCs w:val="16"/>
                <w:lang w:eastAsia="en-AU"/>
              </w:rPr>
              <w:t>–</w:t>
            </w:r>
            <w:r w:rsidRPr="00F85D77">
              <w:rPr>
                <w:rFonts w:ascii="Open Sans Light" w:eastAsia="Times New Roman" w:hAnsi="Open Sans Light" w:cs="Open Sans Light"/>
                <w:color w:val="000000"/>
                <w:sz w:val="16"/>
                <w:szCs w:val="16"/>
                <w:lang w:eastAsia="en-AU"/>
              </w:rPr>
              <w:t>24</w:t>
            </w:r>
          </w:p>
        </w:tc>
        <w:tc>
          <w:tcPr>
            <w:tcW w:w="960" w:type="dxa"/>
            <w:tcBorders>
              <w:top w:val="single" w:sz="4" w:space="0" w:color="ADD6EA"/>
              <w:left w:val="nil"/>
              <w:bottom w:val="nil"/>
              <w:right w:val="nil"/>
            </w:tcBorders>
            <w:noWrap/>
            <w:vAlign w:val="bottom"/>
            <w:hideMark/>
          </w:tcPr>
          <w:p w14:paraId="194ABB97"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0.90987</w:t>
            </w:r>
          </w:p>
        </w:tc>
        <w:tc>
          <w:tcPr>
            <w:tcW w:w="960" w:type="dxa"/>
            <w:tcBorders>
              <w:top w:val="single" w:sz="4" w:space="0" w:color="ADD6EA"/>
              <w:left w:val="nil"/>
              <w:bottom w:val="nil"/>
              <w:right w:val="nil"/>
            </w:tcBorders>
            <w:noWrap/>
            <w:vAlign w:val="bottom"/>
            <w:hideMark/>
          </w:tcPr>
          <w:p w14:paraId="630B5D41"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1.17386</w:t>
            </w:r>
          </w:p>
        </w:tc>
        <w:tc>
          <w:tcPr>
            <w:tcW w:w="960" w:type="dxa"/>
            <w:tcBorders>
              <w:top w:val="single" w:sz="4" w:space="0" w:color="ADD6EA"/>
              <w:left w:val="nil"/>
              <w:bottom w:val="nil"/>
              <w:right w:val="nil"/>
            </w:tcBorders>
            <w:noWrap/>
            <w:vAlign w:val="bottom"/>
            <w:hideMark/>
          </w:tcPr>
          <w:p w14:paraId="460578CE"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0.89310</w:t>
            </w:r>
          </w:p>
        </w:tc>
        <w:tc>
          <w:tcPr>
            <w:tcW w:w="960" w:type="dxa"/>
            <w:tcBorders>
              <w:top w:val="single" w:sz="4" w:space="0" w:color="ADD6EA"/>
              <w:left w:val="nil"/>
              <w:bottom w:val="nil"/>
              <w:right w:val="nil"/>
            </w:tcBorders>
            <w:noWrap/>
            <w:vAlign w:val="bottom"/>
            <w:hideMark/>
          </w:tcPr>
          <w:p w14:paraId="5AF849C8"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0.23528</w:t>
            </w:r>
          </w:p>
        </w:tc>
        <w:tc>
          <w:tcPr>
            <w:tcW w:w="960" w:type="dxa"/>
            <w:tcBorders>
              <w:top w:val="single" w:sz="4" w:space="0" w:color="ADD6EA"/>
              <w:left w:val="nil"/>
              <w:bottom w:val="nil"/>
              <w:right w:val="nil"/>
            </w:tcBorders>
            <w:noWrap/>
            <w:vAlign w:val="bottom"/>
            <w:hideMark/>
          </w:tcPr>
          <w:p w14:paraId="02335A6C"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1.37845</w:t>
            </w:r>
          </w:p>
        </w:tc>
        <w:tc>
          <w:tcPr>
            <w:tcW w:w="960" w:type="dxa"/>
            <w:tcBorders>
              <w:top w:val="single" w:sz="4" w:space="0" w:color="ADD6EA"/>
              <w:left w:val="nil"/>
              <w:bottom w:val="nil"/>
              <w:right w:val="nil"/>
            </w:tcBorders>
            <w:noWrap/>
            <w:vAlign w:val="bottom"/>
            <w:hideMark/>
          </w:tcPr>
          <w:p w14:paraId="07208FC5"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1.85759</w:t>
            </w:r>
          </w:p>
        </w:tc>
        <w:tc>
          <w:tcPr>
            <w:tcW w:w="960" w:type="dxa"/>
            <w:tcBorders>
              <w:top w:val="single" w:sz="4" w:space="0" w:color="ADD6EA"/>
              <w:left w:val="nil"/>
              <w:bottom w:val="nil"/>
              <w:right w:val="nil"/>
            </w:tcBorders>
            <w:noWrap/>
            <w:vAlign w:val="bottom"/>
            <w:hideMark/>
          </w:tcPr>
          <w:p w14:paraId="07382455"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1.19553</w:t>
            </w:r>
          </w:p>
        </w:tc>
        <w:tc>
          <w:tcPr>
            <w:tcW w:w="960" w:type="dxa"/>
            <w:tcBorders>
              <w:top w:val="single" w:sz="4" w:space="0" w:color="ADD6EA"/>
              <w:left w:val="nil"/>
              <w:bottom w:val="nil"/>
              <w:right w:val="nil"/>
            </w:tcBorders>
            <w:noWrap/>
            <w:vAlign w:val="bottom"/>
            <w:hideMark/>
          </w:tcPr>
          <w:p w14:paraId="0FD677FC"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5.27162</w:t>
            </w:r>
          </w:p>
        </w:tc>
      </w:tr>
      <w:tr w:rsidR="00F85D77" w:rsidRPr="00F85D77" w14:paraId="1460238D" w14:textId="77777777" w:rsidTr="00F85D77">
        <w:trPr>
          <w:trHeight w:val="315"/>
        </w:trPr>
        <w:tc>
          <w:tcPr>
            <w:tcW w:w="1280" w:type="dxa"/>
            <w:tcBorders>
              <w:top w:val="single" w:sz="4" w:space="0" w:color="ADD6EA"/>
              <w:left w:val="nil"/>
              <w:bottom w:val="nil"/>
              <w:right w:val="nil"/>
            </w:tcBorders>
            <w:vAlign w:val="bottom"/>
            <w:hideMark/>
          </w:tcPr>
          <w:p w14:paraId="0AB39A24" w14:textId="4F4F4854" w:rsidR="00F85D77" w:rsidRPr="00F85D77" w:rsidRDefault="00F85D77" w:rsidP="00F85D77">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2024</w:t>
            </w:r>
            <w:r w:rsidR="007B6460">
              <w:rPr>
                <w:rFonts w:ascii="Open Sans Light" w:eastAsia="Times New Roman" w:hAnsi="Open Sans Light" w:cs="Open Sans Light"/>
                <w:color w:val="000000"/>
                <w:sz w:val="16"/>
                <w:szCs w:val="16"/>
                <w:lang w:eastAsia="en-AU"/>
              </w:rPr>
              <w:t>–</w:t>
            </w:r>
            <w:r w:rsidRPr="00F85D77">
              <w:rPr>
                <w:rFonts w:ascii="Open Sans Light" w:eastAsia="Times New Roman" w:hAnsi="Open Sans Light" w:cs="Open Sans Light"/>
                <w:color w:val="000000"/>
                <w:sz w:val="16"/>
                <w:szCs w:val="16"/>
                <w:lang w:eastAsia="en-AU"/>
              </w:rPr>
              <w:t>25</w:t>
            </w:r>
          </w:p>
        </w:tc>
        <w:tc>
          <w:tcPr>
            <w:tcW w:w="960" w:type="dxa"/>
            <w:tcBorders>
              <w:top w:val="single" w:sz="4" w:space="0" w:color="ADD6EA"/>
              <w:left w:val="nil"/>
              <w:bottom w:val="nil"/>
              <w:right w:val="nil"/>
            </w:tcBorders>
            <w:noWrap/>
            <w:vAlign w:val="bottom"/>
            <w:hideMark/>
          </w:tcPr>
          <w:p w14:paraId="272D09E2"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0.88972</w:t>
            </w:r>
          </w:p>
        </w:tc>
        <w:tc>
          <w:tcPr>
            <w:tcW w:w="960" w:type="dxa"/>
            <w:tcBorders>
              <w:top w:val="single" w:sz="4" w:space="0" w:color="ADD6EA"/>
              <w:left w:val="nil"/>
              <w:bottom w:val="nil"/>
              <w:right w:val="nil"/>
            </w:tcBorders>
            <w:noWrap/>
            <w:vAlign w:val="bottom"/>
            <w:hideMark/>
          </w:tcPr>
          <w:p w14:paraId="05E0DC6D"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1.05547</w:t>
            </w:r>
          </w:p>
        </w:tc>
        <w:tc>
          <w:tcPr>
            <w:tcW w:w="960" w:type="dxa"/>
            <w:tcBorders>
              <w:top w:val="single" w:sz="4" w:space="0" w:color="ADD6EA"/>
              <w:left w:val="nil"/>
              <w:bottom w:val="nil"/>
              <w:right w:val="nil"/>
            </w:tcBorders>
            <w:noWrap/>
            <w:vAlign w:val="bottom"/>
            <w:hideMark/>
          </w:tcPr>
          <w:p w14:paraId="1E74F35A"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1.04793</w:t>
            </w:r>
          </w:p>
        </w:tc>
        <w:tc>
          <w:tcPr>
            <w:tcW w:w="960" w:type="dxa"/>
            <w:tcBorders>
              <w:top w:val="single" w:sz="4" w:space="0" w:color="ADD6EA"/>
              <w:left w:val="nil"/>
              <w:bottom w:val="nil"/>
              <w:right w:val="nil"/>
            </w:tcBorders>
            <w:noWrap/>
            <w:vAlign w:val="bottom"/>
            <w:hideMark/>
          </w:tcPr>
          <w:p w14:paraId="07A88E8D"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0.25379</w:t>
            </w:r>
          </w:p>
        </w:tc>
        <w:tc>
          <w:tcPr>
            <w:tcW w:w="960" w:type="dxa"/>
            <w:tcBorders>
              <w:top w:val="single" w:sz="4" w:space="0" w:color="ADD6EA"/>
              <w:left w:val="nil"/>
              <w:bottom w:val="nil"/>
              <w:right w:val="nil"/>
            </w:tcBorders>
            <w:noWrap/>
            <w:vAlign w:val="bottom"/>
            <w:hideMark/>
          </w:tcPr>
          <w:p w14:paraId="68717C4E"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1.34066</w:t>
            </w:r>
          </w:p>
        </w:tc>
        <w:tc>
          <w:tcPr>
            <w:tcW w:w="960" w:type="dxa"/>
            <w:tcBorders>
              <w:top w:val="single" w:sz="4" w:space="0" w:color="ADD6EA"/>
              <w:left w:val="nil"/>
              <w:bottom w:val="nil"/>
              <w:right w:val="nil"/>
            </w:tcBorders>
            <w:noWrap/>
            <w:vAlign w:val="bottom"/>
            <w:hideMark/>
          </w:tcPr>
          <w:p w14:paraId="64BAA84E"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2.04060</w:t>
            </w:r>
          </w:p>
        </w:tc>
        <w:tc>
          <w:tcPr>
            <w:tcW w:w="960" w:type="dxa"/>
            <w:tcBorders>
              <w:top w:val="single" w:sz="4" w:space="0" w:color="ADD6EA"/>
              <w:left w:val="nil"/>
              <w:bottom w:val="nil"/>
              <w:right w:val="nil"/>
            </w:tcBorders>
            <w:noWrap/>
            <w:vAlign w:val="bottom"/>
            <w:hideMark/>
          </w:tcPr>
          <w:p w14:paraId="67D7AEB8"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1.26122</w:t>
            </w:r>
          </w:p>
        </w:tc>
        <w:tc>
          <w:tcPr>
            <w:tcW w:w="960" w:type="dxa"/>
            <w:tcBorders>
              <w:top w:val="single" w:sz="4" w:space="0" w:color="ADD6EA"/>
              <w:left w:val="nil"/>
              <w:bottom w:val="nil"/>
              <w:right w:val="nil"/>
            </w:tcBorders>
            <w:noWrap/>
            <w:vAlign w:val="bottom"/>
            <w:hideMark/>
          </w:tcPr>
          <w:p w14:paraId="5856C8BF"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5.42273</w:t>
            </w:r>
          </w:p>
        </w:tc>
      </w:tr>
      <w:tr w:rsidR="00F85D77" w:rsidRPr="00F85D77" w14:paraId="6DE3982F" w14:textId="77777777" w:rsidTr="00F85D77">
        <w:trPr>
          <w:trHeight w:val="315"/>
        </w:trPr>
        <w:tc>
          <w:tcPr>
            <w:tcW w:w="1280" w:type="dxa"/>
            <w:tcBorders>
              <w:top w:val="single" w:sz="4" w:space="0" w:color="ADD6EA"/>
              <w:left w:val="nil"/>
              <w:bottom w:val="single" w:sz="4" w:space="0" w:color="ADD6EA"/>
              <w:right w:val="nil"/>
            </w:tcBorders>
            <w:shd w:val="clear" w:color="000000" w:fill="B6D5E4"/>
            <w:vAlign w:val="bottom"/>
            <w:hideMark/>
          </w:tcPr>
          <w:p w14:paraId="47409BBC" w14:textId="77777777" w:rsidR="00F85D77" w:rsidRPr="00F85D77" w:rsidRDefault="00F85D77" w:rsidP="00F85D77">
            <w:pPr>
              <w:tabs>
                <w:tab w:val="clear" w:pos="567"/>
              </w:tabs>
              <w:spacing w:before="0" w:line="240" w:lineRule="auto"/>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Average</w:t>
            </w:r>
          </w:p>
        </w:tc>
        <w:tc>
          <w:tcPr>
            <w:tcW w:w="960" w:type="dxa"/>
            <w:tcBorders>
              <w:top w:val="single" w:sz="4" w:space="0" w:color="ADD6EA"/>
              <w:left w:val="nil"/>
              <w:bottom w:val="single" w:sz="4" w:space="0" w:color="ADD6EA"/>
              <w:right w:val="nil"/>
            </w:tcBorders>
            <w:shd w:val="clear" w:color="000000" w:fill="B6D5E4"/>
            <w:noWrap/>
            <w:vAlign w:val="bottom"/>
            <w:hideMark/>
          </w:tcPr>
          <w:p w14:paraId="14A34807"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0.89573</w:t>
            </w:r>
          </w:p>
        </w:tc>
        <w:tc>
          <w:tcPr>
            <w:tcW w:w="960" w:type="dxa"/>
            <w:tcBorders>
              <w:top w:val="single" w:sz="4" w:space="0" w:color="ADD6EA"/>
              <w:left w:val="nil"/>
              <w:bottom w:val="single" w:sz="4" w:space="0" w:color="ADD6EA"/>
              <w:right w:val="nil"/>
            </w:tcBorders>
            <w:shd w:val="clear" w:color="000000" w:fill="B6D5E4"/>
            <w:noWrap/>
            <w:vAlign w:val="bottom"/>
            <w:hideMark/>
          </w:tcPr>
          <w:p w14:paraId="570EE805"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1.13351</w:t>
            </w:r>
          </w:p>
        </w:tc>
        <w:tc>
          <w:tcPr>
            <w:tcW w:w="960" w:type="dxa"/>
            <w:tcBorders>
              <w:top w:val="single" w:sz="4" w:space="0" w:color="ADD6EA"/>
              <w:left w:val="nil"/>
              <w:bottom w:val="single" w:sz="4" w:space="0" w:color="ADD6EA"/>
              <w:right w:val="nil"/>
            </w:tcBorders>
            <w:shd w:val="clear" w:color="000000" w:fill="B6D5E4"/>
            <w:noWrap/>
            <w:vAlign w:val="bottom"/>
            <w:hideMark/>
          </w:tcPr>
          <w:p w14:paraId="71E7D97C"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0.92073</w:t>
            </w:r>
          </w:p>
        </w:tc>
        <w:tc>
          <w:tcPr>
            <w:tcW w:w="960" w:type="dxa"/>
            <w:tcBorders>
              <w:top w:val="single" w:sz="4" w:space="0" w:color="ADD6EA"/>
              <w:left w:val="nil"/>
              <w:bottom w:val="single" w:sz="4" w:space="0" w:color="ADD6EA"/>
              <w:right w:val="nil"/>
            </w:tcBorders>
            <w:shd w:val="clear" w:color="000000" w:fill="B6D5E4"/>
            <w:noWrap/>
            <w:vAlign w:val="bottom"/>
            <w:hideMark/>
          </w:tcPr>
          <w:p w14:paraId="668F69CC"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0.24933</w:t>
            </w:r>
          </w:p>
        </w:tc>
        <w:tc>
          <w:tcPr>
            <w:tcW w:w="960" w:type="dxa"/>
            <w:tcBorders>
              <w:top w:val="single" w:sz="4" w:space="0" w:color="ADD6EA"/>
              <w:left w:val="nil"/>
              <w:bottom w:val="single" w:sz="4" w:space="0" w:color="ADD6EA"/>
              <w:right w:val="nil"/>
            </w:tcBorders>
            <w:shd w:val="clear" w:color="000000" w:fill="B6D5E4"/>
            <w:noWrap/>
            <w:vAlign w:val="bottom"/>
            <w:hideMark/>
          </w:tcPr>
          <w:p w14:paraId="26DAABC6"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1.43529</w:t>
            </w:r>
          </w:p>
        </w:tc>
        <w:tc>
          <w:tcPr>
            <w:tcW w:w="960" w:type="dxa"/>
            <w:tcBorders>
              <w:top w:val="single" w:sz="4" w:space="0" w:color="ADD6EA"/>
              <w:left w:val="nil"/>
              <w:bottom w:val="single" w:sz="4" w:space="0" w:color="ADD6EA"/>
              <w:right w:val="nil"/>
            </w:tcBorders>
            <w:shd w:val="clear" w:color="000000" w:fill="B6D5E4"/>
            <w:noWrap/>
            <w:vAlign w:val="bottom"/>
            <w:hideMark/>
          </w:tcPr>
          <w:p w14:paraId="2DFC9DA7"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1.95894</w:t>
            </w:r>
          </w:p>
        </w:tc>
        <w:tc>
          <w:tcPr>
            <w:tcW w:w="960" w:type="dxa"/>
            <w:tcBorders>
              <w:top w:val="single" w:sz="4" w:space="0" w:color="ADD6EA"/>
              <w:left w:val="nil"/>
              <w:bottom w:val="single" w:sz="4" w:space="0" w:color="ADD6EA"/>
              <w:right w:val="nil"/>
            </w:tcBorders>
            <w:shd w:val="clear" w:color="000000" w:fill="B6D5E4"/>
            <w:noWrap/>
            <w:vAlign w:val="bottom"/>
            <w:hideMark/>
          </w:tcPr>
          <w:p w14:paraId="4F38D786"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1.23788</w:t>
            </w:r>
          </w:p>
        </w:tc>
        <w:tc>
          <w:tcPr>
            <w:tcW w:w="960" w:type="dxa"/>
            <w:tcBorders>
              <w:top w:val="single" w:sz="4" w:space="0" w:color="ADD6EA"/>
              <w:left w:val="nil"/>
              <w:bottom w:val="single" w:sz="4" w:space="0" w:color="ADD6EA"/>
              <w:right w:val="nil"/>
            </w:tcBorders>
            <w:shd w:val="clear" w:color="000000" w:fill="B6D5E4"/>
            <w:noWrap/>
            <w:vAlign w:val="bottom"/>
            <w:hideMark/>
          </w:tcPr>
          <w:p w14:paraId="52B110F0"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5.31758</w:t>
            </w:r>
          </w:p>
        </w:tc>
      </w:tr>
      <w:tr w:rsidR="00F85D77" w:rsidRPr="00F85D77" w14:paraId="1E345746" w14:textId="77777777" w:rsidTr="00F85D77">
        <w:trPr>
          <w:trHeight w:val="315"/>
        </w:trPr>
        <w:tc>
          <w:tcPr>
            <w:tcW w:w="8960" w:type="dxa"/>
            <w:gridSpan w:val="9"/>
            <w:tcBorders>
              <w:top w:val="single" w:sz="4" w:space="0" w:color="ADD6EA"/>
              <w:left w:val="nil"/>
              <w:bottom w:val="single" w:sz="4" w:space="0" w:color="ADD6EA"/>
              <w:right w:val="nil"/>
            </w:tcBorders>
            <w:vAlign w:val="bottom"/>
            <w:hideMark/>
          </w:tcPr>
          <w:p w14:paraId="4F522A7A" w14:textId="77777777" w:rsidR="00F85D77" w:rsidRPr="00F85D77" w:rsidRDefault="00F85D77" w:rsidP="00F85D77">
            <w:pPr>
              <w:tabs>
                <w:tab w:val="clear" w:pos="567"/>
              </w:tabs>
              <w:spacing w:before="0" w:line="240" w:lineRule="auto"/>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Standard state relativities (a)</w:t>
            </w:r>
          </w:p>
        </w:tc>
      </w:tr>
      <w:tr w:rsidR="00F85D77" w:rsidRPr="00F85D77" w14:paraId="6C0B7D98" w14:textId="77777777" w:rsidTr="00F85D77">
        <w:trPr>
          <w:trHeight w:val="315"/>
        </w:trPr>
        <w:tc>
          <w:tcPr>
            <w:tcW w:w="1280" w:type="dxa"/>
            <w:tcBorders>
              <w:top w:val="nil"/>
              <w:left w:val="nil"/>
              <w:bottom w:val="nil"/>
              <w:right w:val="nil"/>
            </w:tcBorders>
            <w:vAlign w:val="bottom"/>
            <w:hideMark/>
          </w:tcPr>
          <w:p w14:paraId="5904E0CF" w14:textId="58A71562" w:rsidR="00F85D77" w:rsidRPr="00F85D77" w:rsidRDefault="00F85D77" w:rsidP="00F85D77">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2022</w:t>
            </w:r>
            <w:r w:rsidR="007B6460">
              <w:rPr>
                <w:rFonts w:ascii="Open Sans Light" w:eastAsia="Times New Roman" w:hAnsi="Open Sans Light" w:cs="Open Sans Light"/>
                <w:color w:val="000000"/>
                <w:sz w:val="16"/>
                <w:szCs w:val="16"/>
                <w:lang w:eastAsia="en-AU"/>
              </w:rPr>
              <w:t>–</w:t>
            </w:r>
            <w:r w:rsidRPr="00F85D77">
              <w:rPr>
                <w:rFonts w:ascii="Open Sans Light" w:eastAsia="Times New Roman" w:hAnsi="Open Sans Light" w:cs="Open Sans Light"/>
                <w:color w:val="000000"/>
                <w:sz w:val="16"/>
                <w:szCs w:val="16"/>
                <w:lang w:eastAsia="en-AU"/>
              </w:rPr>
              <w:t>23</w:t>
            </w:r>
          </w:p>
        </w:tc>
        <w:tc>
          <w:tcPr>
            <w:tcW w:w="960" w:type="dxa"/>
            <w:tcBorders>
              <w:top w:val="nil"/>
              <w:left w:val="nil"/>
              <w:bottom w:val="nil"/>
              <w:right w:val="nil"/>
            </w:tcBorders>
            <w:noWrap/>
            <w:vAlign w:val="bottom"/>
            <w:hideMark/>
          </w:tcPr>
          <w:p w14:paraId="2B3150DF"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0.80618</w:t>
            </w:r>
          </w:p>
        </w:tc>
        <w:tc>
          <w:tcPr>
            <w:tcW w:w="960" w:type="dxa"/>
            <w:tcBorders>
              <w:top w:val="nil"/>
              <w:left w:val="nil"/>
              <w:bottom w:val="nil"/>
              <w:right w:val="nil"/>
            </w:tcBorders>
            <w:noWrap/>
            <w:vAlign w:val="bottom"/>
            <w:hideMark/>
          </w:tcPr>
          <w:p w14:paraId="1DF85587"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1.08981</w:t>
            </w:r>
          </w:p>
        </w:tc>
        <w:tc>
          <w:tcPr>
            <w:tcW w:w="960" w:type="dxa"/>
            <w:tcBorders>
              <w:top w:val="nil"/>
              <w:left w:val="nil"/>
              <w:bottom w:val="nil"/>
              <w:right w:val="nil"/>
            </w:tcBorders>
            <w:noWrap/>
            <w:vAlign w:val="bottom"/>
            <w:hideMark/>
          </w:tcPr>
          <w:p w14:paraId="5AF5DFB4"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0.80618</w:t>
            </w:r>
          </w:p>
        </w:tc>
        <w:tc>
          <w:tcPr>
            <w:tcW w:w="960" w:type="dxa"/>
            <w:tcBorders>
              <w:top w:val="nil"/>
              <w:left w:val="nil"/>
              <w:bottom w:val="nil"/>
              <w:right w:val="nil"/>
            </w:tcBorders>
            <w:noWrap/>
            <w:vAlign w:val="bottom"/>
            <w:hideMark/>
          </w:tcPr>
          <w:p w14:paraId="2593D70E"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0.80618</w:t>
            </w:r>
          </w:p>
        </w:tc>
        <w:tc>
          <w:tcPr>
            <w:tcW w:w="960" w:type="dxa"/>
            <w:tcBorders>
              <w:top w:val="nil"/>
              <w:left w:val="nil"/>
              <w:bottom w:val="nil"/>
              <w:right w:val="nil"/>
            </w:tcBorders>
            <w:noWrap/>
            <w:vAlign w:val="bottom"/>
            <w:hideMark/>
          </w:tcPr>
          <w:p w14:paraId="33AE05AF"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1.50536</w:t>
            </w:r>
          </w:p>
        </w:tc>
        <w:tc>
          <w:tcPr>
            <w:tcW w:w="960" w:type="dxa"/>
            <w:tcBorders>
              <w:top w:val="nil"/>
              <w:left w:val="nil"/>
              <w:bottom w:val="nil"/>
              <w:right w:val="nil"/>
            </w:tcBorders>
            <w:noWrap/>
            <w:vAlign w:val="bottom"/>
            <w:hideMark/>
          </w:tcPr>
          <w:p w14:paraId="361CDCFF"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1.89721</w:t>
            </w:r>
          </w:p>
        </w:tc>
        <w:tc>
          <w:tcPr>
            <w:tcW w:w="960" w:type="dxa"/>
            <w:tcBorders>
              <w:top w:val="nil"/>
              <w:left w:val="nil"/>
              <w:bottom w:val="nil"/>
              <w:right w:val="nil"/>
            </w:tcBorders>
            <w:noWrap/>
            <w:vAlign w:val="bottom"/>
            <w:hideMark/>
          </w:tcPr>
          <w:p w14:paraId="0C56F4FD"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1.17549</w:t>
            </w:r>
          </w:p>
        </w:tc>
        <w:tc>
          <w:tcPr>
            <w:tcW w:w="960" w:type="dxa"/>
            <w:tcBorders>
              <w:top w:val="nil"/>
              <w:left w:val="nil"/>
              <w:bottom w:val="nil"/>
              <w:right w:val="nil"/>
            </w:tcBorders>
            <w:noWrap/>
            <w:vAlign w:val="bottom"/>
            <w:hideMark/>
          </w:tcPr>
          <w:p w14:paraId="7F0132EC"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5.17698</w:t>
            </w:r>
          </w:p>
        </w:tc>
      </w:tr>
      <w:tr w:rsidR="00F85D77" w:rsidRPr="00F85D77" w14:paraId="00747393" w14:textId="77777777" w:rsidTr="00F85D77">
        <w:trPr>
          <w:trHeight w:val="315"/>
        </w:trPr>
        <w:tc>
          <w:tcPr>
            <w:tcW w:w="1280" w:type="dxa"/>
            <w:tcBorders>
              <w:top w:val="single" w:sz="4" w:space="0" w:color="ADD6EA"/>
              <w:left w:val="nil"/>
              <w:bottom w:val="nil"/>
              <w:right w:val="nil"/>
            </w:tcBorders>
            <w:vAlign w:val="bottom"/>
            <w:hideMark/>
          </w:tcPr>
          <w:p w14:paraId="0FDE25C9" w14:textId="0D437003" w:rsidR="00F85D77" w:rsidRPr="00F85D77" w:rsidRDefault="00F85D77" w:rsidP="00F85D77">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2023</w:t>
            </w:r>
            <w:r w:rsidR="007B6460">
              <w:rPr>
                <w:rFonts w:ascii="Open Sans Light" w:eastAsia="Times New Roman" w:hAnsi="Open Sans Light" w:cs="Open Sans Light"/>
                <w:color w:val="000000"/>
                <w:sz w:val="16"/>
                <w:szCs w:val="16"/>
                <w:lang w:eastAsia="en-AU"/>
              </w:rPr>
              <w:t>–</w:t>
            </w:r>
            <w:r w:rsidRPr="00F85D77">
              <w:rPr>
                <w:rFonts w:ascii="Open Sans Light" w:eastAsia="Times New Roman" w:hAnsi="Open Sans Light" w:cs="Open Sans Light"/>
                <w:color w:val="000000"/>
                <w:sz w:val="16"/>
                <w:szCs w:val="16"/>
                <w:lang w:eastAsia="en-AU"/>
              </w:rPr>
              <w:t>24</w:t>
            </w:r>
          </w:p>
        </w:tc>
        <w:tc>
          <w:tcPr>
            <w:tcW w:w="960" w:type="dxa"/>
            <w:tcBorders>
              <w:top w:val="single" w:sz="4" w:space="0" w:color="ADD6EA"/>
              <w:left w:val="nil"/>
              <w:bottom w:val="nil"/>
              <w:right w:val="nil"/>
            </w:tcBorders>
            <w:noWrap/>
            <w:vAlign w:val="bottom"/>
            <w:hideMark/>
          </w:tcPr>
          <w:p w14:paraId="585C4358"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0.83291</w:t>
            </w:r>
          </w:p>
        </w:tc>
        <w:tc>
          <w:tcPr>
            <w:tcW w:w="960" w:type="dxa"/>
            <w:tcBorders>
              <w:top w:val="single" w:sz="4" w:space="0" w:color="ADD6EA"/>
              <w:left w:val="nil"/>
              <w:bottom w:val="nil"/>
              <w:right w:val="nil"/>
            </w:tcBorders>
            <w:noWrap/>
            <w:vAlign w:val="bottom"/>
            <w:hideMark/>
          </w:tcPr>
          <w:p w14:paraId="66907111"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1.09690</w:t>
            </w:r>
          </w:p>
        </w:tc>
        <w:tc>
          <w:tcPr>
            <w:tcW w:w="960" w:type="dxa"/>
            <w:tcBorders>
              <w:top w:val="single" w:sz="4" w:space="0" w:color="ADD6EA"/>
              <w:left w:val="nil"/>
              <w:bottom w:val="nil"/>
              <w:right w:val="nil"/>
            </w:tcBorders>
            <w:noWrap/>
            <w:vAlign w:val="bottom"/>
            <w:hideMark/>
          </w:tcPr>
          <w:p w14:paraId="4E4E7ACF"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0.83291</w:t>
            </w:r>
          </w:p>
        </w:tc>
        <w:tc>
          <w:tcPr>
            <w:tcW w:w="960" w:type="dxa"/>
            <w:tcBorders>
              <w:top w:val="single" w:sz="4" w:space="0" w:color="ADD6EA"/>
              <w:left w:val="nil"/>
              <w:bottom w:val="nil"/>
              <w:right w:val="nil"/>
            </w:tcBorders>
            <w:noWrap/>
            <w:vAlign w:val="bottom"/>
            <w:hideMark/>
          </w:tcPr>
          <w:p w14:paraId="33CA24AD"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0.83291</w:t>
            </w:r>
          </w:p>
        </w:tc>
        <w:tc>
          <w:tcPr>
            <w:tcW w:w="960" w:type="dxa"/>
            <w:tcBorders>
              <w:top w:val="single" w:sz="4" w:space="0" w:color="ADD6EA"/>
              <w:left w:val="nil"/>
              <w:bottom w:val="nil"/>
              <w:right w:val="nil"/>
            </w:tcBorders>
            <w:noWrap/>
            <w:vAlign w:val="bottom"/>
            <w:hideMark/>
          </w:tcPr>
          <w:p w14:paraId="6CEDD3A4"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1.30149</w:t>
            </w:r>
          </w:p>
        </w:tc>
        <w:tc>
          <w:tcPr>
            <w:tcW w:w="960" w:type="dxa"/>
            <w:tcBorders>
              <w:top w:val="single" w:sz="4" w:space="0" w:color="ADD6EA"/>
              <w:left w:val="nil"/>
              <w:bottom w:val="nil"/>
              <w:right w:val="nil"/>
            </w:tcBorders>
            <w:noWrap/>
            <w:vAlign w:val="bottom"/>
            <w:hideMark/>
          </w:tcPr>
          <w:p w14:paraId="7ADD2FC3"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1.78063</w:t>
            </w:r>
          </w:p>
        </w:tc>
        <w:tc>
          <w:tcPr>
            <w:tcW w:w="960" w:type="dxa"/>
            <w:tcBorders>
              <w:top w:val="single" w:sz="4" w:space="0" w:color="ADD6EA"/>
              <w:left w:val="nil"/>
              <w:bottom w:val="nil"/>
              <w:right w:val="nil"/>
            </w:tcBorders>
            <w:noWrap/>
            <w:vAlign w:val="bottom"/>
            <w:hideMark/>
          </w:tcPr>
          <w:p w14:paraId="127E4F58"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1.11857</w:t>
            </w:r>
          </w:p>
        </w:tc>
        <w:tc>
          <w:tcPr>
            <w:tcW w:w="960" w:type="dxa"/>
            <w:tcBorders>
              <w:top w:val="single" w:sz="4" w:space="0" w:color="ADD6EA"/>
              <w:left w:val="nil"/>
              <w:bottom w:val="nil"/>
              <w:right w:val="nil"/>
            </w:tcBorders>
            <w:noWrap/>
            <w:vAlign w:val="bottom"/>
            <w:hideMark/>
          </w:tcPr>
          <w:p w14:paraId="12B68E0E"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5.19467</w:t>
            </w:r>
          </w:p>
        </w:tc>
      </w:tr>
      <w:tr w:rsidR="00F85D77" w:rsidRPr="00F85D77" w14:paraId="3D6CA3CF" w14:textId="77777777" w:rsidTr="00F85D77">
        <w:trPr>
          <w:trHeight w:val="315"/>
        </w:trPr>
        <w:tc>
          <w:tcPr>
            <w:tcW w:w="1280" w:type="dxa"/>
            <w:tcBorders>
              <w:top w:val="single" w:sz="4" w:space="0" w:color="ADD6EA"/>
              <w:left w:val="nil"/>
              <w:bottom w:val="nil"/>
              <w:right w:val="nil"/>
            </w:tcBorders>
            <w:vAlign w:val="bottom"/>
            <w:hideMark/>
          </w:tcPr>
          <w:p w14:paraId="0E8282A1" w14:textId="4EA1985A" w:rsidR="00F85D77" w:rsidRPr="00F85D77" w:rsidRDefault="00F85D77" w:rsidP="00F85D77">
            <w:pPr>
              <w:tabs>
                <w:tab w:val="clear" w:pos="567"/>
              </w:tabs>
              <w:spacing w:before="0" w:line="240" w:lineRule="auto"/>
              <w:ind w:firstLineChars="100" w:firstLine="160"/>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2024</w:t>
            </w:r>
            <w:r w:rsidR="007B6460">
              <w:rPr>
                <w:rFonts w:ascii="Open Sans Light" w:eastAsia="Times New Roman" w:hAnsi="Open Sans Light" w:cs="Open Sans Light"/>
                <w:color w:val="000000"/>
                <w:sz w:val="16"/>
                <w:szCs w:val="16"/>
                <w:lang w:eastAsia="en-AU"/>
              </w:rPr>
              <w:t>–</w:t>
            </w:r>
            <w:r w:rsidRPr="00F85D77">
              <w:rPr>
                <w:rFonts w:ascii="Open Sans Light" w:eastAsia="Times New Roman" w:hAnsi="Open Sans Light" w:cs="Open Sans Light"/>
                <w:color w:val="000000"/>
                <w:sz w:val="16"/>
                <w:szCs w:val="16"/>
                <w:lang w:eastAsia="en-AU"/>
              </w:rPr>
              <w:t>25</w:t>
            </w:r>
          </w:p>
        </w:tc>
        <w:tc>
          <w:tcPr>
            <w:tcW w:w="960" w:type="dxa"/>
            <w:tcBorders>
              <w:top w:val="single" w:sz="4" w:space="0" w:color="ADD6EA"/>
              <w:left w:val="nil"/>
              <w:bottom w:val="nil"/>
              <w:right w:val="nil"/>
            </w:tcBorders>
            <w:noWrap/>
            <w:vAlign w:val="bottom"/>
            <w:hideMark/>
          </w:tcPr>
          <w:p w14:paraId="3FDA251E"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0.81982</w:t>
            </w:r>
          </w:p>
        </w:tc>
        <w:tc>
          <w:tcPr>
            <w:tcW w:w="960" w:type="dxa"/>
            <w:tcBorders>
              <w:top w:val="single" w:sz="4" w:space="0" w:color="ADD6EA"/>
              <w:left w:val="nil"/>
              <w:bottom w:val="nil"/>
              <w:right w:val="nil"/>
            </w:tcBorders>
            <w:noWrap/>
            <w:vAlign w:val="bottom"/>
            <w:hideMark/>
          </w:tcPr>
          <w:p w14:paraId="2ECED1F2"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0.98557</w:t>
            </w:r>
          </w:p>
        </w:tc>
        <w:tc>
          <w:tcPr>
            <w:tcW w:w="960" w:type="dxa"/>
            <w:tcBorders>
              <w:top w:val="single" w:sz="4" w:space="0" w:color="ADD6EA"/>
              <w:left w:val="nil"/>
              <w:bottom w:val="nil"/>
              <w:right w:val="nil"/>
            </w:tcBorders>
            <w:noWrap/>
            <w:vAlign w:val="bottom"/>
            <w:hideMark/>
          </w:tcPr>
          <w:p w14:paraId="4F58EB35"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0.97804</w:t>
            </w:r>
          </w:p>
        </w:tc>
        <w:tc>
          <w:tcPr>
            <w:tcW w:w="960" w:type="dxa"/>
            <w:tcBorders>
              <w:top w:val="single" w:sz="4" w:space="0" w:color="ADD6EA"/>
              <w:left w:val="nil"/>
              <w:bottom w:val="nil"/>
              <w:right w:val="nil"/>
            </w:tcBorders>
            <w:noWrap/>
            <w:vAlign w:val="bottom"/>
            <w:hideMark/>
          </w:tcPr>
          <w:p w14:paraId="2144363C"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0.81982</w:t>
            </w:r>
          </w:p>
        </w:tc>
        <w:tc>
          <w:tcPr>
            <w:tcW w:w="960" w:type="dxa"/>
            <w:tcBorders>
              <w:top w:val="single" w:sz="4" w:space="0" w:color="ADD6EA"/>
              <w:left w:val="nil"/>
              <w:bottom w:val="nil"/>
              <w:right w:val="nil"/>
            </w:tcBorders>
            <w:noWrap/>
            <w:vAlign w:val="bottom"/>
            <w:hideMark/>
          </w:tcPr>
          <w:p w14:paraId="50E15770"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1.27076</w:t>
            </w:r>
          </w:p>
        </w:tc>
        <w:tc>
          <w:tcPr>
            <w:tcW w:w="960" w:type="dxa"/>
            <w:tcBorders>
              <w:top w:val="single" w:sz="4" w:space="0" w:color="ADD6EA"/>
              <w:left w:val="nil"/>
              <w:bottom w:val="nil"/>
              <w:right w:val="nil"/>
            </w:tcBorders>
            <w:noWrap/>
            <w:vAlign w:val="bottom"/>
            <w:hideMark/>
          </w:tcPr>
          <w:p w14:paraId="6FE45401"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1.97070</w:t>
            </w:r>
          </w:p>
        </w:tc>
        <w:tc>
          <w:tcPr>
            <w:tcW w:w="960" w:type="dxa"/>
            <w:tcBorders>
              <w:top w:val="single" w:sz="4" w:space="0" w:color="ADD6EA"/>
              <w:left w:val="nil"/>
              <w:bottom w:val="nil"/>
              <w:right w:val="nil"/>
            </w:tcBorders>
            <w:noWrap/>
            <w:vAlign w:val="bottom"/>
            <w:hideMark/>
          </w:tcPr>
          <w:p w14:paraId="25778EEB"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1.19132</w:t>
            </w:r>
          </w:p>
        </w:tc>
        <w:tc>
          <w:tcPr>
            <w:tcW w:w="960" w:type="dxa"/>
            <w:tcBorders>
              <w:top w:val="single" w:sz="4" w:space="0" w:color="ADD6EA"/>
              <w:left w:val="nil"/>
              <w:bottom w:val="nil"/>
              <w:right w:val="nil"/>
            </w:tcBorders>
            <w:noWrap/>
            <w:vAlign w:val="bottom"/>
            <w:hideMark/>
          </w:tcPr>
          <w:p w14:paraId="76B29E37" w14:textId="77777777" w:rsidR="00F85D77" w:rsidRPr="00F85D77" w:rsidRDefault="00F85D77" w:rsidP="00F85D77">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F85D77">
              <w:rPr>
                <w:rFonts w:ascii="Open Sans Light" w:eastAsia="Times New Roman" w:hAnsi="Open Sans Light" w:cs="Open Sans Light"/>
                <w:color w:val="000000"/>
                <w:sz w:val="16"/>
                <w:szCs w:val="16"/>
                <w:lang w:eastAsia="en-AU"/>
              </w:rPr>
              <w:t>5.35283</w:t>
            </w:r>
          </w:p>
        </w:tc>
      </w:tr>
      <w:tr w:rsidR="00F85D77" w:rsidRPr="00F85D77" w14:paraId="46AA1B09" w14:textId="77777777" w:rsidTr="00F85D77">
        <w:trPr>
          <w:trHeight w:val="315"/>
        </w:trPr>
        <w:tc>
          <w:tcPr>
            <w:tcW w:w="1280" w:type="dxa"/>
            <w:tcBorders>
              <w:top w:val="single" w:sz="4" w:space="0" w:color="ADD6EA"/>
              <w:left w:val="nil"/>
              <w:bottom w:val="single" w:sz="4" w:space="0" w:color="ADD6EA"/>
              <w:right w:val="nil"/>
            </w:tcBorders>
            <w:shd w:val="clear" w:color="000000" w:fill="B6D5E4"/>
            <w:vAlign w:val="bottom"/>
            <w:hideMark/>
          </w:tcPr>
          <w:p w14:paraId="0BD5118C" w14:textId="77777777" w:rsidR="00F85D77" w:rsidRPr="00F85D77" w:rsidRDefault="00F85D77" w:rsidP="00F85D77">
            <w:pPr>
              <w:tabs>
                <w:tab w:val="clear" w:pos="567"/>
              </w:tabs>
              <w:spacing w:before="0" w:line="240" w:lineRule="auto"/>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GST relativities</w:t>
            </w:r>
          </w:p>
        </w:tc>
        <w:tc>
          <w:tcPr>
            <w:tcW w:w="960" w:type="dxa"/>
            <w:tcBorders>
              <w:top w:val="single" w:sz="4" w:space="0" w:color="ADD6EA"/>
              <w:left w:val="nil"/>
              <w:bottom w:val="single" w:sz="4" w:space="0" w:color="ADD6EA"/>
              <w:right w:val="nil"/>
            </w:tcBorders>
            <w:shd w:val="clear" w:color="000000" w:fill="B6D5E4"/>
            <w:noWrap/>
            <w:vAlign w:val="bottom"/>
            <w:hideMark/>
          </w:tcPr>
          <w:p w14:paraId="080ED711"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0.81964</w:t>
            </w:r>
          </w:p>
        </w:tc>
        <w:tc>
          <w:tcPr>
            <w:tcW w:w="960" w:type="dxa"/>
            <w:tcBorders>
              <w:top w:val="single" w:sz="4" w:space="0" w:color="ADD6EA"/>
              <w:left w:val="nil"/>
              <w:bottom w:val="single" w:sz="4" w:space="0" w:color="ADD6EA"/>
              <w:right w:val="nil"/>
            </w:tcBorders>
            <w:shd w:val="clear" w:color="000000" w:fill="B6D5E4"/>
            <w:noWrap/>
            <w:vAlign w:val="bottom"/>
            <w:hideMark/>
          </w:tcPr>
          <w:p w14:paraId="3C5D6B49"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1.05742</w:t>
            </w:r>
          </w:p>
        </w:tc>
        <w:tc>
          <w:tcPr>
            <w:tcW w:w="960" w:type="dxa"/>
            <w:tcBorders>
              <w:top w:val="single" w:sz="4" w:space="0" w:color="ADD6EA"/>
              <w:left w:val="nil"/>
              <w:bottom w:val="single" w:sz="4" w:space="0" w:color="ADD6EA"/>
              <w:right w:val="nil"/>
            </w:tcBorders>
            <w:shd w:val="clear" w:color="000000" w:fill="B6D5E4"/>
            <w:noWrap/>
            <w:vAlign w:val="bottom"/>
            <w:hideMark/>
          </w:tcPr>
          <w:p w14:paraId="66E9ADA1"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0.87237</w:t>
            </w:r>
          </w:p>
        </w:tc>
        <w:tc>
          <w:tcPr>
            <w:tcW w:w="960" w:type="dxa"/>
            <w:tcBorders>
              <w:top w:val="single" w:sz="4" w:space="0" w:color="ADD6EA"/>
              <w:left w:val="nil"/>
              <w:bottom w:val="single" w:sz="4" w:space="0" w:color="ADD6EA"/>
              <w:right w:val="nil"/>
            </w:tcBorders>
            <w:shd w:val="clear" w:color="000000" w:fill="B6D5E4"/>
            <w:noWrap/>
            <w:vAlign w:val="bottom"/>
            <w:hideMark/>
          </w:tcPr>
          <w:p w14:paraId="2DB6D8B9"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0.81964</w:t>
            </w:r>
          </w:p>
        </w:tc>
        <w:tc>
          <w:tcPr>
            <w:tcW w:w="960" w:type="dxa"/>
            <w:tcBorders>
              <w:top w:val="single" w:sz="4" w:space="0" w:color="ADD6EA"/>
              <w:left w:val="nil"/>
              <w:bottom w:val="single" w:sz="4" w:space="0" w:color="ADD6EA"/>
              <w:right w:val="nil"/>
            </w:tcBorders>
            <w:shd w:val="clear" w:color="000000" w:fill="B6D5E4"/>
            <w:noWrap/>
            <w:vAlign w:val="bottom"/>
            <w:hideMark/>
          </w:tcPr>
          <w:p w14:paraId="5AA505E0"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1.35920</w:t>
            </w:r>
          </w:p>
        </w:tc>
        <w:tc>
          <w:tcPr>
            <w:tcW w:w="960" w:type="dxa"/>
            <w:tcBorders>
              <w:top w:val="single" w:sz="4" w:space="0" w:color="ADD6EA"/>
              <w:left w:val="nil"/>
              <w:bottom w:val="single" w:sz="4" w:space="0" w:color="ADD6EA"/>
              <w:right w:val="nil"/>
            </w:tcBorders>
            <w:shd w:val="clear" w:color="000000" w:fill="B6D5E4"/>
            <w:noWrap/>
            <w:vAlign w:val="bottom"/>
            <w:hideMark/>
          </w:tcPr>
          <w:p w14:paraId="07DF45F5"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1.88285</w:t>
            </w:r>
          </w:p>
        </w:tc>
        <w:tc>
          <w:tcPr>
            <w:tcW w:w="960" w:type="dxa"/>
            <w:tcBorders>
              <w:top w:val="single" w:sz="4" w:space="0" w:color="ADD6EA"/>
              <w:left w:val="nil"/>
              <w:bottom w:val="single" w:sz="4" w:space="0" w:color="ADD6EA"/>
              <w:right w:val="nil"/>
            </w:tcBorders>
            <w:shd w:val="clear" w:color="000000" w:fill="B6D5E4"/>
            <w:noWrap/>
            <w:vAlign w:val="bottom"/>
            <w:hideMark/>
          </w:tcPr>
          <w:p w14:paraId="1B8B8AD8"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1.16179</w:t>
            </w:r>
          </w:p>
        </w:tc>
        <w:tc>
          <w:tcPr>
            <w:tcW w:w="960" w:type="dxa"/>
            <w:tcBorders>
              <w:top w:val="single" w:sz="4" w:space="0" w:color="ADD6EA"/>
              <w:left w:val="nil"/>
              <w:bottom w:val="single" w:sz="4" w:space="0" w:color="ADD6EA"/>
              <w:right w:val="nil"/>
            </w:tcBorders>
            <w:shd w:val="clear" w:color="000000" w:fill="B6D5E4"/>
            <w:noWrap/>
            <w:vAlign w:val="bottom"/>
            <w:hideMark/>
          </w:tcPr>
          <w:p w14:paraId="535A34D8" w14:textId="77777777" w:rsidR="00F85D77" w:rsidRPr="00F85D77" w:rsidRDefault="00F85D77" w:rsidP="00F85D77">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F85D77">
              <w:rPr>
                <w:rFonts w:ascii="Open Sans Semibold" w:eastAsia="Times New Roman" w:hAnsi="Open Sans Semibold" w:cs="Open Sans Semibold"/>
                <w:color w:val="000000"/>
                <w:sz w:val="16"/>
                <w:szCs w:val="16"/>
                <w:lang w:eastAsia="en-AU"/>
              </w:rPr>
              <w:t>5.24149</w:t>
            </w:r>
          </w:p>
        </w:tc>
      </w:tr>
    </w:tbl>
    <w:p w14:paraId="42A6D75A" w14:textId="416F8565" w:rsidR="008C58FC" w:rsidRDefault="008C58FC" w:rsidP="008C58FC">
      <w:pPr>
        <w:pStyle w:val="CGC2025TableNote"/>
        <w:numPr>
          <w:ilvl w:val="0"/>
          <w:numId w:val="20"/>
        </w:numPr>
      </w:pPr>
      <w:r w:rsidRPr="00FE61FE">
        <w:t xml:space="preserve">New South Wales </w:t>
      </w:r>
      <w:r w:rsidR="002528F7">
        <w:t>is</w:t>
      </w:r>
      <w:r w:rsidR="002528F7" w:rsidRPr="00FE61FE">
        <w:t xml:space="preserve"> </w:t>
      </w:r>
      <w:r w:rsidRPr="00FE61FE">
        <w:t>the standard state for all 3 assessment</w:t>
      </w:r>
      <w:r>
        <w:t xml:space="preserve"> years.</w:t>
      </w:r>
    </w:p>
    <w:p w14:paraId="46531066" w14:textId="77777777" w:rsidR="008C58FC" w:rsidRPr="00C44793" w:rsidRDefault="008C58FC" w:rsidP="008C58FC">
      <w:pPr>
        <w:pStyle w:val="Heading3"/>
      </w:pPr>
      <w:r w:rsidRPr="00C44793">
        <w:t>Assessed relativities</w:t>
      </w:r>
    </w:p>
    <w:p w14:paraId="7BA8FCDB" w14:textId="77777777" w:rsidR="008C58FC" w:rsidRPr="0068428C" w:rsidRDefault="008C58FC" w:rsidP="008C58FC">
      <w:r>
        <w:t>Assessed relativities have changed since 2025–26.</w:t>
      </w:r>
    </w:p>
    <w:p w14:paraId="1CF95BAA" w14:textId="4A614404" w:rsidR="008C58FC" w:rsidRPr="00527562" w:rsidRDefault="008C58FC" w:rsidP="002F5ED5">
      <w:pPr>
        <w:pStyle w:val="CGCBulletPoints"/>
        <w:rPr>
          <w:rStyle w:val="normaltextrun"/>
        </w:rPr>
      </w:pPr>
      <w:r w:rsidRPr="006E7241">
        <w:t xml:space="preserve">The Commission uses a </w:t>
      </w:r>
      <w:r w:rsidR="000B5577">
        <w:t xml:space="preserve">3-year </w:t>
      </w:r>
      <w:r w:rsidRPr="006E7241">
        <w:t>lagged</w:t>
      </w:r>
      <w:r w:rsidR="007C11E3">
        <w:t>, moving</w:t>
      </w:r>
      <w:r w:rsidRPr="006E7241">
        <w:t xml:space="preserve"> average of state fiscal capacities.</w:t>
      </w:r>
      <w:r w:rsidRPr="00DC1961">
        <w:rPr>
          <w:sz w:val="16"/>
          <w:szCs w:val="16"/>
          <w:vertAlign w:val="superscript"/>
        </w:rPr>
        <w:footnoteReference w:id="12"/>
      </w:r>
      <w:r w:rsidRPr="00DC1961">
        <w:rPr>
          <w:sz w:val="16"/>
          <w:szCs w:val="16"/>
        </w:rPr>
        <w:t xml:space="preserve"> </w:t>
      </w:r>
      <w:r>
        <w:t>Accordingly</w:t>
      </w:r>
      <w:r w:rsidRPr="00527562">
        <w:t xml:space="preserve">, </w:t>
      </w:r>
      <w:r w:rsidRPr="63C58719">
        <w:rPr>
          <w:rStyle w:val="normaltextrun"/>
          <w:rFonts w:cs="Segoe UI"/>
          <w:shd w:val="clear" w:color="auto" w:fill="FFFFFF"/>
        </w:rPr>
        <w:t>2021–22 drops out of the assessment period and is replaced by </w:t>
      </w:r>
      <w:r w:rsidRPr="00527562">
        <w:rPr>
          <w:rStyle w:val="normaltextrun"/>
          <w:rFonts w:cs="Segoe UI"/>
          <w:szCs w:val="20"/>
          <w:shd w:val="clear" w:color="auto" w:fill="FFFFFF"/>
        </w:rPr>
        <w:br/>
      </w:r>
      <w:r w:rsidRPr="63C58719">
        <w:rPr>
          <w:rStyle w:val="normaltextrun"/>
          <w:rFonts w:cs="Segoe UI"/>
          <w:shd w:val="clear" w:color="auto" w:fill="FFFFFF"/>
        </w:rPr>
        <w:t>2024–25. </w:t>
      </w:r>
    </w:p>
    <w:p w14:paraId="253E5736" w14:textId="77777777" w:rsidR="008C58FC" w:rsidRPr="006E7241" w:rsidRDefault="008C58FC" w:rsidP="002F5ED5">
      <w:pPr>
        <w:pStyle w:val="CGCBulletPoints"/>
      </w:pPr>
      <w:r w:rsidRPr="00527562">
        <w:rPr>
          <w:rStyle w:val="normaltextrun"/>
          <w:rFonts w:cs="Segoe UI"/>
          <w:szCs w:val="20"/>
          <w:shd w:val="clear" w:color="auto" w:fill="FFFFFF"/>
        </w:rPr>
        <w:t>Alongside the changing period, the Commission</w:t>
      </w:r>
      <w:r w:rsidRPr="00DC1961">
        <w:rPr>
          <w:rStyle w:val="normaltextrun"/>
          <w:rFonts w:cs="Segoe UI"/>
          <w:szCs w:val="20"/>
          <w:shd w:val="clear" w:color="auto" w:fill="FFFFFF"/>
        </w:rPr>
        <w:t xml:space="preserve"> </w:t>
      </w:r>
      <w:r w:rsidRPr="00527562">
        <w:t>incorporates</w:t>
      </w:r>
      <w:r w:rsidRPr="006E7241">
        <w:t xml:space="preserve"> revisions to data </w:t>
      </w:r>
      <w:r>
        <w:t>from earlier years, so</w:t>
      </w:r>
      <w:r w:rsidRPr="006E7241">
        <w:t xml:space="preserve"> </w:t>
      </w:r>
      <w:r>
        <w:t xml:space="preserve">relativities are based on </w:t>
      </w:r>
      <w:r w:rsidRPr="006E7241">
        <w:t xml:space="preserve">the most </w:t>
      </w:r>
      <w:r>
        <w:t>current</w:t>
      </w:r>
      <w:r w:rsidRPr="006E7241">
        <w:t xml:space="preserve"> information. </w:t>
      </w:r>
    </w:p>
    <w:p w14:paraId="63A46CE9" w14:textId="6E5DF943" w:rsidR="008C58FC" w:rsidRPr="00C44793" w:rsidRDefault="008C58FC" w:rsidP="002F5ED5">
      <w:pPr>
        <w:pStyle w:val="CGCBulletPoints"/>
      </w:pPr>
      <w:r w:rsidRPr="00C44793">
        <w:t xml:space="preserve">The Commission </w:t>
      </w:r>
      <w:r>
        <w:t xml:space="preserve">has </w:t>
      </w:r>
      <w:r w:rsidRPr="00C44793">
        <w:t xml:space="preserve">changed the </w:t>
      </w:r>
      <w:r>
        <w:t>j</w:t>
      </w:r>
      <w:r w:rsidRPr="00C44793">
        <w:t>ustice assessment method in the 2026 Update</w:t>
      </w:r>
      <w:r>
        <w:t xml:space="preserve"> as part of finalising the 2025 Review </w:t>
      </w:r>
      <w:r w:rsidRPr="00F2461E">
        <w:t xml:space="preserve">and has made a change to the </w:t>
      </w:r>
      <w:r w:rsidR="0089314F">
        <w:t xml:space="preserve">urban </w:t>
      </w:r>
      <w:r w:rsidRPr="00F2461E">
        <w:t xml:space="preserve">transport assessment in response to data </w:t>
      </w:r>
      <w:r w:rsidR="006C625C">
        <w:t>problems</w:t>
      </w:r>
      <w:r w:rsidRPr="00F2461E">
        <w:t>.</w:t>
      </w:r>
      <w:r>
        <w:t xml:space="preserve"> </w:t>
      </w:r>
    </w:p>
    <w:p w14:paraId="35F30C9F" w14:textId="77777777" w:rsidR="008C58FC" w:rsidRPr="00D13E21" w:rsidRDefault="008C58FC" w:rsidP="008C58FC">
      <w:r>
        <w:t>Further information on the</w:t>
      </w:r>
      <w:r w:rsidRPr="008D4A4A">
        <w:t xml:space="preserve"> main reasons for changes in assessed relativities in 2026</w:t>
      </w:r>
      <w:r>
        <w:t>–</w:t>
      </w:r>
      <w:r w:rsidRPr="008D4A4A">
        <w:t xml:space="preserve">27 </w:t>
      </w:r>
      <w:r>
        <w:t xml:space="preserve">is </w:t>
      </w:r>
      <w:r w:rsidRPr="008D4A4A">
        <w:t>in Chapter 2</w:t>
      </w:r>
      <w:r w:rsidRPr="00D13E21">
        <w:t xml:space="preserve">. </w:t>
      </w:r>
    </w:p>
    <w:p w14:paraId="483811C5" w14:textId="77777777" w:rsidR="008C58FC" w:rsidRPr="00C808A0" w:rsidRDefault="008C58FC" w:rsidP="008C58FC">
      <w:pPr>
        <w:pStyle w:val="Heading3"/>
      </w:pPr>
      <w:r w:rsidRPr="00C808A0">
        <w:t>Standard state relativities</w:t>
      </w:r>
    </w:p>
    <w:p w14:paraId="2A0E7C86" w14:textId="77777777" w:rsidR="008C58FC" w:rsidRDefault="008C58FC" w:rsidP="008C58FC">
      <w:r w:rsidRPr="00ED41E1">
        <w:t xml:space="preserve">The 2018 </w:t>
      </w:r>
      <w:r w:rsidRPr="00C808A0">
        <w:t xml:space="preserve">GST distribution </w:t>
      </w:r>
      <w:r>
        <w:t>legislation</w:t>
      </w:r>
      <w:r w:rsidRPr="00ED41E1">
        <w:t xml:space="preserve"> established a </w:t>
      </w:r>
      <w:r>
        <w:t xml:space="preserve">6-year </w:t>
      </w:r>
      <w:r w:rsidRPr="00ED41E1">
        <w:t xml:space="preserve">transition to </w:t>
      </w:r>
      <w:r>
        <w:t xml:space="preserve">an </w:t>
      </w:r>
      <w:r w:rsidRPr="00ED41E1">
        <w:t>equalis</w:t>
      </w:r>
      <w:r>
        <w:t xml:space="preserve">ation benchmark linked </w:t>
      </w:r>
      <w:r w:rsidRPr="00ED41E1">
        <w:t>to a standard state</w:t>
      </w:r>
      <w:r>
        <w:t xml:space="preserve">, with full transition occurring in </w:t>
      </w:r>
      <w:r w:rsidRPr="00ED41E1">
        <w:t>2026–27.</w:t>
      </w:r>
    </w:p>
    <w:p w14:paraId="08CBDEE0" w14:textId="77777777" w:rsidR="008C58FC" w:rsidRPr="00C808A0" w:rsidRDefault="008C58FC" w:rsidP="008C58FC">
      <w:r>
        <w:t xml:space="preserve">In 2026–27, </w:t>
      </w:r>
      <w:r w:rsidRPr="00C808A0">
        <w:t xml:space="preserve">New South Wales </w:t>
      </w:r>
      <w:r>
        <w:t>is</w:t>
      </w:r>
      <w:r w:rsidRPr="00C808A0">
        <w:t xml:space="preserve"> the standard state for all assessment years (2022–23, 2023–24 and 2024–25) because its assessed relativity </w:t>
      </w:r>
      <w:r>
        <w:t>is</w:t>
      </w:r>
      <w:r w:rsidRPr="00C808A0">
        <w:t xml:space="preserve"> lower than Victoria’s</w:t>
      </w:r>
      <w:r w:rsidRPr="00A61F55">
        <w:t xml:space="preserve"> </w:t>
      </w:r>
      <w:r w:rsidRPr="00C808A0">
        <w:t xml:space="preserve">in each year. </w:t>
      </w:r>
    </w:p>
    <w:p w14:paraId="1031E1B6" w14:textId="77777777" w:rsidR="008C58FC" w:rsidRPr="00E06E3F" w:rsidRDefault="008C58FC" w:rsidP="008C58FC">
      <w:r>
        <w:t xml:space="preserve">For the 2026 Update, Queensland’s assessed relativity is below the standard state in </w:t>
      </w:r>
      <w:r>
        <w:br/>
      </w:r>
      <w:r w:rsidRPr="00C808A0">
        <w:t>2022–23</w:t>
      </w:r>
      <w:r>
        <w:t xml:space="preserve"> and</w:t>
      </w:r>
      <w:r w:rsidRPr="00C808A0">
        <w:t xml:space="preserve"> 2023–24</w:t>
      </w:r>
      <w:r>
        <w:t xml:space="preserve"> and </w:t>
      </w:r>
      <w:r w:rsidRPr="00292199">
        <w:t>Western Australia’s assessed relativity</w:t>
      </w:r>
      <w:r>
        <w:t xml:space="preserve"> is below for all 3 years. Accordingly, Queensland and Western Australia’s relativities are lifted to match New South Wales in the relevant </w:t>
      </w:r>
      <w:proofErr w:type="gramStart"/>
      <w:r>
        <w:t>years</w:t>
      </w:r>
      <w:proofErr w:type="gramEnd"/>
      <w:r>
        <w:t xml:space="preserve"> and t</w:t>
      </w:r>
      <w:r w:rsidRPr="00292199">
        <w:t xml:space="preserve">he relativities of </w:t>
      </w:r>
      <w:r>
        <w:t xml:space="preserve">all </w:t>
      </w:r>
      <w:r w:rsidRPr="00292199">
        <w:t xml:space="preserve">states </w:t>
      </w:r>
      <w:r>
        <w:t>are</w:t>
      </w:r>
      <w:r w:rsidRPr="00292199">
        <w:t xml:space="preserve"> </w:t>
      </w:r>
      <w:r>
        <w:t xml:space="preserve">reduced on a </w:t>
      </w:r>
      <w:r w:rsidRPr="00292199">
        <w:t>population</w:t>
      </w:r>
      <w:r>
        <w:t xml:space="preserve"> share basis to accommodate these increases.</w:t>
      </w:r>
    </w:p>
    <w:p w14:paraId="64ACCEA5" w14:textId="77777777" w:rsidR="008C58FC" w:rsidRPr="00C808A0" w:rsidRDefault="008C58FC" w:rsidP="008C58FC">
      <w:pPr>
        <w:pStyle w:val="Heading3"/>
      </w:pPr>
      <w:r>
        <w:t>GST</w:t>
      </w:r>
      <w:r w:rsidRPr="00C808A0">
        <w:t xml:space="preserve"> relativities</w:t>
      </w:r>
    </w:p>
    <w:p w14:paraId="54806D60" w14:textId="77777777" w:rsidR="008C58FC" w:rsidRPr="00292199" w:rsidRDefault="008C58FC" w:rsidP="008C58FC">
      <w:r>
        <w:t>A state’s GST relativity is the average of its 3 standard state relativities.</w:t>
      </w:r>
    </w:p>
    <w:tbl>
      <w:tblPr>
        <w:tblStyle w:val="TableGrid"/>
        <w:tblW w:w="9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8FF"/>
        <w:tblLayout w:type="fixed"/>
        <w:tblLook w:val="04A0" w:firstRow="1" w:lastRow="0" w:firstColumn="1" w:lastColumn="0" w:noHBand="0" w:noVBand="1"/>
      </w:tblPr>
      <w:tblGrid>
        <w:gridCol w:w="9185"/>
      </w:tblGrid>
      <w:tr w:rsidR="008C58FC" w14:paraId="5D2B9E2A" w14:textId="77777777" w:rsidTr="00E51790">
        <w:tc>
          <w:tcPr>
            <w:tcW w:w="9185" w:type="dxa"/>
            <w:shd w:val="clear" w:color="auto" w:fill="E5F8FF"/>
          </w:tcPr>
          <w:p w14:paraId="5DF0E91E" w14:textId="77777777" w:rsidR="008C58FC" w:rsidRPr="00F91281" w:rsidRDefault="008C58FC" w:rsidP="00E51790">
            <w:pPr>
              <w:pStyle w:val="Heading2"/>
              <w:keepNext/>
            </w:pPr>
            <w:r>
              <w:lastRenderedPageBreak/>
              <w:t>Box B-2</w:t>
            </w:r>
            <w:r>
              <w:tab/>
              <w:t>Calculating Western Australia’s GST relativity</w:t>
            </w:r>
            <w:r w:rsidRPr="00694DD1">
              <w:t xml:space="preserve"> </w:t>
            </w:r>
          </w:p>
          <w:p w14:paraId="7E2C1DA7" w14:textId="31551A0C" w:rsidR="008C58FC" w:rsidRPr="00F91281" w:rsidRDefault="008C58FC" w:rsidP="00E51790">
            <w:pPr>
              <w:keepNext/>
            </w:pPr>
            <w:r w:rsidRPr="0017649F">
              <w:t xml:space="preserve">Western Australia’s assessed relativity </w:t>
            </w:r>
            <w:r>
              <w:t>is</w:t>
            </w:r>
            <w:r w:rsidRPr="0017649F">
              <w:t xml:space="preserve"> </w:t>
            </w:r>
            <w:r>
              <w:t xml:space="preserve">lifted to </w:t>
            </w:r>
            <w:r w:rsidRPr="0017649F">
              <w:t xml:space="preserve">the standard state (New South Wales) in </w:t>
            </w:r>
            <w:r>
              <w:t>each</w:t>
            </w:r>
            <w:r w:rsidRPr="0017649F">
              <w:t xml:space="preserve"> assessment year</w:t>
            </w:r>
            <w:r>
              <w:t xml:space="preserve"> for the 2026 Update</w:t>
            </w:r>
            <w:r w:rsidRPr="0017649F">
              <w:t>.</w:t>
            </w:r>
            <w:r w:rsidRPr="00F91281">
              <w:t xml:space="preserve"> </w:t>
            </w:r>
            <w:r>
              <w:t>To accommodate the increase for Western Australia and Queensland, t</w:t>
            </w:r>
            <w:r w:rsidRPr="00292199">
              <w:t xml:space="preserve">he relativities of </w:t>
            </w:r>
            <w:r>
              <w:t xml:space="preserve">all </w:t>
            </w:r>
            <w:r w:rsidRPr="00292199">
              <w:t xml:space="preserve">states </w:t>
            </w:r>
            <w:r>
              <w:t>are</w:t>
            </w:r>
            <w:r w:rsidRPr="00292199">
              <w:t xml:space="preserve"> </w:t>
            </w:r>
            <w:r>
              <w:t xml:space="preserve">reduced on a </w:t>
            </w:r>
            <w:r w:rsidRPr="00292199">
              <w:t>population share</w:t>
            </w:r>
            <w:r>
              <w:t xml:space="preserve"> basis, producing a standard state relativity. The resulting number is the GST relativity.</w:t>
            </w:r>
          </w:p>
          <w:p w14:paraId="7D7A963C" w14:textId="77777777" w:rsidR="008C58FC" w:rsidRDefault="008C58FC" w:rsidP="00E51790">
            <w:r>
              <w:t xml:space="preserve">The following diagram illustrates these steps. </w:t>
            </w:r>
            <w:r>
              <w:br/>
            </w:r>
          </w:p>
          <w:p w14:paraId="62E284B0" w14:textId="77777777" w:rsidR="008C58FC" w:rsidRDefault="008C58FC" w:rsidP="00E51790">
            <w:r w:rsidRPr="00F608DE">
              <w:rPr>
                <w:noProof/>
              </w:rPr>
              <w:drawing>
                <wp:inline distT="0" distB="0" distL="0" distR="0" wp14:anchorId="039E75A6" wp14:editId="71140C76">
                  <wp:extent cx="5692775" cy="5460365"/>
                  <wp:effectExtent l="0" t="0" r="0" b="6985"/>
                  <wp:docPr id="14546931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2775" cy="5460365"/>
                          </a:xfrm>
                          <a:prstGeom prst="rect">
                            <a:avLst/>
                          </a:prstGeom>
                          <a:noFill/>
                          <a:ln>
                            <a:noFill/>
                          </a:ln>
                        </pic:spPr>
                      </pic:pic>
                    </a:graphicData>
                  </a:graphic>
                </wp:inline>
              </w:drawing>
            </w:r>
          </w:p>
          <w:p w14:paraId="27094EBF" w14:textId="5A582953" w:rsidR="008C58FC" w:rsidRPr="00310D9B" w:rsidRDefault="008C58FC" w:rsidP="00E51790">
            <w:pPr>
              <w:rPr>
                <w:highlight w:val="yellow"/>
              </w:rPr>
            </w:pPr>
          </w:p>
          <w:p w14:paraId="2B1EC410" w14:textId="77777777" w:rsidR="008C58FC" w:rsidRDefault="008C58FC" w:rsidP="00E51790">
            <w:pPr>
              <w:pStyle w:val="Heading2"/>
            </w:pPr>
          </w:p>
          <w:p w14:paraId="56546903" w14:textId="77777777" w:rsidR="008C58FC" w:rsidRPr="0094572A" w:rsidRDefault="008C58FC" w:rsidP="00E51790">
            <w:pPr>
              <w:pStyle w:val="BodyText"/>
              <w:rPr>
                <w:lang w:eastAsia="en-US"/>
              </w:rPr>
            </w:pPr>
          </w:p>
          <w:p w14:paraId="7F4D71B3" w14:textId="77777777" w:rsidR="008C58FC" w:rsidRDefault="008C58FC" w:rsidP="00E51790">
            <w:pPr>
              <w:pStyle w:val="Heading2"/>
            </w:pPr>
          </w:p>
          <w:p w14:paraId="590FE985" w14:textId="77777777" w:rsidR="008C58FC" w:rsidRDefault="008C58FC" w:rsidP="00E51790">
            <w:pPr>
              <w:pStyle w:val="Heading2"/>
            </w:pPr>
          </w:p>
          <w:p w14:paraId="527E7925" w14:textId="77777777" w:rsidR="008C58FC" w:rsidRDefault="008C58FC" w:rsidP="00E51790">
            <w:pPr>
              <w:pStyle w:val="Heading2"/>
            </w:pPr>
          </w:p>
          <w:p w14:paraId="58FA5482" w14:textId="77777777" w:rsidR="008C58FC" w:rsidRDefault="008C58FC" w:rsidP="00E51790">
            <w:pPr>
              <w:pStyle w:val="Heading2"/>
              <w:numPr>
                <w:ilvl w:val="0"/>
                <w:numId w:val="0"/>
              </w:numPr>
            </w:pPr>
          </w:p>
          <w:p w14:paraId="1688F7CA" w14:textId="77777777" w:rsidR="008C58FC" w:rsidRDefault="008C58FC" w:rsidP="00E51790">
            <w:pPr>
              <w:pStyle w:val="Heading2"/>
              <w:numPr>
                <w:ilvl w:val="0"/>
                <w:numId w:val="0"/>
              </w:numPr>
            </w:pPr>
            <w:r>
              <w:lastRenderedPageBreak/>
              <w:t>Box B-3 Calculating Queensland’s GST relativity</w:t>
            </w:r>
            <w:r w:rsidRPr="00694DD1">
              <w:t xml:space="preserve"> </w:t>
            </w:r>
          </w:p>
          <w:p w14:paraId="1F96BDD4" w14:textId="77777777" w:rsidR="008C58FC" w:rsidRDefault="008C58FC" w:rsidP="00E51790">
            <w:r>
              <w:t>Queensland’s</w:t>
            </w:r>
            <w:r w:rsidRPr="0017649F">
              <w:t xml:space="preserve"> assessed relativity </w:t>
            </w:r>
            <w:r>
              <w:t>is</w:t>
            </w:r>
            <w:r w:rsidRPr="0017649F">
              <w:t xml:space="preserve"> </w:t>
            </w:r>
            <w:r>
              <w:t xml:space="preserve">lifted to </w:t>
            </w:r>
            <w:r w:rsidRPr="0017649F">
              <w:t xml:space="preserve">the standard state (New South Wales) in </w:t>
            </w:r>
            <w:r>
              <w:t>the first</w:t>
            </w:r>
            <w:r w:rsidRPr="0017649F">
              <w:t xml:space="preserve"> </w:t>
            </w:r>
            <w:r>
              <w:t>2</w:t>
            </w:r>
            <w:r w:rsidRPr="0017649F">
              <w:t xml:space="preserve"> assessment years</w:t>
            </w:r>
            <w:r>
              <w:t xml:space="preserve"> for the 2026 Update</w:t>
            </w:r>
            <w:r w:rsidRPr="0017649F">
              <w:t>.</w:t>
            </w:r>
            <w:r>
              <w:t xml:space="preserve"> Its assessed relativity in the third year has not changed as it is above the standard state. To accommodate the increase for Western Australia and Queensland, t</w:t>
            </w:r>
            <w:r w:rsidRPr="00292199">
              <w:t xml:space="preserve">he relativities of </w:t>
            </w:r>
            <w:r>
              <w:t xml:space="preserve">all </w:t>
            </w:r>
            <w:r w:rsidRPr="00292199">
              <w:t xml:space="preserve">states </w:t>
            </w:r>
            <w:r>
              <w:t>are</w:t>
            </w:r>
            <w:r w:rsidRPr="00292199">
              <w:t xml:space="preserve"> </w:t>
            </w:r>
            <w:r>
              <w:t xml:space="preserve">reduced on a </w:t>
            </w:r>
            <w:r w:rsidRPr="00292199">
              <w:t>population share</w:t>
            </w:r>
            <w:r>
              <w:t xml:space="preserve"> basis, producing a standard state relativity. The resulting number is the GST relativity.</w:t>
            </w:r>
          </w:p>
          <w:p w14:paraId="74FD1F64" w14:textId="77777777" w:rsidR="008C58FC" w:rsidRPr="00D06DB5" w:rsidRDefault="008C58FC" w:rsidP="00E51790">
            <w:pPr>
              <w:jc w:val="right"/>
            </w:pPr>
          </w:p>
          <w:p w14:paraId="2DAA3411" w14:textId="77777777" w:rsidR="008C58FC" w:rsidRDefault="008C58FC" w:rsidP="00E51790">
            <w:r w:rsidRPr="00261D50">
              <w:rPr>
                <w:noProof/>
              </w:rPr>
              <w:drawing>
                <wp:inline distT="0" distB="0" distL="0" distR="0" wp14:anchorId="292EFCAF" wp14:editId="0AA09C1F">
                  <wp:extent cx="5692775" cy="5518785"/>
                  <wp:effectExtent l="0" t="0" r="0" b="5715"/>
                  <wp:docPr id="4986330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92775" cy="5518785"/>
                          </a:xfrm>
                          <a:prstGeom prst="rect">
                            <a:avLst/>
                          </a:prstGeom>
                          <a:noFill/>
                          <a:ln>
                            <a:noFill/>
                          </a:ln>
                        </pic:spPr>
                      </pic:pic>
                    </a:graphicData>
                  </a:graphic>
                </wp:inline>
              </w:drawing>
            </w:r>
          </w:p>
          <w:p w14:paraId="759C4A03" w14:textId="4B3719A9" w:rsidR="008C58FC" w:rsidRDefault="008C58FC" w:rsidP="00E51790">
            <w:pPr>
              <w:rPr>
                <w:highlight w:val="yellow"/>
              </w:rPr>
            </w:pPr>
          </w:p>
          <w:p w14:paraId="07D04D21" w14:textId="77777777" w:rsidR="008C58FC" w:rsidRPr="00E3426C" w:rsidRDefault="008C58FC" w:rsidP="00E51790">
            <w:pPr>
              <w:pStyle w:val="CGCTablenote"/>
              <w:ind w:left="0" w:firstLine="0"/>
            </w:pPr>
          </w:p>
        </w:tc>
      </w:tr>
    </w:tbl>
    <w:p w14:paraId="6D5F8D6B" w14:textId="77777777" w:rsidR="008C58FC" w:rsidRDefault="008C58FC" w:rsidP="008C58FC">
      <w:pPr>
        <w:tabs>
          <w:tab w:val="clear" w:pos="567"/>
        </w:tabs>
        <w:spacing w:before="0" w:line="240" w:lineRule="auto"/>
        <w:rPr>
          <w:highlight w:val="yellow"/>
        </w:rPr>
      </w:pPr>
    </w:p>
    <w:p w14:paraId="05C12BC0" w14:textId="77777777" w:rsidR="008C58FC" w:rsidRPr="00605CD8" w:rsidRDefault="008C58FC" w:rsidP="008C58FC">
      <w:pPr>
        <w:pStyle w:val="Heading2"/>
      </w:pPr>
      <w:r w:rsidRPr="00605CD8">
        <w:t>Assessed state budgets</w:t>
      </w:r>
    </w:p>
    <w:p w14:paraId="5EB80B30" w14:textId="77777777" w:rsidR="008C58FC" w:rsidRPr="00605CD8" w:rsidRDefault="008C58FC" w:rsidP="008C58FC">
      <w:r>
        <w:t>Assessed</w:t>
      </w:r>
      <w:r w:rsidRPr="000B5622">
        <w:t xml:space="preserve"> relativities reflect differences in states’ GST requirements. They are calculated by comparing each state’s relative capacity to raise revenue and its share of Commonwealth payments with its relative cost of delivering services and infrastructure. A state’s GST need is higher when this gap is larger</w:t>
      </w:r>
      <w:r>
        <w:t>.</w:t>
      </w:r>
    </w:p>
    <w:p w14:paraId="5592113E" w14:textId="77777777" w:rsidR="008C58FC" w:rsidRPr="00605CD8" w:rsidRDefault="008C58FC" w:rsidP="008C58FC">
      <w:r w:rsidRPr="00605CD8">
        <w:t xml:space="preserve">Figure </w:t>
      </w:r>
      <w:r>
        <w:t>B</w:t>
      </w:r>
      <w:r w:rsidRPr="00605CD8">
        <w:t>-1 illustrates the estimated assessed state budgets</w:t>
      </w:r>
      <w:r>
        <w:t xml:space="preserve"> </w:t>
      </w:r>
      <w:r w:rsidRPr="00605CD8">
        <w:t xml:space="preserve">for 2026–27. The blue bar on the left shows the </w:t>
      </w:r>
      <w:r>
        <w:t xml:space="preserve">state’s </w:t>
      </w:r>
      <w:r w:rsidRPr="000B5622">
        <w:t>relative cost of delivering services and infrastructure</w:t>
      </w:r>
      <w:r w:rsidRPr="00605CD8">
        <w:t xml:space="preserve">. The bar on </w:t>
      </w:r>
      <w:r w:rsidRPr="00605CD8">
        <w:lastRenderedPageBreak/>
        <w:t xml:space="preserve">the right shows </w:t>
      </w:r>
      <w:r>
        <w:t xml:space="preserve">its </w:t>
      </w:r>
      <w:r w:rsidRPr="000B5622">
        <w:t>relative capacity to raise revenue</w:t>
      </w:r>
      <w:r>
        <w:t>,</w:t>
      </w:r>
      <w:r w:rsidRPr="000B5622">
        <w:t xml:space="preserve"> its </w:t>
      </w:r>
      <w:r w:rsidRPr="18E5FA53">
        <w:t>assessed net borrowing</w:t>
      </w:r>
      <w:r w:rsidRPr="000B5622">
        <w:t xml:space="preserve">, its Commonwealth payments </w:t>
      </w:r>
      <w:r w:rsidRPr="00605CD8">
        <w:t>and its revenue from the GST pool.</w:t>
      </w:r>
      <w:r w:rsidRPr="00A07607">
        <w:rPr>
          <w:sz w:val="16"/>
          <w:szCs w:val="16"/>
          <w:vertAlign w:val="superscript"/>
        </w:rPr>
        <w:footnoteReference w:id="13"/>
      </w:r>
      <w:r w:rsidRPr="00A07607">
        <w:rPr>
          <w:sz w:val="16"/>
          <w:szCs w:val="16"/>
          <w:vertAlign w:val="superscript"/>
        </w:rPr>
        <w:t xml:space="preserve"> </w:t>
      </w:r>
    </w:p>
    <w:p w14:paraId="5FAC6B70" w14:textId="77777777" w:rsidR="008C58FC" w:rsidRPr="00605CD8" w:rsidRDefault="008C58FC" w:rsidP="008C58FC">
      <w:pPr>
        <w:pStyle w:val="CGC2025Caption"/>
        <w:keepNext/>
        <w:keepLines/>
        <w:ind w:left="1418" w:hanging="1418"/>
      </w:pPr>
      <w:r w:rsidRPr="00605CD8">
        <w:t xml:space="preserve">Figure </w:t>
      </w:r>
      <w:r>
        <w:t>B</w:t>
      </w:r>
      <w:r w:rsidRPr="00605CD8">
        <w:t>-1</w:t>
      </w:r>
      <w:r>
        <w:tab/>
      </w:r>
      <w:r w:rsidRPr="00605CD8">
        <w:t xml:space="preserve">Assessed </w:t>
      </w:r>
      <w:r>
        <w:t xml:space="preserve">state </w:t>
      </w:r>
      <w:r w:rsidRPr="00605CD8">
        <w:t>budgets per capita 2026–27 (excludes no worse off payments)</w:t>
      </w:r>
    </w:p>
    <w:p w14:paraId="74A28173" w14:textId="77777777" w:rsidR="008C58FC" w:rsidRDefault="008C58FC" w:rsidP="008C58FC">
      <w:pPr>
        <w:pStyle w:val="CGC2025Caption"/>
        <w:keepNext/>
        <w:keepLines/>
      </w:pPr>
      <w:r w:rsidRPr="00E30ECF">
        <w:rPr>
          <w:noProof/>
        </w:rPr>
        <w:t xml:space="preserve"> </w:t>
      </w:r>
      <w:r w:rsidRPr="00B05BDF">
        <w:rPr>
          <w:noProof/>
        </w:rPr>
        <w:drawing>
          <wp:inline distT="0" distB="0" distL="0" distR="0" wp14:anchorId="4E91FCDF" wp14:editId="519EC5E9">
            <wp:extent cx="5589270" cy="3573780"/>
            <wp:effectExtent l="0" t="0" r="0" b="7620"/>
            <wp:docPr id="15685476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89270" cy="3573780"/>
                    </a:xfrm>
                    <a:prstGeom prst="rect">
                      <a:avLst/>
                    </a:prstGeom>
                    <a:noFill/>
                    <a:ln>
                      <a:noFill/>
                    </a:ln>
                  </pic:spPr>
                </pic:pic>
              </a:graphicData>
            </a:graphic>
          </wp:inline>
        </w:drawing>
      </w:r>
    </w:p>
    <w:p w14:paraId="194D09D9" w14:textId="77777777" w:rsidR="008C58FC" w:rsidRDefault="008C58FC" w:rsidP="008C58FC">
      <w:pPr>
        <w:pStyle w:val="CGC2025TableNote"/>
        <w:keepNext/>
        <w:keepLines/>
        <w:numPr>
          <w:ilvl w:val="0"/>
          <w:numId w:val="21"/>
        </w:numPr>
        <w:tabs>
          <w:tab w:val="clear" w:pos="567"/>
          <w:tab w:val="left" w:pos="993"/>
        </w:tabs>
        <w:rPr>
          <w:lang w:eastAsia="en-AU"/>
        </w:rPr>
      </w:pPr>
      <w:r w:rsidRPr="002B5E7E">
        <w:rPr>
          <w:lang w:eastAsia="en-AU"/>
        </w:rPr>
        <w:t xml:space="preserve">Includes expenses and investment. </w:t>
      </w:r>
    </w:p>
    <w:p w14:paraId="2586CAE8" w14:textId="77777777" w:rsidR="008C58FC" w:rsidRPr="002B5E7E" w:rsidRDefault="008C58FC" w:rsidP="008C58FC">
      <w:r w:rsidRPr="002B5E7E">
        <w:t xml:space="preserve">Under the previous GST distribution arrangements, each state’s GST </w:t>
      </w:r>
      <w:r w:rsidRPr="00064265">
        <w:t xml:space="preserve">entitlement </w:t>
      </w:r>
      <w:r w:rsidRPr="002B5E7E">
        <w:t xml:space="preserve">was </w:t>
      </w:r>
      <w:r w:rsidRPr="00064265">
        <w:t xml:space="preserve">set so that </w:t>
      </w:r>
      <w:r w:rsidRPr="002B5E7E">
        <w:t>its assessed revenue (including its recommended GST distribution) equalled its assessed expenditure.</w:t>
      </w:r>
    </w:p>
    <w:p w14:paraId="3F22F16F" w14:textId="77777777" w:rsidR="008C58FC" w:rsidRDefault="008C58FC" w:rsidP="008C58FC">
      <w:r>
        <w:t xml:space="preserve">Following the application of </w:t>
      </w:r>
      <w:r w:rsidRPr="002B5E7E">
        <w:t xml:space="preserve">the 2018 GST distribution legislation, Western Australia’s GST </w:t>
      </w:r>
      <w:r>
        <w:t xml:space="preserve">allocation, </w:t>
      </w:r>
      <w:r w:rsidRPr="002B5E7E">
        <w:t>combined with its assessed revenues</w:t>
      </w:r>
      <w:r>
        <w:t>,</w:t>
      </w:r>
      <w:r w:rsidRPr="002B5E7E">
        <w:t xml:space="preserve"> is estimated to exceed its assessed expenditure. For other states, no worse off payments</w:t>
      </w:r>
      <w:r w:rsidRPr="002B5E7E" w:rsidDel="00A550DA">
        <w:t xml:space="preserve"> </w:t>
      </w:r>
      <w:r>
        <w:t>largely</w:t>
      </w:r>
      <w:r w:rsidRPr="002B5E7E">
        <w:t xml:space="preserve"> offset the </w:t>
      </w:r>
      <w:r>
        <w:t xml:space="preserve">gap </w:t>
      </w:r>
      <w:r w:rsidRPr="002B5E7E">
        <w:t xml:space="preserve">between their assessed expenditure and the </w:t>
      </w:r>
      <w:r>
        <w:t xml:space="preserve">combined total </w:t>
      </w:r>
      <w:r w:rsidRPr="002B5E7E">
        <w:t>of their GST distribution and assessed revenues.</w:t>
      </w:r>
    </w:p>
    <w:p w14:paraId="3A951048" w14:textId="77777777" w:rsidR="008C58FC" w:rsidRDefault="008C58FC" w:rsidP="008C58FC">
      <w:pPr>
        <w:tabs>
          <w:tab w:val="clear" w:pos="567"/>
        </w:tabs>
        <w:spacing w:before="0" w:line="240" w:lineRule="auto"/>
      </w:pPr>
    </w:p>
    <w:p w14:paraId="55AA76CE" w14:textId="2E3969FD" w:rsidR="008C58FC" w:rsidRDefault="008C58FC">
      <w:pPr>
        <w:tabs>
          <w:tab w:val="clear" w:pos="567"/>
        </w:tabs>
        <w:spacing w:before="0" w:line="240" w:lineRule="auto"/>
        <w:rPr>
          <w:rFonts w:ascii="Open Sans Light" w:eastAsia="Times New Roman" w:hAnsi="Open Sans Light" w:cs="Times New Roman"/>
          <w:szCs w:val="20"/>
        </w:rPr>
      </w:pPr>
      <w:r>
        <w:rPr>
          <w:rFonts w:ascii="Open Sans Light" w:eastAsia="Times New Roman" w:hAnsi="Open Sans Light" w:cs="Times New Roman"/>
          <w:szCs w:val="20"/>
        </w:rPr>
        <w:br w:type="page"/>
      </w:r>
    </w:p>
    <w:p w14:paraId="054277AF" w14:textId="77777777" w:rsidR="008C58FC" w:rsidRPr="00994C2F" w:rsidRDefault="008C58FC" w:rsidP="008C58FC">
      <w:pPr>
        <w:pStyle w:val="Heading1"/>
        <w:numPr>
          <w:ilvl w:val="0"/>
          <w:numId w:val="0"/>
        </w:numPr>
      </w:pPr>
      <w:bookmarkStart w:id="70" w:name="_Toc222762277"/>
      <w:r>
        <w:lastRenderedPageBreak/>
        <w:t>Appendix</w:t>
      </w:r>
      <w:r w:rsidRPr="00994C2F">
        <w:t xml:space="preserve"> </w:t>
      </w:r>
      <w:r>
        <w:t>C</w:t>
      </w:r>
      <w:r w:rsidRPr="00994C2F">
        <w:t>: GST distribution since 2000</w:t>
      </w:r>
      <w:r>
        <w:t>–</w:t>
      </w:r>
      <w:r>
        <w:rPr>
          <w:rFonts w:ascii="Times New Roman" w:hAnsi="Times New Roman" w:cs="Times New Roman" w:hint="cs"/>
          <w:rtl/>
        </w:rPr>
        <w:t>‍</w:t>
      </w:r>
      <w:r w:rsidRPr="00994C2F">
        <w:t>01</w:t>
      </w:r>
      <w:bookmarkEnd w:id="70"/>
    </w:p>
    <w:p w14:paraId="61F61D42" w14:textId="77777777" w:rsidR="008C58FC" w:rsidRPr="00B054BB" w:rsidRDefault="008C58FC" w:rsidP="008C58FC">
      <w:pPr>
        <w:rPr>
          <w:highlight w:val="yellow"/>
        </w:rPr>
      </w:pPr>
      <w:r w:rsidRPr="00B054BB">
        <w:t xml:space="preserve">This </w:t>
      </w:r>
      <w:r>
        <w:t>appendix</w:t>
      </w:r>
      <w:r w:rsidRPr="00B054BB">
        <w:t xml:space="preserve"> provides an overview of how states’ GST shares compare over time. A state’s GST share is primarily driven by its relative fiscal capacity, with a lower relative fiscal capacity resulting in a greater (per capita) share of GST revenue. The 2018</w:t>
      </w:r>
      <w:r>
        <w:t> </w:t>
      </w:r>
      <w:r w:rsidRPr="00B054BB">
        <w:t>GST distribution legislation also affects GST shares.</w:t>
      </w:r>
      <w:r w:rsidRPr="00A07607">
        <w:rPr>
          <w:sz w:val="16"/>
          <w:szCs w:val="16"/>
          <w:vertAlign w:val="superscript"/>
        </w:rPr>
        <w:footnoteReference w:id="14"/>
      </w:r>
      <w:r>
        <w:t xml:space="preserve"> </w:t>
      </w:r>
      <w:r w:rsidRPr="00A07607">
        <w:t>The aim of the GST distribution arrangements is to provide all states with the fiscal capacity to provide a broadly comparable standard of services to their residents.</w:t>
      </w:r>
    </w:p>
    <w:p w14:paraId="39CD5F05" w14:textId="77777777" w:rsidR="008C58FC" w:rsidRPr="00354745" w:rsidRDefault="008C58FC" w:rsidP="008C58FC">
      <w:r w:rsidRPr="00354745">
        <w:t xml:space="preserve">Figure </w:t>
      </w:r>
      <w:r>
        <w:t>C</w:t>
      </w:r>
      <w:r w:rsidRPr="00354745">
        <w:t xml:space="preserve">-1 and Figure </w:t>
      </w:r>
      <w:r>
        <w:t>C</w:t>
      </w:r>
      <w:r w:rsidRPr="00354745">
        <w:t>-2 show how each state’s proportion of GST pool compares to its population share over time.</w:t>
      </w:r>
    </w:p>
    <w:p w14:paraId="16C307D4" w14:textId="77777777" w:rsidR="008C58FC" w:rsidRPr="00354745" w:rsidRDefault="008C58FC" w:rsidP="002F5ED5">
      <w:pPr>
        <w:pStyle w:val="CGCBulletPoints"/>
      </w:pPr>
      <w:r w:rsidRPr="00354745">
        <w:t xml:space="preserve">Figure </w:t>
      </w:r>
      <w:r>
        <w:t>C</w:t>
      </w:r>
      <w:r w:rsidRPr="00354745">
        <w:t xml:space="preserve">-1 shows when a state receives a larger proportion of the GST pool than if funds were distributed according to population share. This occurs when a state is assessed as having a relatively low fiscal capacity and therefore receives more than an equal per capita distribution, i.e. a GST relativity above </w:t>
      </w:r>
      <w:r>
        <w:t>one</w:t>
      </w:r>
      <w:r w:rsidRPr="00354745">
        <w:t>.</w:t>
      </w:r>
    </w:p>
    <w:p w14:paraId="53100EA8" w14:textId="77777777" w:rsidR="008C58FC" w:rsidRPr="00354745" w:rsidRDefault="008C58FC" w:rsidP="002F5ED5">
      <w:pPr>
        <w:pStyle w:val="CGCBulletPoints"/>
      </w:pPr>
      <w:r w:rsidRPr="00354745">
        <w:t xml:space="preserve">Figure </w:t>
      </w:r>
      <w:r>
        <w:t>C</w:t>
      </w:r>
      <w:r w:rsidRPr="00354745">
        <w:t>-2 shows when a state receives a smaller proportion of the GST pool relative to its population share. This occurs when a state is assessed as having a relatively high fiscal capacity, and therefore receives less than an equal per capita distribution, i.e. a GST relativity below one.</w:t>
      </w:r>
    </w:p>
    <w:p w14:paraId="2A0F172D" w14:textId="77777777" w:rsidR="008C58FC" w:rsidRPr="004C1B7C" w:rsidRDefault="008C58FC" w:rsidP="008C58FC">
      <w:r w:rsidRPr="003A549E">
        <w:t xml:space="preserve">For example, in 2000–01, the Northern Territory’s share of the GST pool exceeded its population share by around 4 percentage points and </w:t>
      </w:r>
      <w:r w:rsidRPr="004C1B7C">
        <w:t>Victoria’s GST share was around 4 percentage points less than its population share.</w:t>
      </w:r>
    </w:p>
    <w:p w14:paraId="1FF8F284" w14:textId="77777777" w:rsidR="008C58FC" w:rsidRPr="00354745" w:rsidRDefault="008C58FC" w:rsidP="006A437E">
      <w:pPr>
        <w:pStyle w:val="CGC2025Caption"/>
        <w:ind w:left="1440" w:hanging="1440"/>
      </w:pPr>
      <w:r w:rsidRPr="00354745">
        <w:t xml:space="preserve">Figure </w:t>
      </w:r>
      <w:r>
        <w:t>C</w:t>
      </w:r>
      <w:r w:rsidRPr="00354745">
        <w:t xml:space="preserve">-1 </w:t>
      </w:r>
      <w:r w:rsidRPr="00354745">
        <w:tab/>
        <w:t xml:space="preserve">Proportion of the GST pool </w:t>
      </w:r>
      <w:proofErr w:type="gramStart"/>
      <w:r w:rsidRPr="00354745">
        <w:t>in excess of</w:t>
      </w:r>
      <w:proofErr w:type="gramEnd"/>
      <w:r w:rsidRPr="00354745">
        <w:t xml:space="preserve"> a state’s population share,</w:t>
      </w:r>
      <w:r w:rsidRPr="00354745">
        <w:br/>
        <w:t>2000–01 to 2026-27 (excludes no worse off payments)</w:t>
      </w:r>
    </w:p>
    <w:p w14:paraId="2C7C6B46" w14:textId="77777777" w:rsidR="008C58FC" w:rsidRDefault="008C58FC" w:rsidP="008C58FC">
      <w:r w:rsidRPr="005A6CC1">
        <w:rPr>
          <w:noProof/>
        </w:rPr>
        <w:drawing>
          <wp:inline distT="0" distB="0" distL="0" distR="0" wp14:anchorId="53B1F5D2" wp14:editId="6D3052D3">
            <wp:extent cx="5589270" cy="3567430"/>
            <wp:effectExtent l="0" t="0" r="0" b="0"/>
            <wp:docPr id="15186115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9270" cy="3567430"/>
                    </a:xfrm>
                    <a:prstGeom prst="rect">
                      <a:avLst/>
                    </a:prstGeom>
                    <a:noFill/>
                    <a:ln>
                      <a:noFill/>
                    </a:ln>
                  </pic:spPr>
                </pic:pic>
              </a:graphicData>
            </a:graphic>
          </wp:inline>
        </w:drawing>
      </w:r>
    </w:p>
    <w:p w14:paraId="3C2C348C" w14:textId="75BE880D" w:rsidR="008C58FC" w:rsidRPr="00F85932" w:rsidRDefault="008C58FC" w:rsidP="00721E06">
      <w:pPr>
        <w:pStyle w:val="CGC2025TableNote"/>
        <w:tabs>
          <w:tab w:val="clear" w:pos="567"/>
          <w:tab w:val="clear" w:pos="680"/>
          <w:tab w:val="left" w:pos="616"/>
          <w:tab w:val="left" w:pos="709"/>
        </w:tabs>
        <w:ind w:left="602" w:hanging="489"/>
      </w:pPr>
      <w:r w:rsidRPr="00F85932">
        <w:t xml:space="preserve">Note: </w:t>
      </w:r>
      <w:r w:rsidR="00721E06">
        <w:tab/>
      </w:r>
      <w:r>
        <w:t>T</w:t>
      </w:r>
      <w:r w:rsidRPr="00F85932">
        <w:t>his refers to GST distribution, which has been different from assessed relativities since the 2018 GST distribution legislation came into effect. It does not include no worse off payments.</w:t>
      </w:r>
    </w:p>
    <w:p w14:paraId="26C39691" w14:textId="77777777" w:rsidR="008C58FC" w:rsidRPr="002C0FD4" w:rsidRDefault="008C58FC" w:rsidP="008C58FC">
      <w:pPr>
        <w:tabs>
          <w:tab w:val="clear" w:pos="567"/>
        </w:tabs>
        <w:spacing w:before="0" w:line="240" w:lineRule="auto"/>
        <w:rPr>
          <w:rFonts w:ascii="Open Sans Light" w:eastAsia="Times New Roman" w:hAnsi="Open Sans Light" w:cs="Times New Roman"/>
          <w:szCs w:val="20"/>
          <w:highlight w:val="yellow"/>
        </w:rPr>
      </w:pPr>
    </w:p>
    <w:p w14:paraId="3873FE49" w14:textId="77777777" w:rsidR="008C58FC" w:rsidRPr="00F85932" w:rsidRDefault="008C58FC" w:rsidP="006A437E">
      <w:pPr>
        <w:pStyle w:val="CGC2025Caption"/>
        <w:keepNext/>
        <w:ind w:left="1440" w:hanging="1440"/>
      </w:pPr>
      <w:r w:rsidRPr="00F85932">
        <w:lastRenderedPageBreak/>
        <w:t xml:space="preserve">Figure </w:t>
      </w:r>
      <w:r>
        <w:t>C</w:t>
      </w:r>
      <w:r w:rsidRPr="00F85932">
        <w:t xml:space="preserve">-2 </w:t>
      </w:r>
      <w:r w:rsidRPr="00F85932">
        <w:tab/>
        <w:t>Proportion of the GST pool less than a state’s population share,</w:t>
      </w:r>
      <w:r w:rsidRPr="00F85932">
        <w:br/>
        <w:t>2000–01 to 2026–27 (excludes no worse off payments)</w:t>
      </w:r>
    </w:p>
    <w:p w14:paraId="54EF068B" w14:textId="77777777" w:rsidR="008C58FC" w:rsidRDefault="008C58FC" w:rsidP="008C58FC">
      <w:pPr>
        <w:tabs>
          <w:tab w:val="clear" w:pos="567"/>
        </w:tabs>
        <w:spacing w:before="0" w:after="160" w:line="259" w:lineRule="auto"/>
      </w:pPr>
      <w:r w:rsidRPr="009818B1">
        <w:rPr>
          <w:noProof/>
        </w:rPr>
        <w:drawing>
          <wp:inline distT="0" distB="0" distL="0" distR="0" wp14:anchorId="71E66B2D" wp14:editId="2FAA875F">
            <wp:extent cx="5589270" cy="3573780"/>
            <wp:effectExtent l="0" t="0" r="0" b="7620"/>
            <wp:docPr id="16712175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89270" cy="3573780"/>
                    </a:xfrm>
                    <a:prstGeom prst="rect">
                      <a:avLst/>
                    </a:prstGeom>
                    <a:noFill/>
                    <a:ln>
                      <a:noFill/>
                    </a:ln>
                  </pic:spPr>
                </pic:pic>
              </a:graphicData>
            </a:graphic>
          </wp:inline>
        </w:drawing>
      </w:r>
    </w:p>
    <w:p w14:paraId="70DADC08" w14:textId="6F43CA44" w:rsidR="008C58FC" w:rsidRPr="002C0FD4" w:rsidRDefault="008C58FC" w:rsidP="0053616C">
      <w:pPr>
        <w:pStyle w:val="CGC2025TableNote"/>
        <w:tabs>
          <w:tab w:val="clear" w:pos="567"/>
          <w:tab w:val="clear" w:pos="680"/>
          <w:tab w:val="left" w:pos="993"/>
          <w:tab w:val="left" w:pos="1276"/>
        </w:tabs>
        <w:spacing w:before="0" w:after="160" w:line="259" w:lineRule="auto"/>
        <w:ind w:left="616" w:hanging="503"/>
      </w:pPr>
      <w:r w:rsidRPr="00F85932">
        <w:t xml:space="preserve">Note: </w:t>
      </w:r>
      <w:r w:rsidR="0053616C">
        <w:tab/>
      </w:r>
      <w:r>
        <w:t>T</w:t>
      </w:r>
      <w:r w:rsidRPr="00F85932">
        <w:t xml:space="preserve">his refers to GST distribution, which has been different from assessed relativities since the 2018 GST distribution legislation came into effect. It does not include no worse off payments. </w:t>
      </w:r>
    </w:p>
    <w:p w14:paraId="5F6762FC" w14:textId="1164A065" w:rsidR="008C58FC" w:rsidRPr="00537105" w:rsidRDefault="008C58FC" w:rsidP="008C58FC">
      <w:pPr>
        <w:pStyle w:val="Heading2"/>
      </w:pPr>
      <w:r w:rsidRPr="00537105">
        <w:t xml:space="preserve">States with above-average </w:t>
      </w:r>
      <w:r w:rsidR="00D207A4">
        <w:t xml:space="preserve">assessed </w:t>
      </w:r>
      <w:r w:rsidRPr="00537105">
        <w:t>GST needs</w:t>
      </w:r>
    </w:p>
    <w:p w14:paraId="1C4D3836" w14:textId="77777777" w:rsidR="008C58FC" w:rsidRDefault="008C58FC" w:rsidP="008C58FC">
      <w:r w:rsidRPr="008466D9">
        <w:rPr>
          <w:rStyle w:val="cf01"/>
          <w:rFonts w:ascii="Work Sans" w:hAnsi="Work Sans"/>
          <w:sz w:val="20"/>
          <w:szCs w:val="20"/>
        </w:rPr>
        <w:t>In 2026</w:t>
      </w:r>
      <w:r>
        <w:rPr>
          <w:rStyle w:val="cf01"/>
          <w:rFonts w:ascii="Work Sans" w:hAnsi="Work Sans"/>
          <w:sz w:val="20"/>
          <w:szCs w:val="20"/>
        </w:rPr>
        <w:t>–</w:t>
      </w:r>
      <w:r w:rsidRPr="008466D9">
        <w:rPr>
          <w:rStyle w:val="cf01"/>
          <w:rFonts w:ascii="Work Sans" w:hAnsi="Work Sans"/>
          <w:sz w:val="20"/>
          <w:szCs w:val="20"/>
        </w:rPr>
        <w:t xml:space="preserve">27, 5 states </w:t>
      </w:r>
      <w:r>
        <w:rPr>
          <w:rStyle w:val="cf01"/>
          <w:rFonts w:ascii="Work Sans" w:hAnsi="Work Sans"/>
          <w:sz w:val="20"/>
          <w:szCs w:val="20"/>
        </w:rPr>
        <w:t xml:space="preserve">will receive more than their population share of GST </w:t>
      </w:r>
      <w:r w:rsidRPr="008466D9">
        <w:rPr>
          <w:rStyle w:val="cf01"/>
          <w:rFonts w:ascii="Work Sans" w:hAnsi="Work Sans"/>
          <w:sz w:val="20"/>
          <w:szCs w:val="20"/>
        </w:rPr>
        <w:t>(a GST relativity above one): Victoria, South Australia, Tasmania, the ACT and the Northern Territory. In 2025</w:t>
      </w:r>
      <w:r>
        <w:rPr>
          <w:rStyle w:val="cf01"/>
          <w:rFonts w:ascii="Work Sans" w:hAnsi="Work Sans"/>
          <w:sz w:val="20"/>
          <w:szCs w:val="20"/>
        </w:rPr>
        <w:t>–</w:t>
      </w:r>
      <w:r w:rsidRPr="008466D9">
        <w:rPr>
          <w:rStyle w:val="cf01"/>
          <w:rFonts w:ascii="Work Sans" w:hAnsi="Work Sans"/>
          <w:sz w:val="20"/>
          <w:szCs w:val="20"/>
        </w:rPr>
        <w:t xml:space="preserve">26, these states also </w:t>
      </w:r>
      <w:r>
        <w:rPr>
          <w:rStyle w:val="cf01"/>
          <w:rFonts w:ascii="Work Sans" w:hAnsi="Work Sans"/>
          <w:sz w:val="20"/>
          <w:szCs w:val="20"/>
        </w:rPr>
        <w:t>had above-average GST needs (Figure C-1).</w:t>
      </w:r>
    </w:p>
    <w:p w14:paraId="59724136" w14:textId="76200CBC" w:rsidR="008C58FC" w:rsidRPr="003A2327" w:rsidRDefault="008C58FC" w:rsidP="002F5ED5">
      <w:pPr>
        <w:pStyle w:val="CGCBulletPoints"/>
      </w:pPr>
      <w:r w:rsidRPr="003A2327">
        <w:t>Until 2025</w:t>
      </w:r>
      <w:r>
        <w:t>–</w:t>
      </w:r>
      <w:r w:rsidRPr="003A2327">
        <w:t>26</w:t>
      </w:r>
      <w:r>
        <w:t>,</w:t>
      </w:r>
      <w:r w:rsidRPr="003A2327">
        <w:t xml:space="preserve"> Victoria’s GST relativity was below </w:t>
      </w:r>
      <w:r>
        <w:t>one</w:t>
      </w:r>
      <w:r w:rsidRPr="003A2327">
        <w:t xml:space="preserve">, largely reflecting its compact size and the socio-demographic composition of its population. In </w:t>
      </w:r>
      <w:r w:rsidR="008279F5">
        <w:br/>
      </w:r>
      <w:r w:rsidRPr="003A2327">
        <w:t>2025</w:t>
      </w:r>
      <w:r>
        <w:t>–</w:t>
      </w:r>
      <w:r w:rsidRPr="003A2327">
        <w:t xml:space="preserve">26, Victoria’s GST relativity rose above </w:t>
      </w:r>
      <w:r>
        <w:t>one</w:t>
      </w:r>
      <w:r w:rsidRPr="003A2327">
        <w:t xml:space="preserve"> for the first time (1.0672</w:t>
      </w:r>
      <w:r>
        <w:t>2</w:t>
      </w:r>
      <w:r w:rsidRPr="003A2327">
        <w:t xml:space="preserve">). This increase mainly reflected Victoria’s above-average expenses for COVID-19 health and business support, the relative growth of investment needs for urban transport, and a relative decline in Victoria’s mining revenue raising capacity compared with states benefiting from increased capacity in coal royalties. While </w:t>
      </w:r>
      <w:r w:rsidRPr="00E3299D">
        <w:t>some of these influences remain, the phasing out of COVID-19 related expenses and reduced disadvantage</w:t>
      </w:r>
      <w:r>
        <w:t xml:space="preserve"> in royalty-raising,</w:t>
      </w:r>
      <w:r w:rsidRPr="00E3299D">
        <w:t xml:space="preserve"> when compared to states with typically high capacity in mining production</w:t>
      </w:r>
      <w:r>
        <w:t>,</w:t>
      </w:r>
      <w:r w:rsidRPr="00E3299D">
        <w:t xml:space="preserve"> have contributed to Victoria’s GST relativity </w:t>
      </w:r>
      <w:r>
        <w:t>falling</w:t>
      </w:r>
      <w:r w:rsidRPr="00E3299D">
        <w:t xml:space="preserve"> to 1.</w:t>
      </w:r>
      <w:r>
        <w:t>05742 in 2026</w:t>
      </w:r>
      <w:r w:rsidR="000E0FD1">
        <w:t>–</w:t>
      </w:r>
      <w:r>
        <w:t>27</w:t>
      </w:r>
      <w:r w:rsidRPr="00E3299D">
        <w:t>.</w:t>
      </w:r>
    </w:p>
    <w:p w14:paraId="0F3CAD68" w14:textId="77777777" w:rsidR="008C58FC" w:rsidRPr="00757213" w:rsidRDefault="008C58FC" w:rsidP="002F5ED5">
      <w:pPr>
        <w:pStyle w:val="CGCBulletPoints"/>
      </w:pPr>
      <w:r w:rsidRPr="00957696">
        <w:t>South Australia’s GST relativity has ranged from 1.19971 to 1.47727. This largely reflects its below-average revenue-raising capacity, particularly from mining and property sales, as well as higher spending needs associated with its socio</w:t>
      </w:r>
      <w:r>
        <w:noBreakHyphen/>
      </w:r>
      <w:r w:rsidRPr="00957696">
        <w:t>demographic profile</w:t>
      </w:r>
      <w:r>
        <w:t>.</w:t>
      </w:r>
    </w:p>
    <w:p w14:paraId="25D51AC4" w14:textId="77777777" w:rsidR="008C58FC" w:rsidRPr="00757213" w:rsidRDefault="008C58FC" w:rsidP="002F5ED5">
      <w:pPr>
        <w:pStyle w:val="CGCBulletPoints"/>
      </w:pPr>
      <w:r w:rsidRPr="009A40B6">
        <w:t>Tasmania’s GST relativity has ranged from 1.58088 to 1.96067. This largely reflects its below-average capacity to raise revenue, particularly from mining and property sales, as well as higher spending needs associated with a large share of the population living in regional areas</w:t>
      </w:r>
      <w:r>
        <w:t>.</w:t>
      </w:r>
    </w:p>
    <w:p w14:paraId="7B709C94" w14:textId="77777777" w:rsidR="008C58FC" w:rsidRPr="000C59CD" w:rsidRDefault="008C58FC" w:rsidP="002F5ED5">
      <w:pPr>
        <w:pStyle w:val="CGCBulletPoints"/>
      </w:pPr>
      <w:r w:rsidRPr="00BA0453">
        <w:t>The ACT’s GST relativity has ranged from 1.09250 to 1.27051. This largely reflects its below-average revenue-raising capacity</w:t>
      </w:r>
      <w:r>
        <w:t>. It has no capacity</w:t>
      </w:r>
      <w:r w:rsidRPr="00BA0453">
        <w:t xml:space="preserve"> to raise revenue from mining royalties </w:t>
      </w:r>
      <w:r>
        <w:t>or to</w:t>
      </w:r>
      <w:r w:rsidRPr="00BA0453">
        <w:t xml:space="preserve"> </w:t>
      </w:r>
      <w:r>
        <w:t>impose</w:t>
      </w:r>
      <w:r w:rsidRPr="00BA0453">
        <w:t xml:space="preserve"> land tax or payroll tax on the Australian</w:t>
      </w:r>
      <w:r>
        <w:t> </w:t>
      </w:r>
      <w:r w:rsidRPr="00BA0453">
        <w:t>Government</w:t>
      </w:r>
      <w:r>
        <w:t>.</w:t>
      </w:r>
      <w:r w:rsidRPr="00757213">
        <w:t xml:space="preserve"> </w:t>
      </w:r>
    </w:p>
    <w:p w14:paraId="2A33CFA1" w14:textId="0B4ACCDF" w:rsidR="008C58FC" w:rsidRPr="000C59CD" w:rsidRDefault="008C58FC" w:rsidP="002F5ED5">
      <w:pPr>
        <w:pStyle w:val="CGCBulletPoints"/>
      </w:pPr>
      <w:r>
        <w:lastRenderedPageBreak/>
        <w:t>T</w:t>
      </w:r>
      <w:r w:rsidRPr="001A1925">
        <w:t xml:space="preserve">he Northern Territory’s GST relativity has ranged from 4.25816 to 5.66061. Its high </w:t>
      </w:r>
      <w:r w:rsidR="00D149AD">
        <w:t>assessed</w:t>
      </w:r>
      <w:r w:rsidRPr="001A1925">
        <w:t xml:space="preserve"> GST needs are largely driven by the high cost of delivering services to disadvantaged and remote communities, particularly First Nations populations. As a result, the Northern Territory consistently receives a much larger share of the GST pool relative to its population than other states</w:t>
      </w:r>
      <w:r>
        <w:t>.</w:t>
      </w:r>
    </w:p>
    <w:p w14:paraId="20B122B1" w14:textId="074F0161" w:rsidR="008C58FC" w:rsidRPr="00663629" w:rsidRDefault="008C58FC" w:rsidP="008C58FC">
      <w:pPr>
        <w:pStyle w:val="Heading2"/>
        <w:numPr>
          <w:ilvl w:val="0"/>
          <w:numId w:val="0"/>
        </w:numPr>
      </w:pPr>
      <w:r w:rsidRPr="00663629">
        <w:t>States with below-average</w:t>
      </w:r>
      <w:r>
        <w:t xml:space="preserve"> </w:t>
      </w:r>
      <w:r w:rsidR="00911D85">
        <w:t xml:space="preserve">assessed </w:t>
      </w:r>
      <w:r w:rsidRPr="00663629">
        <w:t>GST needs</w:t>
      </w:r>
    </w:p>
    <w:p w14:paraId="468C938D" w14:textId="12B2957F" w:rsidR="008C58FC" w:rsidRDefault="008C58FC" w:rsidP="008C58FC">
      <w:r>
        <w:t xml:space="preserve">In 2026–27, 3 states </w:t>
      </w:r>
      <w:r>
        <w:rPr>
          <w:rStyle w:val="cf01"/>
          <w:rFonts w:ascii="Work Sans" w:hAnsi="Work Sans"/>
          <w:sz w:val="20"/>
          <w:szCs w:val="20"/>
        </w:rPr>
        <w:t xml:space="preserve">will receive </w:t>
      </w:r>
      <w:r>
        <w:t xml:space="preserve">less than their population share of GST (a GST relativity below one): New South Wales, Queensland and Western Australia </w:t>
      </w:r>
      <w:r w:rsidRPr="002019C3">
        <w:t>(</w:t>
      </w:r>
      <w:r>
        <w:t xml:space="preserve">Figure </w:t>
      </w:r>
      <w:r w:rsidR="00677B8F">
        <w:t>C</w:t>
      </w:r>
      <w:r>
        <w:t>-</w:t>
      </w:r>
      <w:r w:rsidRPr="002019C3">
        <w:t>2)</w:t>
      </w:r>
      <w:r>
        <w:t>.</w:t>
      </w:r>
    </w:p>
    <w:p w14:paraId="1A056B5B" w14:textId="0574F249" w:rsidR="008C58FC" w:rsidRPr="002019C3" w:rsidRDefault="008C0C85" w:rsidP="002F5ED5">
      <w:pPr>
        <w:pStyle w:val="CGCBulletPoints"/>
      </w:pPr>
      <w:r>
        <w:t xml:space="preserve">Since </w:t>
      </w:r>
      <w:r w:rsidR="001E5FEA" w:rsidRPr="002019C3">
        <w:t>2000</w:t>
      </w:r>
      <w:r w:rsidR="001E5FEA">
        <w:t>–</w:t>
      </w:r>
      <w:r w:rsidR="001E5FEA" w:rsidRPr="002019C3">
        <w:t>01</w:t>
      </w:r>
      <w:r w:rsidR="001E5FEA">
        <w:t>,</w:t>
      </w:r>
      <w:r w:rsidR="008A1255">
        <w:t xml:space="preserve"> </w:t>
      </w:r>
      <w:r w:rsidR="008C58FC" w:rsidRPr="002019C3">
        <w:t xml:space="preserve">New South </w:t>
      </w:r>
      <w:proofErr w:type="spellStart"/>
      <w:r w:rsidR="008C58FC" w:rsidRPr="002019C3">
        <w:t>Wales</w:t>
      </w:r>
      <w:r w:rsidR="008A1255">
        <w:t>’</w:t>
      </w:r>
      <w:proofErr w:type="spellEnd"/>
      <w:r w:rsidR="008C58FC" w:rsidRPr="002019C3">
        <w:t xml:space="preserve"> GST relativity </w:t>
      </w:r>
      <w:r w:rsidR="008A1255">
        <w:t xml:space="preserve">has </w:t>
      </w:r>
      <w:r w:rsidR="008C58FC" w:rsidRPr="002019C3">
        <w:t>rang</w:t>
      </w:r>
      <w:r w:rsidR="008A1255">
        <w:t>ed</w:t>
      </w:r>
      <w:r w:rsidR="008C58FC">
        <w:t xml:space="preserve"> </w:t>
      </w:r>
      <w:r w:rsidR="008C58FC" w:rsidRPr="002019C3">
        <w:t>from</w:t>
      </w:r>
      <w:r w:rsidR="008C58FC">
        <w:t xml:space="preserve"> </w:t>
      </w:r>
      <w:r w:rsidR="008C58FC" w:rsidRPr="002019C3">
        <w:t>0.</w:t>
      </w:r>
      <w:r w:rsidR="008C58FC">
        <w:t xml:space="preserve">81964 </w:t>
      </w:r>
      <w:r w:rsidR="008C58FC" w:rsidRPr="002019C3">
        <w:t>to 0.97500</w:t>
      </w:r>
      <w:r w:rsidR="008C58FC">
        <w:t xml:space="preserve">. This </w:t>
      </w:r>
      <w:r w:rsidR="008C58FC" w:rsidRPr="002019C3">
        <w:t xml:space="preserve">largely </w:t>
      </w:r>
      <w:r w:rsidR="008C58FC">
        <w:t>reflects</w:t>
      </w:r>
      <w:r w:rsidR="008C58FC" w:rsidRPr="002019C3">
        <w:t xml:space="preserve"> </w:t>
      </w:r>
      <w:r w:rsidR="008C58FC">
        <w:t xml:space="preserve">an </w:t>
      </w:r>
      <w:r w:rsidR="008C58FC" w:rsidRPr="002019C3">
        <w:t xml:space="preserve">above-average capacity to raise revenue from property sales, land tax and payroll tax. </w:t>
      </w:r>
      <w:r w:rsidR="008C58FC">
        <w:t xml:space="preserve">It also has </w:t>
      </w:r>
      <w:r w:rsidR="008C58FC" w:rsidRPr="002019C3">
        <w:t>below</w:t>
      </w:r>
      <w:r w:rsidR="008C58FC">
        <w:t>-</w:t>
      </w:r>
      <w:r w:rsidR="008C58FC" w:rsidRPr="002019C3">
        <w:t>average spending needs</w:t>
      </w:r>
      <w:r w:rsidR="008C58FC">
        <w:t xml:space="preserve">, particularly due to </w:t>
      </w:r>
      <w:r w:rsidR="008C58FC" w:rsidRPr="002019C3">
        <w:t>a relatively small share of the population living in regional or remote areas.</w:t>
      </w:r>
    </w:p>
    <w:p w14:paraId="5CF44172" w14:textId="54D4FA02" w:rsidR="008C58FC" w:rsidRPr="00C13D7E" w:rsidRDefault="008C58FC" w:rsidP="008C58FC">
      <w:r w:rsidRPr="00C13D7E">
        <w:t xml:space="preserve">Queensland and Western Australia have </w:t>
      </w:r>
      <w:r>
        <w:t xml:space="preserve">each </w:t>
      </w:r>
      <w:r w:rsidRPr="00C13D7E">
        <w:t>had GST relativit</w:t>
      </w:r>
      <w:r>
        <w:t>ies</w:t>
      </w:r>
      <w:r w:rsidRPr="00C13D7E">
        <w:t xml:space="preserve"> above one in some years and below one in others.</w:t>
      </w:r>
    </w:p>
    <w:p w14:paraId="217FA5E1" w14:textId="5334CF4C" w:rsidR="008C58FC" w:rsidRPr="00E5754F" w:rsidRDefault="008C58FC" w:rsidP="002F5ED5">
      <w:pPr>
        <w:pStyle w:val="CGCBulletPoints"/>
      </w:pPr>
      <w:r w:rsidRPr="00E5754F">
        <w:t>Queensland’s GST relativity has ranged from 0.84571 to 1.18769. It has mostly remained above one due to the higher costs of delivering services to large First Nations and regional and remote populations. However,</w:t>
      </w:r>
      <w:r w:rsidRPr="00E5754F" w:rsidDel="007331FB">
        <w:t xml:space="preserve"> </w:t>
      </w:r>
      <w:r w:rsidRPr="00E5754F">
        <w:t>from 2008–09, Queensland’s GST relativity was below one for 5 years, and since 2024–25</w:t>
      </w:r>
      <w:r w:rsidR="0087259E">
        <w:t>,</w:t>
      </w:r>
      <w:r w:rsidRPr="00E5754F">
        <w:t xml:space="preserve"> its GST relativity has also been below one. This</w:t>
      </w:r>
      <w:r w:rsidRPr="00E5754F" w:rsidDel="003259AC">
        <w:t xml:space="preserve"> largely </w:t>
      </w:r>
      <w:r w:rsidRPr="00E5754F">
        <w:t>reflects an increase in the value of coal production and associated royalties.</w:t>
      </w:r>
    </w:p>
    <w:p w14:paraId="390B7F0E" w14:textId="759CC46A" w:rsidR="008C58FC" w:rsidRPr="00F2461E" w:rsidRDefault="008C58FC" w:rsidP="002F5ED5">
      <w:pPr>
        <w:pStyle w:val="CGCBulletPoints"/>
      </w:pPr>
      <w:r w:rsidRPr="00E5754F">
        <w:t xml:space="preserve">Western Australia’s GST relativity has ranged from 0.29999 to 1.03811 and has been below one since 2007–08. This has been driven largely by </w:t>
      </w:r>
      <w:r w:rsidR="0087259E">
        <w:t>an</w:t>
      </w:r>
      <w:r w:rsidRPr="00E5754F">
        <w:t xml:space="preserve"> above-average capacity to raise mining royalties, as well as the strength of its payroll tax base. In general, changes in Western Australia’s </w:t>
      </w:r>
      <w:r w:rsidR="003C7301">
        <w:t>assessed</w:t>
      </w:r>
      <w:r w:rsidRPr="00E5754F">
        <w:t xml:space="preserve"> GST needs closely follow changes in iron ore royalties, which can be volatile, but have generally increased over the past 2 decades. Western Australia also has ongoing high expenditure needs relating to its socio-demographic composition, including</w:t>
      </w:r>
      <w:r>
        <w:t xml:space="preserve"> its</w:t>
      </w:r>
      <w:r w:rsidRPr="00F2461E">
        <w:t xml:space="preserve"> dispersed population and above-average proportion of First Nations people. </w:t>
      </w:r>
      <w:r w:rsidR="00C41B91">
        <w:t>Following</w:t>
      </w:r>
      <w:r w:rsidRPr="00F2461E">
        <w:t xml:space="preserve"> the application of the 2018 GST distribution legislation, Western Australia’s relativity each year </w:t>
      </w:r>
      <w:r w:rsidR="0091256A">
        <w:t>has been</w:t>
      </w:r>
      <w:r w:rsidR="0091256A" w:rsidRPr="00F2461E">
        <w:t xml:space="preserve"> </w:t>
      </w:r>
      <w:r w:rsidRPr="00F2461E">
        <w:t>lifted to the GST relativity floor</w:t>
      </w:r>
      <w:r w:rsidR="0091256A">
        <w:t xml:space="preserve">, until </w:t>
      </w:r>
      <w:r w:rsidRPr="00F2461E">
        <w:t>2026</w:t>
      </w:r>
      <w:r w:rsidR="00257AA0">
        <w:t>–</w:t>
      </w:r>
      <w:r w:rsidRPr="00F2461E">
        <w:t>27</w:t>
      </w:r>
      <w:r>
        <w:t>,</w:t>
      </w:r>
      <w:r w:rsidRPr="00F2461E">
        <w:t xml:space="preserve"> </w:t>
      </w:r>
      <w:r w:rsidR="0091256A">
        <w:t>where</w:t>
      </w:r>
      <w:r w:rsidRPr="00F2461E">
        <w:t xml:space="preserve"> it has been lifted to the standard state, New South Wales.</w:t>
      </w:r>
    </w:p>
    <w:p w14:paraId="09161F85" w14:textId="77777777" w:rsidR="008C58FC" w:rsidRDefault="008C58FC" w:rsidP="008C58FC">
      <w:pPr>
        <w:pStyle w:val="CGC2025Bullet1"/>
      </w:pPr>
    </w:p>
    <w:p w14:paraId="30C3E638" w14:textId="77777777" w:rsidR="008C58FC" w:rsidRDefault="008C58FC" w:rsidP="008C58FC">
      <w:pPr>
        <w:pStyle w:val="CGC2025Bullet1"/>
      </w:pPr>
    </w:p>
    <w:p w14:paraId="6663AEF5" w14:textId="77777777" w:rsidR="008C58FC" w:rsidRDefault="008C58FC" w:rsidP="008C58FC">
      <w:pPr>
        <w:pStyle w:val="CGC2025Bullet1"/>
      </w:pPr>
    </w:p>
    <w:p w14:paraId="193BEB30" w14:textId="77777777" w:rsidR="008C58FC" w:rsidRDefault="008C58FC" w:rsidP="008C58FC">
      <w:pPr>
        <w:pStyle w:val="CGC2025Bullet1"/>
        <w:rPr>
          <w:highlight w:val="yellow"/>
        </w:rPr>
      </w:pPr>
    </w:p>
    <w:p w14:paraId="2ABA3F6B" w14:textId="77777777" w:rsidR="008C58FC" w:rsidRDefault="008C58FC" w:rsidP="008C58FC">
      <w:pPr>
        <w:tabs>
          <w:tab w:val="clear" w:pos="567"/>
        </w:tabs>
        <w:spacing w:before="0" w:line="240" w:lineRule="auto"/>
        <w:rPr>
          <w:rFonts w:ascii="Open Sans Semibold" w:eastAsiaTheme="majorEastAsia" w:hAnsi="Open Sans Semibold" w:cs="Open Sans"/>
          <w:bCs/>
          <w:color w:val="006991"/>
          <w:sz w:val="26"/>
          <w:szCs w:val="36"/>
        </w:rPr>
      </w:pPr>
      <w:r>
        <w:br w:type="page"/>
      </w:r>
    </w:p>
    <w:p w14:paraId="461FC170" w14:textId="77777777" w:rsidR="008C58FC" w:rsidRPr="00663629" w:rsidRDefault="008C58FC" w:rsidP="008C58FC">
      <w:pPr>
        <w:pStyle w:val="Heading2"/>
      </w:pPr>
      <w:r w:rsidRPr="00663629">
        <w:lastRenderedPageBreak/>
        <w:t>GST relativities since 2000</w:t>
      </w:r>
      <w:r>
        <w:t>–</w:t>
      </w:r>
      <w:r w:rsidRPr="00663629">
        <w:t>01</w:t>
      </w:r>
    </w:p>
    <w:p w14:paraId="4B4CD029" w14:textId="77777777" w:rsidR="008C58FC" w:rsidRPr="00E468A4" w:rsidRDefault="008C58FC" w:rsidP="008C58FC">
      <w:bookmarkStart w:id="71" w:name="_Hlk158808165"/>
      <w:r w:rsidRPr="00E468A4">
        <w:t xml:space="preserve">Table </w:t>
      </w:r>
      <w:r>
        <w:t>C</w:t>
      </w:r>
      <w:r w:rsidRPr="00E468A4">
        <w:t xml:space="preserve">-1 shows state GST relativities </w:t>
      </w:r>
      <w:r>
        <w:t xml:space="preserve">since </w:t>
      </w:r>
      <w:r w:rsidRPr="00E468A4">
        <w:t xml:space="preserve">2000–01. The relativities for the </w:t>
      </w:r>
      <w:r>
        <w:t>l</w:t>
      </w:r>
      <w:r w:rsidRPr="00E468A4">
        <w:t xml:space="preserve">ast </w:t>
      </w:r>
      <w:r>
        <w:t>6 </w:t>
      </w:r>
      <w:r w:rsidRPr="00E468A4">
        <w:t>years reflect the application of the 2018 GST distribution legislation.</w:t>
      </w:r>
    </w:p>
    <w:p w14:paraId="5CDA9301" w14:textId="77777777" w:rsidR="008C58FC" w:rsidRDefault="008C58FC" w:rsidP="008C58FC">
      <w:pPr>
        <w:pStyle w:val="CGC2025Caption"/>
        <w:keepNext/>
        <w:keepLines/>
      </w:pPr>
      <w:bookmarkStart w:id="72" w:name="Table_A_1"/>
      <w:r w:rsidRPr="0013565A">
        <w:t xml:space="preserve">Table </w:t>
      </w:r>
      <w:r>
        <w:t>C-</w:t>
      </w:r>
      <w:r w:rsidRPr="0013565A">
        <w:t xml:space="preserve">1 </w:t>
      </w:r>
      <w:bookmarkEnd w:id="72"/>
      <w:r w:rsidRPr="0013565A">
        <w:tab/>
        <w:t>GST relativities, 2000–01 to 2026–2027</w:t>
      </w:r>
    </w:p>
    <w:tbl>
      <w:tblPr>
        <w:tblW w:w="8960" w:type="dxa"/>
        <w:tblLook w:val="04A0" w:firstRow="1" w:lastRow="0" w:firstColumn="1" w:lastColumn="0" w:noHBand="0" w:noVBand="1"/>
      </w:tblPr>
      <w:tblGrid>
        <w:gridCol w:w="1280"/>
        <w:gridCol w:w="960"/>
        <w:gridCol w:w="960"/>
        <w:gridCol w:w="960"/>
        <w:gridCol w:w="960"/>
        <w:gridCol w:w="960"/>
        <w:gridCol w:w="960"/>
        <w:gridCol w:w="960"/>
        <w:gridCol w:w="960"/>
      </w:tblGrid>
      <w:tr w:rsidR="001935E6" w:rsidRPr="001935E6" w14:paraId="489AE516" w14:textId="77777777" w:rsidTr="429499A3">
        <w:trPr>
          <w:trHeight w:val="553"/>
        </w:trPr>
        <w:tc>
          <w:tcPr>
            <w:tcW w:w="1280" w:type="dxa"/>
            <w:tcBorders>
              <w:top w:val="nil"/>
              <w:left w:val="nil"/>
              <w:bottom w:val="nil"/>
              <w:right w:val="nil"/>
            </w:tcBorders>
            <w:shd w:val="clear" w:color="auto" w:fill="006991"/>
            <w:vAlign w:val="center"/>
            <w:hideMark/>
          </w:tcPr>
          <w:p w14:paraId="2E9E077C" w14:textId="08079CC5" w:rsidR="001935E6" w:rsidRPr="001935E6" w:rsidRDefault="001935E6" w:rsidP="001935E6">
            <w:pPr>
              <w:tabs>
                <w:tab w:val="clear" w:pos="567"/>
              </w:tabs>
              <w:spacing w:before="0" w:line="240" w:lineRule="auto"/>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Financial</w:t>
            </w:r>
            <w:r w:rsidR="008C2BF1">
              <w:rPr>
                <w:rFonts w:ascii="Open Sans Semibold" w:eastAsia="Times New Roman" w:hAnsi="Open Sans Semibold" w:cs="Open Sans Semibold"/>
                <w:color w:val="FFFFFF"/>
                <w:sz w:val="16"/>
                <w:szCs w:val="16"/>
                <w:lang w:eastAsia="en-AU"/>
              </w:rPr>
              <w:t xml:space="preserve"> </w:t>
            </w:r>
            <w:r w:rsidRPr="001935E6">
              <w:rPr>
                <w:rFonts w:ascii="Open Sans Semibold" w:eastAsia="Times New Roman" w:hAnsi="Open Sans Semibold" w:cs="Open Sans Semibold"/>
                <w:color w:val="FFFFFF"/>
                <w:sz w:val="16"/>
                <w:szCs w:val="16"/>
                <w:lang w:eastAsia="en-AU"/>
              </w:rPr>
              <w:t>Year</w:t>
            </w:r>
          </w:p>
        </w:tc>
        <w:tc>
          <w:tcPr>
            <w:tcW w:w="960" w:type="dxa"/>
            <w:tcBorders>
              <w:top w:val="nil"/>
              <w:left w:val="nil"/>
              <w:bottom w:val="nil"/>
              <w:right w:val="nil"/>
            </w:tcBorders>
            <w:shd w:val="clear" w:color="auto" w:fill="006991"/>
            <w:vAlign w:val="center"/>
            <w:hideMark/>
          </w:tcPr>
          <w:p w14:paraId="7F91E713" w14:textId="77777777" w:rsidR="001935E6" w:rsidRPr="001935E6" w:rsidRDefault="001935E6" w:rsidP="001935E6">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NSW</w:t>
            </w:r>
          </w:p>
        </w:tc>
        <w:tc>
          <w:tcPr>
            <w:tcW w:w="960" w:type="dxa"/>
            <w:tcBorders>
              <w:top w:val="nil"/>
              <w:left w:val="nil"/>
              <w:bottom w:val="nil"/>
              <w:right w:val="nil"/>
            </w:tcBorders>
            <w:shd w:val="clear" w:color="auto" w:fill="006991"/>
            <w:vAlign w:val="center"/>
            <w:hideMark/>
          </w:tcPr>
          <w:p w14:paraId="1B5ACB9A" w14:textId="77777777" w:rsidR="001935E6" w:rsidRPr="001935E6" w:rsidRDefault="001935E6" w:rsidP="001935E6">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Vic</w:t>
            </w:r>
          </w:p>
        </w:tc>
        <w:tc>
          <w:tcPr>
            <w:tcW w:w="960" w:type="dxa"/>
            <w:tcBorders>
              <w:top w:val="nil"/>
              <w:left w:val="nil"/>
              <w:bottom w:val="nil"/>
              <w:right w:val="nil"/>
            </w:tcBorders>
            <w:shd w:val="clear" w:color="auto" w:fill="006991"/>
            <w:vAlign w:val="center"/>
            <w:hideMark/>
          </w:tcPr>
          <w:p w14:paraId="054184A0" w14:textId="77777777" w:rsidR="001935E6" w:rsidRPr="001935E6" w:rsidRDefault="001935E6" w:rsidP="001935E6">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Qld</w:t>
            </w:r>
          </w:p>
        </w:tc>
        <w:tc>
          <w:tcPr>
            <w:tcW w:w="960" w:type="dxa"/>
            <w:tcBorders>
              <w:top w:val="nil"/>
              <w:left w:val="nil"/>
              <w:bottom w:val="nil"/>
              <w:right w:val="nil"/>
            </w:tcBorders>
            <w:shd w:val="clear" w:color="auto" w:fill="006991"/>
            <w:vAlign w:val="center"/>
            <w:hideMark/>
          </w:tcPr>
          <w:p w14:paraId="3D89B203" w14:textId="77777777" w:rsidR="001935E6" w:rsidRPr="001935E6" w:rsidRDefault="001935E6" w:rsidP="001935E6">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WA</w:t>
            </w:r>
          </w:p>
        </w:tc>
        <w:tc>
          <w:tcPr>
            <w:tcW w:w="960" w:type="dxa"/>
            <w:tcBorders>
              <w:top w:val="nil"/>
              <w:left w:val="nil"/>
              <w:bottom w:val="nil"/>
              <w:right w:val="nil"/>
            </w:tcBorders>
            <w:shd w:val="clear" w:color="auto" w:fill="006991"/>
            <w:vAlign w:val="center"/>
            <w:hideMark/>
          </w:tcPr>
          <w:p w14:paraId="667EE64B" w14:textId="77777777" w:rsidR="001935E6" w:rsidRPr="001935E6" w:rsidRDefault="001935E6" w:rsidP="001935E6">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SA</w:t>
            </w:r>
          </w:p>
        </w:tc>
        <w:tc>
          <w:tcPr>
            <w:tcW w:w="960" w:type="dxa"/>
            <w:tcBorders>
              <w:top w:val="nil"/>
              <w:left w:val="nil"/>
              <w:bottom w:val="nil"/>
              <w:right w:val="nil"/>
            </w:tcBorders>
            <w:shd w:val="clear" w:color="auto" w:fill="006991"/>
            <w:vAlign w:val="center"/>
            <w:hideMark/>
          </w:tcPr>
          <w:p w14:paraId="2D55B6D8" w14:textId="77777777" w:rsidR="001935E6" w:rsidRPr="001935E6" w:rsidRDefault="001935E6" w:rsidP="001935E6">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Tas</w:t>
            </w:r>
          </w:p>
        </w:tc>
        <w:tc>
          <w:tcPr>
            <w:tcW w:w="960" w:type="dxa"/>
            <w:tcBorders>
              <w:top w:val="nil"/>
              <w:left w:val="nil"/>
              <w:bottom w:val="nil"/>
              <w:right w:val="nil"/>
            </w:tcBorders>
            <w:shd w:val="clear" w:color="auto" w:fill="006991"/>
            <w:vAlign w:val="center"/>
            <w:hideMark/>
          </w:tcPr>
          <w:p w14:paraId="4C545003" w14:textId="77777777" w:rsidR="001935E6" w:rsidRPr="001935E6" w:rsidRDefault="001935E6" w:rsidP="001935E6">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ACT</w:t>
            </w:r>
          </w:p>
        </w:tc>
        <w:tc>
          <w:tcPr>
            <w:tcW w:w="960" w:type="dxa"/>
            <w:tcBorders>
              <w:top w:val="nil"/>
              <w:left w:val="nil"/>
              <w:bottom w:val="nil"/>
              <w:right w:val="nil"/>
            </w:tcBorders>
            <w:shd w:val="clear" w:color="auto" w:fill="006991"/>
            <w:vAlign w:val="center"/>
            <w:hideMark/>
          </w:tcPr>
          <w:p w14:paraId="598E713C" w14:textId="77777777" w:rsidR="001935E6" w:rsidRPr="001935E6" w:rsidRDefault="001935E6" w:rsidP="001935E6">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935E6">
              <w:rPr>
                <w:rFonts w:ascii="Open Sans Semibold" w:eastAsia="Times New Roman" w:hAnsi="Open Sans Semibold" w:cs="Open Sans Semibold"/>
                <w:color w:val="FFFFFF"/>
                <w:sz w:val="16"/>
                <w:szCs w:val="16"/>
                <w:lang w:eastAsia="en-AU"/>
              </w:rPr>
              <w:t>NT</w:t>
            </w:r>
          </w:p>
        </w:tc>
      </w:tr>
      <w:tr w:rsidR="001935E6" w:rsidRPr="001935E6" w14:paraId="380A1377" w14:textId="77777777" w:rsidTr="001935E6">
        <w:trPr>
          <w:trHeight w:val="315"/>
        </w:trPr>
        <w:tc>
          <w:tcPr>
            <w:tcW w:w="1280" w:type="dxa"/>
            <w:tcBorders>
              <w:top w:val="single" w:sz="4" w:space="0" w:color="ADD6EA"/>
              <w:left w:val="nil"/>
              <w:bottom w:val="nil"/>
              <w:right w:val="nil"/>
            </w:tcBorders>
            <w:shd w:val="clear" w:color="000000" w:fill="FFFFFF"/>
            <w:vAlign w:val="bottom"/>
            <w:hideMark/>
          </w:tcPr>
          <w:p w14:paraId="7953521C"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2000-01</w:t>
            </w:r>
          </w:p>
        </w:tc>
        <w:tc>
          <w:tcPr>
            <w:tcW w:w="960" w:type="dxa"/>
            <w:tcBorders>
              <w:top w:val="single" w:sz="4" w:space="0" w:color="ADD6EA"/>
              <w:left w:val="nil"/>
              <w:bottom w:val="nil"/>
              <w:right w:val="nil"/>
            </w:tcBorders>
            <w:shd w:val="clear" w:color="000000" w:fill="FFFFFF"/>
            <w:vAlign w:val="bottom"/>
            <w:hideMark/>
          </w:tcPr>
          <w:p w14:paraId="0C81E33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0.88914</w:t>
            </w:r>
          </w:p>
        </w:tc>
        <w:tc>
          <w:tcPr>
            <w:tcW w:w="960" w:type="dxa"/>
            <w:tcBorders>
              <w:top w:val="single" w:sz="4" w:space="0" w:color="ADD6EA"/>
              <w:left w:val="nil"/>
              <w:bottom w:val="nil"/>
              <w:right w:val="nil"/>
            </w:tcBorders>
            <w:shd w:val="clear" w:color="000000" w:fill="FFFFFF"/>
            <w:vAlign w:val="bottom"/>
            <w:hideMark/>
          </w:tcPr>
          <w:p w14:paraId="6DF5EC1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0.84510</w:t>
            </w:r>
          </w:p>
        </w:tc>
        <w:tc>
          <w:tcPr>
            <w:tcW w:w="960" w:type="dxa"/>
            <w:tcBorders>
              <w:top w:val="single" w:sz="4" w:space="0" w:color="ADD6EA"/>
              <w:left w:val="nil"/>
              <w:bottom w:val="nil"/>
              <w:right w:val="nil"/>
            </w:tcBorders>
            <w:shd w:val="clear" w:color="000000" w:fill="FFFFFF"/>
            <w:vAlign w:val="bottom"/>
            <w:hideMark/>
          </w:tcPr>
          <w:p w14:paraId="0E6E78D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1.02507</w:t>
            </w:r>
          </w:p>
        </w:tc>
        <w:tc>
          <w:tcPr>
            <w:tcW w:w="960" w:type="dxa"/>
            <w:tcBorders>
              <w:top w:val="single" w:sz="4" w:space="0" w:color="ADD6EA"/>
              <w:left w:val="nil"/>
              <w:bottom w:val="nil"/>
              <w:right w:val="nil"/>
            </w:tcBorders>
            <w:shd w:val="clear" w:color="000000" w:fill="FFFFFF"/>
            <w:vAlign w:val="bottom"/>
            <w:hideMark/>
          </w:tcPr>
          <w:p w14:paraId="3F1F4F6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0.98692</w:t>
            </w:r>
          </w:p>
        </w:tc>
        <w:tc>
          <w:tcPr>
            <w:tcW w:w="960" w:type="dxa"/>
            <w:tcBorders>
              <w:top w:val="single" w:sz="4" w:space="0" w:color="ADD6EA"/>
              <w:left w:val="nil"/>
              <w:bottom w:val="nil"/>
              <w:right w:val="nil"/>
            </w:tcBorders>
            <w:shd w:val="clear" w:color="000000" w:fill="FFFFFF"/>
            <w:vAlign w:val="bottom"/>
            <w:hideMark/>
          </w:tcPr>
          <w:p w14:paraId="2F355D0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1.20433</w:t>
            </w:r>
          </w:p>
        </w:tc>
        <w:tc>
          <w:tcPr>
            <w:tcW w:w="960" w:type="dxa"/>
            <w:tcBorders>
              <w:top w:val="single" w:sz="4" w:space="0" w:color="ADD6EA"/>
              <w:left w:val="nil"/>
              <w:bottom w:val="nil"/>
              <w:right w:val="nil"/>
            </w:tcBorders>
            <w:shd w:val="clear" w:color="000000" w:fill="FFFFFF"/>
            <w:vAlign w:val="bottom"/>
            <w:hideMark/>
          </w:tcPr>
          <w:p w14:paraId="2D3EF47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1.61016</w:t>
            </w:r>
          </w:p>
        </w:tc>
        <w:tc>
          <w:tcPr>
            <w:tcW w:w="960" w:type="dxa"/>
            <w:tcBorders>
              <w:top w:val="single" w:sz="4" w:space="0" w:color="ADD6EA"/>
              <w:left w:val="nil"/>
              <w:bottom w:val="nil"/>
              <w:right w:val="nil"/>
            </w:tcBorders>
            <w:shd w:val="clear" w:color="000000" w:fill="FFFFFF"/>
            <w:vAlign w:val="bottom"/>
            <w:hideMark/>
          </w:tcPr>
          <w:p w14:paraId="63355D0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1.17050</w:t>
            </w:r>
          </w:p>
        </w:tc>
        <w:tc>
          <w:tcPr>
            <w:tcW w:w="960" w:type="dxa"/>
            <w:tcBorders>
              <w:top w:val="single" w:sz="4" w:space="0" w:color="ADD6EA"/>
              <w:left w:val="nil"/>
              <w:bottom w:val="nil"/>
              <w:right w:val="nil"/>
            </w:tcBorders>
            <w:shd w:val="clear" w:color="000000" w:fill="FFFFFF"/>
            <w:vAlign w:val="bottom"/>
            <w:hideMark/>
          </w:tcPr>
          <w:p w14:paraId="113EFA0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4.79406</w:t>
            </w:r>
          </w:p>
        </w:tc>
      </w:tr>
      <w:tr w:rsidR="001935E6" w:rsidRPr="001935E6" w14:paraId="05C5B285"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759995EB"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2001-02</w:t>
            </w:r>
          </w:p>
        </w:tc>
        <w:tc>
          <w:tcPr>
            <w:tcW w:w="960" w:type="dxa"/>
            <w:tcBorders>
              <w:top w:val="single" w:sz="4" w:space="0" w:color="ADD6EA"/>
              <w:left w:val="nil"/>
              <w:bottom w:val="nil"/>
              <w:right w:val="nil"/>
            </w:tcBorders>
            <w:shd w:val="clear" w:color="auto" w:fill="FFFFFF" w:themeFill="background1"/>
            <w:vAlign w:val="bottom"/>
            <w:hideMark/>
          </w:tcPr>
          <w:p w14:paraId="2019427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0.90228</w:t>
            </w:r>
          </w:p>
        </w:tc>
        <w:tc>
          <w:tcPr>
            <w:tcW w:w="960" w:type="dxa"/>
            <w:tcBorders>
              <w:top w:val="single" w:sz="4" w:space="0" w:color="ADD6EA"/>
              <w:left w:val="nil"/>
              <w:bottom w:val="nil"/>
              <w:right w:val="nil"/>
            </w:tcBorders>
            <w:shd w:val="clear" w:color="auto" w:fill="FFFFFF" w:themeFill="background1"/>
            <w:vAlign w:val="bottom"/>
            <w:hideMark/>
          </w:tcPr>
          <w:p w14:paraId="0417D73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0.85168</w:t>
            </w:r>
          </w:p>
        </w:tc>
        <w:tc>
          <w:tcPr>
            <w:tcW w:w="960" w:type="dxa"/>
            <w:tcBorders>
              <w:top w:val="single" w:sz="4" w:space="0" w:color="ADD6EA"/>
              <w:left w:val="nil"/>
              <w:bottom w:val="nil"/>
              <w:right w:val="nil"/>
            </w:tcBorders>
            <w:shd w:val="clear" w:color="auto" w:fill="FFFFFF" w:themeFill="background1"/>
            <w:vAlign w:val="bottom"/>
            <w:hideMark/>
          </w:tcPr>
          <w:p w14:paraId="21A8998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1.00625</w:t>
            </w:r>
          </w:p>
        </w:tc>
        <w:tc>
          <w:tcPr>
            <w:tcW w:w="960" w:type="dxa"/>
            <w:tcBorders>
              <w:top w:val="single" w:sz="4" w:space="0" w:color="ADD6EA"/>
              <w:left w:val="nil"/>
              <w:bottom w:val="nil"/>
              <w:right w:val="nil"/>
            </w:tcBorders>
            <w:shd w:val="clear" w:color="auto" w:fill="FFFFFF" w:themeFill="background1"/>
            <w:vAlign w:val="bottom"/>
            <w:hideMark/>
          </w:tcPr>
          <w:p w14:paraId="5C1762A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0.97571</w:t>
            </w:r>
          </w:p>
        </w:tc>
        <w:tc>
          <w:tcPr>
            <w:tcW w:w="960" w:type="dxa"/>
            <w:tcBorders>
              <w:top w:val="single" w:sz="4" w:space="0" w:color="ADD6EA"/>
              <w:left w:val="nil"/>
              <w:bottom w:val="nil"/>
              <w:right w:val="nil"/>
            </w:tcBorders>
            <w:shd w:val="clear" w:color="auto" w:fill="FFFFFF" w:themeFill="background1"/>
            <w:vAlign w:val="bottom"/>
            <w:hideMark/>
          </w:tcPr>
          <w:p w14:paraId="083095D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1.19971</w:t>
            </w:r>
          </w:p>
        </w:tc>
        <w:tc>
          <w:tcPr>
            <w:tcW w:w="960" w:type="dxa"/>
            <w:tcBorders>
              <w:top w:val="single" w:sz="4" w:space="0" w:color="ADD6EA"/>
              <w:left w:val="nil"/>
              <w:bottom w:val="nil"/>
              <w:right w:val="nil"/>
            </w:tcBorders>
            <w:shd w:val="clear" w:color="auto" w:fill="FFFFFF" w:themeFill="background1"/>
            <w:vAlign w:val="bottom"/>
            <w:hideMark/>
          </w:tcPr>
          <w:p w14:paraId="4AF1CFB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1.60490</w:t>
            </w:r>
          </w:p>
        </w:tc>
        <w:tc>
          <w:tcPr>
            <w:tcW w:w="960" w:type="dxa"/>
            <w:tcBorders>
              <w:top w:val="single" w:sz="4" w:space="0" w:color="ADD6EA"/>
              <w:left w:val="nil"/>
              <w:bottom w:val="nil"/>
              <w:right w:val="nil"/>
            </w:tcBorders>
            <w:shd w:val="clear" w:color="auto" w:fill="FFFFFF" w:themeFill="background1"/>
            <w:vAlign w:val="bottom"/>
            <w:hideMark/>
          </w:tcPr>
          <w:p w14:paraId="39B9B10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1.21100</w:t>
            </w:r>
          </w:p>
        </w:tc>
        <w:tc>
          <w:tcPr>
            <w:tcW w:w="960" w:type="dxa"/>
            <w:tcBorders>
              <w:top w:val="single" w:sz="4" w:space="0" w:color="ADD6EA"/>
              <w:left w:val="nil"/>
              <w:bottom w:val="nil"/>
              <w:right w:val="nil"/>
            </w:tcBorders>
            <w:shd w:val="clear" w:color="auto" w:fill="FFFFFF" w:themeFill="background1"/>
            <w:vAlign w:val="bottom"/>
            <w:hideMark/>
          </w:tcPr>
          <w:p w14:paraId="23C98A2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4.61547</w:t>
            </w:r>
          </w:p>
        </w:tc>
      </w:tr>
      <w:tr w:rsidR="001935E6" w:rsidRPr="001935E6" w14:paraId="5F8CBBE9"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0C5E3C36"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2002-03</w:t>
            </w:r>
          </w:p>
        </w:tc>
        <w:tc>
          <w:tcPr>
            <w:tcW w:w="960" w:type="dxa"/>
            <w:tcBorders>
              <w:top w:val="single" w:sz="4" w:space="0" w:color="ADD6EA"/>
              <w:left w:val="nil"/>
              <w:bottom w:val="nil"/>
              <w:right w:val="nil"/>
            </w:tcBorders>
            <w:shd w:val="clear" w:color="auto" w:fill="FFFFFF" w:themeFill="background1"/>
            <w:vAlign w:val="bottom"/>
            <w:hideMark/>
          </w:tcPr>
          <w:p w14:paraId="1638975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0.88419</w:t>
            </w:r>
          </w:p>
        </w:tc>
        <w:tc>
          <w:tcPr>
            <w:tcW w:w="960" w:type="dxa"/>
            <w:tcBorders>
              <w:top w:val="single" w:sz="4" w:space="0" w:color="ADD6EA"/>
              <w:left w:val="nil"/>
              <w:bottom w:val="nil"/>
              <w:right w:val="nil"/>
            </w:tcBorders>
            <w:shd w:val="clear" w:color="auto" w:fill="FFFFFF" w:themeFill="background1"/>
            <w:vAlign w:val="bottom"/>
            <w:hideMark/>
          </w:tcPr>
          <w:p w14:paraId="1411E50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0.84227</w:t>
            </w:r>
          </w:p>
        </w:tc>
        <w:tc>
          <w:tcPr>
            <w:tcW w:w="960" w:type="dxa"/>
            <w:tcBorders>
              <w:top w:val="single" w:sz="4" w:space="0" w:color="ADD6EA"/>
              <w:left w:val="nil"/>
              <w:bottom w:val="nil"/>
              <w:right w:val="nil"/>
            </w:tcBorders>
            <w:shd w:val="clear" w:color="auto" w:fill="FFFFFF" w:themeFill="background1"/>
            <w:vAlign w:val="bottom"/>
            <w:hideMark/>
          </w:tcPr>
          <w:p w14:paraId="0D8B246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1.01673</w:t>
            </w:r>
          </w:p>
        </w:tc>
        <w:tc>
          <w:tcPr>
            <w:tcW w:w="960" w:type="dxa"/>
            <w:tcBorders>
              <w:top w:val="single" w:sz="4" w:space="0" w:color="ADD6EA"/>
              <w:left w:val="nil"/>
              <w:bottom w:val="nil"/>
              <w:right w:val="nil"/>
            </w:tcBorders>
            <w:shd w:val="clear" w:color="auto" w:fill="FFFFFF" w:themeFill="background1"/>
            <w:vAlign w:val="bottom"/>
            <w:hideMark/>
          </w:tcPr>
          <w:p w14:paraId="2DFFDFA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0.97612</w:t>
            </w:r>
          </w:p>
        </w:tc>
        <w:tc>
          <w:tcPr>
            <w:tcW w:w="960" w:type="dxa"/>
            <w:tcBorders>
              <w:top w:val="single" w:sz="4" w:space="0" w:color="ADD6EA"/>
              <w:left w:val="nil"/>
              <w:bottom w:val="nil"/>
              <w:right w:val="nil"/>
            </w:tcBorders>
            <w:shd w:val="clear" w:color="auto" w:fill="FFFFFF" w:themeFill="background1"/>
            <w:vAlign w:val="bottom"/>
            <w:hideMark/>
          </w:tcPr>
          <w:p w14:paraId="4C34D76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1.21719</w:t>
            </w:r>
          </w:p>
        </w:tc>
        <w:tc>
          <w:tcPr>
            <w:tcW w:w="960" w:type="dxa"/>
            <w:tcBorders>
              <w:top w:val="single" w:sz="4" w:space="0" w:color="ADD6EA"/>
              <w:left w:val="nil"/>
              <w:bottom w:val="nil"/>
              <w:right w:val="nil"/>
            </w:tcBorders>
            <w:shd w:val="clear" w:color="auto" w:fill="FFFFFF" w:themeFill="background1"/>
            <w:vAlign w:val="bottom"/>
            <w:hideMark/>
          </w:tcPr>
          <w:p w14:paraId="22383EF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1.68200</w:t>
            </w:r>
          </w:p>
        </w:tc>
        <w:tc>
          <w:tcPr>
            <w:tcW w:w="960" w:type="dxa"/>
            <w:tcBorders>
              <w:top w:val="single" w:sz="4" w:space="0" w:color="ADD6EA"/>
              <w:left w:val="nil"/>
              <w:bottom w:val="nil"/>
              <w:right w:val="nil"/>
            </w:tcBorders>
            <w:shd w:val="clear" w:color="auto" w:fill="FFFFFF" w:themeFill="background1"/>
            <w:vAlign w:val="bottom"/>
            <w:hideMark/>
          </w:tcPr>
          <w:p w14:paraId="62D38A0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1.22552</w:t>
            </w:r>
          </w:p>
        </w:tc>
        <w:tc>
          <w:tcPr>
            <w:tcW w:w="960" w:type="dxa"/>
            <w:tcBorders>
              <w:top w:val="single" w:sz="4" w:space="0" w:color="ADD6EA"/>
              <w:left w:val="nil"/>
              <w:bottom w:val="nil"/>
              <w:right w:val="nil"/>
            </w:tcBorders>
            <w:shd w:val="clear" w:color="auto" w:fill="FFFFFF" w:themeFill="background1"/>
            <w:vAlign w:val="bottom"/>
            <w:hideMark/>
          </w:tcPr>
          <w:p w14:paraId="6864012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4.91642</w:t>
            </w:r>
          </w:p>
        </w:tc>
      </w:tr>
      <w:tr w:rsidR="001935E6" w:rsidRPr="001935E6" w14:paraId="787CC4EB"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3511C0D2"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2003-04</w:t>
            </w:r>
          </w:p>
        </w:tc>
        <w:tc>
          <w:tcPr>
            <w:tcW w:w="960" w:type="dxa"/>
            <w:tcBorders>
              <w:top w:val="single" w:sz="4" w:space="0" w:color="ADD6EA"/>
              <w:left w:val="nil"/>
              <w:bottom w:val="nil"/>
              <w:right w:val="nil"/>
            </w:tcBorders>
            <w:shd w:val="clear" w:color="auto" w:fill="FFFFFF" w:themeFill="background1"/>
            <w:vAlign w:val="bottom"/>
            <w:hideMark/>
          </w:tcPr>
          <w:p w14:paraId="051F16B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0.86533</w:t>
            </w:r>
          </w:p>
        </w:tc>
        <w:tc>
          <w:tcPr>
            <w:tcW w:w="960" w:type="dxa"/>
            <w:tcBorders>
              <w:top w:val="single" w:sz="4" w:space="0" w:color="ADD6EA"/>
              <w:left w:val="nil"/>
              <w:bottom w:val="nil"/>
              <w:right w:val="nil"/>
            </w:tcBorders>
            <w:shd w:val="clear" w:color="auto" w:fill="FFFFFF" w:themeFill="background1"/>
            <w:vAlign w:val="bottom"/>
            <w:hideMark/>
          </w:tcPr>
          <w:p w14:paraId="14B6A5C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0.84243</w:t>
            </w:r>
          </w:p>
        </w:tc>
        <w:tc>
          <w:tcPr>
            <w:tcW w:w="960" w:type="dxa"/>
            <w:tcBorders>
              <w:top w:val="single" w:sz="4" w:space="0" w:color="ADD6EA"/>
              <w:left w:val="nil"/>
              <w:bottom w:val="nil"/>
              <w:right w:val="nil"/>
            </w:tcBorders>
            <w:shd w:val="clear" w:color="auto" w:fill="FFFFFF" w:themeFill="background1"/>
            <w:vAlign w:val="bottom"/>
            <w:hideMark/>
          </w:tcPr>
          <w:p w14:paraId="3E02611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1.02495</w:t>
            </w:r>
          </w:p>
        </w:tc>
        <w:tc>
          <w:tcPr>
            <w:tcW w:w="960" w:type="dxa"/>
            <w:tcBorders>
              <w:top w:val="single" w:sz="4" w:space="0" w:color="ADD6EA"/>
              <w:left w:val="nil"/>
              <w:bottom w:val="nil"/>
              <w:right w:val="nil"/>
            </w:tcBorders>
            <w:shd w:val="clear" w:color="auto" w:fill="FFFFFF" w:themeFill="background1"/>
            <w:vAlign w:val="bottom"/>
            <w:hideMark/>
          </w:tcPr>
          <w:p w14:paraId="7C547A9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0.96455</w:t>
            </w:r>
          </w:p>
        </w:tc>
        <w:tc>
          <w:tcPr>
            <w:tcW w:w="960" w:type="dxa"/>
            <w:tcBorders>
              <w:top w:val="single" w:sz="4" w:space="0" w:color="ADD6EA"/>
              <w:left w:val="nil"/>
              <w:bottom w:val="nil"/>
              <w:right w:val="nil"/>
            </w:tcBorders>
            <w:shd w:val="clear" w:color="auto" w:fill="FFFFFF" w:themeFill="background1"/>
            <w:vAlign w:val="bottom"/>
            <w:hideMark/>
          </w:tcPr>
          <w:p w14:paraId="4FF0B42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1.23997</w:t>
            </w:r>
          </w:p>
        </w:tc>
        <w:tc>
          <w:tcPr>
            <w:tcW w:w="960" w:type="dxa"/>
            <w:tcBorders>
              <w:top w:val="single" w:sz="4" w:space="0" w:color="ADD6EA"/>
              <w:left w:val="nil"/>
              <w:bottom w:val="nil"/>
              <w:right w:val="nil"/>
            </w:tcBorders>
            <w:shd w:val="clear" w:color="auto" w:fill="FFFFFF" w:themeFill="background1"/>
            <w:vAlign w:val="bottom"/>
            <w:hideMark/>
          </w:tcPr>
          <w:p w14:paraId="603BEAD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1.75292</w:t>
            </w:r>
          </w:p>
        </w:tc>
        <w:tc>
          <w:tcPr>
            <w:tcW w:w="960" w:type="dxa"/>
            <w:tcBorders>
              <w:top w:val="single" w:sz="4" w:space="0" w:color="ADD6EA"/>
              <w:left w:val="nil"/>
              <w:bottom w:val="nil"/>
              <w:right w:val="nil"/>
            </w:tcBorders>
            <w:shd w:val="clear" w:color="auto" w:fill="FFFFFF" w:themeFill="background1"/>
            <w:vAlign w:val="bottom"/>
            <w:hideMark/>
          </w:tcPr>
          <w:p w14:paraId="75AD66E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1.23351</w:t>
            </w:r>
          </w:p>
        </w:tc>
        <w:tc>
          <w:tcPr>
            <w:tcW w:w="960" w:type="dxa"/>
            <w:tcBorders>
              <w:top w:val="single" w:sz="4" w:space="0" w:color="ADD6EA"/>
              <w:left w:val="nil"/>
              <w:bottom w:val="nil"/>
              <w:right w:val="nil"/>
            </w:tcBorders>
            <w:shd w:val="clear" w:color="auto" w:fill="FFFFFF" w:themeFill="background1"/>
            <w:vAlign w:val="bottom"/>
            <w:hideMark/>
          </w:tcPr>
          <w:p w14:paraId="18510D6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5.13490</w:t>
            </w:r>
          </w:p>
        </w:tc>
      </w:tr>
      <w:tr w:rsidR="001935E6" w:rsidRPr="001935E6" w14:paraId="4EFB8204"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659B5FA8"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2004-05</w:t>
            </w:r>
          </w:p>
        </w:tc>
        <w:tc>
          <w:tcPr>
            <w:tcW w:w="960" w:type="dxa"/>
            <w:tcBorders>
              <w:top w:val="single" w:sz="4" w:space="0" w:color="ADD6EA"/>
              <w:left w:val="nil"/>
              <w:bottom w:val="nil"/>
              <w:right w:val="nil"/>
            </w:tcBorders>
            <w:shd w:val="clear" w:color="auto" w:fill="FFFFFF" w:themeFill="background1"/>
            <w:vAlign w:val="bottom"/>
            <w:hideMark/>
          </w:tcPr>
          <w:p w14:paraId="14B1ACA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0.83468</w:t>
            </w:r>
          </w:p>
        </w:tc>
        <w:tc>
          <w:tcPr>
            <w:tcW w:w="960" w:type="dxa"/>
            <w:tcBorders>
              <w:top w:val="single" w:sz="4" w:space="0" w:color="ADD6EA"/>
              <w:left w:val="nil"/>
              <w:bottom w:val="nil"/>
              <w:right w:val="nil"/>
            </w:tcBorders>
            <w:shd w:val="clear" w:color="auto" w:fill="FFFFFF" w:themeFill="background1"/>
            <w:vAlign w:val="bottom"/>
            <w:hideMark/>
          </w:tcPr>
          <w:p w14:paraId="7F38C5A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0.83641</w:t>
            </w:r>
          </w:p>
        </w:tc>
        <w:tc>
          <w:tcPr>
            <w:tcW w:w="960" w:type="dxa"/>
            <w:tcBorders>
              <w:top w:val="single" w:sz="4" w:space="0" w:color="ADD6EA"/>
              <w:left w:val="nil"/>
              <w:bottom w:val="nil"/>
              <w:right w:val="nil"/>
            </w:tcBorders>
            <w:shd w:val="clear" w:color="auto" w:fill="FFFFFF" w:themeFill="background1"/>
            <w:vAlign w:val="bottom"/>
            <w:hideMark/>
          </w:tcPr>
          <w:p w14:paraId="40045D3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1.06994</w:t>
            </w:r>
          </w:p>
        </w:tc>
        <w:tc>
          <w:tcPr>
            <w:tcW w:w="960" w:type="dxa"/>
            <w:tcBorders>
              <w:top w:val="single" w:sz="4" w:space="0" w:color="ADD6EA"/>
              <w:left w:val="nil"/>
              <w:bottom w:val="nil"/>
              <w:right w:val="nil"/>
            </w:tcBorders>
            <w:shd w:val="clear" w:color="auto" w:fill="FFFFFF" w:themeFill="background1"/>
            <w:vAlign w:val="bottom"/>
            <w:hideMark/>
          </w:tcPr>
          <w:p w14:paraId="0279831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1.03811</w:t>
            </w:r>
          </w:p>
        </w:tc>
        <w:tc>
          <w:tcPr>
            <w:tcW w:w="960" w:type="dxa"/>
            <w:tcBorders>
              <w:top w:val="single" w:sz="4" w:space="0" w:color="ADD6EA"/>
              <w:left w:val="nil"/>
              <w:bottom w:val="nil"/>
              <w:right w:val="nil"/>
            </w:tcBorders>
            <w:shd w:val="clear" w:color="auto" w:fill="FFFFFF" w:themeFill="background1"/>
            <w:vAlign w:val="bottom"/>
            <w:hideMark/>
          </w:tcPr>
          <w:p w14:paraId="0AA7D1D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1.23041</w:t>
            </w:r>
          </w:p>
        </w:tc>
        <w:tc>
          <w:tcPr>
            <w:tcW w:w="960" w:type="dxa"/>
            <w:tcBorders>
              <w:top w:val="single" w:sz="4" w:space="0" w:color="ADD6EA"/>
              <w:left w:val="nil"/>
              <w:bottom w:val="nil"/>
              <w:right w:val="nil"/>
            </w:tcBorders>
            <w:shd w:val="clear" w:color="auto" w:fill="FFFFFF" w:themeFill="background1"/>
            <w:vAlign w:val="bottom"/>
            <w:hideMark/>
          </w:tcPr>
          <w:p w14:paraId="632A0AEF"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1.71466</w:t>
            </w:r>
          </w:p>
        </w:tc>
        <w:tc>
          <w:tcPr>
            <w:tcW w:w="960" w:type="dxa"/>
            <w:tcBorders>
              <w:top w:val="single" w:sz="4" w:space="0" w:color="ADD6EA"/>
              <w:left w:val="nil"/>
              <w:bottom w:val="nil"/>
              <w:right w:val="nil"/>
            </w:tcBorders>
            <w:shd w:val="clear" w:color="auto" w:fill="FFFFFF" w:themeFill="background1"/>
            <w:vAlign w:val="bottom"/>
            <w:hideMark/>
          </w:tcPr>
          <w:p w14:paraId="5EF25DE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1.21407</w:t>
            </w:r>
          </w:p>
        </w:tc>
        <w:tc>
          <w:tcPr>
            <w:tcW w:w="960" w:type="dxa"/>
            <w:tcBorders>
              <w:top w:val="single" w:sz="4" w:space="0" w:color="ADD6EA"/>
              <w:left w:val="nil"/>
              <w:bottom w:val="nil"/>
              <w:right w:val="nil"/>
            </w:tcBorders>
            <w:shd w:val="clear" w:color="auto" w:fill="FFFFFF" w:themeFill="background1"/>
            <w:vAlign w:val="bottom"/>
            <w:hideMark/>
          </w:tcPr>
          <w:p w14:paraId="1308ADA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5.00304</w:t>
            </w:r>
          </w:p>
        </w:tc>
      </w:tr>
      <w:tr w:rsidR="001935E6" w:rsidRPr="001935E6" w14:paraId="36B819BF"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21B7A7D3"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2005-06</w:t>
            </w:r>
          </w:p>
        </w:tc>
        <w:tc>
          <w:tcPr>
            <w:tcW w:w="960" w:type="dxa"/>
            <w:tcBorders>
              <w:top w:val="single" w:sz="4" w:space="0" w:color="ADD6EA"/>
              <w:left w:val="nil"/>
              <w:bottom w:val="nil"/>
              <w:right w:val="nil"/>
            </w:tcBorders>
            <w:shd w:val="clear" w:color="auto" w:fill="FFFFFF" w:themeFill="background1"/>
            <w:vAlign w:val="bottom"/>
            <w:hideMark/>
          </w:tcPr>
          <w:p w14:paraId="1DAE115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0.83571</w:t>
            </w:r>
          </w:p>
        </w:tc>
        <w:tc>
          <w:tcPr>
            <w:tcW w:w="960" w:type="dxa"/>
            <w:tcBorders>
              <w:top w:val="single" w:sz="4" w:space="0" w:color="ADD6EA"/>
              <w:left w:val="nil"/>
              <w:bottom w:val="nil"/>
              <w:right w:val="nil"/>
            </w:tcBorders>
            <w:shd w:val="clear" w:color="auto" w:fill="FFFFFF" w:themeFill="background1"/>
            <w:vAlign w:val="bottom"/>
            <w:hideMark/>
          </w:tcPr>
          <w:p w14:paraId="39DCC9B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0.84900</w:t>
            </w:r>
          </w:p>
        </w:tc>
        <w:tc>
          <w:tcPr>
            <w:tcW w:w="960" w:type="dxa"/>
            <w:tcBorders>
              <w:top w:val="single" w:sz="4" w:space="0" w:color="ADD6EA"/>
              <w:left w:val="nil"/>
              <w:bottom w:val="nil"/>
              <w:right w:val="nil"/>
            </w:tcBorders>
            <w:shd w:val="clear" w:color="auto" w:fill="FFFFFF" w:themeFill="background1"/>
            <w:vAlign w:val="bottom"/>
            <w:hideMark/>
          </w:tcPr>
          <w:p w14:paraId="6634574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1.05700</w:t>
            </w:r>
          </w:p>
        </w:tc>
        <w:tc>
          <w:tcPr>
            <w:tcW w:w="960" w:type="dxa"/>
            <w:tcBorders>
              <w:top w:val="single" w:sz="4" w:space="0" w:color="ADD6EA"/>
              <w:left w:val="nil"/>
              <w:bottom w:val="nil"/>
              <w:right w:val="nil"/>
            </w:tcBorders>
            <w:shd w:val="clear" w:color="auto" w:fill="FFFFFF" w:themeFill="background1"/>
            <w:vAlign w:val="bottom"/>
            <w:hideMark/>
          </w:tcPr>
          <w:p w14:paraId="01048BFF"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1.03303</w:t>
            </w:r>
          </w:p>
        </w:tc>
        <w:tc>
          <w:tcPr>
            <w:tcW w:w="960" w:type="dxa"/>
            <w:tcBorders>
              <w:top w:val="single" w:sz="4" w:space="0" w:color="ADD6EA"/>
              <w:left w:val="nil"/>
              <w:bottom w:val="nil"/>
              <w:right w:val="nil"/>
            </w:tcBorders>
            <w:shd w:val="clear" w:color="auto" w:fill="FFFFFF" w:themeFill="background1"/>
            <w:vAlign w:val="bottom"/>
            <w:hideMark/>
          </w:tcPr>
          <w:p w14:paraId="267B634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1.22712</w:t>
            </w:r>
          </w:p>
        </w:tc>
        <w:tc>
          <w:tcPr>
            <w:tcW w:w="960" w:type="dxa"/>
            <w:tcBorders>
              <w:top w:val="single" w:sz="4" w:space="0" w:color="ADD6EA"/>
              <w:left w:val="nil"/>
              <w:bottom w:val="nil"/>
              <w:right w:val="nil"/>
            </w:tcBorders>
            <w:shd w:val="clear" w:color="auto" w:fill="FFFFFF" w:themeFill="background1"/>
            <w:vAlign w:val="bottom"/>
            <w:hideMark/>
          </w:tcPr>
          <w:p w14:paraId="669C194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1.70370</w:t>
            </w:r>
          </w:p>
        </w:tc>
        <w:tc>
          <w:tcPr>
            <w:tcW w:w="960" w:type="dxa"/>
            <w:tcBorders>
              <w:top w:val="single" w:sz="4" w:space="0" w:color="ADD6EA"/>
              <w:left w:val="nil"/>
              <w:bottom w:val="nil"/>
              <w:right w:val="nil"/>
            </w:tcBorders>
            <w:shd w:val="clear" w:color="auto" w:fill="FFFFFF" w:themeFill="background1"/>
            <w:vAlign w:val="bottom"/>
            <w:hideMark/>
          </w:tcPr>
          <w:p w14:paraId="0D8345A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1.22837</w:t>
            </w:r>
          </w:p>
        </w:tc>
        <w:tc>
          <w:tcPr>
            <w:tcW w:w="960" w:type="dxa"/>
            <w:tcBorders>
              <w:top w:val="single" w:sz="4" w:space="0" w:color="ADD6EA"/>
              <w:left w:val="nil"/>
              <w:bottom w:val="nil"/>
              <w:right w:val="nil"/>
            </w:tcBorders>
            <w:shd w:val="clear" w:color="auto" w:fill="FFFFFF" w:themeFill="background1"/>
            <w:vAlign w:val="bottom"/>
            <w:hideMark/>
          </w:tcPr>
          <w:p w14:paraId="0014BD8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5.00537</w:t>
            </w:r>
          </w:p>
        </w:tc>
      </w:tr>
      <w:tr w:rsidR="001935E6" w:rsidRPr="001935E6" w14:paraId="14ADA38C"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4FC07A38"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2006-07</w:t>
            </w:r>
          </w:p>
        </w:tc>
        <w:tc>
          <w:tcPr>
            <w:tcW w:w="960" w:type="dxa"/>
            <w:tcBorders>
              <w:top w:val="single" w:sz="4" w:space="0" w:color="ADD6EA"/>
              <w:left w:val="nil"/>
              <w:bottom w:val="nil"/>
              <w:right w:val="nil"/>
            </w:tcBorders>
            <w:shd w:val="clear" w:color="auto" w:fill="FFFFFF" w:themeFill="background1"/>
            <w:vAlign w:val="bottom"/>
            <w:hideMark/>
          </w:tcPr>
          <w:p w14:paraId="261DA8E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0.84193</w:t>
            </w:r>
          </w:p>
        </w:tc>
        <w:tc>
          <w:tcPr>
            <w:tcW w:w="960" w:type="dxa"/>
            <w:tcBorders>
              <w:top w:val="single" w:sz="4" w:space="0" w:color="ADD6EA"/>
              <w:left w:val="nil"/>
              <w:bottom w:val="nil"/>
              <w:right w:val="nil"/>
            </w:tcBorders>
            <w:shd w:val="clear" w:color="auto" w:fill="FFFFFF" w:themeFill="background1"/>
            <w:vAlign w:val="bottom"/>
            <w:hideMark/>
          </w:tcPr>
          <w:p w14:paraId="5AE5C21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0.87451</w:t>
            </w:r>
          </w:p>
        </w:tc>
        <w:tc>
          <w:tcPr>
            <w:tcW w:w="960" w:type="dxa"/>
            <w:tcBorders>
              <w:top w:val="single" w:sz="4" w:space="0" w:color="ADD6EA"/>
              <w:left w:val="nil"/>
              <w:bottom w:val="nil"/>
              <w:right w:val="nil"/>
            </w:tcBorders>
            <w:shd w:val="clear" w:color="auto" w:fill="FFFFFF" w:themeFill="background1"/>
            <w:vAlign w:val="bottom"/>
            <w:hideMark/>
          </w:tcPr>
          <w:p w14:paraId="3B52F4B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1.03271</w:t>
            </w:r>
          </w:p>
        </w:tc>
        <w:tc>
          <w:tcPr>
            <w:tcW w:w="960" w:type="dxa"/>
            <w:tcBorders>
              <w:top w:val="single" w:sz="4" w:space="0" w:color="ADD6EA"/>
              <w:left w:val="nil"/>
              <w:bottom w:val="nil"/>
              <w:right w:val="nil"/>
            </w:tcBorders>
            <w:shd w:val="clear" w:color="auto" w:fill="FFFFFF" w:themeFill="background1"/>
            <w:vAlign w:val="bottom"/>
            <w:hideMark/>
          </w:tcPr>
          <w:p w14:paraId="7882276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1.00778</w:t>
            </w:r>
          </w:p>
        </w:tc>
        <w:tc>
          <w:tcPr>
            <w:tcW w:w="960" w:type="dxa"/>
            <w:tcBorders>
              <w:top w:val="single" w:sz="4" w:space="0" w:color="ADD6EA"/>
              <w:left w:val="nil"/>
              <w:bottom w:val="nil"/>
              <w:right w:val="nil"/>
            </w:tcBorders>
            <w:shd w:val="clear" w:color="auto" w:fill="FFFFFF" w:themeFill="background1"/>
            <w:vAlign w:val="bottom"/>
            <w:hideMark/>
          </w:tcPr>
          <w:p w14:paraId="342F8DD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1.20839</w:t>
            </w:r>
          </w:p>
        </w:tc>
        <w:tc>
          <w:tcPr>
            <w:tcW w:w="960" w:type="dxa"/>
            <w:tcBorders>
              <w:top w:val="single" w:sz="4" w:space="0" w:color="ADD6EA"/>
              <w:left w:val="nil"/>
              <w:bottom w:val="nil"/>
              <w:right w:val="nil"/>
            </w:tcBorders>
            <w:shd w:val="clear" w:color="auto" w:fill="FFFFFF" w:themeFill="background1"/>
            <w:vAlign w:val="bottom"/>
            <w:hideMark/>
          </w:tcPr>
          <w:p w14:paraId="1F6133B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1.69599</w:t>
            </w:r>
          </w:p>
        </w:tc>
        <w:tc>
          <w:tcPr>
            <w:tcW w:w="960" w:type="dxa"/>
            <w:tcBorders>
              <w:top w:val="single" w:sz="4" w:space="0" w:color="ADD6EA"/>
              <w:left w:val="nil"/>
              <w:bottom w:val="nil"/>
              <w:right w:val="nil"/>
            </w:tcBorders>
            <w:shd w:val="clear" w:color="auto" w:fill="FFFFFF" w:themeFill="background1"/>
            <w:vAlign w:val="bottom"/>
            <w:hideMark/>
          </w:tcPr>
          <w:p w14:paraId="6F09DFA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1.22918</w:t>
            </w:r>
          </w:p>
        </w:tc>
        <w:tc>
          <w:tcPr>
            <w:tcW w:w="960" w:type="dxa"/>
            <w:tcBorders>
              <w:top w:val="single" w:sz="4" w:space="0" w:color="ADD6EA"/>
              <w:left w:val="nil"/>
              <w:bottom w:val="nil"/>
              <w:right w:val="nil"/>
            </w:tcBorders>
            <w:shd w:val="clear" w:color="auto" w:fill="FFFFFF" w:themeFill="background1"/>
            <w:vAlign w:val="bottom"/>
            <w:hideMark/>
          </w:tcPr>
          <w:p w14:paraId="68D6D4C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5.06502</w:t>
            </w:r>
          </w:p>
        </w:tc>
      </w:tr>
      <w:tr w:rsidR="001935E6" w:rsidRPr="001935E6" w14:paraId="65A788E6"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6467EFC0"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2007-08</w:t>
            </w:r>
          </w:p>
        </w:tc>
        <w:tc>
          <w:tcPr>
            <w:tcW w:w="960" w:type="dxa"/>
            <w:tcBorders>
              <w:top w:val="single" w:sz="4" w:space="0" w:color="ADD6EA"/>
              <w:left w:val="nil"/>
              <w:bottom w:val="nil"/>
              <w:right w:val="nil"/>
            </w:tcBorders>
            <w:shd w:val="clear" w:color="auto" w:fill="FFFFFF" w:themeFill="background1"/>
            <w:vAlign w:val="bottom"/>
            <w:hideMark/>
          </w:tcPr>
          <w:p w14:paraId="026573F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0.86380</w:t>
            </w:r>
          </w:p>
        </w:tc>
        <w:tc>
          <w:tcPr>
            <w:tcW w:w="960" w:type="dxa"/>
            <w:tcBorders>
              <w:top w:val="single" w:sz="4" w:space="0" w:color="ADD6EA"/>
              <w:left w:val="nil"/>
              <w:bottom w:val="nil"/>
              <w:right w:val="nil"/>
            </w:tcBorders>
            <w:shd w:val="clear" w:color="auto" w:fill="FFFFFF" w:themeFill="background1"/>
            <w:vAlign w:val="bottom"/>
            <w:hideMark/>
          </w:tcPr>
          <w:p w14:paraId="091D9A3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0.88206</w:t>
            </w:r>
          </w:p>
        </w:tc>
        <w:tc>
          <w:tcPr>
            <w:tcW w:w="960" w:type="dxa"/>
            <w:tcBorders>
              <w:top w:val="single" w:sz="4" w:space="0" w:color="ADD6EA"/>
              <w:left w:val="nil"/>
              <w:bottom w:val="nil"/>
              <w:right w:val="nil"/>
            </w:tcBorders>
            <w:shd w:val="clear" w:color="auto" w:fill="FFFFFF" w:themeFill="background1"/>
            <w:vAlign w:val="bottom"/>
            <w:hideMark/>
          </w:tcPr>
          <w:p w14:paraId="4FB1727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1.01143</w:t>
            </w:r>
          </w:p>
        </w:tc>
        <w:tc>
          <w:tcPr>
            <w:tcW w:w="960" w:type="dxa"/>
            <w:tcBorders>
              <w:top w:val="single" w:sz="4" w:space="0" w:color="ADD6EA"/>
              <w:left w:val="nil"/>
              <w:bottom w:val="nil"/>
              <w:right w:val="nil"/>
            </w:tcBorders>
            <w:shd w:val="clear" w:color="auto" w:fill="FFFFFF" w:themeFill="background1"/>
            <w:vAlign w:val="bottom"/>
            <w:hideMark/>
          </w:tcPr>
          <w:p w14:paraId="65812B3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0.93616</w:t>
            </w:r>
          </w:p>
        </w:tc>
        <w:tc>
          <w:tcPr>
            <w:tcW w:w="960" w:type="dxa"/>
            <w:tcBorders>
              <w:top w:val="single" w:sz="4" w:space="0" w:color="ADD6EA"/>
              <w:left w:val="nil"/>
              <w:bottom w:val="nil"/>
              <w:right w:val="nil"/>
            </w:tcBorders>
            <w:shd w:val="clear" w:color="auto" w:fill="FFFFFF" w:themeFill="background1"/>
            <w:vAlign w:val="bottom"/>
            <w:hideMark/>
          </w:tcPr>
          <w:p w14:paraId="2762DDE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1.23141</w:t>
            </w:r>
          </w:p>
        </w:tc>
        <w:tc>
          <w:tcPr>
            <w:tcW w:w="960" w:type="dxa"/>
            <w:tcBorders>
              <w:top w:val="single" w:sz="4" w:space="0" w:color="ADD6EA"/>
              <w:left w:val="nil"/>
              <w:bottom w:val="nil"/>
              <w:right w:val="nil"/>
            </w:tcBorders>
            <w:shd w:val="clear" w:color="auto" w:fill="FFFFFF" w:themeFill="background1"/>
            <w:vAlign w:val="bottom"/>
            <w:hideMark/>
          </w:tcPr>
          <w:p w14:paraId="16E7BE5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1.68662</w:t>
            </w:r>
          </w:p>
        </w:tc>
        <w:tc>
          <w:tcPr>
            <w:tcW w:w="960" w:type="dxa"/>
            <w:tcBorders>
              <w:top w:val="single" w:sz="4" w:space="0" w:color="ADD6EA"/>
              <w:left w:val="nil"/>
              <w:bottom w:val="nil"/>
              <w:right w:val="nil"/>
            </w:tcBorders>
            <w:shd w:val="clear" w:color="auto" w:fill="FFFFFF" w:themeFill="background1"/>
            <w:vAlign w:val="bottom"/>
            <w:hideMark/>
          </w:tcPr>
          <w:p w14:paraId="537EA84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1.24724</w:t>
            </w:r>
          </w:p>
        </w:tc>
        <w:tc>
          <w:tcPr>
            <w:tcW w:w="960" w:type="dxa"/>
            <w:tcBorders>
              <w:top w:val="single" w:sz="4" w:space="0" w:color="ADD6EA"/>
              <w:left w:val="nil"/>
              <w:bottom w:val="nil"/>
              <w:right w:val="nil"/>
            </w:tcBorders>
            <w:shd w:val="clear" w:color="auto" w:fill="FFFFFF" w:themeFill="background1"/>
            <w:vAlign w:val="bottom"/>
            <w:hideMark/>
          </w:tcPr>
          <w:p w14:paraId="3D0AE2B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5.09597</w:t>
            </w:r>
          </w:p>
        </w:tc>
      </w:tr>
      <w:tr w:rsidR="001935E6" w:rsidRPr="001935E6" w14:paraId="4ACC819E"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673BCF45"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2008-09</w:t>
            </w:r>
          </w:p>
        </w:tc>
        <w:tc>
          <w:tcPr>
            <w:tcW w:w="960" w:type="dxa"/>
            <w:tcBorders>
              <w:top w:val="single" w:sz="4" w:space="0" w:color="ADD6EA"/>
              <w:left w:val="nil"/>
              <w:bottom w:val="nil"/>
              <w:right w:val="nil"/>
            </w:tcBorders>
            <w:shd w:val="clear" w:color="auto" w:fill="FFFFFF" w:themeFill="background1"/>
            <w:vAlign w:val="bottom"/>
            <w:hideMark/>
          </w:tcPr>
          <w:p w14:paraId="7C8B839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0.88743</w:t>
            </w:r>
          </w:p>
        </w:tc>
        <w:tc>
          <w:tcPr>
            <w:tcW w:w="960" w:type="dxa"/>
            <w:tcBorders>
              <w:top w:val="single" w:sz="4" w:space="0" w:color="ADD6EA"/>
              <w:left w:val="nil"/>
              <w:bottom w:val="nil"/>
              <w:right w:val="nil"/>
            </w:tcBorders>
            <w:shd w:val="clear" w:color="auto" w:fill="FFFFFF" w:themeFill="background1"/>
            <w:vAlign w:val="bottom"/>
            <w:hideMark/>
          </w:tcPr>
          <w:p w14:paraId="0F447640"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0.91347</w:t>
            </w:r>
          </w:p>
        </w:tc>
        <w:tc>
          <w:tcPr>
            <w:tcW w:w="960" w:type="dxa"/>
            <w:tcBorders>
              <w:top w:val="single" w:sz="4" w:space="0" w:color="ADD6EA"/>
              <w:left w:val="nil"/>
              <w:bottom w:val="nil"/>
              <w:right w:val="nil"/>
            </w:tcBorders>
            <w:shd w:val="clear" w:color="auto" w:fill="FFFFFF" w:themeFill="background1"/>
            <w:vAlign w:val="bottom"/>
            <w:hideMark/>
          </w:tcPr>
          <w:p w14:paraId="50793DD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0.96196</w:t>
            </w:r>
          </w:p>
        </w:tc>
        <w:tc>
          <w:tcPr>
            <w:tcW w:w="960" w:type="dxa"/>
            <w:tcBorders>
              <w:top w:val="single" w:sz="4" w:space="0" w:color="ADD6EA"/>
              <w:left w:val="nil"/>
              <w:bottom w:val="nil"/>
              <w:right w:val="nil"/>
            </w:tcBorders>
            <w:shd w:val="clear" w:color="auto" w:fill="FFFFFF" w:themeFill="background1"/>
            <w:vAlign w:val="bottom"/>
            <w:hideMark/>
          </w:tcPr>
          <w:p w14:paraId="5646D4C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0.85797</w:t>
            </w:r>
          </w:p>
        </w:tc>
        <w:tc>
          <w:tcPr>
            <w:tcW w:w="960" w:type="dxa"/>
            <w:tcBorders>
              <w:top w:val="single" w:sz="4" w:space="0" w:color="ADD6EA"/>
              <w:left w:val="nil"/>
              <w:bottom w:val="nil"/>
              <w:right w:val="nil"/>
            </w:tcBorders>
            <w:shd w:val="clear" w:color="auto" w:fill="FFFFFF" w:themeFill="background1"/>
            <w:vAlign w:val="bottom"/>
            <w:hideMark/>
          </w:tcPr>
          <w:p w14:paraId="765D7E1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1.23192</w:t>
            </w:r>
          </w:p>
        </w:tc>
        <w:tc>
          <w:tcPr>
            <w:tcW w:w="960" w:type="dxa"/>
            <w:tcBorders>
              <w:top w:val="single" w:sz="4" w:space="0" w:color="ADD6EA"/>
              <w:left w:val="nil"/>
              <w:bottom w:val="nil"/>
              <w:right w:val="nil"/>
            </w:tcBorders>
            <w:shd w:val="clear" w:color="auto" w:fill="FFFFFF" w:themeFill="background1"/>
            <w:vAlign w:val="bottom"/>
            <w:hideMark/>
          </w:tcPr>
          <w:p w14:paraId="7BBAB06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1.66348</w:t>
            </w:r>
          </w:p>
        </w:tc>
        <w:tc>
          <w:tcPr>
            <w:tcW w:w="960" w:type="dxa"/>
            <w:tcBorders>
              <w:top w:val="single" w:sz="4" w:space="0" w:color="ADD6EA"/>
              <w:left w:val="nil"/>
              <w:bottom w:val="nil"/>
              <w:right w:val="nil"/>
            </w:tcBorders>
            <w:shd w:val="clear" w:color="auto" w:fill="FFFFFF" w:themeFill="background1"/>
            <w:vAlign w:val="bottom"/>
            <w:hideMark/>
          </w:tcPr>
          <w:p w14:paraId="440EA2C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1.25603</w:t>
            </w:r>
          </w:p>
        </w:tc>
        <w:tc>
          <w:tcPr>
            <w:tcW w:w="960" w:type="dxa"/>
            <w:tcBorders>
              <w:top w:val="single" w:sz="4" w:space="0" w:color="ADD6EA"/>
              <w:left w:val="nil"/>
              <w:bottom w:val="nil"/>
              <w:right w:val="nil"/>
            </w:tcBorders>
            <w:shd w:val="clear" w:color="auto" w:fill="FFFFFF" w:themeFill="background1"/>
            <w:vAlign w:val="bottom"/>
            <w:hideMark/>
          </w:tcPr>
          <w:p w14:paraId="0086B4A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5.25758</w:t>
            </w:r>
          </w:p>
        </w:tc>
      </w:tr>
      <w:tr w:rsidR="001935E6" w:rsidRPr="001935E6" w14:paraId="44DDD040"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22957147"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2009-10</w:t>
            </w:r>
          </w:p>
        </w:tc>
        <w:tc>
          <w:tcPr>
            <w:tcW w:w="960" w:type="dxa"/>
            <w:tcBorders>
              <w:top w:val="single" w:sz="4" w:space="0" w:color="ADD6EA"/>
              <w:left w:val="nil"/>
              <w:bottom w:val="nil"/>
              <w:right w:val="nil"/>
            </w:tcBorders>
            <w:shd w:val="clear" w:color="auto" w:fill="FFFFFF" w:themeFill="background1"/>
            <w:vAlign w:val="bottom"/>
            <w:hideMark/>
          </w:tcPr>
          <w:p w14:paraId="5A277EC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0.93186</w:t>
            </w:r>
          </w:p>
        </w:tc>
        <w:tc>
          <w:tcPr>
            <w:tcW w:w="960" w:type="dxa"/>
            <w:tcBorders>
              <w:top w:val="single" w:sz="4" w:space="0" w:color="ADD6EA"/>
              <w:left w:val="nil"/>
              <w:bottom w:val="nil"/>
              <w:right w:val="nil"/>
            </w:tcBorders>
            <w:shd w:val="clear" w:color="auto" w:fill="FFFFFF" w:themeFill="background1"/>
            <w:vAlign w:val="bottom"/>
            <w:hideMark/>
          </w:tcPr>
          <w:p w14:paraId="38380EF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0.91875</w:t>
            </w:r>
          </w:p>
        </w:tc>
        <w:tc>
          <w:tcPr>
            <w:tcW w:w="960" w:type="dxa"/>
            <w:tcBorders>
              <w:top w:val="single" w:sz="4" w:space="0" w:color="ADD6EA"/>
              <w:left w:val="nil"/>
              <w:bottom w:val="nil"/>
              <w:right w:val="nil"/>
            </w:tcBorders>
            <w:shd w:val="clear" w:color="auto" w:fill="FFFFFF" w:themeFill="background1"/>
            <w:vAlign w:val="bottom"/>
            <w:hideMark/>
          </w:tcPr>
          <w:p w14:paraId="59A2A55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0.91556</w:t>
            </w:r>
          </w:p>
        </w:tc>
        <w:tc>
          <w:tcPr>
            <w:tcW w:w="960" w:type="dxa"/>
            <w:tcBorders>
              <w:top w:val="single" w:sz="4" w:space="0" w:color="ADD6EA"/>
              <w:left w:val="nil"/>
              <w:bottom w:val="nil"/>
              <w:right w:val="nil"/>
            </w:tcBorders>
            <w:shd w:val="clear" w:color="auto" w:fill="FFFFFF" w:themeFill="background1"/>
            <w:vAlign w:val="bottom"/>
            <w:hideMark/>
          </w:tcPr>
          <w:p w14:paraId="4FAE00B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0.78485</w:t>
            </w:r>
          </w:p>
        </w:tc>
        <w:tc>
          <w:tcPr>
            <w:tcW w:w="960" w:type="dxa"/>
            <w:tcBorders>
              <w:top w:val="single" w:sz="4" w:space="0" w:color="ADD6EA"/>
              <w:left w:val="nil"/>
              <w:bottom w:val="nil"/>
              <w:right w:val="nil"/>
            </w:tcBorders>
            <w:shd w:val="clear" w:color="auto" w:fill="FFFFFF" w:themeFill="background1"/>
            <w:vAlign w:val="bottom"/>
            <w:hideMark/>
          </w:tcPr>
          <w:p w14:paraId="615EBEA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1.24724</w:t>
            </w:r>
          </w:p>
        </w:tc>
        <w:tc>
          <w:tcPr>
            <w:tcW w:w="960" w:type="dxa"/>
            <w:tcBorders>
              <w:top w:val="single" w:sz="4" w:space="0" w:color="ADD6EA"/>
              <w:left w:val="nil"/>
              <w:bottom w:val="nil"/>
              <w:right w:val="nil"/>
            </w:tcBorders>
            <w:shd w:val="clear" w:color="auto" w:fill="FFFFFF" w:themeFill="background1"/>
            <w:vAlign w:val="bottom"/>
            <w:hideMark/>
          </w:tcPr>
          <w:p w14:paraId="0AC4F9C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1.62040</w:t>
            </w:r>
          </w:p>
        </w:tc>
        <w:tc>
          <w:tcPr>
            <w:tcW w:w="960" w:type="dxa"/>
            <w:tcBorders>
              <w:top w:val="single" w:sz="4" w:space="0" w:color="ADD6EA"/>
              <w:left w:val="nil"/>
              <w:bottom w:val="nil"/>
              <w:right w:val="nil"/>
            </w:tcBorders>
            <w:shd w:val="clear" w:color="auto" w:fill="FFFFFF" w:themeFill="background1"/>
            <w:vAlign w:val="bottom"/>
            <w:hideMark/>
          </w:tcPr>
          <w:p w14:paraId="41AE99A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1.27051</w:t>
            </w:r>
          </w:p>
        </w:tc>
        <w:tc>
          <w:tcPr>
            <w:tcW w:w="960" w:type="dxa"/>
            <w:tcBorders>
              <w:top w:val="single" w:sz="4" w:space="0" w:color="ADD6EA"/>
              <w:left w:val="nil"/>
              <w:bottom w:val="nil"/>
              <w:right w:val="nil"/>
            </w:tcBorders>
            <w:shd w:val="clear" w:color="auto" w:fill="FFFFFF" w:themeFill="background1"/>
            <w:vAlign w:val="bottom"/>
            <w:hideMark/>
          </w:tcPr>
          <w:p w14:paraId="6249D0D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5.25073</w:t>
            </w:r>
          </w:p>
        </w:tc>
      </w:tr>
      <w:tr w:rsidR="001935E6" w:rsidRPr="001935E6" w14:paraId="43E84AE4"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0C8B02AA"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2010-11</w:t>
            </w:r>
          </w:p>
        </w:tc>
        <w:tc>
          <w:tcPr>
            <w:tcW w:w="960" w:type="dxa"/>
            <w:tcBorders>
              <w:top w:val="single" w:sz="4" w:space="0" w:color="ADD6EA"/>
              <w:left w:val="nil"/>
              <w:bottom w:val="nil"/>
              <w:right w:val="nil"/>
            </w:tcBorders>
            <w:shd w:val="clear" w:color="auto" w:fill="FFFFFF" w:themeFill="background1"/>
            <w:vAlign w:val="bottom"/>
            <w:hideMark/>
          </w:tcPr>
          <w:p w14:paraId="4BF1FE50"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0.95205</w:t>
            </w:r>
          </w:p>
        </w:tc>
        <w:tc>
          <w:tcPr>
            <w:tcW w:w="960" w:type="dxa"/>
            <w:tcBorders>
              <w:top w:val="single" w:sz="4" w:space="0" w:color="ADD6EA"/>
              <w:left w:val="nil"/>
              <w:bottom w:val="nil"/>
              <w:right w:val="nil"/>
            </w:tcBorders>
            <w:shd w:val="clear" w:color="auto" w:fill="FFFFFF" w:themeFill="background1"/>
            <w:vAlign w:val="bottom"/>
            <w:hideMark/>
          </w:tcPr>
          <w:p w14:paraId="1DB612A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0.93995</w:t>
            </w:r>
          </w:p>
        </w:tc>
        <w:tc>
          <w:tcPr>
            <w:tcW w:w="960" w:type="dxa"/>
            <w:tcBorders>
              <w:top w:val="single" w:sz="4" w:space="0" w:color="ADD6EA"/>
              <w:left w:val="nil"/>
              <w:bottom w:val="nil"/>
              <w:right w:val="nil"/>
            </w:tcBorders>
            <w:shd w:val="clear" w:color="auto" w:fill="FFFFFF" w:themeFill="background1"/>
            <w:vAlign w:val="bottom"/>
            <w:hideMark/>
          </w:tcPr>
          <w:p w14:paraId="6CF5CD4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0.91322</w:t>
            </w:r>
          </w:p>
        </w:tc>
        <w:tc>
          <w:tcPr>
            <w:tcW w:w="960" w:type="dxa"/>
            <w:tcBorders>
              <w:top w:val="single" w:sz="4" w:space="0" w:color="ADD6EA"/>
              <w:left w:val="nil"/>
              <w:bottom w:val="nil"/>
              <w:right w:val="nil"/>
            </w:tcBorders>
            <w:shd w:val="clear" w:color="auto" w:fill="FFFFFF" w:themeFill="background1"/>
            <w:vAlign w:val="bottom"/>
            <w:hideMark/>
          </w:tcPr>
          <w:p w14:paraId="2CD21E3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0.68298</w:t>
            </w:r>
          </w:p>
        </w:tc>
        <w:tc>
          <w:tcPr>
            <w:tcW w:w="960" w:type="dxa"/>
            <w:tcBorders>
              <w:top w:val="single" w:sz="4" w:space="0" w:color="ADD6EA"/>
              <w:left w:val="nil"/>
              <w:bottom w:val="nil"/>
              <w:right w:val="nil"/>
            </w:tcBorders>
            <w:shd w:val="clear" w:color="auto" w:fill="FFFFFF" w:themeFill="background1"/>
            <w:vAlign w:val="bottom"/>
            <w:hideMark/>
          </w:tcPr>
          <w:p w14:paraId="13DE585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1.28497</w:t>
            </w:r>
          </w:p>
        </w:tc>
        <w:tc>
          <w:tcPr>
            <w:tcW w:w="960" w:type="dxa"/>
            <w:tcBorders>
              <w:top w:val="single" w:sz="4" w:space="0" w:color="ADD6EA"/>
              <w:left w:val="nil"/>
              <w:bottom w:val="nil"/>
              <w:right w:val="nil"/>
            </w:tcBorders>
            <w:shd w:val="clear" w:color="auto" w:fill="FFFFFF" w:themeFill="background1"/>
            <w:vAlign w:val="bottom"/>
            <w:hideMark/>
          </w:tcPr>
          <w:p w14:paraId="53EF96B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1.62091</w:t>
            </w:r>
          </w:p>
        </w:tc>
        <w:tc>
          <w:tcPr>
            <w:tcW w:w="960" w:type="dxa"/>
            <w:tcBorders>
              <w:top w:val="single" w:sz="4" w:space="0" w:color="ADD6EA"/>
              <w:left w:val="nil"/>
              <w:bottom w:val="nil"/>
              <w:right w:val="nil"/>
            </w:tcBorders>
            <w:shd w:val="clear" w:color="auto" w:fill="FFFFFF" w:themeFill="background1"/>
            <w:vAlign w:val="bottom"/>
            <w:hideMark/>
          </w:tcPr>
          <w:p w14:paraId="29768CA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1.15295</w:t>
            </w:r>
          </w:p>
        </w:tc>
        <w:tc>
          <w:tcPr>
            <w:tcW w:w="960" w:type="dxa"/>
            <w:tcBorders>
              <w:top w:val="single" w:sz="4" w:space="0" w:color="ADD6EA"/>
              <w:left w:val="nil"/>
              <w:bottom w:val="nil"/>
              <w:right w:val="nil"/>
            </w:tcBorders>
            <w:shd w:val="clear" w:color="auto" w:fill="FFFFFF" w:themeFill="background1"/>
            <w:vAlign w:val="bottom"/>
            <w:hideMark/>
          </w:tcPr>
          <w:p w14:paraId="43FFB5A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5.07383</w:t>
            </w:r>
          </w:p>
        </w:tc>
      </w:tr>
      <w:tr w:rsidR="001935E6" w:rsidRPr="001935E6" w14:paraId="5AFA5442"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418DDF66"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2011-12</w:t>
            </w:r>
          </w:p>
        </w:tc>
        <w:tc>
          <w:tcPr>
            <w:tcW w:w="960" w:type="dxa"/>
            <w:tcBorders>
              <w:top w:val="single" w:sz="4" w:space="0" w:color="ADD6EA"/>
              <w:left w:val="nil"/>
              <w:bottom w:val="nil"/>
              <w:right w:val="nil"/>
            </w:tcBorders>
            <w:shd w:val="clear" w:color="auto" w:fill="FFFFFF" w:themeFill="background1"/>
            <w:vAlign w:val="bottom"/>
            <w:hideMark/>
          </w:tcPr>
          <w:p w14:paraId="7AC02C5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0.95776</w:t>
            </w:r>
          </w:p>
        </w:tc>
        <w:tc>
          <w:tcPr>
            <w:tcW w:w="960" w:type="dxa"/>
            <w:tcBorders>
              <w:top w:val="single" w:sz="4" w:space="0" w:color="ADD6EA"/>
              <w:left w:val="nil"/>
              <w:bottom w:val="nil"/>
              <w:right w:val="nil"/>
            </w:tcBorders>
            <w:shd w:val="clear" w:color="auto" w:fill="FFFFFF" w:themeFill="background1"/>
            <w:vAlign w:val="bottom"/>
            <w:hideMark/>
          </w:tcPr>
          <w:p w14:paraId="3971C8B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0.90476</w:t>
            </w:r>
          </w:p>
        </w:tc>
        <w:tc>
          <w:tcPr>
            <w:tcW w:w="960" w:type="dxa"/>
            <w:tcBorders>
              <w:top w:val="single" w:sz="4" w:space="0" w:color="ADD6EA"/>
              <w:left w:val="nil"/>
              <w:bottom w:val="nil"/>
              <w:right w:val="nil"/>
            </w:tcBorders>
            <w:shd w:val="clear" w:color="auto" w:fill="FFFFFF" w:themeFill="background1"/>
            <w:vAlign w:val="bottom"/>
            <w:hideMark/>
          </w:tcPr>
          <w:p w14:paraId="5D2EF14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0.92861</w:t>
            </w:r>
          </w:p>
        </w:tc>
        <w:tc>
          <w:tcPr>
            <w:tcW w:w="960" w:type="dxa"/>
            <w:tcBorders>
              <w:top w:val="single" w:sz="4" w:space="0" w:color="ADD6EA"/>
              <w:left w:val="nil"/>
              <w:bottom w:val="nil"/>
              <w:right w:val="nil"/>
            </w:tcBorders>
            <w:shd w:val="clear" w:color="auto" w:fill="FFFFFF" w:themeFill="background1"/>
            <w:vAlign w:val="bottom"/>
            <w:hideMark/>
          </w:tcPr>
          <w:p w14:paraId="6CEAD28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0.71729</w:t>
            </w:r>
          </w:p>
        </w:tc>
        <w:tc>
          <w:tcPr>
            <w:tcW w:w="960" w:type="dxa"/>
            <w:tcBorders>
              <w:top w:val="single" w:sz="4" w:space="0" w:color="ADD6EA"/>
              <w:left w:val="nil"/>
              <w:bottom w:val="nil"/>
              <w:right w:val="nil"/>
            </w:tcBorders>
            <w:shd w:val="clear" w:color="auto" w:fill="FFFFFF" w:themeFill="background1"/>
            <w:vAlign w:val="bottom"/>
            <w:hideMark/>
          </w:tcPr>
          <w:p w14:paraId="079ABB6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1.27070</w:t>
            </w:r>
          </w:p>
        </w:tc>
        <w:tc>
          <w:tcPr>
            <w:tcW w:w="960" w:type="dxa"/>
            <w:tcBorders>
              <w:top w:val="single" w:sz="4" w:space="0" w:color="ADD6EA"/>
              <w:left w:val="nil"/>
              <w:bottom w:val="nil"/>
              <w:right w:val="nil"/>
            </w:tcBorders>
            <w:shd w:val="clear" w:color="auto" w:fill="FFFFFF" w:themeFill="background1"/>
            <w:vAlign w:val="bottom"/>
            <w:hideMark/>
          </w:tcPr>
          <w:p w14:paraId="5613B00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1.59942</w:t>
            </w:r>
          </w:p>
        </w:tc>
        <w:tc>
          <w:tcPr>
            <w:tcW w:w="960" w:type="dxa"/>
            <w:tcBorders>
              <w:top w:val="single" w:sz="4" w:space="0" w:color="ADD6EA"/>
              <w:left w:val="nil"/>
              <w:bottom w:val="nil"/>
              <w:right w:val="nil"/>
            </w:tcBorders>
            <w:shd w:val="clear" w:color="auto" w:fill="FFFFFF" w:themeFill="background1"/>
            <w:vAlign w:val="bottom"/>
            <w:hideMark/>
          </w:tcPr>
          <w:p w14:paraId="4C5538C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1.11647</w:t>
            </w:r>
          </w:p>
        </w:tc>
        <w:tc>
          <w:tcPr>
            <w:tcW w:w="960" w:type="dxa"/>
            <w:tcBorders>
              <w:top w:val="single" w:sz="4" w:space="0" w:color="ADD6EA"/>
              <w:left w:val="nil"/>
              <w:bottom w:val="nil"/>
              <w:right w:val="nil"/>
            </w:tcBorders>
            <w:shd w:val="clear" w:color="auto" w:fill="FFFFFF" w:themeFill="background1"/>
            <w:vAlign w:val="bottom"/>
            <w:hideMark/>
          </w:tcPr>
          <w:p w14:paraId="7C6F757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5.35708</w:t>
            </w:r>
          </w:p>
        </w:tc>
      </w:tr>
      <w:tr w:rsidR="001935E6" w:rsidRPr="001935E6" w14:paraId="3D710907"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507F55E5"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2012-13</w:t>
            </w:r>
          </w:p>
        </w:tc>
        <w:tc>
          <w:tcPr>
            <w:tcW w:w="960" w:type="dxa"/>
            <w:tcBorders>
              <w:top w:val="single" w:sz="4" w:space="0" w:color="ADD6EA"/>
              <w:left w:val="nil"/>
              <w:bottom w:val="nil"/>
              <w:right w:val="nil"/>
            </w:tcBorders>
            <w:shd w:val="clear" w:color="auto" w:fill="FFFFFF" w:themeFill="background1"/>
            <w:vAlign w:val="bottom"/>
            <w:hideMark/>
          </w:tcPr>
          <w:p w14:paraId="400F1DF0"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0.95312</w:t>
            </w:r>
          </w:p>
        </w:tc>
        <w:tc>
          <w:tcPr>
            <w:tcW w:w="960" w:type="dxa"/>
            <w:tcBorders>
              <w:top w:val="single" w:sz="4" w:space="0" w:color="ADD6EA"/>
              <w:left w:val="nil"/>
              <w:bottom w:val="nil"/>
              <w:right w:val="nil"/>
            </w:tcBorders>
            <w:shd w:val="clear" w:color="auto" w:fill="FFFFFF" w:themeFill="background1"/>
            <w:vAlign w:val="bottom"/>
            <w:hideMark/>
          </w:tcPr>
          <w:p w14:paraId="1EFC61A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0.92106</w:t>
            </w:r>
          </w:p>
        </w:tc>
        <w:tc>
          <w:tcPr>
            <w:tcW w:w="960" w:type="dxa"/>
            <w:tcBorders>
              <w:top w:val="single" w:sz="4" w:space="0" w:color="ADD6EA"/>
              <w:left w:val="nil"/>
              <w:bottom w:val="nil"/>
              <w:right w:val="nil"/>
            </w:tcBorders>
            <w:shd w:val="clear" w:color="auto" w:fill="FFFFFF" w:themeFill="background1"/>
            <w:vAlign w:val="bottom"/>
            <w:hideMark/>
          </w:tcPr>
          <w:p w14:paraId="533BC30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0.98477</w:t>
            </w:r>
          </w:p>
        </w:tc>
        <w:tc>
          <w:tcPr>
            <w:tcW w:w="960" w:type="dxa"/>
            <w:tcBorders>
              <w:top w:val="single" w:sz="4" w:space="0" w:color="ADD6EA"/>
              <w:left w:val="nil"/>
              <w:bottom w:val="nil"/>
              <w:right w:val="nil"/>
            </w:tcBorders>
            <w:shd w:val="clear" w:color="auto" w:fill="FFFFFF" w:themeFill="background1"/>
            <w:vAlign w:val="bottom"/>
            <w:hideMark/>
          </w:tcPr>
          <w:p w14:paraId="36B5983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0.55105</w:t>
            </w:r>
          </w:p>
        </w:tc>
        <w:tc>
          <w:tcPr>
            <w:tcW w:w="960" w:type="dxa"/>
            <w:tcBorders>
              <w:top w:val="single" w:sz="4" w:space="0" w:color="ADD6EA"/>
              <w:left w:val="nil"/>
              <w:bottom w:val="nil"/>
              <w:right w:val="nil"/>
            </w:tcBorders>
            <w:shd w:val="clear" w:color="auto" w:fill="FFFFFF" w:themeFill="background1"/>
            <w:vAlign w:val="bottom"/>
            <w:hideMark/>
          </w:tcPr>
          <w:p w14:paraId="6F9D6A6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1.28472</w:t>
            </w:r>
          </w:p>
        </w:tc>
        <w:tc>
          <w:tcPr>
            <w:tcW w:w="960" w:type="dxa"/>
            <w:tcBorders>
              <w:top w:val="single" w:sz="4" w:space="0" w:color="ADD6EA"/>
              <w:left w:val="nil"/>
              <w:bottom w:val="nil"/>
              <w:right w:val="nil"/>
            </w:tcBorders>
            <w:shd w:val="clear" w:color="auto" w:fill="FFFFFF" w:themeFill="background1"/>
            <w:vAlign w:val="bottom"/>
            <w:hideMark/>
          </w:tcPr>
          <w:p w14:paraId="05086F0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1.58088</w:t>
            </w:r>
          </w:p>
        </w:tc>
        <w:tc>
          <w:tcPr>
            <w:tcW w:w="960" w:type="dxa"/>
            <w:tcBorders>
              <w:top w:val="single" w:sz="4" w:space="0" w:color="ADD6EA"/>
              <w:left w:val="nil"/>
              <w:bottom w:val="nil"/>
              <w:right w:val="nil"/>
            </w:tcBorders>
            <w:shd w:val="clear" w:color="auto" w:fill="FFFFFF" w:themeFill="background1"/>
            <w:vAlign w:val="bottom"/>
            <w:hideMark/>
          </w:tcPr>
          <w:p w14:paraId="2F991A0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1.19757</w:t>
            </w:r>
          </w:p>
        </w:tc>
        <w:tc>
          <w:tcPr>
            <w:tcW w:w="960" w:type="dxa"/>
            <w:tcBorders>
              <w:top w:val="single" w:sz="4" w:space="0" w:color="ADD6EA"/>
              <w:left w:val="nil"/>
              <w:bottom w:val="nil"/>
              <w:right w:val="nil"/>
            </w:tcBorders>
            <w:shd w:val="clear" w:color="auto" w:fill="FFFFFF" w:themeFill="background1"/>
            <w:vAlign w:val="bottom"/>
            <w:hideMark/>
          </w:tcPr>
          <w:p w14:paraId="1F87F28F"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5.52818</w:t>
            </w:r>
          </w:p>
        </w:tc>
      </w:tr>
      <w:tr w:rsidR="001935E6" w:rsidRPr="001935E6" w14:paraId="61D5DE03"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34742A69"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2013-14</w:t>
            </w:r>
          </w:p>
        </w:tc>
        <w:tc>
          <w:tcPr>
            <w:tcW w:w="960" w:type="dxa"/>
            <w:tcBorders>
              <w:top w:val="single" w:sz="4" w:space="0" w:color="ADD6EA"/>
              <w:left w:val="nil"/>
              <w:bottom w:val="nil"/>
              <w:right w:val="nil"/>
            </w:tcBorders>
            <w:shd w:val="clear" w:color="auto" w:fill="FFFFFF" w:themeFill="background1"/>
            <w:vAlign w:val="bottom"/>
            <w:hideMark/>
          </w:tcPr>
          <w:p w14:paraId="678BC1F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0.96576</w:t>
            </w:r>
          </w:p>
        </w:tc>
        <w:tc>
          <w:tcPr>
            <w:tcW w:w="960" w:type="dxa"/>
            <w:tcBorders>
              <w:top w:val="single" w:sz="4" w:space="0" w:color="ADD6EA"/>
              <w:left w:val="nil"/>
              <w:bottom w:val="nil"/>
              <w:right w:val="nil"/>
            </w:tcBorders>
            <w:shd w:val="clear" w:color="auto" w:fill="FFFFFF" w:themeFill="background1"/>
            <w:vAlign w:val="bottom"/>
            <w:hideMark/>
          </w:tcPr>
          <w:p w14:paraId="779C963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0.90398</w:t>
            </w:r>
          </w:p>
        </w:tc>
        <w:tc>
          <w:tcPr>
            <w:tcW w:w="960" w:type="dxa"/>
            <w:tcBorders>
              <w:top w:val="single" w:sz="4" w:space="0" w:color="ADD6EA"/>
              <w:left w:val="nil"/>
              <w:bottom w:val="nil"/>
              <w:right w:val="nil"/>
            </w:tcBorders>
            <w:shd w:val="clear" w:color="auto" w:fill="FFFFFF" w:themeFill="background1"/>
            <w:vAlign w:val="bottom"/>
            <w:hideMark/>
          </w:tcPr>
          <w:p w14:paraId="4D3C91E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1.05624</w:t>
            </w:r>
          </w:p>
        </w:tc>
        <w:tc>
          <w:tcPr>
            <w:tcW w:w="960" w:type="dxa"/>
            <w:tcBorders>
              <w:top w:val="single" w:sz="4" w:space="0" w:color="ADD6EA"/>
              <w:left w:val="nil"/>
              <w:bottom w:val="nil"/>
              <w:right w:val="nil"/>
            </w:tcBorders>
            <w:shd w:val="clear" w:color="auto" w:fill="FFFFFF" w:themeFill="background1"/>
            <w:vAlign w:val="bottom"/>
            <w:hideMark/>
          </w:tcPr>
          <w:p w14:paraId="27B537F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0.44581</w:t>
            </w:r>
          </w:p>
        </w:tc>
        <w:tc>
          <w:tcPr>
            <w:tcW w:w="960" w:type="dxa"/>
            <w:tcBorders>
              <w:top w:val="single" w:sz="4" w:space="0" w:color="ADD6EA"/>
              <w:left w:val="nil"/>
              <w:bottom w:val="nil"/>
              <w:right w:val="nil"/>
            </w:tcBorders>
            <w:shd w:val="clear" w:color="auto" w:fill="FFFFFF" w:themeFill="background1"/>
            <w:vAlign w:val="bottom"/>
            <w:hideMark/>
          </w:tcPr>
          <w:p w14:paraId="6E3190D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1.26167</w:t>
            </w:r>
          </w:p>
        </w:tc>
        <w:tc>
          <w:tcPr>
            <w:tcW w:w="960" w:type="dxa"/>
            <w:tcBorders>
              <w:top w:val="single" w:sz="4" w:space="0" w:color="ADD6EA"/>
              <w:left w:val="nil"/>
              <w:bottom w:val="nil"/>
              <w:right w:val="nil"/>
            </w:tcBorders>
            <w:shd w:val="clear" w:color="auto" w:fill="FFFFFF" w:themeFill="background1"/>
            <w:vAlign w:val="bottom"/>
            <w:hideMark/>
          </w:tcPr>
          <w:p w14:paraId="7E8D8CB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1.61454</w:t>
            </w:r>
          </w:p>
        </w:tc>
        <w:tc>
          <w:tcPr>
            <w:tcW w:w="960" w:type="dxa"/>
            <w:tcBorders>
              <w:top w:val="single" w:sz="4" w:space="0" w:color="ADD6EA"/>
              <w:left w:val="nil"/>
              <w:bottom w:val="nil"/>
              <w:right w:val="nil"/>
            </w:tcBorders>
            <w:shd w:val="clear" w:color="auto" w:fill="FFFFFF" w:themeFill="background1"/>
            <w:vAlign w:val="bottom"/>
            <w:hideMark/>
          </w:tcPr>
          <w:p w14:paraId="175B82B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1.22083</w:t>
            </w:r>
          </w:p>
        </w:tc>
        <w:tc>
          <w:tcPr>
            <w:tcW w:w="960" w:type="dxa"/>
            <w:tcBorders>
              <w:top w:val="single" w:sz="4" w:space="0" w:color="ADD6EA"/>
              <w:left w:val="nil"/>
              <w:bottom w:val="nil"/>
              <w:right w:val="nil"/>
            </w:tcBorders>
            <w:shd w:val="clear" w:color="auto" w:fill="FFFFFF" w:themeFill="background1"/>
            <w:vAlign w:val="bottom"/>
            <w:hideMark/>
          </w:tcPr>
          <w:p w14:paraId="2CB2C900"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5.31414</w:t>
            </w:r>
          </w:p>
        </w:tc>
      </w:tr>
      <w:tr w:rsidR="001935E6" w:rsidRPr="001935E6" w14:paraId="57ED9ED2"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64B31133"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2014-15</w:t>
            </w:r>
          </w:p>
        </w:tc>
        <w:tc>
          <w:tcPr>
            <w:tcW w:w="960" w:type="dxa"/>
            <w:tcBorders>
              <w:top w:val="single" w:sz="4" w:space="0" w:color="ADD6EA"/>
              <w:left w:val="nil"/>
              <w:bottom w:val="nil"/>
              <w:right w:val="nil"/>
            </w:tcBorders>
            <w:shd w:val="clear" w:color="auto" w:fill="FFFFFF" w:themeFill="background1"/>
            <w:vAlign w:val="bottom"/>
            <w:hideMark/>
          </w:tcPr>
          <w:p w14:paraId="44A7B1E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0.97500</w:t>
            </w:r>
          </w:p>
        </w:tc>
        <w:tc>
          <w:tcPr>
            <w:tcW w:w="960" w:type="dxa"/>
            <w:tcBorders>
              <w:top w:val="single" w:sz="4" w:space="0" w:color="ADD6EA"/>
              <w:left w:val="nil"/>
              <w:bottom w:val="nil"/>
              <w:right w:val="nil"/>
            </w:tcBorders>
            <w:shd w:val="clear" w:color="auto" w:fill="FFFFFF" w:themeFill="background1"/>
            <w:vAlign w:val="bottom"/>
            <w:hideMark/>
          </w:tcPr>
          <w:p w14:paraId="70601B9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0.88282</w:t>
            </w:r>
          </w:p>
        </w:tc>
        <w:tc>
          <w:tcPr>
            <w:tcW w:w="960" w:type="dxa"/>
            <w:tcBorders>
              <w:top w:val="single" w:sz="4" w:space="0" w:color="ADD6EA"/>
              <w:left w:val="nil"/>
              <w:bottom w:val="nil"/>
              <w:right w:val="nil"/>
            </w:tcBorders>
            <w:shd w:val="clear" w:color="auto" w:fill="FFFFFF" w:themeFill="background1"/>
            <w:vAlign w:val="bottom"/>
            <w:hideMark/>
          </w:tcPr>
          <w:p w14:paraId="320E7C2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1.07876</w:t>
            </w:r>
          </w:p>
        </w:tc>
        <w:tc>
          <w:tcPr>
            <w:tcW w:w="960" w:type="dxa"/>
            <w:tcBorders>
              <w:top w:val="single" w:sz="4" w:space="0" w:color="ADD6EA"/>
              <w:left w:val="nil"/>
              <w:bottom w:val="nil"/>
              <w:right w:val="nil"/>
            </w:tcBorders>
            <w:shd w:val="clear" w:color="auto" w:fill="FFFFFF" w:themeFill="background1"/>
            <w:vAlign w:val="bottom"/>
            <w:hideMark/>
          </w:tcPr>
          <w:p w14:paraId="70BE461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0.37627</w:t>
            </w:r>
          </w:p>
        </w:tc>
        <w:tc>
          <w:tcPr>
            <w:tcW w:w="960" w:type="dxa"/>
            <w:tcBorders>
              <w:top w:val="single" w:sz="4" w:space="0" w:color="ADD6EA"/>
              <w:left w:val="nil"/>
              <w:bottom w:val="nil"/>
              <w:right w:val="nil"/>
            </w:tcBorders>
            <w:shd w:val="clear" w:color="auto" w:fill="FFFFFF" w:themeFill="background1"/>
            <w:vAlign w:val="bottom"/>
            <w:hideMark/>
          </w:tcPr>
          <w:p w14:paraId="4E93398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1.28803</w:t>
            </w:r>
          </w:p>
        </w:tc>
        <w:tc>
          <w:tcPr>
            <w:tcW w:w="960" w:type="dxa"/>
            <w:tcBorders>
              <w:top w:val="single" w:sz="4" w:space="0" w:color="ADD6EA"/>
              <w:left w:val="nil"/>
              <w:bottom w:val="nil"/>
              <w:right w:val="nil"/>
            </w:tcBorders>
            <w:shd w:val="clear" w:color="auto" w:fill="FFFFFF" w:themeFill="background1"/>
            <w:vAlign w:val="bottom"/>
            <w:hideMark/>
          </w:tcPr>
          <w:p w14:paraId="0113600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1.63485</w:t>
            </w:r>
          </w:p>
        </w:tc>
        <w:tc>
          <w:tcPr>
            <w:tcW w:w="960" w:type="dxa"/>
            <w:tcBorders>
              <w:top w:val="single" w:sz="4" w:space="0" w:color="ADD6EA"/>
              <w:left w:val="nil"/>
              <w:bottom w:val="nil"/>
              <w:right w:val="nil"/>
            </w:tcBorders>
            <w:shd w:val="clear" w:color="auto" w:fill="FFFFFF" w:themeFill="background1"/>
            <w:vAlign w:val="bottom"/>
            <w:hideMark/>
          </w:tcPr>
          <w:p w14:paraId="5F58319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1.23600</w:t>
            </w:r>
          </w:p>
        </w:tc>
        <w:tc>
          <w:tcPr>
            <w:tcW w:w="960" w:type="dxa"/>
            <w:tcBorders>
              <w:top w:val="single" w:sz="4" w:space="0" w:color="ADD6EA"/>
              <w:left w:val="nil"/>
              <w:bottom w:val="nil"/>
              <w:right w:val="nil"/>
            </w:tcBorders>
            <w:shd w:val="clear" w:color="auto" w:fill="FFFFFF" w:themeFill="background1"/>
            <w:vAlign w:val="bottom"/>
            <w:hideMark/>
          </w:tcPr>
          <w:p w14:paraId="5573D63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5.66061</w:t>
            </w:r>
          </w:p>
        </w:tc>
      </w:tr>
      <w:tr w:rsidR="001935E6" w:rsidRPr="001935E6" w14:paraId="2EF08BF1"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51F2C9E3"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2015-16</w:t>
            </w:r>
          </w:p>
        </w:tc>
        <w:tc>
          <w:tcPr>
            <w:tcW w:w="960" w:type="dxa"/>
            <w:tcBorders>
              <w:top w:val="single" w:sz="4" w:space="0" w:color="ADD6EA"/>
              <w:left w:val="nil"/>
              <w:bottom w:val="nil"/>
              <w:right w:val="nil"/>
            </w:tcBorders>
            <w:shd w:val="clear" w:color="auto" w:fill="FFFFFF" w:themeFill="background1"/>
            <w:vAlign w:val="bottom"/>
            <w:hideMark/>
          </w:tcPr>
          <w:p w14:paraId="6A37DD0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0.94737</w:t>
            </w:r>
          </w:p>
        </w:tc>
        <w:tc>
          <w:tcPr>
            <w:tcW w:w="960" w:type="dxa"/>
            <w:tcBorders>
              <w:top w:val="single" w:sz="4" w:space="0" w:color="ADD6EA"/>
              <w:left w:val="nil"/>
              <w:bottom w:val="nil"/>
              <w:right w:val="nil"/>
            </w:tcBorders>
            <w:shd w:val="clear" w:color="auto" w:fill="FFFFFF" w:themeFill="background1"/>
            <w:vAlign w:val="bottom"/>
            <w:hideMark/>
          </w:tcPr>
          <w:p w14:paraId="7C2683D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0.89254</w:t>
            </w:r>
          </w:p>
        </w:tc>
        <w:tc>
          <w:tcPr>
            <w:tcW w:w="960" w:type="dxa"/>
            <w:tcBorders>
              <w:top w:val="single" w:sz="4" w:space="0" w:color="ADD6EA"/>
              <w:left w:val="nil"/>
              <w:bottom w:val="nil"/>
              <w:right w:val="nil"/>
            </w:tcBorders>
            <w:shd w:val="clear" w:color="auto" w:fill="FFFFFF" w:themeFill="background1"/>
            <w:vAlign w:val="bottom"/>
            <w:hideMark/>
          </w:tcPr>
          <w:p w14:paraId="6C9DDC4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1.12753</w:t>
            </w:r>
          </w:p>
        </w:tc>
        <w:tc>
          <w:tcPr>
            <w:tcW w:w="960" w:type="dxa"/>
            <w:tcBorders>
              <w:top w:val="single" w:sz="4" w:space="0" w:color="ADD6EA"/>
              <w:left w:val="nil"/>
              <w:bottom w:val="nil"/>
              <w:right w:val="nil"/>
            </w:tcBorders>
            <w:shd w:val="clear" w:color="auto" w:fill="FFFFFF" w:themeFill="background1"/>
            <w:vAlign w:val="bottom"/>
            <w:hideMark/>
          </w:tcPr>
          <w:p w14:paraId="7F194B2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0.29999</w:t>
            </w:r>
          </w:p>
        </w:tc>
        <w:tc>
          <w:tcPr>
            <w:tcW w:w="960" w:type="dxa"/>
            <w:tcBorders>
              <w:top w:val="single" w:sz="4" w:space="0" w:color="ADD6EA"/>
              <w:left w:val="nil"/>
              <w:bottom w:val="nil"/>
              <w:right w:val="nil"/>
            </w:tcBorders>
            <w:shd w:val="clear" w:color="auto" w:fill="FFFFFF" w:themeFill="background1"/>
            <w:vAlign w:val="bottom"/>
            <w:hideMark/>
          </w:tcPr>
          <w:p w14:paraId="0865785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1.35883</w:t>
            </w:r>
          </w:p>
        </w:tc>
        <w:tc>
          <w:tcPr>
            <w:tcW w:w="960" w:type="dxa"/>
            <w:tcBorders>
              <w:top w:val="single" w:sz="4" w:space="0" w:color="ADD6EA"/>
              <w:left w:val="nil"/>
              <w:bottom w:val="nil"/>
              <w:right w:val="nil"/>
            </w:tcBorders>
            <w:shd w:val="clear" w:color="auto" w:fill="FFFFFF" w:themeFill="background1"/>
            <w:vAlign w:val="bottom"/>
            <w:hideMark/>
          </w:tcPr>
          <w:p w14:paraId="37C601E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1.81906</w:t>
            </w:r>
          </w:p>
        </w:tc>
        <w:tc>
          <w:tcPr>
            <w:tcW w:w="960" w:type="dxa"/>
            <w:tcBorders>
              <w:top w:val="single" w:sz="4" w:space="0" w:color="ADD6EA"/>
              <w:left w:val="nil"/>
              <w:bottom w:val="nil"/>
              <w:right w:val="nil"/>
            </w:tcBorders>
            <w:shd w:val="clear" w:color="auto" w:fill="FFFFFF" w:themeFill="background1"/>
            <w:vAlign w:val="bottom"/>
            <w:hideMark/>
          </w:tcPr>
          <w:p w14:paraId="424427D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1.10012</w:t>
            </w:r>
          </w:p>
        </w:tc>
        <w:tc>
          <w:tcPr>
            <w:tcW w:w="960" w:type="dxa"/>
            <w:tcBorders>
              <w:top w:val="single" w:sz="4" w:space="0" w:color="ADD6EA"/>
              <w:left w:val="nil"/>
              <w:bottom w:val="nil"/>
              <w:right w:val="nil"/>
            </w:tcBorders>
            <w:shd w:val="clear" w:color="auto" w:fill="FFFFFF" w:themeFill="background1"/>
            <w:vAlign w:val="bottom"/>
            <w:hideMark/>
          </w:tcPr>
          <w:p w14:paraId="4BB9B8B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5.57053</w:t>
            </w:r>
          </w:p>
        </w:tc>
      </w:tr>
      <w:tr w:rsidR="001935E6" w:rsidRPr="001935E6" w14:paraId="2F093875"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5D356441"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2016-17</w:t>
            </w:r>
          </w:p>
        </w:tc>
        <w:tc>
          <w:tcPr>
            <w:tcW w:w="960" w:type="dxa"/>
            <w:tcBorders>
              <w:top w:val="single" w:sz="4" w:space="0" w:color="ADD6EA"/>
              <w:left w:val="nil"/>
              <w:bottom w:val="nil"/>
              <w:right w:val="nil"/>
            </w:tcBorders>
            <w:shd w:val="clear" w:color="auto" w:fill="FFFFFF" w:themeFill="background1"/>
            <w:vAlign w:val="bottom"/>
            <w:hideMark/>
          </w:tcPr>
          <w:p w14:paraId="64540B4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0.90464</w:t>
            </w:r>
          </w:p>
        </w:tc>
        <w:tc>
          <w:tcPr>
            <w:tcW w:w="960" w:type="dxa"/>
            <w:tcBorders>
              <w:top w:val="single" w:sz="4" w:space="0" w:color="ADD6EA"/>
              <w:left w:val="nil"/>
              <w:bottom w:val="nil"/>
              <w:right w:val="nil"/>
            </w:tcBorders>
            <w:shd w:val="clear" w:color="auto" w:fill="FFFFFF" w:themeFill="background1"/>
            <w:vAlign w:val="bottom"/>
            <w:hideMark/>
          </w:tcPr>
          <w:p w14:paraId="07423BD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0.90967</w:t>
            </w:r>
          </w:p>
        </w:tc>
        <w:tc>
          <w:tcPr>
            <w:tcW w:w="960" w:type="dxa"/>
            <w:tcBorders>
              <w:top w:val="single" w:sz="4" w:space="0" w:color="ADD6EA"/>
              <w:left w:val="nil"/>
              <w:bottom w:val="nil"/>
              <w:right w:val="nil"/>
            </w:tcBorders>
            <w:shd w:val="clear" w:color="auto" w:fill="FFFFFF" w:themeFill="background1"/>
            <w:vAlign w:val="bottom"/>
            <w:hideMark/>
          </w:tcPr>
          <w:p w14:paraId="12FEDA7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1.17109</w:t>
            </w:r>
          </w:p>
        </w:tc>
        <w:tc>
          <w:tcPr>
            <w:tcW w:w="960" w:type="dxa"/>
            <w:tcBorders>
              <w:top w:val="single" w:sz="4" w:space="0" w:color="ADD6EA"/>
              <w:left w:val="nil"/>
              <w:bottom w:val="nil"/>
              <w:right w:val="nil"/>
            </w:tcBorders>
            <w:shd w:val="clear" w:color="auto" w:fill="FFFFFF" w:themeFill="background1"/>
            <w:vAlign w:val="bottom"/>
            <w:hideMark/>
          </w:tcPr>
          <w:p w14:paraId="56109B0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0.30330</w:t>
            </w:r>
          </w:p>
        </w:tc>
        <w:tc>
          <w:tcPr>
            <w:tcW w:w="960" w:type="dxa"/>
            <w:tcBorders>
              <w:top w:val="single" w:sz="4" w:space="0" w:color="ADD6EA"/>
              <w:left w:val="nil"/>
              <w:bottom w:val="nil"/>
              <w:right w:val="nil"/>
            </w:tcBorders>
            <w:shd w:val="clear" w:color="auto" w:fill="FFFFFF" w:themeFill="background1"/>
            <w:vAlign w:val="bottom"/>
            <w:hideMark/>
          </w:tcPr>
          <w:p w14:paraId="5618C03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1.41695</w:t>
            </w:r>
          </w:p>
        </w:tc>
        <w:tc>
          <w:tcPr>
            <w:tcW w:w="960" w:type="dxa"/>
            <w:tcBorders>
              <w:top w:val="single" w:sz="4" w:space="0" w:color="ADD6EA"/>
              <w:left w:val="nil"/>
              <w:bottom w:val="nil"/>
              <w:right w:val="nil"/>
            </w:tcBorders>
            <w:shd w:val="clear" w:color="auto" w:fill="FFFFFF" w:themeFill="background1"/>
            <w:vAlign w:val="bottom"/>
            <w:hideMark/>
          </w:tcPr>
          <w:p w14:paraId="0E9332A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1.77693</w:t>
            </w:r>
          </w:p>
        </w:tc>
        <w:tc>
          <w:tcPr>
            <w:tcW w:w="960" w:type="dxa"/>
            <w:tcBorders>
              <w:top w:val="single" w:sz="4" w:space="0" w:color="ADD6EA"/>
              <w:left w:val="nil"/>
              <w:bottom w:val="nil"/>
              <w:right w:val="nil"/>
            </w:tcBorders>
            <w:shd w:val="clear" w:color="auto" w:fill="FFFFFF" w:themeFill="background1"/>
            <w:vAlign w:val="bottom"/>
            <w:hideMark/>
          </w:tcPr>
          <w:p w14:paraId="400A483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1.15648</w:t>
            </w:r>
          </w:p>
        </w:tc>
        <w:tc>
          <w:tcPr>
            <w:tcW w:w="960" w:type="dxa"/>
            <w:tcBorders>
              <w:top w:val="single" w:sz="4" w:space="0" w:color="ADD6EA"/>
              <w:left w:val="nil"/>
              <w:bottom w:val="nil"/>
              <w:right w:val="nil"/>
            </w:tcBorders>
            <w:shd w:val="clear" w:color="auto" w:fill="FFFFFF" w:themeFill="background1"/>
            <w:vAlign w:val="bottom"/>
            <w:hideMark/>
          </w:tcPr>
          <w:p w14:paraId="65815E3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5.28450</w:t>
            </w:r>
          </w:p>
        </w:tc>
      </w:tr>
      <w:tr w:rsidR="001935E6" w:rsidRPr="001935E6" w14:paraId="7D65B9AA"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0FC7A25F"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2017-18</w:t>
            </w:r>
          </w:p>
        </w:tc>
        <w:tc>
          <w:tcPr>
            <w:tcW w:w="960" w:type="dxa"/>
            <w:tcBorders>
              <w:top w:val="single" w:sz="4" w:space="0" w:color="ADD6EA"/>
              <w:left w:val="nil"/>
              <w:bottom w:val="nil"/>
              <w:right w:val="nil"/>
            </w:tcBorders>
            <w:shd w:val="clear" w:color="auto" w:fill="FFFFFF" w:themeFill="background1"/>
            <w:vAlign w:val="bottom"/>
            <w:hideMark/>
          </w:tcPr>
          <w:p w14:paraId="78ACBD0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0.87672</w:t>
            </w:r>
          </w:p>
        </w:tc>
        <w:tc>
          <w:tcPr>
            <w:tcW w:w="960" w:type="dxa"/>
            <w:tcBorders>
              <w:top w:val="single" w:sz="4" w:space="0" w:color="ADD6EA"/>
              <w:left w:val="nil"/>
              <w:bottom w:val="nil"/>
              <w:right w:val="nil"/>
            </w:tcBorders>
            <w:shd w:val="clear" w:color="auto" w:fill="FFFFFF" w:themeFill="background1"/>
            <w:vAlign w:val="bottom"/>
            <w:hideMark/>
          </w:tcPr>
          <w:p w14:paraId="15DC76F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0.93239</w:t>
            </w:r>
          </w:p>
        </w:tc>
        <w:tc>
          <w:tcPr>
            <w:tcW w:w="960" w:type="dxa"/>
            <w:tcBorders>
              <w:top w:val="single" w:sz="4" w:space="0" w:color="ADD6EA"/>
              <w:left w:val="nil"/>
              <w:bottom w:val="nil"/>
              <w:right w:val="nil"/>
            </w:tcBorders>
            <w:shd w:val="clear" w:color="auto" w:fill="FFFFFF" w:themeFill="background1"/>
            <w:vAlign w:val="bottom"/>
            <w:hideMark/>
          </w:tcPr>
          <w:p w14:paraId="45CC5E8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1.18769</w:t>
            </w:r>
          </w:p>
        </w:tc>
        <w:tc>
          <w:tcPr>
            <w:tcW w:w="960" w:type="dxa"/>
            <w:tcBorders>
              <w:top w:val="single" w:sz="4" w:space="0" w:color="ADD6EA"/>
              <w:left w:val="nil"/>
              <w:bottom w:val="nil"/>
              <w:right w:val="nil"/>
            </w:tcBorders>
            <w:shd w:val="clear" w:color="auto" w:fill="FFFFFF" w:themeFill="background1"/>
            <w:vAlign w:val="bottom"/>
            <w:hideMark/>
          </w:tcPr>
          <w:p w14:paraId="4C52825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0.34434</w:t>
            </w:r>
          </w:p>
        </w:tc>
        <w:tc>
          <w:tcPr>
            <w:tcW w:w="960" w:type="dxa"/>
            <w:tcBorders>
              <w:top w:val="single" w:sz="4" w:space="0" w:color="ADD6EA"/>
              <w:left w:val="nil"/>
              <w:bottom w:val="nil"/>
              <w:right w:val="nil"/>
            </w:tcBorders>
            <w:shd w:val="clear" w:color="auto" w:fill="FFFFFF" w:themeFill="background1"/>
            <w:vAlign w:val="bottom"/>
            <w:hideMark/>
          </w:tcPr>
          <w:p w14:paraId="145EE04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1.43997</w:t>
            </w:r>
          </w:p>
        </w:tc>
        <w:tc>
          <w:tcPr>
            <w:tcW w:w="960" w:type="dxa"/>
            <w:tcBorders>
              <w:top w:val="single" w:sz="4" w:space="0" w:color="ADD6EA"/>
              <w:left w:val="nil"/>
              <w:bottom w:val="nil"/>
              <w:right w:val="nil"/>
            </w:tcBorders>
            <w:shd w:val="clear" w:color="auto" w:fill="FFFFFF" w:themeFill="background1"/>
            <w:vAlign w:val="bottom"/>
            <w:hideMark/>
          </w:tcPr>
          <w:p w14:paraId="16CFD99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1.80477</w:t>
            </w:r>
          </w:p>
        </w:tc>
        <w:tc>
          <w:tcPr>
            <w:tcW w:w="960" w:type="dxa"/>
            <w:tcBorders>
              <w:top w:val="single" w:sz="4" w:space="0" w:color="ADD6EA"/>
              <w:left w:val="nil"/>
              <w:bottom w:val="nil"/>
              <w:right w:val="nil"/>
            </w:tcBorders>
            <w:shd w:val="clear" w:color="auto" w:fill="FFFFFF" w:themeFill="background1"/>
            <w:vAlign w:val="bottom"/>
            <w:hideMark/>
          </w:tcPr>
          <w:p w14:paraId="3EDC4E9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1.19496</w:t>
            </w:r>
          </w:p>
        </w:tc>
        <w:tc>
          <w:tcPr>
            <w:tcW w:w="960" w:type="dxa"/>
            <w:tcBorders>
              <w:top w:val="single" w:sz="4" w:space="0" w:color="ADD6EA"/>
              <w:left w:val="nil"/>
              <w:bottom w:val="nil"/>
              <w:right w:val="nil"/>
            </w:tcBorders>
            <w:shd w:val="clear" w:color="auto" w:fill="FFFFFF" w:themeFill="background1"/>
            <w:vAlign w:val="bottom"/>
            <w:hideMark/>
          </w:tcPr>
          <w:p w14:paraId="24C0395F"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4.66024</w:t>
            </w:r>
          </w:p>
        </w:tc>
      </w:tr>
      <w:tr w:rsidR="001935E6" w:rsidRPr="001935E6" w14:paraId="0C3DF5E7"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4290ABE3"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2018-19</w:t>
            </w:r>
          </w:p>
        </w:tc>
        <w:tc>
          <w:tcPr>
            <w:tcW w:w="960" w:type="dxa"/>
            <w:tcBorders>
              <w:top w:val="single" w:sz="4" w:space="0" w:color="ADD6EA"/>
              <w:left w:val="nil"/>
              <w:bottom w:val="nil"/>
              <w:right w:val="nil"/>
            </w:tcBorders>
            <w:shd w:val="clear" w:color="auto" w:fill="FFFFFF" w:themeFill="background1"/>
            <w:vAlign w:val="bottom"/>
            <w:hideMark/>
          </w:tcPr>
          <w:p w14:paraId="431F0A7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0.85517</w:t>
            </w:r>
          </w:p>
        </w:tc>
        <w:tc>
          <w:tcPr>
            <w:tcW w:w="960" w:type="dxa"/>
            <w:tcBorders>
              <w:top w:val="single" w:sz="4" w:space="0" w:color="ADD6EA"/>
              <w:left w:val="nil"/>
              <w:bottom w:val="nil"/>
              <w:right w:val="nil"/>
            </w:tcBorders>
            <w:shd w:val="clear" w:color="auto" w:fill="FFFFFF" w:themeFill="background1"/>
            <w:vAlign w:val="bottom"/>
            <w:hideMark/>
          </w:tcPr>
          <w:p w14:paraId="18E25440"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0.98670</w:t>
            </w:r>
          </w:p>
        </w:tc>
        <w:tc>
          <w:tcPr>
            <w:tcW w:w="960" w:type="dxa"/>
            <w:tcBorders>
              <w:top w:val="single" w:sz="4" w:space="0" w:color="ADD6EA"/>
              <w:left w:val="nil"/>
              <w:bottom w:val="nil"/>
              <w:right w:val="nil"/>
            </w:tcBorders>
            <w:shd w:val="clear" w:color="auto" w:fill="FFFFFF" w:themeFill="background1"/>
            <w:vAlign w:val="bottom"/>
            <w:hideMark/>
          </w:tcPr>
          <w:p w14:paraId="3DC6D1E0"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1.09584</w:t>
            </w:r>
          </w:p>
        </w:tc>
        <w:tc>
          <w:tcPr>
            <w:tcW w:w="960" w:type="dxa"/>
            <w:tcBorders>
              <w:top w:val="single" w:sz="4" w:space="0" w:color="ADD6EA"/>
              <w:left w:val="nil"/>
              <w:bottom w:val="nil"/>
              <w:right w:val="nil"/>
            </w:tcBorders>
            <w:shd w:val="clear" w:color="auto" w:fill="FFFFFF" w:themeFill="background1"/>
            <w:vAlign w:val="bottom"/>
            <w:hideMark/>
          </w:tcPr>
          <w:p w14:paraId="0F6E41D0"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0.47287</w:t>
            </w:r>
          </w:p>
        </w:tc>
        <w:tc>
          <w:tcPr>
            <w:tcW w:w="960" w:type="dxa"/>
            <w:tcBorders>
              <w:top w:val="single" w:sz="4" w:space="0" w:color="ADD6EA"/>
              <w:left w:val="nil"/>
              <w:bottom w:val="nil"/>
              <w:right w:val="nil"/>
            </w:tcBorders>
            <w:shd w:val="clear" w:color="auto" w:fill="FFFFFF" w:themeFill="background1"/>
            <w:vAlign w:val="bottom"/>
            <w:hideMark/>
          </w:tcPr>
          <w:p w14:paraId="13DF8E5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1.47727</w:t>
            </w:r>
          </w:p>
        </w:tc>
        <w:tc>
          <w:tcPr>
            <w:tcW w:w="960" w:type="dxa"/>
            <w:tcBorders>
              <w:top w:val="single" w:sz="4" w:space="0" w:color="ADD6EA"/>
              <w:left w:val="nil"/>
              <w:bottom w:val="nil"/>
              <w:right w:val="nil"/>
            </w:tcBorders>
            <w:shd w:val="clear" w:color="auto" w:fill="FFFFFF" w:themeFill="background1"/>
            <w:vAlign w:val="bottom"/>
            <w:hideMark/>
          </w:tcPr>
          <w:p w14:paraId="0263BDC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1.76706</w:t>
            </w:r>
          </w:p>
        </w:tc>
        <w:tc>
          <w:tcPr>
            <w:tcW w:w="960" w:type="dxa"/>
            <w:tcBorders>
              <w:top w:val="single" w:sz="4" w:space="0" w:color="ADD6EA"/>
              <w:left w:val="nil"/>
              <w:bottom w:val="nil"/>
              <w:right w:val="nil"/>
            </w:tcBorders>
            <w:shd w:val="clear" w:color="auto" w:fill="FFFFFF" w:themeFill="background1"/>
            <w:vAlign w:val="bottom"/>
            <w:hideMark/>
          </w:tcPr>
          <w:p w14:paraId="4773400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1.18070</w:t>
            </w:r>
          </w:p>
        </w:tc>
        <w:tc>
          <w:tcPr>
            <w:tcW w:w="960" w:type="dxa"/>
            <w:tcBorders>
              <w:top w:val="single" w:sz="4" w:space="0" w:color="ADD6EA"/>
              <w:left w:val="nil"/>
              <w:bottom w:val="nil"/>
              <w:right w:val="nil"/>
            </w:tcBorders>
            <w:shd w:val="clear" w:color="auto" w:fill="FFFFFF" w:themeFill="background1"/>
            <w:vAlign w:val="bottom"/>
            <w:hideMark/>
          </w:tcPr>
          <w:p w14:paraId="2B6CE94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4.25816</w:t>
            </w:r>
          </w:p>
        </w:tc>
      </w:tr>
      <w:tr w:rsidR="001935E6" w:rsidRPr="001935E6" w14:paraId="57118BFC"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400F5FBB"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2019-20</w:t>
            </w:r>
          </w:p>
        </w:tc>
        <w:tc>
          <w:tcPr>
            <w:tcW w:w="960" w:type="dxa"/>
            <w:tcBorders>
              <w:top w:val="single" w:sz="4" w:space="0" w:color="ADD6EA"/>
              <w:left w:val="nil"/>
              <w:bottom w:val="nil"/>
              <w:right w:val="nil"/>
            </w:tcBorders>
            <w:shd w:val="clear" w:color="auto" w:fill="FFFFFF" w:themeFill="background1"/>
            <w:vAlign w:val="bottom"/>
            <w:hideMark/>
          </w:tcPr>
          <w:p w14:paraId="28D8675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0.87013</w:t>
            </w:r>
          </w:p>
        </w:tc>
        <w:tc>
          <w:tcPr>
            <w:tcW w:w="960" w:type="dxa"/>
            <w:tcBorders>
              <w:top w:val="single" w:sz="4" w:space="0" w:color="ADD6EA"/>
              <w:left w:val="nil"/>
              <w:bottom w:val="nil"/>
              <w:right w:val="nil"/>
            </w:tcBorders>
            <w:shd w:val="clear" w:color="auto" w:fill="FFFFFF" w:themeFill="background1"/>
            <w:vAlign w:val="bottom"/>
            <w:hideMark/>
          </w:tcPr>
          <w:p w14:paraId="11016FB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0.98273</w:t>
            </w:r>
          </w:p>
        </w:tc>
        <w:tc>
          <w:tcPr>
            <w:tcW w:w="960" w:type="dxa"/>
            <w:tcBorders>
              <w:top w:val="single" w:sz="4" w:space="0" w:color="ADD6EA"/>
              <w:left w:val="nil"/>
              <w:bottom w:val="nil"/>
              <w:right w:val="nil"/>
            </w:tcBorders>
            <w:shd w:val="clear" w:color="auto" w:fill="FFFFFF" w:themeFill="background1"/>
            <w:vAlign w:val="bottom"/>
            <w:hideMark/>
          </w:tcPr>
          <w:p w14:paraId="7F2783A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1.05370</w:t>
            </w:r>
          </w:p>
        </w:tc>
        <w:tc>
          <w:tcPr>
            <w:tcW w:w="960" w:type="dxa"/>
            <w:tcBorders>
              <w:top w:val="single" w:sz="4" w:space="0" w:color="ADD6EA"/>
              <w:left w:val="nil"/>
              <w:bottom w:val="nil"/>
              <w:right w:val="nil"/>
            </w:tcBorders>
            <w:shd w:val="clear" w:color="auto" w:fill="FFFFFF" w:themeFill="background1"/>
            <w:vAlign w:val="bottom"/>
            <w:hideMark/>
          </w:tcPr>
          <w:p w14:paraId="29F2F5D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0.51842</w:t>
            </w:r>
          </w:p>
        </w:tc>
        <w:tc>
          <w:tcPr>
            <w:tcW w:w="960" w:type="dxa"/>
            <w:tcBorders>
              <w:top w:val="single" w:sz="4" w:space="0" w:color="ADD6EA"/>
              <w:left w:val="nil"/>
              <w:bottom w:val="nil"/>
              <w:right w:val="nil"/>
            </w:tcBorders>
            <w:shd w:val="clear" w:color="auto" w:fill="FFFFFF" w:themeFill="background1"/>
            <w:vAlign w:val="bottom"/>
            <w:hideMark/>
          </w:tcPr>
          <w:p w14:paraId="68CDEDE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1.46552</w:t>
            </w:r>
          </w:p>
        </w:tc>
        <w:tc>
          <w:tcPr>
            <w:tcW w:w="960" w:type="dxa"/>
            <w:tcBorders>
              <w:top w:val="single" w:sz="4" w:space="0" w:color="ADD6EA"/>
              <w:left w:val="nil"/>
              <w:bottom w:val="nil"/>
              <w:right w:val="nil"/>
            </w:tcBorders>
            <w:shd w:val="clear" w:color="auto" w:fill="FFFFFF" w:themeFill="background1"/>
            <w:vAlign w:val="bottom"/>
            <w:hideMark/>
          </w:tcPr>
          <w:p w14:paraId="3F2D9F7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1.75576</w:t>
            </w:r>
          </w:p>
        </w:tc>
        <w:tc>
          <w:tcPr>
            <w:tcW w:w="960" w:type="dxa"/>
            <w:tcBorders>
              <w:top w:val="single" w:sz="4" w:space="0" w:color="ADD6EA"/>
              <w:left w:val="nil"/>
              <w:bottom w:val="nil"/>
              <w:right w:val="nil"/>
            </w:tcBorders>
            <w:shd w:val="clear" w:color="auto" w:fill="FFFFFF" w:themeFill="background1"/>
            <w:vAlign w:val="bottom"/>
            <w:hideMark/>
          </w:tcPr>
          <w:p w14:paraId="544BC0E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1.23759</w:t>
            </w:r>
          </w:p>
        </w:tc>
        <w:tc>
          <w:tcPr>
            <w:tcW w:w="960" w:type="dxa"/>
            <w:tcBorders>
              <w:top w:val="single" w:sz="4" w:space="0" w:color="ADD6EA"/>
              <w:left w:val="nil"/>
              <w:bottom w:val="nil"/>
              <w:right w:val="nil"/>
            </w:tcBorders>
            <w:shd w:val="clear" w:color="auto" w:fill="FFFFFF" w:themeFill="background1"/>
            <w:vAlign w:val="bottom"/>
            <w:hideMark/>
          </w:tcPr>
          <w:p w14:paraId="7933E62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4.26735</w:t>
            </w:r>
          </w:p>
        </w:tc>
      </w:tr>
      <w:tr w:rsidR="001935E6" w:rsidRPr="001935E6" w14:paraId="4AEC8A1A"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57341B56"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2020-21</w:t>
            </w:r>
          </w:p>
        </w:tc>
        <w:tc>
          <w:tcPr>
            <w:tcW w:w="960" w:type="dxa"/>
            <w:tcBorders>
              <w:top w:val="single" w:sz="4" w:space="0" w:color="ADD6EA"/>
              <w:left w:val="nil"/>
              <w:bottom w:val="nil"/>
              <w:right w:val="nil"/>
            </w:tcBorders>
            <w:shd w:val="clear" w:color="auto" w:fill="FFFFFF" w:themeFill="background1"/>
            <w:vAlign w:val="bottom"/>
            <w:hideMark/>
          </w:tcPr>
          <w:p w14:paraId="0509957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0.91808</w:t>
            </w:r>
          </w:p>
        </w:tc>
        <w:tc>
          <w:tcPr>
            <w:tcW w:w="960" w:type="dxa"/>
            <w:tcBorders>
              <w:top w:val="single" w:sz="4" w:space="0" w:color="ADD6EA"/>
              <w:left w:val="nil"/>
              <w:bottom w:val="nil"/>
              <w:right w:val="nil"/>
            </w:tcBorders>
            <w:shd w:val="clear" w:color="auto" w:fill="FFFFFF" w:themeFill="background1"/>
            <w:vAlign w:val="bottom"/>
            <w:hideMark/>
          </w:tcPr>
          <w:p w14:paraId="5BB7232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0.95992</w:t>
            </w:r>
          </w:p>
        </w:tc>
        <w:tc>
          <w:tcPr>
            <w:tcW w:w="960" w:type="dxa"/>
            <w:tcBorders>
              <w:top w:val="single" w:sz="4" w:space="0" w:color="ADD6EA"/>
              <w:left w:val="nil"/>
              <w:bottom w:val="nil"/>
              <w:right w:val="nil"/>
            </w:tcBorders>
            <w:shd w:val="clear" w:color="auto" w:fill="FFFFFF" w:themeFill="background1"/>
            <w:vAlign w:val="bottom"/>
            <w:hideMark/>
          </w:tcPr>
          <w:p w14:paraId="1BCBBEB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1.04907</w:t>
            </w:r>
          </w:p>
        </w:tc>
        <w:tc>
          <w:tcPr>
            <w:tcW w:w="960" w:type="dxa"/>
            <w:tcBorders>
              <w:top w:val="single" w:sz="4" w:space="0" w:color="ADD6EA"/>
              <w:left w:val="nil"/>
              <w:bottom w:val="nil"/>
              <w:right w:val="nil"/>
            </w:tcBorders>
            <w:shd w:val="clear" w:color="auto" w:fill="FFFFFF" w:themeFill="background1"/>
            <w:vAlign w:val="bottom"/>
            <w:hideMark/>
          </w:tcPr>
          <w:p w14:paraId="725F895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0.44970</w:t>
            </w:r>
          </w:p>
        </w:tc>
        <w:tc>
          <w:tcPr>
            <w:tcW w:w="960" w:type="dxa"/>
            <w:tcBorders>
              <w:top w:val="single" w:sz="4" w:space="0" w:color="ADD6EA"/>
              <w:left w:val="nil"/>
              <w:bottom w:val="nil"/>
              <w:right w:val="nil"/>
            </w:tcBorders>
            <w:shd w:val="clear" w:color="auto" w:fill="FFFFFF" w:themeFill="background1"/>
            <w:vAlign w:val="bottom"/>
            <w:hideMark/>
          </w:tcPr>
          <w:p w14:paraId="562547F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1.35765</w:t>
            </w:r>
          </w:p>
        </w:tc>
        <w:tc>
          <w:tcPr>
            <w:tcW w:w="960" w:type="dxa"/>
            <w:tcBorders>
              <w:top w:val="single" w:sz="4" w:space="0" w:color="ADD6EA"/>
              <w:left w:val="nil"/>
              <w:bottom w:val="nil"/>
              <w:right w:val="nil"/>
            </w:tcBorders>
            <w:shd w:val="clear" w:color="auto" w:fill="FFFFFF" w:themeFill="background1"/>
            <w:vAlign w:val="bottom"/>
            <w:hideMark/>
          </w:tcPr>
          <w:p w14:paraId="6F46BBC0"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1.89742</w:t>
            </w:r>
          </w:p>
        </w:tc>
        <w:tc>
          <w:tcPr>
            <w:tcW w:w="960" w:type="dxa"/>
            <w:tcBorders>
              <w:top w:val="single" w:sz="4" w:space="0" w:color="ADD6EA"/>
              <w:left w:val="nil"/>
              <w:bottom w:val="nil"/>
              <w:right w:val="nil"/>
            </w:tcBorders>
            <w:shd w:val="clear" w:color="auto" w:fill="FFFFFF" w:themeFill="background1"/>
            <w:vAlign w:val="bottom"/>
            <w:hideMark/>
          </w:tcPr>
          <w:p w14:paraId="079D999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1.15112</w:t>
            </w:r>
          </w:p>
        </w:tc>
        <w:tc>
          <w:tcPr>
            <w:tcW w:w="960" w:type="dxa"/>
            <w:tcBorders>
              <w:top w:val="single" w:sz="4" w:space="0" w:color="ADD6EA"/>
              <w:left w:val="nil"/>
              <w:bottom w:val="nil"/>
              <w:right w:val="nil"/>
            </w:tcBorders>
            <w:shd w:val="clear" w:color="auto" w:fill="FFFFFF" w:themeFill="background1"/>
            <w:vAlign w:val="bottom"/>
            <w:hideMark/>
          </w:tcPr>
          <w:p w14:paraId="441A95A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4.76893</w:t>
            </w:r>
          </w:p>
        </w:tc>
      </w:tr>
      <w:tr w:rsidR="001935E6" w:rsidRPr="001935E6" w14:paraId="1027B46F"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6F7ADE23"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2021-22</w:t>
            </w:r>
          </w:p>
        </w:tc>
        <w:tc>
          <w:tcPr>
            <w:tcW w:w="960" w:type="dxa"/>
            <w:tcBorders>
              <w:top w:val="single" w:sz="4" w:space="0" w:color="ADD6EA"/>
              <w:left w:val="nil"/>
              <w:bottom w:val="nil"/>
              <w:right w:val="nil"/>
            </w:tcBorders>
            <w:shd w:val="clear" w:color="auto" w:fill="FFFFFF" w:themeFill="background1"/>
            <w:vAlign w:val="bottom"/>
            <w:hideMark/>
          </w:tcPr>
          <w:p w14:paraId="57A8C49F"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0.95617</w:t>
            </w:r>
          </w:p>
        </w:tc>
        <w:tc>
          <w:tcPr>
            <w:tcW w:w="960" w:type="dxa"/>
            <w:tcBorders>
              <w:top w:val="single" w:sz="4" w:space="0" w:color="ADD6EA"/>
              <w:left w:val="nil"/>
              <w:bottom w:val="nil"/>
              <w:right w:val="nil"/>
            </w:tcBorders>
            <w:shd w:val="clear" w:color="auto" w:fill="FFFFFF" w:themeFill="background1"/>
            <w:vAlign w:val="bottom"/>
            <w:hideMark/>
          </w:tcPr>
          <w:p w14:paraId="008BF4C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0.92335</w:t>
            </w:r>
          </w:p>
        </w:tc>
        <w:tc>
          <w:tcPr>
            <w:tcW w:w="960" w:type="dxa"/>
            <w:tcBorders>
              <w:top w:val="single" w:sz="4" w:space="0" w:color="ADD6EA"/>
              <w:left w:val="nil"/>
              <w:bottom w:val="nil"/>
              <w:right w:val="nil"/>
            </w:tcBorders>
            <w:shd w:val="clear" w:color="auto" w:fill="FFFFFF" w:themeFill="background1"/>
            <w:vAlign w:val="bottom"/>
            <w:hideMark/>
          </w:tcPr>
          <w:p w14:paraId="143A818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1.05918</w:t>
            </w:r>
          </w:p>
        </w:tc>
        <w:tc>
          <w:tcPr>
            <w:tcW w:w="960" w:type="dxa"/>
            <w:tcBorders>
              <w:top w:val="single" w:sz="4" w:space="0" w:color="ADD6EA"/>
              <w:left w:val="nil"/>
              <w:bottom w:val="nil"/>
              <w:right w:val="nil"/>
            </w:tcBorders>
            <w:shd w:val="clear" w:color="auto" w:fill="FFFFFF" w:themeFill="background1"/>
            <w:vAlign w:val="bottom"/>
            <w:hideMark/>
          </w:tcPr>
          <w:p w14:paraId="238744C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0.41967</w:t>
            </w:r>
          </w:p>
        </w:tc>
        <w:tc>
          <w:tcPr>
            <w:tcW w:w="960" w:type="dxa"/>
            <w:tcBorders>
              <w:top w:val="single" w:sz="4" w:space="0" w:color="ADD6EA"/>
              <w:left w:val="nil"/>
              <w:bottom w:val="nil"/>
              <w:right w:val="nil"/>
            </w:tcBorders>
            <w:shd w:val="clear" w:color="auto" w:fill="FFFFFF" w:themeFill="background1"/>
            <w:vAlign w:val="bottom"/>
            <w:hideMark/>
          </w:tcPr>
          <w:p w14:paraId="1767330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1.34719</w:t>
            </w:r>
          </w:p>
        </w:tc>
        <w:tc>
          <w:tcPr>
            <w:tcW w:w="960" w:type="dxa"/>
            <w:tcBorders>
              <w:top w:val="single" w:sz="4" w:space="0" w:color="ADD6EA"/>
              <w:left w:val="nil"/>
              <w:bottom w:val="nil"/>
              <w:right w:val="nil"/>
            </w:tcBorders>
            <w:shd w:val="clear" w:color="auto" w:fill="FFFFFF" w:themeFill="background1"/>
            <w:vAlign w:val="bottom"/>
            <w:hideMark/>
          </w:tcPr>
          <w:p w14:paraId="6D1D0E0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1.96067</w:t>
            </w:r>
          </w:p>
        </w:tc>
        <w:tc>
          <w:tcPr>
            <w:tcW w:w="960" w:type="dxa"/>
            <w:tcBorders>
              <w:top w:val="single" w:sz="4" w:space="0" w:color="ADD6EA"/>
              <w:left w:val="nil"/>
              <w:bottom w:val="nil"/>
              <w:right w:val="nil"/>
            </w:tcBorders>
            <w:shd w:val="clear" w:color="auto" w:fill="FFFFFF" w:themeFill="background1"/>
            <w:vAlign w:val="bottom"/>
            <w:hideMark/>
          </w:tcPr>
          <w:p w14:paraId="0EB04ED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1.16266</w:t>
            </w:r>
          </w:p>
        </w:tc>
        <w:tc>
          <w:tcPr>
            <w:tcW w:w="960" w:type="dxa"/>
            <w:tcBorders>
              <w:top w:val="single" w:sz="4" w:space="0" w:color="ADD6EA"/>
              <w:left w:val="nil"/>
              <w:bottom w:val="nil"/>
              <w:right w:val="nil"/>
            </w:tcBorders>
            <w:shd w:val="clear" w:color="auto" w:fill="FFFFFF" w:themeFill="background1"/>
            <w:vAlign w:val="bottom"/>
            <w:hideMark/>
          </w:tcPr>
          <w:p w14:paraId="1CCD6EF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4.79985</w:t>
            </w:r>
          </w:p>
        </w:tc>
      </w:tr>
      <w:tr w:rsidR="001935E6" w:rsidRPr="001935E6" w14:paraId="5D020B26"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5E41B59A"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2022-23</w:t>
            </w:r>
          </w:p>
        </w:tc>
        <w:tc>
          <w:tcPr>
            <w:tcW w:w="960" w:type="dxa"/>
            <w:tcBorders>
              <w:top w:val="single" w:sz="4" w:space="0" w:color="ADD6EA"/>
              <w:left w:val="nil"/>
              <w:bottom w:val="nil"/>
              <w:right w:val="nil"/>
            </w:tcBorders>
            <w:shd w:val="clear" w:color="auto" w:fill="FFFFFF" w:themeFill="background1"/>
            <w:vAlign w:val="bottom"/>
            <w:hideMark/>
          </w:tcPr>
          <w:p w14:paraId="19E0C66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0.95065</w:t>
            </w:r>
          </w:p>
        </w:tc>
        <w:tc>
          <w:tcPr>
            <w:tcW w:w="960" w:type="dxa"/>
            <w:tcBorders>
              <w:top w:val="single" w:sz="4" w:space="0" w:color="ADD6EA"/>
              <w:left w:val="nil"/>
              <w:bottom w:val="nil"/>
              <w:right w:val="nil"/>
            </w:tcBorders>
            <w:shd w:val="clear" w:color="auto" w:fill="FFFFFF" w:themeFill="background1"/>
            <w:vAlign w:val="bottom"/>
            <w:hideMark/>
          </w:tcPr>
          <w:p w14:paraId="5F279DF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0.85861</w:t>
            </w:r>
          </w:p>
        </w:tc>
        <w:tc>
          <w:tcPr>
            <w:tcW w:w="960" w:type="dxa"/>
            <w:tcBorders>
              <w:top w:val="single" w:sz="4" w:space="0" w:color="ADD6EA"/>
              <w:left w:val="nil"/>
              <w:bottom w:val="nil"/>
              <w:right w:val="nil"/>
            </w:tcBorders>
            <w:shd w:val="clear" w:color="auto" w:fill="FFFFFF" w:themeFill="background1"/>
            <w:vAlign w:val="bottom"/>
            <w:hideMark/>
          </w:tcPr>
          <w:p w14:paraId="0DE3794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1.03377</w:t>
            </w:r>
          </w:p>
        </w:tc>
        <w:tc>
          <w:tcPr>
            <w:tcW w:w="960" w:type="dxa"/>
            <w:tcBorders>
              <w:top w:val="single" w:sz="4" w:space="0" w:color="ADD6EA"/>
              <w:left w:val="nil"/>
              <w:bottom w:val="nil"/>
              <w:right w:val="nil"/>
            </w:tcBorders>
            <w:shd w:val="clear" w:color="auto" w:fill="FFFFFF" w:themeFill="background1"/>
            <w:vAlign w:val="bottom"/>
            <w:hideMark/>
          </w:tcPr>
          <w:p w14:paraId="6AAF5D65"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0.70000</w:t>
            </w:r>
          </w:p>
        </w:tc>
        <w:tc>
          <w:tcPr>
            <w:tcW w:w="960" w:type="dxa"/>
            <w:tcBorders>
              <w:top w:val="single" w:sz="4" w:space="0" w:color="ADD6EA"/>
              <w:left w:val="nil"/>
              <w:bottom w:val="nil"/>
              <w:right w:val="nil"/>
            </w:tcBorders>
            <w:shd w:val="clear" w:color="auto" w:fill="FFFFFF" w:themeFill="background1"/>
            <w:vAlign w:val="bottom"/>
            <w:hideMark/>
          </w:tcPr>
          <w:p w14:paraId="649EE10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1.28411</w:t>
            </w:r>
          </w:p>
        </w:tc>
        <w:tc>
          <w:tcPr>
            <w:tcW w:w="960" w:type="dxa"/>
            <w:tcBorders>
              <w:top w:val="single" w:sz="4" w:space="0" w:color="ADD6EA"/>
              <w:left w:val="nil"/>
              <w:bottom w:val="nil"/>
              <w:right w:val="nil"/>
            </w:tcBorders>
            <w:shd w:val="clear" w:color="auto" w:fill="FFFFFF" w:themeFill="background1"/>
            <w:vAlign w:val="bottom"/>
            <w:hideMark/>
          </w:tcPr>
          <w:p w14:paraId="3E2BB49E"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1.85360</w:t>
            </w:r>
          </w:p>
        </w:tc>
        <w:tc>
          <w:tcPr>
            <w:tcW w:w="960" w:type="dxa"/>
            <w:tcBorders>
              <w:top w:val="single" w:sz="4" w:space="0" w:color="ADD6EA"/>
              <w:left w:val="nil"/>
              <w:bottom w:val="nil"/>
              <w:right w:val="nil"/>
            </w:tcBorders>
            <w:shd w:val="clear" w:color="auto" w:fill="FFFFFF" w:themeFill="background1"/>
            <w:vAlign w:val="bottom"/>
            <w:hideMark/>
          </w:tcPr>
          <w:p w14:paraId="2DBCDA88"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1.09250</w:t>
            </w:r>
          </w:p>
        </w:tc>
        <w:tc>
          <w:tcPr>
            <w:tcW w:w="960" w:type="dxa"/>
            <w:tcBorders>
              <w:top w:val="single" w:sz="4" w:space="0" w:color="ADD6EA"/>
              <w:left w:val="nil"/>
              <w:bottom w:val="nil"/>
              <w:right w:val="nil"/>
            </w:tcBorders>
            <w:shd w:val="clear" w:color="auto" w:fill="FFFFFF" w:themeFill="background1"/>
            <w:vAlign w:val="bottom"/>
            <w:hideMark/>
          </w:tcPr>
          <w:p w14:paraId="411851A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4.86988</w:t>
            </w:r>
          </w:p>
        </w:tc>
      </w:tr>
      <w:tr w:rsidR="001935E6" w:rsidRPr="001935E6" w14:paraId="3DAC35DB"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32729E93"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2023-24</w:t>
            </w:r>
          </w:p>
        </w:tc>
        <w:tc>
          <w:tcPr>
            <w:tcW w:w="960" w:type="dxa"/>
            <w:tcBorders>
              <w:top w:val="single" w:sz="4" w:space="0" w:color="ADD6EA"/>
              <w:left w:val="nil"/>
              <w:bottom w:val="nil"/>
              <w:right w:val="nil"/>
            </w:tcBorders>
            <w:shd w:val="clear" w:color="auto" w:fill="FFFFFF" w:themeFill="background1"/>
            <w:vAlign w:val="bottom"/>
            <w:hideMark/>
          </w:tcPr>
          <w:p w14:paraId="723A4B3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0.92350</w:t>
            </w:r>
          </w:p>
        </w:tc>
        <w:tc>
          <w:tcPr>
            <w:tcW w:w="960" w:type="dxa"/>
            <w:tcBorders>
              <w:top w:val="single" w:sz="4" w:space="0" w:color="ADD6EA"/>
              <w:left w:val="nil"/>
              <w:bottom w:val="nil"/>
              <w:right w:val="nil"/>
            </w:tcBorders>
            <w:shd w:val="clear" w:color="auto" w:fill="FFFFFF" w:themeFill="background1"/>
            <w:vAlign w:val="bottom"/>
            <w:hideMark/>
          </w:tcPr>
          <w:p w14:paraId="4164405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0.85169</w:t>
            </w:r>
          </w:p>
        </w:tc>
        <w:tc>
          <w:tcPr>
            <w:tcW w:w="960" w:type="dxa"/>
            <w:tcBorders>
              <w:top w:val="single" w:sz="4" w:space="0" w:color="ADD6EA"/>
              <w:left w:val="nil"/>
              <w:bottom w:val="nil"/>
              <w:right w:val="nil"/>
            </w:tcBorders>
            <w:shd w:val="clear" w:color="auto" w:fill="FFFFFF" w:themeFill="background1"/>
            <w:vAlign w:val="bottom"/>
            <w:hideMark/>
          </w:tcPr>
          <w:p w14:paraId="3E052ED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1.03118</w:t>
            </w:r>
          </w:p>
        </w:tc>
        <w:tc>
          <w:tcPr>
            <w:tcW w:w="960" w:type="dxa"/>
            <w:tcBorders>
              <w:top w:val="single" w:sz="4" w:space="0" w:color="ADD6EA"/>
              <w:left w:val="nil"/>
              <w:bottom w:val="nil"/>
              <w:right w:val="nil"/>
            </w:tcBorders>
            <w:shd w:val="clear" w:color="auto" w:fill="FFFFFF" w:themeFill="background1"/>
            <w:vAlign w:val="bottom"/>
            <w:hideMark/>
          </w:tcPr>
          <w:p w14:paraId="67E28A6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0.70000</w:t>
            </w:r>
          </w:p>
        </w:tc>
        <w:tc>
          <w:tcPr>
            <w:tcW w:w="960" w:type="dxa"/>
            <w:tcBorders>
              <w:top w:val="single" w:sz="4" w:space="0" w:color="ADD6EA"/>
              <w:left w:val="nil"/>
              <w:bottom w:val="nil"/>
              <w:right w:val="nil"/>
            </w:tcBorders>
            <w:shd w:val="clear" w:color="auto" w:fill="FFFFFF" w:themeFill="background1"/>
            <w:vAlign w:val="bottom"/>
            <w:hideMark/>
          </w:tcPr>
          <w:p w14:paraId="78E56AC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1.39463</w:t>
            </w:r>
          </w:p>
        </w:tc>
        <w:tc>
          <w:tcPr>
            <w:tcW w:w="960" w:type="dxa"/>
            <w:tcBorders>
              <w:top w:val="single" w:sz="4" w:space="0" w:color="ADD6EA"/>
              <w:left w:val="nil"/>
              <w:bottom w:val="nil"/>
              <w:right w:val="nil"/>
            </w:tcBorders>
            <w:shd w:val="clear" w:color="auto" w:fill="FFFFFF" w:themeFill="background1"/>
            <w:vAlign w:val="bottom"/>
            <w:hideMark/>
          </w:tcPr>
          <w:p w14:paraId="143D9BA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1.79080</w:t>
            </w:r>
          </w:p>
        </w:tc>
        <w:tc>
          <w:tcPr>
            <w:tcW w:w="960" w:type="dxa"/>
            <w:tcBorders>
              <w:top w:val="single" w:sz="4" w:space="0" w:color="ADD6EA"/>
              <w:left w:val="nil"/>
              <w:bottom w:val="nil"/>
              <w:right w:val="nil"/>
            </w:tcBorders>
            <w:shd w:val="clear" w:color="auto" w:fill="FFFFFF" w:themeFill="background1"/>
            <w:vAlign w:val="bottom"/>
            <w:hideMark/>
          </w:tcPr>
          <w:p w14:paraId="1A88FCDC"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1.19540</w:t>
            </w:r>
          </w:p>
        </w:tc>
        <w:tc>
          <w:tcPr>
            <w:tcW w:w="960" w:type="dxa"/>
            <w:tcBorders>
              <w:top w:val="single" w:sz="4" w:space="0" w:color="ADD6EA"/>
              <w:left w:val="nil"/>
              <w:bottom w:val="nil"/>
              <w:right w:val="nil"/>
            </w:tcBorders>
            <w:shd w:val="clear" w:color="auto" w:fill="FFFFFF" w:themeFill="background1"/>
            <w:vAlign w:val="bottom"/>
            <w:hideMark/>
          </w:tcPr>
          <w:p w14:paraId="1459375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4.98725</w:t>
            </w:r>
          </w:p>
        </w:tc>
      </w:tr>
      <w:tr w:rsidR="001935E6" w:rsidRPr="001935E6" w14:paraId="481475C7"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129AF012"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2024-25</w:t>
            </w:r>
          </w:p>
        </w:tc>
        <w:tc>
          <w:tcPr>
            <w:tcW w:w="960" w:type="dxa"/>
            <w:tcBorders>
              <w:top w:val="single" w:sz="4" w:space="0" w:color="ADD6EA"/>
              <w:left w:val="nil"/>
              <w:bottom w:val="nil"/>
              <w:right w:val="nil"/>
            </w:tcBorders>
            <w:shd w:val="clear" w:color="auto" w:fill="FFFFFF" w:themeFill="background1"/>
            <w:vAlign w:val="bottom"/>
            <w:hideMark/>
          </w:tcPr>
          <w:p w14:paraId="5CF8B06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0.86736</w:t>
            </w:r>
          </w:p>
        </w:tc>
        <w:tc>
          <w:tcPr>
            <w:tcW w:w="960" w:type="dxa"/>
            <w:tcBorders>
              <w:top w:val="single" w:sz="4" w:space="0" w:color="ADD6EA"/>
              <w:left w:val="nil"/>
              <w:bottom w:val="nil"/>
              <w:right w:val="nil"/>
            </w:tcBorders>
            <w:shd w:val="clear" w:color="auto" w:fill="FFFFFF" w:themeFill="background1"/>
            <w:vAlign w:val="bottom"/>
            <w:hideMark/>
          </w:tcPr>
          <w:p w14:paraId="4B93BB9A"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0.96502</w:t>
            </w:r>
          </w:p>
        </w:tc>
        <w:tc>
          <w:tcPr>
            <w:tcW w:w="960" w:type="dxa"/>
            <w:tcBorders>
              <w:top w:val="single" w:sz="4" w:space="0" w:color="ADD6EA"/>
              <w:left w:val="nil"/>
              <w:bottom w:val="nil"/>
              <w:right w:val="nil"/>
            </w:tcBorders>
            <w:shd w:val="clear" w:color="auto" w:fill="FFFFFF" w:themeFill="background1"/>
            <w:vAlign w:val="bottom"/>
            <w:hideMark/>
          </w:tcPr>
          <w:p w14:paraId="7D90E38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0.95232</w:t>
            </w:r>
          </w:p>
        </w:tc>
        <w:tc>
          <w:tcPr>
            <w:tcW w:w="960" w:type="dxa"/>
            <w:tcBorders>
              <w:top w:val="single" w:sz="4" w:space="0" w:color="ADD6EA"/>
              <w:left w:val="nil"/>
              <w:bottom w:val="nil"/>
              <w:right w:val="nil"/>
            </w:tcBorders>
            <w:shd w:val="clear" w:color="auto" w:fill="FFFFFF" w:themeFill="background1"/>
            <w:vAlign w:val="bottom"/>
            <w:hideMark/>
          </w:tcPr>
          <w:p w14:paraId="3A75910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0.75000</w:t>
            </w:r>
          </w:p>
        </w:tc>
        <w:tc>
          <w:tcPr>
            <w:tcW w:w="960" w:type="dxa"/>
            <w:tcBorders>
              <w:top w:val="single" w:sz="4" w:space="0" w:color="ADD6EA"/>
              <w:left w:val="nil"/>
              <w:bottom w:val="nil"/>
              <w:right w:val="nil"/>
            </w:tcBorders>
            <w:shd w:val="clear" w:color="auto" w:fill="FFFFFF" w:themeFill="background1"/>
            <w:vAlign w:val="bottom"/>
            <w:hideMark/>
          </w:tcPr>
          <w:p w14:paraId="4B4A85D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1.40312</w:t>
            </w:r>
          </w:p>
        </w:tc>
        <w:tc>
          <w:tcPr>
            <w:tcW w:w="960" w:type="dxa"/>
            <w:tcBorders>
              <w:top w:val="single" w:sz="4" w:space="0" w:color="ADD6EA"/>
              <w:left w:val="nil"/>
              <w:bottom w:val="nil"/>
              <w:right w:val="nil"/>
            </w:tcBorders>
            <w:shd w:val="clear" w:color="auto" w:fill="FFFFFF" w:themeFill="background1"/>
            <w:vAlign w:val="bottom"/>
            <w:hideMark/>
          </w:tcPr>
          <w:p w14:paraId="04FDC5C7"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1.82832</w:t>
            </w:r>
          </w:p>
        </w:tc>
        <w:tc>
          <w:tcPr>
            <w:tcW w:w="960" w:type="dxa"/>
            <w:tcBorders>
              <w:top w:val="single" w:sz="4" w:space="0" w:color="ADD6EA"/>
              <w:left w:val="nil"/>
              <w:bottom w:val="nil"/>
              <w:right w:val="nil"/>
            </w:tcBorders>
            <w:shd w:val="clear" w:color="auto" w:fill="FFFFFF" w:themeFill="background1"/>
            <w:vAlign w:val="bottom"/>
            <w:hideMark/>
          </w:tcPr>
          <w:p w14:paraId="16992502"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1.20419</w:t>
            </w:r>
          </w:p>
        </w:tc>
        <w:tc>
          <w:tcPr>
            <w:tcW w:w="960" w:type="dxa"/>
            <w:tcBorders>
              <w:top w:val="single" w:sz="4" w:space="0" w:color="ADD6EA"/>
              <w:left w:val="nil"/>
              <w:bottom w:val="nil"/>
              <w:right w:val="nil"/>
            </w:tcBorders>
            <w:shd w:val="clear" w:color="auto" w:fill="FFFFFF" w:themeFill="background1"/>
            <w:vAlign w:val="bottom"/>
            <w:hideMark/>
          </w:tcPr>
          <w:p w14:paraId="0C2D7CA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5.06681</w:t>
            </w:r>
          </w:p>
        </w:tc>
      </w:tr>
      <w:tr w:rsidR="001935E6" w:rsidRPr="001935E6" w14:paraId="07FABFB0" w14:textId="77777777" w:rsidTr="429499A3">
        <w:trPr>
          <w:trHeight w:val="315"/>
        </w:trPr>
        <w:tc>
          <w:tcPr>
            <w:tcW w:w="1280" w:type="dxa"/>
            <w:tcBorders>
              <w:top w:val="single" w:sz="4" w:space="0" w:color="ADD6EA"/>
              <w:left w:val="nil"/>
              <w:bottom w:val="nil"/>
              <w:right w:val="nil"/>
            </w:tcBorders>
            <w:shd w:val="clear" w:color="auto" w:fill="FFFFFF" w:themeFill="background1"/>
            <w:vAlign w:val="bottom"/>
            <w:hideMark/>
          </w:tcPr>
          <w:p w14:paraId="53F71BF9"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2025-26</w:t>
            </w:r>
          </w:p>
        </w:tc>
        <w:tc>
          <w:tcPr>
            <w:tcW w:w="960" w:type="dxa"/>
            <w:tcBorders>
              <w:top w:val="single" w:sz="4" w:space="0" w:color="ADD6EA"/>
              <w:left w:val="nil"/>
              <w:bottom w:val="nil"/>
              <w:right w:val="nil"/>
            </w:tcBorders>
            <w:shd w:val="clear" w:color="auto" w:fill="FFFFFF" w:themeFill="background1"/>
            <w:vAlign w:val="bottom"/>
            <w:hideMark/>
          </w:tcPr>
          <w:p w14:paraId="49F900A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0.86034</w:t>
            </w:r>
          </w:p>
        </w:tc>
        <w:tc>
          <w:tcPr>
            <w:tcW w:w="960" w:type="dxa"/>
            <w:tcBorders>
              <w:top w:val="single" w:sz="4" w:space="0" w:color="ADD6EA"/>
              <w:left w:val="nil"/>
              <w:bottom w:val="nil"/>
              <w:right w:val="nil"/>
            </w:tcBorders>
            <w:shd w:val="clear" w:color="auto" w:fill="FFFFFF" w:themeFill="background1"/>
            <w:vAlign w:val="bottom"/>
            <w:hideMark/>
          </w:tcPr>
          <w:p w14:paraId="709A5D9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1.06722</w:t>
            </w:r>
          </w:p>
        </w:tc>
        <w:tc>
          <w:tcPr>
            <w:tcW w:w="960" w:type="dxa"/>
            <w:tcBorders>
              <w:top w:val="single" w:sz="4" w:space="0" w:color="ADD6EA"/>
              <w:left w:val="nil"/>
              <w:bottom w:val="nil"/>
              <w:right w:val="nil"/>
            </w:tcBorders>
            <w:shd w:val="clear" w:color="auto" w:fill="FFFFFF" w:themeFill="background1"/>
            <w:vAlign w:val="bottom"/>
            <w:hideMark/>
          </w:tcPr>
          <w:p w14:paraId="6D05EED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0.84571</w:t>
            </w:r>
          </w:p>
        </w:tc>
        <w:tc>
          <w:tcPr>
            <w:tcW w:w="960" w:type="dxa"/>
            <w:tcBorders>
              <w:top w:val="single" w:sz="4" w:space="0" w:color="ADD6EA"/>
              <w:left w:val="nil"/>
              <w:bottom w:val="nil"/>
              <w:right w:val="nil"/>
            </w:tcBorders>
            <w:shd w:val="clear" w:color="auto" w:fill="FFFFFF" w:themeFill="background1"/>
            <w:vAlign w:val="bottom"/>
            <w:hideMark/>
          </w:tcPr>
          <w:p w14:paraId="17A82E0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0.75000</w:t>
            </w:r>
          </w:p>
        </w:tc>
        <w:tc>
          <w:tcPr>
            <w:tcW w:w="960" w:type="dxa"/>
            <w:tcBorders>
              <w:top w:val="single" w:sz="4" w:space="0" w:color="ADD6EA"/>
              <w:left w:val="nil"/>
              <w:bottom w:val="nil"/>
              <w:right w:val="nil"/>
            </w:tcBorders>
            <w:shd w:val="clear" w:color="auto" w:fill="FFFFFF" w:themeFill="background1"/>
            <w:vAlign w:val="bottom"/>
            <w:hideMark/>
          </w:tcPr>
          <w:p w14:paraId="29FABBDB"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1.38876</w:t>
            </w:r>
          </w:p>
        </w:tc>
        <w:tc>
          <w:tcPr>
            <w:tcW w:w="960" w:type="dxa"/>
            <w:tcBorders>
              <w:top w:val="single" w:sz="4" w:space="0" w:color="ADD6EA"/>
              <w:left w:val="nil"/>
              <w:bottom w:val="nil"/>
              <w:right w:val="nil"/>
            </w:tcBorders>
            <w:shd w:val="clear" w:color="auto" w:fill="FFFFFF" w:themeFill="background1"/>
            <w:vAlign w:val="bottom"/>
            <w:hideMark/>
          </w:tcPr>
          <w:p w14:paraId="130576F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1.84053</w:t>
            </w:r>
          </w:p>
        </w:tc>
        <w:tc>
          <w:tcPr>
            <w:tcW w:w="960" w:type="dxa"/>
            <w:tcBorders>
              <w:top w:val="single" w:sz="4" w:space="0" w:color="ADD6EA"/>
              <w:left w:val="nil"/>
              <w:bottom w:val="nil"/>
              <w:right w:val="nil"/>
            </w:tcBorders>
            <w:shd w:val="clear" w:color="auto" w:fill="FFFFFF" w:themeFill="background1"/>
            <w:vAlign w:val="bottom"/>
            <w:hideMark/>
          </w:tcPr>
          <w:p w14:paraId="53B169E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1.17223</w:t>
            </w:r>
          </w:p>
        </w:tc>
        <w:tc>
          <w:tcPr>
            <w:tcW w:w="960" w:type="dxa"/>
            <w:tcBorders>
              <w:top w:val="single" w:sz="4" w:space="0" w:color="ADD6EA"/>
              <w:left w:val="nil"/>
              <w:bottom w:val="nil"/>
              <w:right w:val="nil"/>
            </w:tcBorders>
            <w:shd w:val="clear" w:color="auto" w:fill="FFFFFF" w:themeFill="background1"/>
            <w:vAlign w:val="bottom"/>
            <w:hideMark/>
          </w:tcPr>
          <w:p w14:paraId="58386EAD"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5.15112</w:t>
            </w:r>
          </w:p>
        </w:tc>
      </w:tr>
      <w:tr w:rsidR="001935E6" w:rsidRPr="001935E6" w14:paraId="295D5602" w14:textId="77777777" w:rsidTr="429499A3">
        <w:trPr>
          <w:trHeight w:val="315"/>
        </w:trPr>
        <w:tc>
          <w:tcPr>
            <w:tcW w:w="1280" w:type="dxa"/>
            <w:tcBorders>
              <w:top w:val="single" w:sz="4" w:space="0" w:color="ADD6EA"/>
              <w:left w:val="nil"/>
              <w:bottom w:val="single" w:sz="4" w:space="0" w:color="ADD6EA"/>
              <w:right w:val="nil"/>
            </w:tcBorders>
            <w:shd w:val="clear" w:color="auto" w:fill="FFFFFF" w:themeFill="background1"/>
            <w:vAlign w:val="bottom"/>
            <w:hideMark/>
          </w:tcPr>
          <w:p w14:paraId="39987870" w14:textId="77777777" w:rsidR="001935E6" w:rsidRPr="001935E6" w:rsidRDefault="001935E6" w:rsidP="001935E6">
            <w:pPr>
              <w:tabs>
                <w:tab w:val="clear" w:pos="567"/>
              </w:tabs>
              <w:spacing w:before="0" w:line="240" w:lineRule="auto"/>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2026-27</w:t>
            </w:r>
          </w:p>
        </w:tc>
        <w:tc>
          <w:tcPr>
            <w:tcW w:w="960" w:type="dxa"/>
            <w:tcBorders>
              <w:top w:val="single" w:sz="4" w:space="0" w:color="ADD6EA"/>
              <w:left w:val="nil"/>
              <w:bottom w:val="single" w:sz="4" w:space="0" w:color="ADD6EA"/>
              <w:right w:val="nil"/>
            </w:tcBorders>
            <w:shd w:val="clear" w:color="auto" w:fill="FFFFFF" w:themeFill="background1"/>
            <w:vAlign w:val="bottom"/>
            <w:hideMark/>
          </w:tcPr>
          <w:p w14:paraId="29512EB1"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0.81964</w:t>
            </w:r>
          </w:p>
        </w:tc>
        <w:tc>
          <w:tcPr>
            <w:tcW w:w="960" w:type="dxa"/>
            <w:tcBorders>
              <w:top w:val="single" w:sz="4" w:space="0" w:color="ADD6EA"/>
              <w:left w:val="nil"/>
              <w:bottom w:val="single" w:sz="4" w:space="0" w:color="ADD6EA"/>
              <w:right w:val="nil"/>
            </w:tcBorders>
            <w:shd w:val="clear" w:color="auto" w:fill="FFFFFF" w:themeFill="background1"/>
            <w:vAlign w:val="bottom"/>
            <w:hideMark/>
          </w:tcPr>
          <w:p w14:paraId="2A78F326"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1.05742</w:t>
            </w:r>
          </w:p>
        </w:tc>
        <w:tc>
          <w:tcPr>
            <w:tcW w:w="960" w:type="dxa"/>
            <w:tcBorders>
              <w:top w:val="single" w:sz="4" w:space="0" w:color="ADD6EA"/>
              <w:left w:val="nil"/>
              <w:bottom w:val="single" w:sz="4" w:space="0" w:color="ADD6EA"/>
              <w:right w:val="nil"/>
            </w:tcBorders>
            <w:shd w:val="clear" w:color="auto" w:fill="FFFFFF" w:themeFill="background1"/>
            <w:vAlign w:val="bottom"/>
            <w:hideMark/>
          </w:tcPr>
          <w:p w14:paraId="7D14D12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0.87237</w:t>
            </w:r>
          </w:p>
        </w:tc>
        <w:tc>
          <w:tcPr>
            <w:tcW w:w="960" w:type="dxa"/>
            <w:tcBorders>
              <w:top w:val="single" w:sz="4" w:space="0" w:color="ADD6EA"/>
              <w:left w:val="nil"/>
              <w:bottom w:val="single" w:sz="4" w:space="0" w:color="ADD6EA"/>
              <w:right w:val="nil"/>
            </w:tcBorders>
            <w:shd w:val="clear" w:color="auto" w:fill="FFFFFF" w:themeFill="background1"/>
            <w:vAlign w:val="bottom"/>
            <w:hideMark/>
          </w:tcPr>
          <w:p w14:paraId="22A85834"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0.81964</w:t>
            </w:r>
          </w:p>
        </w:tc>
        <w:tc>
          <w:tcPr>
            <w:tcW w:w="960" w:type="dxa"/>
            <w:tcBorders>
              <w:top w:val="single" w:sz="4" w:space="0" w:color="ADD6EA"/>
              <w:left w:val="nil"/>
              <w:bottom w:val="single" w:sz="4" w:space="0" w:color="ADD6EA"/>
              <w:right w:val="nil"/>
            </w:tcBorders>
            <w:shd w:val="clear" w:color="auto" w:fill="FFFFFF" w:themeFill="background1"/>
            <w:vAlign w:val="bottom"/>
            <w:hideMark/>
          </w:tcPr>
          <w:p w14:paraId="2F4C7BC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1.35920</w:t>
            </w:r>
          </w:p>
        </w:tc>
        <w:tc>
          <w:tcPr>
            <w:tcW w:w="960" w:type="dxa"/>
            <w:tcBorders>
              <w:top w:val="single" w:sz="4" w:space="0" w:color="ADD6EA"/>
              <w:left w:val="nil"/>
              <w:bottom w:val="single" w:sz="4" w:space="0" w:color="ADD6EA"/>
              <w:right w:val="nil"/>
            </w:tcBorders>
            <w:shd w:val="clear" w:color="auto" w:fill="FFFFFF" w:themeFill="background1"/>
            <w:vAlign w:val="bottom"/>
            <w:hideMark/>
          </w:tcPr>
          <w:p w14:paraId="2434BC83"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1.88285</w:t>
            </w:r>
          </w:p>
        </w:tc>
        <w:tc>
          <w:tcPr>
            <w:tcW w:w="960" w:type="dxa"/>
            <w:tcBorders>
              <w:top w:val="single" w:sz="4" w:space="0" w:color="ADD6EA"/>
              <w:left w:val="nil"/>
              <w:bottom w:val="single" w:sz="4" w:space="0" w:color="ADD6EA"/>
              <w:right w:val="nil"/>
            </w:tcBorders>
            <w:shd w:val="clear" w:color="auto" w:fill="FFFFFF" w:themeFill="background1"/>
            <w:vAlign w:val="bottom"/>
            <w:hideMark/>
          </w:tcPr>
          <w:p w14:paraId="1630AACF"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1.16179</w:t>
            </w:r>
          </w:p>
        </w:tc>
        <w:tc>
          <w:tcPr>
            <w:tcW w:w="960" w:type="dxa"/>
            <w:tcBorders>
              <w:top w:val="single" w:sz="4" w:space="0" w:color="ADD6EA"/>
              <w:left w:val="nil"/>
              <w:bottom w:val="single" w:sz="4" w:space="0" w:color="ADD6EA"/>
              <w:right w:val="nil"/>
            </w:tcBorders>
            <w:shd w:val="clear" w:color="auto" w:fill="FFFFFF" w:themeFill="background1"/>
            <w:vAlign w:val="bottom"/>
            <w:hideMark/>
          </w:tcPr>
          <w:p w14:paraId="64158A09" w14:textId="77777777" w:rsidR="001935E6" w:rsidRPr="001935E6" w:rsidRDefault="001935E6" w:rsidP="001935E6">
            <w:pPr>
              <w:tabs>
                <w:tab w:val="clear" w:pos="567"/>
              </w:tabs>
              <w:spacing w:before="0" w:line="240" w:lineRule="auto"/>
              <w:jc w:val="right"/>
              <w:rPr>
                <w:rFonts w:ascii="Open Sans Light" w:eastAsia="Times New Roman" w:hAnsi="Open Sans Light" w:cs="Open Sans Light"/>
                <w:color w:val="000000"/>
                <w:sz w:val="16"/>
                <w:szCs w:val="16"/>
                <w:lang w:eastAsia="en-AU"/>
              </w:rPr>
            </w:pPr>
            <w:r w:rsidRPr="001935E6">
              <w:rPr>
                <w:rFonts w:ascii="Open Sans Light" w:eastAsia="Times New Roman" w:hAnsi="Open Sans Light" w:cs="Open Sans Light"/>
                <w:color w:val="000000"/>
                <w:sz w:val="16"/>
                <w:szCs w:val="16"/>
                <w:lang w:eastAsia="en-AU"/>
              </w:rPr>
              <w:t>5.24149</w:t>
            </w:r>
          </w:p>
        </w:tc>
      </w:tr>
    </w:tbl>
    <w:p w14:paraId="42067823" w14:textId="56A47286" w:rsidR="008C58FC" w:rsidRPr="00F85932" w:rsidRDefault="008C58FC" w:rsidP="0053616C">
      <w:pPr>
        <w:pStyle w:val="CGC2025TableNote"/>
        <w:keepNext/>
        <w:keepLines/>
        <w:tabs>
          <w:tab w:val="clear" w:pos="567"/>
          <w:tab w:val="clear" w:pos="680"/>
          <w:tab w:val="left" w:pos="709"/>
          <w:tab w:val="left" w:pos="993"/>
        </w:tabs>
        <w:ind w:left="630" w:hanging="517"/>
      </w:pPr>
      <w:bookmarkStart w:id="73" w:name="_Hlk189728305"/>
      <w:r w:rsidRPr="00F85932">
        <w:t xml:space="preserve">Note: </w:t>
      </w:r>
      <w:r w:rsidR="00B672FB">
        <w:tab/>
      </w:r>
      <w:r w:rsidRPr="00F85932">
        <w:t xml:space="preserve">Prior to 2009–10, the Commission was asked to provide relativities to distribute a pool of GST revenue and Health Care Grants. The relativities shown are those applicable for distributing a GST only pool. </w:t>
      </w:r>
    </w:p>
    <w:p w14:paraId="0D3BA192" w14:textId="63B5FAF8" w:rsidR="008C58FC" w:rsidRDefault="008C58FC" w:rsidP="0053616C">
      <w:pPr>
        <w:pStyle w:val="CGC2025TableNote"/>
        <w:keepNext/>
        <w:keepLines/>
        <w:tabs>
          <w:tab w:val="clear" w:pos="567"/>
          <w:tab w:val="clear" w:pos="680"/>
          <w:tab w:val="left" w:pos="709"/>
          <w:tab w:val="left" w:pos="993"/>
        </w:tabs>
        <w:ind w:left="630" w:hanging="517"/>
      </w:pPr>
      <w:r w:rsidRPr="00E468A4">
        <w:tab/>
        <w:t>A relativity floor of 0.7</w:t>
      </w:r>
      <w:r w:rsidR="00220E2B">
        <w:t>0</w:t>
      </w:r>
      <w:r w:rsidRPr="00E468A4">
        <w:t xml:space="preserve"> in 2021–22 was funded from outside of the pool and is not reflected in the numbers in this table. </w:t>
      </w:r>
      <w:r w:rsidR="000A1622">
        <w:t xml:space="preserve">Since </w:t>
      </w:r>
      <w:r w:rsidR="007F2C76">
        <w:t>2022</w:t>
      </w:r>
      <w:r w:rsidR="0091256A">
        <w:t>–</w:t>
      </w:r>
      <w:r w:rsidR="007F2C76">
        <w:t>23</w:t>
      </w:r>
      <w:r w:rsidRPr="00E468A4">
        <w:t>, the GST relativity floor has been funded from within the GST pool: a floor of 0.7</w:t>
      </w:r>
      <w:r w:rsidR="005A2FFA">
        <w:t>0</w:t>
      </w:r>
      <w:r w:rsidRPr="00E468A4">
        <w:t xml:space="preserve"> in 2022–23 and 2023</w:t>
      </w:r>
      <w:r>
        <w:t>–</w:t>
      </w:r>
      <w:r w:rsidRPr="00E468A4">
        <w:t xml:space="preserve">24 and 0.75 from 2024–25. The 2018 </w:t>
      </w:r>
      <w:r w:rsidR="00957039">
        <w:t>GST distribution</w:t>
      </w:r>
      <w:r w:rsidRPr="00E468A4">
        <w:t xml:space="preserve"> legislation also introduced transitional arrangements under which standard state relativities were blended with assessed relativities from 2021–22. From</w:t>
      </w:r>
      <w:r>
        <w:t xml:space="preserve"> </w:t>
      </w:r>
      <w:r w:rsidRPr="00E468A4">
        <w:t>2026–27, this blending arrangement no longer applies and has been replaced by standard state relativities</w:t>
      </w:r>
      <w:r>
        <w:t>.</w:t>
      </w:r>
    </w:p>
    <w:bookmarkEnd w:id="71"/>
    <w:bookmarkEnd w:id="73"/>
    <w:p w14:paraId="3E4C2133" w14:textId="77777777" w:rsidR="008C58FC" w:rsidRDefault="008C58FC">
      <w:pPr>
        <w:tabs>
          <w:tab w:val="clear" w:pos="567"/>
        </w:tabs>
        <w:spacing w:before="0" w:line="240" w:lineRule="auto"/>
      </w:pPr>
      <w:r>
        <w:br w:type="page"/>
      </w:r>
    </w:p>
    <w:p w14:paraId="0C76B4BC" w14:textId="77777777" w:rsidR="008C58FC" w:rsidRPr="00597D30" w:rsidRDefault="008C58FC" w:rsidP="008C58FC">
      <w:pPr>
        <w:pStyle w:val="Heading1"/>
        <w:numPr>
          <w:ilvl w:val="0"/>
          <w:numId w:val="0"/>
        </w:numPr>
      </w:pPr>
      <w:bookmarkStart w:id="74" w:name="_Toc222762278"/>
      <w:r>
        <w:lastRenderedPageBreak/>
        <w:t>Appendix</w:t>
      </w:r>
      <w:r w:rsidRPr="00597D30">
        <w:t xml:space="preserve"> </w:t>
      </w:r>
      <w:r>
        <w:t>D</w:t>
      </w:r>
      <w:r w:rsidRPr="00597D30">
        <w:t>: Quality assurance</w:t>
      </w:r>
      <w:bookmarkEnd w:id="74"/>
    </w:p>
    <w:p w14:paraId="4100402D" w14:textId="77777777" w:rsidR="008C58FC" w:rsidRPr="0084032A" w:rsidRDefault="008C58FC" w:rsidP="008C58FC">
      <w:r w:rsidRPr="0084032A">
        <w:t xml:space="preserve">This </w:t>
      </w:r>
      <w:r>
        <w:t>appendix</w:t>
      </w:r>
      <w:r w:rsidRPr="0084032A">
        <w:t xml:space="preserve"> reports on the quality assurance procedures applied in this update. These procedures aim to ensure:</w:t>
      </w:r>
    </w:p>
    <w:p w14:paraId="41AADACF" w14:textId="77777777" w:rsidR="008C58FC" w:rsidRPr="0084032A" w:rsidRDefault="008C58FC" w:rsidP="002F5ED5">
      <w:pPr>
        <w:pStyle w:val="CGCBulletPoints"/>
      </w:pPr>
      <w:r w:rsidRPr="0084032A">
        <w:t>data used in the Commission’s assessments are fit for purpose and of the best possible quality</w:t>
      </w:r>
    </w:p>
    <w:p w14:paraId="52991695" w14:textId="77777777" w:rsidR="008C58FC" w:rsidRPr="0084032A" w:rsidRDefault="008C58FC" w:rsidP="002F5ED5">
      <w:pPr>
        <w:pStyle w:val="CGCBulletPoints"/>
      </w:pPr>
      <w:r w:rsidRPr="0084032A">
        <w:t>analysis is accurate</w:t>
      </w:r>
    </w:p>
    <w:p w14:paraId="560434BC" w14:textId="77777777" w:rsidR="008C58FC" w:rsidRPr="0084032A" w:rsidRDefault="008C58FC" w:rsidP="002F5ED5">
      <w:pPr>
        <w:pStyle w:val="CGCBulletPoints"/>
      </w:pPr>
      <w:r w:rsidRPr="0084032A">
        <w:t>reporting of the Commission’s findings and reasoning is accurate and transparent.</w:t>
      </w:r>
    </w:p>
    <w:p w14:paraId="7A67EBA2" w14:textId="77777777" w:rsidR="008C58FC" w:rsidRPr="00597D30" w:rsidRDefault="008C58FC" w:rsidP="008C58FC">
      <w:pPr>
        <w:pStyle w:val="Heading2"/>
      </w:pPr>
      <w:bookmarkStart w:id="75" w:name="_Toc127802199"/>
      <w:bookmarkStart w:id="76" w:name="_Toc127804822"/>
      <w:r w:rsidRPr="00597D30">
        <w:t>Checking calculations</w:t>
      </w:r>
      <w:bookmarkEnd w:id="75"/>
      <w:bookmarkEnd w:id="76"/>
    </w:p>
    <w:p w14:paraId="7FC78FCC" w14:textId="77777777" w:rsidR="008C58FC" w:rsidRPr="0084032A" w:rsidRDefault="008C58FC" w:rsidP="008C58FC">
      <w:r w:rsidRPr="0084032A">
        <w:t xml:space="preserve">The Commission completed a rigorous internal </w:t>
      </w:r>
      <w:r>
        <w:t>review</w:t>
      </w:r>
      <w:r w:rsidRPr="0084032A">
        <w:t xml:space="preserve"> of all calculations. For each assessment, internal checks were performed and signed off by the assessment officer, another officer not involved in the original calculation, and the assessment director.</w:t>
      </w:r>
    </w:p>
    <w:p w14:paraId="25E47F52" w14:textId="77777777" w:rsidR="008C58FC" w:rsidRPr="00597D30" w:rsidRDefault="008C58FC" w:rsidP="008C58FC">
      <w:r w:rsidRPr="0084032A">
        <w:t>The Commission also engaged officers from the Commonwealth Treasury with the relevant technical expertise to check calculations. This was completed after internal checks.</w:t>
      </w:r>
      <w:r w:rsidRPr="00597D30">
        <w:t xml:space="preserve"> </w:t>
      </w:r>
    </w:p>
    <w:p w14:paraId="49F52A28" w14:textId="77777777" w:rsidR="008C58FC" w:rsidRPr="00597D30" w:rsidRDefault="008C58FC" w:rsidP="008C58FC">
      <w:pPr>
        <w:pStyle w:val="Heading2"/>
      </w:pPr>
      <w:bookmarkStart w:id="77" w:name="_Toc127802200"/>
      <w:bookmarkStart w:id="78" w:name="_Toc127804823"/>
      <w:r w:rsidRPr="00597D30">
        <w:t>Reporting of methods, decisions and results</w:t>
      </w:r>
      <w:bookmarkEnd w:id="77"/>
      <w:bookmarkEnd w:id="78"/>
    </w:p>
    <w:p w14:paraId="5D5F114D" w14:textId="77777777" w:rsidR="008C58FC" w:rsidRPr="0084032A" w:rsidRDefault="008C58FC" w:rsidP="008C58FC">
      <w:r w:rsidRPr="0084032A">
        <w:t>Transparency and accuracy in reporting assessment methods, decisions and results are important in ensuring high quality outputs.</w:t>
      </w:r>
    </w:p>
    <w:p w14:paraId="2327AFD6" w14:textId="77777777" w:rsidR="008C58FC" w:rsidRPr="0084032A" w:rsidRDefault="008C58FC" w:rsidP="008C58FC">
      <w:r w:rsidRPr="0084032A">
        <w:t>The Commission undertook a comprehensive program of proofreading and checking of tables and results to ensure they aligned with the original calculations.</w:t>
      </w:r>
    </w:p>
    <w:p w14:paraId="449157B2" w14:textId="77777777" w:rsidR="008C58FC" w:rsidRPr="0084032A" w:rsidRDefault="008C58FC" w:rsidP="008C58FC">
      <w:r w:rsidRPr="0084032A">
        <w:t xml:space="preserve">The Commission has posted </w:t>
      </w:r>
      <w:hyperlink r:id="rId46" w:history="1">
        <w:r w:rsidRPr="0084032A">
          <w:rPr>
            <w:rStyle w:val="Hyperlink"/>
            <w:color w:val="auto"/>
            <w:u w:val="none"/>
          </w:rPr>
          <w:t>this update, consultation on new issues, and a range of supporting documents</w:t>
        </w:r>
      </w:hyperlink>
      <w:r w:rsidRPr="0084032A">
        <w:t xml:space="preserve"> on the Commission website (</w:t>
      </w:r>
      <w:hyperlink r:id="rId47" w:history="1">
        <w:r w:rsidRPr="00695C10">
          <w:rPr>
            <w:rStyle w:val="Hyperlink"/>
          </w:rPr>
          <w:t>www.cgc.gov.au</w:t>
        </w:r>
      </w:hyperlink>
      <w:r w:rsidRPr="0084032A">
        <w:t>).</w:t>
      </w:r>
    </w:p>
    <w:p w14:paraId="16DE0EEC" w14:textId="77777777" w:rsidR="008C58FC" w:rsidRPr="0084032A" w:rsidRDefault="008C58FC" w:rsidP="008C58FC">
      <w:pPr>
        <w:pStyle w:val="Heading2"/>
      </w:pPr>
      <w:r w:rsidRPr="0084032A">
        <w:t>Quality Assurance Framework</w:t>
      </w:r>
    </w:p>
    <w:p w14:paraId="5FEF439B" w14:textId="77777777" w:rsidR="008C58FC" w:rsidRPr="0084032A" w:rsidRDefault="008C58FC" w:rsidP="008C58FC">
      <w:pPr>
        <w:rPr>
          <w:highlight w:val="yellow"/>
        </w:rPr>
      </w:pPr>
      <w:r w:rsidRPr="0084032A">
        <w:t xml:space="preserve">The Commission’s Quality Assurance Framework is available on the Commission’s website: </w:t>
      </w:r>
      <w:hyperlink r:id="rId48" w:history="1">
        <w:r w:rsidRPr="0084032A">
          <w:rPr>
            <w:rStyle w:val="Hyperlink"/>
          </w:rPr>
          <w:t>Quality Assurance Framework</w:t>
        </w:r>
      </w:hyperlink>
      <w:r>
        <w:t>.</w:t>
      </w:r>
    </w:p>
    <w:p w14:paraId="79018345" w14:textId="77777777" w:rsidR="008C58FC" w:rsidRPr="00597D30" w:rsidRDefault="008C58FC" w:rsidP="008C58FC"/>
    <w:p w14:paraId="2140A28E" w14:textId="77777777" w:rsidR="008C58FC" w:rsidRDefault="008C58FC">
      <w:pPr>
        <w:tabs>
          <w:tab w:val="clear" w:pos="567"/>
        </w:tabs>
        <w:spacing w:before="0" w:line="240" w:lineRule="auto"/>
      </w:pPr>
      <w:r>
        <w:br w:type="page"/>
      </w:r>
    </w:p>
    <w:p w14:paraId="062BECCA" w14:textId="26B55A6A" w:rsidR="00554905" w:rsidRDefault="003D487D" w:rsidP="00554905">
      <w:pPr>
        <w:pStyle w:val="Heading1"/>
        <w:numPr>
          <w:ilvl w:val="0"/>
          <w:numId w:val="0"/>
        </w:numPr>
      </w:pPr>
      <w:bookmarkStart w:id="79" w:name="_Toc222762279"/>
      <w:r>
        <w:rPr>
          <w:noProof/>
        </w:rPr>
        <w:lastRenderedPageBreak/>
        <w:drawing>
          <wp:anchor distT="0" distB="0" distL="114300" distR="114300" simplePos="0" relativeHeight="251658247" behindDoc="1" locked="0" layoutInCell="1" allowOverlap="1" wp14:anchorId="2823436B" wp14:editId="334FBCE9">
            <wp:simplePos x="0" y="0"/>
            <wp:positionH relativeFrom="column">
              <wp:posOffset>-646430</wp:posOffset>
            </wp:positionH>
            <wp:positionV relativeFrom="page">
              <wp:posOffset>723899</wp:posOffset>
            </wp:positionV>
            <wp:extent cx="6489700" cy="9175445"/>
            <wp:effectExtent l="0" t="0" r="6350" b="6985"/>
            <wp:wrapNone/>
            <wp:docPr id="7118499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49967" name="Picture 71184996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94457" cy="9182170"/>
                    </a:xfrm>
                    <a:prstGeom prst="rect">
                      <a:avLst/>
                    </a:prstGeom>
                  </pic:spPr>
                </pic:pic>
              </a:graphicData>
            </a:graphic>
            <wp14:sizeRelH relativeFrom="margin">
              <wp14:pctWidth>0</wp14:pctWidth>
            </wp14:sizeRelH>
            <wp14:sizeRelV relativeFrom="margin">
              <wp14:pctHeight>0</wp14:pctHeight>
            </wp14:sizeRelV>
          </wp:anchor>
        </w:drawing>
      </w:r>
      <w:r w:rsidR="008C58FC">
        <w:t>Attachment A</w:t>
      </w:r>
      <w:r w:rsidR="00554905">
        <w:br/>
      </w:r>
      <w:r w:rsidR="00554905">
        <w:rPr>
          <w:noProof/>
        </w:rPr>
        <w:lastRenderedPageBreak/>
        <w:drawing>
          <wp:anchor distT="0" distB="0" distL="114300" distR="114300" simplePos="0" relativeHeight="251658248" behindDoc="1" locked="0" layoutInCell="1" allowOverlap="1" wp14:anchorId="1071A771" wp14:editId="7290AD28">
            <wp:simplePos x="0" y="0"/>
            <wp:positionH relativeFrom="column">
              <wp:posOffset>-648335</wp:posOffset>
            </wp:positionH>
            <wp:positionV relativeFrom="page">
              <wp:posOffset>723900</wp:posOffset>
            </wp:positionV>
            <wp:extent cx="6487200" cy="9176400"/>
            <wp:effectExtent l="0" t="0" r="8890" b="5715"/>
            <wp:wrapTight wrapText="bothSides">
              <wp:wrapPolygon edited="0">
                <wp:start x="0" y="0"/>
                <wp:lineTo x="0" y="21569"/>
                <wp:lineTo x="21566" y="21569"/>
                <wp:lineTo x="21566" y="0"/>
                <wp:lineTo x="0" y="0"/>
              </wp:wrapPolygon>
            </wp:wrapTight>
            <wp:docPr id="10831905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90565" name="Picture 108319056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87200" cy="9176400"/>
                    </a:xfrm>
                    <a:prstGeom prst="rect">
                      <a:avLst/>
                    </a:prstGeom>
                  </pic:spPr>
                </pic:pic>
              </a:graphicData>
            </a:graphic>
            <wp14:sizeRelH relativeFrom="margin">
              <wp14:pctWidth>0</wp14:pctWidth>
            </wp14:sizeRelH>
            <wp14:sizeRelV relativeFrom="margin">
              <wp14:pctHeight>0</wp14:pctHeight>
            </wp14:sizeRelV>
          </wp:anchor>
        </w:drawing>
      </w:r>
      <w:bookmarkEnd w:id="79"/>
    </w:p>
    <w:p w14:paraId="729A7110" w14:textId="1724A741" w:rsidR="00554905" w:rsidRDefault="00AD4A87">
      <w:pPr>
        <w:tabs>
          <w:tab w:val="clear" w:pos="567"/>
        </w:tabs>
        <w:spacing w:before="0" w:line="240" w:lineRule="auto"/>
      </w:pPr>
      <w:r>
        <w:rPr>
          <w:noProof/>
        </w:rPr>
        <w:lastRenderedPageBreak/>
        <w:drawing>
          <wp:anchor distT="0" distB="0" distL="114300" distR="114300" simplePos="0" relativeHeight="251658249" behindDoc="1" locked="0" layoutInCell="1" allowOverlap="1" wp14:anchorId="743128AD" wp14:editId="2BDDAF09">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600596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96669" name="Picture 160059666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554905">
        <w:br w:type="page"/>
      </w:r>
    </w:p>
    <w:p w14:paraId="3B6DCF3B" w14:textId="67DF95E3" w:rsidR="00554905" w:rsidRDefault="00AD4A87">
      <w:pPr>
        <w:tabs>
          <w:tab w:val="clear" w:pos="567"/>
        </w:tabs>
        <w:spacing w:before="0" w:line="240" w:lineRule="auto"/>
      </w:pPr>
      <w:r>
        <w:rPr>
          <w:noProof/>
        </w:rPr>
        <w:lastRenderedPageBreak/>
        <w:drawing>
          <wp:anchor distT="0" distB="0" distL="114300" distR="114300" simplePos="0" relativeHeight="251658250" behindDoc="1" locked="0" layoutInCell="1" allowOverlap="1" wp14:anchorId="078600F5" wp14:editId="322761BF">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202508586" name="Picture 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08586" name="Picture 2" descr="A close-up of a document&#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554905">
        <w:br w:type="page"/>
      </w:r>
    </w:p>
    <w:p w14:paraId="5768962B" w14:textId="66BAD3C3" w:rsidR="00554905" w:rsidRDefault="00AD4A87">
      <w:pPr>
        <w:tabs>
          <w:tab w:val="clear" w:pos="567"/>
        </w:tabs>
        <w:spacing w:before="0" w:line="240" w:lineRule="auto"/>
      </w:pPr>
      <w:r>
        <w:rPr>
          <w:noProof/>
        </w:rPr>
        <w:lastRenderedPageBreak/>
        <w:drawing>
          <wp:anchor distT="0" distB="0" distL="114300" distR="114300" simplePos="0" relativeHeight="251658251" behindDoc="1" locked="0" layoutInCell="1" allowOverlap="1" wp14:anchorId="285ABBC7" wp14:editId="77C0952A">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567599288" name="Picture 3"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99288" name="Picture 3" descr="A close-up of a paper&#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554905">
        <w:br w:type="page"/>
      </w:r>
    </w:p>
    <w:p w14:paraId="118E74FD" w14:textId="516CD24C" w:rsidR="00554905" w:rsidRDefault="00AD4A87">
      <w:pPr>
        <w:tabs>
          <w:tab w:val="clear" w:pos="567"/>
        </w:tabs>
        <w:spacing w:before="0" w:line="240" w:lineRule="auto"/>
      </w:pPr>
      <w:r>
        <w:rPr>
          <w:noProof/>
        </w:rPr>
        <w:lastRenderedPageBreak/>
        <w:drawing>
          <wp:anchor distT="0" distB="0" distL="114300" distR="114300" simplePos="0" relativeHeight="251658252" behindDoc="1" locked="0" layoutInCell="1" allowOverlap="1" wp14:anchorId="56CC983B" wp14:editId="15FBCBA7">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295997306" name="Picture 4"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97306" name="Picture 4" descr="A document with text on it&#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554905">
        <w:br w:type="page"/>
      </w:r>
    </w:p>
    <w:p w14:paraId="01A874DD" w14:textId="4E51DA63" w:rsidR="00554905" w:rsidRDefault="00AD4A87">
      <w:pPr>
        <w:tabs>
          <w:tab w:val="clear" w:pos="567"/>
        </w:tabs>
        <w:spacing w:before="0" w:line="240" w:lineRule="auto"/>
      </w:pPr>
      <w:r>
        <w:rPr>
          <w:noProof/>
        </w:rPr>
        <w:lastRenderedPageBreak/>
        <w:drawing>
          <wp:anchor distT="0" distB="0" distL="114300" distR="114300" simplePos="0" relativeHeight="251658253" behindDoc="1" locked="0" layoutInCell="1" allowOverlap="1" wp14:anchorId="3533DEF5" wp14:editId="697DB0FD">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718168858" name="Picture 5"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68858" name="Picture 5" descr="A document with text on it&#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554905">
        <w:br w:type="page"/>
      </w:r>
    </w:p>
    <w:p w14:paraId="7E0F9345" w14:textId="341412E3" w:rsidR="00554905" w:rsidRDefault="00AD4A87">
      <w:pPr>
        <w:tabs>
          <w:tab w:val="clear" w:pos="567"/>
        </w:tabs>
        <w:spacing w:before="0" w:line="240" w:lineRule="auto"/>
      </w:pPr>
      <w:r>
        <w:rPr>
          <w:noProof/>
        </w:rPr>
        <w:lastRenderedPageBreak/>
        <w:drawing>
          <wp:anchor distT="0" distB="0" distL="114300" distR="114300" simplePos="0" relativeHeight="251658254" behindDoc="1" locked="0" layoutInCell="1" allowOverlap="1" wp14:anchorId="01256A1B" wp14:editId="303E84E9">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979406574" name="Picture 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06574" name="Picture 6" descr="A close-up of a document&#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554905">
        <w:br w:type="page"/>
      </w:r>
    </w:p>
    <w:p w14:paraId="0EB3609C" w14:textId="11BC3356" w:rsidR="00554905" w:rsidRDefault="00C41C55">
      <w:pPr>
        <w:tabs>
          <w:tab w:val="clear" w:pos="567"/>
        </w:tabs>
        <w:spacing w:before="0" w:line="240" w:lineRule="auto"/>
      </w:pPr>
      <w:r>
        <w:rPr>
          <w:noProof/>
        </w:rPr>
        <w:lastRenderedPageBreak/>
        <w:drawing>
          <wp:anchor distT="0" distB="0" distL="114300" distR="114300" simplePos="0" relativeHeight="251658255" behindDoc="1" locked="0" layoutInCell="1" allowOverlap="1" wp14:anchorId="7C0A1972" wp14:editId="7358C9B1">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504315248" name="Picture 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15248" name="Picture 7" descr="A close-up of a document&#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554905">
        <w:br w:type="page"/>
      </w:r>
    </w:p>
    <w:p w14:paraId="6B40C2F3" w14:textId="5B998A97" w:rsidR="00AD4A87" w:rsidRDefault="00167A28">
      <w:pPr>
        <w:tabs>
          <w:tab w:val="clear" w:pos="567"/>
        </w:tabs>
        <w:spacing w:before="0" w:line="240" w:lineRule="auto"/>
      </w:pPr>
      <w:r>
        <w:rPr>
          <w:noProof/>
        </w:rPr>
        <w:lastRenderedPageBreak/>
        <w:drawing>
          <wp:anchor distT="0" distB="0" distL="114300" distR="114300" simplePos="0" relativeHeight="251658256" behindDoc="1" locked="0" layoutInCell="1" allowOverlap="1" wp14:anchorId="2C66B44C" wp14:editId="41A85F32">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803977057" name="Picture 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77057" name="Picture 9" descr="A close-up of a document&#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108DCB79" w14:textId="77A6A480" w:rsidR="00AD4A87" w:rsidRDefault="00167A28">
      <w:pPr>
        <w:tabs>
          <w:tab w:val="clear" w:pos="567"/>
        </w:tabs>
        <w:spacing w:before="0" w:line="240" w:lineRule="auto"/>
      </w:pPr>
      <w:r>
        <w:rPr>
          <w:noProof/>
        </w:rPr>
        <w:lastRenderedPageBreak/>
        <w:drawing>
          <wp:anchor distT="0" distB="0" distL="114300" distR="114300" simplePos="0" relativeHeight="251658257" behindDoc="1" locked="0" layoutInCell="1" allowOverlap="1" wp14:anchorId="4F01C4A6" wp14:editId="28F45D34">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615638658" name="Picture 1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38658" name="Picture 10" descr="A close-up of a document&#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2FC58E19" w14:textId="4D70E4ED" w:rsidR="00AD4A87" w:rsidRDefault="00167A28">
      <w:pPr>
        <w:tabs>
          <w:tab w:val="clear" w:pos="567"/>
        </w:tabs>
        <w:spacing w:before="0" w:line="240" w:lineRule="auto"/>
      </w:pPr>
      <w:r>
        <w:rPr>
          <w:noProof/>
        </w:rPr>
        <w:lastRenderedPageBreak/>
        <w:drawing>
          <wp:anchor distT="0" distB="0" distL="114300" distR="114300" simplePos="0" relativeHeight="251658258" behindDoc="1" locked="0" layoutInCell="1" allowOverlap="1" wp14:anchorId="7F0B3155" wp14:editId="19C801A9">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745379133" name="Picture 1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379133" name="Picture 11" descr="A close-up of a paper&#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30085B77" w14:textId="5F16FBB6" w:rsidR="00AD4A87" w:rsidRDefault="00167A28">
      <w:pPr>
        <w:tabs>
          <w:tab w:val="clear" w:pos="567"/>
        </w:tabs>
        <w:spacing w:before="0" w:line="240" w:lineRule="auto"/>
      </w:pPr>
      <w:r>
        <w:rPr>
          <w:noProof/>
        </w:rPr>
        <w:lastRenderedPageBreak/>
        <w:drawing>
          <wp:anchor distT="0" distB="0" distL="114300" distR="114300" simplePos="0" relativeHeight="251658259" behindDoc="1" locked="0" layoutInCell="1" allowOverlap="1" wp14:anchorId="0FC36B6F" wp14:editId="5B745AB0">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527983817" name="Picture 1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83817" name="Picture 12" descr="A close-up of a document&#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494C9174" w14:textId="3023FD60" w:rsidR="00AD4A87" w:rsidRDefault="00167A28">
      <w:pPr>
        <w:tabs>
          <w:tab w:val="clear" w:pos="567"/>
        </w:tabs>
        <w:spacing w:before="0" w:line="240" w:lineRule="auto"/>
      </w:pPr>
      <w:r>
        <w:rPr>
          <w:noProof/>
        </w:rPr>
        <w:lastRenderedPageBreak/>
        <w:drawing>
          <wp:anchor distT="0" distB="0" distL="114300" distR="114300" simplePos="0" relativeHeight="251658260" behindDoc="1" locked="0" layoutInCell="1" allowOverlap="1" wp14:anchorId="6FBC0DBC" wp14:editId="2BB50B04">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216362244" name="Picture 1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62244" name="Picture 13" descr="A close-up of a document&#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35207699" w14:textId="4CBDB2FC" w:rsidR="00AD4A87" w:rsidRDefault="00B33D0D">
      <w:pPr>
        <w:tabs>
          <w:tab w:val="clear" w:pos="567"/>
        </w:tabs>
        <w:spacing w:before="0" w:line="240" w:lineRule="auto"/>
      </w:pPr>
      <w:r>
        <w:rPr>
          <w:noProof/>
        </w:rPr>
        <w:lastRenderedPageBreak/>
        <w:drawing>
          <wp:anchor distT="0" distB="0" distL="114300" distR="114300" simplePos="0" relativeHeight="251658261" behindDoc="1" locked="0" layoutInCell="1" allowOverlap="1" wp14:anchorId="24884A63" wp14:editId="273808C4">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324076305" name="Picture 1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76305" name="Picture 15" descr="A close-up of a document&#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7CF380E8" w14:textId="7C6DB64E" w:rsidR="00AD4A87" w:rsidRDefault="00B33D0D">
      <w:pPr>
        <w:tabs>
          <w:tab w:val="clear" w:pos="567"/>
        </w:tabs>
        <w:spacing w:before="0" w:line="240" w:lineRule="auto"/>
      </w:pPr>
      <w:r>
        <w:rPr>
          <w:noProof/>
        </w:rPr>
        <w:lastRenderedPageBreak/>
        <w:drawing>
          <wp:anchor distT="0" distB="0" distL="114300" distR="114300" simplePos="0" relativeHeight="251658262" behindDoc="1" locked="0" layoutInCell="1" allowOverlap="1" wp14:anchorId="17F7B6A4" wp14:editId="18D4651F">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851999256" name="Picture 1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99256" name="Picture 16" descr="A close-up of a document&#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70167F43" w14:textId="36363A8B" w:rsidR="00AD4A87" w:rsidRDefault="00B33D0D">
      <w:pPr>
        <w:tabs>
          <w:tab w:val="clear" w:pos="567"/>
        </w:tabs>
        <w:spacing w:before="0" w:line="240" w:lineRule="auto"/>
      </w:pPr>
      <w:r>
        <w:rPr>
          <w:noProof/>
        </w:rPr>
        <w:lastRenderedPageBreak/>
        <w:drawing>
          <wp:anchor distT="0" distB="0" distL="114300" distR="114300" simplePos="0" relativeHeight="251658263" behindDoc="1" locked="0" layoutInCell="1" allowOverlap="1" wp14:anchorId="5970BB8A" wp14:editId="4155EF91">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441673118" name="Picture 1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73118" name="Picture 17" descr="A close-up of a document&#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395282BC" w14:textId="009D6F31" w:rsidR="00AD4A87" w:rsidRDefault="00B33D0D">
      <w:pPr>
        <w:tabs>
          <w:tab w:val="clear" w:pos="567"/>
        </w:tabs>
        <w:spacing w:before="0" w:line="240" w:lineRule="auto"/>
      </w:pPr>
      <w:r>
        <w:rPr>
          <w:noProof/>
        </w:rPr>
        <w:lastRenderedPageBreak/>
        <w:drawing>
          <wp:anchor distT="0" distB="0" distL="114300" distR="114300" simplePos="0" relativeHeight="251658264" behindDoc="1" locked="0" layoutInCell="1" allowOverlap="1" wp14:anchorId="32BF5E81" wp14:editId="6F76F305">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567201809" name="Picture 1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01809" name="Picture 18" descr="A close-up of a document&#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76EA8F8D" w14:textId="3F62C009" w:rsidR="00AD4A87" w:rsidRDefault="00B33D0D">
      <w:pPr>
        <w:tabs>
          <w:tab w:val="clear" w:pos="567"/>
        </w:tabs>
        <w:spacing w:before="0" w:line="240" w:lineRule="auto"/>
      </w:pPr>
      <w:r>
        <w:rPr>
          <w:noProof/>
        </w:rPr>
        <w:lastRenderedPageBreak/>
        <w:drawing>
          <wp:anchor distT="0" distB="0" distL="114300" distR="114300" simplePos="0" relativeHeight="251658265" behindDoc="1" locked="0" layoutInCell="1" allowOverlap="1" wp14:anchorId="4A6DF176" wp14:editId="3B2AAE8C">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782088093" name="Picture 1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88093" name="Picture 19" descr="A close-up of a document&#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AD4A87">
        <w:br w:type="page"/>
      </w:r>
    </w:p>
    <w:p w14:paraId="4171536B" w14:textId="2BACBAA8" w:rsidR="00B33D0D" w:rsidRDefault="00B33D0D">
      <w:pPr>
        <w:tabs>
          <w:tab w:val="clear" w:pos="567"/>
        </w:tabs>
        <w:spacing w:before="0" w:line="240" w:lineRule="auto"/>
      </w:pPr>
      <w:r>
        <w:rPr>
          <w:noProof/>
        </w:rPr>
        <w:lastRenderedPageBreak/>
        <w:drawing>
          <wp:anchor distT="0" distB="0" distL="114300" distR="114300" simplePos="0" relativeHeight="251658266" behindDoc="1" locked="0" layoutInCell="1" allowOverlap="1" wp14:anchorId="1C819281" wp14:editId="305800FD">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364449620" name="Picture 2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49620" name="Picture 20" descr="A close-up of a document&#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8ADEE87" w14:textId="01D13AD4" w:rsidR="00B33D0D" w:rsidRDefault="00B33D0D">
      <w:pPr>
        <w:tabs>
          <w:tab w:val="clear" w:pos="567"/>
        </w:tabs>
        <w:spacing w:before="0" w:line="240" w:lineRule="auto"/>
      </w:pPr>
      <w:r>
        <w:rPr>
          <w:noProof/>
        </w:rPr>
        <w:lastRenderedPageBreak/>
        <w:drawing>
          <wp:anchor distT="0" distB="0" distL="114300" distR="114300" simplePos="0" relativeHeight="251658267" behindDoc="1" locked="0" layoutInCell="1" allowOverlap="1" wp14:anchorId="52CA932F" wp14:editId="159C82F0">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612701568" name="Picture 2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01568" name="Picture 21" descr="A close-up of a document&#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38D374C" w14:textId="64604488" w:rsidR="00B33D0D" w:rsidRDefault="00B33D0D">
      <w:pPr>
        <w:tabs>
          <w:tab w:val="clear" w:pos="567"/>
        </w:tabs>
        <w:spacing w:before="0" w:line="240" w:lineRule="auto"/>
      </w:pPr>
      <w:r>
        <w:rPr>
          <w:noProof/>
        </w:rPr>
        <w:lastRenderedPageBreak/>
        <w:drawing>
          <wp:anchor distT="0" distB="0" distL="114300" distR="114300" simplePos="0" relativeHeight="251658268" behindDoc="1" locked="0" layoutInCell="1" allowOverlap="1" wp14:anchorId="5C320F63" wp14:editId="1B57E297">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059164320" name="Picture 2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64320" name="Picture 22" descr="A close-up of a document&#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1023F1D" w14:textId="7992CC4C" w:rsidR="00B33D0D" w:rsidRDefault="00236333">
      <w:pPr>
        <w:tabs>
          <w:tab w:val="clear" w:pos="567"/>
        </w:tabs>
        <w:spacing w:before="0" w:line="240" w:lineRule="auto"/>
      </w:pPr>
      <w:r>
        <w:rPr>
          <w:noProof/>
        </w:rPr>
        <w:lastRenderedPageBreak/>
        <w:drawing>
          <wp:anchor distT="0" distB="0" distL="114300" distR="114300" simplePos="0" relativeHeight="251658269" behindDoc="1" locked="0" layoutInCell="1" allowOverlap="1" wp14:anchorId="0FB4795F" wp14:editId="6A24A842">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200276791" name="Picture 2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6791" name="Picture 23" descr="A close-up of a document&#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B33D0D">
        <w:br w:type="page"/>
      </w:r>
    </w:p>
    <w:p w14:paraId="407787C8" w14:textId="08E3A206" w:rsidR="00B33D0D" w:rsidRDefault="00236333">
      <w:pPr>
        <w:tabs>
          <w:tab w:val="clear" w:pos="567"/>
        </w:tabs>
        <w:spacing w:before="0" w:line="240" w:lineRule="auto"/>
      </w:pPr>
      <w:r>
        <w:rPr>
          <w:noProof/>
        </w:rPr>
        <w:lastRenderedPageBreak/>
        <w:drawing>
          <wp:anchor distT="0" distB="0" distL="114300" distR="114300" simplePos="0" relativeHeight="251658270" behindDoc="1" locked="0" layoutInCell="1" allowOverlap="1" wp14:anchorId="1FCB78AE" wp14:editId="687EF908">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611824979" name="Picture 2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24979" name="Picture 25" descr="A close-up of a document&#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B33D0D">
        <w:br w:type="page"/>
      </w:r>
    </w:p>
    <w:p w14:paraId="6B2479E2" w14:textId="6DE2702D" w:rsidR="00B33D0D" w:rsidRDefault="00236333">
      <w:pPr>
        <w:tabs>
          <w:tab w:val="clear" w:pos="567"/>
        </w:tabs>
        <w:spacing w:before="0" w:line="240" w:lineRule="auto"/>
      </w:pPr>
      <w:r>
        <w:rPr>
          <w:noProof/>
        </w:rPr>
        <w:lastRenderedPageBreak/>
        <w:drawing>
          <wp:anchor distT="0" distB="0" distL="114300" distR="114300" simplePos="0" relativeHeight="251658271" behindDoc="1" locked="0" layoutInCell="1" allowOverlap="1" wp14:anchorId="22F651DB" wp14:editId="03477C7A">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479657214" name="Picture 2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57214" name="Picture 27" descr="A close-up of a document&#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B33D0D">
        <w:br w:type="page"/>
      </w:r>
    </w:p>
    <w:p w14:paraId="419B6539" w14:textId="0648B956" w:rsidR="00B33D0D" w:rsidRDefault="002476CF">
      <w:pPr>
        <w:tabs>
          <w:tab w:val="clear" w:pos="567"/>
        </w:tabs>
        <w:spacing w:before="0" w:line="240" w:lineRule="auto"/>
      </w:pPr>
      <w:r>
        <w:rPr>
          <w:noProof/>
        </w:rPr>
        <w:lastRenderedPageBreak/>
        <w:drawing>
          <wp:anchor distT="0" distB="0" distL="114300" distR="114300" simplePos="0" relativeHeight="251658272" behindDoc="1" locked="0" layoutInCell="1" allowOverlap="1" wp14:anchorId="2EFAC31A" wp14:editId="3E7AACE4">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004313677" name="Picture 2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13677" name="Picture 29" descr="A close-up of a document&#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B33D0D">
        <w:br w:type="page"/>
      </w:r>
    </w:p>
    <w:p w14:paraId="346403C7" w14:textId="5B875169" w:rsidR="00B33D0D" w:rsidRDefault="009602CB">
      <w:pPr>
        <w:tabs>
          <w:tab w:val="clear" w:pos="567"/>
        </w:tabs>
        <w:spacing w:before="0" w:line="240" w:lineRule="auto"/>
      </w:pPr>
      <w:r>
        <w:rPr>
          <w:noProof/>
        </w:rPr>
        <w:lastRenderedPageBreak/>
        <w:drawing>
          <wp:anchor distT="0" distB="0" distL="114300" distR="114300" simplePos="0" relativeHeight="251658273" behindDoc="1" locked="0" layoutInCell="1" allowOverlap="1" wp14:anchorId="714B1C75" wp14:editId="346915EB">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110596925" name="Picture 33"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96925" name="Picture 33" descr="A close-up of a graph&#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B33D0D">
        <w:br w:type="page"/>
      </w:r>
    </w:p>
    <w:p w14:paraId="01C42FF7" w14:textId="66A15FBE" w:rsidR="00B33D0D" w:rsidRDefault="009602CB">
      <w:pPr>
        <w:tabs>
          <w:tab w:val="clear" w:pos="567"/>
        </w:tabs>
        <w:spacing w:before="0" w:line="240" w:lineRule="auto"/>
      </w:pPr>
      <w:r>
        <w:rPr>
          <w:noProof/>
        </w:rPr>
        <w:lastRenderedPageBreak/>
        <w:drawing>
          <wp:anchor distT="0" distB="0" distL="114300" distR="114300" simplePos="0" relativeHeight="251658274" behindDoc="1" locked="0" layoutInCell="1" allowOverlap="1" wp14:anchorId="57E2F87A" wp14:editId="66F0869D">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52532145" name="Picture 3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145" name="Picture 34" descr="A close-up of a document&#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B33D0D">
        <w:br w:type="page"/>
      </w:r>
    </w:p>
    <w:p w14:paraId="26EAB1DD" w14:textId="6601422F" w:rsidR="002476CF" w:rsidRDefault="009602CB">
      <w:pPr>
        <w:tabs>
          <w:tab w:val="clear" w:pos="567"/>
        </w:tabs>
        <w:spacing w:before="0" w:line="240" w:lineRule="auto"/>
      </w:pPr>
      <w:r>
        <w:rPr>
          <w:noProof/>
        </w:rPr>
        <w:lastRenderedPageBreak/>
        <w:drawing>
          <wp:anchor distT="0" distB="0" distL="114300" distR="114300" simplePos="0" relativeHeight="251658275" behindDoc="1" locked="0" layoutInCell="1" allowOverlap="1" wp14:anchorId="5954FE15" wp14:editId="1B5354FF">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809745587" name="Picture 35" descr="A graph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45587" name="Picture 35" descr="A graph on a white background&#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2476CF">
        <w:br w:type="page"/>
      </w:r>
    </w:p>
    <w:p w14:paraId="4799218E" w14:textId="19555855" w:rsidR="002476CF" w:rsidRDefault="009602CB">
      <w:pPr>
        <w:tabs>
          <w:tab w:val="clear" w:pos="567"/>
        </w:tabs>
        <w:spacing w:before="0" w:line="240" w:lineRule="auto"/>
      </w:pPr>
      <w:r>
        <w:rPr>
          <w:noProof/>
        </w:rPr>
        <w:lastRenderedPageBreak/>
        <w:drawing>
          <wp:anchor distT="0" distB="0" distL="114300" distR="114300" simplePos="0" relativeHeight="251658276" behindDoc="1" locked="0" layoutInCell="1" allowOverlap="1" wp14:anchorId="7A2A8367" wp14:editId="6179DE55">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848941337" name="Picture 36"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41337" name="Picture 36" descr="A close-up of a paper&#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2476CF">
        <w:br w:type="page"/>
      </w:r>
    </w:p>
    <w:p w14:paraId="11F83A24" w14:textId="60EBF842" w:rsidR="002476CF" w:rsidRDefault="009602CB">
      <w:pPr>
        <w:tabs>
          <w:tab w:val="clear" w:pos="567"/>
        </w:tabs>
        <w:spacing w:before="0" w:line="240" w:lineRule="auto"/>
      </w:pPr>
      <w:r>
        <w:rPr>
          <w:noProof/>
        </w:rPr>
        <w:lastRenderedPageBreak/>
        <w:drawing>
          <wp:anchor distT="0" distB="0" distL="114300" distR="114300" simplePos="0" relativeHeight="251658277" behindDoc="1" locked="0" layoutInCell="1" allowOverlap="1" wp14:anchorId="579FEE04" wp14:editId="49E496CC">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604665111" name="Picture 3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65111" name="Picture 37" descr="A close-up of a document&#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2476CF">
        <w:br w:type="page"/>
      </w:r>
    </w:p>
    <w:p w14:paraId="4466E1FC" w14:textId="04EC2B8D" w:rsidR="002476CF" w:rsidRDefault="009602CB">
      <w:pPr>
        <w:tabs>
          <w:tab w:val="clear" w:pos="567"/>
        </w:tabs>
        <w:spacing w:before="0" w:line="240" w:lineRule="auto"/>
      </w:pPr>
      <w:r>
        <w:rPr>
          <w:noProof/>
        </w:rPr>
        <w:lastRenderedPageBreak/>
        <w:drawing>
          <wp:anchor distT="0" distB="0" distL="114300" distR="114300" simplePos="0" relativeHeight="251658278" behindDoc="1" locked="0" layoutInCell="1" allowOverlap="1" wp14:anchorId="734F64B6" wp14:editId="43630C88">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493142710" name="Picture 3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142710" name="Picture 38" descr="A close-up of a document&#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2476CF">
        <w:br w:type="page"/>
      </w:r>
    </w:p>
    <w:p w14:paraId="05437593" w14:textId="466F0557" w:rsidR="002476CF" w:rsidRDefault="00105333">
      <w:pPr>
        <w:tabs>
          <w:tab w:val="clear" w:pos="567"/>
        </w:tabs>
        <w:spacing w:before="0" w:line="240" w:lineRule="auto"/>
      </w:pPr>
      <w:r>
        <w:rPr>
          <w:noProof/>
        </w:rPr>
        <w:lastRenderedPageBreak/>
        <w:drawing>
          <wp:anchor distT="0" distB="0" distL="114300" distR="114300" simplePos="0" relativeHeight="251658279" behindDoc="1" locked="0" layoutInCell="1" allowOverlap="1" wp14:anchorId="2C2CBE09" wp14:editId="1AB2408C">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2127252183" name="Picture 3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52183" name="Picture 39" descr="A close-up of a document&#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2476CF">
        <w:br w:type="page"/>
      </w:r>
    </w:p>
    <w:p w14:paraId="59D9ABBC" w14:textId="48265EA8" w:rsidR="002476CF" w:rsidRDefault="00105333">
      <w:pPr>
        <w:tabs>
          <w:tab w:val="clear" w:pos="567"/>
        </w:tabs>
        <w:spacing w:before="0" w:line="240" w:lineRule="auto"/>
      </w:pPr>
      <w:r>
        <w:rPr>
          <w:noProof/>
        </w:rPr>
        <w:lastRenderedPageBreak/>
        <w:drawing>
          <wp:anchor distT="0" distB="0" distL="114300" distR="114300" simplePos="0" relativeHeight="251658280" behindDoc="1" locked="0" layoutInCell="1" allowOverlap="1" wp14:anchorId="030A2A2D" wp14:editId="670A8C38">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392076139" name="Picture 4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76139" name="Picture 40" descr="A close-up of a document&#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2476CF">
        <w:br w:type="page"/>
      </w:r>
    </w:p>
    <w:p w14:paraId="66A9E2DD" w14:textId="2272BF4D" w:rsidR="009602CB" w:rsidRDefault="00105333">
      <w:pPr>
        <w:tabs>
          <w:tab w:val="clear" w:pos="567"/>
        </w:tabs>
        <w:spacing w:before="0" w:line="240" w:lineRule="auto"/>
      </w:pPr>
      <w:r>
        <w:rPr>
          <w:noProof/>
        </w:rPr>
        <w:lastRenderedPageBreak/>
        <w:drawing>
          <wp:anchor distT="0" distB="0" distL="114300" distR="114300" simplePos="0" relativeHeight="251658281" behindDoc="1" locked="0" layoutInCell="1" allowOverlap="1" wp14:anchorId="48CCA1C0" wp14:editId="7D7405AC">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539164924" name="Picture 4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64924" name="Picture 41" descr="A close-up of a document&#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2476CF">
        <w:br w:type="page"/>
      </w:r>
      <w:r>
        <w:rPr>
          <w:noProof/>
        </w:rPr>
        <w:lastRenderedPageBreak/>
        <w:drawing>
          <wp:anchor distT="0" distB="0" distL="114300" distR="114300" simplePos="0" relativeHeight="251658282" behindDoc="1" locked="0" layoutInCell="1" allowOverlap="1" wp14:anchorId="2721A03A" wp14:editId="1B7548BC">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821747472" name="Picture 43"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47472" name="Picture 43" descr="A document with text and numbers&#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9602CB">
        <w:br w:type="page"/>
      </w:r>
    </w:p>
    <w:p w14:paraId="19F7BA48" w14:textId="5EF9E303" w:rsidR="009602CB" w:rsidRDefault="00105333">
      <w:pPr>
        <w:tabs>
          <w:tab w:val="clear" w:pos="567"/>
        </w:tabs>
        <w:spacing w:before="0" w:line="240" w:lineRule="auto"/>
      </w:pPr>
      <w:r>
        <w:rPr>
          <w:noProof/>
        </w:rPr>
        <w:lastRenderedPageBreak/>
        <w:drawing>
          <wp:anchor distT="0" distB="0" distL="114300" distR="114300" simplePos="0" relativeHeight="251658283" behindDoc="1" locked="0" layoutInCell="1" allowOverlap="1" wp14:anchorId="3386CD12" wp14:editId="6B2C3EE2">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351914703" name="Picture 4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14703" name="Picture 44" descr="A close-up of a document&#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9602CB">
        <w:br w:type="page"/>
      </w:r>
    </w:p>
    <w:p w14:paraId="71574621" w14:textId="4DB71D55" w:rsidR="009602CB" w:rsidRDefault="00105333">
      <w:pPr>
        <w:tabs>
          <w:tab w:val="clear" w:pos="567"/>
        </w:tabs>
        <w:spacing w:before="0" w:line="240" w:lineRule="auto"/>
      </w:pPr>
      <w:r>
        <w:rPr>
          <w:noProof/>
        </w:rPr>
        <w:lastRenderedPageBreak/>
        <w:drawing>
          <wp:anchor distT="0" distB="0" distL="114300" distR="114300" simplePos="0" relativeHeight="251658284" behindDoc="1" locked="0" layoutInCell="1" allowOverlap="1" wp14:anchorId="04ED1A8D" wp14:editId="68644EB4">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1791288581" name="Picture 4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288581" name="Picture 45" descr="A close-up of a document&#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9602CB">
        <w:br w:type="page"/>
      </w:r>
    </w:p>
    <w:p w14:paraId="3CED7543" w14:textId="3999E764" w:rsidR="009602CB" w:rsidRDefault="00105333">
      <w:pPr>
        <w:tabs>
          <w:tab w:val="clear" w:pos="567"/>
        </w:tabs>
        <w:spacing w:before="0" w:line="240" w:lineRule="auto"/>
      </w:pPr>
      <w:r>
        <w:rPr>
          <w:noProof/>
        </w:rPr>
        <w:lastRenderedPageBreak/>
        <w:drawing>
          <wp:anchor distT="0" distB="0" distL="114300" distR="114300" simplePos="0" relativeHeight="251658285" behindDoc="1" locked="0" layoutInCell="1" allowOverlap="1" wp14:anchorId="604EABA9" wp14:editId="0D07340B">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334358365" name="Picture 4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58365" name="Picture 48" descr="A screenshot of a computer&#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9602CB">
        <w:br w:type="page"/>
      </w:r>
    </w:p>
    <w:p w14:paraId="460EE9EA" w14:textId="21D0D302" w:rsidR="009602CB" w:rsidRDefault="00105333">
      <w:pPr>
        <w:tabs>
          <w:tab w:val="clear" w:pos="567"/>
        </w:tabs>
        <w:spacing w:before="0" w:line="240" w:lineRule="auto"/>
      </w:pPr>
      <w:r>
        <w:rPr>
          <w:noProof/>
        </w:rPr>
        <w:lastRenderedPageBreak/>
        <w:drawing>
          <wp:anchor distT="0" distB="0" distL="114300" distR="114300" simplePos="0" relativeHeight="251658286" behindDoc="1" locked="0" layoutInCell="1" allowOverlap="1" wp14:anchorId="633BBE34" wp14:editId="14D36645">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237354770" name="Picture 4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54770" name="Picture 49" descr="A close-up of a document&#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r w:rsidR="009602CB">
        <w:br w:type="page"/>
      </w:r>
    </w:p>
    <w:p w14:paraId="2798DA06" w14:textId="4B9FA3BC" w:rsidR="00BB7ED2" w:rsidRPr="00264F31" w:rsidRDefault="00105333" w:rsidP="00195F30">
      <w:pPr>
        <w:tabs>
          <w:tab w:val="clear" w:pos="567"/>
        </w:tabs>
        <w:spacing w:before="0" w:line="240" w:lineRule="auto"/>
      </w:pPr>
      <w:r>
        <w:rPr>
          <w:noProof/>
        </w:rPr>
        <w:lastRenderedPageBreak/>
        <w:drawing>
          <wp:anchor distT="0" distB="0" distL="114300" distR="114300" simplePos="0" relativeHeight="251658287" behindDoc="1" locked="0" layoutInCell="1" allowOverlap="1" wp14:anchorId="583D2FEF" wp14:editId="170779AB">
            <wp:simplePos x="0" y="0"/>
            <wp:positionH relativeFrom="column">
              <wp:posOffset>-648335</wp:posOffset>
            </wp:positionH>
            <wp:positionV relativeFrom="page">
              <wp:posOffset>723900</wp:posOffset>
            </wp:positionV>
            <wp:extent cx="6490800" cy="9176400"/>
            <wp:effectExtent l="0" t="0" r="5715" b="5715"/>
            <wp:wrapTight wrapText="bothSides">
              <wp:wrapPolygon edited="0">
                <wp:start x="0" y="0"/>
                <wp:lineTo x="0" y="21569"/>
                <wp:lineTo x="21556" y="21569"/>
                <wp:lineTo x="21556" y="0"/>
                <wp:lineTo x="0" y="0"/>
              </wp:wrapPolygon>
            </wp:wrapTight>
            <wp:docPr id="381009921" name="Picture 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09921" name="Picture 50" descr="A screenshot of a computer&#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490800" cy="9176400"/>
                    </a:xfrm>
                    <a:prstGeom prst="rect">
                      <a:avLst/>
                    </a:prstGeom>
                  </pic:spPr>
                </pic:pic>
              </a:graphicData>
            </a:graphic>
            <wp14:sizeRelH relativeFrom="margin">
              <wp14:pctWidth>0</wp14:pctWidth>
            </wp14:sizeRelH>
            <wp14:sizeRelV relativeFrom="margin">
              <wp14:pctHeight>0</wp14:pctHeight>
            </wp14:sizeRelV>
          </wp:anchor>
        </w:drawing>
      </w:r>
    </w:p>
    <w:sectPr w:rsidR="00BB7ED2" w:rsidRPr="00264F31" w:rsidSect="00B11E7F">
      <w:headerReference w:type="first" r:id="rId90"/>
      <w:footerReference w:type="first" r:id="rId91"/>
      <w:pgSz w:w="11900" w:h="16840"/>
      <w:pgMar w:top="1134" w:right="1418" w:bottom="1021" w:left="1418" w:header="454" w:footer="284" w:gutter="0"/>
      <w:pgNumType w:start="3"/>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DDB79B" w14:textId="77777777" w:rsidR="00985852" w:rsidRDefault="00985852" w:rsidP="005C0550">
      <w:pPr>
        <w:spacing w:before="0" w:line="240" w:lineRule="auto"/>
      </w:pPr>
      <w:r>
        <w:separator/>
      </w:r>
    </w:p>
  </w:endnote>
  <w:endnote w:type="continuationSeparator" w:id="0">
    <w:p w14:paraId="50BC9AE0" w14:textId="77777777" w:rsidR="00985852" w:rsidRDefault="00985852" w:rsidP="005C0550">
      <w:pPr>
        <w:spacing w:before="0" w:line="240" w:lineRule="auto"/>
      </w:pPr>
      <w:r>
        <w:continuationSeparator/>
      </w:r>
    </w:p>
  </w:endnote>
  <w:endnote w:type="continuationNotice" w:id="1">
    <w:p w14:paraId="67A90C7E" w14:textId="77777777" w:rsidR="00985852" w:rsidRDefault="00985852">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ork Sans">
    <w:altName w:val="Calibri"/>
    <w:charset w:val="00"/>
    <w:family w:val="auto"/>
    <w:pitch w:val="variable"/>
    <w:sig w:usb0="A00000FF" w:usb1="5000E07B" w:usb2="00000000" w:usb3="00000000" w:csb0="00000193" w:csb1="00000000"/>
  </w:font>
  <w:font w:name="Yu Gothic Light">
    <w:altName w:val="游ゴシック Light"/>
    <w:panose1 w:val="020B0300000000000000"/>
    <w:charset w:val="80"/>
    <w:family w:val="swiss"/>
    <w:pitch w:val="variable"/>
    <w:sig w:usb0="E00002FF" w:usb1="2AC7FDFF" w:usb2="00000016" w:usb3="00000000" w:csb0="0002009F" w:csb1="00000000"/>
  </w:font>
  <w:font w:name="Open Sans">
    <w:panose1 w:val="020B0606030504020204"/>
    <w:charset w:val="00"/>
    <w:family w:val="swiss"/>
    <w:pitch w:val="variable"/>
    <w:sig w:usb0="E00002EF" w:usb1="4000205B" w:usb2="00000028" w:usb3="00000000" w:csb0="0000019F" w:csb1="00000000"/>
  </w:font>
  <w:font w:name="Open Sans Semibold">
    <w:altName w:val="Segoe UI"/>
    <w:panose1 w:val="020B07060308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Open Sans Light">
    <w:panose1 w:val="020B03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Work Sans SemiBold">
    <w:charset w:val="00"/>
    <w:family w:val="auto"/>
    <w:pitch w:val="variable"/>
    <w:sig w:usb0="A00000FF" w:usb1="5000E07B" w:usb2="00000000" w:usb3="00000000" w:csb0="00000193"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35555125"/>
      <w:docPartObj>
        <w:docPartGallery w:val="Page Numbers (Bottom of Page)"/>
        <w:docPartUnique/>
      </w:docPartObj>
    </w:sdtPr>
    <w:sdtContent>
      <w:p w14:paraId="74BA921F" w14:textId="6D01AF84" w:rsidR="008B3F9B" w:rsidRDefault="008B3F9B" w:rsidP="0022730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E6B37">
          <w:rPr>
            <w:rStyle w:val="PageNumber"/>
            <w:noProof/>
          </w:rPr>
          <w:t>2</w:t>
        </w:r>
        <w:r>
          <w:rPr>
            <w:rStyle w:val="PageNumber"/>
          </w:rPr>
          <w:fldChar w:fldCharType="end"/>
        </w:r>
      </w:p>
    </w:sdtContent>
  </w:sdt>
  <w:p w14:paraId="7003134E" w14:textId="77777777" w:rsidR="008B3F9B" w:rsidRDefault="008B3F9B" w:rsidP="008B3F9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F94C8" w14:textId="0BE31791" w:rsidR="00D31B41" w:rsidRDefault="00000000">
    <w:pPr>
      <w:pStyle w:val="Footer"/>
      <w:jc w:val="right"/>
    </w:pPr>
    <w:sdt>
      <w:sdtPr>
        <w:id w:val="1119722534"/>
        <w:docPartObj>
          <w:docPartGallery w:val="Page Numbers (Bottom of Page)"/>
          <w:docPartUnique/>
        </w:docPartObj>
      </w:sdtPr>
      <w:sdtEndPr>
        <w:rPr>
          <w:noProof/>
        </w:rPr>
      </w:sdtEndPr>
      <w:sdtContent>
        <w:r w:rsidR="005E1C15" w:rsidRPr="00764D5F">
          <w:rPr>
            <w:rFonts w:ascii="Open Sans Semibold" w:eastAsia="Calibri" w:hAnsi="Open Sans Semibold" w:cs="Open Sans Semibold"/>
            <w:bCs/>
            <w:color w:val="006991"/>
            <w:sz w:val="14"/>
            <w:szCs w:val="14"/>
          </w:rPr>
          <w:t>Commonwealth Grants Commission</w:t>
        </w:r>
        <w:r w:rsidR="005E1C15" w:rsidRPr="00771CC1">
          <w:t xml:space="preserve"> </w:t>
        </w:r>
        <w:r w:rsidR="00C01D2B" w:rsidRPr="00764D5F">
          <w:rPr>
            <w:rFonts w:ascii="Open Sans" w:hAnsi="Open Sans" w:cs="Open Sans"/>
            <w:color w:val="000000"/>
            <w:sz w:val="14"/>
            <w:szCs w:val="14"/>
          </w:rPr>
          <w:t>202</w:t>
        </w:r>
        <w:r w:rsidR="00C01D2B">
          <w:rPr>
            <w:rFonts w:ascii="Open Sans" w:hAnsi="Open Sans" w:cs="Open Sans"/>
            <w:color w:val="000000"/>
            <w:sz w:val="14"/>
            <w:szCs w:val="14"/>
          </w:rPr>
          <w:t>6</w:t>
        </w:r>
        <w:r w:rsidR="00C01D2B" w:rsidRPr="00764D5F">
          <w:rPr>
            <w:rFonts w:ascii="Open Sans" w:hAnsi="Open Sans" w:cs="Open Sans"/>
            <w:color w:val="000000"/>
            <w:sz w:val="14"/>
            <w:szCs w:val="14"/>
          </w:rPr>
          <w:t xml:space="preserve"> Update</w:t>
        </w:r>
        <w:r w:rsidR="00C01D2B">
          <w:rPr>
            <w:rFonts w:ascii="Open Sans" w:hAnsi="Open Sans" w:cs="Open Sans"/>
            <w:color w:val="000000"/>
            <w:sz w:val="14"/>
            <w:szCs w:val="14"/>
          </w:rPr>
          <w:t xml:space="preserve"> </w:t>
        </w:r>
        <w:r w:rsidR="00C01D2B" w:rsidRPr="00764D5F">
          <w:rPr>
            <w:rFonts w:ascii="Open Sans" w:hAnsi="Open Sans" w:cs="Open Sans"/>
            <w:color w:val="000000"/>
            <w:sz w:val="14"/>
            <w:szCs w:val="14"/>
          </w:rPr>
          <w:t>GST Relativities</w:t>
        </w:r>
        <w:r w:rsidR="00C01D2B">
          <w:rPr>
            <w:rFonts w:ascii="Open Sans" w:hAnsi="Open Sans" w:cs="Open Sans"/>
            <w:color w:val="000000"/>
            <w:sz w:val="14"/>
            <w:szCs w:val="14"/>
          </w:rPr>
          <w:t xml:space="preserve"> 2026–27</w:t>
        </w:r>
        <w:r w:rsidR="005E1C15">
          <w:rPr>
            <w:rFonts w:ascii="Open Sans" w:hAnsi="Open Sans" w:cs="Open Sans"/>
            <w:color w:val="000000"/>
            <w:sz w:val="14"/>
            <w:szCs w:val="14"/>
          </w:rPr>
          <w:tab/>
        </w:r>
        <w:r w:rsidR="005E1C15" w:rsidRPr="00764D5F">
          <w:rPr>
            <w:sz w:val="14"/>
            <w:szCs w:val="14"/>
          </w:rPr>
          <w:t xml:space="preserve"> </w:t>
        </w:r>
        <w:r w:rsidR="00D31B41" w:rsidRPr="00FD1D05">
          <w:rPr>
            <w:sz w:val="14"/>
            <w:szCs w:val="14"/>
          </w:rPr>
          <w:fldChar w:fldCharType="begin"/>
        </w:r>
        <w:r w:rsidR="00D31B41" w:rsidRPr="00FD1D05">
          <w:rPr>
            <w:sz w:val="14"/>
            <w:szCs w:val="14"/>
          </w:rPr>
          <w:instrText xml:space="preserve"> PAGE   \* MERGEFORMAT </w:instrText>
        </w:r>
        <w:r w:rsidR="00D31B41" w:rsidRPr="00FD1D05">
          <w:rPr>
            <w:sz w:val="14"/>
            <w:szCs w:val="14"/>
          </w:rPr>
          <w:fldChar w:fldCharType="separate"/>
        </w:r>
        <w:r w:rsidR="00D31B41" w:rsidRPr="00FD1D05">
          <w:rPr>
            <w:noProof/>
            <w:sz w:val="14"/>
            <w:szCs w:val="14"/>
          </w:rPr>
          <w:t>2</w:t>
        </w:r>
        <w:r w:rsidR="00D31B41" w:rsidRPr="00FD1D05">
          <w:rPr>
            <w:noProof/>
            <w:sz w:val="14"/>
            <w:szCs w:val="14"/>
          </w:rPr>
          <w:fldChar w:fldCharType="end"/>
        </w:r>
      </w:sdtContent>
    </w:sdt>
  </w:p>
  <w:p w14:paraId="0BB28183" w14:textId="77777777" w:rsidR="00C60727" w:rsidRDefault="00C6072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A224F" w14:textId="41439355" w:rsidR="00B413FE" w:rsidRDefault="00B413FE">
    <w:pPr>
      <w:pStyle w:val="Footer"/>
      <w:jc w:val="right"/>
    </w:pPr>
  </w:p>
  <w:p w14:paraId="4D7CD23C" w14:textId="05269B5A" w:rsidR="00B413FE" w:rsidRDefault="00B413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BC889" w14:textId="42EB16D4" w:rsidR="00C45C50" w:rsidRDefault="005D574C" w:rsidP="005D574C">
    <w:pPr>
      <w:pStyle w:val="Footer"/>
    </w:pPr>
    <w:r w:rsidRPr="00764D5F">
      <w:rPr>
        <w:rFonts w:ascii="Open Sans Semibold" w:eastAsia="Calibri" w:hAnsi="Open Sans Semibold" w:cs="Open Sans Semibold"/>
        <w:bCs/>
        <w:color w:val="006991"/>
        <w:sz w:val="14"/>
        <w:szCs w:val="14"/>
      </w:rPr>
      <w:t>Commonwealth Grants Commission</w:t>
    </w:r>
    <w:r w:rsidRPr="00771CC1">
      <w:t xml:space="preserve"> </w:t>
    </w:r>
    <w:r w:rsidRPr="00764D5F">
      <w:rPr>
        <w:rFonts w:ascii="Open Sans" w:hAnsi="Open Sans" w:cs="Open Sans"/>
        <w:color w:val="000000"/>
        <w:sz w:val="14"/>
        <w:szCs w:val="14"/>
      </w:rPr>
      <w:t>202</w:t>
    </w:r>
    <w:r>
      <w:rPr>
        <w:rFonts w:ascii="Open Sans" w:hAnsi="Open Sans" w:cs="Open Sans"/>
        <w:color w:val="000000"/>
        <w:sz w:val="14"/>
        <w:szCs w:val="14"/>
      </w:rPr>
      <w:t>6</w:t>
    </w:r>
    <w:r w:rsidRPr="00764D5F">
      <w:rPr>
        <w:rFonts w:ascii="Open Sans" w:hAnsi="Open Sans" w:cs="Open Sans"/>
        <w:color w:val="000000"/>
        <w:sz w:val="14"/>
        <w:szCs w:val="14"/>
      </w:rPr>
      <w:t xml:space="preserve"> Update</w:t>
    </w:r>
    <w:r w:rsidR="00DC4446">
      <w:rPr>
        <w:rFonts w:ascii="Open Sans" w:hAnsi="Open Sans" w:cs="Open Sans"/>
        <w:color w:val="000000"/>
        <w:sz w:val="14"/>
        <w:szCs w:val="14"/>
      </w:rPr>
      <w:t xml:space="preserve"> </w:t>
    </w:r>
    <w:r w:rsidR="00DC4446" w:rsidRPr="00764D5F">
      <w:rPr>
        <w:rFonts w:ascii="Open Sans" w:hAnsi="Open Sans" w:cs="Open Sans"/>
        <w:color w:val="000000"/>
        <w:sz w:val="14"/>
        <w:szCs w:val="14"/>
      </w:rPr>
      <w:t>GST Relativities</w:t>
    </w:r>
    <w:r w:rsidR="00DC4446">
      <w:rPr>
        <w:rFonts w:ascii="Open Sans" w:hAnsi="Open Sans" w:cs="Open Sans"/>
        <w:color w:val="000000"/>
        <w:sz w:val="14"/>
        <w:szCs w:val="14"/>
      </w:rPr>
      <w:t xml:space="preserve"> 2026</w:t>
    </w:r>
    <w:r w:rsidR="00C01D2B">
      <w:rPr>
        <w:rFonts w:ascii="Open Sans" w:hAnsi="Open Sans" w:cs="Open Sans"/>
        <w:color w:val="000000"/>
        <w:sz w:val="14"/>
        <w:szCs w:val="14"/>
      </w:rPr>
      <w:t>–27</w:t>
    </w:r>
  </w:p>
  <w:p w14:paraId="2409062A" w14:textId="7759788C" w:rsidR="00C45C50" w:rsidRDefault="00C45C5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53160" w14:textId="7ABA24B9" w:rsidR="00C45C50" w:rsidRDefault="00000000">
    <w:pPr>
      <w:pStyle w:val="Footer"/>
      <w:jc w:val="right"/>
    </w:pPr>
    <w:sdt>
      <w:sdtPr>
        <w:id w:val="1046019295"/>
        <w:docPartObj>
          <w:docPartGallery w:val="Page Numbers (Bottom of Page)"/>
          <w:docPartUnique/>
        </w:docPartObj>
      </w:sdtPr>
      <w:sdtEndPr>
        <w:rPr>
          <w:noProof/>
        </w:rPr>
      </w:sdtEndPr>
      <w:sdtContent>
        <w:r w:rsidR="005D574C" w:rsidRPr="00764D5F">
          <w:rPr>
            <w:rFonts w:ascii="Open Sans Semibold" w:eastAsia="Calibri" w:hAnsi="Open Sans Semibold" w:cs="Open Sans Semibold"/>
            <w:bCs/>
            <w:color w:val="006991"/>
            <w:sz w:val="14"/>
            <w:szCs w:val="14"/>
          </w:rPr>
          <w:t>Commonwealth Grants Commission</w:t>
        </w:r>
        <w:r w:rsidR="005D574C" w:rsidRPr="00771CC1">
          <w:t xml:space="preserve"> </w:t>
        </w:r>
        <w:r w:rsidR="00C01D2B" w:rsidRPr="00764D5F">
          <w:rPr>
            <w:rFonts w:ascii="Open Sans" w:hAnsi="Open Sans" w:cs="Open Sans"/>
            <w:color w:val="000000"/>
            <w:sz w:val="14"/>
            <w:szCs w:val="14"/>
          </w:rPr>
          <w:t>202</w:t>
        </w:r>
        <w:r w:rsidR="00C01D2B">
          <w:rPr>
            <w:rFonts w:ascii="Open Sans" w:hAnsi="Open Sans" w:cs="Open Sans"/>
            <w:color w:val="000000"/>
            <w:sz w:val="14"/>
            <w:szCs w:val="14"/>
          </w:rPr>
          <w:t>6</w:t>
        </w:r>
        <w:r w:rsidR="00C01D2B" w:rsidRPr="00764D5F">
          <w:rPr>
            <w:rFonts w:ascii="Open Sans" w:hAnsi="Open Sans" w:cs="Open Sans"/>
            <w:color w:val="000000"/>
            <w:sz w:val="14"/>
            <w:szCs w:val="14"/>
          </w:rPr>
          <w:t xml:space="preserve"> Update</w:t>
        </w:r>
        <w:r w:rsidR="00C01D2B">
          <w:rPr>
            <w:rFonts w:ascii="Open Sans" w:hAnsi="Open Sans" w:cs="Open Sans"/>
            <w:color w:val="000000"/>
            <w:sz w:val="14"/>
            <w:szCs w:val="14"/>
          </w:rPr>
          <w:t xml:space="preserve"> </w:t>
        </w:r>
        <w:r w:rsidR="00C01D2B" w:rsidRPr="00764D5F">
          <w:rPr>
            <w:rFonts w:ascii="Open Sans" w:hAnsi="Open Sans" w:cs="Open Sans"/>
            <w:color w:val="000000"/>
            <w:sz w:val="14"/>
            <w:szCs w:val="14"/>
          </w:rPr>
          <w:t>GST Relativities</w:t>
        </w:r>
        <w:r w:rsidR="00C01D2B">
          <w:rPr>
            <w:rFonts w:ascii="Open Sans" w:hAnsi="Open Sans" w:cs="Open Sans"/>
            <w:color w:val="000000"/>
            <w:sz w:val="14"/>
            <w:szCs w:val="14"/>
          </w:rPr>
          <w:t xml:space="preserve"> 2026–27</w:t>
        </w:r>
        <w:r w:rsidR="005E1C15">
          <w:rPr>
            <w:sz w:val="14"/>
            <w:szCs w:val="14"/>
          </w:rPr>
          <w:tab/>
        </w:r>
        <w:r w:rsidR="00C45C50" w:rsidRPr="009F44D0">
          <w:rPr>
            <w:sz w:val="14"/>
            <w:szCs w:val="14"/>
          </w:rPr>
          <w:fldChar w:fldCharType="begin"/>
        </w:r>
        <w:r w:rsidR="00C45C50" w:rsidRPr="009F44D0">
          <w:rPr>
            <w:sz w:val="14"/>
            <w:szCs w:val="14"/>
          </w:rPr>
          <w:instrText xml:space="preserve"> PAGE   \* MERGEFORMAT </w:instrText>
        </w:r>
        <w:r w:rsidR="00C45C50" w:rsidRPr="009F44D0">
          <w:rPr>
            <w:sz w:val="14"/>
            <w:szCs w:val="14"/>
          </w:rPr>
          <w:fldChar w:fldCharType="separate"/>
        </w:r>
        <w:r w:rsidR="00C45C50" w:rsidRPr="009F44D0">
          <w:rPr>
            <w:noProof/>
            <w:sz w:val="14"/>
            <w:szCs w:val="14"/>
          </w:rPr>
          <w:t>2</w:t>
        </w:r>
        <w:r w:rsidR="00C45C50" w:rsidRPr="009F44D0">
          <w:rPr>
            <w:noProof/>
            <w:sz w:val="14"/>
            <w:szCs w:val="14"/>
          </w:rPr>
          <w:fldChar w:fldCharType="end"/>
        </w:r>
      </w:sdtContent>
    </w:sdt>
  </w:p>
  <w:p w14:paraId="65D408D0" w14:textId="77777777" w:rsidR="00C45C50" w:rsidRDefault="00C45C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65DDC2" w14:textId="77777777" w:rsidR="00985852" w:rsidRDefault="00985852" w:rsidP="005C0550">
      <w:pPr>
        <w:spacing w:before="0" w:line="240" w:lineRule="auto"/>
      </w:pPr>
      <w:r>
        <w:separator/>
      </w:r>
    </w:p>
  </w:footnote>
  <w:footnote w:type="continuationSeparator" w:id="0">
    <w:p w14:paraId="1080922E" w14:textId="77777777" w:rsidR="00985852" w:rsidRDefault="00985852" w:rsidP="005C0550">
      <w:pPr>
        <w:spacing w:before="0" w:line="240" w:lineRule="auto"/>
      </w:pPr>
      <w:r>
        <w:continuationSeparator/>
      </w:r>
    </w:p>
  </w:footnote>
  <w:footnote w:type="continuationNotice" w:id="1">
    <w:p w14:paraId="2B367DD0" w14:textId="77777777" w:rsidR="00985852" w:rsidRDefault="00985852">
      <w:pPr>
        <w:spacing w:before="0" w:line="240" w:lineRule="auto"/>
      </w:pPr>
    </w:p>
  </w:footnote>
  <w:footnote w:id="2">
    <w:p w14:paraId="40F6285D" w14:textId="28000426" w:rsidR="00095D2C" w:rsidRDefault="00095D2C">
      <w:pPr>
        <w:pStyle w:val="FootnoteText"/>
      </w:pPr>
      <w:r w:rsidRPr="002C374B">
        <w:rPr>
          <w:rStyle w:val="FootnoteReference"/>
          <w:szCs w:val="20"/>
          <w:vertAlign w:val="superscript"/>
        </w:rPr>
        <w:footnoteRef/>
      </w:r>
      <w:r w:rsidRPr="002C374B">
        <w:t xml:space="preserve"> </w:t>
      </w:r>
      <w:r w:rsidR="00C24477" w:rsidRPr="002C374B">
        <w:t xml:space="preserve">The GST pool is defined in the glossary, which is available on the </w:t>
      </w:r>
      <w:r w:rsidR="008B69E0">
        <w:t>Commission’s</w:t>
      </w:r>
      <w:r w:rsidR="008B69E0" w:rsidRPr="002C374B">
        <w:t xml:space="preserve"> </w:t>
      </w:r>
      <w:r w:rsidR="00C24477" w:rsidRPr="002C374B">
        <w:t>website: </w:t>
      </w:r>
      <w:hyperlink r:id="rId1" w:tgtFrame="_blank" w:tooltip="http://www.cgc.gov.au/publications/glossary" w:history="1">
        <w:r w:rsidR="00C24477" w:rsidRPr="002C374B">
          <w:rPr>
            <w:rStyle w:val="Hyperlink"/>
          </w:rPr>
          <w:t>www.cgc.gov.au/publications/glossary</w:t>
        </w:r>
      </w:hyperlink>
      <w:r w:rsidR="00C24477" w:rsidRPr="002C374B">
        <w:t>.</w:t>
      </w:r>
    </w:p>
  </w:footnote>
  <w:footnote w:id="3">
    <w:p w14:paraId="6F7F9EAD" w14:textId="77777777" w:rsidR="00B74E38" w:rsidRDefault="00B74E38" w:rsidP="00B74E38">
      <w:pPr>
        <w:pStyle w:val="FootnoteText"/>
      </w:pPr>
      <w:r w:rsidRPr="00A24F1F">
        <w:rPr>
          <w:rStyle w:val="FootnoteReference"/>
          <w:vertAlign w:val="superscript"/>
        </w:rPr>
        <w:footnoteRef/>
      </w:r>
      <w:r>
        <w:t xml:space="preserve"> </w:t>
      </w:r>
      <w:r w:rsidRPr="00B74E38">
        <w:t>In determining whether a state is worse off under the 2018 GST distribution legislation, consideration is given to the extent to which a state has gained from Commonwealth top-ups to the GST pool.</w:t>
      </w:r>
      <w:r>
        <w:t xml:space="preserve"> </w:t>
      </w:r>
    </w:p>
  </w:footnote>
  <w:footnote w:id="4">
    <w:p w14:paraId="603216A2" w14:textId="56D7C084" w:rsidR="00B857D2" w:rsidRDefault="00B857D2" w:rsidP="00B857D2">
      <w:pPr>
        <w:pStyle w:val="FootnoteText"/>
      </w:pPr>
      <w:r w:rsidRPr="004A204E">
        <w:rPr>
          <w:rStyle w:val="FootnoteReference"/>
          <w:vertAlign w:val="superscript"/>
        </w:rPr>
        <w:footnoteRef/>
      </w:r>
      <w:r w:rsidRPr="00355615">
        <w:rPr>
          <w:sz w:val="18"/>
          <w:szCs w:val="24"/>
        </w:rPr>
        <w:t xml:space="preserve"> </w:t>
      </w:r>
      <w:hyperlink r:id="rId2" w:history="1">
        <w:r w:rsidRPr="00743757">
          <w:rPr>
            <w:rStyle w:val="Hyperlink"/>
            <w:i/>
            <w:iCs/>
          </w:rPr>
          <w:t>Commonwealth Grants Commission Act 1973</w:t>
        </w:r>
      </w:hyperlink>
      <w:r>
        <w:t>;</w:t>
      </w:r>
      <w:r w:rsidRPr="00743757">
        <w:t xml:space="preserve"> </w:t>
      </w:r>
      <w:hyperlink r:id="rId3" w:history="1">
        <w:r w:rsidRPr="00743757">
          <w:rPr>
            <w:rStyle w:val="Hyperlink"/>
            <w:i/>
            <w:iCs/>
          </w:rPr>
          <w:t>Federal Financial Relations Act 2009</w:t>
        </w:r>
      </w:hyperlink>
      <w:r>
        <w:t>;</w:t>
      </w:r>
      <w:r w:rsidRPr="00743757">
        <w:t xml:space="preserve"> </w:t>
      </w:r>
      <w:hyperlink r:id="rId4" w:history="1">
        <w:r w:rsidRPr="005D0646">
          <w:rPr>
            <w:rStyle w:val="Hyperlink"/>
            <w:i/>
            <w:iCs/>
          </w:rPr>
          <w:t>Treasury Laws Amendment (Making Sure Every State and Territory Gets Their Fair Share of GST) Act 2018</w:t>
        </w:r>
      </w:hyperlink>
      <w:r w:rsidR="004A2C18">
        <w:t>.</w:t>
      </w:r>
    </w:p>
  </w:footnote>
  <w:footnote w:id="5">
    <w:p w14:paraId="7C9B377D" w14:textId="069BB7E6" w:rsidR="00B857D2" w:rsidRDefault="00B857D2" w:rsidP="00B857D2">
      <w:pPr>
        <w:pStyle w:val="FootnoteText"/>
        <w:ind w:left="112" w:hanging="112"/>
      </w:pPr>
      <w:r w:rsidRPr="004A204E">
        <w:rPr>
          <w:rStyle w:val="FootnoteReference"/>
          <w:vertAlign w:val="superscript"/>
        </w:rPr>
        <w:footnoteRef/>
      </w:r>
      <w:r w:rsidRPr="00F066A8">
        <w:rPr>
          <w:sz w:val="20"/>
          <w:vertAlign w:val="superscript"/>
        </w:rPr>
        <w:t xml:space="preserve"> </w:t>
      </w:r>
      <w:hyperlink r:id="rId5" w:anchor=":~:text=This%20Agreement%20will%20assist%20states,providing%20untied%20payments%20to%20states." w:history="1">
        <w:r w:rsidRPr="00867E19">
          <w:rPr>
            <w:rStyle w:val="Hyperlink"/>
            <w:szCs w:val="14"/>
          </w:rPr>
          <w:t>Extension of the GST No Worse Off Gu</w:t>
        </w:r>
        <w:bookmarkStart w:id="35" w:name="_Hlt221009724"/>
        <w:bookmarkStart w:id="36" w:name="_Hlt221009725"/>
        <w:r w:rsidRPr="00867E19">
          <w:rPr>
            <w:rStyle w:val="Hyperlink"/>
            <w:szCs w:val="14"/>
          </w:rPr>
          <w:t>a</w:t>
        </w:r>
        <w:bookmarkEnd w:id="35"/>
        <w:bookmarkEnd w:id="36"/>
        <w:r w:rsidRPr="00867E19">
          <w:rPr>
            <w:rStyle w:val="Hyperlink"/>
            <w:szCs w:val="14"/>
          </w:rPr>
          <w:t>rantee</w:t>
        </w:r>
        <w:r>
          <w:rPr>
            <w:rStyle w:val="Hyperlink"/>
            <w:szCs w:val="14"/>
          </w:rPr>
          <w:t xml:space="preserve"> Agreement</w:t>
        </w:r>
      </w:hyperlink>
      <w:r w:rsidRPr="00E54DC1">
        <w:t>, 2024.</w:t>
      </w:r>
      <w:r>
        <w:rPr>
          <w:szCs w:val="14"/>
        </w:rPr>
        <w:t xml:space="preserve"> </w:t>
      </w:r>
    </w:p>
  </w:footnote>
  <w:footnote w:id="6">
    <w:p w14:paraId="2C0629F3" w14:textId="09FC6672" w:rsidR="000801E5" w:rsidRPr="00D40A12" w:rsidRDefault="000801E5" w:rsidP="000801E5">
      <w:pPr>
        <w:pStyle w:val="FootnoteText"/>
      </w:pPr>
      <w:r w:rsidRPr="00B875E3">
        <w:rPr>
          <w:sz w:val="20"/>
          <w:vertAlign w:val="superscript"/>
        </w:rPr>
        <w:footnoteRef/>
      </w:r>
      <w:r w:rsidRPr="00B875E3">
        <w:rPr>
          <w:sz w:val="20"/>
          <w:vertAlign w:val="superscript"/>
        </w:rPr>
        <w:t xml:space="preserve"> </w:t>
      </w:r>
      <w:r w:rsidRPr="00D40A12">
        <w:t xml:space="preserve">Under the </w:t>
      </w:r>
      <w:r w:rsidRPr="00B10ABA">
        <w:rPr>
          <w:i/>
        </w:rPr>
        <w:t>Charter of Budget Honesty Act 1998</w:t>
      </w:r>
      <w:r w:rsidRPr="00D40A12">
        <w:t>, the 2026–27 Final Budget Outcome must be published no later than 3 months after the end of the financial year</w:t>
      </w:r>
      <w:r w:rsidR="00A61A75">
        <w:t>,</w:t>
      </w:r>
      <w:r w:rsidRPr="00D40A12">
        <w:t xml:space="preserve"> </w:t>
      </w:r>
      <w:r w:rsidR="00966B56">
        <w:t>that is</w:t>
      </w:r>
      <w:r w:rsidRPr="00D40A12">
        <w:t xml:space="preserve"> by the end of September 2027.</w:t>
      </w:r>
    </w:p>
  </w:footnote>
  <w:footnote w:id="7">
    <w:p w14:paraId="03840E85" w14:textId="77777777" w:rsidR="000801E5" w:rsidRPr="00F87F65" w:rsidRDefault="000801E5" w:rsidP="000801E5">
      <w:pPr>
        <w:pStyle w:val="FootnoteText"/>
        <w:rPr>
          <w:rStyle w:val="FootnoteReference"/>
          <w:sz w:val="14"/>
        </w:rPr>
      </w:pPr>
      <w:r w:rsidRPr="00B875E3">
        <w:rPr>
          <w:sz w:val="20"/>
          <w:vertAlign w:val="superscript"/>
        </w:rPr>
        <w:footnoteRef/>
      </w:r>
      <w:r w:rsidRPr="00B875E3">
        <w:rPr>
          <w:sz w:val="20"/>
          <w:vertAlign w:val="superscript"/>
        </w:rPr>
        <w:t xml:space="preserve"> </w:t>
      </w:r>
      <w:r w:rsidRPr="00B875E3">
        <w:t>The GST pool consists of revenue from the GST plus a top</w:t>
      </w:r>
      <w:r w:rsidRPr="00B875E3">
        <w:noBreakHyphen/>
        <w:t>up payment from the Commonwealth. See Treasury, </w:t>
      </w:r>
      <w:hyperlink r:id="rId6" w:history="1">
        <w:r w:rsidRPr="00423DE9">
          <w:rPr>
            <w:rStyle w:val="Hyperlink"/>
            <w:i/>
            <w:iCs/>
          </w:rPr>
          <w:t>Mid-Year Economic and Fiscal Outloo</w:t>
        </w:r>
        <w:bookmarkStart w:id="45" w:name="_Hlt219988349"/>
        <w:bookmarkStart w:id="46" w:name="_Hlt219988350"/>
        <w:r w:rsidRPr="00423DE9">
          <w:rPr>
            <w:rStyle w:val="Hyperlink"/>
            <w:i/>
            <w:iCs/>
          </w:rPr>
          <w:t>k</w:t>
        </w:r>
        <w:bookmarkEnd w:id="45"/>
        <w:bookmarkEnd w:id="46"/>
        <w:r w:rsidRPr="00423DE9">
          <w:rPr>
            <w:rStyle w:val="Hyperlink"/>
            <w:i/>
            <w:iCs/>
          </w:rPr>
          <w:t xml:space="preserve"> 2025–26</w:t>
        </w:r>
      </w:hyperlink>
      <w:r w:rsidRPr="00B875E3">
        <w:t>, Appendix C, Table C.7.</w:t>
      </w:r>
    </w:p>
  </w:footnote>
  <w:footnote w:id="8">
    <w:p w14:paraId="7C2DC37A" w14:textId="77777777" w:rsidR="000801E5" w:rsidRPr="00E33814" w:rsidRDefault="000801E5" w:rsidP="000801E5">
      <w:r w:rsidRPr="006C3BF1">
        <w:rPr>
          <w:rStyle w:val="FootnoteReference"/>
          <w:vertAlign w:val="superscript"/>
        </w:rPr>
        <w:footnoteRef/>
      </w:r>
      <w:r>
        <w:t xml:space="preserve"> </w:t>
      </w:r>
      <w:r w:rsidRPr="00B10ABA">
        <w:rPr>
          <w:sz w:val="14"/>
          <w:szCs w:val="20"/>
        </w:rPr>
        <w:t>These estimates are illustrative. Actual no worse off payments for 2026–27 will be calculated by the Commonwealth and will be based on the actual GST pool, pool top</w:t>
      </w:r>
      <w:r w:rsidRPr="00B10ABA">
        <w:rPr>
          <w:sz w:val="14"/>
          <w:szCs w:val="20"/>
        </w:rPr>
        <w:noBreakHyphen/>
        <w:t>ups and populations for 2026–27, which will be determined after the end of 2026–27.</w:t>
      </w:r>
    </w:p>
    <w:p w14:paraId="02B1243F" w14:textId="77777777" w:rsidR="000801E5" w:rsidRDefault="000801E5" w:rsidP="000801E5">
      <w:pPr>
        <w:pStyle w:val="FootnoteText"/>
      </w:pPr>
    </w:p>
  </w:footnote>
  <w:footnote w:id="9">
    <w:p w14:paraId="568598B1" w14:textId="7900F220" w:rsidR="002373FE" w:rsidRDefault="002373FE" w:rsidP="002373FE">
      <w:pPr>
        <w:pStyle w:val="FootnoteText"/>
      </w:pPr>
      <w:r w:rsidRPr="0007468D">
        <w:rPr>
          <w:rStyle w:val="FootnoteReference"/>
          <w:vertAlign w:val="superscript"/>
        </w:rPr>
        <w:footnoteRef/>
      </w:r>
      <w:r w:rsidRPr="0007468D">
        <w:rPr>
          <w:sz w:val="16"/>
          <w:szCs w:val="16"/>
          <w:vertAlign w:val="superscript"/>
        </w:rPr>
        <w:t xml:space="preserve"> </w:t>
      </w:r>
      <w:r>
        <w:t>The police regression coefficients will now be held constant until the next</w:t>
      </w:r>
      <w:r w:rsidR="00AC58A8">
        <w:t xml:space="preserve"> methodology</w:t>
      </w:r>
      <w:r>
        <w:t xml:space="preserve"> review.</w:t>
      </w:r>
    </w:p>
  </w:footnote>
  <w:footnote w:id="10">
    <w:p w14:paraId="6237FC0C" w14:textId="51CD0A59" w:rsidR="000C6C7E" w:rsidRDefault="000C6C7E" w:rsidP="000C6C7E">
      <w:pPr>
        <w:pStyle w:val="FootnoteText"/>
      </w:pPr>
      <w:r w:rsidRPr="009E45D7">
        <w:rPr>
          <w:rStyle w:val="FootnoteReference"/>
          <w:vertAlign w:val="superscript"/>
        </w:rPr>
        <w:footnoteRef/>
      </w:r>
      <w:r>
        <w:t xml:space="preserve"> Commonwealth Grants Commission, </w:t>
      </w:r>
      <w:r w:rsidRPr="00746716">
        <w:rPr>
          <w:i/>
          <w:iCs/>
        </w:rPr>
        <w:t>New Issues in the 2026 Update</w:t>
      </w:r>
      <w:r w:rsidRPr="00746716">
        <w:t>,</w:t>
      </w:r>
      <w:r>
        <w:t xml:space="preserve"> 2026.</w:t>
      </w:r>
    </w:p>
  </w:footnote>
  <w:footnote w:id="11">
    <w:p w14:paraId="4991252E" w14:textId="77777777" w:rsidR="002373FE" w:rsidRDefault="002373FE" w:rsidP="000F33CD">
      <w:pPr>
        <w:pStyle w:val="FootnoteText"/>
      </w:pPr>
      <w:r w:rsidRPr="002C273B">
        <w:rPr>
          <w:rStyle w:val="FootnoteReference"/>
          <w:vertAlign w:val="superscript"/>
        </w:rPr>
        <w:footnoteRef/>
      </w:r>
      <w:r>
        <w:t xml:space="preserve"> The u</w:t>
      </w:r>
      <w:r w:rsidRPr="00005DD2">
        <w:t>ser populations used to assess investment needs differ between investment components. For example, the user population for investment in schools is students.</w:t>
      </w:r>
    </w:p>
  </w:footnote>
  <w:footnote w:id="12">
    <w:p w14:paraId="531B5FBF" w14:textId="77777777" w:rsidR="008C58FC" w:rsidRDefault="008C58FC" w:rsidP="008C58FC">
      <w:pPr>
        <w:pStyle w:val="FootnoteText"/>
      </w:pPr>
      <w:r w:rsidRPr="00694DD1">
        <w:rPr>
          <w:rStyle w:val="FootnoteReference"/>
          <w:vertAlign w:val="superscript"/>
        </w:rPr>
        <w:footnoteRef/>
      </w:r>
      <w:r>
        <w:t xml:space="preserve"> </w:t>
      </w:r>
      <w:r w:rsidRPr="00694DD1">
        <w:rPr>
          <w:szCs w:val="14"/>
        </w:rPr>
        <w:t>In 2025</w:t>
      </w:r>
      <w:r>
        <w:rPr>
          <w:szCs w:val="14"/>
        </w:rPr>
        <w:t>,</w:t>
      </w:r>
      <w:r w:rsidRPr="00694DD1">
        <w:rPr>
          <w:szCs w:val="14"/>
        </w:rPr>
        <w:t xml:space="preserve"> the assessment years were 2021</w:t>
      </w:r>
      <w:r>
        <w:rPr>
          <w:szCs w:val="14"/>
        </w:rPr>
        <w:t>–</w:t>
      </w:r>
      <w:r w:rsidRPr="00694DD1">
        <w:rPr>
          <w:rFonts w:ascii="Arial" w:hAnsi="Arial" w:hint="eastAsia"/>
          <w:szCs w:val="14"/>
          <w:rtl/>
        </w:rPr>
        <w:t>‍</w:t>
      </w:r>
      <w:r w:rsidRPr="00694DD1">
        <w:rPr>
          <w:szCs w:val="14"/>
        </w:rPr>
        <w:t>2</w:t>
      </w:r>
      <w:r>
        <w:rPr>
          <w:szCs w:val="14"/>
        </w:rPr>
        <w:t>2</w:t>
      </w:r>
      <w:r w:rsidRPr="00694DD1">
        <w:rPr>
          <w:szCs w:val="14"/>
        </w:rPr>
        <w:t>, 202</w:t>
      </w:r>
      <w:r>
        <w:rPr>
          <w:szCs w:val="14"/>
        </w:rPr>
        <w:t>2</w:t>
      </w:r>
      <w:r w:rsidRPr="00694DD1">
        <w:rPr>
          <w:szCs w:val="14"/>
        </w:rPr>
        <w:t>–</w:t>
      </w:r>
      <w:r w:rsidRPr="00694DD1">
        <w:rPr>
          <w:rFonts w:ascii="Arial" w:hAnsi="Arial" w:hint="eastAsia"/>
          <w:szCs w:val="14"/>
          <w:rtl/>
        </w:rPr>
        <w:t>‍</w:t>
      </w:r>
      <w:r w:rsidRPr="00694DD1">
        <w:rPr>
          <w:szCs w:val="14"/>
        </w:rPr>
        <w:t>2</w:t>
      </w:r>
      <w:r>
        <w:rPr>
          <w:szCs w:val="14"/>
        </w:rPr>
        <w:t>3</w:t>
      </w:r>
      <w:r w:rsidRPr="00694DD1">
        <w:rPr>
          <w:szCs w:val="14"/>
        </w:rPr>
        <w:t xml:space="preserve"> and 2023–24. In 202</w:t>
      </w:r>
      <w:r>
        <w:rPr>
          <w:szCs w:val="14"/>
        </w:rPr>
        <w:t>6,</w:t>
      </w:r>
      <w:r w:rsidRPr="00694DD1">
        <w:rPr>
          <w:szCs w:val="14"/>
        </w:rPr>
        <w:t xml:space="preserve"> the assessment years </w:t>
      </w:r>
      <w:r>
        <w:rPr>
          <w:szCs w:val="14"/>
        </w:rPr>
        <w:t>a</w:t>
      </w:r>
      <w:r w:rsidRPr="00694DD1">
        <w:rPr>
          <w:szCs w:val="14"/>
        </w:rPr>
        <w:t>re 202</w:t>
      </w:r>
      <w:r>
        <w:rPr>
          <w:szCs w:val="14"/>
        </w:rPr>
        <w:t>2</w:t>
      </w:r>
      <w:r w:rsidRPr="00694DD1">
        <w:rPr>
          <w:szCs w:val="14"/>
        </w:rPr>
        <w:t>–2</w:t>
      </w:r>
      <w:r>
        <w:rPr>
          <w:szCs w:val="14"/>
        </w:rPr>
        <w:t>3</w:t>
      </w:r>
      <w:r w:rsidRPr="00694DD1">
        <w:rPr>
          <w:szCs w:val="14"/>
        </w:rPr>
        <w:t>, 202</w:t>
      </w:r>
      <w:r>
        <w:rPr>
          <w:szCs w:val="14"/>
        </w:rPr>
        <w:t>3</w:t>
      </w:r>
      <w:r w:rsidRPr="00694DD1">
        <w:rPr>
          <w:szCs w:val="14"/>
        </w:rPr>
        <w:t>–2</w:t>
      </w:r>
      <w:r>
        <w:rPr>
          <w:szCs w:val="14"/>
        </w:rPr>
        <w:t>4</w:t>
      </w:r>
      <w:r w:rsidRPr="00694DD1">
        <w:rPr>
          <w:szCs w:val="14"/>
        </w:rPr>
        <w:t xml:space="preserve"> and 202</w:t>
      </w:r>
      <w:r>
        <w:rPr>
          <w:szCs w:val="14"/>
        </w:rPr>
        <w:t>4</w:t>
      </w:r>
      <w:r w:rsidRPr="00694DD1">
        <w:rPr>
          <w:szCs w:val="14"/>
        </w:rPr>
        <w:t>–2</w:t>
      </w:r>
      <w:r>
        <w:rPr>
          <w:szCs w:val="14"/>
        </w:rPr>
        <w:t>5</w:t>
      </w:r>
      <w:r w:rsidRPr="00694DD1">
        <w:rPr>
          <w:szCs w:val="14"/>
        </w:rPr>
        <w:t>.</w:t>
      </w:r>
    </w:p>
  </w:footnote>
  <w:footnote w:id="13">
    <w:p w14:paraId="5C351600" w14:textId="77777777" w:rsidR="008C58FC" w:rsidRPr="005A0A7C" w:rsidRDefault="008C58FC" w:rsidP="008C58FC">
      <w:pPr>
        <w:pStyle w:val="FootnoteText"/>
        <w:rPr>
          <w:rStyle w:val="FootnoteReference"/>
        </w:rPr>
      </w:pPr>
      <w:bookmarkStart w:id="69" w:name="_Hlk220079245"/>
      <w:r w:rsidRPr="00694DD1">
        <w:rPr>
          <w:rStyle w:val="FootnoteReference"/>
          <w:vertAlign w:val="superscript"/>
        </w:rPr>
        <w:footnoteRef/>
      </w:r>
      <w:r w:rsidRPr="00694DD1">
        <w:rPr>
          <w:rStyle w:val="FootnoteReference"/>
          <w:vertAlign w:val="superscript"/>
        </w:rPr>
        <w:t xml:space="preserve"> </w:t>
      </w:r>
      <w:r w:rsidRPr="00694DD1">
        <w:rPr>
          <w:szCs w:val="14"/>
        </w:rPr>
        <w:t xml:space="preserve">The terms used in the paragraph are defined in the glossary, which is available on the CGC website: </w:t>
      </w:r>
      <w:hyperlink r:id="rId7" w:history="1">
        <w:r w:rsidRPr="00694DD1">
          <w:rPr>
            <w:rStyle w:val="Hyperlink"/>
            <w:szCs w:val="14"/>
          </w:rPr>
          <w:t>www.cgc.gov.au/publications/glossary</w:t>
        </w:r>
      </w:hyperlink>
      <w:r w:rsidRPr="00694DD1">
        <w:rPr>
          <w:szCs w:val="14"/>
        </w:rPr>
        <w:t>.</w:t>
      </w:r>
      <w:bookmarkEnd w:id="69"/>
    </w:p>
  </w:footnote>
  <w:footnote w:id="14">
    <w:p w14:paraId="3C182240" w14:textId="01A03A00" w:rsidR="008C58FC" w:rsidRPr="00CC42B0" w:rsidRDefault="008C58FC" w:rsidP="008C58FC">
      <w:pPr>
        <w:pStyle w:val="FootnoteText"/>
        <w:rPr>
          <w:sz w:val="16"/>
        </w:rPr>
      </w:pPr>
      <w:r w:rsidRPr="005A6D22">
        <w:rPr>
          <w:sz w:val="16"/>
          <w:szCs w:val="16"/>
          <w:vertAlign w:val="superscript"/>
        </w:rPr>
        <w:footnoteRef/>
      </w:r>
      <w:r>
        <w:t xml:space="preserve"> </w:t>
      </w:r>
      <w:r w:rsidRPr="00B752EF">
        <w:rPr>
          <w:szCs w:val="14"/>
        </w:rPr>
        <w:t xml:space="preserve">For more information on the </w:t>
      </w:r>
      <w:r w:rsidR="00461E41">
        <w:rPr>
          <w:szCs w:val="14"/>
        </w:rPr>
        <w:t>2018</w:t>
      </w:r>
      <w:r w:rsidRPr="00B752EF">
        <w:rPr>
          <w:szCs w:val="14"/>
        </w:rPr>
        <w:t xml:space="preserve"> GST distribution legislation see</w:t>
      </w:r>
      <w:r>
        <w:rPr>
          <w:szCs w:val="14"/>
        </w:rPr>
        <w:t>:</w:t>
      </w:r>
      <w:r w:rsidRPr="00B752EF">
        <w:rPr>
          <w:szCs w:val="14"/>
        </w:rPr>
        <w:t xml:space="preserve"> Commonwealth Grants Commission, </w:t>
      </w:r>
      <w:hyperlink r:id="rId8" w:tgtFrame="_blank" w:tooltip="https://www.cgc.gov.au/publications/occasional-paper-4-new-arrangements-distributing-gst" w:history="1">
        <w:r w:rsidRPr="00B752EF">
          <w:rPr>
            <w:color w:val="004563" w:themeColor="accent1"/>
            <w:szCs w:val="14"/>
            <w:u w:val="single"/>
          </w:rPr>
          <w:t>Occasional Paper No.4: New arrangements for distributing GST</w:t>
        </w:r>
      </w:hyperlink>
      <w:r w:rsidRPr="00B752EF">
        <w:rPr>
          <w:szCs w:val="14"/>
        </w:rPr>
        <w:t>,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CEE39" w14:textId="6630D4AA" w:rsidR="00383472" w:rsidRDefault="00383472" w:rsidP="00B11E7F">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7859C9" w14:textId="6663F6B7" w:rsidR="00C25219" w:rsidRDefault="00A9221A" w:rsidP="00B11E7F">
    <w:pPr>
      <w:pStyle w:val="Header"/>
      <w:jc w:val="right"/>
    </w:pPr>
    <w:r>
      <w:rPr>
        <w:noProof/>
      </w:rPr>
      <w:drawing>
        <wp:anchor distT="0" distB="0" distL="114300" distR="114300" simplePos="0" relativeHeight="251658249" behindDoc="1" locked="0" layoutInCell="1" allowOverlap="1" wp14:anchorId="5F29394E" wp14:editId="35CA5556">
          <wp:simplePos x="0" y="0"/>
          <wp:positionH relativeFrom="column">
            <wp:posOffset>-883285</wp:posOffset>
          </wp:positionH>
          <wp:positionV relativeFrom="paragraph">
            <wp:posOffset>-288523</wp:posOffset>
          </wp:positionV>
          <wp:extent cx="7562789" cy="10689589"/>
          <wp:effectExtent l="0" t="0" r="635" b="0"/>
          <wp:wrapNone/>
          <wp:docPr id="1528343680" name="Picture 1528343680" descr="A blue and green background with a blue and green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43680" name="Picture 1528343680" descr="A blue and green background with a blue and green ligh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62789" cy="10689589"/>
                  </a:xfrm>
                  <a:prstGeom prst="rect">
                    <a:avLst/>
                  </a:prstGeom>
                </pic:spPr>
              </pic:pic>
            </a:graphicData>
          </a:graphic>
          <wp14:sizeRelH relativeFrom="margin">
            <wp14:pctWidth>0</wp14:pctWidth>
          </wp14:sizeRelH>
          <wp14:sizeRelV relativeFrom="margin">
            <wp14:pctHeight>0</wp14:pctHeight>
          </wp14:sizeRelV>
        </wp:anchor>
      </w:drawing>
    </w:r>
    <w:r w:rsidR="00B11E7F" w:rsidRPr="00C413E8">
      <w:rPr>
        <w:color w:val="FF0000"/>
        <w:sz w:val="28"/>
        <w:szCs w:val="28"/>
      </w:rPr>
      <w:t xml:space="preserve"> </w:t>
    </w:r>
    <w:r w:rsidR="003759A1">
      <w:rPr>
        <w:noProof/>
      </w:rPr>
      <w:drawing>
        <wp:anchor distT="0" distB="0" distL="114300" distR="114300" simplePos="0" relativeHeight="251658242" behindDoc="1" locked="0" layoutInCell="1" allowOverlap="1" wp14:anchorId="5E0448FF" wp14:editId="45427939">
          <wp:simplePos x="0" y="0"/>
          <wp:positionH relativeFrom="column">
            <wp:posOffset>-923290</wp:posOffset>
          </wp:positionH>
          <wp:positionV relativeFrom="paragraph">
            <wp:posOffset>10351135</wp:posOffset>
          </wp:positionV>
          <wp:extent cx="7580630" cy="10691495"/>
          <wp:effectExtent l="0" t="0" r="1270" b="1905"/>
          <wp:wrapNone/>
          <wp:docPr id="1441534095" name="Picture 144153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
                    <a:extLst>
                      <a:ext uri="{28A0092B-C50C-407E-A947-70E740481C1C}">
                        <a14:useLocalDpi xmlns:a14="http://schemas.microsoft.com/office/drawing/2010/main" val="0"/>
                      </a:ext>
                    </a:extLst>
                  </a:blip>
                  <a:stretch>
                    <a:fillRect/>
                  </a:stretch>
                </pic:blipFill>
                <pic:spPr>
                  <a:xfrm>
                    <a:off x="0" y="0"/>
                    <a:ext cx="7580630" cy="10691495"/>
                  </a:xfrm>
                  <a:prstGeom prst="rect">
                    <a:avLst/>
                  </a:prstGeom>
                </pic:spPr>
              </pic:pic>
            </a:graphicData>
          </a:graphic>
          <wp14:sizeRelH relativeFrom="margin">
            <wp14:pctWidth>0</wp14:pctWidth>
          </wp14:sizeRelH>
          <wp14:sizeRelV relativeFrom="margin">
            <wp14:pctHeight>0</wp14:pctHeight>
          </wp14:sizeRelV>
        </wp:anchor>
      </w:drawing>
    </w:r>
    <w:r w:rsidR="00A345CD">
      <w:rPr>
        <w:noProof/>
      </w:rPr>
      <w:drawing>
        <wp:anchor distT="0" distB="0" distL="114300" distR="114300" simplePos="0" relativeHeight="251658241" behindDoc="1" locked="0" layoutInCell="1" allowOverlap="1" wp14:anchorId="2CFE1E5C" wp14:editId="795823A5">
          <wp:simplePos x="0" y="0"/>
          <wp:positionH relativeFrom="column">
            <wp:posOffset>-900430</wp:posOffset>
          </wp:positionH>
          <wp:positionV relativeFrom="paragraph">
            <wp:posOffset>10362565</wp:posOffset>
          </wp:positionV>
          <wp:extent cx="7580630" cy="10691495"/>
          <wp:effectExtent l="0" t="0" r="1270" b="1905"/>
          <wp:wrapNone/>
          <wp:docPr id="1414826030" name="Picture 141482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
                    <a:extLst>
                      <a:ext uri="{28A0092B-C50C-407E-A947-70E740481C1C}">
                        <a14:useLocalDpi xmlns:a14="http://schemas.microsoft.com/office/drawing/2010/main" val="0"/>
                      </a:ext>
                    </a:extLst>
                  </a:blip>
                  <a:stretch>
                    <a:fillRect/>
                  </a:stretch>
                </pic:blipFill>
                <pic:spPr>
                  <a:xfrm>
                    <a:off x="0" y="0"/>
                    <a:ext cx="7580630" cy="10691495"/>
                  </a:xfrm>
                  <a:prstGeom prst="rect">
                    <a:avLst/>
                  </a:prstGeom>
                </pic:spPr>
              </pic:pic>
            </a:graphicData>
          </a:graphic>
          <wp14:sizeRelH relativeFrom="margin">
            <wp14:pctWidth>0</wp14:pctWidth>
          </wp14:sizeRelH>
          <wp14:sizeRelV relativeFrom="margin">
            <wp14:pctHeight>0</wp14:pctHeight>
          </wp14:sizeRelV>
        </wp:anchor>
      </w:drawing>
    </w:r>
    <w:r w:rsidR="00C25219" w:rsidRPr="00410188">
      <w:rPr>
        <w:rFonts w:cs="Open Sans Semibold"/>
        <w:bCs/>
        <w:noProof/>
        <w:sz w:val="40"/>
        <w:szCs w:val="40"/>
        <w:lang w:val="en-US"/>
      </w:rPr>
      <w:drawing>
        <wp:anchor distT="0" distB="0" distL="114300" distR="114300" simplePos="0" relativeHeight="251658240" behindDoc="1" locked="0" layoutInCell="1" allowOverlap="1" wp14:anchorId="355101D3" wp14:editId="6682A560">
          <wp:simplePos x="0" y="0"/>
          <wp:positionH relativeFrom="column">
            <wp:posOffset>-1037590</wp:posOffset>
          </wp:positionH>
          <wp:positionV relativeFrom="paragraph">
            <wp:posOffset>10328275</wp:posOffset>
          </wp:positionV>
          <wp:extent cx="7683500" cy="10836275"/>
          <wp:effectExtent l="38100" t="38100" r="63500" b="34925"/>
          <wp:wrapNone/>
          <wp:docPr id="1678408595" name="Picture 1678408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
                    <a:extLst>
                      <a:ext uri="{28A0092B-C50C-407E-A947-70E740481C1C}">
                        <a14:useLocalDpi xmlns:a14="http://schemas.microsoft.com/office/drawing/2010/main" val="0"/>
                      </a:ext>
                    </a:extLst>
                  </a:blip>
                  <a:stretch>
                    <a:fillRect/>
                  </a:stretch>
                </pic:blipFill>
                <pic:spPr>
                  <a:xfrm>
                    <a:off x="0" y="0"/>
                    <a:ext cx="7683500" cy="10836275"/>
                  </a:xfrm>
                  <a:prstGeom prst="rect">
                    <a:avLst/>
                  </a:prstGeom>
                  <a:noFill/>
                  <a:ln w="88900" cap="sq">
                    <a:noFill/>
                    <a:miter lim="800000"/>
                  </a:ln>
                  <a:effectLst>
                    <a:outerShdw blurRad="55000" dist="18000" dir="5400000" algn="tl" rotWithShape="0">
                      <a:srgbClr val="000000">
                        <a:alpha val="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6C35E" w14:textId="0B0AF115" w:rsidR="00850D95" w:rsidRPr="00C413E8" w:rsidRDefault="00850D95" w:rsidP="00345E41">
    <w:pPr>
      <w:pStyle w:val="Header"/>
      <w:jc w:val="right"/>
      <w:rPr>
        <w:sz w:val="28"/>
        <w:szCs w:val="28"/>
      </w:rPr>
    </w:pPr>
    <w:r w:rsidRPr="00C413E8">
      <w:rPr>
        <w:noProof/>
        <w:color w:val="FF0000"/>
        <w:sz w:val="28"/>
        <w:szCs w:val="28"/>
      </w:rPr>
      <w:drawing>
        <wp:anchor distT="0" distB="0" distL="114300" distR="114300" simplePos="0" relativeHeight="251658245" behindDoc="1" locked="0" layoutInCell="1" allowOverlap="1" wp14:anchorId="2B01D4C7" wp14:editId="7E62B51B">
          <wp:simplePos x="0" y="0"/>
          <wp:positionH relativeFrom="column">
            <wp:posOffset>-923290</wp:posOffset>
          </wp:positionH>
          <wp:positionV relativeFrom="paragraph">
            <wp:posOffset>10351135</wp:posOffset>
          </wp:positionV>
          <wp:extent cx="7580630" cy="10691495"/>
          <wp:effectExtent l="0" t="0" r="1270" b="1905"/>
          <wp:wrapNone/>
          <wp:docPr id="1515864623" name="Picture 151586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extLst>
                      <a:ext uri="{28A0092B-C50C-407E-A947-70E740481C1C}">
                        <a14:useLocalDpi xmlns:a14="http://schemas.microsoft.com/office/drawing/2010/main" val="0"/>
                      </a:ext>
                    </a:extLst>
                  </a:blip>
                  <a:stretch>
                    <a:fillRect/>
                  </a:stretch>
                </pic:blipFill>
                <pic:spPr>
                  <a:xfrm>
                    <a:off x="0" y="0"/>
                    <a:ext cx="7580630" cy="10691495"/>
                  </a:xfrm>
                  <a:prstGeom prst="rect">
                    <a:avLst/>
                  </a:prstGeom>
                </pic:spPr>
              </pic:pic>
            </a:graphicData>
          </a:graphic>
          <wp14:sizeRelH relativeFrom="margin">
            <wp14:pctWidth>0</wp14:pctWidth>
          </wp14:sizeRelH>
          <wp14:sizeRelV relativeFrom="margin">
            <wp14:pctHeight>0</wp14:pctHeight>
          </wp14:sizeRelV>
        </wp:anchor>
      </w:drawing>
    </w:r>
    <w:r w:rsidRPr="00C413E8">
      <w:rPr>
        <w:noProof/>
        <w:color w:val="FF0000"/>
        <w:sz w:val="28"/>
        <w:szCs w:val="28"/>
      </w:rPr>
      <w:drawing>
        <wp:anchor distT="0" distB="0" distL="114300" distR="114300" simplePos="0" relativeHeight="251658244" behindDoc="1" locked="0" layoutInCell="1" allowOverlap="1" wp14:anchorId="14848E46" wp14:editId="3C52D5BE">
          <wp:simplePos x="0" y="0"/>
          <wp:positionH relativeFrom="column">
            <wp:posOffset>-900430</wp:posOffset>
          </wp:positionH>
          <wp:positionV relativeFrom="paragraph">
            <wp:posOffset>10362565</wp:posOffset>
          </wp:positionV>
          <wp:extent cx="7580630" cy="10691495"/>
          <wp:effectExtent l="0" t="0" r="1270" b="1905"/>
          <wp:wrapNone/>
          <wp:docPr id="1039835387" name="Picture 103983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
                    <a:extLst>
                      <a:ext uri="{28A0092B-C50C-407E-A947-70E740481C1C}">
                        <a14:useLocalDpi xmlns:a14="http://schemas.microsoft.com/office/drawing/2010/main" val="0"/>
                      </a:ext>
                    </a:extLst>
                  </a:blip>
                  <a:stretch>
                    <a:fillRect/>
                  </a:stretch>
                </pic:blipFill>
                <pic:spPr>
                  <a:xfrm>
                    <a:off x="0" y="0"/>
                    <a:ext cx="7580630" cy="10691495"/>
                  </a:xfrm>
                  <a:prstGeom prst="rect">
                    <a:avLst/>
                  </a:prstGeom>
                </pic:spPr>
              </pic:pic>
            </a:graphicData>
          </a:graphic>
          <wp14:sizeRelH relativeFrom="margin">
            <wp14:pctWidth>0</wp14:pctWidth>
          </wp14:sizeRelH>
          <wp14:sizeRelV relativeFrom="margin">
            <wp14:pctHeight>0</wp14:pctHeight>
          </wp14:sizeRelV>
        </wp:anchor>
      </w:drawing>
    </w:r>
    <w:r w:rsidRPr="00C413E8">
      <w:rPr>
        <w:rFonts w:cs="Open Sans Semibold"/>
        <w:bCs/>
        <w:noProof/>
        <w:color w:val="FF0000"/>
        <w:sz w:val="28"/>
        <w:szCs w:val="28"/>
        <w:lang w:val="en-US"/>
      </w:rPr>
      <w:drawing>
        <wp:anchor distT="0" distB="0" distL="114300" distR="114300" simplePos="0" relativeHeight="251658243" behindDoc="1" locked="0" layoutInCell="1" allowOverlap="1" wp14:anchorId="50DEB8B7" wp14:editId="0B61169B">
          <wp:simplePos x="0" y="0"/>
          <wp:positionH relativeFrom="column">
            <wp:posOffset>-1037590</wp:posOffset>
          </wp:positionH>
          <wp:positionV relativeFrom="paragraph">
            <wp:posOffset>10328275</wp:posOffset>
          </wp:positionV>
          <wp:extent cx="7683500" cy="10836275"/>
          <wp:effectExtent l="38100" t="38100" r="63500" b="34925"/>
          <wp:wrapNone/>
          <wp:docPr id="1250068523" name="Picture 125006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
                    <a:extLst>
                      <a:ext uri="{28A0092B-C50C-407E-A947-70E740481C1C}">
                        <a14:useLocalDpi xmlns:a14="http://schemas.microsoft.com/office/drawing/2010/main" val="0"/>
                      </a:ext>
                    </a:extLst>
                  </a:blip>
                  <a:stretch>
                    <a:fillRect/>
                  </a:stretch>
                </pic:blipFill>
                <pic:spPr>
                  <a:xfrm>
                    <a:off x="0" y="0"/>
                    <a:ext cx="7683500" cy="10836275"/>
                  </a:xfrm>
                  <a:prstGeom prst="rect">
                    <a:avLst/>
                  </a:prstGeom>
                  <a:noFill/>
                  <a:ln w="88900" cap="sq">
                    <a:noFill/>
                    <a:miter lim="800000"/>
                  </a:ln>
                  <a:effectLst>
                    <a:outerShdw blurRad="55000" dist="18000" dir="5400000" algn="tl" rotWithShape="0">
                      <a:srgbClr val="000000">
                        <a:alpha val="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04B5C" w:rsidRPr="00C413E8">
      <w:rPr>
        <w:color w:val="FF0000"/>
        <w:sz w:val="28"/>
        <w:szCs w:val="28"/>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DDDF3" w14:textId="42C7E9FB" w:rsidR="00850D95" w:rsidRDefault="00850D95" w:rsidP="00B11E7F">
    <w:pPr>
      <w:pStyle w:val="Header"/>
      <w:jc w:val="right"/>
    </w:pPr>
    <w:r>
      <w:rPr>
        <w:noProof/>
      </w:rPr>
      <w:drawing>
        <wp:anchor distT="0" distB="0" distL="114300" distR="114300" simplePos="0" relativeHeight="251658248" behindDoc="1" locked="0" layoutInCell="1" allowOverlap="1" wp14:anchorId="16E89835" wp14:editId="0085814E">
          <wp:simplePos x="0" y="0"/>
          <wp:positionH relativeFrom="column">
            <wp:posOffset>-923290</wp:posOffset>
          </wp:positionH>
          <wp:positionV relativeFrom="paragraph">
            <wp:posOffset>10351135</wp:posOffset>
          </wp:positionV>
          <wp:extent cx="7580630" cy="10691495"/>
          <wp:effectExtent l="0" t="0" r="1270" b="1905"/>
          <wp:wrapNone/>
          <wp:docPr id="78674449" name="Picture 7867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extLst>
                      <a:ext uri="{28A0092B-C50C-407E-A947-70E740481C1C}">
                        <a14:useLocalDpi xmlns:a14="http://schemas.microsoft.com/office/drawing/2010/main" val="0"/>
                      </a:ext>
                    </a:extLst>
                  </a:blip>
                  <a:stretch>
                    <a:fillRect/>
                  </a:stretch>
                </pic:blipFill>
                <pic:spPr>
                  <a:xfrm>
                    <a:off x="0" y="0"/>
                    <a:ext cx="7580630" cy="106914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7" behindDoc="1" locked="0" layoutInCell="1" allowOverlap="1" wp14:anchorId="22B1B740" wp14:editId="16CFCB46">
          <wp:simplePos x="0" y="0"/>
          <wp:positionH relativeFrom="column">
            <wp:posOffset>-900430</wp:posOffset>
          </wp:positionH>
          <wp:positionV relativeFrom="paragraph">
            <wp:posOffset>10362565</wp:posOffset>
          </wp:positionV>
          <wp:extent cx="7580630" cy="10691495"/>
          <wp:effectExtent l="0" t="0" r="1270" b="1905"/>
          <wp:wrapNone/>
          <wp:docPr id="1744320465" name="Picture 174432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
                    <a:extLst>
                      <a:ext uri="{28A0092B-C50C-407E-A947-70E740481C1C}">
                        <a14:useLocalDpi xmlns:a14="http://schemas.microsoft.com/office/drawing/2010/main" val="0"/>
                      </a:ext>
                    </a:extLst>
                  </a:blip>
                  <a:stretch>
                    <a:fillRect/>
                  </a:stretch>
                </pic:blipFill>
                <pic:spPr>
                  <a:xfrm>
                    <a:off x="0" y="0"/>
                    <a:ext cx="7580630" cy="10691495"/>
                  </a:xfrm>
                  <a:prstGeom prst="rect">
                    <a:avLst/>
                  </a:prstGeom>
                </pic:spPr>
              </pic:pic>
            </a:graphicData>
          </a:graphic>
          <wp14:sizeRelH relativeFrom="margin">
            <wp14:pctWidth>0</wp14:pctWidth>
          </wp14:sizeRelH>
          <wp14:sizeRelV relativeFrom="margin">
            <wp14:pctHeight>0</wp14:pctHeight>
          </wp14:sizeRelV>
        </wp:anchor>
      </w:drawing>
    </w:r>
    <w:r w:rsidRPr="00410188">
      <w:rPr>
        <w:rFonts w:cs="Open Sans Semibold"/>
        <w:bCs/>
        <w:noProof/>
        <w:sz w:val="40"/>
        <w:szCs w:val="40"/>
        <w:lang w:val="en-US"/>
      </w:rPr>
      <w:drawing>
        <wp:anchor distT="0" distB="0" distL="114300" distR="114300" simplePos="0" relativeHeight="251658246" behindDoc="1" locked="0" layoutInCell="1" allowOverlap="1" wp14:anchorId="3CB5F8AC" wp14:editId="2C11B9D3">
          <wp:simplePos x="0" y="0"/>
          <wp:positionH relativeFrom="column">
            <wp:posOffset>-1037590</wp:posOffset>
          </wp:positionH>
          <wp:positionV relativeFrom="paragraph">
            <wp:posOffset>10328275</wp:posOffset>
          </wp:positionV>
          <wp:extent cx="7683500" cy="10836275"/>
          <wp:effectExtent l="38100" t="38100" r="63500" b="34925"/>
          <wp:wrapNone/>
          <wp:docPr id="900623388" name="Picture 90062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
                    <a:extLst>
                      <a:ext uri="{28A0092B-C50C-407E-A947-70E740481C1C}">
                        <a14:useLocalDpi xmlns:a14="http://schemas.microsoft.com/office/drawing/2010/main" val="0"/>
                      </a:ext>
                    </a:extLst>
                  </a:blip>
                  <a:stretch>
                    <a:fillRect/>
                  </a:stretch>
                </pic:blipFill>
                <pic:spPr>
                  <a:xfrm>
                    <a:off x="0" y="0"/>
                    <a:ext cx="7683500" cy="10836275"/>
                  </a:xfrm>
                  <a:prstGeom prst="rect">
                    <a:avLst/>
                  </a:prstGeom>
                  <a:noFill/>
                  <a:ln w="88900" cap="sq">
                    <a:noFill/>
                    <a:miter lim="800000"/>
                  </a:ln>
                  <a:effectLst>
                    <a:outerShdw blurRad="55000" dist="18000" dir="5400000" algn="tl" rotWithShape="0">
                      <a:srgbClr val="000000">
                        <a:alpha val="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6A4AF78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804A07"/>
    <w:multiLevelType w:val="hybridMultilevel"/>
    <w:tmpl w:val="30CC6EF6"/>
    <w:lvl w:ilvl="0" w:tplc="39E20ECE">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 w15:restartNumberingAfterBreak="0">
    <w:nsid w:val="02ED735A"/>
    <w:multiLevelType w:val="hybridMultilevel"/>
    <w:tmpl w:val="8A50A67C"/>
    <w:lvl w:ilvl="0" w:tplc="A6A45C0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3" w15:restartNumberingAfterBreak="0">
    <w:nsid w:val="0A3D7BE1"/>
    <w:multiLevelType w:val="hybridMultilevel"/>
    <w:tmpl w:val="79AAE6DE"/>
    <w:lvl w:ilvl="0" w:tplc="FFFFFFFF">
      <w:start w:val="1"/>
      <w:numFmt w:val="lowerLetter"/>
      <w:lvlText w:val="(%1)"/>
      <w:lvlJc w:val="left"/>
      <w:pPr>
        <w:ind w:left="473" w:hanging="360"/>
      </w:pPr>
      <w:rPr>
        <w:rFonts w:hint="default"/>
      </w:rPr>
    </w:lvl>
    <w:lvl w:ilvl="1" w:tplc="FFFFFFFF" w:tentative="1">
      <w:start w:val="1"/>
      <w:numFmt w:val="lowerLetter"/>
      <w:lvlText w:val="%2."/>
      <w:lvlJc w:val="left"/>
      <w:pPr>
        <w:ind w:left="1193" w:hanging="360"/>
      </w:pPr>
    </w:lvl>
    <w:lvl w:ilvl="2" w:tplc="FFFFFFFF" w:tentative="1">
      <w:start w:val="1"/>
      <w:numFmt w:val="lowerRoman"/>
      <w:lvlText w:val="%3."/>
      <w:lvlJc w:val="right"/>
      <w:pPr>
        <w:ind w:left="1913" w:hanging="180"/>
      </w:pPr>
    </w:lvl>
    <w:lvl w:ilvl="3" w:tplc="FFFFFFFF" w:tentative="1">
      <w:start w:val="1"/>
      <w:numFmt w:val="decimal"/>
      <w:lvlText w:val="%4."/>
      <w:lvlJc w:val="left"/>
      <w:pPr>
        <w:ind w:left="2633" w:hanging="360"/>
      </w:pPr>
    </w:lvl>
    <w:lvl w:ilvl="4" w:tplc="FFFFFFFF" w:tentative="1">
      <w:start w:val="1"/>
      <w:numFmt w:val="lowerLetter"/>
      <w:lvlText w:val="%5."/>
      <w:lvlJc w:val="left"/>
      <w:pPr>
        <w:ind w:left="3353" w:hanging="360"/>
      </w:pPr>
    </w:lvl>
    <w:lvl w:ilvl="5" w:tplc="FFFFFFFF" w:tentative="1">
      <w:start w:val="1"/>
      <w:numFmt w:val="lowerRoman"/>
      <w:lvlText w:val="%6."/>
      <w:lvlJc w:val="right"/>
      <w:pPr>
        <w:ind w:left="4073" w:hanging="180"/>
      </w:pPr>
    </w:lvl>
    <w:lvl w:ilvl="6" w:tplc="FFFFFFFF" w:tentative="1">
      <w:start w:val="1"/>
      <w:numFmt w:val="decimal"/>
      <w:lvlText w:val="%7."/>
      <w:lvlJc w:val="left"/>
      <w:pPr>
        <w:ind w:left="4793" w:hanging="360"/>
      </w:pPr>
    </w:lvl>
    <w:lvl w:ilvl="7" w:tplc="FFFFFFFF" w:tentative="1">
      <w:start w:val="1"/>
      <w:numFmt w:val="lowerLetter"/>
      <w:lvlText w:val="%8."/>
      <w:lvlJc w:val="left"/>
      <w:pPr>
        <w:ind w:left="5513" w:hanging="360"/>
      </w:pPr>
    </w:lvl>
    <w:lvl w:ilvl="8" w:tplc="FFFFFFFF" w:tentative="1">
      <w:start w:val="1"/>
      <w:numFmt w:val="lowerRoman"/>
      <w:lvlText w:val="%9."/>
      <w:lvlJc w:val="right"/>
      <w:pPr>
        <w:ind w:left="6233" w:hanging="180"/>
      </w:pPr>
    </w:lvl>
  </w:abstractNum>
  <w:abstractNum w:abstractNumId="4" w15:restartNumberingAfterBreak="0">
    <w:nsid w:val="0F1434C3"/>
    <w:multiLevelType w:val="hybridMultilevel"/>
    <w:tmpl w:val="3EDA9F4C"/>
    <w:lvl w:ilvl="0" w:tplc="BC908BC4">
      <w:start w:val="1"/>
      <w:numFmt w:val="lowerLetter"/>
      <w:lvlText w:val="(%1)"/>
      <w:lvlJc w:val="left"/>
      <w:pPr>
        <w:ind w:left="573" w:hanging="4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5" w15:restartNumberingAfterBreak="0">
    <w:nsid w:val="129C22C1"/>
    <w:multiLevelType w:val="hybridMultilevel"/>
    <w:tmpl w:val="3ADC9DE4"/>
    <w:lvl w:ilvl="0" w:tplc="44F83F1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6" w15:restartNumberingAfterBreak="0">
    <w:nsid w:val="17E71B9C"/>
    <w:multiLevelType w:val="hybridMultilevel"/>
    <w:tmpl w:val="7110E312"/>
    <w:lvl w:ilvl="0" w:tplc="DB96A0AC">
      <w:start w:val="1"/>
      <w:numFmt w:val="bullet"/>
      <w:lvlText w:val=""/>
      <w:lvlJc w:val="left"/>
      <w:pPr>
        <w:ind w:left="927" w:hanging="360"/>
      </w:pPr>
      <w:rPr>
        <w:rFonts w:ascii="Symbol" w:hAnsi="Symbol" w:hint="default"/>
        <w:color w:val="63646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913CD9"/>
    <w:multiLevelType w:val="hybridMultilevel"/>
    <w:tmpl w:val="9E00DC52"/>
    <w:lvl w:ilvl="0" w:tplc="79B21658">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7FA6E10"/>
    <w:multiLevelType w:val="hybridMultilevel"/>
    <w:tmpl w:val="742882C8"/>
    <w:lvl w:ilvl="0" w:tplc="BD04CF84">
      <w:start w:val="1"/>
      <w:numFmt w:val="lowerLetter"/>
      <w:lvlText w:val="(%1)"/>
      <w:lvlJc w:val="left"/>
      <w:pPr>
        <w:ind w:left="701" w:hanging="360"/>
      </w:pPr>
      <w:rPr>
        <w:rFonts w:hint="default"/>
      </w:rPr>
    </w:lvl>
    <w:lvl w:ilvl="1" w:tplc="0C090019" w:tentative="1">
      <w:start w:val="1"/>
      <w:numFmt w:val="lowerLetter"/>
      <w:lvlText w:val="%2."/>
      <w:lvlJc w:val="left"/>
      <w:pPr>
        <w:ind w:left="1421" w:hanging="360"/>
      </w:pPr>
    </w:lvl>
    <w:lvl w:ilvl="2" w:tplc="0C09001B" w:tentative="1">
      <w:start w:val="1"/>
      <w:numFmt w:val="lowerRoman"/>
      <w:lvlText w:val="%3."/>
      <w:lvlJc w:val="right"/>
      <w:pPr>
        <w:ind w:left="2141" w:hanging="180"/>
      </w:pPr>
    </w:lvl>
    <w:lvl w:ilvl="3" w:tplc="0C09000F" w:tentative="1">
      <w:start w:val="1"/>
      <w:numFmt w:val="decimal"/>
      <w:lvlText w:val="%4."/>
      <w:lvlJc w:val="left"/>
      <w:pPr>
        <w:ind w:left="2861" w:hanging="360"/>
      </w:pPr>
    </w:lvl>
    <w:lvl w:ilvl="4" w:tplc="0C090019" w:tentative="1">
      <w:start w:val="1"/>
      <w:numFmt w:val="lowerLetter"/>
      <w:lvlText w:val="%5."/>
      <w:lvlJc w:val="left"/>
      <w:pPr>
        <w:ind w:left="3581" w:hanging="360"/>
      </w:pPr>
    </w:lvl>
    <w:lvl w:ilvl="5" w:tplc="0C09001B" w:tentative="1">
      <w:start w:val="1"/>
      <w:numFmt w:val="lowerRoman"/>
      <w:lvlText w:val="%6."/>
      <w:lvlJc w:val="right"/>
      <w:pPr>
        <w:ind w:left="4301" w:hanging="180"/>
      </w:pPr>
    </w:lvl>
    <w:lvl w:ilvl="6" w:tplc="0C09000F" w:tentative="1">
      <w:start w:val="1"/>
      <w:numFmt w:val="decimal"/>
      <w:lvlText w:val="%7."/>
      <w:lvlJc w:val="left"/>
      <w:pPr>
        <w:ind w:left="5021" w:hanging="360"/>
      </w:pPr>
    </w:lvl>
    <w:lvl w:ilvl="7" w:tplc="0C090019" w:tentative="1">
      <w:start w:val="1"/>
      <w:numFmt w:val="lowerLetter"/>
      <w:lvlText w:val="%8."/>
      <w:lvlJc w:val="left"/>
      <w:pPr>
        <w:ind w:left="5741" w:hanging="360"/>
      </w:pPr>
    </w:lvl>
    <w:lvl w:ilvl="8" w:tplc="0C09001B" w:tentative="1">
      <w:start w:val="1"/>
      <w:numFmt w:val="lowerRoman"/>
      <w:lvlText w:val="%9."/>
      <w:lvlJc w:val="right"/>
      <w:pPr>
        <w:ind w:left="6461" w:hanging="180"/>
      </w:pPr>
    </w:lvl>
  </w:abstractNum>
  <w:abstractNum w:abstractNumId="9" w15:restartNumberingAfterBreak="0">
    <w:nsid w:val="29CF1DF0"/>
    <w:multiLevelType w:val="hybridMultilevel"/>
    <w:tmpl w:val="6A0E33AA"/>
    <w:lvl w:ilvl="0" w:tplc="2F08B4F4">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0" w15:restartNumberingAfterBreak="0">
    <w:nsid w:val="3175223B"/>
    <w:multiLevelType w:val="hybridMultilevel"/>
    <w:tmpl w:val="03A88D0C"/>
    <w:lvl w:ilvl="0" w:tplc="7D7C638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66628D9"/>
    <w:multiLevelType w:val="hybridMultilevel"/>
    <w:tmpl w:val="B90EE678"/>
    <w:lvl w:ilvl="0" w:tplc="76867A7E">
      <w:start w:val="1"/>
      <w:numFmt w:val="lowerLetter"/>
      <w:lvlText w:val="(%1)"/>
      <w:lvlJc w:val="left"/>
      <w:pPr>
        <w:ind w:left="473" w:hanging="360"/>
      </w:pPr>
      <w:rPr>
        <w:rFonts w:hint="default"/>
      </w:rPr>
    </w:lvl>
    <w:lvl w:ilvl="1" w:tplc="0C090019">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2" w15:restartNumberingAfterBreak="0">
    <w:nsid w:val="4DE64609"/>
    <w:multiLevelType w:val="hybridMultilevel"/>
    <w:tmpl w:val="B296C9B4"/>
    <w:lvl w:ilvl="0" w:tplc="F38C08D2">
      <w:start w:val="1"/>
      <w:numFmt w:val="bullet"/>
      <w:lvlText w:val=""/>
      <w:lvlJc w:val="left"/>
      <w:pPr>
        <w:ind w:left="1080" w:hanging="360"/>
      </w:pPr>
      <w:rPr>
        <w:rFonts w:ascii="Symbol" w:eastAsiaTheme="minorHAnsi" w:hAnsi="Symbol" w:cstheme="minorBid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54AB7272"/>
    <w:multiLevelType w:val="multilevel"/>
    <w:tmpl w:val="95C42064"/>
    <w:lvl w:ilvl="0">
      <w:start w:val="1"/>
      <w:numFmt w:val="decimal"/>
      <w:pStyle w:val="Heading1"/>
      <w:suff w:val="space"/>
      <w:lvlText w:val="%1."/>
      <w:lvlJc w:val="left"/>
      <w:pPr>
        <w:ind w:left="0" w:firstLine="0"/>
      </w:pPr>
      <w:rPr>
        <w:rFonts w:ascii="Work Sans" w:eastAsiaTheme="majorEastAsia" w:hAnsi="Work Sans" w:cs="Open Sans"/>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4" w15:restartNumberingAfterBreak="0">
    <w:nsid w:val="572B424C"/>
    <w:multiLevelType w:val="hybridMultilevel"/>
    <w:tmpl w:val="17683A60"/>
    <w:lvl w:ilvl="0" w:tplc="AA680968">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5" w15:restartNumberingAfterBreak="0">
    <w:nsid w:val="62C43905"/>
    <w:multiLevelType w:val="hybridMultilevel"/>
    <w:tmpl w:val="6EC85F92"/>
    <w:lvl w:ilvl="0" w:tplc="C784C88E">
      <w:numFmt w:val="bullet"/>
      <w:pStyle w:val="CGCBulletPoints-Level2"/>
      <w:lvlText w:val="-"/>
      <w:lvlJc w:val="left"/>
      <w:pPr>
        <w:ind w:left="1287" w:hanging="360"/>
      </w:pPr>
      <w:rPr>
        <w:rFonts w:ascii="Work Sans" w:hAnsi="Work Sans" w:cstheme="minorBidi" w:hint="default"/>
        <w:color w:val="171717" w:themeColor="background2" w:themeShade="1A"/>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6" w15:restartNumberingAfterBreak="0">
    <w:nsid w:val="6CF1353C"/>
    <w:multiLevelType w:val="hybridMultilevel"/>
    <w:tmpl w:val="607E1E02"/>
    <w:lvl w:ilvl="0" w:tplc="FE6AC712">
      <w:start w:val="1"/>
      <w:numFmt w:val="decimal"/>
      <w:pStyle w:val="ListNumberedlvl1"/>
      <w:lvlText w:val="%1."/>
      <w:lvlJc w:val="left"/>
      <w:pPr>
        <w:ind w:left="720" w:hanging="360"/>
      </w:pPr>
      <w:rPr>
        <w:rFonts w:hint="default"/>
      </w:rPr>
    </w:lvl>
    <w:lvl w:ilvl="1" w:tplc="3A2880FA">
      <w:start w:val="1"/>
      <w:numFmt w:val="lowerLetter"/>
      <w:pStyle w:val="ListNumberedlvl2"/>
      <w:lvlText w:val="%2."/>
      <w:lvlJc w:val="left"/>
      <w:pPr>
        <w:ind w:left="1440" w:hanging="360"/>
      </w:pPr>
    </w:lvl>
    <w:lvl w:ilvl="2" w:tplc="37844A7E">
      <w:start w:val="1"/>
      <w:numFmt w:val="lowerRoman"/>
      <w:pStyle w:val="ListNumberedlvl3"/>
      <w:lvlText w:val="%3."/>
      <w:lvlJc w:val="right"/>
      <w:pPr>
        <w:ind w:left="2160" w:hanging="180"/>
      </w:pPr>
    </w:lvl>
    <w:lvl w:ilvl="3" w:tplc="87264702">
      <w:start w:val="1"/>
      <w:numFmt w:val="decimal"/>
      <w:pStyle w:val="ListNumberedlvl4"/>
      <w:lvlText w:val="%4."/>
      <w:lvlJc w:val="left"/>
      <w:pPr>
        <w:ind w:left="2880" w:hanging="360"/>
      </w:pPr>
    </w:lvl>
    <w:lvl w:ilvl="4" w:tplc="C7DE4C48">
      <w:start w:val="1"/>
      <w:numFmt w:val="lowerLetter"/>
      <w:pStyle w:val="ListNumberedlvl5"/>
      <w:lvlText w:val="%5."/>
      <w:lvlJc w:val="left"/>
      <w:pPr>
        <w:ind w:left="3600" w:hanging="360"/>
      </w:pPr>
    </w:lvl>
    <w:lvl w:ilvl="5" w:tplc="571AF820">
      <w:start w:val="1"/>
      <w:numFmt w:val="lowerRoman"/>
      <w:pStyle w:val="ListNumberedlvl6"/>
      <w:lvlText w:val="%6."/>
      <w:lvlJc w:val="right"/>
      <w:pPr>
        <w:ind w:left="4320" w:hanging="180"/>
      </w:pPr>
    </w:lvl>
    <w:lvl w:ilvl="6" w:tplc="E7568C1E">
      <w:start w:val="1"/>
      <w:numFmt w:val="decimal"/>
      <w:pStyle w:val="ListNumberedlvl7"/>
      <w:lvlText w:val="%7."/>
      <w:lvlJc w:val="left"/>
      <w:pPr>
        <w:ind w:left="5040" w:hanging="360"/>
      </w:pPr>
    </w:lvl>
    <w:lvl w:ilvl="7" w:tplc="CF44FDAA">
      <w:start w:val="1"/>
      <w:numFmt w:val="lowerLetter"/>
      <w:pStyle w:val="ListNumberedlvl8"/>
      <w:lvlText w:val="%8."/>
      <w:lvlJc w:val="left"/>
      <w:pPr>
        <w:ind w:left="5760" w:hanging="360"/>
      </w:pPr>
    </w:lvl>
    <w:lvl w:ilvl="8" w:tplc="B8BA5F62">
      <w:start w:val="1"/>
      <w:numFmt w:val="lowerRoman"/>
      <w:pStyle w:val="ListNumberedlvl9"/>
      <w:lvlText w:val="%9."/>
      <w:lvlJc w:val="right"/>
      <w:pPr>
        <w:ind w:left="6480" w:hanging="180"/>
      </w:pPr>
    </w:lvl>
  </w:abstractNum>
  <w:abstractNum w:abstractNumId="17" w15:restartNumberingAfterBreak="0">
    <w:nsid w:val="7028066F"/>
    <w:multiLevelType w:val="hybridMultilevel"/>
    <w:tmpl w:val="2C0E5D5A"/>
    <w:lvl w:ilvl="0" w:tplc="1B86278A">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8" w15:restartNumberingAfterBreak="0">
    <w:nsid w:val="726E2F5D"/>
    <w:multiLevelType w:val="hybridMultilevel"/>
    <w:tmpl w:val="D69C9848"/>
    <w:lvl w:ilvl="0" w:tplc="89D8A176">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19" w15:restartNumberingAfterBreak="0">
    <w:nsid w:val="74D554F9"/>
    <w:multiLevelType w:val="hybridMultilevel"/>
    <w:tmpl w:val="E2F6BCEA"/>
    <w:lvl w:ilvl="0" w:tplc="65920C2E">
      <w:start w:val="1"/>
      <w:numFmt w:val="bullet"/>
      <w:pStyle w:val="CGCBulletPoin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75ED5B58"/>
    <w:multiLevelType w:val="hybridMultilevel"/>
    <w:tmpl w:val="EB90A688"/>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21" w15:restartNumberingAfterBreak="0">
    <w:nsid w:val="7854084D"/>
    <w:multiLevelType w:val="hybridMultilevel"/>
    <w:tmpl w:val="01F45D76"/>
    <w:lvl w:ilvl="0" w:tplc="76867A7E">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22" w15:restartNumberingAfterBreak="0">
    <w:nsid w:val="7C023472"/>
    <w:multiLevelType w:val="hybridMultilevel"/>
    <w:tmpl w:val="79AAE6DE"/>
    <w:lvl w:ilvl="0" w:tplc="72F823FA">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num w:numId="1" w16cid:durableId="1370717944">
    <w:abstractNumId w:val="0"/>
  </w:num>
  <w:num w:numId="2" w16cid:durableId="1095172959">
    <w:abstractNumId w:val="19"/>
  </w:num>
  <w:num w:numId="3" w16cid:durableId="1450737137">
    <w:abstractNumId w:val="15"/>
  </w:num>
  <w:num w:numId="4" w16cid:durableId="2128621796">
    <w:abstractNumId w:val="13"/>
  </w:num>
  <w:num w:numId="5" w16cid:durableId="729692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89063019">
    <w:abstractNumId w:val="16"/>
    <w:lvlOverride w:ilvl="0">
      <w:startOverride w:val="1"/>
    </w:lvlOverride>
  </w:num>
  <w:num w:numId="7" w16cid:durableId="1519394813">
    <w:abstractNumId w:val="14"/>
  </w:num>
  <w:num w:numId="8" w16cid:durableId="1334529044">
    <w:abstractNumId w:val="6"/>
  </w:num>
  <w:num w:numId="9" w16cid:durableId="995912573">
    <w:abstractNumId w:val="20"/>
  </w:num>
  <w:num w:numId="10" w16cid:durableId="2116706565">
    <w:abstractNumId w:val="11"/>
  </w:num>
  <w:num w:numId="11" w16cid:durableId="287323958">
    <w:abstractNumId w:val="18"/>
  </w:num>
  <w:num w:numId="12" w16cid:durableId="1009024612">
    <w:abstractNumId w:val="17"/>
  </w:num>
  <w:num w:numId="13" w16cid:durableId="1640842244">
    <w:abstractNumId w:val="5"/>
  </w:num>
  <w:num w:numId="14" w16cid:durableId="1266961514">
    <w:abstractNumId w:val="22"/>
  </w:num>
  <w:num w:numId="15" w16cid:durableId="375199517">
    <w:abstractNumId w:val="8"/>
  </w:num>
  <w:num w:numId="16" w16cid:durableId="849834951">
    <w:abstractNumId w:val="3"/>
  </w:num>
  <w:num w:numId="17" w16cid:durableId="447089939">
    <w:abstractNumId w:val="7"/>
  </w:num>
  <w:num w:numId="18" w16cid:durableId="170143125">
    <w:abstractNumId w:val="12"/>
  </w:num>
  <w:num w:numId="19" w16cid:durableId="1123304456">
    <w:abstractNumId w:val="10"/>
  </w:num>
  <w:num w:numId="20" w16cid:durableId="1919246138">
    <w:abstractNumId w:val="21"/>
  </w:num>
  <w:num w:numId="21" w16cid:durableId="1145203424">
    <w:abstractNumId w:val="4"/>
  </w:num>
  <w:num w:numId="22" w16cid:durableId="579678691">
    <w:abstractNumId w:val="9"/>
  </w:num>
  <w:num w:numId="23" w16cid:durableId="1693608441">
    <w:abstractNumId w:val="2"/>
  </w:num>
  <w:num w:numId="24" w16cid:durableId="1713000163">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0550"/>
    <w:rsid w:val="00000043"/>
    <w:rsid w:val="0000035E"/>
    <w:rsid w:val="0000035F"/>
    <w:rsid w:val="000003E2"/>
    <w:rsid w:val="000004B2"/>
    <w:rsid w:val="00000BDE"/>
    <w:rsid w:val="00000C98"/>
    <w:rsid w:val="00000D12"/>
    <w:rsid w:val="00000DE5"/>
    <w:rsid w:val="00000FF0"/>
    <w:rsid w:val="00001228"/>
    <w:rsid w:val="00001249"/>
    <w:rsid w:val="000013B3"/>
    <w:rsid w:val="000014BF"/>
    <w:rsid w:val="00001AA1"/>
    <w:rsid w:val="00001CB3"/>
    <w:rsid w:val="00001F9D"/>
    <w:rsid w:val="0000252E"/>
    <w:rsid w:val="000026AF"/>
    <w:rsid w:val="000027A1"/>
    <w:rsid w:val="0000299B"/>
    <w:rsid w:val="00002C6C"/>
    <w:rsid w:val="00003816"/>
    <w:rsid w:val="00003E69"/>
    <w:rsid w:val="00004680"/>
    <w:rsid w:val="00004945"/>
    <w:rsid w:val="00004BC8"/>
    <w:rsid w:val="00004D62"/>
    <w:rsid w:val="00004D93"/>
    <w:rsid w:val="00005B74"/>
    <w:rsid w:val="00006449"/>
    <w:rsid w:val="0000692B"/>
    <w:rsid w:val="0000723F"/>
    <w:rsid w:val="00007D10"/>
    <w:rsid w:val="0001000C"/>
    <w:rsid w:val="000103D5"/>
    <w:rsid w:val="000104FC"/>
    <w:rsid w:val="00010655"/>
    <w:rsid w:val="000108C0"/>
    <w:rsid w:val="00010B1E"/>
    <w:rsid w:val="0001108B"/>
    <w:rsid w:val="00011332"/>
    <w:rsid w:val="000114EA"/>
    <w:rsid w:val="0001180C"/>
    <w:rsid w:val="000120C0"/>
    <w:rsid w:val="00012175"/>
    <w:rsid w:val="0001258E"/>
    <w:rsid w:val="00012A1C"/>
    <w:rsid w:val="00012A4A"/>
    <w:rsid w:val="00013266"/>
    <w:rsid w:val="0001342A"/>
    <w:rsid w:val="000135FE"/>
    <w:rsid w:val="000137D6"/>
    <w:rsid w:val="00013CB9"/>
    <w:rsid w:val="00013CBF"/>
    <w:rsid w:val="0001404E"/>
    <w:rsid w:val="000143C4"/>
    <w:rsid w:val="00014569"/>
    <w:rsid w:val="000145CD"/>
    <w:rsid w:val="0001499B"/>
    <w:rsid w:val="00014CAB"/>
    <w:rsid w:val="000150F9"/>
    <w:rsid w:val="0001521B"/>
    <w:rsid w:val="00015425"/>
    <w:rsid w:val="0001551F"/>
    <w:rsid w:val="00015697"/>
    <w:rsid w:val="000159F6"/>
    <w:rsid w:val="00015B28"/>
    <w:rsid w:val="00015B5E"/>
    <w:rsid w:val="00015B8C"/>
    <w:rsid w:val="00016048"/>
    <w:rsid w:val="0001638B"/>
    <w:rsid w:val="00016499"/>
    <w:rsid w:val="000167CF"/>
    <w:rsid w:val="00016ACF"/>
    <w:rsid w:val="00016C5C"/>
    <w:rsid w:val="00016DA4"/>
    <w:rsid w:val="000173D1"/>
    <w:rsid w:val="0001749A"/>
    <w:rsid w:val="00017708"/>
    <w:rsid w:val="00017987"/>
    <w:rsid w:val="00017F86"/>
    <w:rsid w:val="00017F9F"/>
    <w:rsid w:val="00020425"/>
    <w:rsid w:val="00020609"/>
    <w:rsid w:val="0002062D"/>
    <w:rsid w:val="000208E3"/>
    <w:rsid w:val="00020F35"/>
    <w:rsid w:val="00021233"/>
    <w:rsid w:val="00021282"/>
    <w:rsid w:val="00021943"/>
    <w:rsid w:val="00021966"/>
    <w:rsid w:val="00022096"/>
    <w:rsid w:val="0002236B"/>
    <w:rsid w:val="000228A5"/>
    <w:rsid w:val="00022BBE"/>
    <w:rsid w:val="00022F48"/>
    <w:rsid w:val="00022F70"/>
    <w:rsid w:val="00022FDB"/>
    <w:rsid w:val="00023280"/>
    <w:rsid w:val="00023624"/>
    <w:rsid w:val="00023667"/>
    <w:rsid w:val="00023993"/>
    <w:rsid w:val="00023A4A"/>
    <w:rsid w:val="00024152"/>
    <w:rsid w:val="000250C8"/>
    <w:rsid w:val="000252E7"/>
    <w:rsid w:val="000254A3"/>
    <w:rsid w:val="00025664"/>
    <w:rsid w:val="0002591F"/>
    <w:rsid w:val="000263D9"/>
    <w:rsid w:val="00026A08"/>
    <w:rsid w:val="00026CC8"/>
    <w:rsid w:val="000270CF"/>
    <w:rsid w:val="00027424"/>
    <w:rsid w:val="0002762D"/>
    <w:rsid w:val="00027E92"/>
    <w:rsid w:val="00027F34"/>
    <w:rsid w:val="00027FD0"/>
    <w:rsid w:val="00030012"/>
    <w:rsid w:val="0003036A"/>
    <w:rsid w:val="00030585"/>
    <w:rsid w:val="0003169E"/>
    <w:rsid w:val="000319F9"/>
    <w:rsid w:val="00031F17"/>
    <w:rsid w:val="0003212F"/>
    <w:rsid w:val="0003231F"/>
    <w:rsid w:val="000324CC"/>
    <w:rsid w:val="00032593"/>
    <w:rsid w:val="000325E0"/>
    <w:rsid w:val="0003272A"/>
    <w:rsid w:val="00032807"/>
    <w:rsid w:val="00032945"/>
    <w:rsid w:val="00032A93"/>
    <w:rsid w:val="00032BEC"/>
    <w:rsid w:val="00032C7D"/>
    <w:rsid w:val="00032CBF"/>
    <w:rsid w:val="00033177"/>
    <w:rsid w:val="00033300"/>
    <w:rsid w:val="000333FD"/>
    <w:rsid w:val="00033536"/>
    <w:rsid w:val="00033CBE"/>
    <w:rsid w:val="00033F47"/>
    <w:rsid w:val="00034741"/>
    <w:rsid w:val="000347EB"/>
    <w:rsid w:val="0003494F"/>
    <w:rsid w:val="00035462"/>
    <w:rsid w:val="0003575D"/>
    <w:rsid w:val="0003588C"/>
    <w:rsid w:val="00035C61"/>
    <w:rsid w:val="000360A0"/>
    <w:rsid w:val="00036298"/>
    <w:rsid w:val="000366EE"/>
    <w:rsid w:val="0003671B"/>
    <w:rsid w:val="00036738"/>
    <w:rsid w:val="0003694D"/>
    <w:rsid w:val="0003699E"/>
    <w:rsid w:val="00036A5A"/>
    <w:rsid w:val="00036D10"/>
    <w:rsid w:val="00036DFE"/>
    <w:rsid w:val="00037221"/>
    <w:rsid w:val="00037398"/>
    <w:rsid w:val="000373A8"/>
    <w:rsid w:val="00037452"/>
    <w:rsid w:val="00037A5F"/>
    <w:rsid w:val="00037D37"/>
    <w:rsid w:val="00037F69"/>
    <w:rsid w:val="000400C3"/>
    <w:rsid w:val="000402CD"/>
    <w:rsid w:val="0004033A"/>
    <w:rsid w:val="0004053C"/>
    <w:rsid w:val="000408BB"/>
    <w:rsid w:val="00040AB0"/>
    <w:rsid w:val="00040B9B"/>
    <w:rsid w:val="000415A6"/>
    <w:rsid w:val="00041880"/>
    <w:rsid w:val="00041D5A"/>
    <w:rsid w:val="000421E8"/>
    <w:rsid w:val="00042A47"/>
    <w:rsid w:val="00042B16"/>
    <w:rsid w:val="00042E68"/>
    <w:rsid w:val="0004301E"/>
    <w:rsid w:val="000433DC"/>
    <w:rsid w:val="00043660"/>
    <w:rsid w:val="000438C5"/>
    <w:rsid w:val="00043BFE"/>
    <w:rsid w:val="00043E02"/>
    <w:rsid w:val="00043EFD"/>
    <w:rsid w:val="00044344"/>
    <w:rsid w:val="0004453F"/>
    <w:rsid w:val="000447E2"/>
    <w:rsid w:val="00044AB0"/>
    <w:rsid w:val="00044FB0"/>
    <w:rsid w:val="00045165"/>
    <w:rsid w:val="0004582E"/>
    <w:rsid w:val="00045911"/>
    <w:rsid w:val="00045A88"/>
    <w:rsid w:val="00045D59"/>
    <w:rsid w:val="00046009"/>
    <w:rsid w:val="00046477"/>
    <w:rsid w:val="00046BCF"/>
    <w:rsid w:val="00046E8D"/>
    <w:rsid w:val="000470AC"/>
    <w:rsid w:val="00047120"/>
    <w:rsid w:val="00047167"/>
    <w:rsid w:val="000474B5"/>
    <w:rsid w:val="000477BF"/>
    <w:rsid w:val="00047D2A"/>
    <w:rsid w:val="000501F4"/>
    <w:rsid w:val="00050A6B"/>
    <w:rsid w:val="0005101A"/>
    <w:rsid w:val="0005111A"/>
    <w:rsid w:val="0005137E"/>
    <w:rsid w:val="00051582"/>
    <w:rsid w:val="000519D2"/>
    <w:rsid w:val="00051D4F"/>
    <w:rsid w:val="00051E6D"/>
    <w:rsid w:val="0005213C"/>
    <w:rsid w:val="0005221F"/>
    <w:rsid w:val="0005268E"/>
    <w:rsid w:val="00052820"/>
    <w:rsid w:val="000536A5"/>
    <w:rsid w:val="000536AE"/>
    <w:rsid w:val="000538E3"/>
    <w:rsid w:val="00053A10"/>
    <w:rsid w:val="00053A2C"/>
    <w:rsid w:val="00053C1B"/>
    <w:rsid w:val="00053C1E"/>
    <w:rsid w:val="00053D82"/>
    <w:rsid w:val="000540ED"/>
    <w:rsid w:val="000543EA"/>
    <w:rsid w:val="00054709"/>
    <w:rsid w:val="000548D4"/>
    <w:rsid w:val="00054A12"/>
    <w:rsid w:val="00054BF2"/>
    <w:rsid w:val="00054FC7"/>
    <w:rsid w:val="00054FD0"/>
    <w:rsid w:val="000552D3"/>
    <w:rsid w:val="00055491"/>
    <w:rsid w:val="000554FE"/>
    <w:rsid w:val="00055632"/>
    <w:rsid w:val="00055800"/>
    <w:rsid w:val="00055B08"/>
    <w:rsid w:val="00055D3D"/>
    <w:rsid w:val="00055D7F"/>
    <w:rsid w:val="00055E83"/>
    <w:rsid w:val="0005602E"/>
    <w:rsid w:val="00056176"/>
    <w:rsid w:val="000565BF"/>
    <w:rsid w:val="00056990"/>
    <w:rsid w:val="00057030"/>
    <w:rsid w:val="00057618"/>
    <w:rsid w:val="00057B9B"/>
    <w:rsid w:val="00057DA2"/>
    <w:rsid w:val="00060585"/>
    <w:rsid w:val="000608DE"/>
    <w:rsid w:val="00060D5A"/>
    <w:rsid w:val="00060FB9"/>
    <w:rsid w:val="0006110E"/>
    <w:rsid w:val="000616B3"/>
    <w:rsid w:val="00061BE3"/>
    <w:rsid w:val="00062054"/>
    <w:rsid w:val="0006205A"/>
    <w:rsid w:val="000621A0"/>
    <w:rsid w:val="0006231C"/>
    <w:rsid w:val="00062576"/>
    <w:rsid w:val="00062632"/>
    <w:rsid w:val="0006271F"/>
    <w:rsid w:val="000627C7"/>
    <w:rsid w:val="000627E8"/>
    <w:rsid w:val="00062B80"/>
    <w:rsid w:val="000633FF"/>
    <w:rsid w:val="00063565"/>
    <w:rsid w:val="0006398C"/>
    <w:rsid w:val="00063B5B"/>
    <w:rsid w:val="00063DCF"/>
    <w:rsid w:val="00064B39"/>
    <w:rsid w:val="00064B69"/>
    <w:rsid w:val="00064D41"/>
    <w:rsid w:val="00064F06"/>
    <w:rsid w:val="000650CB"/>
    <w:rsid w:val="00065169"/>
    <w:rsid w:val="000651C4"/>
    <w:rsid w:val="000656FD"/>
    <w:rsid w:val="00065923"/>
    <w:rsid w:val="0006647B"/>
    <w:rsid w:val="00066A18"/>
    <w:rsid w:val="00066B8F"/>
    <w:rsid w:val="00066D80"/>
    <w:rsid w:val="00066E51"/>
    <w:rsid w:val="000670CB"/>
    <w:rsid w:val="00067C88"/>
    <w:rsid w:val="00067E9A"/>
    <w:rsid w:val="00070155"/>
    <w:rsid w:val="000702ED"/>
    <w:rsid w:val="00070831"/>
    <w:rsid w:val="00070D33"/>
    <w:rsid w:val="00071078"/>
    <w:rsid w:val="0007132E"/>
    <w:rsid w:val="00071464"/>
    <w:rsid w:val="0007171C"/>
    <w:rsid w:val="00071ADD"/>
    <w:rsid w:val="0007248A"/>
    <w:rsid w:val="000724CE"/>
    <w:rsid w:val="000725AD"/>
    <w:rsid w:val="000725B1"/>
    <w:rsid w:val="00072C8E"/>
    <w:rsid w:val="00072EB6"/>
    <w:rsid w:val="0007301F"/>
    <w:rsid w:val="00073130"/>
    <w:rsid w:val="0007316C"/>
    <w:rsid w:val="0007341E"/>
    <w:rsid w:val="0007412D"/>
    <w:rsid w:val="000743DE"/>
    <w:rsid w:val="0007458E"/>
    <w:rsid w:val="0007459A"/>
    <w:rsid w:val="00074675"/>
    <w:rsid w:val="00074962"/>
    <w:rsid w:val="00075E28"/>
    <w:rsid w:val="000760B1"/>
    <w:rsid w:val="000762E4"/>
    <w:rsid w:val="000777B5"/>
    <w:rsid w:val="00077D7E"/>
    <w:rsid w:val="00080012"/>
    <w:rsid w:val="000801E5"/>
    <w:rsid w:val="000802E5"/>
    <w:rsid w:val="00080B7B"/>
    <w:rsid w:val="00080C9E"/>
    <w:rsid w:val="00080FAE"/>
    <w:rsid w:val="00080FE6"/>
    <w:rsid w:val="00081083"/>
    <w:rsid w:val="00081807"/>
    <w:rsid w:val="00081835"/>
    <w:rsid w:val="00081842"/>
    <w:rsid w:val="00082429"/>
    <w:rsid w:val="00082C51"/>
    <w:rsid w:val="00082DE7"/>
    <w:rsid w:val="000836B3"/>
    <w:rsid w:val="00083A87"/>
    <w:rsid w:val="00083CB7"/>
    <w:rsid w:val="000840BA"/>
    <w:rsid w:val="000840EF"/>
    <w:rsid w:val="00084259"/>
    <w:rsid w:val="0008427D"/>
    <w:rsid w:val="000847F6"/>
    <w:rsid w:val="000849E9"/>
    <w:rsid w:val="00084D41"/>
    <w:rsid w:val="00085225"/>
    <w:rsid w:val="000859CC"/>
    <w:rsid w:val="00085B92"/>
    <w:rsid w:val="00085C3E"/>
    <w:rsid w:val="00085DC6"/>
    <w:rsid w:val="00085DEE"/>
    <w:rsid w:val="00086481"/>
    <w:rsid w:val="00086550"/>
    <w:rsid w:val="00086865"/>
    <w:rsid w:val="000869CF"/>
    <w:rsid w:val="00086D2E"/>
    <w:rsid w:val="00086EFA"/>
    <w:rsid w:val="0008715E"/>
    <w:rsid w:val="000872FC"/>
    <w:rsid w:val="00087377"/>
    <w:rsid w:val="00087668"/>
    <w:rsid w:val="00087933"/>
    <w:rsid w:val="00087B42"/>
    <w:rsid w:val="00087B9D"/>
    <w:rsid w:val="00087DFA"/>
    <w:rsid w:val="000900BE"/>
    <w:rsid w:val="000900E4"/>
    <w:rsid w:val="00090729"/>
    <w:rsid w:val="000908E6"/>
    <w:rsid w:val="00090950"/>
    <w:rsid w:val="00090A91"/>
    <w:rsid w:val="00090EDF"/>
    <w:rsid w:val="00090FF5"/>
    <w:rsid w:val="00091022"/>
    <w:rsid w:val="00091124"/>
    <w:rsid w:val="000912DC"/>
    <w:rsid w:val="00091E48"/>
    <w:rsid w:val="00092016"/>
    <w:rsid w:val="000925A1"/>
    <w:rsid w:val="000925CA"/>
    <w:rsid w:val="00092B0E"/>
    <w:rsid w:val="000930B8"/>
    <w:rsid w:val="0009327D"/>
    <w:rsid w:val="0009333A"/>
    <w:rsid w:val="000937FA"/>
    <w:rsid w:val="000948BA"/>
    <w:rsid w:val="000949FF"/>
    <w:rsid w:val="00094E8B"/>
    <w:rsid w:val="00094F84"/>
    <w:rsid w:val="00094FEC"/>
    <w:rsid w:val="00095012"/>
    <w:rsid w:val="0009543A"/>
    <w:rsid w:val="000955F6"/>
    <w:rsid w:val="000958D3"/>
    <w:rsid w:val="00095930"/>
    <w:rsid w:val="000959C9"/>
    <w:rsid w:val="00095D2C"/>
    <w:rsid w:val="00095D57"/>
    <w:rsid w:val="0009602C"/>
    <w:rsid w:val="0009618A"/>
    <w:rsid w:val="0009659F"/>
    <w:rsid w:val="00096665"/>
    <w:rsid w:val="00096E09"/>
    <w:rsid w:val="00096EEB"/>
    <w:rsid w:val="00097117"/>
    <w:rsid w:val="0009735C"/>
    <w:rsid w:val="00097808"/>
    <w:rsid w:val="0009789C"/>
    <w:rsid w:val="00097D3C"/>
    <w:rsid w:val="00097E07"/>
    <w:rsid w:val="00097F68"/>
    <w:rsid w:val="00097FF8"/>
    <w:rsid w:val="000A0643"/>
    <w:rsid w:val="000A06C2"/>
    <w:rsid w:val="000A07FF"/>
    <w:rsid w:val="000A0B5B"/>
    <w:rsid w:val="000A1023"/>
    <w:rsid w:val="000A1183"/>
    <w:rsid w:val="000A1371"/>
    <w:rsid w:val="000A1408"/>
    <w:rsid w:val="000A152D"/>
    <w:rsid w:val="000A1622"/>
    <w:rsid w:val="000A20ED"/>
    <w:rsid w:val="000A2D5C"/>
    <w:rsid w:val="000A32EC"/>
    <w:rsid w:val="000A3857"/>
    <w:rsid w:val="000A38D4"/>
    <w:rsid w:val="000A3971"/>
    <w:rsid w:val="000A3A16"/>
    <w:rsid w:val="000A3BD5"/>
    <w:rsid w:val="000A3BE7"/>
    <w:rsid w:val="000A3C1C"/>
    <w:rsid w:val="000A40E2"/>
    <w:rsid w:val="000A40F1"/>
    <w:rsid w:val="000A4322"/>
    <w:rsid w:val="000A466C"/>
    <w:rsid w:val="000A4F1D"/>
    <w:rsid w:val="000A4FEC"/>
    <w:rsid w:val="000A5394"/>
    <w:rsid w:val="000A5534"/>
    <w:rsid w:val="000A5DEB"/>
    <w:rsid w:val="000A5E15"/>
    <w:rsid w:val="000A5E8F"/>
    <w:rsid w:val="000A5EF2"/>
    <w:rsid w:val="000A5FFB"/>
    <w:rsid w:val="000A661F"/>
    <w:rsid w:val="000A6D70"/>
    <w:rsid w:val="000A70B5"/>
    <w:rsid w:val="000A7166"/>
    <w:rsid w:val="000A7474"/>
    <w:rsid w:val="000A76E5"/>
    <w:rsid w:val="000A78C8"/>
    <w:rsid w:val="000A7AC5"/>
    <w:rsid w:val="000A7B22"/>
    <w:rsid w:val="000A7B91"/>
    <w:rsid w:val="000A7ED2"/>
    <w:rsid w:val="000B00EB"/>
    <w:rsid w:val="000B091F"/>
    <w:rsid w:val="000B0DBC"/>
    <w:rsid w:val="000B0F3A"/>
    <w:rsid w:val="000B0F52"/>
    <w:rsid w:val="000B0FF6"/>
    <w:rsid w:val="000B1470"/>
    <w:rsid w:val="000B159D"/>
    <w:rsid w:val="000B1AB4"/>
    <w:rsid w:val="000B1BB2"/>
    <w:rsid w:val="000B1C97"/>
    <w:rsid w:val="000B21C8"/>
    <w:rsid w:val="000B2246"/>
    <w:rsid w:val="000B234A"/>
    <w:rsid w:val="000B23CE"/>
    <w:rsid w:val="000B25F2"/>
    <w:rsid w:val="000B279A"/>
    <w:rsid w:val="000B282A"/>
    <w:rsid w:val="000B284C"/>
    <w:rsid w:val="000B28AD"/>
    <w:rsid w:val="000B2C98"/>
    <w:rsid w:val="000B2EB3"/>
    <w:rsid w:val="000B30FD"/>
    <w:rsid w:val="000B35F2"/>
    <w:rsid w:val="000B3AF9"/>
    <w:rsid w:val="000B49B0"/>
    <w:rsid w:val="000B4D9D"/>
    <w:rsid w:val="000B4DD0"/>
    <w:rsid w:val="000B5023"/>
    <w:rsid w:val="000B5211"/>
    <w:rsid w:val="000B538E"/>
    <w:rsid w:val="000B53E0"/>
    <w:rsid w:val="000B5577"/>
    <w:rsid w:val="000B5808"/>
    <w:rsid w:val="000B5B2B"/>
    <w:rsid w:val="000B5BE5"/>
    <w:rsid w:val="000B6150"/>
    <w:rsid w:val="000B71BF"/>
    <w:rsid w:val="000B72A0"/>
    <w:rsid w:val="000B75CE"/>
    <w:rsid w:val="000B7624"/>
    <w:rsid w:val="000B77FD"/>
    <w:rsid w:val="000B79E5"/>
    <w:rsid w:val="000B7E21"/>
    <w:rsid w:val="000B7E82"/>
    <w:rsid w:val="000B7FF1"/>
    <w:rsid w:val="000C0310"/>
    <w:rsid w:val="000C09CB"/>
    <w:rsid w:val="000C139C"/>
    <w:rsid w:val="000C18E7"/>
    <w:rsid w:val="000C18EC"/>
    <w:rsid w:val="000C1B30"/>
    <w:rsid w:val="000C1E90"/>
    <w:rsid w:val="000C1F75"/>
    <w:rsid w:val="000C202C"/>
    <w:rsid w:val="000C250C"/>
    <w:rsid w:val="000C2707"/>
    <w:rsid w:val="000C32DE"/>
    <w:rsid w:val="000C3D57"/>
    <w:rsid w:val="000C3DCE"/>
    <w:rsid w:val="000C3E2C"/>
    <w:rsid w:val="000C3F9E"/>
    <w:rsid w:val="000C4119"/>
    <w:rsid w:val="000C41A6"/>
    <w:rsid w:val="000C4933"/>
    <w:rsid w:val="000C4C31"/>
    <w:rsid w:val="000C4D95"/>
    <w:rsid w:val="000C4FFB"/>
    <w:rsid w:val="000C5504"/>
    <w:rsid w:val="000C56CC"/>
    <w:rsid w:val="000C5950"/>
    <w:rsid w:val="000C5B3D"/>
    <w:rsid w:val="000C5FEF"/>
    <w:rsid w:val="000C61E1"/>
    <w:rsid w:val="000C63B8"/>
    <w:rsid w:val="000C6C3E"/>
    <w:rsid w:val="000C6C7E"/>
    <w:rsid w:val="000C6D7A"/>
    <w:rsid w:val="000C6EB7"/>
    <w:rsid w:val="000C6EE3"/>
    <w:rsid w:val="000C74BB"/>
    <w:rsid w:val="000C7559"/>
    <w:rsid w:val="000C75B4"/>
    <w:rsid w:val="000D0290"/>
    <w:rsid w:val="000D0465"/>
    <w:rsid w:val="000D0522"/>
    <w:rsid w:val="000D06E3"/>
    <w:rsid w:val="000D0BC0"/>
    <w:rsid w:val="000D1093"/>
    <w:rsid w:val="000D1138"/>
    <w:rsid w:val="000D15F5"/>
    <w:rsid w:val="000D1B67"/>
    <w:rsid w:val="000D20DA"/>
    <w:rsid w:val="000D291B"/>
    <w:rsid w:val="000D2D13"/>
    <w:rsid w:val="000D2E3F"/>
    <w:rsid w:val="000D34A3"/>
    <w:rsid w:val="000D3D68"/>
    <w:rsid w:val="000D3E7F"/>
    <w:rsid w:val="000D40CB"/>
    <w:rsid w:val="000D4AEB"/>
    <w:rsid w:val="000D4EA5"/>
    <w:rsid w:val="000D5105"/>
    <w:rsid w:val="000D54F6"/>
    <w:rsid w:val="000D568B"/>
    <w:rsid w:val="000D580B"/>
    <w:rsid w:val="000D5A59"/>
    <w:rsid w:val="000D5D21"/>
    <w:rsid w:val="000D6245"/>
    <w:rsid w:val="000D6350"/>
    <w:rsid w:val="000D68B2"/>
    <w:rsid w:val="000D6946"/>
    <w:rsid w:val="000D6C21"/>
    <w:rsid w:val="000D71BF"/>
    <w:rsid w:val="000D7685"/>
    <w:rsid w:val="000D77CD"/>
    <w:rsid w:val="000D79DB"/>
    <w:rsid w:val="000E0128"/>
    <w:rsid w:val="000E032A"/>
    <w:rsid w:val="000E0695"/>
    <w:rsid w:val="000E0BBC"/>
    <w:rsid w:val="000E0D0B"/>
    <w:rsid w:val="000E0FD1"/>
    <w:rsid w:val="000E1288"/>
    <w:rsid w:val="000E12B1"/>
    <w:rsid w:val="000E13EB"/>
    <w:rsid w:val="000E18E7"/>
    <w:rsid w:val="000E1BF9"/>
    <w:rsid w:val="000E1CCD"/>
    <w:rsid w:val="000E1FFB"/>
    <w:rsid w:val="000E20B2"/>
    <w:rsid w:val="000E21F5"/>
    <w:rsid w:val="000E230D"/>
    <w:rsid w:val="000E257F"/>
    <w:rsid w:val="000E2624"/>
    <w:rsid w:val="000E29ED"/>
    <w:rsid w:val="000E308C"/>
    <w:rsid w:val="000E30CB"/>
    <w:rsid w:val="000E31D9"/>
    <w:rsid w:val="000E3215"/>
    <w:rsid w:val="000E3277"/>
    <w:rsid w:val="000E3336"/>
    <w:rsid w:val="000E387D"/>
    <w:rsid w:val="000E392F"/>
    <w:rsid w:val="000E4771"/>
    <w:rsid w:val="000E53A1"/>
    <w:rsid w:val="000E54E3"/>
    <w:rsid w:val="000E5544"/>
    <w:rsid w:val="000E578E"/>
    <w:rsid w:val="000E58A7"/>
    <w:rsid w:val="000E5AAE"/>
    <w:rsid w:val="000E60BA"/>
    <w:rsid w:val="000E6C7B"/>
    <w:rsid w:val="000E6F94"/>
    <w:rsid w:val="000E7034"/>
    <w:rsid w:val="000E71B4"/>
    <w:rsid w:val="000E73C9"/>
    <w:rsid w:val="000E74D5"/>
    <w:rsid w:val="000E77D9"/>
    <w:rsid w:val="000F012F"/>
    <w:rsid w:val="000F0887"/>
    <w:rsid w:val="000F0FA7"/>
    <w:rsid w:val="000F11D3"/>
    <w:rsid w:val="000F1B2D"/>
    <w:rsid w:val="000F1CCE"/>
    <w:rsid w:val="000F1CFB"/>
    <w:rsid w:val="000F21A9"/>
    <w:rsid w:val="000F2788"/>
    <w:rsid w:val="000F2B7F"/>
    <w:rsid w:val="000F3152"/>
    <w:rsid w:val="000F33CD"/>
    <w:rsid w:val="000F3447"/>
    <w:rsid w:val="000F36B9"/>
    <w:rsid w:val="000F37BD"/>
    <w:rsid w:val="000F3A5E"/>
    <w:rsid w:val="000F3C29"/>
    <w:rsid w:val="000F460A"/>
    <w:rsid w:val="000F52DE"/>
    <w:rsid w:val="000F5384"/>
    <w:rsid w:val="000F56E6"/>
    <w:rsid w:val="000F5809"/>
    <w:rsid w:val="000F582E"/>
    <w:rsid w:val="000F5E87"/>
    <w:rsid w:val="000F6500"/>
    <w:rsid w:val="000F6B84"/>
    <w:rsid w:val="000F6C39"/>
    <w:rsid w:val="000F711A"/>
    <w:rsid w:val="000F72C4"/>
    <w:rsid w:val="000F72F5"/>
    <w:rsid w:val="000F735F"/>
    <w:rsid w:val="000F73AA"/>
    <w:rsid w:val="000F763F"/>
    <w:rsid w:val="000F7959"/>
    <w:rsid w:val="000F796B"/>
    <w:rsid w:val="000F7A8A"/>
    <w:rsid w:val="000F7D90"/>
    <w:rsid w:val="000F7F82"/>
    <w:rsid w:val="000F7F8A"/>
    <w:rsid w:val="00100012"/>
    <w:rsid w:val="0010006E"/>
    <w:rsid w:val="00100218"/>
    <w:rsid w:val="001002D1"/>
    <w:rsid w:val="00100570"/>
    <w:rsid w:val="00100842"/>
    <w:rsid w:val="00100B19"/>
    <w:rsid w:val="00100B62"/>
    <w:rsid w:val="00100C8B"/>
    <w:rsid w:val="00101523"/>
    <w:rsid w:val="00101CBD"/>
    <w:rsid w:val="00101E1B"/>
    <w:rsid w:val="00101E9F"/>
    <w:rsid w:val="00102195"/>
    <w:rsid w:val="0010282E"/>
    <w:rsid w:val="001029AD"/>
    <w:rsid w:val="00102B66"/>
    <w:rsid w:val="00102EB3"/>
    <w:rsid w:val="00102F03"/>
    <w:rsid w:val="00102F51"/>
    <w:rsid w:val="00103002"/>
    <w:rsid w:val="00103391"/>
    <w:rsid w:val="001038F1"/>
    <w:rsid w:val="0010466E"/>
    <w:rsid w:val="00104883"/>
    <w:rsid w:val="00104C50"/>
    <w:rsid w:val="00104D87"/>
    <w:rsid w:val="00104F9E"/>
    <w:rsid w:val="001050A1"/>
    <w:rsid w:val="0010526F"/>
    <w:rsid w:val="00105333"/>
    <w:rsid w:val="0010570D"/>
    <w:rsid w:val="00105B3A"/>
    <w:rsid w:val="00105C90"/>
    <w:rsid w:val="00105EAA"/>
    <w:rsid w:val="00105F78"/>
    <w:rsid w:val="0010616E"/>
    <w:rsid w:val="0010634C"/>
    <w:rsid w:val="001066E9"/>
    <w:rsid w:val="0010699D"/>
    <w:rsid w:val="00106D48"/>
    <w:rsid w:val="00106FA6"/>
    <w:rsid w:val="00107A2D"/>
    <w:rsid w:val="00107AC0"/>
    <w:rsid w:val="00107C3C"/>
    <w:rsid w:val="00110222"/>
    <w:rsid w:val="00110355"/>
    <w:rsid w:val="00110587"/>
    <w:rsid w:val="00110762"/>
    <w:rsid w:val="00110AFF"/>
    <w:rsid w:val="00110E40"/>
    <w:rsid w:val="00111097"/>
    <w:rsid w:val="00111159"/>
    <w:rsid w:val="0011178B"/>
    <w:rsid w:val="00111DE4"/>
    <w:rsid w:val="00111E5F"/>
    <w:rsid w:val="00111F50"/>
    <w:rsid w:val="00111FE3"/>
    <w:rsid w:val="00112108"/>
    <w:rsid w:val="001124CB"/>
    <w:rsid w:val="00112527"/>
    <w:rsid w:val="00112AC8"/>
    <w:rsid w:val="001134AB"/>
    <w:rsid w:val="00113768"/>
    <w:rsid w:val="0011377F"/>
    <w:rsid w:val="001138FF"/>
    <w:rsid w:val="001139F0"/>
    <w:rsid w:val="00113CBF"/>
    <w:rsid w:val="00114228"/>
    <w:rsid w:val="00114319"/>
    <w:rsid w:val="001145DA"/>
    <w:rsid w:val="001146D5"/>
    <w:rsid w:val="001148C8"/>
    <w:rsid w:val="00114BA2"/>
    <w:rsid w:val="00115013"/>
    <w:rsid w:val="00115146"/>
    <w:rsid w:val="001153C6"/>
    <w:rsid w:val="00115459"/>
    <w:rsid w:val="00115CD0"/>
    <w:rsid w:val="00115D1B"/>
    <w:rsid w:val="001165B5"/>
    <w:rsid w:val="001169A0"/>
    <w:rsid w:val="0011730E"/>
    <w:rsid w:val="00117365"/>
    <w:rsid w:val="00117896"/>
    <w:rsid w:val="001179D5"/>
    <w:rsid w:val="00117A76"/>
    <w:rsid w:val="001205CA"/>
    <w:rsid w:val="001207DC"/>
    <w:rsid w:val="00120A58"/>
    <w:rsid w:val="00120DA7"/>
    <w:rsid w:val="001213B7"/>
    <w:rsid w:val="00121425"/>
    <w:rsid w:val="001228D2"/>
    <w:rsid w:val="00122C39"/>
    <w:rsid w:val="00122EA5"/>
    <w:rsid w:val="00123121"/>
    <w:rsid w:val="00123399"/>
    <w:rsid w:val="0012340E"/>
    <w:rsid w:val="001236B0"/>
    <w:rsid w:val="00123A9F"/>
    <w:rsid w:val="00123F1A"/>
    <w:rsid w:val="00124CBC"/>
    <w:rsid w:val="00125076"/>
    <w:rsid w:val="0012510C"/>
    <w:rsid w:val="00125251"/>
    <w:rsid w:val="0012540A"/>
    <w:rsid w:val="00125655"/>
    <w:rsid w:val="00125AC0"/>
    <w:rsid w:val="00125F61"/>
    <w:rsid w:val="001265F6"/>
    <w:rsid w:val="0012667D"/>
    <w:rsid w:val="00126EDF"/>
    <w:rsid w:val="0012717F"/>
    <w:rsid w:val="0012729C"/>
    <w:rsid w:val="0012774C"/>
    <w:rsid w:val="00127C1B"/>
    <w:rsid w:val="00127CF4"/>
    <w:rsid w:val="00130733"/>
    <w:rsid w:val="001307EE"/>
    <w:rsid w:val="00130922"/>
    <w:rsid w:val="00130A06"/>
    <w:rsid w:val="00130A44"/>
    <w:rsid w:val="00130A51"/>
    <w:rsid w:val="00130FEA"/>
    <w:rsid w:val="00131075"/>
    <w:rsid w:val="001316D6"/>
    <w:rsid w:val="00131884"/>
    <w:rsid w:val="00131915"/>
    <w:rsid w:val="001319D7"/>
    <w:rsid w:val="00131D8A"/>
    <w:rsid w:val="00131E3A"/>
    <w:rsid w:val="00131EB5"/>
    <w:rsid w:val="001329B4"/>
    <w:rsid w:val="0013316B"/>
    <w:rsid w:val="001331D1"/>
    <w:rsid w:val="001336B0"/>
    <w:rsid w:val="001338EE"/>
    <w:rsid w:val="0013412A"/>
    <w:rsid w:val="001341DD"/>
    <w:rsid w:val="00134EBD"/>
    <w:rsid w:val="0013504D"/>
    <w:rsid w:val="001356DC"/>
    <w:rsid w:val="00135D9A"/>
    <w:rsid w:val="00136634"/>
    <w:rsid w:val="00136769"/>
    <w:rsid w:val="001367F7"/>
    <w:rsid w:val="00136C58"/>
    <w:rsid w:val="0013725A"/>
    <w:rsid w:val="001374B4"/>
    <w:rsid w:val="001376F3"/>
    <w:rsid w:val="00137825"/>
    <w:rsid w:val="00137905"/>
    <w:rsid w:val="00140110"/>
    <w:rsid w:val="001402BF"/>
    <w:rsid w:val="00140B7E"/>
    <w:rsid w:val="00140C85"/>
    <w:rsid w:val="00141366"/>
    <w:rsid w:val="00141A06"/>
    <w:rsid w:val="00141F05"/>
    <w:rsid w:val="0014211E"/>
    <w:rsid w:val="0014215B"/>
    <w:rsid w:val="00142476"/>
    <w:rsid w:val="00142534"/>
    <w:rsid w:val="00142877"/>
    <w:rsid w:val="001428A4"/>
    <w:rsid w:val="001428C5"/>
    <w:rsid w:val="001428DA"/>
    <w:rsid w:val="0014293B"/>
    <w:rsid w:val="00142A86"/>
    <w:rsid w:val="00142CFB"/>
    <w:rsid w:val="00143698"/>
    <w:rsid w:val="00143AA2"/>
    <w:rsid w:val="00144278"/>
    <w:rsid w:val="00144492"/>
    <w:rsid w:val="001447FA"/>
    <w:rsid w:val="00144B99"/>
    <w:rsid w:val="00144D77"/>
    <w:rsid w:val="00144E95"/>
    <w:rsid w:val="00144F5E"/>
    <w:rsid w:val="0014624C"/>
    <w:rsid w:val="001464F7"/>
    <w:rsid w:val="001465B6"/>
    <w:rsid w:val="0014665A"/>
    <w:rsid w:val="001466D8"/>
    <w:rsid w:val="001466E7"/>
    <w:rsid w:val="001467E9"/>
    <w:rsid w:val="00146CB3"/>
    <w:rsid w:val="00146F7B"/>
    <w:rsid w:val="00147458"/>
    <w:rsid w:val="0014752E"/>
    <w:rsid w:val="0014773B"/>
    <w:rsid w:val="0015028B"/>
    <w:rsid w:val="001504F9"/>
    <w:rsid w:val="00150AEA"/>
    <w:rsid w:val="00150E79"/>
    <w:rsid w:val="00150F6E"/>
    <w:rsid w:val="00150F80"/>
    <w:rsid w:val="0015130A"/>
    <w:rsid w:val="00151874"/>
    <w:rsid w:val="0015228E"/>
    <w:rsid w:val="001524EC"/>
    <w:rsid w:val="001525DA"/>
    <w:rsid w:val="001525FB"/>
    <w:rsid w:val="00152702"/>
    <w:rsid w:val="00152A93"/>
    <w:rsid w:val="00152BB5"/>
    <w:rsid w:val="00152D1E"/>
    <w:rsid w:val="001532DF"/>
    <w:rsid w:val="00153B0D"/>
    <w:rsid w:val="00154011"/>
    <w:rsid w:val="00154020"/>
    <w:rsid w:val="00154143"/>
    <w:rsid w:val="00154342"/>
    <w:rsid w:val="0015446C"/>
    <w:rsid w:val="00154ABC"/>
    <w:rsid w:val="00154B2E"/>
    <w:rsid w:val="00154C51"/>
    <w:rsid w:val="00154D50"/>
    <w:rsid w:val="00154D57"/>
    <w:rsid w:val="00154D78"/>
    <w:rsid w:val="00154ECD"/>
    <w:rsid w:val="00155118"/>
    <w:rsid w:val="00155305"/>
    <w:rsid w:val="00155331"/>
    <w:rsid w:val="00155391"/>
    <w:rsid w:val="001557CB"/>
    <w:rsid w:val="00155A95"/>
    <w:rsid w:val="00155C2F"/>
    <w:rsid w:val="00155D2B"/>
    <w:rsid w:val="00155DBE"/>
    <w:rsid w:val="001561A6"/>
    <w:rsid w:val="00156AFD"/>
    <w:rsid w:val="00157220"/>
    <w:rsid w:val="00157A77"/>
    <w:rsid w:val="00157BFA"/>
    <w:rsid w:val="00157FD2"/>
    <w:rsid w:val="001602B1"/>
    <w:rsid w:val="001609A6"/>
    <w:rsid w:val="00160C25"/>
    <w:rsid w:val="00160DA1"/>
    <w:rsid w:val="00160F9F"/>
    <w:rsid w:val="00161047"/>
    <w:rsid w:val="00161298"/>
    <w:rsid w:val="0016140F"/>
    <w:rsid w:val="001616B3"/>
    <w:rsid w:val="00161F3A"/>
    <w:rsid w:val="00162306"/>
    <w:rsid w:val="0016230B"/>
    <w:rsid w:val="00162406"/>
    <w:rsid w:val="001628D7"/>
    <w:rsid w:val="00162AB5"/>
    <w:rsid w:val="00162E89"/>
    <w:rsid w:val="00163039"/>
    <w:rsid w:val="001632E8"/>
    <w:rsid w:val="001636F4"/>
    <w:rsid w:val="00163712"/>
    <w:rsid w:val="00164746"/>
    <w:rsid w:val="00164778"/>
    <w:rsid w:val="00164A7D"/>
    <w:rsid w:val="00164D27"/>
    <w:rsid w:val="001654DC"/>
    <w:rsid w:val="00165D29"/>
    <w:rsid w:val="00166806"/>
    <w:rsid w:val="00166E05"/>
    <w:rsid w:val="001671BF"/>
    <w:rsid w:val="0016757C"/>
    <w:rsid w:val="00167645"/>
    <w:rsid w:val="00167A28"/>
    <w:rsid w:val="00167A4D"/>
    <w:rsid w:val="00167A99"/>
    <w:rsid w:val="00170138"/>
    <w:rsid w:val="00170674"/>
    <w:rsid w:val="001706C2"/>
    <w:rsid w:val="0017082F"/>
    <w:rsid w:val="00170B11"/>
    <w:rsid w:val="00170F82"/>
    <w:rsid w:val="00170FD7"/>
    <w:rsid w:val="0017109C"/>
    <w:rsid w:val="00171260"/>
    <w:rsid w:val="001721A6"/>
    <w:rsid w:val="001723CB"/>
    <w:rsid w:val="00172641"/>
    <w:rsid w:val="00172CE8"/>
    <w:rsid w:val="00172D83"/>
    <w:rsid w:val="00172EC9"/>
    <w:rsid w:val="00172ED0"/>
    <w:rsid w:val="00173296"/>
    <w:rsid w:val="00173393"/>
    <w:rsid w:val="001733A2"/>
    <w:rsid w:val="00173D8F"/>
    <w:rsid w:val="00174257"/>
    <w:rsid w:val="00174A1B"/>
    <w:rsid w:val="00174C48"/>
    <w:rsid w:val="00174D7F"/>
    <w:rsid w:val="0017555B"/>
    <w:rsid w:val="001756CF"/>
    <w:rsid w:val="001759F3"/>
    <w:rsid w:val="00175C18"/>
    <w:rsid w:val="00175E02"/>
    <w:rsid w:val="00175E7B"/>
    <w:rsid w:val="00175FC7"/>
    <w:rsid w:val="001761B2"/>
    <w:rsid w:val="001761D5"/>
    <w:rsid w:val="001762C7"/>
    <w:rsid w:val="001763CE"/>
    <w:rsid w:val="00176946"/>
    <w:rsid w:val="001771F8"/>
    <w:rsid w:val="0017724E"/>
    <w:rsid w:val="001774D5"/>
    <w:rsid w:val="001777EE"/>
    <w:rsid w:val="0017786E"/>
    <w:rsid w:val="00177A77"/>
    <w:rsid w:val="00177D8E"/>
    <w:rsid w:val="00177DD4"/>
    <w:rsid w:val="00180282"/>
    <w:rsid w:val="001808A1"/>
    <w:rsid w:val="00180D89"/>
    <w:rsid w:val="00181143"/>
    <w:rsid w:val="001811F1"/>
    <w:rsid w:val="0018123D"/>
    <w:rsid w:val="0018126B"/>
    <w:rsid w:val="0018156B"/>
    <w:rsid w:val="0018255C"/>
    <w:rsid w:val="00182882"/>
    <w:rsid w:val="0018295B"/>
    <w:rsid w:val="00182BDE"/>
    <w:rsid w:val="00182C5F"/>
    <w:rsid w:val="00182C82"/>
    <w:rsid w:val="0018315E"/>
    <w:rsid w:val="00183511"/>
    <w:rsid w:val="00183549"/>
    <w:rsid w:val="00183994"/>
    <w:rsid w:val="00183BD8"/>
    <w:rsid w:val="00183C52"/>
    <w:rsid w:val="001841B3"/>
    <w:rsid w:val="00184A40"/>
    <w:rsid w:val="001852FD"/>
    <w:rsid w:val="00185348"/>
    <w:rsid w:val="0018537B"/>
    <w:rsid w:val="001855C5"/>
    <w:rsid w:val="00185770"/>
    <w:rsid w:val="00185E2C"/>
    <w:rsid w:val="001862D0"/>
    <w:rsid w:val="00186307"/>
    <w:rsid w:val="00186340"/>
    <w:rsid w:val="00186FA9"/>
    <w:rsid w:val="00187061"/>
    <w:rsid w:val="00187177"/>
    <w:rsid w:val="00187820"/>
    <w:rsid w:val="001878E7"/>
    <w:rsid w:val="00190111"/>
    <w:rsid w:val="00190286"/>
    <w:rsid w:val="0019072E"/>
    <w:rsid w:val="00190961"/>
    <w:rsid w:val="00190D19"/>
    <w:rsid w:val="00190D8F"/>
    <w:rsid w:val="001911C9"/>
    <w:rsid w:val="00191264"/>
    <w:rsid w:val="00191348"/>
    <w:rsid w:val="001913BD"/>
    <w:rsid w:val="00191779"/>
    <w:rsid w:val="00191955"/>
    <w:rsid w:val="00191C9B"/>
    <w:rsid w:val="00191CBF"/>
    <w:rsid w:val="0019203B"/>
    <w:rsid w:val="0019203F"/>
    <w:rsid w:val="00192237"/>
    <w:rsid w:val="001924FB"/>
    <w:rsid w:val="00192687"/>
    <w:rsid w:val="00192EAA"/>
    <w:rsid w:val="00192F8F"/>
    <w:rsid w:val="00192FD2"/>
    <w:rsid w:val="00193032"/>
    <w:rsid w:val="0019305B"/>
    <w:rsid w:val="00193296"/>
    <w:rsid w:val="001935E6"/>
    <w:rsid w:val="001936AF"/>
    <w:rsid w:val="001937E8"/>
    <w:rsid w:val="00193AC5"/>
    <w:rsid w:val="00193BDD"/>
    <w:rsid w:val="00193D91"/>
    <w:rsid w:val="00193E42"/>
    <w:rsid w:val="00193ECE"/>
    <w:rsid w:val="001941FC"/>
    <w:rsid w:val="00194526"/>
    <w:rsid w:val="001945BA"/>
    <w:rsid w:val="0019470D"/>
    <w:rsid w:val="00194AF8"/>
    <w:rsid w:val="00194D0E"/>
    <w:rsid w:val="00195401"/>
    <w:rsid w:val="00195B73"/>
    <w:rsid w:val="00195CE2"/>
    <w:rsid w:val="00195E5B"/>
    <w:rsid w:val="00195F30"/>
    <w:rsid w:val="00195FD2"/>
    <w:rsid w:val="001966D7"/>
    <w:rsid w:val="0019693D"/>
    <w:rsid w:val="00196F61"/>
    <w:rsid w:val="00197032"/>
    <w:rsid w:val="0019717C"/>
    <w:rsid w:val="0019746E"/>
    <w:rsid w:val="00197AE0"/>
    <w:rsid w:val="00197CD8"/>
    <w:rsid w:val="001A0069"/>
    <w:rsid w:val="001A0126"/>
    <w:rsid w:val="001A0787"/>
    <w:rsid w:val="001A0DEC"/>
    <w:rsid w:val="001A1563"/>
    <w:rsid w:val="001A16E5"/>
    <w:rsid w:val="001A16EE"/>
    <w:rsid w:val="001A1794"/>
    <w:rsid w:val="001A1BB2"/>
    <w:rsid w:val="001A1F6F"/>
    <w:rsid w:val="001A22AD"/>
    <w:rsid w:val="001A2566"/>
    <w:rsid w:val="001A2697"/>
    <w:rsid w:val="001A26B6"/>
    <w:rsid w:val="001A2994"/>
    <w:rsid w:val="001A2F24"/>
    <w:rsid w:val="001A3A7F"/>
    <w:rsid w:val="001A3CD5"/>
    <w:rsid w:val="001A423B"/>
    <w:rsid w:val="001A426A"/>
    <w:rsid w:val="001A44B2"/>
    <w:rsid w:val="001A469B"/>
    <w:rsid w:val="001A4773"/>
    <w:rsid w:val="001A4868"/>
    <w:rsid w:val="001A4B28"/>
    <w:rsid w:val="001A4E47"/>
    <w:rsid w:val="001A50D7"/>
    <w:rsid w:val="001A5499"/>
    <w:rsid w:val="001A5659"/>
    <w:rsid w:val="001A597B"/>
    <w:rsid w:val="001A5A73"/>
    <w:rsid w:val="001A5D96"/>
    <w:rsid w:val="001A60C2"/>
    <w:rsid w:val="001A65A0"/>
    <w:rsid w:val="001A6631"/>
    <w:rsid w:val="001A74C0"/>
    <w:rsid w:val="001A7909"/>
    <w:rsid w:val="001A7A85"/>
    <w:rsid w:val="001A7C0C"/>
    <w:rsid w:val="001A7CA1"/>
    <w:rsid w:val="001B07BE"/>
    <w:rsid w:val="001B0DA8"/>
    <w:rsid w:val="001B0E77"/>
    <w:rsid w:val="001B0EEE"/>
    <w:rsid w:val="001B14F6"/>
    <w:rsid w:val="001B175D"/>
    <w:rsid w:val="001B18E2"/>
    <w:rsid w:val="001B1F2F"/>
    <w:rsid w:val="001B219C"/>
    <w:rsid w:val="001B2304"/>
    <w:rsid w:val="001B2385"/>
    <w:rsid w:val="001B28C2"/>
    <w:rsid w:val="001B293A"/>
    <w:rsid w:val="001B2F41"/>
    <w:rsid w:val="001B3779"/>
    <w:rsid w:val="001B37EB"/>
    <w:rsid w:val="001B39F6"/>
    <w:rsid w:val="001B3A7F"/>
    <w:rsid w:val="001B3B57"/>
    <w:rsid w:val="001B46DC"/>
    <w:rsid w:val="001B4A01"/>
    <w:rsid w:val="001B4A8E"/>
    <w:rsid w:val="001B4BA3"/>
    <w:rsid w:val="001B4DD8"/>
    <w:rsid w:val="001B5088"/>
    <w:rsid w:val="001B593F"/>
    <w:rsid w:val="001B5988"/>
    <w:rsid w:val="001B5F61"/>
    <w:rsid w:val="001B6292"/>
    <w:rsid w:val="001B667A"/>
    <w:rsid w:val="001B68FA"/>
    <w:rsid w:val="001B6D87"/>
    <w:rsid w:val="001B72C4"/>
    <w:rsid w:val="001B73FA"/>
    <w:rsid w:val="001B761F"/>
    <w:rsid w:val="001B7621"/>
    <w:rsid w:val="001B7813"/>
    <w:rsid w:val="001B7939"/>
    <w:rsid w:val="001B7BF7"/>
    <w:rsid w:val="001B7D16"/>
    <w:rsid w:val="001B7D89"/>
    <w:rsid w:val="001B7E48"/>
    <w:rsid w:val="001B7FEB"/>
    <w:rsid w:val="001C0B75"/>
    <w:rsid w:val="001C0F4A"/>
    <w:rsid w:val="001C15EE"/>
    <w:rsid w:val="001C1EBC"/>
    <w:rsid w:val="001C29C6"/>
    <w:rsid w:val="001C29E4"/>
    <w:rsid w:val="001C2E18"/>
    <w:rsid w:val="001C34DF"/>
    <w:rsid w:val="001C37CC"/>
    <w:rsid w:val="001C3907"/>
    <w:rsid w:val="001C3CB9"/>
    <w:rsid w:val="001C3D1F"/>
    <w:rsid w:val="001C3F4B"/>
    <w:rsid w:val="001C4137"/>
    <w:rsid w:val="001C4A93"/>
    <w:rsid w:val="001C4C51"/>
    <w:rsid w:val="001C4DF3"/>
    <w:rsid w:val="001C4F8E"/>
    <w:rsid w:val="001C537F"/>
    <w:rsid w:val="001C55F9"/>
    <w:rsid w:val="001C5B74"/>
    <w:rsid w:val="001C6214"/>
    <w:rsid w:val="001C683D"/>
    <w:rsid w:val="001C6C30"/>
    <w:rsid w:val="001C6D22"/>
    <w:rsid w:val="001C6F11"/>
    <w:rsid w:val="001C7009"/>
    <w:rsid w:val="001C77EC"/>
    <w:rsid w:val="001C7AC4"/>
    <w:rsid w:val="001C7B05"/>
    <w:rsid w:val="001C7C2A"/>
    <w:rsid w:val="001D0176"/>
    <w:rsid w:val="001D0B6E"/>
    <w:rsid w:val="001D10CE"/>
    <w:rsid w:val="001D12F6"/>
    <w:rsid w:val="001D136D"/>
    <w:rsid w:val="001D1811"/>
    <w:rsid w:val="001D1A8D"/>
    <w:rsid w:val="001D209B"/>
    <w:rsid w:val="001D20EC"/>
    <w:rsid w:val="001D24F2"/>
    <w:rsid w:val="001D2A6B"/>
    <w:rsid w:val="001D2C0E"/>
    <w:rsid w:val="001D2C17"/>
    <w:rsid w:val="001D2D3F"/>
    <w:rsid w:val="001D30B1"/>
    <w:rsid w:val="001D35A0"/>
    <w:rsid w:val="001D3C05"/>
    <w:rsid w:val="001D3F41"/>
    <w:rsid w:val="001D3FA2"/>
    <w:rsid w:val="001D42C5"/>
    <w:rsid w:val="001D4EC5"/>
    <w:rsid w:val="001D59BA"/>
    <w:rsid w:val="001D5BC6"/>
    <w:rsid w:val="001D5BF7"/>
    <w:rsid w:val="001D5D35"/>
    <w:rsid w:val="001D5D60"/>
    <w:rsid w:val="001D5E90"/>
    <w:rsid w:val="001D694F"/>
    <w:rsid w:val="001D6A8A"/>
    <w:rsid w:val="001D7024"/>
    <w:rsid w:val="001D74EE"/>
    <w:rsid w:val="001D752F"/>
    <w:rsid w:val="001D754A"/>
    <w:rsid w:val="001D775A"/>
    <w:rsid w:val="001D7C98"/>
    <w:rsid w:val="001D7D7A"/>
    <w:rsid w:val="001E0685"/>
    <w:rsid w:val="001E08BA"/>
    <w:rsid w:val="001E181C"/>
    <w:rsid w:val="001E1AD7"/>
    <w:rsid w:val="001E1D44"/>
    <w:rsid w:val="001E2361"/>
    <w:rsid w:val="001E25C8"/>
    <w:rsid w:val="001E2CE5"/>
    <w:rsid w:val="001E3017"/>
    <w:rsid w:val="001E3613"/>
    <w:rsid w:val="001E3683"/>
    <w:rsid w:val="001E3799"/>
    <w:rsid w:val="001E3A04"/>
    <w:rsid w:val="001E4083"/>
    <w:rsid w:val="001E40A7"/>
    <w:rsid w:val="001E40F1"/>
    <w:rsid w:val="001E4169"/>
    <w:rsid w:val="001E4610"/>
    <w:rsid w:val="001E47D5"/>
    <w:rsid w:val="001E4D0B"/>
    <w:rsid w:val="001E51EF"/>
    <w:rsid w:val="001E586B"/>
    <w:rsid w:val="001E5BFA"/>
    <w:rsid w:val="001E5CC8"/>
    <w:rsid w:val="001E5FEA"/>
    <w:rsid w:val="001E62D5"/>
    <w:rsid w:val="001E6759"/>
    <w:rsid w:val="001E6D07"/>
    <w:rsid w:val="001E6D8A"/>
    <w:rsid w:val="001E7000"/>
    <w:rsid w:val="001E715F"/>
    <w:rsid w:val="001E7596"/>
    <w:rsid w:val="001E7B1F"/>
    <w:rsid w:val="001E7E10"/>
    <w:rsid w:val="001F0157"/>
    <w:rsid w:val="001F0253"/>
    <w:rsid w:val="001F070E"/>
    <w:rsid w:val="001F0DE5"/>
    <w:rsid w:val="001F1037"/>
    <w:rsid w:val="001F10C4"/>
    <w:rsid w:val="001F136F"/>
    <w:rsid w:val="001F1AA9"/>
    <w:rsid w:val="001F1F68"/>
    <w:rsid w:val="001F21FF"/>
    <w:rsid w:val="001F2709"/>
    <w:rsid w:val="001F2AB8"/>
    <w:rsid w:val="001F2C3F"/>
    <w:rsid w:val="001F2D96"/>
    <w:rsid w:val="001F2FB7"/>
    <w:rsid w:val="001F316E"/>
    <w:rsid w:val="001F33C2"/>
    <w:rsid w:val="001F3857"/>
    <w:rsid w:val="001F4042"/>
    <w:rsid w:val="001F4367"/>
    <w:rsid w:val="001F4522"/>
    <w:rsid w:val="001F45E0"/>
    <w:rsid w:val="001F4BCC"/>
    <w:rsid w:val="001F4E7E"/>
    <w:rsid w:val="001F4EFE"/>
    <w:rsid w:val="001F510E"/>
    <w:rsid w:val="001F52C2"/>
    <w:rsid w:val="001F5515"/>
    <w:rsid w:val="001F5815"/>
    <w:rsid w:val="001F5E1B"/>
    <w:rsid w:val="001F6216"/>
    <w:rsid w:val="001F647B"/>
    <w:rsid w:val="001F6695"/>
    <w:rsid w:val="001F690C"/>
    <w:rsid w:val="001F6947"/>
    <w:rsid w:val="001F7088"/>
    <w:rsid w:val="001F7584"/>
    <w:rsid w:val="001F7930"/>
    <w:rsid w:val="002006E2"/>
    <w:rsid w:val="0020096E"/>
    <w:rsid w:val="00200AAE"/>
    <w:rsid w:val="00200F0D"/>
    <w:rsid w:val="00201087"/>
    <w:rsid w:val="00201D30"/>
    <w:rsid w:val="00201E68"/>
    <w:rsid w:val="00201F20"/>
    <w:rsid w:val="002024EB"/>
    <w:rsid w:val="002027E6"/>
    <w:rsid w:val="0020280C"/>
    <w:rsid w:val="002028BD"/>
    <w:rsid w:val="00203014"/>
    <w:rsid w:val="00203026"/>
    <w:rsid w:val="0020333A"/>
    <w:rsid w:val="002036E9"/>
    <w:rsid w:val="0020371F"/>
    <w:rsid w:val="00203D23"/>
    <w:rsid w:val="00203E67"/>
    <w:rsid w:val="0020417B"/>
    <w:rsid w:val="0020425E"/>
    <w:rsid w:val="00204DD4"/>
    <w:rsid w:val="00204E43"/>
    <w:rsid w:val="00204F7E"/>
    <w:rsid w:val="00205438"/>
    <w:rsid w:val="00205629"/>
    <w:rsid w:val="00205634"/>
    <w:rsid w:val="00205639"/>
    <w:rsid w:val="00205B2D"/>
    <w:rsid w:val="00205DE4"/>
    <w:rsid w:val="00205ECB"/>
    <w:rsid w:val="00206445"/>
    <w:rsid w:val="002068D0"/>
    <w:rsid w:val="002069DB"/>
    <w:rsid w:val="00206CB7"/>
    <w:rsid w:val="00206F96"/>
    <w:rsid w:val="002075EE"/>
    <w:rsid w:val="002076AC"/>
    <w:rsid w:val="00207FE7"/>
    <w:rsid w:val="002102B2"/>
    <w:rsid w:val="00210DD8"/>
    <w:rsid w:val="00211086"/>
    <w:rsid w:val="00211D72"/>
    <w:rsid w:val="00212755"/>
    <w:rsid w:val="00212B48"/>
    <w:rsid w:val="00212D70"/>
    <w:rsid w:val="00212F61"/>
    <w:rsid w:val="002135AB"/>
    <w:rsid w:val="00214659"/>
    <w:rsid w:val="00214B49"/>
    <w:rsid w:val="00215065"/>
    <w:rsid w:val="002151EA"/>
    <w:rsid w:val="00215276"/>
    <w:rsid w:val="00215771"/>
    <w:rsid w:val="00216209"/>
    <w:rsid w:val="002164BA"/>
    <w:rsid w:val="002165B5"/>
    <w:rsid w:val="00216A66"/>
    <w:rsid w:val="00216C59"/>
    <w:rsid w:val="00216F00"/>
    <w:rsid w:val="002171EC"/>
    <w:rsid w:val="002176D1"/>
    <w:rsid w:val="00217745"/>
    <w:rsid w:val="00217B4E"/>
    <w:rsid w:val="00217B58"/>
    <w:rsid w:val="00217EA6"/>
    <w:rsid w:val="00220529"/>
    <w:rsid w:val="00220541"/>
    <w:rsid w:val="00220E2B"/>
    <w:rsid w:val="00220E99"/>
    <w:rsid w:val="002212A3"/>
    <w:rsid w:val="0022181C"/>
    <w:rsid w:val="00221ECB"/>
    <w:rsid w:val="00222070"/>
    <w:rsid w:val="0022208B"/>
    <w:rsid w:val="00222173"/>
    <w:rsid w:val="00222239"/>
    <w:rsid w:val="0022230A"/>
    <w:rsid w:val="002224A5"/>
    <w:rsid w:val="002224AE"/>
    <w:rsid w:val="00222960"/>
    <w:rsid w:val="00222CE7"/>
    <w:rsid w:val="00222CEC"/>
    <w:rsid w:val="00223290"/>
    <w:rsid w:val="002232E8"/>
    <w:rsid w:val="00223AD0"/>
    <w:rsid w:val="00223F5B"/>
    <w:rsid w:val="00224934"/>
    <w:rsid w:val="00224B00"/>
    <w:rsid w:val="00224B3C"/>
    <w:rsid w:val="00224C7E"/>
    <w:rsid w:val="002250C2"/>
    <w:rsid w:val="0022517B"/>
    <w:rsid w:val="00225305"/>
    <w:rsid w:val="00225451"/>
    <w:rsid w:val="00225513"/>
    <w:rsid w:val="00225AC9"/>
    <w:rsid w:val="00225C59"/>
    <w:rsid w:val="00225C83"/>
    <w:rsid w:val="00225DA9"/>
    <w:rsid w:val="00225E89"/>
    <w:rsid w:val="002260CA"/>
    <w:rsid w:val="002262B7"/>
    <w:rsid w:val="00226461"/>
    <w:rsid w:val="00226614"/>
    <w:rsid w:val="002267A0"/>
    <w:rsid w:val="00226D5A"/>
    <w:rsid w:val="00227097"/>
    <w:rsid w:val="0022730C"/>
    <w:rsid w:val="0022769D"/>
    <w:rsid w:val="0022799A"/>
    <w:rsid w:val="00227A9C"/>
    <w:rsid w:val="00227D32"/>
    <w:rsid w:val="002301AD"/>
    <w:rsid w:val="002305AC"/>
    <w:rsid w:val="00230662"/>
    <w:rsid w:val="002307B6"/>
    <w:rsid w:val="00230ADF"/>
    <w:rsid w:val="00230B2D"/>
    <w:rsid w:val="00230EC2"/>
    <w:rsid w:val="0023101A"/>
    <w:rsid w:val="0023133E"/>
    <w:rsid w:val="002315D1"/>
    <w:rsid w:val="0023160C"/>
    <w:rsid w:val="002319CE"/>
    <w:rsid w:val="00231BE1"/>
    <w:rsid w:val="00231D32"/>
    <w:rsid w:val="002320C2"/>
    <w:rsid w:val="00232306"/>
    <w:rsid w:val="00232382"/>
    <w:rsid w:val="00232608"/>
    <w:rsid w:val="002326E2"/>
    <w:rsid w:val="002328A8"/>
    <w:rsid w:val="00232DAC"/>
    <w:rsid w:val="00232E26"/>
    <w:rsid w:val="00232E59"/>
    <w:rsid w:val="00232FD3"/>
    <w:rsid w:val="00233054"/>
    <w:rsid w:val="002332CF"/>
    <w:rsid w:val="002338D5"/>
    <w:rsid w:val="00233C01"/>
    <w:rsid w:val="00233F05"/>
    <w:rsid w:val="002342E0"/>
    <w:rsid w:val="00234847"/>
    <w:rsid w:val="002349AD"/>
    <w:rsid w:val="00234B24"/>
    <w:rsid w:val="00234D50"/>
    <w:rsid w:val="00234D98"/>
    <w:rsid w:val="002356F0"/>
    <w:rsid w:val="00235D0B"/>
    <w:rsid w:val="00235F32"/>
    <w:rsid w:val="00235FA8"/>
    <w:rsid w:val="00236008"/>
    <w:rsid w:val="00236040"/>
    <w:rsid w:val="00236333"/>
    <w:rsid w:val="00236FE7"/>
    <w:rsid w:val="00237237"/>
    <w:rsid w:val="002373FE"/>
    <w:rsid w:val="0023756F"/>
    <w:rsid w:val="00237622"/>
    <w:rsid w:val="00237E7C"/>
    <w:rsid w:val="00237FE4"/>
    <w:rsid w:val="0024010E"/>
    <w:rsid w:val="002401A6"/>
    <w:rsid w:val="00240410"/>
    <w:rsid w:val="002407E9"/>
    <w:rsid w:val="0024087D"/>
    <w:rsid w:val="0024096D"/>
    <w:rsid w:val="00240B62"/>
    <w:rsid w:val="00240B63"/>
    <w:rsid w:val="00240B92"/>
    <w:rsid w:val="002411DB"/>
    <w:rsid w:val="002413A6"/>
    <w:rsid w:val="00241687"/>
    <w:rsid w:val="002418B3"/>
    <w:rsid w:val="0024190B"/>
    <w:rsid w:val="002419E6"/>
    <w:rsid w:val="00241DF7"/>
    <w:rsid w:val="00242496"/>
    <w:rsid w:val="002424A2"/>
    <w:rsid w:val="00242894"/>
    <w:rsid w:val="00242BD2"/>
    <w:rsid w:val="00243440"/>
    <w:rsid w:val="002435F5"/>
    <w:rsid w:val="002436FC"/>
    <w:rsid w:val="00243725"/>
    <w:rsid w:val="002438F2"/>
    <w:rsid w:val="00243974"/>
    <w:rsid w:val="00243C47"/>
    <w:rsid w:val="002444BA"/>
    <w:rsid w:val="002445D8"/>
    <w:rsid w:val="002446D0"/>
    <w:rsid w:val="00244876"/>
    <w:rsid w:val="002448B0"/>
    <w:rsid w:val="002448CD"/>
    <w:rsid w:val="00245141"/>
    <w:rsid w:val="0024519D"/>
    <w:rsid w:val="002452F1"/>
    <w:rsid w:val="002453C5"/>
    <w:rsid w:val="00245645"/>
    <w:rsid w:val="002458A4"/>
    <w:rsid w:val="00245ABE"/>
    <w:rsid w:val="00246149"/>
    <w:rsid w:val="002461A4"/>
    <w:rsid w:val="0024634E"/>
    <w:rsid w:val="00246A3A"/>
    <w:rsid w:val="00246B7B"/>
    <w:rsid w:val="00247099"/>
    <w:rsid w:val="00247567"/>
    <w:rsid w:val="002475E7"/>
    <w:rsid w:val="002476CF"/>
    <w:rsid w:val="0024772A"/>
    <w:rsid w:val="00247805"/>
    <w:rsid w:val="00247869"/>
    <w:rsid w:val="00247A1E"/>
    <w:rsid w:val="00247B83"/>
    <w:rsid w:val="00247D95"/>
    <w:rsid w:val="0025087A"/>
    <w:rsid w:val="00250980"/>
    <w:rsid w:val="00250ACA"/>
    <w:rsid w:val="00250F32"/>
    <w:rsid w:val="00251AD6"/>
    <w:rsid w:val="00251B7B"/>
    <w:rsid w:val="00251F0B"/>
    <w:rsid w:val="0025230B"/>
    <w:rsid w:val="002528F7"/>
    <w:rsid w:val="00253054"/>
    <w:rsid w:val="00253100"/>
    <w:rsid w:val="00253B15"/>
    <w:rsid w:val="00253C60"/>
    <w:rsid w:val="00253E03"/>
    <w:rsid w:val="00254265"/>
    <w:rsid w:val="0025448B"/>
    <w:rsid w:val="00254515"/>
    <w:rsid w:val="002548F0"/>
    <w:rsid w:val="0025491F"/>
    <w:rsid w:val="00254D89"/>
    <w:rsid w:val="00255132"/>
    <w:rsid w:val="00255688"/>
    <w:rsid w:val="00255C9B"/>
    <w:rsid w:val="00256084"/>
    <w:rsid w:val="00257215"/>
    <w:rsid w:val="002572D8"/>
    <w:rsid w:val="002572FF"/>
    <w:rsid w:val="002579C4"/>
    <w:rsid w:val="00257AA0"/>
    <w:rsid w:val="00260202"/>
    <w:rsid w:val="00260275"/>
    <w:rsid w:val="00260CEC"/>
    <w:rsid w:val="00260D40"/>
    <w:rsid w:val="002613C3"/>
    <w:rsid w:val="0026158F"/>
    <w:rsid w:val="002615DC"/>
    <w:rsid w:val="00262772"/>
    <w:rsid w:val="00262926"/>
    <w:rsid w:val="00262C5C"/>
    <w:rsid w:val="0026410F"/>
    <w:rsid w:val="0026491B"/>
    <w:rsid w:val="00264F31"/>
    <w:rsid w:val="002654C7"/>
    <w:rsid w:val="002655D5"/>
    <w:rsid w:val="00265699"/>
    <w:rsid w:val="00265769"/>
    <w:rsid w:val="00266254"/>
    <w:rsid w:val="002666A3"/>
    <w:rsid w:val="00267148"/>
    <w:rsid w:val="00267240"/>
    <w:rsid w:val="002672CE"/>
    <w:rsid w:val="0026767A"/>
    <w:rsid w:val="0026799E"/>
    <w:rsid w:val="00267BFA"/>
    <w:rsid w:val="00267F66"/>
    <w:rsid w:val="00267F9D"/>
    <w:rsid w:val="0027060A"/>
    <w:rsid w:val="00270B57"/>
    <w:rsid w:val="00270F1D"/>
    <w:rsid w:val="00270FEF"/>
    <w:rsid w:val="00271153"/>
    <w:rsid w:val="00271205"/>
    <w:rsid w:val="002712F8"/>
    <w:rsid w:val="00272B23"/>
    <w:rsid w:val="00272C45"/>
    <w:rsid w:val="00273507"/>
    <w:rsid w:val="0027366C"/>
    <w:rsid w:val="00273B5B"/>
    <w:rsid w:val="00273E36"/>
    <w:rsid w:val="00273EC6"/>
    <w:rsid w:val="00274010"/>
    <w:rsid w:val="002741A6"/>
    <w:rsid w:val="00274295"/>
    <w:rsid w:val="00274381"/>
    <w:rsid w:val="002743EB"/>
    <w:rsid w:val="00274480"/>
    <w:rsid w:val="00274A03"/>
    <w:rsid w:val="00274E9F"/>
    <w:rsid w:val="00275398"/>
    <w:rsid w:val="00275780"/>
    <w:rsid w:val="00275E54"/>
    <w:rsid w:val="00275ED7"/>
    <w:rsid w:val="00276252"/>
    <w:rsid w:val="00276685"/>
    <w:rsid w:val="00276A58"/>
    <w:rsid w:val="00276AD1"/>
    <w:rsid w:val="00277136"/>
    <w:rsid w:val="002773D0"/>
    <w:rsid w:val="002773FE"/>
    <w:rsid w:val="002776D1"/>
    <w:rsid w:val="002778A5"/>
    <w:rsid w:val="00277CC3"/>
    <w:rsid w:val="00277D03"/>
    <w:rsid w:val="00277DA4"/>
    <w:rsid w:val="00277DD7"/>
    <w:rsid w:val="00277E74"/>
    <w:rsid w:val="00280064"/>
    <w:rsid w:val="00280090"/>
    <w:rsid w:val="002801C2"/>
    <w:rsid w:val="00280358"/>
    <w:rsid w:val="0028046E"/>
    <w:rsid w:val="00280555"/>
    <w:rsid w:val="0028061D"/>
    <w:rsid w:val="00280883"/>
    <w:rsid w:val="0028113B"/>
    <w:rsid w:val="002811FC"/>
    <w:rsid w:val="002815C8"/>
    <w:rsid w:val="002822B9"/>
    <w:rsid w:val="002826E4"/>
    <w:rsid w:val="002827D8"/>
    <w:rsid w:val="002830E4"/>
    <w:rsid w:val="00283565"/>
    <w:rsid w:val="00283A93"/>
    <w:rsid w:val="00283F6C"/>
    <w:rsid w:val="00284598"/>
    <w:rsid w:val="002850BB"/>
    <w:rsid w:val="002855FB"/>
    <w:rsid w:val="002857CE"/>
    <w:rsid w:val="00285D98"/>
    <w:rsid w:val="00285F3A"/>
    <w:rsid w:val="002863C2"/>
    <w:rsid w:val="00286D58"/>
    <w:rsid w:val="00287054"/>
    <w:rsid w:val="00287657"/>
    <w:rsid w:val="002876E7"/>
    <w:rsid w:val="00290080"/>
    <w:rsid w:val="002903DC"/>
    <w:rsid w:val="00290CDC"/>
    <w:rsid w:val="00290F0B"/>
    <w:rsid w:val="0029109F"/>
    <w:rsid w:val="002911A0"/>
    <w:rsid w:val="0029135B"/>
    <w:rsid w:val="002915B7"/>
    <w:rsid w:val="00291803"/>
    <w:rsid w:val="00291BF5"/>
    <w:rsid w:val="00291DC5"/>
    <w:rsid w:val="002921D4"/>
    <w:rsid w:val="002925B9"/>
    <w:rsid w:val="0029294E"/>
    <w:rsid w:val="002934A7"/>
    <w:rsid w:val="00293CF5"/>
    <w:rsid w:val="0029478E"/>
    <w:rsid w:val="00294F3C"/>
    <w:rsid w:val="00295639"/>
    <w:rsid w:val="00295704"/>
    <w:rsid w:val="00295751"/>
    <w:rsid w:val="0029587B"/>
    <w:rsid w:val="0029589E"/>
    <w:rsid w:val="00295C5D"/>
    <w:rsid w:val="00295DAB"/>
    <w:rsid w:val="00295F9F"/>
    <w:rsid w:val="00296139"/>
    <w:rsid w:val="0029621F"/>
    <w:rsid w:val="0029631C"/>
    <w:rsid w:val="002965D4"/>
    <w:rsid w:val="00296912"/>
    <w:rsid w:val="00296A01"/>
    <w:rsid w:val="00296B32"/>
    <w:rsid w:val="00296BC4"/>
    <w:rsid w:val="00296BEF"/>
    <w:rsid w:val="00296C06"/>
    <w:rsid w:val="00296DEC"/>
    <w:rsid w:val="00296EF5"/>
    <w:rsid w:val="00296FB7"/>
    <w:rsid w:val="00297398"/>
    <w:rsid w:val="00297497"/>
    <w:rsid w:val="00297F8E"/>
    <w:rsid w:val="002A0947"/>
    <w:rsid w:val="002A0CAB"/>
    <w:rsid w:val="002A1222"/>
    <w:rsid w:val="002A15EF"/>
    <w:rsid w:val="002A1629"/>
    <w:rsid w:val="002A16E0"/>
    <w:rsid w:val="002A1AE4"/>
    <w:rsid w:val="002A1C5F"/>
    <w:rsid w:val="002A1F77"/>
    <w:rsid w:val="002A2275"/>
    <w:rsid w:val="002A2370"/>
    <w:rsid w:val="002A28DF"/>
    <w:rsid w:val="002A2AE8"/>
    <w:rsid w:val="002A2FA8"/>
    <w:rsid w:val="002A3023"/>
    <w:rsid w:val="002A311D"/>
    <w:rsid w:val="002A35ED"/>
    <w:rsid w:val="002A37A2"/>
    <w:rsid w:val="002A37C5"/>
    <w:rsid w:val="002A3872"/>
    <w:rsid w:val="002A3BA5"/>
    <w:rsid w:val="002A3D98"/>
    <w:rsid w:val="002A41B1"/>
    <w:rsid w:val="002A4989"/>
    <w:rsid w:val="002A4DF9"/>
    <w:rsid w:val="002A5094"/>
    <w:rsid w:val="002A51F5"/>
    <w:rsid w:val="002A5208"/>
    <w:rsid w:val="002A5210"/>
    <w:rsid w:val="002A53AF"/>
    <w:rsid w:val="002A54E1"/>
    <w:rsid w:val="002A5608"/>
    <w:rsid w:val="002A560B"/>
    <w:rsid w:val="002A56E5"/>
    <w:rsid w:val="002A57A9"/>
    <w:rsid w:val="002A5A4A"/>
    <w:rsid w:val="002A6087"/>
    <w:rsid w:val="002A64E1"/>
    <w:rsid w:val="002A6750"/>
    <w:rsid w:val="002A69A4"/>
    <w:rsid w:val="002A6C6C"/>
    <w:rsid w:val="002A6F3D"/>
    <w:rsid w:val="002A7200"/>
    <w:rsid w:val="002A72F7"/>
    <w:rsid w:val="002A745D"/>
    <w:rsid w:val="002A7800"/>
    <w:rsid w:val="002A7882"/>
    <w:rsid w:val="002A7AB2"/>
    <w:rsid w:val="002A7E0D"/>
    <w:rsid w:val="002B02D6"/>
    <w:rsid w:val="002B040C"/>
    <w:rsid w:val="002B077A"/>
    <w:rsid w:val="002B0897"/>
    <w:rsid w:val="002B0F07"/>
    <w:rsid w:val="002B11C2"/>
    <w:rsid w:val="002B13EA"/>
    <w:rsid w:val="002B18D4"/>
    <w:rsid w:val="002B1D0F"/>
    <w:rsid w:val="002B20B6"/>
    <w:rsid w:val="002B21C5"/>
    <w:rsid w:val="002B24C2"/>
    <w:rsid w:val="002B2AA2"/>
    <w:rsid w:val="002B2D17"/>
    <w:rsid w:val="002B352B"/>
    <w:rsid w:val="002B38D9"/>
    <w:rsid w:val="002B4151"/>
    <w:rsid w:val="002B43F7"/>
    <w:rsid w:val="002B484A"/>
    <w:rsid w:val="002B49D0"/>
    <w:rsid w:val="002B49FC"/>
    <w:rsid w:val="002B4B47"/>
    <w:rsid w:val="002B5332"/>
    <w:rsid w:val="002B5594"/>
    <w:rsid w:val="002B580C"/>
    <w:rsid w:val="002B5982"/>
    <w:rsid w:val="002B5FF7"/>
    <w:rsid w:val="002B6041"/>
    <w:rsid w:val="002B67FD"/>
    <w:rsid w:val="002B69FD"/>
    <w:rsid w:val="002B6C4A"/>
    <w:rsid w:val="002B6C7E"/>
    <w:rsid w:val="002B6CB5"/>
    <w:rsid w:val="002B6D92"/>
    <w:rsid w:val="002B6DDA"/>
    <w:rsid w:val="002B6FDF"/>
    <w:rsid w:val="002B6FF5"/>
    <w:rsid w:val="002B7865"/>
    <w:rsid w:val="002B7999"/>
    <w:rsid w:val="002B7E03"/>
    <w:rsid w:val="002C034E"/>
    <w:rsid w:val="002C0525"/>
    <w:rsid w:val="002C080A"/>
    <w:rsid w:val="002C08E5"/>
    <w:rsid w:val="002C0A62"/>
    <w:rsid w:val="002C0B2C"/>
    <w:rsid w:val="002C0F4D"/>
    <w:rsid w:val="002C0FAF"/>
    <w:rsid w:val="002C10A3"/>
    <w:rsid w:val="002C1A4C"/>
    <w:rsid w:val="002C1AE0"/>
    <w:rsid w:val="002C1EF6"/>
    <w:rsid w:val="002C200D"/>
    <w:rsid w:val="002C243B"/>
    <w:rsid w:val="002C2C52"/>
    <w:rsid w:val="002C2E1B"/>
    <w:rsid w:val="002C31CD"/>
    <w:rsid w:val="002C3549"/>
    <w:rsid w:val="002C374B"/>
    <w:rsid w:val="002C380A"/>
    <w:rsid w:val="002C3CD2"/>
    <w:rsid w:val="002C45CB"/>
    <w:rsid w:val="002C4633"/>
    <w:rsid w:val="002C484D"/>
    <w:rsid w:val="002C495B"/>
    <w:rsid w:val="002C4B28"/>
    <w:rsid w:val="002C51C9"/>
    <w:rsid w:val="002C593B"/>
    <w:rsid w:val="002C5A9A"/>
    <w:rsid w:val="002C5ABD"/>
    <w:rsid w:val="002C5B1C"/>
    <w:rsid w:val="002C5B78"/>
    <w:rsid w:val="002C5C70"/>
    <w:rsid w:val="002C5FD2"/>
    <w:rsid w:val="002C6429"/>
    <w:rsid w:val="002C6770"/>
    <w:rsid w:val="002C689E"/>
    <w:rsid w:val="002C693A"/>
    <w:rsid w:val="002C7823"/>
    <w:rsid w:val="002C78C2"/>
    <w:rsid w:val="002C7E94"/>
    <w:rsid w:val="002C7FB2"/>
    <w:rsid w:val="002D08A7"/>
    <w:rsid w:val="002D1013"/>
    <w:rsid w:val="002D107A"/>
    <w:rsid w:val="002D10B3"/>
    <w:rsid w:val="002D155C"/>
    <w:rsid w:val="002D15BF"/>
    <w:rsid w:val="002D1738"/>
    <w:rsid w:val="002D17DE"/>
    <w:rsid w:val="002D1EAC"/>
    <w:rsid w:val="002D2106"/>
    <w:rsid w:val="002D21C8"/>
    <w:rsid w:val="002D2CDF"/>
    <w:rsid w:val="002D2E31"/>
    <w:rsid w:val="002D34E0"/>
    <w:rsid w:val="002D3514"/>
    <w:rsid w:val="002D3CB0"/>
    <w:rsid w:val="002D41BE"/>
    <w:rsid w:val="002D442E"/>
    <w:rsid w:val="002D4533"/>
    <w:rsid w:val="002D4555"/>
    <w:rsid w:val="002D4780"/>
    <w:rsid w:val="002D49AA"/>
    <w:rsid w:val="002D52F4"/>
    <w:rsid w:val="002D5436"/>
    <w:rsid w:val="002D5529"/>
    <w:rsid w:val="002D561E"/>
    <w:rsid w:val="002D570C"/>
    <w:rsid w:val="002D5CB8"/>
    <w:rsid w:val="002D5D95"/>
    <w:rsid w:val="002D68E0"/>
    <w:rsid w:val="002D69AC"/>
    <w:rsid w:val="002D6A15"/>
    <w:rsid w:val="002D6B80"/>
    <w:rsid w:val="002D6C5E"/>
    <w:rsid w:val="002D6CD7"/>
    <w:rsid w:val="002D762A"/>
    <w:rsid w:val="002D764C"/>
    <w:rsid w:val="002D77C7"/>
    <w:rsid w:val="002D79C5"/>
    <w:rsid w:val="002E0475"/>
    <w:rsid w:val="002E064A"/>
    <w:rsid w:val="002E0B2D"/>
    <w:rsid w:val="002E109C"/>
    <w:rsid w:val="002E131E"/>
    <w:rsid w:val="002E13E9"/>
    <w:rsid w:val="002E18C5"/>
    <w:rsid w:val="002E198A"/>
    <w:rsid w:val="002E1B3B"/>
    <w:rsid w:val="002E1D59"/>
    <w:rsid w:val="002E1E16"/>
    <w:rsid w:val="002E2568"/>
    <w:rsid w:val="002E2C47"/>
    <w:rsid w:val="002E2C8E"/>
    <w:rsid w:val="002E2EBA"/>
    <w:rsid w:val="002E310B"/>
    <w:rsid w:val="002E32C9"/>
    <w:rsid w:val="002E3475"/>
    <w:rsid w:val="002E396F"/>
    <w:rsid w:val="002E3DF5"/>
    <w:rsid w:val="002E409D"/>
    <w:rsid w:val="002E429A"/>
    <w:rsid w:val="002E4723"/>
    <w:rsid w:val="002E47D9"/>
    <w:rsid w:val="002E495A"/>
    <w:rsid w:val="002E4E95"/>
    <w:rsid w:val="002E509F"/>
    <w:rsid w:val="002E54E5"/>
    <w:rsid w:val="002E5503"/>
    <w:rsid w:val="002E5508"/>
    <w:rsid w:val="002E5D07"/>
    <w:rsid w:val="002E6029"/>
    <w:rsid w:val="002E6078"/>
    <w:rsid w:val="002E61CF"/>
    <w:rsid w:val="002E63E5"/>
    <w:rsid w:val="002E679C"/>
    <w:rsid w:val="002E69F0"/>
    <w:rsid w:val="002E7213"/>
    <w:rsid w:val="002E7728"/>
    <w:rsid w:val="002E7817"/>
    <w:rsid w:val="002E7861"/>
    <w:rsid w:val="002F0260"/>
    <w:rsid w:val="002F02A4"/>
    <w:rsid w:val="002F0CE4"/>
    <w:rsid w:val="002F0E51"/>
    <w:rsid w:val="002F1008"/>
    <w:rsid w:val="002F1257"/>
    <w:rsid w:val="002F1456"/>
    <w:rsid w:val="002F1540"/>
    <w:rsid w:val="002F1830"/>
    <w:rsid w:val="002F1AE1"/>
    <w:rsid w:val="002F1DDE"/>
    <w:rsid w:val="002F2058"/>
    <w:rsid w:val="002F2285"/>
    <w:rsid w:val="002F2F07"/>
    <w:rsid w:val="002F3183"/>
    <w:rsid w:val="002F31FE"/>
    <w:rsid w:val="002F3482"/>
    <w:rsid w:val="002F361B"/>
    <w:rsid w:val="002F41C5"/>
    <w:rsid w:val="002F431D"/>
    <w:rsid w:val="002F45FA"/>
    <w:rsid w:val="002F4F51"/>
    <w:rsid w:val="002F5167"/>
    <w:rsid w:val="002F524A"/>
    <w:rsid w:val="002F55BC"/>
    <w:rsid w:val="002F5B20"/>
    <w:rsid w:val="002F5C77"/>
    <w:rsid w:val="002F5D6A"/>
    <w:rsid w:val="002F5ED5"/>
    <w:rsid w:val="002F6450"/>
    <w:rsid w:val="002F681B"/>
    <w:rsid w:val="002F683B"/>
    <w:rsid w:val="002F68BC"/>
    <w:rsid w:val="002F77DB"/>
    <w:rsid w:val="00300023"/>
    <w:rsid w:val="003007A1"/>
    <w:rsid w:val="003007FD"/>
    <w:rsid w:val="00300ADC"/>
    <w:rsid w:val="00300CBA"/>
    <w:rsid w:val="00300F35"/>
    <w:rsid w:val="003010B3"/>
    <w:rsid w:val="003012A3"/>
    <w:rsid w:val="00301736"/>
    <w:rsid w:val="00301B6F"/>
    <w:rsid w:val="00301D0D"/>
    <w:rsid w:val="00301F8A"/>
    <w:rsid w:val="0030280F"/>
    <w:rsid w:val="0030281B"/>
    <w:rsid w:val="00302E95"/>
    <w:rsid w:val="00303204"/>
    <w:rsid w:val="0030373B"/>
    <w:rsid w:val="003038BF"/>
    <w:rsid w:val="00303B4E"/>
    <w:rsid w:val="00303EAE"/>
    <w:rsid w:val="0030478E"/>
    <w:rsid w:val="0030485B"/>
    <w:rsid w:val="00304A3F"/>
    <w:rsid w:val="00304B9C"/>
    <w:rsid w:val="0030530B"/>
    <w:rsid w:val="00305385"/>
    <w:rsid w:val="0030543D"/>
    <w:rsid w:val="00305471"/>
    <w:rsid w:val="00305992"/>
    <w:rsid w:val="003059EB"/>
    <w:rsid w:val="00305E7B"/>
    <w:rsid w:val="0030686E"/>
    <w:rsid w:val="0030692E"/>
    <w:rsid w:val="00306A47"/>
    <w:rsid w:val="00306AC6"/>
    <w:rsid w:val="00306B6D"/>
    <w:rsid w:val="00306BE6"/>
    <w:rsid w:val="00306BF0"/>
    <w:rsid w:val="003076DF"/>
    <w:rsid w:val="00307A98"/>
    <w:rsid w:val="00307CA6"/>
    <w:rsid w:val="00307FB6"/>
    <w:rsid w:val="003100E5"/>
    <w:rsid w:val="0031025B"/>
    <w:rsid w:val="003102A0"/>
    <w:rsid w:val="003105B4"/>
    <w:rsid w:val="00310838"/>
    <w:rsid w:val="00310B9C"/>
    <w:rsid w:val="00310E9C"/>
    <w:rsid w:val="00310EE6"/>
    <w:rsid w:val="00310F5F"/>
    <w:rsid w:val="003111B8"/>
    <w:rsid w:val="00311248"/>
    <w:rsid w:val="003116B2"/>
    <w:rsid w:val="003117F9"/>
    <w:rsid w:val="00311F03"/>
    <w:rsid w:val="003120DA"/>
    <w:rsid w:val="003126B5"/>
    <w:rsid w:val="00312BF5"/>
    <w:rsid w:val="00312C1D"/>
    <w:rsid w:val="00312C81"/>
    <w:rsid w:val="00312DF8"/>
    <w:rsid w:val="00312FEA"/>
    <w:rsid w:val="00313020"/>
    <w:rsid w:val="0031355C"/>
    <w:rsid w:val="003135C3"/>
    <w:rsid w:val="00313834"/>
    <w:rsid w:val="00313851"/>
    <w:rsid w:val="00313BE0"/>
    <w:rsid w:val="00313DE4"/>
    <w:rsid w:val="003143E9"/>
    <w:rsid w:val="00314693"/>
    <w:rsid w:val="003149C8"/>
    <w:rsid w:val="00314B9C"/>
    <w:rsid w:val="00314CB7"/>
    <w:rsid w:val="003154DF"/>
    <w:rsid w:val="00315868"/>
    <w:rsid w:val="003158AE"/>
    <w:rsid w:val="00315B79"/>
    <w:rsid w:val="00315E21"/>
    <w:rsid w:val="00316168"/>
    <w:rsid w:val="00316437"/>
    <w:rsid w:val="003165DA"/>
    <w:rsid w:val="00316713"/>
    <w:rsid w:val="00316A81"/>
    <w:rsid w:val="00316DE6"/>
    <w:rsid w:val="00316EE7"/>
    <w:rsid w:val="00317097"/>
    <w:rsid w:val="00317407"/>
    <w:rsid w:val="00317636"/>
    <w:rsid w:val="0031770B"/>
    <w:rsid w:val="003177A7"/>
    <w:rsid w:val="00317BF8"/>
    <w:rsid w:val="00317D45"/>
    <w:rsid w:val="0032018C"/>
    <w:rsid w:val="0032089E"/>
    <w:rsid w:val="00320975"/>
    <w:rsid w:val="003209DB"/>
    <w:rsid w:val="00320C2F"/>
    <w:rsid w:val="00320DD2"/>
    <w:rsid w:val="00320E3D"/>
    <w:rsid w:val="00321279"/>
    <w:rsid w:val="003214DB"/>
    <w:rsid w:val="00321BE0"/>
    <w:rsid w:val="00321D27"/>
    <w:rsid w:val="00321E4C"/>
    <w:rsid w:val="0032230B"/>
    <w:rsid w:val="0032298F"/>
    <w:rsid w:val="00322AE4"/>
    <w:rsid w:val="00323587"/>
    <w:rsid w:val="00323956"/>
    <w:rsid w:val="00323F35"/>
    <w:rsid w:val="00323F7D"/>
    <w:rsid w:val="003244D8"/>
    <w:rsid w:val="00324528"/>
    <w:rsid w:val="0032457B"/>
    <w:rsid w:val="003249F5"/>
    <w:rsid w:val="00324BE5"/>
    <w:rsid w:val="00325074"/>
    <w:rsid w:val="003250E3"/>
    <w:rsid w:val="00325605"/>
    <w:rsid w:val="00325B64"/>
    <w:rsid w:val="0032605B"/>
    <w:rsid w:val="00326146"/>
    <w:rsid w:val="00326172"/>
    <w:rsid w:val="003261AD"/>
    <w:rsid w:val="003263B7"/>
    <w:rsid w:val="003267A1"/>
    <w:rsid w:val="00326A5C"/>
    <w:rsid w:val="00326DC1"/>
    <w:rsid w:val="00326EAB"/>
    <w:rsid w:val="003271FB"/>
    <w:rsid w:val="00327359"/>
    <w:rsid w:val="0033013C"/>
    <w:rsid w:val="00330185"/>
    <w:rsid w:val="00330189"/>
    <w:rsid w:val="003302A8"/>
    <w:rsid w:val="00330365"/>
    <w:rsid w:val="00330BB8"/>
    <w:rsid w:val="00330E8D"/>
    <w:rsid w:val="00331389"/>
    <w:rsid w:val="003313DC"/>
    <w:rsid w:val="00331578"/>
    <w:rsid w:val="0033170E"/>
    <w:rsid w:val="00331D4B"/>
    <w:rsid w:val="00331DB7"/>
    <w:rsid w:val="00331E11"/>
    <w:rsid w:val="00331F98"/>
    <w:rsid w:val="0033210D"/>
    <w:rsid w:val="003326B6"/>
    <w:rsid w:val="00332A7C"/>
    <w:rsid w:val="00332D8E"/>
    <w:rsid w:val="00333823"/>
    <w:rsid w:val="00333A5A"/>
    <w:rsid w:val="00333CE5"/>
    <w:rsid w:val="00333FE6"/>
    <w:rsid w:val="00334914"/>
    <w:rsid w:val="00334D6D"/>
    <w:rsid w:val="00334F67"/>
    <w:rsid w:val="00334FBE"/>
    <w:rsid w:val="00335345"/>
    <w:rsid w:val="0033592E"/>
    <w:rsid w:val="0033609B"/>
    <w:rsid w:val="003363FF"/>
    <w:rsid w:val="0033692B"/>
    <w:rsid w:val="00336B10"/>
    <w:rsid w:val="00336C61"/>
    <w:rsid w:val="00337049"/>
    <w:rsid w:val="003371D2"/>
    <w:rsid w:val="00337261"/>
    <w:rsid w:val="003377AB"/>
    <w:rsid w:val="00337C89"/>
    <w:rsid w:val="00337EB1"/>
    <w:rsid w:val="003403AE"/>
    <w:rsid w:val="003403EC"/>
    <w:rsid w:val="003405ED"/>
    <w:rsid w:val="003408D9"/>
    <w:rsid w:val="00340B45"/>
    <w:rsid w:val="00340FEC"/>
    <w:rsid w:val="00341259"/>
    <w:rsid w:val="003412B8"/>
    <w:rsid w:val="003414EF"/>
    <w:rsid w:val="00341A83"/>
    <w:rsid w:val="00341B10"/>
    <w:rsid w:val="00341E89"/>
    <w:rsid w:val="00342301"/>
    <w:rsid w:val="003427C6"/>
    <w:rsid w:val="00342873"/>
    <w:rsid w:val="00342893"/>
    <w:rsid w:val="00343FEF"/>
    <w:rsid w:val="00344298"/>
    <w:rsid w:val="0034450B"/>
    <w:rsid w:val="00344541"/>
    <w:rsid w:val="00344956"/>
    <w:rsid w:val="00344998"/>
    <w:rsid w:val="00344FC3"/>
    <w:rsid w:val="003450E2"/>
    <w:rsid w:val="00345974"/>
    <w:rsid w:val="003459E6"/>
    <w:rsid w:val="00345B17"/>
    <w:rsid w:val="00345CC4"/>
    <w:rsid w:val="00345D76"/>
    <w:rsid w:val="00345DE9"/>
    <w:rsid w:val="00345E41"/>
    <w:rsid w:val="00345F6E"/>
    <w:rsid w:val="00346229"/>
    <w:rsid w:val="0034654C"/>
    <w:rsid w:val="003471F0"/>
    <w:rsid w:val="003502D4"/>
    <w:rsid w:val="00350854"/>
    <w:rsid w:val="00350D31"/>
    <w:rsid w:val="00350D5E"/>
    <w:rsid w:val="00350D83"/>
    <w:rsid w:val="00351112"/>
    <w:rsid w:val="003517D6"/>
    <w:rsid w:val="00351AD2"/>
    <w:rsid w:val="00352045"/>
    <w:rsid w:val="003523B2"/>
    <w:rsid w:val="0035282B"/>
    <w:rsid w:val="00352B27"/>
    <w:rsid w:val="00353C18"/>
    <w:rsid w:val="00353F9D"/>
    <w:rsid w:val="00354653"/>
    <w:rsid w:val="003547F8"/>
    <w:rsid w:val="00354A3A"/>
    <w:rsid w:val="00354A3F"/>
    <w:rsid w:val="00354DFB"/>
    <w:rsid w:val="003553DB"/>
    <w:rsid w:val="00356325"/>
    <w:rsid w:val="003563D2"/>
    <w:rsid w:val="003564F5"/>
    <w:rsid w:val="00356D43"/>
    <w:rsid w:val="003570E3"/>
    <w:rsid w:val="0035731E"/>
    <w:rsid w:val="0035732F"/>
    <w:rsid w:val="00357352"/>
    <w:rsid w:val="00357421"/>
    <w:rsid w:val="00357506"/>
    <w:rsid w:val="00357EA0"/>
    <w:rsid w:val="0036015A"/>
    <w:rsid w:val="003604B1"/>
    <w:rsid w:val="0036053D"/>
    <w:rsid w:val="00360659"/>
    <w:rsid w:val="00360D57"/>
    <w:rsid w:val="00360F35"/>
    <w:rsid w:val="00360FAB"/>
    <w:rsid w:val="00361A8A"/>
    <w:rsid w:val="00361C72"/>
    <w:rsid w:val="00361DA0"/>
    <w:rsid w:val="00362126"/>
    <w:rsid w:val="003623A2"/>
    <w:rsid w:val="0036248D"/>
    <w:rsid w:val="00362B21"/>
    <w:rsid w:val="0036301E"/>
    <w:rsid w:val="003632BB"/>
    <w:rsid w:val="00363464"/>
    <w:rsid w:val="0036352D"/>
    <w:rsid w:val="00363955"/>
    <w:rsid w:val="00363C84"/>
    <w:rsid w:val="00363FE3"/>
    <w:rsid w:val="00364150"/>
    <w:rsid w:val="003642EF"/>
    <w:rsid w:val="0036444E"/>
    <w:rsid w:val="00364532"/>
    <w:rsid w:val="00364591"/>
    <w:rsid w:val="00364890"/>
    <w:rsid w:val="0036546A"/>
    <w:rsid w:val="00365737"/>
    <w:rsid w:val="003657EF"/>
    <w:rsid w:val="003658F0"/>
    <w:rsid w:val="00365955"/>
    <w:rsid w:val="00366066"/>
    <w:rsid w:val="0036648C"/>
    <w:rsid w:val="003664B8"/>
    <w:rsid w:val="003666D0"/>
    <w:rsid w:val="00366B81"/>
    <w:rsid w:val="00366CB1"/>
    <w:rsid w:val="003676AC"/>
    <w:rsid w:val="0036784F"/>
    <w:rsid w:val="0036799A"/>
    <w:rsid w:val="00367CA0"/>
    <w:rsid w:val="0037008B"/>
    <w:rsid w:val="00370168"/>
    <w:rsid w:val="003703C7"/>
    <w:rsid w:val="003704D7"/>
    <w:rsid w:val="00370511"/>
    <w:rsid w:val="003709C7"/>
    <w:rsid w:val="00370CF5"/>
    <w:rsid w:val="00370E71"/>
    <w:rsid w:val="00370F45"/>
    <w:rsid w:val="00371334"/>
    <w:rsid w:val="00371571"/>
    <w:rsid w:val="00371E17"/>
    <w:rsid w:val="00371E5F"/>
    <w:rsid w:val="00371F82"/>
    <w:rsid w:val="00372CD1"/>
    <w:rsid w:val="00372E50"/>
    <w:rsid w:val="00373001"/>
    <w:rsid w:val="0037312D"/>
    <w:rsid w:val="00373B00"/>
    <w:rsid w:val="00373B4B"/>
    <w:rsid w:val="003740A7"/>
    <w:rsid w:val="003741D8"/>
    <w:rsid w:val="00374BBB"/>
    <w:rsid w:val="00374D45"/>
    <w:rsid w:val="00375243"/>
    <w:rsid w:val="003753EB"/>
    <w:rsid w:val="00375828"/>
    <w:rsid w:val="00375871"/>
    <w:rsid w:val="003759A1"/>
    <w:rsid w:val="00375A18"/>
    <w:rsid w:val="00375A8D"/>
    <w:rsid w:val="00375EC2"/>
    <w:rsid w:val="00375ED0"/>
    <w:rsid w:val="0037600F"/>
    <w:rsid w:val="00376220"/>
    <w:rsid w:val="00376540"/>
    <w:rsid w:val="003767AD"/>
    <w:rsid w:val="00376C32"/>
    <w:rsid w:val="00376C7A"/>
    <w:rsid w:val="003773DC"/>
    <w:rsid w:val="00377754"/>
    <w:rsid w:val="00377DAF"/>
    <w:rsid w:val="00377F04"/>
    <w:rsid w:val="00377FA3"/>
    <w:rsid w:val="00380291"/>
    <w:rsid w:val="003805DD"/>
    <w:rsid w:val="00380981"/>
    <w:rsid w:val="00380E0E"/>
    <w:rsid w:val="0038146F"/>
    <w:rsid w:val="0038178E"/>
    <w:rsid w:val="00381ABF"/>
    <w:rsid w:val="00381C2B"/>
    <w:rsid w:val="003824D5"/>
    <w:rsid w:val="00382603"/>
    <w:rsid w:val="0038281B"/>
    <w:rsid w:val="00382976"/>
    <w:rsid w:val="00382BCA"/>
    <w:rsid w:val="00382BD5"/>
    <w:rsid w:val="00383472"/>
    <w:rsid w:val="0038388E"/>
    <w:rsid w:val="003838B9"/>
    <w:rsid w:val="0038393F"/>
    <w:rsid w:val="00383AAD"/>
    <w:rsid w:val="00383ADC"/>
    <w:rsid w:val="00383C4D"/>
    <w:rsid w:val="00383CE7"/>
    <w:rsid w:val="00383E63"/>
    <w:rsid w:val="003842EE"/>
    <w:rsid w:val="0038497C"/>
    <w:rsid w:val="00384B04"/>
    <w:rsid w:val="00384B85"/>
    <w:rsid w:val="00384C8A"/>
    <w:rsid w:val="00384D20"/>
    <w:rsid w:val="00384F13"/>
    <w:rsid w:val="0038547D"/>
    <w:rsid w:val="003858A5"/>
    <w:rsid w:val="003858AB"/>
    <w:rsid w:val="00385B1E"/>
    <w:rsid w:val="003861D9"/>
    <w:rsid w:val="00386A0D"/>
    <w:rsid w:val="00386A0F"/>
    <w:rsid w:val="00386AB6"/>
    <w:rsid w:val="00386DEB"/>
    <w:rsid w:val="003874DF"/>
    <w:rsid w:val="00387526"/>
    <w:rsid w:val="00387858"/>
    <w:rsid w:val="003878A4"/>
    <w:rsid w:val="00387B54"/>
    <w:rsid w:val="00387C9F"/>
    <w:rsid w:val="0039001B"/>
    <w:rsid w:val="00390826"/>
    <w:rsid w:val="00390FAA"/>
    <w:rsid w:val="00391302"/>
    <w:rsid w:val="0039148B"/>
    <w:rsid w:val="00391543"/>
    <w:rsid w:val="003918A6"/>
    <w:rsid w:val="00391994"/>
    <w:rsid w:val="0039199A"/>
    <w:rsid w:val="00391A9D"/>
    <w:rsid w:val="00391D60"/>
    <w:rsid w:val="00391E52"/>
    <w:rsid w:val="00391E6C"/>
    <w:rsid w:val="00391EAB"/>
    <w:rsid w:val="00391F4D"/>
    <w:rsid w:val="00391F74"/>
    <w:rsid w:val="00392385"/>
    <w:rsid w:val="003926B9"/>
    <w:rsid w:val="003929CF"/>
    <w:rsid w:val="00392B66"/>
    <w:rsid w:val="00392E3C"/>
    <w:rsid w:val="00392E97"/>
    <w:rsid w:val="0039310E"/>
    <w:rsid w:val="00393391"/>
    <w:rsid w:val="003934EB"/>
    <w:rsid w:val="00393580"/>
    <w:rsid w:val="00393667"/>
    <w:rsid w:val="003938E6"/>
    <w:rsid w:val="0039408B"/>
    <w:rsid w:val="003943FE"/>
    <w:rsid w:val="003949CB"/>
    <w:rsid w:val="00394C75"/>
    <w:rsid w:val="00394CFF"/>
    <w:rsid w:val="00395163"/>
    <w:rsid w:val="00395196"/>
    <w:rsid w:val="003951A7"/>
    <w:rsid w:val="003957CD"/>
    <w:rsid w:val="00395A5C"/>
    <w:rsid w:val="003961FF"/>
    <w:rsid w:val="003963AB"/>
    <w:rsid w:val="0039661F"/>
    <w:rsid w:val="00396A60"/>
    <w:rsid w:val="00396B96"/>
    <w:rsid w:val="003970A5"/>
    <w:rsid w:val="00397213"/>
    <w:rsid w:val="00397388"/>
    <w:rsid w:val="003975CC"/>
    <w:rsid w:val="003977EC"/>
    <w:rsid w:val="00397BCB"/>
    <w:rsid w:val="00397C03"/>
    <w:rsid w:val="00397C12"/>
    <w:rsid w:val="003A0404"/>
    <w:rsid w:val="003A04E0"/>
    <w:rsid w:val="003A0530"/>
    <w:rsid w:val="003A0779"/>
    <w:rsid w:val="003A1968"/>
    <w:rsid w:val="003A1969"/>
    <w:rsid w:val="003A1B54"/>
    <w:rsid w:val="003A1E0C"/>
    <w:rsid w:val="003A1F24"/>
    <w:rsid w:val="003A202F"/>
    <w:rsid w:val="003A22CA"/>
    <w:rsid w:val="003A242A"/>
    <w:rsid w:val="003A2566"/>
    <w:rsid w:val="003A259D"/>
    <w:rsid w:val="003A2FE9"/>
    <w:rsid w:val="003A32D9"/>
    <w:rsid w:val="003A3309"/>
    <w:rsid w:val="003A349C"/>
    <w:rsid w:val="003A396D"/>
    <w:rsid w:val="003A39CF"/>
    <w:rsid w:val="003A3A55"/>
    <w:rsid w:val="003A3A81"/>
    <w:rsid w:val="003A3B23"/>
    <w:rsid w:val="003A3C7B"/>
    <w:rsid w:val="003A40EE"/>
    <w:rsid w:val="003A422F"/>
    <w:rsid w:val="003A45AA"/>
    <w:rsid w:val="003A4669"/>
    <w:rsid w:val="003A4BD7"/>
    <w:rsid w:val="003A4C25"/>
    <w:rsid w:val="003A4C72"/>
    <w:rsid w:val="003A4CE4"/>
    <w:rsid w:val="003A5022"/>
    <w:rsid w:val="003A515C"/>
    <w:rsid w:val="003A5223"/>
    <w:rsid w:val="003A53C7"/>
    <w:rsid w:val="003A5DDD"/>
    <w:rsid w:val="003A64B8"/>
    <w:rsid w:val="003A64D5"/>
    <w:rsid w:val="003A662B"/>
    <w:rsid w:val="003A6DF3"/>
    <w:rsid w:val="003A6F74"/>
    <w:rsid w:val="003A704C"/>
    <w:rsid w:val="003A73F1"/>
    <w:rsid w:val="003A75A0"/>
    <w:rsid w:val="003A75EB"/>
    <w:rsid w:val="003A782F"/>
    <w:rsid w:val="003A7D88"/>
    <w:rsid w:val="003B034F"/>
    <w:rsid w:val="003B03C9"/>
    <w:rsid w:val="003B04F7"/>
    <w:rsid w:val="003B0F0C"/>
    <w:rsid w:val="003B10BD"/>
    <w:rsid w:val="003B1489"/>
    <w:rsid w:val="003B1B9A"/>
    <w:rsid w:val="003B1BD9"/>
    <w:rsid w:val="003B1C79"/>
    <w:rsid w:val="003B1DA3"/>
    <w:rsid w:val="003B24EC"/>
    <w:rsid w:val="003B25E2"/>
    <w:rsid w:val="003B2761"/>
    <w:rsid w:val="003B2D55"/>
    <w:rsid w:val="003B2E6B"/>
    <w:rsid w:val="003B3561"/>
    <w:rsid w:val="003B3695"/>
    <w:rsid w:val="003B382A"/>
    <w:rsid w:val="003B3B09"/>
    <w:rsid w:val="003B4242"/>
    <w:rsid w:val="003B431D"/>
    <w:rsid w:val="003B454B"/>
    <w:rsid w:val="003B4DAF"/>
    <w:rsid w:val="003B5136"/>
    <w:rsid w:val="003B62F9"/>
    <w:rsid w:val="003B64D3"/>
    <w:rsid w:val="003B6702"/>
    <w:rsid w:val="003B699F"/>
    <w:rsid w:val="003B6D11"/>
    <w:rsid w:val="003B759A"/>
    <w:rsid w:val="003B760F"/>
    <w:rsid w:val="003B76C6"/>
    <w:rsid w:val="003B76D4"/>
    <w:rsid w:val="003B7821"/>
    <w:rsid w:val="003B79CE"/>
    <w:rsid w:val="003B7BEE"/>
    <w:rsid w:val="003C0041"/>
    <w:rsid w:val="003C0669"/>
    <w:rsid w:val="003C0B3D"/>
    <w:rsid w:val="003C0EC7"/>
    <w:rsid w:val="003C1459"/>
    <w:rsid w:val="003C1A8E"/>
    <w:rsid w:val="003C1B29"/>
    <w:rsid w:val="003C1E08"/>
    <w:rsid w:val="003C2017"/>
    <w:rsid w:val="003C2034"/>
    <w:rsid w:val="003C203A"/>
    <w:rsid w:val="003C20F1"/>
    <w:rsid w:val="003C24D9"/>
    <w:rsid w:val="003C266A"/>
    <w:rsid w:val="003C2859"/>
    <w:rsid w:val="003C2ADF"/>
    <w:rsid w:val="003C2B49"/>
    <w:rsid w:val="003C2C06"/>
    <w:rsid w:val="003C30EE"/>
    <w:rsid w:val="003C3371"/>
    <w:rsid w:val="003C33EE"/>
    <w:rsid w:val="003C4057"/>
    <w:rsid w:val="003C43A5"/>
    <w:rsid w:val="003C5052"/>
    <w:rsid w:val="003C5057"/>
    <w:rsid w:val="003C5ABD"/>
    <w:rsid w:val="003C5C06"/>
    <w:rsid w:val="003C5EFA"/>
    <w:rsid w:val="003C6291"/>
    <w:rsid w:val="003C6B7F"/>
    <w:rsid w:val="003C6C0A"/>
    <w:rsid w:val="003C7301"/>
    <w:rsid w:val="003C74A6"/>
    <w:rsid w:val="003C7605"/>
    <w:rsid w:val="003C7A5B"/>
    <w:rsid w:val="003D0071"/>
    <w:rsid w:val="003D00E8"/>
    <w:rsid w:val="003D010E"/>
    <w:rsid w:val="003D0150"/>
    <w:rsid w:val="003D08F1"/>
    <w:rsid w:val="003D0D59"/>
    <w:rsid w:val="003D0F6F"/>
    <w:rsid w:val="003D129A"/>
    <w:rsid w:val="003D17C6"/>
    <w:rsid w:val="003D196D"/>
    <w:rsid w:val="003D19DC"/>
    <w:rsid w:val="003D1A85"/>
    <w:rsid w:val="003D1CF9"/>
    <w:rsid w:val="003D1FD7"/>
    <w:rsid w:val="003D21E5"/>
    <w:rsid w:val="003D24A6"/>
    <w:rsid w:val="003D27E7"/>
    <w:rsid w:val="003D2AC8"/>
    <w:rsid w:val="003D2BCA"/>
    <w:rsid w:val="003D2F71"/>
    <w:rsid w:val="003D30FF"/>
    <w:rsid w:val="003D32A9"/>
    <w:rsid w:val="003D39CB"/>
    <w:rsid w:val="003D3DED"/>
    <w:rsid w:val="003D3E4B"/>
    <w:rsid w:val="003D4047"/>
    <w:rsid w:val="003D41BA"/>
    <w:rsid w:val="003D46C8"/>
    <w:rsid w:val="003D47E4"/>
    <w:rsid w:val="003D487D"/>
    <w:rsid w:val="003D4E41"/>
    <w:rsid w:val="003D5090"/>
    <w:rsid w:val="003D5191"/>
    <w:rsid w:val="003D522B"/>
    <w:rsid w:val="003D5343"/>
    <w:rsid w:val="003D53AF"/>
    <w:rsid w:val="003D5436"/>
    <w:rsid w:val="003D59A5"/>
    <w:rsid w:val="003D5EC4"/>
    <w:rsid w:val="003D682C"/>
    <w:rsid w:val="003D698E"/>
    <w:rsid w:val="003D6BCB"/>
    <w:rsid w:val="003D6CAA"/>
    <w:rsid w:val="003D6EDE"/>
    <w:rsid w:val="003D74B1"/>
    <w:rsid w:val="003D7541"/>
    <w:rsid w:val="003D791A"/>
    <w:rsid w:val="003D7B59"/>
    <w:rsid w:val="003D7BB0"/>
    <w:rsid w:val="003D7CA1"/>
    <w:rsid w:val="003E00D1"/>
    <w:rsid w:val="003E02E7"/>
    <w:rsid w:val="003E0662"/>
    <w:rsid w:val="003E098D"/>
    <w:rsid w:val="003E0DF8"/>
    <w:rsid w:val="003E1347"/>
    <w:rsid w:val="003E13C5"/>
    <w:rsid w:val="003E15B3"/>
    <w:rsid w:val="003E1927"/>
    <w:rsid w:val="003E1D3D"/>
    <w:rsid w:val="003E239D"/>
    <w:rsid w:val="003E24EF"/>
    <w:rsid w:val="003E24F0"/>
    <w:rsid w:val="003E27EE"/>
    <w:rsid w:val="003E285B"/>
    <w:rsid w:val="003E2DB7"/>
    <w:rsid w:val="003E2EA0"/>
    <w:rsid w:val="003E387C"/>
    <w:rsid w:val="003E3903"/>
    <w:rsid w:val="003E3E64"/>
    <w:rsid w:val="003E466A"/>
    <w:rsid w:val="003E4DF6"/>
    <w:rsid w:val="003E5441"/>
    <w:rsid w:val="003E5B38"/>
    <w:rsid w:val="003E61DC"/>
    <w:rsid w:val="003E6624"/>
    <w:rsid w:val="003E6D7B"/>
    <w:rsid w:val="003E712E"/>
    <w:rsid w:val="003E7376"/>
    <w:rsid w:val="003E759C"/>
    <w:rsid w:val="003F018B"/>
    <w:rsid w:val="003F0969"/>
    <w:rsid w:val="003F0D36"/>
    <w:rsid w:val="003F118C"/>
    <w:rsid w:val="003F118E"/>
    <w:rsid w:val="003F1190"/>
    <w:rsid w:val="003F1462"/>
    <w:rsid w:val="003F1876"/>
    <w:rsid w:val="003F1BED"/>
    <w:rsid w:val="003F1D6A"/>
    <w:rsid w:val="003F1DBE"/>
    <w:rsid w:val="003F1F47"/>
    <w:rsid w:val="003F20F2"/>
    <w:rsid w:val="003F2513"/>
    <w:rsid w:val="003F2679"/>
    <w:rsid w:val="003F269B"/>
    <w:rsid w:val="003F2AB8"/>
    <w:rsid w:val="003F2B8C"/>
    <w:rsid w:val="003F319A"/>
    <w:rsid w:val="003F32DA"/>
    <w:rsid w:val="003F33FC"/>
    <w:rsid w:val="003F3BF9"/>
    <w:rsid w:val="003F4193"/>
    <w:rsid w:val="003F44FE"/>
    <w:rsid w:val="003F4844"/>
    <w:rsid w:val="003F4C0A"/>
    <w:rsid w:val="003F4EF4"/>
    <w:rsid w:val="003F52D8"/>
    <w:rsid w:val="003F54F0"/>
    <w:rsid w:val="003F5C2D"/>
    <w:rsid w:val="003F6612"/>
    <w:rsid w:val="003F6830"/>
    <w:rsid w:val="003F6D81"/>
    <w:rsid w:val="003F6DA8"/>
    <w:rsid w:val="003F7079"/>
    <w:rsid w:val="003F7134"/>
    <w:rsid w:val="003F74E5"/>
    <w:rsid w:val="003F77B4"/>
    <w:rsid w:val="003F788A"/>
    <w:rsid w:val="003F78B8"/>
    <w:rsid w:val="003F7BCD"/>
    <w:rsid w:val="003F7E1C"/>
    <w:rsid w:val="0040006B"/>
    <w:rsid w:val="004000FC"/>
    <w:rsid w:val="004003A0"/>
    <w:rsid w:val="00400699"/>
    <w:rsid w:val="0040084B"/>
    <w:rsid w:val="004008B8"/>
    <w:rsid w:val="004008D2"/>
    <w:rsid w:val="00401935"/>
    <w:rsid w:val="00402106"/>
    <w:rsid w:val="004021C2"/>
    <w:rsid w:val="00402666"/>
    <w:rsid w:val="00402749"/>
    <w:rsid w:val="00402794"/>
    <w:rsid w:val="00402AC2"/>
    <w:rsid w:val="00402C73"/>
    <w:rsid w:val="00402C97"/>
    <w:rsid w:val="00402F42"/>
    <w:rsid w:val="0040377A"/>
    <w:rsid w:val="00403C40"/>
    <w:rsid w:val="00403DC6"/>
    <w:rsid w:val="00403F2E"/>
    <w:rsid w:val="0040407A"/>
    <w:rsid w:val="004049A0"/>
    <w:rsid w:val="00404C7F"/>
    <w:rsid w:val="0040511A"/>
    <w:rsid w:val="004051A6"/>
    <w:rsid w:val="0040524B"/>
    <w:rsid w:val="00405473"/>
    <w:rsid w:val="004059B2"/>
    <w:rsid w:val="00405A27"/>
    <w:rsid w:val="00406268"/>
    <w:rsid w:val="00406478"/>
    <w:rsid w:val="00406B23"/>
    <w:rsid w:val="004078F3"/>
    <w:rsid w:val="00407B21"/>
    <w:rsid w:val="00407B3F"/>
    <w:rsid w:val="00407E6A"/>
    <w:rsid w:val="00410097"/>
    <w:rsid w:val="004101EC"/>
    <w:rsid w:val="00410916"/>
    <w:rsid w:val="00410D68"/>
    <w:rsid w:val="00410DEE"/>
    <w:rsid w:val="00411081"/>
    <w:rsid w:val="004111D3"/>
    <w:rsid w:val="0041155B"/>
    <w:rsid w:val="004116B5"/>
    <w:rsid w:val="00411A49"/>
    <w:rsid w:val="00412094"/>
    <w:rsid w:val="0041211E"/>
    <w:rsid w:val="004122EC"/>
    <w:rsid w:val="00412449"/>
    <w:rsid w:val="00412A30"/>
    <w:rsid w:val="00412A5A"/>
    <w:rsid w:val="0041336C"/>
    <w:rsid w:val="00413618"/>
    <w:rsid w:val="00413816"/>
    <w:rsid w:val="00413942"/>
    <w:rsid w:val="00413A26"/>
    <w:rsid w:val="00413C4B"/>
    <w:rsid w:val="00413CAB"/>
    <w:rsid w:val="00413F4D"/>
    <w:rsid w:val="00414306"/>
    <w:rsid w:val="0041461C"/>
    <w:rsid w:val="004148B2"/>
    <w:rsid w:val="00414972"/>
    <w:rsid w:val="00414DA4"/>
    <w:rsid w:val="00414FFE"/>
    <w:rsid w:val="004151AC"/>
    <w:rsid w:val="004155D3"/>
    <w:rsid w:val="0041594F"/>
    <w:rsid w:val="00415C45"/>
    <w:rsid w:val="0041600A"/>
    <w:rsid w:val="004162B7"/>
    <w:rsid w:val="00416665"/>
    <w:rsid w:val="00416851"/>
    <w:rsid w:val="00416D66"/>
    <w:rsid w:val="00416D7E"/>
    <w:rsid w:val="00417123"/>
    <w:rsid w:val="004175B9"/>
    <w:rsid w:val="00417693"/>
    <w:rsid w:val="00417EFF"/>
    <w:rsid w:val="00420348"/>
    <w:rsid w:val="0042044D"/>
    <w:rsid w:val="00420858"/>
    <w:rsid w:val="0042111E"/>
    <w:rsid w:val="004214A7"/>
    <w:rsid w:val="00421888"/>
    <w:rsid w:val="00421A8D"/>
    <w:rsid w:val="00421C48"/>
    <w:rsid w:val="00421E38"/>
    <w:rsid w:val="004220B3"/>
    <w:rsid w:val="004228E2"/>
    <w:rsid w:val="004229BC"/>
    <w:rsid w:val="00422B1B"/>
    <w:rsid w:val="00422F80"/>
    <w:rsid w:val="00423503"/>
    <w:rsid w:val="004236C9"/>
    <w:rsid w:val="00423702"/>
    <w:rsid w:val="0042386D"/>
    <w:rsid w:val="00423F23"/>
    <w:rsid w:val="00424511"/>
    <w:rsid w:val="00424884"/>
    <w:rsid w:val="00424C43"/>
    <w:rsid w:val="00425D2E"/>
    <w:rsid w:val="00425D79"/>
    <w:rsid w:val="00425FD9"/>
    <w:rsid w:val="004260ED"/>
    <w:rsid w:val="0042614E"/>
    <w:rsid w:val="00426A40"/>
    <w:rsid w:val="00426D9E"/>
    <w:rsid w:val="00426EF5"/>
    <w:rsid w:val="00426FFB"/>
    <w:rsid w:val="00427119"/>
    <w:rsid w:val="00427529"/>
    <w:rsid w:val="004278AA"/>
    <w:rsid w:val="004279F5"/>
    <w:rsid w:val="00430557"/>
    <w:rsid w:val="004306CF"/>
    <w:rsid w:val="0043090B"/>
    <w:rsid w:val="004309CF"/>
    <w:rsid w:val="00430A1D"/>
    <w:rsid w:val="00430ECD"/>
    <w:rsid w:val="00430FDC"/>
    <w:rsid w:val="00431897"/>
    <w:rsid w:val="00431DE8"/>
    <w:rsid w:val="00431FE8"/>
    <w:rsid w:val="00432124"/>
    <w:rsid w:val="0043212A"/>
    <w:rsid w:val="0043217C"/>
    <w:rsid w:val="00432434"/>
    <w:rsid w:val="00432488"/>
    <w:rsid w:val="00432B03"/>
    <w:rsid w:val="00433466"/>
    <w:rsid w:val="00433469"/>
    <w:rsid w:val="00433702"/>
    <w:rsid w:val="00433C50"/>
    <w:rsid w:val="00434816"/>
    <w:rsid w:val="00434A9C"/>
    <w:rsid w:val="00434E47"/>
    <w:rsid w:val="00434EB8"/>
    <w:rsid w:val="00434FEA"/>
    <w:rsid w:val="004350C0"/>
    <w:rsid w:val="00435498"/>
    <w:rsid w:val="0043565A"/>
    <w:rsid w:val="004358DD"/>
    <w:rsid w:val="004358E4"/>
    <w:rsid w:val="00435FF3"/>
    <w:rsid w:val="00436056"/>
    <w:rsid w:val="0043611A"/>
    <w:rsid w:val="0043699B"/>
    <w:rsid w:val="00436AEA"/>
    <w:rsid w:val="00436BF6"/>
    <w:rsid w:val="00436E69"/>
    <w:rsid w:val="00436FA6"/>
    <w:rsid w:val="00437247"/>
    <w:rsid w:val="00437B1D"/>
    <w:rsid w:val="00437BCC"/>
    <w:rsid w:val="00437D9B"/>
    <w:rsid w:val="00437EED"/>
    <w:rsid w:val="00437F9F"/>
    <w:rsid w:val="004401F1"/>
    <w:rsid w:val="004403B2"/>
    <w:rsid w:val="00440644"/>
    <w:rsid w:val="00440A17"/>
    <w:rsid w:val="00440CCF"/>
    <w:rsid w:val="00440EAF"/>
    <w:rsid w:val="00441136"/>
    <w:rsid w:val="004411A0"/>
    <w:rsid w:val="004418B7"/>
    <w:rsid w:val="00441B55"/>
    <w:rsid w:val="00441E3D"/>
    <w:rsid w:val="00442829"/>
    <w:rsid w:val="00442EE8"/>
    <w:rsid w:val="00443057"/>
    <w:rsid w:val="00443099"/>
    <w:rsid w:val="00443163"/>
    <w:rsid w:val="00443821"/>
    <w:rsid w:val="00443885"/>
    <w:rsid w:val="0044389D"/>
    <w:rsid w:val="00443D69"/>
    <w:rsid w:val="00444027"/>
    <w:rsid w:val="004440EA"/>
    <w:rsid w:val="004444B8"/>
    <w:rsid w:val="004446DE"/>
    <w:rsid w:val="00444E92"/>
    <w:rsid w:val="00445747"/>
    <w:rsid w:val="00445C22"/>
    <w:rsid w:val="00445D74"/>
    <w:rsid w:val="00445DBB"/>
    <w:rsid w:val="00446223"/>
    <w:rsid w:val="004464CB"/>
    <w:rsid w:val="0044666A"/>
    <w:rsid w:val="00446E0D"/>
    <w:rsid w:val="00447397"/>
    <w:rsid w:val="00447AC2"/>
    <w:rsid w:val="00447BB0"/>
    <w:rsid w:val="00447C3F"/>
    <w:rsid w:val="00447E56"/>
    <w:rsid w:val="00447F28"/>
    <w:rsid w:val="004506DB"/>
    <w:rsid w:val="00450EAA"/>
    <w:rsid w:val="00451056"/>
    <w:rsid w:val="0045129B"/>
    <w:rsid w:val="0045155A"/>
    <w:rsid w:val="004516CB"/>
    <w:rsid w:val="00451DD7"/>
    <w:rsid w:val="004523D7"/>
    <w:rsid w:val="00452695"/>
    <w:rsid w:val="00452ADD"/>
    <w:rsid w:val="00452DDB"/>
    <w:rsid w:val="0045398B"/>
    <w:rsid w:val="004539A7"/>
    <w:rsid w:val="00453A98"/>
    <w:rsid w:val="00453A9D"/>
    <w:rsid w:val="00453BF5"/>
    <w:rsid w:val="00453D74"/>
    <w:rsid w:val="004540D7"/>
    <w:rsid w:val="00454B88"/>
    <w:rsid w:val="00454D9A"/>
    <w:rsid w:val="004558CF"/>
    <w:rsid w:val="00455A24"/>
    <w:rsid w:val="00455B98"/>
    <w:rsid w:val="00455EFF"/>
    <w:rsid w:val="00456236"/>
    <w:rsid w:val="00456246"/>
    <w:rsid w:val="00456488"/>
    <w:rsid w:val="00456AB5"/>
    <w:rsid w:val="00456D17"/>
    <w:rsid w:val="00456FF4"/>
    <w:rsid w:val="00457462"/>
    <w:rsid w:val="00457AC9"/>
    <w:rsid w:val="00457D83"/>
    <w:rsid w:val="0046034E"/>
    <w:rsid w:val="004605ED"/>
    <w:rsid w:val="004606ED"/>
    <w:rsid w:val="004607FE"/>
    <w:rsid w:val="0046084E"/>
    <w:rsid w:val="00460970"/>
    <w:rsid w:val="00460D68"/>
    <w:rsid w:val="00460DDC"/>
    <w:rsid w:val="0046115B"/>
    <w:rsid w:val="004613E7"/>
    <w:rsid w:val="0046170F"/>
    <w:rsid w:val="00461777"/>
    <w:rsid w:val="00461977"/>
    <w:rsid w:val="00461991"/>
    <w:rsid w:val="00461A47"/>
    <w:rsid w:val="00461CB2"/>
    <w:rsid w:val="00461E41"/>
    <w:rsid w:val="004620FA"/>
    <w:rsid w:val="004624F4"/>
    <w:rsid w:val="00462540"/>
    <w:rsid w:val="00462BC4"/>
    <w:rsid w:val="0046344D"/>
    <w:rsid w:val="00463850"/>
    <w:rsid w:val="00463ED0"/>
    <w:rsid w:val="0046451D"/>
    <w:rsid w:val="004649C0"/>
    <w:rsid w:val="00464AAE"/>
    <w:rsid w:val="00464C6A"/>
    <w:rsid w:val="00464F4B"/>
    <w:rsid w:val="00465079"/>
    <w:rsid w:val="00465119"/>
    <w:rsid w:val="0046531B"/>
    <w:rsid w:val="004653F6"/>
    <w:rsid w:val="0046569A"/>
    <w:rsid w:val="00465993"/>
    <w:rsid w:val="00465E56"/>
    <w:rsid w:val="00465F30"/>
    <w:rsid w:val="004660B7"/>
    <w:rsid w:val="00466134"/>
    <w:rsid w:val="004664DE"/>
    <w:rsid w:val="00466680"/>
    <w:rsid w:val="00466760"/>
    <w:rsid w:val="0046682E"/>
    <w:rsid w:val="004675D2"/>
    <w:rsid w:val="004679E8"/>
    <w:rsid w:val="00467B1C"/>
    <w:rsid w:val="00467DF2"/>
    <w:rsid w:val="00470746"/>
    <w:rsid w:val="00470B71"/>
    <w:rsid w:val="00471C87"/>
    <w:rsid w:val="00471DD4"/>
    <w:rsid w:val="00472058"/>
    <w:rsid w:val="004720F9"/>
    <w:rsid w:val="004728A6"/>
    <w:rsid w:val="00472FFE"/>
    <w:rsid w:val="004736D8"/>
    <w:rsid w:val="004736EA"/>
    <w:rsid w:val="00473D42"/>
    <w:rsid w:val="0047428D"/>
    <w:rsid w:val="004742F9"/>
    <w:rsid w:val="00474842"/>
    <w:rsid w:val="004748F1"/>
    <w:rsid w:val="00474CBE"/>
    <w:rsid w:val="0047505C"/>
    <w:rsid w:val="00475143"/>
    <w:rsid w:val="0047536E"/>
    <w:rsid w:val="00475415"/>
    <w:rsid w:val="00475918"/>
    <w:rsid w:val="00475D31"/>
    <w:rsid w:val="00475E61"/>
    <w:rsid w:val="004762A5"/>
    <w:rsid w:val="00476707"/>
    <w:rsid w:val="004767A1"/>
    <w:rsid w:val="00476CAA"/>
    <w:rsid w:val="00477239"/>
    <w:rsid w:val="00477593"/>
    <w:rsid w:val="00477660"/>
    <w:rsid w:val="004778C0"/>
    <w:rsid w:val="00477D3F"/>
    <w:rsid w:val="00477E71"/>
    <w:rsid w:val="0048040C"/>
    <w:rsid w:val="004805B8"/>
    <w:rsid w:val="00480606"/>
    <w:rsid w:val="00480690"/>
    <w:rsid w:val="004807E2"/>
    <w:rsid w:val="00480BCB"/>
    <w:rsid w:val="00480C38"/>
    <w:rsid w:val="00480CAC"/>
    <w:rsid w:val="00481014"/>
    <w:rsid w:val="004812D9"/>
    <w:rsid w:val="00481530"/>
    <w:rsid w:val="0048171F"/>
    <w:rsid w:val="004818CD"/>
    <w:rsid w:val="00481ADC"/>
    <w:rsid w:val="00481D1E"/>
    <w:rsid w:val="004822FA"/>
    <w:rsid w:val="0048256E"/>
    <w:rsid w:val="00482699"/>
    <w:rsid w:val="00482725"/>
    <w:rsid w:val="00482A66"/>
    <w:rsid w:val="00483414"/>
    <w:rsid w:val="00483754"/>
    <w:rsid w:val="00483B51"/>
    <w:rsid w:val="00483C0E"/>
    <w:rsid w:val="00483DC1"/>
    <w:rsid w:val="00484271"/>
    <w:rsid w:val="00484885"/>
    <w:rsid w:val="00484A6A"/>
    <w:rsid w:val="00484F91"/>
    <w:rsid w:val="00485271"/>
    <w:rsid w:val="0048529E"/>
    <w:rsid w:val="004865E6"/>
    <w:rsid w:val="004868BC"/>
    <w:rsid w:val="004868E6"/>
    <w:rsid w:val="00486C6D"/>
    <w:rsid w:val="00486D5F"/>
    <w:rsid w:val="00487784"/>
    <w:rsid w:val="004877F1"/>
    <w:rsid w:val="00487AD4"/>
    <w:rsid w:val="00487ED3"/>
    <w:rsid w:val="00487F5B"/>
    <w:rsid w:val="00487FF7"/>
    <w:rsid w:val="004907EA"/>
    <w:rsid w:val="00490954"/>
    <w:rsid w:val="00490B34"/>
    <w:rsid w:val="0049183F"/>
    <w:rsid w:val="00491A0B"/>
    <w:rsid w:val="00491A1B"/>
    <w:rsid w:val="00491BA4"/>
    <w:rsid w:val="00491C62"/>
    <w:rsid w:val="00491DE1"/>
    <w:rsid w:val="004920F8"/>
    <w:rsid w:val="004923BD"/>
    <w:rsid w:val="00492545"/>
    <w:rsid w:val="0049281E"/>
    <w:rsid w:val="00492CD0"/>
    <w:rsid w:val="00492E56"/>
    <w:rsid w:val="00493C84"/>
    <w:rsid w:val="00493E09"/>
    <w:rsid w:val="00493F66"/>
    <w:rsid w:val="0049423B"/>
    <w:rsid w:val="004949F0"/>
    <w:rsid w:val="00494AB9"/>
    <w:rsid w:val="00494B4A"/>
    <w:rsid w:val="00494B5E"/>
    <w:rsid w:val="00494D4E"/>
    <w:rsid w:val="00494F67"/>
    <w:rsid w:val="004950A8"/>
    <w:rsid w:val="00495624"/>
    <w:rsid w:val="00495831"/>
    <w:rsid w:val="00495BF7"/>
    <w:rsid w:val="00495DBF"/>
    <w:rsid w:val="00495EB8"/>
    <w:rsid w:val="00495FA2"/>
    <w:rsid w:val="00496BF2"/>
    <w:rsid w:val="00496E16"/>
    <w:rsid w:val="00496F34"/>
    <w:rsid w:val="0049740E"/>
    <w:rsid w:val="0049747C"/>
    <w:rsid w:val="004978A4"/>
    <w:rsid w:val="00497B41"/>
    <w:rsid w:val="00497C3B"/>
    <w:rsid w:val="00497C68"/>
    <w:rsid w:val="00497E81"/>
    <w:rsid w:val="00497F56"/>
    <w:rsid w:val="004A028B"/>
    <w:rsid w:val="004A02DC"/>
    <w:rsid w:val="004A0420"/>
    <w:rsid w:val="004A05F2"/>
    <w:rsid w:val="004A0D82"/>
    <w:rsid w:val="004A1426"/>
    <w:rsid w:val="004A16C0"/>
    <w:rsid w:val="004A19B1"/>
    <w:rsid w:val="004A1A06"/>
    <w:rsid w:val="004A1F6A"/>
    <w:rsid w:val="004A2C18"/>
    <w:rsid w:val="004A2D4C"/>
    <w:rsid w:val="004A301B"/>
    <w:rsid w:val="004A3505"/>
    <w:rsid w:val="004A377B"/>
    <w:rsid w:val="004A4A2D"/>
    <w:rsid w:val="004A4C12"/>
    <w:rsid w:val="004A4F6B"/>
    <w:rsid w:val="004A51C2"/>
    <w:rsid w:val="004A5A56"/>
    <w:rsid w:val="004A5A69"/>
    <w:rsid w:val="004A5AD0"/>
    <w:rsid w:val="004A5B3D"/>
    <w:rsid w:val="004A6111"/>
    <w:rsid w:val="004A6329"/>
    <w:rsid w:val="004A6897"/>
    <w:rsid w:val="004A6C2D"/>
    <w:rsid w:val="004A7B25"/>
    <w:rsid w:val="004A7CDC"/>
    <w:rsid w:val="004A7EDC"/>
    <w:rsid w:val="004A7F95"/>
    <w:rsid w:val="004B015E"/>
    <w:rsid w:val="004B0535"/>
    <w:rsid w:val="004B06E2"/>
    <w:rsid w:val="004B0968"/>
    <w:rsid w:val="004B0B8F"/>
    <w:rsid w:val="004B11C0"/>
    <w:rsid w:val="004B1960"/>
    <w:rsid w:val="004B1A7D"/>
    <w:rsid w:val="004B1DBB"/>
    <w:rsid w:val="004B251F"/>
    <w:rsid w:val="004B2758"/>
    <w:rsid w:val="004B2806"/>
    <w:rsid w:val="004B297A"/>
    <w:rsid w:val="004B2A8D"/>
    <w:rsid w:val="004B2CFC"/>
    <w:rsid w:val="004B2F4E"/>
    <w:rsid w:val="004B3055"/>
    <w:rsid w:val="004B305F"/>
    <w:rsid w:val="004B34EC"/>
    <w:rsid w:val="004B3731"/>
    <w:rsid w:val="004B3C71"/>
    <w:rsid w:val="004B3CA7"/>
    <w:rsid w:val="004B43E3"/>
    <w:rsid w:val="004B44D8"/>
    <w:rsid w:val="004B4561"/>
    <w:rsid w:val="004B4777"/>
    <w:rsid w:val="004B47EE"/>
    <w:rsid w:val="004B568D"/>
    <w:rsid w:val="004B576D"/>
    <w:rsid w:val="004B5DB8"/>
    <w:rsid w:val="004B61C1"/>
    <w:rsid w:val="004B633F"/>
    <w:rsid w:val="004B660F"/>
    <w:rsid w:val="004B673F"/>
    <w:rsid w:val="004B6866"/>
    <w:rsid w:val="004B6CB8"/>
    <w:rsid w:val="004B6EC2"/>
    <w:rsid w:val="004B707A"/>
    <w:rsid w:val="004B7431"/>
    <w:rsid w:val="004B758D"/>
    <w:rsid w:val="004B769F"/>
    <w:rsid w:val="004B7B35"/>
    <w:rsid w:val="004B7D84"/>
    <w:rsid w:val="004C016E"/>
    <w:rsid w:val="004C04C7"/>
    <w:rsid w:val="004C0AA1"/>
    <w:rsid w:val="004C0E5E"/>
    <w:rsid w:val="004C1219"/>
    <w:rsid w:val="004C16B8"/>
    <w:rsid w:val="004C1898"/>
    <w:rsid w:val="004C1A51"/>
    <w:rsid w:val="004C1A6A"/>
    <w:rsid w:val="004C1AA8"/>
    <w:rsid w:val="004C1F05"/>
    <w:rsid w:val="004C3828"/>
    <w:rsid w:val="004C3CEC"/>
    <w:rsid w:val="004C3E8A"/>
    <w:rsid w:val="004C404F"/>
    <w:rsid w:val="004C4291"/>
    <w:rsid w:val="004C44B0"/>
    <w:rsid w:val="004C4D35"/>
    <w:rsid w:val="004C4DF3"/>
    <w:rsid w:val="004C5201"/>
    <w:rsid w:val="004C52C4"/>
    <w:rsid w:val="004C545C"/>
    <w:rsid w:val="004C58DB"/>
    <w:rsid w:val="004C6088"/>
    <w:rsid w:val="004C627C"/>
    <w:rsid w:val="004C6464"/>
    <w:rsid w:val="004C6ABF"/>
    <w:rsid w:val="004C6B77"/>
    <w:rsid w:val="004C6BCC"/>
    <w:rsid w:val="004C6E94"/>
    <w:rsid w:val="004C6F6D"/>
    <w:rsid w:val="004C712D"/>
    <w:rsid w:val="004C7853"/>
    <w:rsid w:val="004C78B6"/>
    <w:rsid w:val="004C7973"/>
    <w:rsid w:val="004C7D36"/>
    <w:rsid w:val="004C7F70"/>
    <w:rsid w:val="004D057A"/>
    <w:rsid w:val="004D05BC"/>
    <w:rsid w:val="004D094D"/>
    <w:rsid w:val="004D0B86"/>
    <w:rsid w:val="004D0C7F"/>
    <w:rsid w:val="004D1415"/>
    <w:rsid w:val="004D16B0"/>
    <w:rsid w:val="004D1E4D"/>
    <w:rsid w:val="004D1F29"/>
    <w:rsid w:val="004D26E5"/>
    <w:rsid w:val="004D2ACB"/>
    <w:rsid w:val="004D2C76"/>
    <w:rsid w:val="004D2CE0"/>
    <w:rsid w:val="004D2FC6"/>
    <w:rsid w:val="004D313B"/>
    <w:rsid w:val="004D31F9"/>
    <w:rsid w:val="004D3459"/>
    <w:rsid w:val="004D3D6F"/>
    <w:rsid w:val="004D41C9"/>
    <w:rsid w:val="004D431D"/>
    <w:rsid w:val="004D445A"/>
    <w:rsid w:val="004D44F5"/>
    <w:rsid w:val="004D4707"/>
    <w:rsid w:val="004D4C5A"/>
    <w:rsid w:val="004D5339"/>
    <w:rsid w:val="004D54EA"/>
    <w:rsid w:val="004D57C8"/>
    <w:rsid w:val="004D592F"/>
    <w:rsid w:val="004D596A"/>
    <w:rsid w:val="004D59C9"/>
    <w:rsid w:val="004D5D28"/>
    <w:rsid w:val="004D5FB7"/>
    <w:rsid w:val="004D639F"/>
    <w:rsid w:val="004D68DB"/>
    <w:rsid w:val="004D6D3C"/>
    <w:rsid w:val="004D7073"/>
    <w:rsid w:val="004D707E"/>
    <w:rsid w:val="004D70C2"/>
    <w:rsid w:val="004D710B"/>
    <w:rsid w:val="004D7D78"/>
    <w:rsid w:val="004D7FAA"/>
    <w:rsid w:val="004E0218"/>
    <w:rsid w:val="004E08A7"/>
    <w:rsid w:val="004E09E0"/>
    <w:rsid w:val="004E0D26"/>
    <w:rsid w:val="004E0D4E"/>
    <w:rsid w:val="004E1007"/>
    <w:rsid w:val="004E1447"/>
    <w:rsid w:val="004E177B"/>
    <w:rsid w:val="004E17CF"/>
    <w:rsid w:val="004E1854"/>
    <w:rsid w:val="004E18EC"/>
    <w:rsid w:val="004E1941"/>
    <w:rsid w:val="004E1BAF"/>
    <w:rsid w:val="004E1E8A"/>
    <w:rsid w:val="004E1F3E"/>
    <w:rsid w:val="004E2452"/>
    <w:rsid w:val="004E30DB"/>
    <w:rsid w:val="004E34A2"/>
    <w:rsid w:val="004E34FA"/>
    <w:rsid w:val="004E394D"/>
    <w:rsid w:val="004E4A9C"/>
    <w:rsid w:val="004E4BCB"/>
    <w:rsid w:val="004E4DB8"/>
    <w:rsid w:val="004E5261"/>
    <w:rsid w:val="004E534B"/>
    <w:rsid w:val="004E545D"/>
    <w:rsid w:val="004E60CF"/>
    <w:rsid w:val="004E64A6"/>
    <w:rsid w:val="004E6572"/>
    <w:rsid w:val="004E66F3"/>
    <w:rsid w:val="004E69C0"/>
    <w:rsid w:val="004E6CD7"/>
    <w:rsid w:val="004E6D7A"/>
    <w:rsid w:val="004E6FB5"/>
    <w:rsid w:val="004E7017"/>
    <w:rsid w:val="004E70B3"/>
    <w:rsid w:val="004E739A"/>
    <w:rsid w:val="004E75DE"/>
    <w:rsid w:val="004E7B85"/>
    <w:rsid w:val="004E7D73"/>
    <w:rsid w:val="004E7EDC"/>
    <w:rsid w:val="004F004B"/>
    <w:rsid w:val="004F0094"/>
    <w:rsid w:val="004F00DF"/>
    <w:rsid w:val="004F08E6"/>
    <w:rsid w:val="004F0DBD"/>
    <w:rsid w:val="004F0EE2"/>
    <w:rsid w:val="004F11F5"/>
    <w:rsid w:val="004F13D6"/>
    <w:rsid w:val="004F1C5F"/>
    <w:rsid w:val="004F26A9"/>
    <w:rsid w:val="004F270B"/>
    <w:rsid w:val="004F3206"/>
    <w:rsid w:val="004F326D"/>
    <w:rsid w:val="004F34D4"/>
    <w:rsid w:val="004F3D3A"/>
    <w:rsid w:val="004F3F9F"/>
    <w:rsid w:val="004F3FBB"/>
    <w:rsid w:val="004F480C"/>
    <w:rsid w:val="004F48B2"/>
    <w:rsid w:val="004F4EE4"/>
    <w:rsid w:val="004F50F5"/>
    <w:rsid w:val="004F51F3"/>
    <w:rsid w:val="004F52FA"/>
    <w:rsid w:val="004F554C"/>
    <w:rsid w:val="004F584A"/>
    <w:rsid w:val="004F616D"/>
    <w:rsid w:val="004F672A"/>
    <w:rsid w:val="004F68CF"/>
    <w:rsid w:val="004F69C1"/>
    <w:rsid w:val="004F69CB"/>
    <w:rsid w:val="004F72B3"/>
    <w:rsid w:val="004F730A"/>
    <w:rsid w:val="004F7685"/>
    <w:rsid w:val="00500034"/>
    <w:rsid w:val="00500290"/>
    <w:rsid w:val="005007CA"/>
    <w:rsid w:val="00500EF2"/>
    <w:rsid w:val="00500F97"/>
    <w:rsid w:val="00500FFD"/>
    <w:rsid w:val="00501018"/>
    <w:rsid w:val="005012D7"/>
    <w:rsid w:val="00501697"/>
    <w:rsid w:val="005017F1"/>
    <w:rsid w:val="00501EE4"/>
    <w:rsid w:val="00502106"/>
    <w:rsid w:val="005023D3"/>
    <w:rsid w:val="00502865"/>
    <w:rsid w:val="00502CD5"/>
    <w:rsid w:val="00502DCB"/>
    <w:rsid w:val="00502EC2"/>
    <w:rsid w:val="00503294"/>
    <w:rsid w:val="0050336F"/>
    <w:rsid w:val="00503377"/>
    <w:rsid w:val="0050368D"/>
    <w:rsid w:val="00503B73"/>
    <w:rsid w:val="005040CE"/>
    <w:rsid w:val="00504415"/>
    <w:rsid w:val="0050473B"/>
    <w:rsid w:val="00504821"/>
    <w:rsid w:val="00505245"/>
    <w:rsid w:val="005056E6"/>
    <w:rsid w:val="00505738"/>
    <w:rsid w:val="00505ACC"/>
    <w:rsid w:val="00505C3A"/>
    <w:rsid w:val="00506659"/>
    <w:rsid w:val="005078B5"/>
    <w:rsid w:val="00507AA8"/>
    <w:rsid w:val="00507ABC"/>
    <w:rsid w:val="00507F5A"/>
    <w:rsid w:val="00510440"/>
    <w:rsid w:val="005107A3"/>
    <w:rsid w:val="00510A04"/>
    <w:rsid w:val="00510B95"/>
    <w:rsid w:val="00510C4F"/>
    <w:rsid w:val="00510F07"/>
    <w:rsid w:val="00510F7B"/>
    <w:rsid w:val="005114EF"/>
    <w:rsid w:val="00511826"/>
    <w:rsid w:val="00511DB0"/>
    <w:rsid w:val="00511EC0"/>
    <w:rsid w:val="00512616"/>
    <w:rsid w:val="00512A41"/>
    <w:rsid w:val="00512C8E"/>
    <w:rsid w:val="00512CA6"/>
    <w:rsid w:val="005132A1"/>
    <w:rsid w:val="005133CB"/>
    <w:rsid w:val="005134A4"/>
    <w:rsid w:val="00513570"/>
    <w:rsid w:val="00513649"/>
    <w:rsid w:val="0051369E"/>
    <w:rsid w:val="00513732"/>
    <w:rsid w:val="00513CED"/>
    <w:rsid w:val="005141E5"/>
    <w:rsid w:val="00514668"/>
    <w:rsid w:val="00514751"/>
    <w:rsid w:val="005147DC"/>
    <w:rsid w:val="00515265"/>
    <w:rsid w:val="00515375"/>
    <w:rsid w:val="00515F9A"/>
    <w:rsid w:val="005162E2"/>
    <w:rsid w:val="0051685F"/>
    <w:rsid w:val="0051689C"/>
    <w:rsid w:val="00516CB8"/>
    <w:rsid w:val="00517098"/>
    <w:rsid w:val="00517336"/>
    <w:rsid w:val="00517B26"/>
    <w:rsid w:val="00517C12"/>
    <w:rsid w:val="00517FF4"/>
    <w:rsid w:val="005209A4"/>
    <w:rsid w:val="00520CB4"/>
    <w:rsid w:val="00520FEC"/>
    <w:rsid w:val="00521024"/>
    <w:rsid w:val="005216D8"/>
    <w:rsid w:val="005217EA"/>
    <w:rsid w:val="00521E10"/>
    <w:rsid w:val="00521FA5"/>
    <w:rsid w:val="00522381"/>
    <w:rsid w:val="00522820"/>
    <w:rsid w:val="00522BB2"/>
    <w:rsid w:val="00522E98"/>
    <w:rsid w:val="005231EC"/>
    <w:rsid w:val="00523436"/>
    <w:rsid w:val="005236EE"/>
    <w:rsid w:val="00523EAE"/>
    <w:rsid w:val="005248FE"/>
    <w:rsid w:val="00524A42"/>
    <w:rsid w:val="00524AD3"/>
    <w:rsid w:val="00524C16"/>
    <w:rsid w:val="00524FA3"/>
    <w:rsid w:val="005251F1"/>
    <w:rsid w:val="0052568D"/>
    <w:rsid w:val="005256AC"/>
    <w:rsid w:val="00525C9C"/>
    <w:rsid w:val="00525FC1"/>
    <w:rsid w:val="005265D6"/>
    <w:rsid w:val="005266CF"/>
    <w:rsid w:val="00526881"/>
    <w:rsid w:val="005268D9"/>
    <w:rsid w:val="005269F9"/>
    <w:rsid w:val="00526B0D"/>
    <w:rsid w:val="00526FDF"/>
    <w:rsid w:val="00527492"/>
    <w:rsid w:val="005274AC"/>
    <w:rsid w:val="005277E2"/>
    <w:rsid w:val="0052792E"/>
    <w:rsid w:val="005279E6"/>
    <w:rsid w:val="00527C34"/>
    <w:rsid w:val="00527F43"/>
    <w:rsid w:val="005300B3"/>
    <w:rsid w:val="005300C5"/>
    <w:rsid w:val="00530757"/>
    <w:rsid w:val="00530E0C"/>
    <w:rsid w:val="00531B08"/>
    <w:rsid w:val="00531C40"/>
    <w:rsid w:val="00531ED9"/>
    <w:rsid w:val="00531FC6"/>
    <w:rsid w:val="00532994"/>
    <w:rsid w:val="00532BB2"/>
    <w:rsid w:val="00532C2E"/>
    <w:rsid w:val="00532EBF"/>
    <w:rsid w:val="0053320B"/>
    <w:rsid w:val="0053352C"/>
    <w:rsid w:val="0053407A"/>
    <w:rsid w:val="005340A5"/>
    <w:rsid w:val="00534432"/>
    <w:rsid w:val="00534774"/>
    <w:rsid w:val="00534781"/>
    <w:rsid w:val="005349F5"/>
    <w:rsid w:val="00534A8C"/>
    <w:rsid w:val="00534DDA"/>
    <w:rsid w:val="005353D8"/>
    <w:rsid w:val="0053565C"/>
    <w:rsid w:val="00535CCF"/>
    <w:rsid w:val="00535E27"/>
    <w:rsid w:val="00535F9D"/>
    <w:rsid w:val="0053616C"/>
    <w:rsid w:val="00536273"/>
    <w:rsid w:val="00536906"/>
    <w:rsid w:val="00536FCC"/>
    <w:rsid w:val="0053703E"/>
    <w:rsid w:val="005371AF"/>
    <w:rsid w:val="00537550"/>
    <w:rsid w:val="0053771B"/>
    <w:rsid w:val="00537830"/>
    <w:rsid w:val="00537C7A"/>
    <w:rsid w:val="00537F1C"/>
    <w:rsid w:val="00540275"/>
    <w:rsid w:val="005404BA"/>
    <w:rsid w:val="00540967"/>
    <w:rsid w:val="00540DF6"/>
    <w:rsid w:val="00540DFB"/>
    <w:rsid w:val="00541051"/>
    <w:rsid w:val="00541548"/>
    <w:rsid w:val="00541995"/>
    <w:rsid w:val="00541AF1"/>
    <w:rsid w:val="00541D21"/>
    <w:rsid w:val="00541E1A"/>
    <w:rsid w:val="0054252F"/>
    <w:rsid w:val="00542614"/>
    <w:rsid w:val="0054262D"/>
    <w:rsid w:val="0054290A"/>
    <w:rsid w:val="00542E89"/>
    <w:rsid w:val="00543A73"/>
    <w:rsid w:val="00543ABB"/>
    <w:rsid w:val="00543E44"/>
    <w:rsid w:val="0054426B"/>
    <w:rsid w:val="0054433C"/>
    <w:rsid w:val="005443DD"/>
    <w:rsid w:val="005443E2"/>
    <w:rsid w:val="005450B1"/>
    <w:rsid w:val="005452EF"/>
    <w:rsid w:val="0054599A"/>
    <w:rsid w:val="00545B23"/>
    <w:rsid w:val="00545B8F"/>
    <w:rsid w:val="00545B99"/>
    <w:rsid w:val="00545FEF"/>
    <w:rsid w:val="0054606A"/>
    <w:rsid w:val="00546871"/>
    <w:rsid w:val="00546DCC"/>
    <w:rsid w:val="00546FE4"/>
    <w:rsid w:val="005470D1"/>
    <w:rsid w:val="0054794B"/>
    <w:rsid w:val="00547BFF"/>
    <w:rsid w:val="005500F4"/>
    <w:rsid w:val="005503D8"/>
    <w:rsid w:val="005504A5"/>
    <w:rsid w:val="005505AB"/>
    <w:rsid w:val="00550B41"/>
    <w:rsid w:val="005511CE"/>
    <w:rsid w:val="00551769"/>
    <w:rsid w:val="00551AAF"/>
    <w:rsid w:val="00551CF1"/>
    <w:rsid w:val="00551FA0"/>
    <w:rsid w:val="00552009"/>
    <w:rsid w:val="005524AE"/>
    <w:rsid w:val="00553235"/>
    <w:rsid w:val="005535AA"/>
    <w:rsid w:val="005536D0"/>
    <w:rsid w:val="0055380C"/>
    <w:rsid w:val="00553A2C"/>
    <w:rsid w:val="005542BA"/>
    <w:rsid w:val="00554453"/>
    <w:rsid w:val="005546F0"/>
    <w:rsid w:val="00554905"/>
    <w:rsid w:val="005549E2"/>
    <w:rsid w:val="00554B76"/>
    <w:rsid w:val="00554EF3"/>
    <w:rsid w:val="00555095"/>
    <w:rsid w:val="00555119"/>
    <w:rsid w:val="0055561C"/>
    <w:rsid w:val="00556196"/>
    <w:rsid w:val="005561A3"/>
    <w:rsid w:val="005565F3"/>
    <w:rsid w:val="0055684B"/>
    <w:rsid w:val="00556AC5"/>
    <w:rsid w:val="005572B0"/>
    <w:rsid w:val="005573A6"/>
    <w:rsid w:val="0055742A"/>
    <w:rsid w:val="00557992"/>
    <w:rsid w:val="00557D42"/>
    <w:rsid w:val="0056012E"/>
    <w:rsid w:val="0056018B"/>
    <w:rsid w:val="005601CF"/>
    <w:rsid w:val="00560607"/>
    <w:rsid w:val="00560D58"/>
    <w:rsid w:val="00560DD0"/>
    <w:rsid w:val="00560E73"/>
    <w:rsid w:val="0056112C"/>
    <w:rsid w:val="0056159B"/>
    <w:rsid w:val="005615C8"/>
    <w:rsid w:val="0056167D"/>
    <w:rsid w:val="00561F5A"/>
    <w:rsid w:val="00562288"/>
    <w:rsid w:val="00562404"/>
    <w:rsid w:val="0056257C"/>
    <w:rsid w:val="00562626"/>
    <w:rsid w:val="00562633"/>
    <w:rsid w:val="005629D4"/>
    <w:rsid w:val="00562AC8"/>
    <w:rsid w:val="00562E69"/>
    <w:rsid w:val="00562F76"/>
    <w:rsid w:val="00563059"/>
    <w:rsid w:val="005635F8"/>
    <w:rsid w:val="00563DE2"/>
    <w:rsid w:val="00563F3E"/>
    <w:rsid w:val="005645C1"/>
    <w:rsid w:val="005646D1"/>
    <w:rsid w:val="0056483F"/>
    <w:rsid w:val="0056505F"/>
    <w:rsid w:val="005656F3"/>
    <w:rsid w:val="0056582D"/>
    <w:rsid w:val="005658A4"/>
    <w:rsid w:val="005666C3"/>
    <w:rsid w:val="00566B12"/>
    <w:rsid w:val="0056710F"/>
    <w:rsid w:val="005675B0"/>
    <w:rsid w:val="00567BEF"/>
    <w:rsid w:val="00567D47"/>
    <w:rsid w:val="00570165"/>
    <w:rsid w:val="0057025E"/>
    <w:rsid w:val="00570C17"/>
    <w:rsid w:val="00570C7B"/>
    <w:rsid w:val="005710D0"/>
    <w:rsid w:val="005711FB"/>
    <w:rsid w:val="005717F9"/>
    <w:rsid w:val="00571923"/>
    <w:rsid w:val="00571976"/>
    <w:rsid w:val="00571ABB"/>
    <w:rsid w:val="005720F7"/>
    <w:rsid w:val="0057218E"/>
    <w:rsid w:val="0057242E"/>
    <w:rsid w:val="005728FB"/>
    <w:rsid w:val="00572D45"/>
    <w:rsid w:val="00573068"/>
    <w:rsid w:val="00573700"/>
    <w:rsid w:val="00574093"/>
    <w:rsid w:val="005744D0"/>
    <w:rsid w:val="0057475A"/>
    <w:rsid w:val="00574A16"/>
    <w:rsid w:val="00574ADA"/>
    <w:rsid w:val="00574D92"/>
    <w:rsid w:val="0057523F"/>
    <w:rsid w:val="00575390"/>
    <w:rsid w:val="005753E4"/>
    <w:rsid w:val="0057566F"/>
    <w:rsid w:val="00575731"/>
    <w:rsid w:val="00575A2B"/>
    <w:rsid w:val="00575CC2"/>
    <w:rsid w:val="00576AA4"/>
    <w:rsid w:val="00576EB8"/>
    <w:rsid w:val="00576F0A"/>
    <w:rsid w:val="00577097"/>
    <w:rsid w:val="0057714D"/>
    <w:rsid w:val="005771F8"/>
    <w:rsid w:val="005773F1"/>
    <w:rsid w:val="00577948"/>
    <w:rsid w:val="00577C03"/>
    <w:rsid w:val="00577E10"/>
    <w:rsid w:val="005800FA"/>
    <w:rsid w:val="0058015C"/>
    <w:rsid w:val="005802FA"/>
    <w:rsid w:val="00580907"/>
    <w:rsid w:val="00580ECA"/>
    <w:rsid w:val="00580ECC"/>
    <w:rsid w:val="005810DB"/>
    <w:rsid w:val="00581274"/>
    <w:rsid w:val="0058173E"/>
    <w:rsid w:val="0058183A"/>
    <w:rsid w:val="00581B5F"/>
    <w:rsid w:val="005824C2"/>
    <w:rsid w:val="00582677"/>
    <w:rsid w:val="00582829"/>
    <w:rsid w:val="0058282C"/>
    <w:rsid w:val="0058284E"/>
    <w:rsid w:val="00582914"/>
    <w:rsid w:val="00582944"/>
    <w:rsid w:val="0058299E"/>
    <w:rsid w:val="00582A49"/>
    <w:rsid w:val="005836BD"/>
    <w:rsid w:val="00583B46"/>
    <w:rsid w:val="005841CE"/>
    <w:rsid w:val="005841FF"/>
    <w:rsid w:val="00584593"/>
    <w:rsid w:val="005848DD"/>
    <w:rsid w:val="005849F0"/>
    <w:rsid w:val="00584B55"/>
    <w:rsid w:val="00584D6E"/>
    <w:rsid w:val="0058517E"/>
    <w:rsid w:val="0058531A"/>
    <w:rsid w:val="00585410"/>
    <w:rsid w:val="00585414"/>
    <w:rsid w:val="0058547A"/>
    <w:rsid w:val="0058571B"/>
    <w:rsid w:val="00585A11"/>
    <w:rsid w:val="00585E27"/>
    <w:rsid w:val="00585ECD"/>
    <w:rsid w:val="00585F37"/>
    <w:rsid w:val="00585F73"/>
    <w:rsid w:val="005866BC"/>
    <w:rsid w:val="00586732"/>
    <w:rsid w:val="005876B3"/>
    <w:rsid w:val="0058778F"/>
    <w:rsid w:val="0058779C"/>
    <w:rsid w:val="00587993"/>
    <w:rsid w:val="00587DFE"/>
    <w:rsid w:val="00587E01"/>
    <w:rsid w:val="005900CD"/>
    <w:rsid w:val="0059057E"/>
    <w:rsid w:val="0059074E"/>
    <w:rsid w:val="0059086F"/>
    <w:rsid w:val="005908B5"/>
    <w:rsid w:val="00590A9C"/>
    <w:rsid w:val="00590C38"/>
    <w:rsid w:val="00590D80"/>
    <w:rsid w:val="005910FA"/>
    <w:rsid w:val="00591133"/>
    <w:rsid w:val="005911DC"/>
    <w:rsid w:val="005912E3"/>
    <w:rsid w:val="00591638"/>
    <w:rsid w:val="00591AF9"/>
    <w:rsid w:val="0059202A"/>
    <w:rsid w:val="0059226B"/>
    <w:rsid w:val="005924F7"/>
    <w:rsid w:val="005925AE"/>
    <w:rsid w:val="005925CB"/>
    <w:rsid w:val="00592742"/>
    <w:rsid w:val="00592A06"/>
    <w:rsid w:val="00592DA8"/>
    <w:rsid w:val="00592F2D"/>
    <w:rsid w:val="00593647"/>
    <w:rsid w:val="005937C0"/>
    <w:rsid w:val="005937C4"/>
    <w:rsid w:val="00593864"/>
    <w:rsid w:val="0059396F"/>
    <w:rsid w:val="00593C59"/>
    <w:rsid w:val="00593D53"/>
    <w:rsid w:val="00593E14"/>
    <w:rsid w:val="005940D1"/>
    <w:rsid w:val="0059444B"/>
    <w:rsid w:val="0059471A"/>
    <w:rsid w:val="00594967"/>
    <w:rsid w:val="00594E1D"/>
    <w:rsid w:val="00595229"/>
    <w:rsid w:val="0059532F"/>
    <w:rsid w:val="00595AF3"/>
    <w:rsid w:val="00595D0A"/>
    <w:rsid w:val="00595E9C"/>
    <w:rsid w:val="005962EB"/>
    <w:rsid w:val="005966F2"/>
    <w:rsid w:val="00596AD6"/>
    <w:rsid w:val="00596ADB"/>
    <w:rsid w:val="00596B46"/>
    <w:rsid w:val="00596BF5"/>
    <w:rsid w:val="00596F03"/>
    <w:rsid w:val="00597B03"/>
    <w:rsid w:val="00597BE5"/>
    <w:rsid w:val="00597D69"/>
    <w:rsid w:val="005A00AE"/>
    <w:rsid w:val="005A064C"/>
    <w:rsid w:val="005A0A7C"/>
    <w:rsid w:val="005A1147"/>
    <w:rsid w:val="005A178F"/>
    <w:rsid w:val="005A1C8F"/>
    <w:rsid w:val="005A1D93"/>
    <w:rsid w:val="005A2782"/>
    <w:rsid w:val="005A2C8D"/>
    <w:rsid w:val="005A2E4F"/>
    <w:rsid w:val="005A2EA6"/>
    <w:rsid w:val="005A2ED0"/>
    <w:rsid w:val="005A2FFA"/>
    <w:rsid w:val="005A301E"/>
    <w:rsid w:val="005A33D8"/>
    <w:rsid w:val="005A3739"/>
    <w:rsid w:val="005A3AB4"/>
    <w:rsid w:val="005A3C3C"/>
    <w:rsid w:val="005A3DA2"/>
    <w:rsid w:val="005A4218"/>
    <w:rsid w:val="005A430D"/>
    <w:rsid w:val="005A48A8"/>
    <w:rsid w:val="005A4B71"/>
    <w:rsid w:val="005A50F5"/>
    <w:rsid w:val="005A5721"/>
    <w:rsid w:val="005A58B9"/>
    <w:rsid w:val="005A5FCD"/>
    <w:rsid w:val="005A60B3"/>
    <w:rsid w:val="005A6549"/>
    <w:rsid w:val="005A6985"/>
    <w:rsid w:val="005A6DFC"/>
    <w:rsid w:val="005A6EA6"/>
    <w:rsid w:val="005A6F41"/>
    <w:rsid w:val="005A755A"/>
    <w:rsid w:val="005A7D8E"/>
    <w:rsid w:val="005A7E18"/>
    <w:rsid w:val="005B0538"/>
    <w:rsid w:val="005B0961"/>
    <w:rsid w:val="005B0CA7"/>
    <w:rsid w:val="005B0FBA"/>
    <w:rsid w:val="005B1281"/>
    <w:rsid w:val="005B1A5E"/>
    <w:rsid w:val="005B21DF"/>
    <w:rsid w:val="005B225E"/>
    <w:rsid w:val="005B27F6"/>
    <w:rsid w:val="005B3290"/>
    <w:rsid w:val="005B362D"/>
    <w:rsid w:val="005B3713"/>
    <w:rsid w:val="005B3CBB"/>
    <w:rsid w:val="005B4563"/>
    <w:rsid w:val="005B4568"/>
    <w:rsid w:val="005B47A4"/>
    <w:rsid w:val="005B486D"/>
    <w:rsid w:val="005B4B40"/>
    <w:rsid w:val="005B4C1B"/>
    <w:rsid w:val="005B5049"/>
    <w:rsid w:val="005B5184"/>
    <w:rsid w:val="005B5691"/>
    <w:rsid w:val="005B5C00"/>
    <w:rsid w:val="005B5D4C"/>
    <w:rsid w:val="005B5DCD"/>
    <w:rsid w:val="005B62CA"/>
    <w:rsid w:val="005B675C"/>
    <w:rsid w:val="005B6835"/>
    <w:rsid w:val="005B6A2C"/>
    <w:rsid w:val="005B7002"/>
    <w:rsid w:val="005B75DB"/>
    <w:rsid w:val="005B7881"/>
    <w:rsid w:val="005C0081"/>
    <w:rsid w:val="005C0273"/>
    <w:rsid w:val="005C030F"/>
    <w:rsid w:val="005C0406"/>
    <w:rsid w:val="005C0550"/>
    <w:rsid w:val="005C13A5"/>
    <w:rsid w:val="005C15C4"/>
    <w:rsid w:val="005C2025"/>
    <w:rsid w:val="005C228B"/>
    <w:rsid w:val="005C2BDD"/>
    <w:rsid w:val="005C355C"/>
    <w:rsid w:val="005C35AC"/>
    <w:rsid w:val="005C38D8"/>
    <w:rsid w:val="005C3EC6"/>
    <w:rsid w:val="005C3F1B"/>
    <w:rsid w:val="005C45E3"/>
    <w:rsid w:val="005C4CE6"/>
    <w:rsid w:val="005C4D3F"/>
    <w:rsid w:val="005C5017"/>
    <w:rsid w:val="005C5675"/>
    <w:rsid w:val="005C58E0"/>
    <w:rsid w:val="005C59ED"/>
    <w:rsid w:val="005C5A2D"/>
    <w:rsid w:val="005C655B"/>
    <w:rsid w:val="005C65C5"/>
    <w:rsid w:val="005C6893"/>
    <w:rsid w:val="005C6A82"/>
    <w:rsid w:val="005C6D09"/>
    <w:rsid w:val="005C704F"/>
    <w:rsid w:val="005C70B5"/>
    <w:rsid w:val="005C761C"/>
    <w:rsid w:val="005C7C19"/>
    <w:rsid w:val="005C7D62"/>
    <w:rsid w:val="005D0190"/>
    <w:rsid w:val="005D0383"/>
    <w:rsid w:val="005D0425"/>
    <w:rsid w:val="005D0674"/>
    <w:rsid w:val="005D0699"/>
    <w:rsid w:val="005D186B"/>
    <w:rsid w:val="005D1B58"/>
    <w:rsid w:val="005D1C51"/>
    <w:rsid w:val="005D217F"/>
    <w:rsid w:val="005D22B5"/>
    <w:rsid w:val="005D250A"/>
    <w:rsid w:val="005D2556"/>
    <w:rsid w:val="005D2563"/>
    <w:rsid w:val="005D2951"/>
    <w:rsid w:val="005D2CFD"/>
    <w:rsid w:val="005D327B"/>
    <w:rsid w:val="005D34C7"/>
    <w:rsid w:val="005D38E7"/>
    <w:rsid w:val="005D3917"/>
    <w:rsid w:val="005D39FE"/>
    <w:rsid w:val="005D42B4"/>
    <w:rsid w:val="005D4429"/>
    <w:rsid w:val="005D49BC"/>
    <w:rsid w:val="005D4A58"/>
    <w:rsid w:val="005D4A64"/>
    <w:rsid w:val="005D4C50"/>
    <w:rsid w:val="005D5110"/>
    <w:rsid w:val="005D551D"/>
    <w:rsid w:val="005D574C"/>
    <w:rsid w:val="005D5C00"/>
    <w:rsid w:val="005D677D"/>
    <w:rsid w:val="005D6CD0"/>
    <w:rsid w:val="005D6F09"/>
    <w:rsid w:val="005D7039"/>
    <w:rsid w:val="005D75C4"/>
    <w:rsid w:val="005D794B"/>
    <w:rsid w:val="005D7AF2"/>
    <w:rsid w:val="005D7B54"/>
    <w:rsid w:val="005D7D9E"/>
    <w:rsid w:val="005E02F4"/>
    <w:rsid w:val="005E03FD"/>
    <w:rsid w:val="005E062D"/>
    <w:rsid w:val="005E0D0A"/>
    <w:rsid w:val="005E0D80"/>
    <w:rsid w:val="005E0EB6"/>
    <w:rsid w:val="005E113B"/>
    <w:rsid w:val="005E1140"/>
    <w:rsid w:val="005E126C"/>
    <w:rsid w:val="005E15EA"/>
    <w:rsid w:val="005E1A72"/>
    <w:rsid w:val="005E1C15"/>
    <w:rsid w:val="005E1D26"/>
    <w:rsid w:val="005E1D39"/>
    <w:rsid w:val="005E1D9E"/>
    <w:rsid w:val="005E21B1"/>
    <w:rsid w:val="005E21B2"/>
    <w:rsid w:val="005E22D0"/>
    <w:rsid w:val="005E25A4"/>
    <w:rsid w:val="005E2D87"/>
    <w:rsid w:val="005E2F71"/>
    <w:rsid w:val="005E3551"/>
    <w:rsid w:val="005E35E5"/>
    <w:rsid w:val="005E3D30"/>
    <w:rsid w:val="005E3FFE"/>
    <w:rsid w:val="005E4F0C"/>
    <w:rsid w:val="005E5215"/>
    <w:rsid w:val="005E52E5"/>
    <w:rsid w:val="005E55E5"/>
    <w:rsid w:val="005E564C"/>
    <w:rsid w:val="005E5652"/>
    <w:rsid w:val="005E57A5"/>
    <w:rsid w:val="005E611A"/>
    <w:rsid w:val="005E61C9"/>
    <w:rsid w:val="005E64AA"/>
    <w:rsid w:val="005E6793"/>
    <w:rsid w:val="005E6874"/>
    <w:rsid w:val="005E6B18"/>
    <w:rsid w:val="005E6E5B"/>
    <w:rsid w:val="005E7325"/>
    <w:rsid w:val="005E7555"/>
    <w:rsid w:val="005E7926"/>
    <w:rsid w:val="005E7A55"/>
    <w:rsid w:val="005E7C9B"/>
    <w:rsid w:val="005F0046"/>
    <w:rsid w:val="005F092C"/>
    <w:rsid w:val="005F0A08"/>
    <w:rsid w:val="005F0A49"/>
    <w:rsid w:val="005F0B82"/>
    <w:rsid w:val="005F0DFF"/>
    <w:rsid w:val="005F1283"/>
    <w:rsid w:val="005F162F"/>
    <w:rsid w:val="005F17A2"/>
    <w:rsid w:val="005F19FE"/>
    <w:rsid w:val="005F1CE7"/>
    <w:rsid w:val="005F1D5F"/>
    <w:rsid w:val="005F1DBD"/>
    <w:rsid w:val="005F2321"/>
    <w:rsid w:val="005F2992"/>
    <w:rsid w:val="005F2B65"/>
    <w:rsid w:val="005F2C6E"/>
    <w:rsid w:val="005F2CD3"/>
    <w:rsid w:val="005F2D59"/>
    <w:rsid w:val="005F2F9E"/>
    <w:rsid w:val="005F3645"/>
    <w:rsid w:val="005F3964"/>
    <w:rsid w:val="005F3AA0"/>
    <w:rsid w:val="005F3F44"/>
    <w:rsid w:val="005F4141"/>
    <w:rsid w:val="005F41FF"/>
    <w:rsid w:val="005F441F"/>
    <w:rsid w:val="005F4766"/>
    <w:rsid w:val="005F48BD"/>
    <w:rsid w:val="005F4B2F"/>
    <w:rsid w:val="005F4BBD"/>
    <w:rsid w:val="005F5386"/>
    <w:rsid w:val="005F5822"/>
    <w:rsid w:val="005F5978"/>
    <w:rsid w:val="005F5B2B"/>
    <w:rsid w:val="005F5F18"/>
    <w:rsid w:val="005F62F6"/>
    <w:rsid w:val="005F65B8"/>
    <w:rsid w:val="005F69E0"/>
    <w:rsid w:val="005F726E"/>
    <w:rsid w:val="005F73D9"/>
    <w:rsid w:val="005F74C9"/>
    <w:rsid w:val="005F76E1"/>
    <w:rsid w:val="005F7BA2"/>
    <w:rsid w:val="005F7F1E"/>
    <w:rsid w:val="006000D1"/>
    <w:rsid w:val="0060041E"/>
    <w:rsid w:val="006006ED"/>
    <w:rsid w:val="006006FB"/>
    <w:rsid w:val="0060131F"/>
    <w:rsid w:val="006014A3"/>
    <w:rsid w:val="00601788"/>
    <w:rsid w:val="00601995"/>
    <w:rsid w:val="00601A00"/>
    <w:rsid w:val="00601B1B"/>
    <w:rsid w:val="006021DA"/>
    <w:rsid w:val="006032A9"/>
    <w:rsid w:val="0060385D"/>
    <w:rsid w:val="00604128"/>
    <w:rsid w:val="0060482B"/>
    <w:rsid w:val="0060497B"/>
    <w:rsid w:val="00604B65"/>
    <w:rsid w:val="00604D3E"/>
    <w:rsid w:val="00604DB3"/>
    <w:rsid w:val="0060552B"/>
    <w:rsid w:val="006059F9"/>
    <w:rsid w:val="00605B87"/>
    <w:rsid w:val="00605F4F"/>
    <w:rsid w:val="0060615F"/>
    <w:rsid w:val="006063B1"/>
    <w:rsid w:val="0060643C"/>
    <w:rsid w:val="00606470"/>
    <w:rsid w:val="0060652E"/>
    <w:rsid w:val="006067A0"/>
    <w:rsid w:val="00606E63"/>
    <w:rsid w:val="0060709B"/>
    <w:rsid w:val="006072BA"/>
    <w:rsid w:val="00607320"/>
    <w:rsid w:val="0060736B"/>
    <w:rsid w:val="0060780C"/>
    <w:rsid w:val="006078BB"/>
    <w:rsid w:val="00607DB6"/>
    <w:rsid w:val="00607E3D"/>
    <w:rsid w:val="00607EA4"/>
    <w:rsid w:val="0061069F"/>
    <w:rsid w:val="00610A21"/>
    <w:rsid w:val="00610D09"/>
    <w:rsid w:val="0061120D"/>
    <w:rsid w:val="0061134C"/>
    <w:rsid w:val="00611455"/>
    <w:rsid w:val="00611A20"/>
    <w:rsid w:val="00611AE7"/>
    <w:rsid w:val="00611C24"/>
    <w:rsid w:val="00611C9A"/>
    <w:rsid w:val="00611FA0"/>
    <w:rsid w:val="0061254E"/>
    <w:rsid w:val="006127BE"/>
    <w:rsid w:val="00612829"/>
    <w:rsid w:val="00612C23"/>
    <w:rsid w:val="00612DD8"/>
    <w:rsid w:val="00612E4B"/>
    <w:rsid w:val="00612E74"/>
    <w:rsid w:val="00613577"/>
    <w:rsid w:val="0061358B"/>
    <w:rsid w:val="00613ABE"/>
    <w:rsid w:val="00613CC5"/>
    <w:rsid w:val="00613DB4"/>
    <w:rsid w:val="00613F7C"/>
    <w:rsid w:val="0061419F"/>
    <w:rsid w:val="006147BE"/>
    <w:rsid w:val="00614C38"/>
    <w:rsid w:val="00614F41"/>
    <w:rsid w:val="00614FEA"/>
    <w:rsid w:val="006151A1"/>
    <w:rsid w:val="006154C4"/>
    <w:rsid w:val="006154D9"/>
    <w:rsid w:val="0061557B"/>
    <w:rsid w:val="00615DDB"/>
    <w:rsid w:val="0061649C"/>
    <w:rsid w:val="00616672"/>
    <w:rsid w:val="00616EEC"/>
    <w:rsid w:val="00617331"/>
    <w:rsid w:val="00617529"/>
    <w:rsid w:val="00617639"/>
    <w:rsid w:val="00617843"/>
    <w:rsid w:val="00617AB2"/>
    <w:rsid w:val="00617AB3"/>
    <w:rsid w:val="00620517"/>
    <w:rsid w:val="00620647"/>
    <w:rsid w:val="00620D23"/>
    <w:rsid w:val="00620D79"/>
    <w:rsid w:val="00620DA3"/>
    <w:rsid w:val="00621A9F"/>
    <w:rsid w:val="00621BD3"/>
    <w:rsid w:val="0062221F"/>
    <w:rsid w:val="0062232B"/>
    <w:rsid w:val="00622493"/>
    <w:rsid w:val="00622736"/>
    <w:rsid w:val="00622790"/>
    <w:rsid w:val="00622794"/>
    <w:rsid w:val="006232F4"/>
    <w:rsid w:val="00623330"/>
    <w:rsid w:val="00623702"/>
    <w:rsid w:val="006237CF"/>
    <w:rsid w:val="0062388C"/>
    <w:rsid w:val="00623AE2"/>
    <w:rsid w:val="00623B2B"/>
    <w:rsid w:val="00623B6A"/>
    <w:rsid w:val="00623DE9"/>
    <w:rsid w:val="00623E92"/>
    <w:rsid w:val="00623F64"/>
    <w:rsid w:val="006242A6"/>
    <w:rsid w:val="00624748"/>
    <w:rsid w:val="00624E41"/>
    <w:rsid w:val="00624ED4"/>
    <w:rsid w:val="00625336"/>
    <w:rsid w:val="006253CB"/>
    <w:rsid w:val="0062551D"/>
    <w:rsid w:val="006255EE"/>
    <w:rsid w:val="00625886"/>
    <w:rsid w:val="006258C6"/>
    <w:rsid w:val="00625997"/>
    <w:rsid w:val="006263C3"/>
    <w:rsid w:val="00626601"/>
    <w:rsid w:val="00626838"/>
    <w:rsid w:val="00626A4D"/>
    <w:rsid w:val="0062712E"/>
    <w:rsid w:val="00627203"/>
    <w:rsid w:val="0062789D"/>
    <w:rsid w:val="0063007B"/>
    <w:rsid w:val="0063018C"/>
    <w:rsid w:val="00630529"/>
    <w:rsid w:val="0063095A"/>
    <w:rsid w:val="00630A47"/>
    <w:rsid w:val="00630D9E"/>
    <w:rsid w:val="0063128A"/>
    <w:rsid w:val="00631666"/>
    <w:rsid w:val="00631668"/>
    <w:rsid w:val="0063167F"/>
    <w:rsid w:val="00631CC2"/>
    <w:rsid w:val="00631DFD"/>
    <w:rsid w:val="00631F23"/>
    <w:rsid w:val="0063239F"/>
    <w:rsid w:val="00632862"/>
    <w:rsid w:val="00632B26"/>
    <w:rsid w:val="00632B27"/>
    <w:rsid w:val="00632D27"/>
    <w:rsid w:val="00632F2E"/>
    <w:rsid w:val="00633037"/>
    <w:rsid w:val="0063318C"/>
    <w:rsid w:val="00633343"/>
    <w:rsid w:val="00633A87"/>
    <w:rsid w:val="00633FDF"/>
    <w:rsid w:val="00634144"/>
    <w:rsid w:val="0063424C"/>
    <w:rsid w:val="00634486"/>
    <w:rsid w:val="006344C7"/>
    <w:rsid w:val="00634693"/>
    <w:rsid w:val="00634838"/>
    <w:rsid w:val="0063500E"/>
    <w:rsid w:val="00635224"/>
    <w:rsid w:val="006353F7"/>
    <w:rsid w:val="006355AF"/>
    <w:rsid w:val="006355F9"/>
    <w:rsid w:val="00635736"/>
    <w:rsid w:val="00635A94"/>
    <w:rsid w:val="00635DBF"/>
    <w:rsid w:val="00635E42"/>
    <w:rsid w:val="006365B3"/>
    <w:rsid w:val="00636931"/>
    <w:rsid w:val="00636981"/>
    <w:rsid w:val="00637F32"/>
    <w:rsid w:val="0064000C"/>
    <w:rsid w:val="0064017B"/>
    <w:rsid w:val="006404B5"/>
    <w:rsid w:val="00640529"/>
    <w:rsid w:val="00640565"/>
    <w:rsid w:val="00640679"/>
    <w:rsid w:val="0064090E"/>
    <w:rsid w:val="00640E06"/>
    <w:rsid w:val="00640EDF"/>
    <w:rsid w:val="00641781"/>
    <w:rsid w:val="006417BF"/>
    <w:rsid w:val="00641898"/>
    <w:rsid w:val="00641BF3"/>
    <w:rsid w:val="00641F68"/>
    <w:rsid w:val="0064203D"/>
    <w:rsid w:val="00642210"/>
    <w:rsid w:val="00642475"/>
    <w:rsid w:val="00642977"/>
    <w:rsid w:val="00642AAA"/>
    <w:rsid w:val="00642CD4"/>
    <w:rsid w:val="00642EED"/>
    <w:rsid w:val="00642F54"/>
    <w:rsid w:val="0064363B"/>
    <w:rsid w:val="0064368B"/>
    <w:rsid w:val="006438B1"/>
    <w:rsid w:val="00643E8A"/>
    <w:rsid w:val="00643F32"/>
    <w:rsid w:val="006440EF"/>
    <w:rsid w:val="006443AF"/>
    <w:rsid w:val="006449ED"/>
    <w:rsid w:val="00644B19"/>
    <w:rsid w:val="00644E28"/>
    <w:rsid w:val="00644F76"/>
    <w:rsid w:val="0064527F"/>
    <w:rsid w:val="0064568E"/>
    <w:rsid w:val="00645690"/>
    <w:rsid w:val="00645800"/>
    <w:rsid w:val="00645BC6"/>
    <w:rsid w:val="00645C21"/>
    <w:rsid w:val="00645D6E"/>
    <w:rsid w:val="00645F3F"/>
    <w:rsid w:val="0064658D"/>
    <w:rsid w:val="0064665B"/>
    <w:rsid w:val="00646C0B"/>
    <w:rsid w:val="00646E92"/>
    <w:rsid w:val="00646F17"/>
    <w:rsid w:val="00647402"/>
    <w:rsid w:val="00647488"/>
    <w:rsid w:val="00647C97"/>
    <w:rsid w:val="00647E63"/>
    <w:rsid w:val="00647F6C"/>
    <w:rsid w:val="0065009A"/>
    <w:rsid w:val="00650413"/>
    <w:rsid w:val="00650A74"/>
    <w:rsid w:val="00650ED7"/>
    <w:rsid w:val="00650F69"/>
    <w:rsid w:val="006511A4"/>
    <w:rsid w:val="00651256"/>
    <w:rsid w:val="00651444"/>
    <w:rsid w:val="0065167E"/>
    <w:rsid w:val="00651E12"/>
    <w:rsid w:val="00651F17"/>
    <w:rsid w:val="0065252B"/>
    <w:rsid w:val="006529C4"/>
    <w:rsid w:val="00652A08"/>
    <w:rsid w:val="00652DFC"/>
    <w:rsid w:val="0065374F"/>
    <w:rsid w:val="00653C99"/>
    <w:rsid w:val="00653D20"/>
    <w:rsid w:val="0065453B"/>
    <w:rsid w:val="00654A6D"/>
    <w:rsid w:val="00654A82"/>
    <w:rsid w:val="00654D0A"/>
    <w:rsid w:val="00655599"/>
    <w:rsid w:val="00655A67"/>
    <w:rsid w:val="00656188"/>
    <w:rsid w:val="00656380"/>
    <w:rsid w:val="00656794"/>
    <w:rsid w:val="00656980"/>
    <w:rsid w:val="00657126"/>
    <w:rsid w:val="0065734A"/>
    <w:rsid w:val="00657A02"/>
    <w:rsid w:val="00657A6F"/>
    <w:rsid w:val="00657B27"/>
    <w:rsid w:val="00657BDE"/>
    <w:rsid w:val="00660C45"/>
    <w:rsid w:val="00660F82"/>
    <w:rsid w:val="00660FD0"/>
    <w:rsid w:val="00661009"/>
    <w:rsid w:val="0066103C"/>
    <w:rsid w:val="00661124"/>
    <w:rsid w:val="0066185C"/>
    <w:rsid w:val="00661876"/>
    <w:rsid w:val="00661BC7"/>
    <w:rsid w:val="00661F1F"/>
    <w:rsid w:val="00661FEC"/>
    <w:rsid w:val="006621E7"/>
    <w:rsid w:val="00662329"/>
    <w:rsid w:val="006625C6"/>
    <w:rsid w:val="006628B2"/>
    <w:rsid w:val="006628F5"/>
    <w:rsid w:val="00662A23"/>
    <w:rsid w:val="00662AAF"/>
    <w:rsid w:val="006632CA"/>
    <w:rsid w:val="006633E2"/>
    <w:rsid w:val="006633EB"/>
    <w:rsid w:val="006639A1"/>
    <w:rsid w:val="00663C71"/>
    <w:rsid w:val="00663CE5"/>
    <w:rsid w:val="00663E12"/>
    <w:rsid w:val="00663E7D"/>
    <w:rsid w:val="0066421D"/>
    <w:rsid w:val="00664318"/>
    <w:rsid w:val="0066433A"/>
    <w:rsid w:val="006645D9"/>
    <w:rsid w:val="0066466C"/>
    <w:rsid w:val="00664C6E"/>
    <w:rsid w:val="00664EC3"/>
    <w:rsid w:val="006650FB"/>
    <w:rsid w:val="00665566"/>
    <w:rsid w:val="00665BAE"/>
    <w:rsid w:val="00665BFF"/>
    <w:rsid w:val="00665D65"/>
    <w:rsid w:val="006662F8"/>
    <w:rsid w:val="0066652C"/>
    <w:rsid w:val="0066656F"/>
    <w:rsid w:val="00666820"/>
    <w:rsid w:val="00667290"/>
    <w:rsid w:val="00667C5C"/>
    <w:rsid w:val="00667DB9"/>
    <w:rsid w:val="00667E2F"/>
    <w:rsid w:val="00667EF3"/>
    <w:rsid w:val="00667FA9"/>
    <w:rsid w:val="00670390"/>
    <w:rsid w:val="00670411"/>
    <w:rsid w:val="0067079E"/>
    <w:rsid w:val="00670DBA"/>
    <w:rsid w:val="00670E3A"/>
    <w:rsid w:val="00671B01"/>
    <w:rsid w:val="006722FE"/>
    <w:rsid w:val="00672B82"/>
    <w:rsid w:val="00672ECB"/>
    <w:rsid w:val="00673242"/>
    <w:rsid w:val="00673C89"/>
    <w:rsid w:val="00673E61"/>
    <w:rsid w:val="00673E8F"/>
    <w:rsid w:val="00673E9F"/>
    <w:rsid w:val="00673F51"/>
    <w:rsid w:val="006741F9"/>
    <w:rsid w:val="00674EA3"/>
    <w:rsid w:val="00675364"/>
    <w:rsid w:val="006755B7"/>
    <w:rsid w:val="0067579A"/>
    <w:rsid w:val="00675B04"/>
    <w:rsid w:val="00675D30"/>
    <w:rsid w:val="006762BB"/>
    <w:rsid w:val="006763FC"/>
    <w:rsid w:val="006768D3"/>
    <w:rsid w:val="00676931"/>
    <w:rsid w:val="00676976"/>
    <w:rsid w:val="00676B08"/>
    <w:rsid w:val="00676D74"/>
    <w:rsid w:val="00676E03"/>
    <w:rsid w:val="00676E66"/>
    <w:rsid w:val="006770FE"/>
    <w:rsid w:val="0067713A"/>
    <w:rsid w:val="00677418"/>
    <w:rsid w:val="00677544"/>
    <w:rsid w:val="00677B4B"/>
    <w:rsid w:val="00677B8F"/>
    <w:rsid w:val="006805D3"/>
    <w:rsid w:val="0068086C"/>
    <w:rsid w:val="006808AB"/>
    <w:rsid w:val="00680989"/>
    <w:rsid w:val="006809F0"/>
    <w:rsid w:val="00680D27"/>
    <w:rsid w:val="00680DE3"/>
    <w:rsid w:val="00680EAE"/>
    <w:rsid w:val="00680FE0"/>
    <w:rsid w:val="006812AE"/>
    <w:rsid w:val="006816E3"/>
    <w:rsid w:val="006819FE"/>
    <w:rsid w:val="00681B11"/>
    <w:rsid w:val="00681EBF"/>
    <w:rsid w:val="0068215D"/>
    <w:rsid w:val="006823BB"/>
    <w:rsid w:val="00682FD8"/>
    <w:rsid w:val="006837B2"/>
    <w:rsid w:val="00683CEF"/>
    <w:rsid w:val="00683F87"/>
    <w:rsid w:val="00684795"/>
    <w:rsid w:val="0068487A"/>
    <w:rsid w:val="0068492F"/>
    <w:rsid w:val="006852A8"/>
    <w:rsid w:val="0068559D"/>
    <w:rsid w:val="00685A6D"/>
    <w:rsid w:val="00685C18"/>
    <w:rsid w:val="00685D64"/>
    <w:rsid w:val="00685FB9"/>
    <w:rsid w:val="00685FE1"/>
    <w:rsid w:val="006861F4"/>
    <w:rsid w:val="006864B3"/>
    <w:rsid w:val="00686C59"/>
    <w:rsid w:val="00686D00"/>
    <w:rsid w:val="00686FD0"/>
    <w:rsid w:val="0068798B"/>
    <w:rsid w:val="00687B83"/>
    <w:rsid w:val="00687E53"/>
    <w:rsid w:val="006901FF"/>
    <w:rsid w:val="00690268"/>
    <w:rsid w:val="00690443"/>
    <w:rsid w:val="00690B10"/>
    <w:rsid w:val="00690C4E"/>
    <w:rsid w:val="00690C9C"/>
    <w:rsid w:val="006911B8"/>
    <w:rsid w:val="0069137C"/>
    <w:rsid w:val="006916E8"/>
    <w:rsid w:val="006919A1"/>
    <w:rsid w:val="00691AA8"/>
    <w:rsid w:val="00691E1F"/>
    <w:rsid w:val="00692405"/>
    <w:rsid w:val="00692A01"/>
    <w:rsid w:val="00692AC5"/>
    <w:rsid w:val="00692F2C"/>
    <w:rsid w:val="0069322F"/>
    <w:rsid w:val="00693331"/>
    <w:rsid w:val="006935D5"/>
    <w:rsid w:val="006938BE"/>
    <w:rsid w:val="00693D0F"/>
    <w:rsid w:val="006943D6"/>
    <w:rsid w:val="00694601"/>
    <w:rsid w:val="00694B8F"/>
    <w:rsid w:val="00694C08"/>
    <w:rsid w:val="00694CA5"/>
    <w:rsid w:val="00694E0F"/>
    <w:rsid w:val="00694ED2"/>
    <w:rsid w:val="00695076"/>
    <w:rsid w:val="00695085"/>
    <w:rsid w:val="00695168"/>
    <w:rsid w:val="006951FC"/>
    <w:rsid w:val="0069541E"/>
    <w:rsid w:val="00695587"/>
    <w:rsid w:val="006955B9"/>
    <w:rsid w:val="006955C1"/>
    <w:rsid w:val="006957FB"/>
    <w:rsid w:val="00695E93"/>
    <w:rsid w:val="00695F39"/>
    <w:rsid w:val="006963A3"/>
    <w:rsid w:val="006963CB"/>
    <w:rsid w:val="0069696F"/>
    <w:rsid w:val="00696B1E"/>
    <w:rsid w:val="00696D07"/>
    <w:rsid w:val="00697196"/>
    <w:rsid w:val="00697581"/>
    <w:rsid w:val="006979AD"/>
    <w:rsid w:val="00697C0D"/>
    <w:rsid w:val="00697DB8"/>
    <w:rsid w:val="00697E7A"/>
    <w:rsid w:val="006A0392"/>
    <w:rsid w:val="006A05A3"/>
    <w:rsid w:val="006A0848"/>
    <w:rsid w:val="006A10BD"/>
    <w:rsid w:val="006A12DE"/>
    <w:rsid w:val="006A156A"/>
    <w:rsid w:val="006A1A1C"/>
    <w:rsid w:val="006A1A7D"/>
    <w:rsid w:val="006A1C03"/>
    <w:rsid w:val="006A1F3C"/>
    <w:rsid w:val="006A2371"/>
    <w:rsid w:val="006A24B1"/>
    <w:rsid w:val="006A26A4"/>
    <w:rsid w:val="006A2B36"/>
    <w:rsid w:val="006A30D9"/>
    <w:rsid w:val="006A359A"/>
    <w:rsid w:val="006A3778"/>
    <w:rsid w:val="006A38C0"/>
    <w:rsid w:val="006A3AA9"/>
    <w:rsid w:val="006A426F"/>
    <w:rsid w:val="006A42CD"/>
    <w:rsid w:val="006A4314"/>
    <w:rsid w:val="006A437C"/>
    <w:rsid w:val="006A437E"/>
    <w:rsid w:val="006A4631"/>
    <w:rsid w:val="006A4C81"/>
    <w:rsid w:val="006A5047"/>
    <w:rsid w:val="006A505E"/>
    <w:rsid w:val="006A52E1"/>
    <w:rsid w:val="006A5330"/>
    <w:rsid w:val="006A6432"/>
    <w:rsid w:val="006A7003"/>
    <w:rsid w:val="006A7038"/>
    <w:rsid w:val="006A717D"/>
    <w:rsid w:val="006A730A"/>
    <w:rsid w:val="006A7530"/>
    <w:rsid w:val="006A75C4"/>
    <w:rsid w:val="006A788A"/>
    <w:rsid w:val="006A7C17"/>
    <w:rsid w:val="006A7E75"/>
    <w:rsid w:val="006A7ED7"/>
    <w:rsid w:val="006B020B"/>
    <w:rsid w:val="006B09A2"/>
    <w:rsid w:val="006B18F2"/>
    <w:rsid w:val="006B20F7"/>
    <w:rsid w:val="006B21AB"/>
    <w:rsid w:val="006B21DF"/>
    <w:rsid w:val="006B24D2"/>
    <w:rsid w:val="006B2C99"/>
    <w:rsid w:val="006B2CC2"/>
    <w:rsid w:val="006B33D9"/>
    <w:rsid w:val="006B3718"/>
    <w:rsid w:val="006B3799"/>
    <w:rsid w:val="006B39EA"/>
    <w:rsid w:val="006B3B01"/>
    <w:rsid w:val="006B3C9E"/>
    <w:rsid w:val="006B3EE2"/>
    <w:rsid w:val="006B4266"/>
    <w:rsid w:val="006B4837"/>
    <w:rsid w:val="006B48D3"/>
    <w:rsid w:val="006B4EFA"/>
    <w:rsid w:val="006B5BB9"/>
    <w:rsid w:val="006B5BE3"/>
    <w:rsid w:val="006B64DD"/>
    <w:rsid w:val="006B6924"/>
    <w:rsid w:val="006B6A83"/>
    <w:rsid w:val="006B6C4B"/>
    <w:rsid w:val="006B6CC4"/>
    <w:rsid w:val="006B6FE1"/>
    <w:rsid w:val="006B733F"/>
    <w:rsid w:val="006B766A"/>
    <w:rsid w:val="006B7AB1"/>
    <w:rsid w:val="006C00C8"/>
    <w:rsid w:val="006C0455"/>
    <w:rsid w:val="006C04B5"/>
    <w:rsid w:val="006C0639"/>
    <w:rsid w:val="006C14BC"/>
    <w:rsid w:val="006C16DF"/>
    <w:rsid w:val="006C207D"/>
    <w:rsid w:val="006C2113"/>
    <w:rsid w:val="006C2552"/>
    <w:rsid w:val="006C29F1"/>
    <w:rsid w:val="006C2D01"/>
    <w:rsid w:val="006C307F"/>
    <w:rsid w:val="006C3104"/>
    <w:rsid w:val="006C3183"/>
    <w:rsid w:val="006C31A9"/>
    <w:rsid w:val="006C36D3"/>
    <w:rsid w:val="006C3BE8"/>
    <w:rsid w:val="006C494A"/>
    <w:rsid w:val="006C57AB"/>
    <w:rsid w:val="006C5802"/>
    <w:rsid w:val="006C59C7"/>
    <w:rsid w:val="006C5B13"/>
    <w:rsid w:val="006C5C0E"/>
    <w:rsid w:val="006C625C"/>
    <w:rsid w:val="006C63EE"/>
    <w:rsid w:val="006C6488"/>
    <w:rsid w:val="006C6891"/>
    <w:rsid w:val="006C6B31"/>
    <w:rsid w:val="006C6E82"/>
    <w:rsid w:val="006C6F33"/>
    <w:rsid w:val="006C7125"/>
    <w:rsid w:val="006C75A7"/>
    <w:rsid w:val="006C77F7"/>
    <w:rsid w:val="006C7827"/>
    <w:rsid w:val="006C7B07"/>
    <w:rsid w:val="006C7CB3"/>
    <w:rsid w:val="006D0132"/>
    <w:rsid w:val="006D029D"/>
    <w:rsid w:val="006D05A2"/>
    <w:rsid w:val="006D08EE"/>
    <w:rsid w:val="006D0F19"/>
    <w:rsid w:val="006D1CB1"/>
    <w:rsid w:val="006D1D25"/>
    <w:rsid w:val="006D1FB1"/>
    <w:rsid w:val="006D2410"/>
    <w:rsid w:val="006D2BB7"/>
    <w:rsid w:val="006D2C24"/>
    <w:rsid w:val="006D2F6F"/>
    <w:rsid w:val="006D31E3"/>
    <w:rsid w:val="006D3334"/>
    <w:rsid w:val="006D343A"/>
    <w:rsid w:val="006D34B2"/>
    <w:rsid w:val="006D357F"/>
    <w:rsid w:val="006D36DB"/>
    <w:rsid w:val="006D3A6E"/>
    <w:rsid w:val="006D3C7E"/>
    <w:rsid w:val="006D3EF2"/>
    <w:rsid w:val="006D3F1F"/>
    <w:rsid w:val="006D4050"/>
    <w:rsid w:val="006D4233"/>
    <w:rsid w:val="006D438C"/>
    <w:rsid w:val="006D4502"/>
    <w:rsid w:val="006D4C7B"/>
    <w:rsid w:val="006D4DE5"/>
    <w:rsid w:val="006D50B8"/>
    <w:rsid w:val="006D56B7"/>
    <w:rsid w:val="006D576F"/>
    <w:rsid w:val="006D59DA"/>
    <w:rsid w:val="006D5B26"/>
    <w:rsid w:val="006D61CA"/>
    <w:rsid w:val="006D6A98"/>
    <w:rsid w:val="006D6B95"/>
    <w:rsid w:val="006D72C0"/>
    <w:rsid w:val="006D7433"/>
    <w:rsid w:val="006D76FB"/>
    <w:rsid w:val="006D7BAD"/>
    <w:rsid w:val="006D7C16"/>
    <w:rsid w:val="006D7CE5"/>
    <w:rsid w:val="006D7DEC"/>
    <w:rsid w:val="006D7FBA"/>
    <w:rsid w:val="006E00A7"/>
    <w:rsid w:val="006E0AEB"/>
    <w:rsid w:val="006E0B99"/>
    <w:rsid w:val="006E0BF4"/>
    <w:rsid w:val="006E0C67"/>
    <w:rsid w:val="006E0D14"/>
    <w:rsid w:val="006E0D65"/>
    <w:rsid w:val="006E0E6D"/>
    <w:rsid w:val="006E0F33"/>
    <w:rsid w:val="006E1097"/>
    <w:rsid w:val="006E1960"/>
    <w:rsid w:val="006E1965"/>
    <w:rsid w:val="006E1B94"/>
    <w:rsid w:val="006E1E26"/>
    <w:rsid w:val="006E236C"/>
    <w:rsid w:val="006E2BFA"/>
    <w:rsid w:val="006E2DCE"/>
    <w:rsid w:val="006E30B1"/>
    <w:rsid w:val="006E310E"/>
    <w:rsid w:val="006E3167"/>
    <w:rsid w:val="006E366B"/>
    <w:rsid w:val="006E3AA1"/>
    <w:rsid w:val="006E3BF2"/>
    <w:rsid w:val="006E3D9B"/>
    <w:rsid w:val="006E4820"/>
    <w:rsid w:val="006E4AD9"/>
    <w:rsid w:val="006E4C05"/>
    <w:rsid w:val="006E4C4A"/>
    <w:rsid w:val="006E4EBE"/>
    <w:rsid w:val="006E5006"/>
    <w:rsid w:val="006E50A1"/>
    <w:rsid w:val="006E5607"/>
    <w:rsid w:val="006E587F"/>
    <w:rsid w:val="006E5CF4"/>
    <w:rsid w:val="006E5F06"/>
    <w:rsid w:val="006E6000"/>
    <w:rsid w:val="006E60C3"/>
    <w:rsid w:val="006E6781"/>
    <w:rsid w:val="006E69AE"/>
    <w:rsid w:val="006E6B27"/>
    <w:rsid w:val="006E6EAA"/>
    <w:rsid w:val="006E6EF6"/>
    <w:rsid w:val="006E747E"/>
    <w:rsid w:val="006F0026"/>
    <w:rsid w:val="006F03DF"/>
    <w:rsid w:val="006F07AD"/>
    <w:rsid w:val="006F08EF"/>
    <w:rsid w:val="006F0C79"/>
    <w:rsid w:val="006F10BF"/>
    <w:rsid w:val="006F1179"/>
    <w:rsid w:val="006F14CE"/>
    <w:rsid w:val="006F1504"/>
    <w:rsid w:val="006F1AA3"/>
    <w:rsid w:val="006F1B2F"/>
    <w:rsid w:val="006F1DF7"/>
    <w:rsid w:val="006F2187"/>
    <w:rsid w:val="006F2A39"/>
    <w:rsid w:val="006F30FF"/>
    <w:rsid w:val="006F36F3"/>
    <w:rsid w:val="006F3C22"/>
    <w:rsid w:val="006F4CBB"/>
    <w:rsid w:val="006F4F8F"/>
    <w:rsid w:val="006F51AE"/>
    <w:rsid w:val="006F5275"/>
    <w:rsid w:val="006F53C2"/>
    <w:rsid w:val="006F572E"/>
    <w:rsid w:val="006F5A59"/>
    <w:rsid w:val="006F5AFA"/>
    <w:rsid w:val="006F6052"/>
    <w:rsid w:val="006F6A8C"/>
    <w:rsid w:val="006F6BE0"/>
    <w:rsid w:val="006F6D35"/>
    <w:rsid w:val="006F6F60"/>
    <w:rsid w:val="006F6FC7"/>
    <w:rsid w:val="006F73F5"/>
    <w:rsid w:val="006F7442"/>
    <w:rsid w:val="006F76B7"/>
    <w:rsid w:val="006F7757"/>
    <w:rsid w:val="006F7766"/>
    <w:rsid w:val="006F7B83"/>
    <w:rsid w:val="006F7C00"/>
    <w:rsid w:val="006F7CC4"/>
    <w:rsid w:val="00700348"/>
    <w:rsid w:val="00700534"/>
    <w:rsid w:val="00700B98"/>
    <w:rsid w:val="00701A97"/>
    <w:rsid w:val="00701C16"/>
    <w:rsid w:val="00701FA9"/>
    <w:rsid w:val="0070209E"/>
    <w:rsid w:val="0070248A"/>
    <w:rsid w:val="007024A2"/>
    <w:rsid w:val="00702519"/>
    <w:rsid w:val="00702AE3"/>
    <w:rsid w:val="00702EB4"/>
    <w:rsid w:val="00703196"/>
    <w:rsid w:val="007032AA"/>
    <w:rsid w:val="00703305"/>
    <w:rsid w:val="007037A1"/>
    <w:rsid w:val="007038BE"/>
    <w:rsid w:val="00703C2A"/>
    <w:rsid w:val="00703D59"/>
    <w:rsid w:val="007041D6"/>
    <w:rsid w:val="007042C5"/>
    <w:rsid w:val="00704B17"/>
    <w:rsid w:val="00704B5C"/>
    <w:rsid w:val="00704CAC"/>
    <w:rsid w:val="00704E89"/>
    <w:rsid w:val="00704F13"/>
    <w:rsid w:val="00705082"/>
    <w:rsid w:val="007051CA"/>
    <w:rsid w:val="00705B2D"/>
    <w:rsid w:val="00705BEE"/>
    <w:rsid w:val="0070667E"/>
    <w:rsid w:val="00706757"/>
    <w:rsid w:val="007069FC"/>
    <w:rsid w:val="00706BB6"/>
    <w:rsid w:val="0070704A"/>
    <w:rsid w:val="0070712B"/>
    <w:rsid w:val="007074CD"/>
    <w:rsid w:val="00707701"/>
    <w:rsid w:val="00707806"/>
    <w:rsid w:val="00710996"/>
    <w:rsid w:val="007109B1"/>
    <w:rsid w:val="007109D2"/>
    <w:rsid w:val="00710D3F"/>
    <w:rsid w:val="00710FCF"/>
    <w:rsid w:val="0071146B"/>
    <w:rsid w:val="0071148C"/>
    <w:rsid w:val="00711603"/>
    <w:rsid w:val="00711876"/>
    <w:rsid w:val="00712130"/>
    <w:rsid w:val="007121AC"/>
    <w:rsid w:val="007121C2"/>
    <w:rsid w:val="00712306"/>
    <w:rsid w:val="0071246C"/>
    <w:rsid w:val="00712E9D"/>
    <w:rsid w:val="0071300A"/>
    <w:rsid w:val="00713D29"/>
    <w:rsid w:val="007148F3"/>
    <w:rsid w:val="00714A9C"/>
    <w:rsid w:val="007152DA"/>
    <w:rsid w:val="00715540"/>
    <w:rsid w:val="00715695"/>
    <w:rsid w:val="00715749"/>
    <w:rsid w:val="0071577C"/>
    <w:rsid w:val="00715828"/>
    <w:rsid w:val="007158D8"/>
    <w:rsid w:val="00715B78"/>
    <w:rsid w:val="00715CDD"/>
    <w:rsid w:val="00715E91"/>
    <w:rsid w:val="00716203"/>
    <w:rsid w:val="007164BD"/>
    <w:rsid w:val="007169E3"/>
    <w:rsid w:val="00716BCA"/>
    <w:rsid w:val="00716D04"/>
    <w:rsid w:val="00716EE3"/>
    <w:rsid w:val="00717291"/>
    <w:rsid w:val="007173E3"/>
    <w:rsid w:val="00717A07"/>
    <w:rsid w:val="00717C60"/>
    <w:rsid w:val="00717E4C"/>
    <w:rsid w:val="007202F0"/>
    <w:rsid w:val="00720387"/>
    <w:rsid w:val="007205E0"/>
    <w:rsid w:val="00720871"/>
    <w:rsid w:val="0072089A"/>
    <w:rsid w:val="00720DEA"/>
    <w:rsid w:val="007210F0"/>
    <w:rsid w:val="007212EA"/>
    <w:rsid w:val="00721520"/>
    <w:rsid w:val="00721540"/>
    <w:rsid w:val="0072195D"/>
    <w:rsid w:val="00721A38"/>
    <w:rsid w:val="00721AA7"/>
    <w:rsid w:val="00721ADF"/>
    <w:rsid w:val="00721DF2"/>
    <w:rsid w:val="00721E06"/>
    <w:rsid w:val="00722293"/>
    <w:rsid w:val="007223A6"/>
    <w:rsid w:val="00722875"/>
    <w:rsid w:val="007228F5"/>
    <w:rsid w:val="007229AA"/>
    <w:rsid w:val="00723217"/>
    <w:rsid w:val="00723764"/>
    <w:rsid w:val="00723A75"/>
    <w:rsid w:val="00723C7C"/>
    <w:rsid w:val="00723DBF"/>
    <w:rsid w:val="00723F88"/>
    <w:rsid w:val="00724041"/>
    <w:rsid w:val="00724146"/>
    <w:rsid w:val="0072428A"/>
    <w:rsid w:val="00724408"/>
    <w:rsid w:val="00724455"/>
    <w:rsid w:val="00724BA4"/>
    <w:rsid w:val="00724C9D"/>
    <w:rsid w:val="00724D40"/>
    <w:rsid w:val="00724DC6"/>
    <w:rsid w:val="00724F8A"/>
    <w:rsid w:val="00725211"/>
    <w:rsid w:val="007261C6"/>
    <w:rsid w:val="00726446"/>
    <w:rsid w:val="0072649E"/>
    <w:rsid w:val="007264A7"/>
    <w:rsid w:val="007268EE"/>
    <w:rsid w:val="00726DD6"/>
    <w:rsid w:val="00726EE0"/>
    <w:rsid w:val="00726FD9"/>
    <w:rsid w:val="007270DF"/>
    <w:rsid w:val="00727807"/>
    <w:rsid w:val="007278BA"/>
    <w:rsid w:val="00727A55"/>
    <w:rsid w:val="00730061"/>
    <w:rsid w:val="007301AB"/>
    <w:rsid w:val="00730661"/>
    <w:rsid w:val="00730B7F"/>
    <w:rsid w:val="00730D24"/>
    <w:rsid w:val="00730FE8"/>
    <w:rsid w:val="007311EC"/>
    <w:rsid w:val="0073132C"/>
    <w:rsid w:val="007316B1"/>
    <w:rsid w:val="00731BE5"/>
    <w:rsid w:val="0073211E"/>
    <w:rsid w:val="00732661"/>
    <w:rsid w:val="007328A7"/>
    <w:rsid w:val="00732A15"/>
    <w:rsid w:val="007332C6"/>
    <w:rsid w:val="00733424"/>
    <w:rsid w:val="0073366C"/>
    <w:rsid w:val="00733685"/>
    <w:rsid w:val="00733C94"/>
    <w:rsid w:val="00733E4B"/>
    <w:rsid w:val="00734A2B"/>
    <w:rsid w:val="00734D14"/>
    <w:rsid w:val="00734F72"/>
    <w:rsid w:val="00735365"/>
    <w:rsid w:val="00735A0A"/>
    <w:rsid w:val="00735E50"/>
    <w:rsid w:val="00735E62"/>
    <w:rsid w:val="007364A6"/>
    <w:rsid w:val="00736940"/>
    <w:rsid w:val="00736BF6"/>
    <w:rsid w:val="00736EB8"/>
    <w:rsid w:val="007373CF"/>
    <w:rsid w:val="007402E0"/>
    <w:rsid w:val="00740530"/>
    <w:rsid w:val="0074066C"/>
    <w:rsid w:val="00740AAB"/>
    <w:rsid w:val="00741475"/>
    <w:rsid w:val="0074153E"/>
    <w:rsid w:val="0074192F"/>
    <w:rsid w:val="00741AA7"/>
    <w:rsid w:val="00741D66"/>
    <w:rsid w:val="007423DF"/>
    <w:rsid w:val="0074262C"/>
    <w:rsid w:val="00742765"/>
    <w:rsid w:val="00742DA0"/>
    <w:rsid w:val="00742F03"/>
    <w:rsid w:val="00742F50"/>
    <w:rsid w:val="0074308E"/>
    <w:rsid w:val="007434F5"/>
    <w:rsid w:val="00744053"/>
    <w:rsid w:val="007441A3"/>
    <w:rsid w:val="00744424"/>
    <w:rsid w:val="007446B4"/>
    <w:rsid w:val="007448B1"/>
    <w:rsid w:val="00744E48"/>
    <w:rsid w:val="00744E4A"/>
    <w:rsid w:val="00745E1F"/>
    <w:rsid w:val="0074610F"/>
    <w:rsid w:val="00746204"/>
    <w:rsid w:val="00746716"/>
    <w:rsid w:val="00746A08"/>
    <w:rsid w:val="0074736B"/>
    <w:rsid w:val="00747611"/>
    <w:rsid w:val="00747B0A"/>
    <w:rsid w:val="00747C50"/>
    <w:rsid w:val="0075018A"/>
    <w:rsid w:val="007502F4"/>
    <w:rsid w:val="00750327"/>
    <w:rsid w:val="0075035B"/>
    <w:rsid w:val="00750796"/>
    <w:rsid w:val="00750D47"/>
    <w:rsid w:val="00750F1A"/>
    <w:rsid w:val="00750F91"/>
    <w:rsid w:val="007514E8"/>
    <w:rsid w:val="007518BE"/>
    <w:rsid w:val="00751946"/>
    <w:rsid w:val="00751CC8"/>
    <w:rsid w:val="00751CFB"/>
    <w:rsid w:val="00752056"/>
    <w:rsid w:val="00752163"/>
    <w:rsid w:val="00752314"/>
    <w:rsid w:val="00752C27"/>
    <w:rsid w:val="00752F30"/>
    <w:rsid w:val="00752F5C"/>
    <w:rsid w:val="00752F78"/>
    <w:rsid w:val="00753305"/>
    <w:rsid w:val="00753368"/>
    <w:rsid w:val="007538DE"/>
    <w:rsid w:val="00753943"/>
    <w:rsid w:val="00753D1F"/>
    <w:rsid w:val="007543AB"/>
    <w:rsid w:val="007543E2"/>
    <w:rsid w:val="007547D0"/>
    <w:rsid w:val="00754885"/>
    <w:rsid w:val="00754FDC"/>
    <w:rsid w:val="00755276"/>
    <w:rsid w:val="00755722"/>
    <w:rsid w:val="00755742"/>
    <w:rsid w:val="00755830"/>
    <w:rsid w:val="00755902"/>
    <w:rsid w:val="00755ABE"/>
    <w:rsid w:val="00755BEC"/>
    <w:rsid w:val="00756327"/>
    <w:rsid w:val="007563EC"/>
    <w:rsid w:val="00756DFC"/>
    <w:rsid w:val="00756E47"/>
    <w:rsid w:val="007577EA"/>
    <w:rsid w:val="00757895"/>
    <w:rsid w:val="00757B9F"/>
    <w:rsid w:val="00757BF4"/>
    <w:rsid w:val="00757FE4"/>
    <w:rsid w:val="0076024E"/>
    <w:rsid w:val="0076080A"/>
    <w:rsid w:val="00760F91"/>
    <w:rsid w:val="0076109D"/>
    <w:rsid w:val="007612FC"/>
    <w:rsid w:val="0076143B"/>
    <w:rsid w:val="0076147A"/>
    <w:rsid w:val="007614E9"/>
    <w:rsid w:val="00761527"/>
    <w:rsid w:val="007615F2"/>
    <w:rsid w:val="00761A82"/>
    <w:rsid w:val="00761BDE"/>
    <w:rsid w:val="00761FAE"/>
    <w:rsid w:val="0076225D"/>
    <w:rsid w:val="00762ADA"/>
    <w:rsid w:val="00762ED1"/>
    <w:rsid w:val="00762EE0"/>
    <w:rsid w:val="00762F6C"/>
    <w:rsid w:val="00762F98"/>
    <w:rsid w:val="007635F6"/>
    <w:rsid w:val="0076360C"/>
    <w:rsid w:val="00763952"/>
    <w:rsid w:val="00763E64"/>
    <w:rsid w:val="007641AE"/>
    <w:rsid w:val="0076432C"/>
    <w:rsid w:val="0076492B"/>
    <w:rsid w:val="00764D5F"/>
    <w:rsid w:val="00764DF4"/>
    <w:rsid w:val="00764F0B"/>
    <w:rsid w:val="00765077"/>
    <w:rsid w:val="00765183"/>
    <w:rsid w:val="00765CDF"/>
    <w:rsid w:val="00766843"/>
    <w:rsid w:val="0076698D"/>
    <w:rsid w:val="00766DEF"/>
    <w:rsid w:val="007675AC"/>
    <w:rsid w:val="00767878"/>
    <w:rsid w:val="00767A32"/>
    <w:rsid w:val="00767FC5"/>
    <w:rsid w:val="00770498"/>
    <w:rsid w:val="00770BB5"/>
    <w:rsid w:val="00770E4F"/>
    <w:rsid w:val="00771311"/>
    <w:rsid w:val="0077158F"/>
    <w:rsid w:val="00771890"/>
    <w:rsid w:val="00771D00"/>
    <w:rsid w:val="00771E16"/>
    <w:rsid w:val="00772170"/>
    <w:rsid w:val="007729F6"/>
    <w:rsid w:val="00772C4C"/>
    <w:rsid w:val="00772E8A"/>
    <w:rsid w:val="00773471"/>
    <w:rsid w:val="00773582"/>
    <w:rsid w:val="0077384C"/>
    <w:rsid w:val="00773E9F"/>
    <w:rsid w:val="00774020"/>
    <w:rsid w:val="007741CC"/>
    <w:rsid w:val="007746DB"/>
    <w:rsid w:val="00774D1B"/>
    <w:rsid w:val="00774FF2"/>
    <w:rsid w:val="00775140"/>
    <w:rsid w:val="007752CB"/>
    <w:rsid w:val="007753CA"/>
    <w:rsid w:val="007755A0"/>
    <w:rsid w:val="007757D6"/>
    <w:rsid w:val="00775C15"/>
    <w:rsid w:val="0077625C"/>
    <w:rsid w:val="007762D2"/>
    <w:rsid w:val="007762FC"/>
    <w:rsid w:val="00776B74"/>
    <w:rsid w:val="00777049"/>
    <w:rsid w:val="0077714F"/>
    <w:rsid w:val="007774DA"/>
    <w:rsid w:val="0077761D"/>
    <w:rsid w:val="00777778"/>
    <w:rsid w:val="00777A7F"/>
    <w:rsid w:val="00777D73"/>
    <w:rsid w:val="0078062B"/>
    <w:rsid w:val="00780944"/>
    <w:rsid w:val="00780FA6"/>
    <w:rsid w:val="00781382"/>
    <w:rsid w:val="007813A9"/>
    <w:rsid w:val="00781414"/>
    <w:rsid w:val="00781840"/>
    <w:rsid w:val="00782132"/>
    <w:rsid w:val="00782998"/>
    <w:rsid w:val="00782B2A"/>
    <w:rsid w:val="00782C29"/>
    <w:rsid w:val="00782CDF"/>
    <w:rsid w:val="00782FCC"/>
    <w:rsid w:val="007831BA"/>
    <w:rsid w:val="00783784"/>
    <w:rsid w:val="00783973"/>
    <w:rsid w:val="00783A0E"/>
    <w:rsid w:val="00783B54"/>
    <w:rsid w:val="00784043"/>
    <w:rsid w:val="00784333"/>
    <w:rsid w:val="0078492F"/>
    <w:rsid w:val="00784931"/>
    <w:rsid w:val="00784B2E"/>
    <w:rsid w:val="00784F5A"/>
    <w:rsid w:val="00786024"/>
    <w:rsid w:val="00786381"/>
    <w:rsid w:val="007865D5"/>
    <w:rsid w:val="00786770"/>
    <w:rsid w:val="00786AFB"/>
    <w:rsid w:val="00786D21"/>
    <w:rsid w:val="00786F53"/>
    <w:rsid w:val="0078714C"/>
    <w:rsid w:val="007873EB"/>
    <w:rsid w:val="00787638"/>
    <w:rsid w:val="007876B5"/>
    <w:rsid w:val="00787B12"/>
    <w:rsid w:val="00790911"/>
    <w:rsid w:val="00790D64"/>
    <w:rsid w:val="00791139"/>
    <w:rsid w:val="00791CE9"/>
    <w:rsid w:val="00791D22"/>
    <w:rsid w:val="00792280"/>
    <w:rsid w:val="007923B8"/>
    <w:rsid w:val="0079243C"/>
    <w:rsid w:val="007924D2"/>
    <w:rsid w:val="00792CD7"/>
    <w:rsid w:val="00792E0B"/>
    <w:rsid w:val="00792FC4"/>
    <w:rsid w:val="0079309A"/>
    <w:rsid w:val="00793116"/>
    <w:rsid w:val="00793498"/>
    <w:rsid w:val="0079355C"/>
    <w:rsid w:val="00793656"/>
    <w:rsid w:val="007937C8"/>
    <w:rsid w:val="00793822"/>
    <w:rsid w:val="00793870"/>
    <w:rsid w:val="00793BEA"/>
    <w:rsid w:val="00793EDA"/>
    <w:rsid w:val="0079422B"/>
    <w:rsid w:val="007945FE"/>
    <w:rsid w:val="007947B9"/>
    <w:rsid w:val="0079491E"/>
    <w:rsid w:val="00794DF2"/>
    <w:rsid w:val="007952F2"/>
    <w:rsid w:val="00795AA1"/>
    <w:rsid w:val="00795D94"/>
    <w:rsid w:val="00795EAE"/>
    <w:rsid w:val="0079611D"/>
    <w:rsid w:val="0079628E"/>
    <w:rsid w:val="00796370"/>
    <w:rsid w:val="00796417"/>
    <w:rsid w:val="007967B2"/>
    <w:rsid w:val="00796A68"/>
    <w:rsid w:val="00796AAD"/>
    <w:rsid w:val="00796F27"/>
    <w:rsid w:val="0079700B"/>
    <w:rsid w:val="0079703E"/>
    <w:rsid w:val="00797425"/>
    <w:rsid w:val="0079772D"/>
    <w:rsid w:val="007979BC"/>
    <w:rsid w:val="00797AEB"/>
    <w:rsid w:val="00797D25"/>
    <w:rsid w:val="00797DE6"/>
    <w:rsid w:val="007A00AE"/>
    <w:rsid w:val="007A08DB"/>
    <w:rsid w:val="007A09AF"/>
    <w:rsid w:val="007A0C62"/>
    <w:rsid w:val="007A100B"/>
    <w:rsid w:val="007A135E"/>
    <w:rsid w:val="007A13A9"/>
    <w:rsid w:val="007A16D1"/>
    <w:rsid w:val="007A17C8"/>
    <w:rsid w:val="007A19A7"/>
    <w:rsid w:val="007A1D2F"/>
    <w:rsid w:val="007A2023"/>
    <w:rsid w:val="007A22C0"/>
    <w:rsid w:val="007A235E"/>
    <w:rsid w:val="007A2C1E"/>
    <w:rsid w:val="007A2CB6"/>
    <w:rsid w:val="007A2D1F"/>
    <w:rsid w:val="007A2F6A"/>
    <w:rsid w:val="007A354B"/>
    <w:rsid w:val="007A37B2"/>
    <w:rsid w:val="007A3987"/>
    <w:rsid w:val="007A3B8D"/>
    <w:rsid w:val="007A3C7D"/>
    <w:rsid w:val="007A4308"/>
    <w:rsid w:val="007A430B"/>
    <w:rsid w:val="007A4597"/>
    <w:rsid w:val="007A46AC"/>
    <w:rsid w:val="007A4949"/>
    <w:rsid w:val="007A4964"/>
    <w:rsid w:val="007A4A32"/>
    <w:rsid w:val="007A4CB9"/>
    <w:rsid w:val="007A5282"/>
    <w:rsid w:val="007A5398"/>
    <w:rsid w:val="007A5872"/>
    <w:rsid w:val="007A5885"/>
    <w:rsid w:val="007A58E6"/>
    <w:rsid w:val="007A5DE3"/>
    <w:rsid w:val="007A5DE4"/>
    <w:rsid w:val="007A5E97"/>
    <w:rsid w:val="007A5F41"/>
    <w:rsid w:val="007A604E"/>
    <w:rsid w:val="007A61DC"/>
    <w:rsid w:val="007A6333"/>
    <w:rsid w:val="007A68C4"/>
    <w:rsid w:val="007A700A"/>
    <w:rsid w:val="007A7206"/>
    <w:rsid w:val="007A7351"/>
    <w:rsid w:val="007A7588"/>
    <w:rsid w:val="007A7692"/>
    <w:rsid w:val="007A7895"/>
    <w:rsid w:val="007A7A58"/>
    <w:rsid w:val="007A7CD7"/>
    <w:rsid w:val="007A7D17"/>
    <w:rsid w:val="007A7FF9"/>
    <w:rsid w:val="007B00C5"/>
    <w:rsid w:val="007B029E"/>
    <w:rsid w:val="007B0734"/>
    <w:rsid w:val="007B0B93"/>
    <w:rsid w:val="007B1094"/>
    <w:rsid w:val="007B1725"/>
    <w:rsid w:val="007B192D"/>
    <w:rsid w:val="007B1AB8"/>
    <w:rsid w:val="007B225B"/>
    <w:rsid w:val="007B23B9"/>
    <w:rsid w:val="007B2911"/>
    <w:rsid w:val="007B2A79"/>
    <w:rsid w:val="007B2D94"/>
    <w:rsid w:val="007B35C7"/>
    <w:rsid w:val="007B3C17"/>
    <w:rsid w:val="007B3C2E"/>
    <w:rsid w:val="007B3D45"/>
    <w:rsid w:val="007B47FC"/>
    <w:rsid w:val="007B4922"/>
    <w:rsid w:val="007B4EA1"/>
    <w:rsid w:val="007B51D8"/>
    <w:rsid w:val="007B53DA"/>
    <w:rsid w:val="007B553C"/>
    <w:rsid w:val="007B5613"/>
    <w:rsid w:val="007B570D"/>
    <w:rsid w:val="007B59DB"/>
    <w:rsid w:val="007B5C1F"/>
    <w:rsid w:val="007B6460"/>
    <w:rsid w:val="007B6A7E"/>
    <w:rsid w:val="007B6C31"/>
    <w:rsid w:val="007B6D55"/>
    <w:rsid w:val="007B6DEB"/>
    <w:rsid w:val="007B70E6"/>
    <w:rsid w:val="007B71B6"/>
    <w:rsid w:val="007B7D61"/>
    <w:rsid w:val="007C0214"/>
    <w:rsid w:val="007C03AF"/>
    <w:rsid w:val="007C086F"/>
    <w:rsid w:val="007C0AEA"/>
    <w:rsid w:val="007C0C0F"/>
    <w:rsid w:val="007C11E3"/>
    <w:rsid w:val="007C13F4"/>
    <w:rsid w:val="007C1B91"/>
    <w:rsid w:val="007C1EA0"/>
    <w:rsid w:val="007C1F16"/>
    <w:rsid w:val="007C2308"/>
    <w:rsid w:val="007C29F7"/>
    <w:rsid w:val="007C3AF4"/>
    <w:rsid w:val="007C41F9"/>
    <w:rsid w:val="007C45D8"/>
    <w:rsid w:val="007C476C"/>
    <w:rsid w:val="007C559F"/>
    <w:rsid w:val="007C5815"/>
    <w:rsid w:val="007C59F4"/>
    <w:rsid w:val="007C5A5B"/>
    <w:rsid w:val="007C5A7B"/>
    <w:rsid w:val="007C5FA7"/>
    <w:rsid w:val="007C5FD6"/>
    <w:rsid w:val="007C63BE"/>
    <w:rsid w:val="007C64EE"/>
    <w:rsid w:val="007C7271"/>
    <w:rsid w:val="007C774D"/>
    <w:rsid w:val="007C7864"/>
    <w:rsid w:val="007C7ADE"/>
    <w:rsid w:val="007C7B2A"/>
    <w:rsid w:val="007C7BF6"/>
    <w:rsid w:val="007D0879"/>
    <w:rsid w:val="007D08AF"/>
    <w:rsid w:val="007D0DD1"/>
    <w:rsid w:val="007D0E31"/>
    <w:rsid w:val="007D0EA6"/>
    <w:rsid w:val="007D0FDE"/>
    <w:rsid w:val="007D1106"/>
    <w:rsid w:val="007D155C"/>
    <w:rsid w:val="007D1D14"/>
    <w:rsid w:val="007D2645"/>
    <w:rsid w:val="007D266C"/>
    <w:rsid w:val="007D2D14"/>
    <w:rsid w:val="007D2E49"/>
    <w:rsid w:val="007D2FFB"/>
    <w:rsid w:val="007D309F"/>
    <w:rsid w:val="007D3FE1"/>
    <w:rsid w:val="007D42B8"/>
    <w:rsid w:val="007D4797"/>
    <w:rsid w:val="007D4880"/>
    <w:rsid w:val="007D4939"/>
    <w:rsid w:val="007D4B21"/>
    <w:rsid w:val="007D4D7B"/>
    <w:rsid w:val="007D5093"/>
    <w:rsid w:val="007D54AE"/>
    <w:rsid w:val="007D5570"/>
    <w:rsid w:val="007D5B03"/>
    <w:rsid w:val="007D5C62"/>
    <w:rsid w:val="007D5C9E"/>
    <w:rsid w:val="007D5DAF"/>
    <w:rsid w:val="007D656A"/>
    <w:rsid w:val="007D66F9"/>
    <w:rsid w:val="007D680B"/>
    <w:rsid w:val="007D728A"/>
    <w:rsid w:val="007D72DA"/>
    <w:rsid w:val="007D7316"/>
    <w:rsid w:val="007D76EE"/>
    <w:rsid w:val="007D7811"/>
    <w:rsid w:val="007D7A78"/>
    <w:rsid w:val="007E007F"/>
    <w:rsid w:val="007E0189"/>
    <w:rsid w:val="007E0253"/>
    <w:rsid w:val="007E025F"/>
    <w:rsid w:val="007E05B2"/>
    <w:rsid w:val="007E064F"/>
    <w:rsid w:val="007E0655"/>
    <w:rsid w:val="007E065F"/>
    <w:rsid w:val="007E0C4D"/>
    <w:rsid w:val="007E15B8"/>
    <w:rsid w:val="007E160F"/>
    <w:rsid w:val="007E18D5"/>
    <w:rsid w:val="007E1A69"/>
    <w:rsid w:val="007E1DF1"/>
    <w:rsid w:val="007E1E1C"/>
    <w:rsid w:val="007E20FD"/>
    <w:rsid w:val="007E21DB"/>
    <w:rsid w:val="007E27FE"/>
    <w:rsid w:val="007E2A8F"/>
    <w:rsid w:val="007E2BC1"/>
    <w:rsid w:val="007E2ED3"/>
    <w:rsid w:val="007E4079"/>
    <w:rsid w:val="007E4CBE"/>
    <w:rsid w:val="007E508E"/>
    <w:rsid w:val="007E5612"/>
    <w:rsid w:val="007E56FE"/>
    <w:rsid w:val="007E57EC"/>
    <w:rsid w:val="007E5985"/>
    <w:rsid w:val="007E5A4B"/>
    <w:rsid w:val="007E5F0A"/>
    <w:rsid w:val="007E639B"/>
    <w:rsid w:val="007E63EF"/>
    <w:rsid w:val="007E6434"/>
    <w:rsid w:val="007E6801"/>
    <w:rsid w:val="007E68AA"/>
    <w:rsid w:val="007E6B1D"/>
    <w:rsid w:val="007E79FC"/>
    <w:rsid w:val="007E7D60"/>
    <w:rsid w:val="007F01A9"/>
    <w:rsid w:val="007F0391"/>
    <w:rsid w:val="007F061B"/>
    <w:rsid w:val="007F0688"/>
    <w:rsid w:val="007F06D0"/>
    <w:rsid w:val="007F09B8"/>
    <w:rsid w:val="007F0A72"/>
    <w:rsid w:val="007F0D55"/>
    <w:rsid w:val="007F0FA9"/>
    <w:rsid w:val="007F15E4"/>
    <w:rsid w:val="007F19F6"/>
    <w:rsid w:val="007F1A19"/>
    <w:rsid w:val="007F1A8C"/>
    <w:rsid w:val="007F1F46"/>
    <w:rsid w:val="007F1F71"/>
    <w:rsid w:val="007F22E1"/>
    <w:rsid w:val="007F22F1"/>
    <w:rsid w:val="007F29E6"/>
    <w:rsid w:val="007F2B69"/>
    <w:rsid w:val="007F2BB3"/>
    <w:rsid w:val="007F2C76"/>
    <w:rsid w:val="007F2CFB"/>
    <w:rsid w:val="007F32A4"/>
    <w:rsid w:val="007F331C"/>
    <w:rsid w:val="007F346B"/>
    <w:rsid w:val="007F3BB7"/>
    <w:rsid w:val="007F3DBF"/>
    <w:rsid w:val="007F4743"/>
    <w:rsid w:val="007F4BB1"/>
    <w:rsid w:val="007F4C37"/>
    <w:rsid w:val="007F4CF8"/>
    <w:rsid w:val="007F4E48"/>
    <w:rsid w:val="007F5242"/>
    <w:rsid w:val="007F54DF"/>
    <w:rsid w:val="007F5746"/>
    <w:rsid w:val="007F5975"/>
    <w:rsid w:val="007F6599"/>
    <w:rsid w:val="007F67B7"/>
    <w:rsid w:val="007F714B"/>
    <w:rsid w:val="007F7295"/>
    <w:rsid w:val="007F76FE"/>
    <w:rsid w:val="007F771C"/>
    <w:rsid w:val="007F7A7E"/>
    <w:rsid w:val="007F7AE4"/>
    <w:rsid w:val="007F7E9D"/>
    <w:rsid w:val="0080000B"/>
    <w:rsid w:val="00800A5F"/>
    <w:rsid w:val="00800C6B"/>
    <w:rsid w:val="00800D8D"/>
    <w:rsid w:val="00801092"/>
    <w:rsid w:val="008010EF"/>
    <w:rsid w:val="00801266"/>
    <w:rsid w:val="00801A54"/>
    <w:rsid w:val="00801C57"/>
    <w:rsid w:val="00801D9F"/>
    <w:rsid w:val="00802185"/>
    <w:rsid w:val="008021CD"/>
    <w:rsid w:val="0080231F"/>
    <w:rsid w:val="00802518"/>
    <w:rsid w:val="0080251A"/>
    <w:rsid w:val="00802950"/>
    <w:rsid w:val="00802CB0"/>
    <w:rsid w:val="00802CC7"/>
    <w:rsid w:val="00803666"/>
    <w:rsid w:val="00803695"/>
    <w:rsid w:val="00803B6C"/>
    <w:rsid w:val="00803BD7"/>
    <w:rsid w:val="00804875"/>
    <w:rsid w:val="00804E24"/>
    <w:rsid w:val="00804F3F"/>
    <w:rsid w:val="008051B8"/>
    <w:rsid w:val="0080528C"/>
    <w:rsid w:val="00805658"/>
    <w:rsid w:val="00805D70"/>
    <w:rsid w:val="00805E53"/>
    <w:rsid w:val="00806B32"/>
    <w:rsid w:val="00806B70"/>
    <w:rsid w:val="00806D73"/>
    <w:rsid w:val="0080706A"/>
    <w:rsid w:val="008072B7"/>
    <w:rsid w:val="008073C4"/>
    <w:rsid w:val="008074E5"/>
    <w:rsid w:val="008078D3"/>
    <w:rsid w:val="00807957"/>
    <w:rsid w:val="00807A55"/>
    <w:rsid w:val="00811273"/>
    <w:rsid w:val="008114E0"/>
    <w:rsid w:val="00811CA2"/>
    <w:rsid w:val="008120C8"/>
    <w:rsid w:val="0081246F"/>
    <w:rsid w:val="0081290F"/>
    <w:rsid w:val="00812C63"/>
    <w:rsid w:val="00812CC8"/>
    <w:rsid w:val="00812EA5"/>
    <w:rsid w:val="00812FE5"/>
    <w:rsid w:val="0081324B"/>
    <w:rsid w:val="008138EB"/>
    <w:rsid w:val="00813B51"/>
    <w:rsid w:val="00813CD2"/>
    <w:rsid w:val="00814052"/>
    <w:rsid w:val="00814119"/>
    <w:rsid w:val="008141B2"/>
    <w:rsid w:val="00814341"/>
    <w:rsid w:val="008143BF"/>
    <w:rsid w:val="00814782"/>
    <w:rsid w:val="00814B78"/>
    <w:rsid w:val="00814BA7"/>
    <w:rsid w:val="00814C69"/>
    <w:rsid w:val="008152D8"/>
    <w:rsid w:val="008152DA"/>
    <w:rsid w:val="008154BA"/>
    <w:rsid w:val="00815649"/>
    <w:rsid w:val="00815741"/>
    <w:rsid w:val="008157ED"/>
    <w:rsid w:val="00815B43"/>
    <w:rsid w:val="00815E7A"/>
    <w:rsid w:val="0081602A"/>
    <w:rsid w:val="0081616F"/>
    <w:rsid w:val="00816224"/>
    <w:rsid w:val="008165D0"/>
    <w:rsid w:val="0081668E"/>
    <w:rsid w:val="00816AE8"/>
    <w:rsid w:val="00817296"/>
    <w:rsid w:val="0081793E"/>
    <w:rsid w:val="00817945"/>
    <w:rsid w:val="0081796D"/>
    <w:rsid w:val="008179B1"/>
    <w:rsid w:val="00817AEE"/>
    <w:rsid w:val="00817EC6"/>
    <w:rsid w:val="00817EF1"/>
    <w:rsid w:val="00820056"/>
    <w:rsid w:val="00820104"/>
    <w:rsid w:val="00820173"/>
    <w:rsid w:val="008204F0"/>
    <w:rsid w:val="00820AF4"/>
    <w:rsid w:val="00820CEC"/>
    <w:rsid w:val="00820D26"/>
    <w:rsid w:val="008213A9"/>
    <w:rsid w:val="00821581"/>
    <w:rsid w:val="008217B5"/>
    <w:rsid w:val="008217C1"/>
    <w:rsid w:val="00821891"/>
    <w:rsid w:val="00821C03"/>
    <w:rsid w:val="00821C63"/>
    <w:rsid w:val="00821D53"/>
    <w:rsid w:val="00822873"/>
    <w:rsid w:val="00822898"/>
    <w:rsid w:val="00822A11"/>
    <w:rsid w:val="00822C3C"/>
    <w:rsid w:val="00822F9D"/>
    <w:rsid w:val="0082322D"/>
    <w:rsid w:val="00823420"/>
    <w:rsid w:val="008238C8"/>
    <w:rsid w:val="008238DF"/>
    <w:rsid w:val="00823BBA"/>
    <w:rsid w:val="00823CF5"/>
    <w:rsid w:val="00823F1F"/>
    <w:rsid w:val="00823FE1"/>
    <w:rsid w:val="0082403E"/>
    <w:rsid w:val="008242CA"/>
    <w:rsid w:val="008249BB"/>
    <w:rsid w:val="00824F0C"/>
    <w:rsid w:val="00824FB4"/>
    <w:rsid w:val="00825134"/>
    <w:rsid w:val="0082547E"/>
    <w:rsid w:val="008254D6"/>
    <w:rsid w:val="00825DA5"/>
    <w:rsid w:val="00825EF1"/>
    <w:rsid w:val="0082604F"/>
    <w:rsid w:val="008262E6"/>
    <w:rsid w:val="00826615"/>
    <w:rsid w:val="00826A8A"/>
    <w:rsid w:val="00826A8F"/>
    <w:rsid w:val="00826C44"/>
    <w:rsid w:val="00826F21"/>
    <w:rsid w:val="008271D6"/>
    <w:rsid w:val="00827538"/>
    <w:rsid w:val="008275EA"/>
    <w:rsid w:val="00827602"/>
    <w:rsid w:val="008279F5"/>
    <w:rsid w:val="00827F7C"/>
    <w:rsid w:val="00830170"/>
    <w:rsid w:val="00830502"/>
    <w:rsid w:val="008306AB"/>
    <w:rsid w:val="0083084A"/>
    <w:rsid w:val="0083085C"/>
    <w:rsid w:val="00830AB6"/>
    <w:rsid w:val="00830AE8"/>
    <w:rsid w:val="00830E02"/>
    <w:rsid w:val="00830EF4"/>
    <w:rsid w:val="00831124"/>
    <w:rsid w:val="0083115C"/>
    <w:rsid w:val="0083139A"/>
    <w:rsid w:val="00831B5F"/>
    <w:rsid w:val="00831B9E"/>
    <w:rsid w:val="00831C7B"/>
    <w:rsid w:val="00831C95"/>
    <w:rsid w:val="00831E2C"/>
    <w:rsid w:val="00831E50"/>
    <w:rsid w:val="00832596"/>
    <w:rsid w:val="00832738"/>
    <w:rsid w:val="0083285A"/>
    <w:rsid w:val="00832B6F"/>
    <w:rsid w:val="00832D95"/>
    <w:rsid w:val="00832F37"/>
    <w:rsid w:val="008330BA"/>
    <w:rsid w:val="00833182"/>
    <w:rsid w:val="00833579"/>
    <w:rsid w:val="00833BD4"/>
    <w:rsid w:val="00834600"/>
    <w:rsid w:val="008349C0"/>
    <w:rsid w:val="008349C7"/>
    <w:rsid w:val="00835210"/>
    <w:rsid w:val="00835739"/>
    <w:rsid w:val="00836203"/>
    <w:rsid w:val="008366E9"/>
    <w:rsid w:val="00836CD0"/>
    <w:rsid w:val="00837023"/>
    <w:rsid w:val="008371FE"/>
    <w:rsid w:val="0083749E"/>
    <w:rsid w:val="00837A06"/>
    <w:rsid w:val="00837A10"/>
    <w:rsid w:val="00837DA8"/>
    <w:rsid w:val="008400EC"/>
    <w:rsid w:val="00840534"/>
    <w:rsid w:val="0084060C"/>
    <w:rsid w:val="008407D9"/>
    <w:rsid w:val="00840D1A"/>
    <w:rsid w:val="00840D8D"/>
    <w:rsid w:val="0084180B"/>
    <w:rsid w:val="00841A72"/>
    <w:rsid w:val="00841B8F"/>
    <w:rsid w:val="00841EE6"/>
    <w:rsid w:val="00841FA2"/>
    <w:rsid w:val="008424B6"/>
    <w:rsid w:val="0084250A"/>
    <w:rsid w:val="00842895"/>
    <w:rsid w:val="00842B3C"/>
    <w:rsid w:val="00842C84"/>
    <w:rsid w:val="00842C8F"/>
    <w:rsid w:val="00842D97"/>
    <w:rsid w:val="00842E1C"/>
    <w:rsid w:val="0084324A"/>
    <w:rsid w:val="0084331B"/>
    <w:rsid w:val="0084334B"/>
    <w:rsid w:val="00843364"/>
    <w:rsid w:val="008436D0"/>
    <w:rsid w:val="00843CD8"/>
    <w:rsid w:val="0084414E"/>
    <w:rsid w:val="008442F5"/>
    <w:rsid w:val="0084489D"/>
    <w:rsid w:val="00844A61"/>
    <w:rsid w:val="00844ADB"/>
    <w:rsid w:val="00844B04"/>
    <w:rsid w:val="00844B59"/>
    <w:rsid w:val="008451D9"/>
    <w:rsid w:val="00845365"/>
    <w:rsid w:val="008456CC"/>
    <w:rsid w:val="00845839"/>
    <w:rsid w:val="00845869"/>
    <w:rsid w:val="008458AE"/>
    <w:rsid w:val="0084592F"/>
    <w:rsid w:val="0084622F"/>
    <w:rsid w:val="00846AC1"/>
    <w:rsid w:val="00846D99"/>
    <w:rsid w:val="00846E89"/>
    <w:rsid w:val="0084718E"/>
    <w:rsid w:val="0084725B"/>
    <w:rsid w:val="00847A05"/>
    <w:rsid w:val="00850068"/>
    <w:rsid w:val="0085015E"/>
    <w:rsid w:val="008501D6"/>
    <w:rsid w:val="008503F0"/>
    <w:rsid w:val="008504BD"/>
    <w:rsid w:val="00850671"/>
    <w:rsid w:val="00850699"/>
    <w:rsid w:val="008506D8"/>
    <w:rsid w:val="00850CF6"/>
    <w:rsid w:val="00850D95"/>
    <w:rsid w:val="00851493"/>
    <w:rsid w:val="00851572"/>
    <w:rsid w:val="00851EB4"/>
    <w:rsid w:val="00852113"/>
    <w:rsid w:val="008524F1"/>
    <w:rsid w:val="00852C31"/>
    <w:rsid w:val="00852CB9"/>
    <w:rsid w:val="00852EB5"/>
    <w:rsid w:val="00852F8A"/>
    <w:rsid w:val="00853270"/>
    <w:rsid w:val="00853A25"/>
    <w:rsid w:val="00853C3B"/>
    <w:rsid w:val="00853C74"/>
    <w:rsid w:val="00853FB9"/>
    <w:rsid w:val="00853FC9"/>
    <w:rsid w:val="00854979"/>
    <w:rsid w:val="008554D0"/>
    <w:rsid w:val="00855780"/>
    <w:rsid w:val="00855A24"/>
    <w:rsid w:val="00855C18"/>
    <w:rsid w:val="00855ED3"/>
    <w:rsid w:val="00855F39"/>
    <w:rsid w:val="008561F6"/>
    <w:rsid w:val="00856393"/>
    <w:rsid w:val="0085699A"/>
    <w:rsid w:val="00856EE3"/>
    <w:rsid w:val="00857958"/>
    <w:rsid w:val="00857D2C"/>
    <w:rsid w:val="008602D0"/>
    <w:rsid w:val="008604B2"/>
    <w:rsid w:val="008606D5"/>
    <w:rsid w:val="00860D11"/>
    <w:rsid w:val="00860D87"/>
    <w:rsid w:val="00860DE0"/>
    <w:rsid w:val="00860FFF"/>
    <w:rsid w:val="0086125E"/>
    <w:rsid w:val="00861A2B"/>
    <w:rsid w:val="00861BB5"/>
    <w:rsid w:val="00861D61"/>
    <w:rsid w:val="00861D6D"/>
    <w:rsid w:val="008621B4"/>
    <w:rsid w:val="0086280D"/>
    <w:rsid w:val="00862851"/>
    <w:rsid w:val="00862A47"/>
    <w:rsid w:val="00862AC4"/>
    <w:rsid w:val="00862B78"/>
    <w:rsid w:val="008632BD"/>
    <w:rsid w:val="00863436"/>
    <w:rsid w:val="00863D6E"/>
    <w:rsid w:val="008649A3"/>
    <w:rsid w:val="008650DA"/>
    <w:rsid w:val="00865131"/>
    <w:rsid w:val="008654A8"/>
    <w:rsid w:val="00865DA4"/>
    <w:rsid w:val="00865E5D"/>
    <w:rsid w:val="0086622D"/>
    <w:rsid w:val="008669FE"/>
    <w:rsid w:val="008670CE"/>
    <w:rsid w:val="0086773F"/>
    <w:rsid w:val="0086781D"/>
    <w:rsid w:val="008678C2"/>
    <w:rsid w:val="00867B4F"/>
    <w:rsid w:val="00867BA8"/>
    <w:rsid w:val="00867BB7"/>
    <w:rsid w:val="00867F6B"/>
    <w:rsid w:val="00867FD3"/>
    <w:rsid w:val="00870395"/>
    <w:rsid w:val="008704E3"/>
    <w:rsid w:val="00870725"/>
    <w:rsid w:val="00870B7C"/>
    <w:rsid w:val="00870C3D"/>
    <w:rsid w:val="00870C58"/>
    <w:rsid w:val="00870DEF"/>
    <w:rsid w:val="00871DEB"/>
    <w:rsid w:val="00871E41"/>
    <w:rsid w:val="00872066"/>
    <w:rsid w:val="008723AA"/>
    <w:rsid w:val="0087259E"/>
    <w:rsid w:val="00872918"/>
    <w:rsid w:val="00872AAC"/>
    <w:rsid w:val="00872F5B"/>
    <w:rsid w:val="008734A6"/>
    <w:rsid w:val="00873A54"/>
    <w:rsid w:val="00873B57"/>
    <w:rsid w:val="00873CA0"/>
    <w:rsid w:val="00873FBA"/>
    <w:rsid w:val="008743D8"/>
    <w:rsid w:val="008746E6"/>
    <w:rsid w:val="00874ACE"/>
    <w:rsid w:val="00874E46"/>
    <w:rsid w:val="00874F0E"/>
    <w:rsid w:val="0087505A"/>
    <w:rsid w:val="00875112"/>
    <w:rsid w:val="00875495"/>
    <w:rsid w:val="00875533"/>
    <w:rsid w:val="00875912"/>
    <w:rsid w:val="0087598D"/>
    <w:rsid w:val="00875C3F"/>
    <w:rsid w:val="00875CDD"/>
    <w:rsid w:val="0087615F"/>
    <w:rsid w:val="00876383"/>
    <w:rsid w:val="0087668E"/>
    <w:rsid w:val="0087670C"/>
    <w:rsid w:val="00876842"/>
    <w:rsid w:val="0087686F"/>
    <w:rsid w:val="00876CC3"/>
    <w:rsid w:val="00876DD3"/>
    <w:rsid w:val="008771B8"/>
    <w:rsid w:val="00877277"/>
    <w:rsid w:val="00877675"/>
    <w:rsid w:val="008777FE"/>
    <w:rsid w:val="0087790A"/>
    <w:rsid w:val="00880039"/>
    <w:rsid w:val="008801EF"/>
    <w:rsid w:val="00880303"/>
    <w:rsid w:val="00880A16"/>
    <w:rsid w:val="00880BBF"/>
    <w:rsid w:val="00880C74"/>
    <w:rsid w:val="00880FF9"/>
    <w:rsid w:val="0088116E"/>
    <w:rsid w:val="00881874"/>
    <w:rsid w:val="00881A1F"/>
    <w:rsid w:val="00881A82"/>
    <w:rsid w:val="00881AE1"/>
    <w:rsid w:val="00881EC0"/>
    <w:rsid w:val="008822A7"/>
    <w:rsid w:val="0088279C"/>
    <w:rsid w:val="00882995"/>
    <w:rsid w:val="00883122"/>
    <w:rsid w:val="008831D6"/>
    <w:rsid w:val="008833A5"/>
    <w:rsid w:val="0088355A"/>
    <w:rsid w:val="00883F30"/>
    <w:rsid w:val="00884285"/>
    <w:rsid w:val="008842A9"/>
    <w:rsid w:val="0088435C"/>
    <w:rsid w:val="008843F1"/>
    <w:rsid w:val="0088490F"/>
    <w:rsid w:val="00884A46"/>
    <w:rsid w:val="00884CAB"/>
    <w:rsid w:val="0088505B"/>
    <w:rsid w:val="008853F4"/>
    <w:rsid w:val="00885477"/>
    <w:rsid w:val="0088592D"/>
    <w:rsid w:val="0088665A"/>
    <w:rsid w:val="00886918"/>
    <w:rsid w:val="00886997"/>
    <w:rsid w:val="00886DDD"/>
    <w:rsid w:val="00886EC0"/>
    <w:rsid w:val="00887210"/>
    <w:rsid w:val="00887513"/>
    <w:rsid w:val="0088779F"/>
    <w:rsid w:val="00887AFC"/>
    <w:rsid w:val="0089006D"/>
    <w:rsid w:val="008901A5"/>
    <w:rsid w:val="00890293"/>
    <w:rsid w:val="008907B9"/>
    <w:rsid w:val="008907E5"/>
    <w:rsid w:val="008908ED"/>
    <w:rsid w:val="00890AE0"/>
    <w:rsid w:val="00891228"/>
    <w:rsid w:val="0089125F"/>
    <w:rsid w:val="008915AB"/>
    <w:rsid w:val="008916AD"/>
    <w:rsid w:val="00891B6C"/>
    <w:rsid w:val="00891D99"/>
    <w:rsid w:val="0089253E"/>
    <w:rsid w:val="00892855"/>
    <w:rsid w:val="00892C70"/>
    <w:rsid w:val="008930E1"/>
    <w:rsid w:val="0089314F"/>
    <w:rsid w:val="008934E3"/>
    <w:rsid w:val="0089380A"/>
    <w:rsid w:val="00893E7A"/>
    <w:rsid w:val="00894331"/>
    <w:rsid w:val="00894474"/>
    <w:rsid w:val="008946FD"/>
    <w:rsid w:val="00894701"/>
    <w:rsid w:val="008952B7"/>
    <w:rsid w:val="008958A9"/>
    <w:rsid w:val="0089594C"/>
    <w:rsid w:val="00895BD2"/>
    <w:rsid w:val="00895E92"/>
    <w:rsid w:val="00896444"/>
    <w:rsid w:val="0089651C"/>
    <w:rsid w:val="00896D4F"/>
    <w:rsid w:val="00896E42"/>
    <w:rsid w:val="00896F06"/>
    <w:rsid w:val="00896FCE"/>
    <w:rsid w:val="008971E2"/>
    <w:rsid w:val="00897281"/>
    <w:rsid w:val="00897309"/>
    <w:rsid w:val="0089740F"/>
    <w:rsid w:val="00897672"/>
    <w:rsid w:val="0089768E"/>
    <w:rsid w:val="008977AD"/>
    <w:rsid w:val="0089783B"/>
    <w:rsid w:val="00897B89"/>
    <w:rsid w:val="00897E49"/>
    <w:rsid w:val="008A09EA"/>
    <w:rsid w:val="008A0BFD"/>
    <w:rsid w:val="008A0CF3"/>
    <w:rsid w:val="008A114D"/>
    <w:rsid w:val="008A1255"/>
    <w:rsid w:val="008A1298"/>
    <w:rsid w:val="008A14F0"/>
    <w:rsid w:val="008A1616"/>
    <w:rsid w:val="008A1B2A"/>
    <w:rsid w:val="008A1C1B"/>
    <w:rsid w:val="008A1C96"/>
    <w:rsid w:val="008A1D9C"/>
    <w:rsid w:val="008A22DF"/>
    <w:rsid w:val="008A2BA2"/>
    <w:rsid w:val="008A3061"/>
    <w:rsid w:val="008A325B"/>
    <w:rsid w:val="008A39CA"/>
    <w:rsid w:val="008A3CA1"/>
    <w:rsid w:val="008A3F66"/>
    <w:rsid w:val="008A43D9"/>
    <w:rsid w:val="008A4509"/>
    <w:rsid w:val="008A494C"/>
    <w:rsid w:val="008A4D82"/>
    <w:rsid w:val="008A4E76"/>
    <w:rsid w:val="008A4F17"/>
    <w:rsid w:val="008A507E"/>
    <w:rsid w:val="008A53B1"/>
    <w:rsid w:val="008A5583"/>
    <w:rsid w:val="008A590F"/>
    <w:rsid w:val="008A5CF4"/>
    <w:rsid w:val="008A5D8A"/>
    <w:rsid w:val="008A64F8"/>
    <w:rsid w:val="008A66AB"/>
    <w:rsid w:val="008A6F4A"/>
    <w:rsid w:val="008A7280"/>
    <w:rsid w:val="008A74D6"/>
    <w:rsid w:val="008A7B62"/>
    <w:rsid w:val="008A7E83"/>
    <w:rsid w:val="008B0130"/>
    <w:rsid w:val="008B0729"/>
    <w:rsid w:val="008B08F1"/>
    <w:rsid w:val="008B0F95"/>
    <w:rsid w:val="008B1166"/>
    <w:rsid w:val="008B12C0"/>
    <w:rsid w:val="008B14B4"/>
    <w:rsid w:val="008B18B8"/>
    <w:rsid w:val="008B1930"/>
    <w:rsid w:val="008B1B9D"/>
    <w:rsid w:val="008B1E6F"/>
    <w:rsid w:val="008B1E8C"/>
    <w:rsid w:val="008B2070"/>
    <w:rsid w:val="008B2534"/>
    <w:rsid w:val="008B2557"/>
    <w:rsid w:val="008B27C0"/>
    <w:rsid w:val="008B2A64"/>
    <w:rsid w:val="008B2B4B"/>
    <w:rsid w:val="008B2EBF"/>
    <w:rsid w:val="008B3274"/>
    <w:rsid w:val="008B32EE"/>
    <w:rsid w:val="008B34A3"/>
    <w:rsid w:val="008B34E7"/>
    <w:rsid w:val="008B3537"/>
    <w:rsid w:val="008B360F"/>
    <w:rsid w:val="008B36DD"/>
    <w:rsid w:val="008B3820"/>
    <w:rsid w:val="008B3869"/>
    <w:rsid w:val="008B39A6"/>
    <w:rsid w:val="008B3A93"/>
    <w:rsid w:val="008B3B65"/>
    <w:rsid w:val="008B3F9B"/>
    <w:rsid w:val="008B48C7"/>
    <w:rsid w:val="008B4928"/>
    <w:rsid w:val="008B4ADA"/>
    <w:rsid w:val="008B4E82"/>
    <w:rsid w:val="008B4F69"/>
    <w:rsid w:val="008B4FF3"/>
    <w:rsid w:val="008B534E"/>
    <w:rsid w:val="008B53AD"/>
    <w:rsid w:val="008B5DE2"/>
    <w:rsid w:val="008B6013"/>
    <w:rsid w:val="008B6411"/>
    <w:rsid w:val="008B69E0"/>
    <w:rsid w:val="008B69E6"/>
    <w:rsid w:val="008B6B81"/>
    <w:rsid w:val="008B6E7F"/>
    <w:rsid w:val="008B6FCA"/>
    <w:rsid w:val="008B7329"/>
    <w:rsid w:val="008B74F8"/>
    <w:rsid w:val="008B7772"/>
    <w:rsid w:val="008C0167"/>
    <w:rsid w:val="008C0C85"/>
    <w:rsid w:val="008C0EEC"/>
    <w:rsid w:val="008C182A"/>
    <w:rsid w:val="008C188F"/>
    <w:rsid w:val="008C1A9B"/>
    <w:rsid w:val="008C1E97"/>
    <w:rsid w:val="008C21B1"/>
    <w:rsid w:val="008C22B8"/>
    <w:rsid w:val="008C22D7"/>
    <w:rsid w:val="008C257B"/>
    <w:rsid w:val="008C2AC9"/>
    <w:rsid w:val="008C2BF1"/>
    <w:rsid w:val="008C38B8"/>
    <w:rsid w:val="008C421F"/>
    <w:rsid w:val="008C45B9"/>
    <w:rsid w:val="008C501F"/>
    <w:rsid w:val="008C50FE"/>
    <w:rsid w:val="008C50FF"/>
    <w:rsid w:val="008C53EB"/>
    <w:rsid w:val="008C547C"/>
    <w:rsid w:val="008C58FC"/>
    <w:rsid w:val="008C5A59"/>
    <w:rsid w:val="008C5F2F"/>
    <w:rsid w:val="008C61DC"/>
    <w:rsid w:val="008C61E0"/>
    <w:rsid w:val="008C63B9"/>
    <w:rsid w:val="008C657E"/>
    <w:rsid w:val="008C6D7D"/>
    <w:rsid w:val="008C706E"/>
    <w:rsid w:val="008C7340"/>
    <w:rsid w:val="008C7966"/>
    <w:rsid w:val="008C7E0A"/>
    <w:rsid w:val="008C7F3A"/>
    <w:rsid w:val="008D03DB"/>
    <w:rsid w:val="008D0A0B"/>
    <w:rsid w:val="008D103C"/>
    <w:rsid w:val="008D1184"/>
    <w:rsid w:val="008D1228"/>
    <w:rsid w:val="008D128A"/>
    <w:rsid w:val="008D1661"/>
    <w:rsid w:val="008D1728"/>
    <w:rsid w:val="008D211A"/>
    <w:rsid w:val="008D2A02"/>
    <w:rsid w:val="008D2F81"/>
    <w:rsid w:val="008D32EC"/>
    <w:rsid w:val="008D3501"/>
    <w:rsid w:val="008D3655"/>
    <w:rsid w:val="008D40B6"/>
    <w:rsid w:val="008D41D4"/>
    <w:rsid w:val="008D4299"/>
    <w:rsid w:val="008D4379"/>
    <w:rsid w:val="008D497E"/>
    <w:rsid w:val="008D49C7"/>
    <w:rsid w:val="008D4A25"/>
    <w:rsid w:val="008D4A44"/>
    <w:rsid w:val="008D4A5D"/>
    <w:rsid w:val="008D4F0E"/>
    <w:rsid w:val="008D5361"/>
    <w:rsid w:val="008D577B"/>
    <w:rsid w:val="008D5AAC"/>
    <w:rsid w:val="008D5AC5"/>
    <w:rsid w:val="008D5D52"/>
    <w:rsid w:val="008D5E2D"/>
    <w:rsid w:val="008D5E34"/>
    <w:rsid w:val="008D5F26"/>
    <w:rsid w:val="008D60FA"/>
    <w:rsid w:val="008D619A"/>
    <w:rsid w:val="008D65E1"/>
    <w:rsid w:val="008D680C"/>
    <w:rsid w:val="008D6C11"/>
    <w:rsid w:val="008D7147"/>
    <w:rsid w:val="008D7377"/>
    <w:rsid w:val="008D7690"/>
    <w:rsid w:val="008D7885"/>
    <w:rsid w:val="008D79FC"/>
    <w:rsid w:val="008D7BD8"/>
    <w:rsid w:val="008E02C1"/>
    <w:rsid w:val="008E069C"/>
    <w:rsid w:val="008E0841"/>
    <w:rsid w:val="008E0D4C"/>
    <w:rsid w:val="008E0FE5"/>
    <w:rsid w:val="008E117E"/>
    <w:rsid w:val="008E169C"/>
    <w:rsid w:val="008E1DAB"/>
    <w:rsid w:val="008E1DB8"/>
    <w:rsid w:val="008E2746"/>
    <w:rsid w:val="008E2836"/>
    <w:rsid w:val="008E2870"/>
    <w:rsid w:val="008E2C42"/>
    <w:rsid w:val="008E3192"/>
    <w:rsid w:val="008E34A0"/>
    <w:rsid w:val="008E38AE"/>
    <w:rsid w:val="008E38EB"/>
    <w:rsid w:val="008E3AD4"/>
    <w:rsid w:val="008E3D64"/>
    <w:rsid w:val="008E3F82"/>
    <w:rsid w:val="008E42B4"/>
    <w:rsid w:val="008E448C"/>
    <w:rsid w:val="008E44EA"/>
    <w:rsid w:val="008E503E"/>
    <w:rsid w:val="008E504E"/>
    <w:rsid w:val="008E52B2"/>
    <w:rsid w:val="008E54D4"/>
    <w:rsid w:val="008E5D1D"/>
    <w:rsid w:val="008E5D21"/>
    <w:rsid w:val="008E6000"/>
    <w:rsid w:val="008E6488"/>
    <w:rsid w:val="008E6BD8"/>
    <w:rsid w:val="008E750D"/>
    <w:rsid w:val="008E78D2"/>
    <w:rsid w:val="008E7953"/>
    <w:rsid w:val="008E79AF"/>
    <w:rsid w:val="008E7AA9"/>
    <w:rsid w:val="008E7B1D"/>
    <w:rsid w:val="008E7B4D"/>
    <w:rsid w:val="008E7C10"/>
    <w:rsid w:val="008E7CDB"/>
    <w:rsid w:val="008F07DC"/>
    <w:rsid w:val="008F0BA7"/>
    <w:rsid w:val="008F0F5C"/>
    <w:rsid w:val="008F0FC7"/>
    <w:rsid w:val="008F1504"/>
    <w:rsid w:val="008F1524"/>
    <w:rsid w:val="008F187F"/>
    <w:rsid w:val="008F1E74"/>
    <w:rsid w:val="008F2785"/>
    <w:rsid w:val="008F2980"/>
    <w:rsid w:val="008F2AAD"/>
    <w:rsid w:val="008F2D77"/>
    <w:rsid w:val="008F2DB7"/>
    <w:rsid w:val="008F302F"/>
    <w:rsid w:val="008F3BAE"/>
    <w:rsid w:val="008F418C"/>
    <w:rsid w:val="008F4401"/>
    <w:rsid w:val="008F47F6"/>
    <w:rsid w:val="008F48C1"/>
    <w:rsid w:val="008F4BC7"/>
    <w:rsid w:val="008F4C4C"/>
    <w:rsid w:val="008F5048"/>
    <w:rsid w:val="008F533A"/>
    <w:rsid w:val="008F5530"/>
    <w:rsid w:val="008F59AA"/>
    <w:rsid w:val="008F5BC2"/>
    <w:rsid w:val="008F6377"/>
    <w:rsid w:val="008F64D0"/>
    <w:rsid w:val="008F65E8"/>
    <w:rsid w:val="008F6EE1"/>
    <w:rsid w:val="008F737A"/>
    <w:rsid w:val="008F750B"/>
    <w:rsid w:val="008F7C64"/>
    <w:rsid w:val="008F7E9A"/>
    <w:rsid w:val="00900081"/>
    <w:rsid w:val="0090042E"/>
    <w:rsid w:val="0090045B"/>
    <w:rsid w:val="00900708"/>
    <w:rsid w:val="0090071C"/>
    <w:rsid w:val="00900D8D"/>
    <w:rsid w:val="009010DB"/>
    <w:rsid w:val="00901372"/>
    <w:rsid w:val="009014A4"/>
    <w:rsid w:val="009015F8"/>
    <w:rsid w:val="00901D59"/>
    <w:rsid w:val="00901DDA"/>
    <w:rsid w:val="00901F47"/>
    <w:rsid w:val="009022CE"/>
    <w:rsid w:val="009029FE"/>
    <w:rsid w:val="00902A3B"/>
    <w:rsid w:val="00902C9D"/>
    <w:rsid w:val="00902D30"/>
    <w:rsid w:val="00902E54"/>
    <w:rsid w:val="00902FC6"/>
    <w:rsid w:val="009035D2"/>
    <w:rsid w:val="00903780"/>
    <w:rsid w:val="009039A8"/>
    <w:rsid w:val="00903FC8"/>
    <w:rsid w:val="009042B0"/>
    <w:rsid w:val="00904653"/>
    <w:rsid w:val="00904A36"/>
    <w:rsid w:val="00904E2C"/>
    <w:rsid w:val="00905373"/>
    <w:rsid w:val="0090597D"/>
    <w:rsid w:val="00905D4B"/>
    <w:rsid w:val="009062AB"/>
    <w:rsid w:val="00906442"/>
    <w:rsid w:val="009066C1"/>
    <w:rsid w:val="00906D56"/>
    <w:rsid w:val="009075FF"/>
    <w:rsid w:val="009079D9"/>
    <w:rsid w:val="009104CA"/>
    <w:rsid w:val="009105E8"/>
    <w:rsid w:val="0091062F"/>
    <w:rsid w:val="009109C4"/>
    <w:rsid w:val="00910CB7"/>
    <w:rsid w:val="00910E2B"/>
    <w:rsid w:val="00911209"/>
    <w:rsid w:val="00911718"/>
    <w:rsid w:val="0091177C"/>
    <w:rsid w:val="00911C70"/>
    <w:rsid w:val="00911D85"/>
    <w:rsid w:val="00911E56"/>
    <w:rsid w:val="0091253C"/>
    <w:rsid w:val="0091256A"/>
    <w:rsid w:val="00912796"/>
    <w:rsid w:val="009127E2"/>
    <w:rsid w:val="00912B25"/>
    <w:rsid w:val="00913289"/>
    <w:rsid w:val="0091399B"/>
    <w:rsid w:val="00913EF5"/>
    <w:rsid w:val="00913F42"/>
    <w:rsid w:val="00914187"/>
    <w:rsid w:val="009147B6"/>
    <w:rsid w:val="00914FD4"/>
    <w:rsid w:val="00915292"/>
    <w:rsid w:val="00915371"/>
    <w:rsid w:val="009158C2"/>
    <w:rsid w:val="00915BE9"/>
    <w:rsid w:val="00915CAD"/>
    <w:rsid w:val="00915F46"/>
    <w:rsid w:val="00916066"/>
    <w:rsid w:val="00916139"/>
    <w:rsid w:val="00916384"/>
    <w:rsid w:val="00916649"/>
    <w:rsid w:val="00916B5B"/>
    <w:rsid w:val="00916E22"/>
    <w:rsid w:val="00916E28"/>
    <w:rsid w:val="00916F2D"/>
    <w:rsid w:val="00917121"/>
    <w:rsid w:val="009174CF"/>
    <w:rsid w:val="009177A0"/>
    <w:rsid w:val="0091790D"/>
    <w:rsid w:val="00917C36"/>
    <w:rsid w:val="0092007C"/>
    <w:rsid w:val="00920458"/>
    <w:rsid w:val="00920460"/>
    <w:rsid w:val="009207B1"/>
    <w:rsid w:val="00920F03"/>
    <w:rsid w:val="00920F8A"/>
    <w:rsid w:val="00921283"/>
    <w:rsid w:val="009213AE"/>
    <w:rsid w:val="00921696"/>
    <w:rsid w:val="0092193E"/>
    <w:rsid w:val="009219F5"/>
    <w:rsid w:val="00921EB6"/>
    <w:rsid w:val="009224E4"/>
    <w:rsid w:val="00922A49"/>
    <w:rsid w:val="00922C56"/>
    <w:rsid w:val="00922CDB"/>
    <w:rsid w:val="00922DB3"/>
    <w:rsid w:val="00923873"/>
    <w:rsid w:val="00923A31"/>
    <w:rsid w:val="0092444C"/>
    <w:rsid w:val="009245D7"/>
    <w:rsid w:val="00924EC3"/>
    <w:rsid w:val="00925251"/>
    <w:rsid w:val="00925259"/>
    <w:rsid w:val="00925306"/>
    <w:rsid w:val="009255C2"/>
    <w:rsid w:val="00925904"/>
    <w:rsid w:val="009259D7"/>
    <w:rsid w:val="00925B0A"/>
    <w:rsid w:val="00925BA1"/>
    <w:rsid w:val="00925E1C"/>
    <w:rsid w:val="00925F59"/>
    <w:rsid w:val="00926590"/>
    <w:rsid w:val="0092671C"/>
    <w:rsid w:val="00926884"/>
    <w:rsid w:val="00926D56"/>
    <w:rsid w:val="0092734A"/>
    <w:rsid w:val="00927501"/>
    <w:rsid w:val="009278F4"/>
    <w:rsid w:val="00927977"/>
    <w:rsid w:val="00927D21"/>
    <w:rsid w:val="00927D23"/>
    <w:rsid w:val="00927DE5"/>
    <w:rsid w:val="0093067B"/>
    <w:rsid w:val="00930984"/>
    <w:rsid w:val="00931384"/>
    <w:rsid w:val="00931843"/>
    <w:rsid w:val="00931A2C"/>
    <w:rsid w:val="00931CE7"/>
    <w:rsid w:val="009324AB"/>
    <w:rsid w:val="009324B8"/>
    <w:rsid w:val="009326FB"/>
    <w:rsid w:val="0093291C"/>
    <w:rsid w:val="009330F1"/>
    <w:rsid w:val="00933588"/>
    <w:rsid w:val="00933624"/>
    <w:rsid w:val="009337EC"/>
    <w:rsid w:val="009339A3"/>
    <w:rsid w:val="00933D71"/>
    <w:rsid w:val="00933FAC"/>
    <w:rsid w:val="00934102"/>
    <w:rsid w:val="009345CF"/>
    <w:rsid w:val="00934781"/>
    <w:rsid w:val="0093510B"/>
    <w:rsid w:val="009352CE"/>
    <w:rsid w:val="009356F0"/>
    <w:rsid w:val="009358FA"/>
    <w:rsid w:val="00935DEA"/>
    <w:rsid w:val="00935F19"/>
    <w:rsid w:val="00936961"/>
    <w:rsid w:val="00936BC3"/>
    <w:rsid w:val="00936BD3"/>
    <w:rsid w:val="00936F8A"/>
    <w:rsid w:val="00937169"/>
    <w:rsid w:val="00937639"/>
    <w:rsid w:val="009376C7"/>
    <w:rsid w:val="00937D54"/>
    <w:rsid w:val="00937EF7"/>
    <w:rsid w:val="0094008E"/>
    <w:rsid w:val="00940289"/>
    <w:rsid w:val="00940363"/>
    <w:rsid w:val="009405E2"/>
    <w:rsid w:val="00940808"/>
    <w:rsid w:val="00941185"/>
    <w:rsid w:val="009414D8"/>
    <w:rsid w:val="00941C76"/>
    <w:rsid w:val="009420E6"/>
    <w:rsid w:val="0094278B"/>
    <w:rsid w:val="00942CB5"/>
    <w:rsid w:val="00942D88"/>
    <w:rsid w:val="00942EE0"/>
    <w:rsid w:val="0094303D"/>
    <w:rsid w:val="009432EC"/>
    <w:rsid w:val="009434FA"/>
    <w:rsid w:val="0094370B"/>
    <w:rsid w:val="00943828"/>
    <w:rsid w:val="009439FD"/>
    <w:rsid w:val="00943B07"/>
    <w:rsid w:val="00943C55"/>
    <w:rsid w:val="00943CD9"/>
    <w:rsid w:val="00943FAF"/>
    <w:rsid w:val="00944159"/>
    <w:rsid w:val="009445B5"/>
    <w:rsid w:val="009446C9"/>
    <w:rsid w:val="00944AAB"/>
    <w:rsid w:val="00944DED"/>
    <w:rsid w:val="00945218"/>
    <w:rsid w:val="00945257"/>
    <w:rsid w:val="00945A89"/>
    <w:rsid w:val="00945C56"/>
    <w:rsid w:val="00945F72"/>
    <w:rsid w:val="00946075"/>
    <w:rsid w:val="0094680A"/>
    <w:rsid w:val="0094698C"/>
    <w:rsid w:val="00946A52"/>
    <w:rsid w:val="00946B03"/>
    <w:rsid w:val="00946CC9"/>
    <w:rsid w:val="00946F6D"/>
    <w:rsid w:val="00946FFD"/>
    <w:rsid w:val="00947983"/>
    <w:rsid w:val="00950741"/>
    <w:rsid w:val="00950B48"/>
    <w:rsid w:val="00950C83"/>
    <w:rsid w:val="0095106A"/>
    <w:rsid w:val="0095123E"/>
    <w:rsid w:val="009515BB"/>
    <w:rsid w:val="009517BD"/>
    <w:rsid w:val="00951B58"/>
    <w:rsid w:val="00951C0E"/>
    <w:rsid w:val="00951D5B"/>
    <w:rsid w:val="00951DDE"/>
    <w:rsid w:val="0095223E"/>
    <w:rsid w:val="00952506"/>
    <w:rsid w:val="00952725"/>
    <w:rsid w:val="00952A6E"/>
    <w:rsid w:val="00952CDE"/>
    <w:rsid w:val="0095329A"/>
    <w:rsid w:val="0095343E"/>
    <w:rsid w:val="0095349A"/>
    <w:rsid w:val="009534B2"/>
    <w:rsid w:val="009538F8"/>
    <w:rsid w:val="00953A0E"/>
    <w:rsid w:val="00953E10"/>
    <w:rsid w:val="00953EB2"/>
    <w:rsid w:val="00954123"/>
    <w:rsid w:val="00954174"/>
    <w:rsid w:val="009544DA"/>
    <w:rsid w:val="00954564"/>
    <w:rsid w:val="0095488E"/>
    <w:rsid w:val="00954C79"/>
    <w:rsid w:val="00954D73"/>
    <w:rsid w:val="00955188"/>
    <w:rsid w:val="00955D6B"/>
    <w:rsid w:val="00955D7A"/>
    <w:rsid w:val="00955DAC"/>
    <w:rsid w:val="00956113"/>
    <w:rsid w:val="0095619A"/>
    <w:rsid w:val="0095633A"/>
    <w:rsid w:val="00956EFD"/>
    <w:rsid w:val="00957039"/>
    <w:rsid w:val="00957257"/>
    <w:rsid w:val="00957346"/>
    <w:rsid w:val="009574BE"/>
    <w:rsid w:val="00957844"/>
    <w:rsid w:val="00957B67"/>
    <w:rsid w:val="00957E94"/>
    <w:rsid w:val="009602CB"/>
    <w:rsid w:val="009602E4"/>
    <w:rsid w:val="00960582"/>
    <w:rsid w:val="00960636"/>
    <w:rsid w:val="0096067C"/>
    <w:rsid w:val="009608BB"/>
    <w:rsid w:val="00960956"/>
    <w:rsid w:val="00960B78"/>
    <w:rsid w:val="00960E37"/>
    <w:rsid w:val="00960FE1"/>
    <w:rsid w:val="0096147D"/>
    <w:rsid w:val="00961B1B"/>
    <w:rsid w:val="00961FA6"/>
    <w:rsid w:val="00961FDB"/>
    <w:rsid w:val="009621ED"/>
    <w:rsid w:val="0096245D"/>
    <w:rsid w:val="00962C30"/>
    <w:rsid w:val="00962DDA"/>
    <w:rsid w:val="00962DF1"/>
    <w:rsid w:val="00962EFF"/>
    <w:rsid w:val="009635A9"/>
    <w:rsid w:val="009636C8"/>
    <w:rsid w:val="0096374A"/>
    <w:rsid w:val="00963E42"/>
    <w:rsid w:val="00964097"/>
    <w:rsid w:val="009642D2"/>
    <w:rsid w:val="00964476"/>
    <w:rsid w:val="009647A8"/>
    <w:rsid w:val="009647F2"/>
    <w:rsid w:val="00965B7E"/>
    <w:rsid w:val="00965CB3"/>
    <w:rsid w:val="00965E3F"/>
    <w:rsid w:val="009664FE"/>
    <w:rsid w:val="009665E2"/>
    <w:rsid w:val="00966B56"/>
    <w:rsid w:val="00966D42"/>
    <w:rsid w:val="00966D55"/>
    <w:rsid w:val="00966FE9"/>
    <w:rsid w:val="009670A1"/>
    <w:rsid w:val="00967113"/>
    <w:rsid w:val="00967440"/>
    <w:rsid w:val="00967627"/>
    <w:rsid w:val="0096775C"/>
    <w:rsid w:val="00967BEE"/>
    <w:rsid w:val="00970584"/>
    <w:rsid w:val="0097062D"/>
    <w:rsid w:val="0097075D"/>
    <w:rsid w:val="00970BC0"/>
    <w:rsid w:val="00970D85"/>
    <w:rsid w:val="00970F50"/>
    <w:rsid w:val="0097124B"/>
    <w:rsid w:val="00971332"/>
    <w:rsid w:val="00971743"/>
    <w:rsid w:val="00971A4B"/>
    <w:rsid w:val="00971B19"/>
    <w:rsid w:val="00971B9F"/>
    <w:rsid w:val="00971C3C"/>
    <w:rsid w:val="00971E8B"/>
    <w:rsid w:val="009724B9"/>
    <w:rsid w:val="00972D90"/>
    <w:rsid w:val="00972E00"/>
    <w:rsid w:val="00972E87"/>
    <w:rsid w:val="00973449"/>
    <w:rsid w:val="00973556"/>
    <w:rsid w:val="00974058"/>
    <w:rsid w:val="0097449A"/>
    <w:rsid w:val="009744B5"/>
    <w:rsid w:val="00974DF0"/>
    <w:rsid w:val="00975416"/>
    <w:rsid w:val="0097578D"/>
    <w:rsid w:val="0097585B"/>
    <w:rsid w:val="00975990"/>
    <w:rsid w:val="0097673E"/>
    <w:rsid w:val="0097684B"/>
    <w:rsid w:val="00976977"/>
    <w:rsid w:val="00976E91"/>
    <w:rsid w:val="00977224"/>
    <w:rsid w:val="009776AB"/>
    <w:rsid w:val="009777CA"/>
    <w:rsid w:val="009778DD"/>
    <w:rsid w:val="00977D13"/>
    <w:rsid w:val="00980231"/>
    <w:rsid w:val="009803CD"/>
    <w:rsid w:val="009804BD"/>
    <w:rsid w:val="00980704"/>
    <w:rsid w:val="00980779"/>
    <w:rsid w:val="00980829"/>
    <w:rsid w:val="00980834"/>
    <w:rsid w:val="00980850"/>
    <w:rsid w:val="00980CC2"/>
    <w:rsid w:val="00980CDB"/>
    <w:rsid w:val="0098108B"/>
    <w:rsid w:val="0098137A"/>
    <w:rsid w:val="00981D86"/>
    <w:rsid w:val="009821BF"/>
    <w:rsid w:val="0098292D"/>
    <w:rsid w:val="00982ACF"/>
    <w:rsid w:val="00982D3C"/>
    <w:rsid w:val="009830CE"/>
    <w:rsid w:val="00983245"/>
    <w:rsid w:val="00983871"/>
    <w:rsid w:val="00984286"/>
    <w:rsid w:val="00984463"/>
    <w:rsid w:val="00984A24"/>
    <w:rsid w:val="00984DDC"/>
    <w:rsid w:val="00984FFC"/>
    <w:rsid w:val="009850DB"/>
    <w:rsid w:val="009852AC"/>
    <w:rsid w:val="00985470"/>
    <w:rsid w:val="00985852"/>
    <w:rsid w:val="009858C3"/>
    <w:rsid w:val="00985949"/>
    <w:rsid w:val="009859EC"/>
    <w:rsid w:val="00985C5E"/>
    <w:rsid w:val="00985C6C"/>
    <w:rsid w:val="009860B3"/>
    <w:rsid w:val="009861DC"/>
    <w:rsid w:val="009862F7"/>
    <w:rsid w:val="00986313"/>
    <w:rsid w:val="00986343"/>
    <w:rsid w:val="00986A19"/>
    <w:rsid w:val="00986B24"/>
    <w:rsid w:val="009873AA"/>
    <w:rsid w:val="00987416"/>
    <w:rsid w:val="00987865"/>
    <w:rsid w:val="00987921"/>
    <w:rsid w:val="00987D45"/>
    <w:rsid w:val="00987FBC"/>
    <w:rsid w:val="00990208"/>
    <w:rsid w:val="00990F54"/>
    <w:rsid w:val="009914E8"/>
    <w:rsid w:val="0099154D"/>
    <w:rsid w:val="00991670"/>
    <w:rsid w:val="009916E5"/>
    <w:rsid w:val="0099173E"/>
    <w:rsid w:val="00991903"/>
    <w:rsid w:val="009919F3"/>
    <w:rsid w:val="00992617"/>
    <w:rsid w:val="009929FD"/>
    <w:rsid w:val="00992B67"/>
    <w:rsid w:val="0099307A"/>
    <w:rsid w:val="00993388"/>
    <w:rsid w:val="009933CC"/>
    <w:rsid w:val="00993475"/>
    <w:rsid w:val="00993A61"/>
    <w:rsid w:val="00993AB7"/>
    <w:rsid w:val="00993B93"/>
    <w:rsid w:val="009940CC"/>
    <w:rsid w:val="009947D6"/>
    <w:rsid w:val="00994877"/>
    <w:rsid w:val="00994F0D"/>
    <w:rsid w:val="00995023"/>
    <w:rsid w:val="0099521A"/>
    <w:rsid w:val="009957EF"/>
    <w:rsid w:val="009959B7"/>
    <w:rsid w:val="00995C5B"/>
    <w:rsid w:val="00995D49"/>
    <w:rsid w:val="00996011"/>
    <w:rsid w:val="00996083"/>
    <w:rsid w:val="00996143"/>
    <w:rsid w:val="009963A8"/>
    <w:rsid w:val="0099681E"/>
    <w:rsid w:val="00996A95"/>
    <w:rsid w:val="00996E74"/>
    <w:rsid w:val="00997097"/>
    <w:rsid w:val="009970C3"/>
    <w:rsid w:val="00997339"/>
    <w:rsid w:val="009976EF"/>
    <w:rsid w:val="00997A73"/>
    <w:rsid w:val="00997A8E"/>
    <w:rsid w:val="00997C53"/>
    <w:rsid w:val="00997D00"/>
    <w:rsid w:val="00997DEB"/>
    <w:rsid w:val="00997DFD"/>
    <w:rsid w:val="009A020E"/>
    <w:rsid w:val="009A03AE"/>
    <w:rsid w:val="009A0528"/>
    <w:rsid w:val="009A07FA"/>
    <w:rsid w:val="009A08C4"/>
    <w:rsid w:val="009A09BC"/>
    <w:rsid w:val="009A0E3B"/>
    <w:rsid w:val="009A1527"/>
    <w:rsid w:val="009A15C4"/>
    <w:rsid w:val="009A1A77"/>
    <w:rsid w:val="009A1FA3"/>
    <w:rsid w:val="009A200A"/>
    <w:rsid w:val="009A22CA"/>
    <w:rsid w:val="009A2335"/>
    <w:rsid w:val="009A2DD1"/>
    <w:rsid w:val="009A2FCA"/>
    <w:rsid w:val="009A31F6"/>
    <w:rsid w:val="009A3303"/>
    <w:rsid w:val="009A34B9"/>
    <w:rsid w:val="009A3DD6"/>
    <w:rsid w:val="009A3E02"/>
    <w:rsid w:val="009A3F5E"/>
    <w:rsid w:val="009A4025"/>
    <w:rsid w:val="009A40C2"/>
    <w:rsid w:val="009A4756"/>
    <w:rsid w:val="009A4DE2"/>
    <w:rsid w:val="009A4E7F"/>
    <w:rsid w:val="009A4F80"/>
    <w:rsid w:val="009A51F4"/>
    <w:rsid w:val="009A52F9"/>
    <w:rsid w:val="009A5398"/>
    <w:rsid w:val="009A53D5"/>
    <w:rsid w:val="009A5433"/>
    <w:rsid w:val="009A5814"/>
    <w:rsid w:val="009A5913"/>
    <w:rsid w:val="009A5AD0"/>
    <w:rsid w:val="009A5B68"/>
    <w:rsid w:val="009A5CC0"/>
    <w:rsid w:val="009A5FCE"/>
    <w:rsid w:val="009A6323"/>
    <w:rsid w:val="009A662B"/>
    <w:rsid w:val="009A69C3"/>
    <w:rsid w:val="009A69F3"/>
    <w:rsid w:val="009A6F18"/>
    <w:rsid w:val="009A6FA6"/>
    <w:rsid w:val="009A71AE"/>
    <w:rsid w:val="009A7224"/>
    <w:rsid w:val="009A7288"/>
    <w:rsid w:val="009A7AB6"/>
    <w:rsid w:val="009A7BEA"/>
    <w:rsid w:val="009A7BF1"/>
    <w:rsid w:val="009A7E62"/>
    <w:rsid w:val="009B001B"/>
    <w:rsid w:val="009B057A"/>
    <w:rsid w:val="009B14A7"/>
    <w:rsid w:val="009B1F74"/>
    <w:rsid w:val="009B241A"/>
    <w:rsid w:val="009B28D4"/>
    <w:rsid w:val="009B292E"/>
    <w:rsid w:val="009B2AEF"/>
    <w:rsid w:val="009B2B62"/>
    <w:rsid w:val="009B2FA5"/>
    <w:rsid w:val="009B3296"/>
    <w:rsid w:val="009B37DA"/>
    <w:rsid w:val="009B3E9B"/>
    <w:rsid w:val="009B3FA1"/>
    <w:rsid w:val="009B3FD6"/>
    <w:rsid w:val="009B4495"/>
    <w:rsid w:val="009B461A"/>
    <w:rsid w:val="009B5949"/>
    <w:rsid w:val="009B62D5"/>
    <w:rsid w:val="009B67D7"/>
    <w:rsid w:val="009B68A6"/>
    <w:rsid w:val="009B69A2"/>
    <w:rsid w:val="009B6D3D"/>
    <w:rsid w:val="009B70CC"/>
    <w:rsid w:val="009B7DB9"/>
    <w:rsid w:val="009B7DBC"/>
    <w:rsid w:val="009B7DFD"/>
    <w:rsid w:val="009B7F1D"/>
    <w:rsid w:val="009C0606"/>
    <w:rsid w:val="009C06AB"/>
    <w:rsid w:val="009C090D"/>
    <w:rsid w:val="009C0985"/>
    <w:rsid w:val="009C0AA1"/>
    <w:rsid w:val="009C1165"/>
    <w:rsid w:val="009C14D2"/>
    <w:rsid w:val="009C14EA"/>
    <w:rsid w:val="009C1B96"/>
    <w:rsid w:val="009C237C"/>
    <w:rsid w:val="009C269D"/>
    <w:rsid w:val="009C26BE"/>
    <w:rsid w:val="009C28E3"/>
    <w:rsid w:val="009C2AE6"/>
    <w:rsid w:val="009C3198"/>
    <w:rsid w:val="009C3296"/>
    <w:rsid w:val="009C33B0"/>
    <w:rsid w:val="009C3686"/>
    <w:rsid w:val="009C390D"/>
    <w:rsid w:val="009C39BC"/>
    <w:rsid w:val="009C458E"/>
    <w:rsid w:val="009C4601"/>
    <w:rsid w:val="009C4C7B"/>
    <w:rsid w:val="009C58EB"/>
    <w:rsid w:val="009C5931"/>
    <w:rsid w:val="009C5B97"/>
    <w:rsid w:val="009C5D87"/>
    <w:rsid w:val="009C60B8"/>
    <w:rsid w:val="009C621D"/>
    <w:rsid w:val="009C6394"/>
    <w:rsid w:val="009C6861"/>
    <w:rsid w:val="009C6DB8"/>
    <w:rsid w:val="009C6E33"/>
    <w:rsid w:val="009C77E9"/>
    <w:rsid w:val="009C78F3"/>
    <w:rsid w:val="009C7B38"/>
    <w:rsid w:val="009D0714"/>
    <w:rsid w:val="009D07EB"/>
    <w:rsid w:val="009D088E"/>
    <w:rsid w:val="009D09CC"/>
    <w:rsid w:val="009D10BA"/>
    <w:rsid w:val="009D1168"/>
    <w:rsid w:val="009D15ED"/>
    <w:rsid w:val="009D197A"/>
    <w:rsid w:val="009D1CAB"/>
    <w:rsid w:val="009D1F3B"/>
    <w:rsid w:val="009D20E1"/>
    <w:rsid w:val="009D20EC"/>
    <w:rsid w:val="009D2131"/>
    <w:rsid w:val="009D21E5"/>
    <w:rsid w:val="009D23C8"/>
    <w:rsid w:val="009D24E6"/>
    <w:rsid w:val="009D2507"/>
    <w:rsid w:val="009D26B6"/>
    <w:rsid w:val="009D27A4"/>
    <w:rsid w:val="009D2E84"/>
    <w:rsid w:val="009D2F74"/>
    <w:rsid w:val="009D30BB"/>
    <w:rsid w:val="009D3278"/>
    <w:rsid w:val="009D36E0"/>
    <w:rsid w:val="009D3999"/>
    <w:rsid w:val="009D3C50"/>
    <w:rsid w:val="009D3F97"/>
    <w:rsid w:val="009D4319"/>
    <w:rsid w:val="009D4B1D"/>
    <w:rsid w:val="009D5198"/>
    <w:rsid w:val="009D532A"/>
    <w:rsid w:val="009D5717"/>
    <w:rsid w:val="009D5748"/>
    <w:rsid w:val="009D57F5"/>
    <w:rsid w:val="009D5A9F"/>
    <w:rsid w:val="009D5D24"/>
    <w:rsid w:val="009D5ED9"/>
    <w:rsid w:val="009D6095"/>
    <w:rsid w:val="009D6256"/>
    <w:rsid w:val="009D675F"/>
    <w:rsid w:val="009D67EC"/>
    <w:rsid w:val="009D6867"/>
    <w:rsid w:val="009D6FD7"/>
    <w:rsid w:val="009D74AC"/>
    <w:rsid w:val="009D7776"/>
    <w:rsid w:val="009D779F"/>
    <w:rsid w:val="009D79A9"/>
    <w:rsid w:val="009D7B8D"/>
    <w:rsid w:val="009E02A6"/>
    <w:rsid w:val="009E03DE"/>
    <w:rsid w:val="009E066A"/>
    <w:rsid w:val="009E0980"/>
    <w:rsid w:val="009E0BF2"/>
    <w:rsid w:val="009E10D7"/>
    <w:rsid w:val="009E1101"/>
    <w:rsid w:val="009E170B"/>
    <w:rsid w:val="009E179E"/>
    <w:rsid w:val="009E1E60"/>
    <w:rsid w:val="009E25AD"/>
    <w:rsid w:val="009E26AE"/>
    <w:rsid w:val="009E2886"/>
    <w:rsid w:val="009E2B5B"/>
    <w:rsid w:val="009E30DC"/>
    <w:rsid w:val="009E3245"/>
    <w:rsid w:val="009E3420"/>
    <w:rsid w:val="009E39AA"/>
    <w:rsid w:val="009E3DA2"/>
    <w:rsid w:val="009E3F4F"/>
    <w:rsid w:val="009E44F6"/>
    <w:rsid w:val="009E4504"/>
    <w:rsid w:val="009E4A52"/>
    <w:rsid w:val="009E4C96"/>
    <w:rsid w:val="009E4DF1"/>
    <w:rsid w:val="009E547A"/>
    <w:rsid w:val="009E564E"/>
    <w:rsid w:val="009E5F57"/>
    <w:rsid w:val="009E637A"/>
    <w:rsid w:val="009E63BF"/>
    <w:rsid w:val="009E6413"/>
    <w:rsid w:val="009E7088"/>
    <w:rsid w:val="009E71A0"/>
    <w:rsid w:val="009E759B"/>
    <w:rsid w:val="009E7672"/>
    <w:rsid w:val="009E7784"/>
    <w:rsid w:val="009E7A5F"/>
    <w:rsid w:val="009E7A7F"/>
    <w:rsid w:val="009E7BBD"/>
    <w:rsid w:val="009E7C09"/>
    <w:rsid w:val="009F0112"/>
    <w:rsid w:val="009F037C"/>
    <w:rsid w:val="009F0A45"/>
    <w:rsid w:val="009F1062"/>
    <w:rsid w:val="009F1792"/>
    <w:rsid w:val="009F1850"/>
    <w:rsid w:val="009F191F"/>
    <w:rsid w:val="009F195B"/>
    <w:rsid w:val="009F1982"/>
    <w:rsid w:val="009F1A88"/>
    <w:rsid w:val="009F1E9F"/>
    <w:rsid w:val="009F1F3E"/>
    <w:rsid w:val="009F2271"/>
    <w:rsid w:val="009F2519"/>
    <w:rsid w:val="009F2844"/>
    <w:rsid w:val="009F2F39"/>
    <w:rsid w:val="009F3132"/>
    <w:rsid w:val="009F33E4"/>
    <w:rsid w:val="009F35A0"/>
    <w:rsid w:val="009F3A5C"/>
    <w:rsid w:val="009F3AF5"/>
    <w:rsid w:val="009F3DB7"/>
    <w:rsid w:val="009F3DD6"/>
    <w:rsid w:val="009F408B"/>
    <w:rsid w:val="009F44D0"/>
    <w:rsid w:val="009F44EE"/>
    <w:rsid w:val="009F451F"/>
    <w:rsid w:val="009F4974"/>
    <w:rsid w:val="009F4C61"/>
    <w:rsid w:val="009F4D07"/>
    <w:rsid w:val="009F4D0E"/>
    <w:rsid w:val="009F4DAB"/>
    <w:rsid w:val="009F5646"/>
    <w:rsid w:val="009F5A9F"/>
    <w:rsid w:val="009F6095"/>
    <w:rsid w:val="009F60A2"/>
    <w:rsid w:val="009F6497"/>
    <w:rsid w:val="009F656C"/>
    <w:rsid w:val="009F66B7"/>
    <w:rsid w:val="009F6C7B"/>
    <w:rsid w:val="009F78E0"/>
    <w:rsid w:val="009F7A9F"/>
    <w:rsid w:val="009F7E26"/>
    <w:rsid w:val="00A00726"/>
    <w:rsid w:val="00A0081F"/>
    <w:rsid w:val="00A0096C"/>
    <w:rsid w:val="00A00B0B"/>
    <w:rsid w:val="00A01111"/>
    <w:rsid w:val="00A011FC"/>
    <w:rsid w:val="00A01B99"/>
    <w:rsid w:val="00A01C81"/>
    <w:rsid w:val="00A01D8A"/>
    <w:rsid w:val="00A02319"/>
    <w:rsid w:val="00A02996"/>
    <w:rsid w:val="00A02F9C"/>
    <w:rsid w:val="00A03131"/>
    <w:rsid w:val="00A03312"/>
    <w:rsid w:val="00A033AB"/>
    <w:rsid w:val="00A03798"/>
    <w:rsid w:val="00A03993"/>
    <w:rsid w:val="00A04074"/>
    <w:rsid w:val="00A042AE"/>
    <w:rsid w:val="00A04802"/>
    <w:rsid w:val="00A04C39"/>
    <w:rsid w:val="00A04CE7"/>
    <w:rsid w:val="00A04ED2"/>
    <w:rsid w:val="00A04EDD"/>
    <w:rsid w:val="00A058DF"/>
    <w:rsid w:val="00A05900"/>
    <w:rsid w:val="00A05918"/>
    <w:rsid w:val="00A05A24"/>
    <w:rsid w:val="00A05B07"/>
    <w:rsid w:val="00A05D60"/>
    <w:rsid w:val="00A05EC3"/>
    <w:rsid w:val="00A06594"/>
    <w:rsid w:val="00A06A5A"/>
    <w:rsid w:val="00A06BC9"/>
    <w:rsid w:val="00A06D91"/>
    <w:rsid w:val="00A06FC6"/>
    <w:rsid w:val="00A075DB"/>
    <w:rsid w:val="00A0798B"/>
    <w:rsid w:val="00A079B2"/>
    <w:rsid w:val="00A07D38"/>
    <w:rsid w:val="00A1014C"/>
    <w:rsid w:val="00A103FD"/>
    <w:rsid w:val="00A1099E"/>
    <w:rsid w:val="00A10D69"/>
    <w:rsid w:val="00A10F7A"/>
    <w:rsid w:val="00A11030"/>
    <w:rsid w:val="00A1217B"/>
    <w:rsid w:val="00A1230E"/>
    <w:rsid w:val="00A12383"/>
    <w:rsid w:val="00A126CE"/>
    <w:rsid w:val="00A12AAA"/>
    <w:rsid w:val="00A12B85"/>
    <w:rsid w:val="00A13539"/>
    <w:rsid w:val="00A1398F"/>
    <w:rsid w:val="00A13C55"/>
    <w:rsid w:val="00A14084"/>
    <w:rsid w:val="00A147DB"/>
    <w:rsid w:val="00A14C2A"/>
    <w:rsid w:val="00A14C7D"/>
    <w:rsid w:val="00A14DD7"/>
    <w:rsid w:val="00A14F8F"/>
    <w:rsid w:val="00A15A73"/>
    <w:rsid w:val="00A165CB"/>
    <w:rsid w:val="00A16AAC"/>
    <w:rsid w:val="00A16C08"/>
    <w:rsid w:val="00A16EA4"/>
    <w:rsid w:val="00A171C4"/>
    <w:rsid w:val="00A17337"/>
    <w:rsid w:val="00A175C5"/>
    <w:rsid w:val="00A1766C"/>
    <w:rsid w:val="00A179D4"/>
    <w:rsid w:val="00A201FF"/>
    <w:rsid w:val="00A20261"/>
    <w:rsid w:val="00A2039A"/>
    <w:rsid w:val="00A205F9"/>
    <w:rsid w:val="00A2071B"/>
    <w:rsid w:val="00A208D0"/>
    <w:rsid w:val="00A208FD"/>
    <w:rsid w:val="00A20D57"/>
    <w:rsid w:val="00A21A17"/>
    <w:rsid w:val="00A21CC2"/>
    <w:rsid w:val="00A2265D"/>
    <w:rsid w:val="00A226B5"/>
    <w:rsid w:val="00A2288C"/>
    <w:rsid w:val="00A22AC0"/>
    <w:rsid w:val="00A22B5D"/>
    <w:rsid w:val="00A22C7B"/>
    <w:rsid w:val="00A23215"/>
    <w:rsid w:val="00A23278"/>
    <w:rsid w:val="00A2335C"/>
    <w:rsid w:val="00A234A3"/>
    <w:rsid w:val="00A23889"/>
    <w:rsid w:val="00A23A03"/>
    <w:rsid w:val="00A23AA1"/>
    <w:rsid w:val="00A23D25"/>
    <w:rsid w:val="00A23E40"/>
    <w:rsid w:val="00A243CE"/>
    <w:rsid w:val="00A24AB4"/>
    <w:rsid w:val="00A24BE5"/>
    <w:rsid w:val="00A25328"/>
    <w:rsid w:val="00A25725"/>
    <w:rsid w:val="00A258FD"/>
    <w:rsid w:val="00A25B8C"/>
    <w:rsid w:val="00A260F4"/>
    <w:rsid w:val="00A263D6"/>
    <w:rsid w:val="00A2657F"/>
    <w:rsid w:val="00A26634"/>
    <w:rsid w:val="00A272D7"/>
    <w:rsid w:val="00A27EFB"/>
    <w:rsid w:val="00A30633"/>
    <w:rsid w:val="00A306BD"/>
    <w:rsid w:val="00A30A96"/>
    <w:rsid w:val="00A30E56"/>
    <w:rsid w:val="00A310DF"/>
    <w:rsid w:val="00A314C1"/>
    <w:rsid w:val="00A315E0"/>
    <w:rsid w:val="00A32094"/>
    <w:rsid w:val="00A322B9"/>
    <w:rsid w:val="00A325D4"/>
    <w:rsid w:val="00A32AAD"/>
    <w:rsid w:val="00A32AF0"/>
    <w:rsid w:val="00A32BD0"/>
    <w:rsid w:val="00A32E29"/>
    <w:rsid w:val="00A33556"/>
    <w:rsid w:val="00A33963"/>
    <w:rsid w:val="00A339F2"/>
    <w:rsid w:val="00A342B0"/>
    <w:rsid w:val="00A345CD"/>
    <w:rsid w:val="00A345F7"/>
    <w:rsid w:val="00A3492C"/>
    <w:rsid w:val="00A34B03"/>
    <w:rsid w:val="00A34C71"/>
    <w:rsid w:val="00A34D5D"/>
    <w:rsid w:val="00A34DA9"/>
    <w:rsid w:val="00A34E12"/>
    <w:rsid w:val="00A35023"/>
    <w:rsid w:val="00A35073"/>
    <w:rsid w:val="00A35360"/>
    <w:rsid w:val="00A3555F"/>
    <w:rsid w:val="00A35881"/>
    <w:rsid w:val="00A3589A"/>
    <w:rsid w:val="00A35B54"/>
    <w:rsid w:val="00A35DAD"/>
    <w:rsid w:val="00A35EC4"/>
    <w:rsid w:val="00A360A4"/>
    <w:rsid w:val="00A361C6"/>
    <w:rsid w:val="00A361DD"/>
    <w:rsid w:val="00A364C3"/>
    <w:rsid w:val="00A3667E"/>
    <w:rsid w:val="00A36C7C"/>
    <w:rsid w:val="00A36D7F"/>
    <w:rsid w:val="00A36E8F"/>
    <w:rsid w:val="00A36EB1"/>
    <w:rsid w:val="00A400F4"/>
    <w:rsid w:val="00A4021D"/>
    <w:rsid w:val="00A40457"/>
    <w:rsid w:val="00A40694"/>
    <w:rsid w:val="00A40C9F"/>
    <w:rsid w:val="00A40D5A"/>
    <w:rsid w:val="00A414FB"/>
    <w:rsid w:val="00A41BA1"/>
    <w:rsid w:val="00A41E99"/>
    <w:rsid w:val="00A42A46"/>
    <w:rsid w:val="00A42BA3"/>
    <w:rsid w:val="00A42CCF"/>
    <w:rsid w:val="00A42F0D"/>
    <w:rsid w:val="00A433DF"/>
    <w:rsid w:val="00A434DF"/>
    <w:rsid w:val="00A43569"/>
    <w:rsid w:val="00A43E3E"/>
    <w:rsid w:val="00A441CF"/>
    <w:rsid w:val="00A44200"/>
    <w:rsid w:val="00A442F1"/>
    <w:rsid w:val="00A44747"/>
    <w:rsid w:val="00A4475E"/>
    <w:rsid w:val="00A44CF5"/>
    <w:rsid w:val="00A45603"/>
    <w:rsid w:val="00A45898"/>
    <w:rsid w:val="00A459C7"/>
    <w:rsid w:val="00A45E39"/>
    <w:rsid w:val="00A4604E"/>
    <w:rsid w:val="00A460AE"/>
    <w:rsid w:val="00A46A72"/>
    <w:rsid w:val="00A46D1E"/>
    <w:rsid w:val="00A470EB"/>
    <w:rsid w:val="00A47313"/>
    <w:rsid w:val="00A5002C"/>
    <w:rsid w:val="00A5031C"/>
    <w:rsid w:val="00A50354"/>
    <w:rsid w:val="00A5050A"/>
    <w:rsid w:val="00A508A1"/>
    <w:rsid w:val="00A50B51"/>
    <w:rsid w:val="00A514F4"/>
    <w:rsid w:val="00A51C40"/>
    <w:rsid w:val="00A51FAD"/>
    <w:rsid w:val="00A524D6"/>
    <w:rsid w:val="00A52509"/>
    <w:rsid w:val="00A52755"/>
    <w:rsid w:val="00A527A5"/>
    <w:rsid w:val="00A528A2"/>
    <w:rsid w:val="00A52C52"/>
    <w:rsid w:val="00A5332F"/>
    <w:rsid w:val="00A533EA"/>
    <w:rsid w:val="00A533F7"/>
    <w:rsid w:val="00A536AB"/>
    <w:rsid w:val="00A539C3"/>
    <w:rsid w:val="00A53C94"/>
    <w:rsid w:val="00A53CB6"/>
    <w:rsid w:val="00A5420D"/>
    <w:rsid w:val="00A54717"/>
    <w:rsid w:val="00A54BFB"/>
    <w:rsid w:val="00A54E46"/>
    <w:rsid w:val="00A550DA"/>
    <w:rsid w:val="00A554E2"/>
    <w:rsid w:val="00A55942"/>
    <w:rsid w:val="00A5597D"/>
    <w:rsid w:val="00A55B63"/>
    <w:rsid w:val="00A55CB9"/>
    <w:rsid w:val="00A5630C"/>
    <w:rsid w:val="00A565B0"/>
    <w:rsid w:val="00A56900"/>
    <w:rsid w:val="00A56C04"/>
    <w:rsid w:val="00A56CB7"/>
    <w:rsid w:val="00A56D35"/>
    <w:rsid w:val="00A56D5B"/>
    <w:rsid w:val="00A56E43"/>
    <w:rsid w:val="00A56E81"/>
    <w:rsid w:val="00A56F77"/>
    <w:rsid w:val="00A5706D"/>
    <w:rsid w:val="00A570CC"/>
    <w:rsid w:val="00A57874"/>
    <w:rsid w:val="00A60092"/>
    <w:rsid w:val="00A6014B"/>
    <w:rsid w:val="00A61268"/>
    <w:rsid w:val="00A6146B"/>
    <w:rsid w:val="00A614A2"/>
    <w:rsid w:val="00A61546"/>
    <w:rsid w:val="00A6181E"/>
    <w:rsid w:val="00A61A75"/>
    <w:rsid w:val="00A61AD4"/>
    <w:rsid w:val="00A61F92"/>
    <w:rsid w:val="00A61FF5"/>
    <w:rsid w:val="00A61FFA"/>
    <w:rsid w:val="00A6201C"/>
    <w:rsid w:val="00A6256E"/>
    <w:rsid w:val="00A62856"/>
    <w:rsid w:val="00A62EC2"/>
    <w:rsid w:val="00A62F95"/>
    <w:rsid w:val="00A62FB1"/>
    <w:rsid w:val="00A639E4"/>
    <w:rsid w:val="00A63E97"/>
    <w:rsid w:val="00A6486C"/>
    <w:rsid w:val="00A648E5"/>
    <w:rsid w:val="00A64A41"/>
    <w:rsid w:val="00A64A43"/>
    <w:rsid w:val="00A64BB8"/>
    <w:rsid w:val="00A64C2C"/>
    <w:rsid w:val="00A6514A"/>
    <w:rsid w:val="00A65C0A"/>
    <w:rsid w:val="00A6677D"/>
    <w:rsid w:val="00A66889"/>
    <w:rsid w:val="00A6714F"/>
    <w:rsid w:val="00A67ABF"/>
    <w:rsid w:val="00A67B07"/>
    <w:rsid w:val="00A67CC0"/>
    <w:rsid w:val="00A67D9B"/>
    <w:rsid w:val="00A67F60"/>
    <w:rsid w:val="00A700E5"/>
    <w:rsid w:val="00A7034F"/>
    <w:rsid w:val="00A704AC"/>
    <w:rsid w:val="00A70617"/>
    <w:rsid w:val="00A70764"/>
    <w:rsid w:val="00A7086E"/>
    <w:rsid w:val="00A70A52"/>
    <w:rsid w:val="00A712D6"/>
    <w:rsid w:val="00A71350"/>
    <w:rsid w:val="00A71773"/>
    <w:rsid w:val="00A719DB"/>
    <w:rsid w:val="00A71C91"/>
    <w:rsid w:val="00A71EFA"/>
    <w:rsid w:val="00A72673"/>
    <w:rsid w:val="00A72804"/>
    <w:rsid w:val="00A728F3"/>
    <w:rsid w:val="00A72F47"/>
    <w:rsid w:val="00A73202"/>
    <w:rsid w:val="00A734D0"/>
    <w:rsid w:val="00A7389D"/>
    <w:rsid w:val="00A73B97"/>
    <w:rsid w:val="00A73FC6"/>
    <w:rsid w:val="00A741DA"/>
    <w:rsid w:val="00A74C18"/>
    <w:rsid w:val="00A75009"/>
    <w:rsid w:val="00A75528"/>
    <w:rsid w:val="00A75941"/>
    <w:rsid w:val="00A75ACA"/>
    <w:rsid w:val="00A75C3D"/>
    <w:rsid w:val="00A7730B"/>
    <w:rsid w:val="00A77333"/>
    <w:rsid w:val="00A777EC"/>
    <w:rsid w:val="00A77C2E"/>
    <w:rsid w:val="00A800D8"/>
    <w:rsid w:val="00A80694"/>
    <w:rsid w:val="00A80869"/>
    <w:rsid w:val="00A808D6"/>
    <w:rsid w:val="00A81023"/>
    <w:rsid w:val="00A81152"/>
    <w:rsid w:val="00A8125D"/>
    <w:rsid w:val="00A81485"/>
    <w:rsid w:val="00A81A01"/>
    <w:rsid w:val="00A82398"/>
    <w:rsid w:val="00A823B0"/>
    <w:rsid w:val="00A8253A"/>
    <w:rsid w:val="00A82E49"/>
    <w:rsid w:val="00A82F09"/>
    <w:rsid w:val="00A83203"/>
    <w:rsid w:val="00A8345A"/>
    <w:rsid w:val="00A839A6"/>
    <w:rsid w:val="00A839E0"/>
    <w:rsid w:val="00A83D34"/>
    <w:rsid w:val="00A83E87"/>
    <w:rsid w:val="00A8458F"/>
    <w:rsid w:val="00A846EA"/>
    <w:rsid w:val="00A84B0D"/>
    <w:rsid w:val="00A84FDC"/>
    <w:rsid w:val="00A85155"/>
    <w:rsid w:val="00A853B6"/>
    <w:rsid w:val="00A85525"/>
    <w:rsid w:val="00A856CC"/>
    <w:rsid w:val="00A856FE"/>
    <w:rsid w:val="00A8577B"/>
    <w:rsid w:val="00A857B4"/>
    <w:rsid w:val="00A85887"/>
    <w:rsid w:val="00A85894"/>
    <w:rsid w:val="00A85AEE"/>
    <w:rsid w:val="00A86332"/>
    <w:rsid w:val="00A8637C"/>
    <w:rsid w:val="00A863C6"/>
    <w:rsid w:val="00A863FA"/>
    <w:rsid w:val="00A86471"/>
    <w:rsid w:val="00A865DF"/>
    <w:rsid w:val="00A86917"/>
    <w:rsid w:val="00A86D8E"/>
    <w:rsid w:val="00A86F95"/>
    <w:rsid w:val="00A871D8"/>
    <w:rsid w:val="00A87263"/>
    <w:rsid w:val="00A877F6"/>
    <w:rsid w:val="00A87BBE"/>
    <w:rsid w:val="00A87C12"/>
    <w:rsid w:val="00A87D9F"/>
    <w:rsid w:val="00A87FCE"/>
    <w:rsid w:val="00A9006D"/>
    <w:rsid w:val="00A90149"/>
    <w:rsid w:val="00A90A96"/>
    <w:rsid w:val="00A90CDF"/>
    <w:rsid w:val="00A91114"/>
    <w:rsid w:val="00A91174"/>
    <w:rsid w:val="00A91565"/>
    <w:rsid w:val="00A91729"/>
    <w:rsid w:val="00A91744"/>
    <w:rsid w:val="00A91986"/>
    <w:rsid w:val="00A91D40"/>
    <w:rsid w:val="00A91F25"/>
    <w:rsid w:val="00A91F28"/>
    <w:rsid w:val="00A9221A"/>
    <w:rsid w:val="00A923A8"/>
    <w:rsid w:val="00A92843"/>
    <w:rsid w:val="00A92DE4"/>
    <w:rsid w:val="00A92F13"/>
    <w:rsid w:val="00A9321B"/>
    <w:rsid w:val="00A9358C"/>
    <w:rsid w:val="00A93613"/>
    <w:rsid w:val="00A93771"/>
    <w:rsid w:val="00A93B9F"/>
    <w:rsid w:val="00A9446F"/>
    <w:rsid w:val="00A94492"/>
    <w:rsid w:val="00A946B0"/>
    <w:rsid w:val="00A946FC"/>
    <w:rsid w:val="00A946FF"/>
    <w:rsid w:val="00A948D6"/>
    <w:rsid w:val="00A94922"/>
    <w:rsid w:val="00A94956"/>
    <w:rsid w:val="00A94A14"/>
    <w:rsid w:val="00A94A74"/>
    <w:rsid w:val="00A94C26"/>
    <w:rsid w:val="00A94D33"/>
    <w:rsid w:val="00A95065"/>
    <w:rsid w:val="00A950D6"/>
    <w:rsid w:val="00A956AC"/>
    <w:rsid w:val="00A958F8"/>
    <w:rsid w:val="00A95979"/>
    <w:rsid w:val="00A95CFA"/>
    <w:rsid w:val="00A9616C"/>
    <w:rsid w:val="00A96282"/>
    <w:rsid w:val="00A962DD"/>
    <w:rsid w:val="00A964D0"/>
    <w:rsid w:val="00A96675"/>
    <w:rsid w:val="00A96685"/>
    <w:rsid w:val="00A96AAE"/>
    <w:rsid w:val="00A96FBC"/>
    <w:rsid w:val="00A97839"/>
    <w:rsid w:val="00A97A4E"/>
    <w:rsid w:val="00AA006D"/>
    <w:rsid w:val="00AA012A"/>
    <w:rsid w:val="00AA020D"/>
    <w:rsid w:val="00AA0369"/>
    <w:rsid w:val="00AA0894"/>
    <w:rsid w:val="00AA0A4B"/>
    <w:rsid w:val="00AA0CC5"/>
    <w:rsid w:val="00AA0F35"/>
    <w:rsid w:val="00AA0F38"/>
    <w:rsid w:val="00AA107C"/>
    <w:rsid w:val="00AA148F"/>
    <w:rsid w:val="00AA15D8"/>
    <w:rsid w:val="00AA1752"/>
    <w:rsid w:val="00AA1AEF"/>
    <w:rsid w:val="00AA1C6B"/>
    <w:rsid w:val="00AA1D1F"/>
    <w:rsid w:val="00AA1F99"/>
    <w:rsid w:val="00AA220A"/>
    <w:rsid w:val="00AA269E"/>
    <w:rsid w:val="00AA27C5"/>
    <w:rsid w:val="00AA2C6E"/>
    <w:rsid w:val="00AA2F27"/>
    <w:rsid w:val="00AA3500"/>
    <w:rsid w:val="00AA3B13"/>
    <w:rsid w:val="00AA3C13"/>
    <w:rsid w:val="00AA3F73"/>
    <w:rsid w:val="00AA3F87"/>
    <w:rsid w:val="00AA4A68"/>
    <w:rsid w:val="00AA5B4F"/>
    <w:rsid w:val="00AA5C2B"/>
    <w:rsid w:val="00AA5EEC"/>
    <w:rsid w:val="00AA6944"/>
    <w:rsid w:val="00AA6A6A"/>
    <w:rsid w:val="00AA6BB1"/>
    <w:rsid w:val="00AA6DF4"/>
    <w:rsid w:val="00AA6F5D"/>
    <w:rsid w:val="00AA6F64"/>
    <w:rsid w:val="00AA7317"/>
    <w:rsid w:val="00AA793D"/>
    <w:rsid w:val="00AA7AA0"/>
    <w:rsid w:val="00AA7D64"/>
    <w:rsid w:val="00AA7DE0"/>
    <w:rsid w:val="00AB002C"/>
    <w:rsid w:val="00AB0394"/>
    <w:rsid w:val="00AB0ACD"/>
    <w:rsid w:val="00AB0C32"/>
    <w:rsid w:val="00AB0C73"/>
    <w:rsid w:val="00AB168D"/>
    <w:rsid w:val="00AB189C"/>
    <w:rsid w:val="00AB18E2"/>
    <w:rsid w:val="00AB1BA4"/>
    <w:rsid w:val="00AB1E07"/>
    <w:rsid w:val="00AB23C3"/>
    <w:rsid w:val="00AB2523"/>
    <w:rsid w:val="00AB2846"/>
    <w:rsid w:val="00AB28E1"/>
    <w:rsid w:val="00AB2A5E"/>
    <w:rsid w:val="00AB2CEB"/>
    <w:rsid w:val="00AB2D41"/>
    <w:rsid w:val="00AB3141"/>
    <w:rsid w:val="00AB31D7"/>
    <w:rsid w:val="00AB3225"/>
    <w:rsid w:val="00AB326F"/>
    <w:rsid w:val="00AB329D"/>
    <w:rsid w:val="00AB371D"/>
    <w:rsid w:val="00AB3CAD"/>
    <w:rsid w:val="00AB3EEC"/>
    <w:rsid w:val="00AB4529"/>
    <w:rsid w:val="00AB4D9A"/>
    <w:rsid w:val="00AB547F"/>
    <w:rsid w:val="00AB56A8"/>
    <w:rsid w:val="00AB57EA"/>
    <w:rsid w:val="00AB585D"/>
    <w:rsid w:val="00AB607C"/>
    <w:rsid w:val="00AB60F9"/>
    <w:rsid w:val="00AB6561"/>
    <w:rsid w:val="00AB684D"/>
    <w:rsid w:val="00AB7106"/>
    <w:rsid w:val="00AB728F"/>
    <w:rsid w:val="00AB72A3"/>
    <w:rsid w:val="00AB73C2"/>
    <w:rsid w:val="00AB7728"/>
    <w:rsid w:val="00AB7AFE"/>
    <w:rsid w:val="00AB7F95"/>
    <w:rsid w:val="00AB7FCE"/>
    <w:rsid w:val="00AC005E"/>
    <w:rsid w:val="00AC00C7"/>
    <w:rsid w:val="00AC0111"/>
    <w:rsid w:val="00AC036F"/>
    <w:rsid w:val="00AC0433"/>
    <w:rsid w:val="00AC0909"/>
    <w:rsid w:val="00AC0B47"/>
    <w:rsid w:val="00AC0F39"/>
    <w:rsid w:val="00AC1157"/>
    <w:rsid w:val="00AC1809"/>
    <w:rsid w:val="00AC1E12"/>
    <w:rsid w:val="00AC1EBB"/>
    <w:rsid w:val="00AC20C6"/>
    <w:rsid w:val="00AC2B3B"/>
    <w:rsid w:val="00AC2B43"/>
    <w:rsid w:val="00AC2CF8"/>
    <w:rsid w:val="00AC3780"/>
    <w:rsid w:val="00AC3854"/>
    <w:rsid w:val="00AC3896"/>
    <w:rsid w:val="00AC3FC7"/>
    <w:rsid w:val="00AC405D"/>
    <w:rsid w:val="00AC43B2"/>
    <w:rsid w:val="00AC44AE"/>
    <w:rsid w:val="00AC46FA"/>
    <w:rsid w:val="00AC4E30"/>
    <w:rsid w:val="00AC523C"/>
    <w:rsid w:val="00AC560A"/>
    <w:rsid w:val="00AC58A8"/>
    <w:rsid w:val="00AC5BB0"/>
    <w:rsid w:val="00AC6A04"/>
    <w:rsid w:val="00AC6A58"/>
    <w:rsid w:val="00AC6EE6"/>
    <w:rsid w:val="00AC6FD5"/>
    <w:rsid w:val="00AC70A3"/>
    <w:rsid w:val="00AC7398"/>
    <w:rsid w:val="00AC7790"/>
    <w:rsid w:val="00AC7F38"/>
    <w:rsid w:val="00AD01AE"/>
    <w:rsid w:val="00AD01DB"/>
    <w:rsid w:val="00AD041C"/>
    <w:rsid w:val="00AD0636"/>
    <w:rsid w:val="00AD0C13"/>
    <w:rsid w:val="00AD116E"/>
    <w:rsid w:val="00AD1179"/>
    <w:rsid w:val="00AD11A6"/>
    <w:rsid w:val="00AD1210"/>
    <w:rsid w:val="00AD157F"/>
    <w:rsid w:val="00AD16E1"/>
    <w:rsid w:val="00AD19C5"/>
    <w:rsid w:val="00AD1A3E"/>
    <w:rsid w:val="00AD1DE9"/>
    <w:rsid w:val="00AD1F88"/>
    <w:rsid w:val="00AD220E"/>
    <w:rsid w:val="00AD2878"/>
    <w:rsid w:val="00AD2B1B"/>
    <w:rsid w:val="00AD2E23"/>
    <w:rsid w:val="00AD3998"/>
    <w:rsid w:val="00AD3AF4"/>
    <w:rsid w:val="00AD3CEE"/>
    <w:rsid w:val="00AD42F2"/>
    <w:rsid w:val="00AD46DD"/>
    <w:rsid w:val="00AD47B8"/>
    <w:rsid w:val="00AD486D"/>
    <w:rsid w:val="00AD4890"/>
    <w:rsid w:val="00AD4897"/>
    <w:rsid w:val="00AD4993"/>
    <w:rsid w:val="00AD499C"/>
    <w:rsid w:val="00AD4A87"/>
    <w:rsid w:val="00AD53D2"/>
    <w:rsid w:val="00AD552B"/>
    <w:rsid w:val="00AD5A75"/>
    <w:rsid w:val="00AD5D48"/>
    <w:rsid w:val="00AD60A7"/>
    <w:rsid w:val="00AD61F2"/>
    <w:rsid w:val="00AD63DB"/>
    <w:rsid w:val="00AD6586"/>
    <w:rsid w:val="00AD65C7"/>
    <w:rsid w:val="00AD6910"/>
    <w:rsid w:val="00AD6925"/>
    <w:rsid w:val="00AD6DBD"/>
    <w:rsid w:val="00AD759E"/>
    <w:rsid w:val="00AD75DB"/>
    <w:rsid w:val="00AD7860"/>
    <w:rsid w:val="00AD7952"/>
    <w:rsid w:val="00AD7B9C"/>
    <w:rsid w:val="00AE07BF"/>
    <w:rsid w:val="00AE0D23"/>
    <w:rsid w:val="00AE0D97"/>
    <w:rsid w:val="00AE0F3A"/>
    <w:rsid w:val="00AE0FB3"/>
    <w:rsid w:val="00AE10BA"/>
    <w:rsid w:val="00AE1200"/>
    <w:rsid w:val="00AE15EE"/>
    <w:rsid w:val="00AE1B31"/>
    <w:rsid w:val="00AE1D6F"/>
    <w:rsid w:val="00AE2078"/>
    <w:rsid w:val="00AE22F0"/>
    <w:rsid w:val="00AE2848"/>
    <w:rsid w:val="00AE29C0"/>
    <w:rsid w:val="00AE29C4"/>
    <w:rsid w:val="00AE2DAA"/>
    <w:rsid w:val="00AE3054"/>
    <w:rsid w:val="00AE4007"/>
    <w:rsid w:val="00AE4441"/>
    <w:rsid w:val="00AE450D"/>
    <w:rsid w:val="00AE4AE1"/>
    <w:rsid w:val="00AE4ED1"/>
    <w:rsid w:val="00AE4F34"/>
    <w:rsid w:val="00AE53C6"/>
    <w:rsid w:val="00AE5B37"/>
    <w:rsid w:val="00AE5D48"/>
    <w:rsid w:val="00AE5F2F"/>
    <w:rsid w:val="00AE6021"/>
    <w:rsid w:val="00AE6156"/>
    <w:rsid w:val="00AE6280"/>
    <w:rsid w:val="00AE6B37"/>
    <w:rsid w:val="00AE7036"/>
    <w:rsid w:val="00AE739C"/>
    <w:rsid w:val="00AE75DD"/>
    <w:rsid w:val="00AE7675"/>
    <w:rsid w:val="00AE7AD8"/>
    <w:rsid w:val="00AE7BD1"/>
    <w:rsid w:val="00AE7D29"/>
    <w:rsid w:val="00AE7EFB"/>
    <w:rsid w:val="00AF06E3"/>
    <w:rsid w:val="00AF095C"/>
    <w:rsid w:val="00AF0F4E"/>
    <w:rsid w:val="00AF1750"/>
    <w:rsid w:val="00AF1E1E"/>
    <w:rsid w:val="00AF23BC"/>
    <w:rsid w:val="00AF268C"/>
    <w:rsid w:val="00AF27E8"/>
    <w:rsid w:val="00AF2C7A"/>
    <w:rsid w:val="00AF2F83"/>
    <w:rsid w:val="00AF3092"/>
    <w:rsid w:val="00AF32D6"/>
    <w:rsid w:val="00AF34E4"/>
    <w:rsid w:val="00AF354D"/>
    <w:rsid w:val="00AF359F"/>
    <w:rsid w:val="00AF373F"/>
    <w:rsid w:val="00AF3A9D"/>
    <w:rsid w:val="00AF3C0A"/>
    <w:rsid w:val="00AF3C5E"/>
    <w:rsid w:val="00AF3DA5"/>
    <w:rsid w:val="00AF4195"/>
    <w:rsid w:val="00AF47C8"/>
    <w:rsid w:val="00AF49CD"/>
    <w:rsid w:val="00AF4DC8"/>
    <w:rsid w:val="00AF591C"/>
    <w:rsid w:val="00AF5D43"/>
    <w:rsid w:val="00AF5E2E"/>
    <w:rsid w:val="00AF64A7"/>
    <w:rsid w:val="00AF6656"/>
    <w:rsid w:val="00AF690F"/>
    <w:rsid w:val="00AF6A14"/>
    <w:rsid w:val="00AF7BE9"/>
    <w:rsid w:val="00AF7DA6"/>
    <w:rsid w:val="00AF7E31"/>
    <w:rsid w:val="00AF7FA2"/>
    <w:rsid w:val="00B0090C"/>
    <w:rsid w:val="00B009D5"/>
    <w:rsid w:val="00B00B0E"/>
    <w:rsid w:val="00B00D57"/>
    <w:rsid w:val="00B00EAC"/>
    <w:rsid w:val="00B01345"/>
    <w:rsid w:val="00B019C4"/>
    <w:rsid w:val="00B01E91"/>
    <w:rsid w:val="00B02212"/>
    <w:rsid w:val="00B02460"/>
    <w:rsid w:val="00B024E2"/>
    <w:rsid w:val="00B02748"/>
    <w:rsid w:val="00B02B97"/>
    <w:rsid w:val="00B02F23"/>
    <w:rsid w:val="00B02F78"/>
    <w:rsid w:val="00B0347C"/>
    <w:rsid w:val="00B03D61"/>
    <w:rsid w:val="00B03E15"/>
    <w:rsid w:val="00B0415A"/>
    <w:rsid w:val="00B0424A"/>
    <w:rsid w:val="00B04299"/>
    <w:rsid w:val="00B045C9"/>
    <w:rsid w:val="00B045FE"/>
    <w:rsid w:val="00B04BC7"/>
    <w:rsid w:val="00B04CEE"/>
    <w:rsid w:val="00B04DBB"/>
    <w:rsid w:val="00B05080"/>
    <w:rsid w:val="00B0588B"/>
    <w:rsid w:val="00B05EDF"/>
    <w:rsid w:val="00B06212"/>
    <w:rsid w:val="00B062BF"/>
    <w:rsid w:val="00B0644A"/>
    <w:rsid w:val="00B06806"/>
    <w:rsid w:val="00B06CC3"/>
    <w:rsid w:val="00B06D1A"/>
    <w:rsid w:val="00B075B6"/>
    <w:rsid w:val="00B0778D"/>
    <w:rsid w:val="00B07794"/>
    <w:rsid w:val="00B07CC7"/>
    <w:rsid w:val="00B07EE5"/>
    <w:rsid w:val="00B100B3"/>
    <w:rsid w:val="00B1029B"/>
    <w:rsid w:val="00B107B9"/>
    <w:rsid w:val="00B1091D"/>
    <w:rsid w:val="00B10B85"/>
    <w:rsid w:val="00B11907"/>
    <w:rsid w:val="00B11A07"/>
    <w:rsid w:val="00B11A41"/>
    <w:rsid w:val="00B11E7F"/>
    <w:rsid w:val="00B11FBB"/>
    <w:rsid w:val="00B12979"/>
    <w:rsid w:val="00B12A25"/>
    <w:rsid w:val="00B12B63"/>
    <w:rsid w:val="00B12DDB"/>
    <w:rsid w:val="00B13A8C"/>
    <w:rsid w:val="00B14407"/>
    <w:rsid w:val="00B146D9"/>
    <w:rsid w:val="00B148C2"/>
    <w:rsid w:val="00B14D02"/>
    <w:rsid w:val="00B152BE"/>
    <w:rsid w:val="00B153A9"/>
    <w:rsid w:val="00B15530"/>
    <w:rsid w:val="00B15619"/>
    <w:rsid w:val="00B15D52"/>
    <w:rsid w:val="00B15F23"/>
    <w:rsid w:val="00B162BD"/>
    <w:rsid w:val="00B16959"/>
    <w:rsid w:val="00B16AA7"/>
    <w:rsid w:val="00B16BBD"/>
    <w:rsid w:val="00B16CD8"/>
    <w:rsid w:val="00B16FA0"/>
    <w:rsid w:val="00B1718F"/>
    <w:rsid w:val="00B174A8"/>
    <w:rsid w:val="00B204F7"/>
    <w:rsid w:val="00B20C14"/>
    <w:rsid w:val="00B20FD0"/>
    <w:rsid w:val="00B215B0"/>
    <w:rsid w:val="00B21829"/>
    <w:rsid w:val="00B21A75"/>
    <w:rsid w:val="00B21BAA"/>
    <w:rsid w:val="00B21C2A"/>
    <w:rsid w:val="00B21F4E"/>
    <w:rsid w:val="00B22505"/>
    <w:rsid w:val="00B22B0D"/>
    <w:rsid w:val="00B22C54"/>
    <w:rsid w:val="00B23119"/>
    <w:rsid w:val="00B2364D"/>
    <w:rsid w:val="00B244A1"/>
    <w:rsid w:val="00B24927"/>
    <w:rsid w:val="00B24A2C"/>
    <w:rsid w:val="00B24F1F"/>
    <w:rsid w:val="00B2527B"/>
    <w:rsid w:val="00B252DD"/>
    <w:rsid w:val="00B252FC"/>
    <w:rsid w:val="00B253D1"/>
    <w:rsid w:val="00B254DC"/>
    <w:rsid w:val="00B2551A"/>
    <w:rsid w:val="00B25717"/>
    <w:rsid w:val="00B25A25"/>
    <w:rsid w:val="00B25A50"/>
    <w:rsid w:val="00B25B46"/>
    <w:rsid w:val="00B25F7A"/>
    <w:rsid w:val="00B26126"/>
    <w:rsid w:val="00B26316"/>
    <w:rsid w:val="00B26348"/>
    <w:rsid w:val="00B264B6"/>
    <w:rsid w:val="00B267D5"/>
    <w:rsid w:val="00B27058"/>
    <w:rsid w:val="00B27605"/>
    <w:rsid w:val="00B27C6C"/>
    <w:rsid w:val="00B27F94"/>
    <w:rsid w:val="00B3063C"/>
    <w:rsid w:val="00B30673"/>
    <w:rsid w:val="00B315A8"/>
    <w:rsid w:val="00B319C0"/>
    <w:rsid w:val="00B31C34"/>
    <w:rsid w:val="00B31F2D"/>
    <w:rsid w:val="00B31FFE"/>
    <w:rsid w:val="00B32284"/>
    <w:rsid w:val="00B3228E"/>
    <w:rsid w:val="00B3249E"/>
    <w:rsid w:val="00B325EA"/>
    <w:rsid w:val="00B32B1D"/>
    <w:rsid w:val="00B32C98"/>
    <w:rsid w:val="00B32F8E"/>
    <w:rsid w:val="00B33838"/>
    <w:rsid w:val="00B33907"/>
    <w:rsid w:val="00B33B2C"/>
    <w:rsid w:val="00B33D0D"/>
    <w:rsid w:val="00B33D5F"/>
    <w:rsid w:val="00B33E8D"/>
    <w:rsid w:val="00B346AC"/>
    <w:rsid w:val="00B346B5"/>
    <w:rsid w:val="00B34F5E"/>
    <w:rsid w:val="00B3531C"/>
    <w:rsid w:val="00B359F7"/>
    <w:rsid w:val="00B35D68"/>
    <w:rsid w:val="00B35E02"/>
    <w:rsid w:val="00B35F55"/>
    <w:rsid w:val="00B36132"/>
    <w:rsid w:val="00B362CF"/>
    <w:rsid w:val="00B36355"/>
    <w:rsid w:val="00B365BD"/>
    <w:rsid w:val="00B367A2"/>
    <w:rsid w:val="00B36978"/>
    <w:rsid w:val="00B369FD"/>
    <w:rsid w:val="00B37316"/>
    <w:rsid w:val="00B375AD"/>
    <w:rsid w:val="00B3780A"/>
    <w:rsid w:val="00B379FC"/>
    <w:rsid w:val="00B40061"/>
    <w:rsid w:val="00B400B2"/>
    <w:rsid w:val="00B40317"/>
    <w:rsid w:val="00B4068C"/>
    <w:rsid w:val="00B40FF3"/>
    <w:rsid w:val="00B410B8"/>
    <w:rsid w:val="00B4115A"/>
    <w:rsid w:val="00B413FE"/>
    <w:rsid w:val="00B417A0"/>
    <w:rsid w:val="00B41C8B"/>
    <w:rsid w:val="00B4214E"/>
    <w:rsid w:val="00B42316"/>
    <w:rsid w:val="00B4297E"/>
    <w:rsid w:val="00B42B6F"/>
    <w:rsid w:val="00B42C15"/>
    <w:rsid w:val="00B43009"/>
    <w:rsid w:val="00B430F4"/>
    <w:rsid w:val="00B434B6"/>
    <w:rsid w:val="00B437C5"/>
    <w:rsid w:val="00B43980"/>
    <w:rsid w:val="00B43E0C"/>
    <w:rsid w:val="00B43EAD"/>
    <w:rsid w:val="00B43FE6"/>
    <w:rsid w:val="00B4413B"/>
    <w:rsid w:val="00B442B9"/>
    <w:rsid w:val="00B445B8"/>
    <w:rsid w:val="00B449F5"/>
    <w:rsid w:val="00B44CC9"/>
    <w:rsid w:val="00B44F5C"/>
    <w:rsid w:val="00B45321"/>
    <w:rsid w:val="00B453E1"/>
    <w:rsid w:val="00B454C9"/>
    <w:rsid w:val="00B45659"/>
    <w:rsid w:val="00B4599A"/>
    <w:rsid w:val="00B46286"/>
    <w:rsid w:val="00B466BE"/>
    <w:rsid w:val="00B467DC"/>
    <w:rsid w:val="00B46C1B"/>
    <w:rsid w:val="00B46E50"/>
    <w:rsid w:val="00B472C7"/>
    <w:rsid w:val="00B47700"/>
    <w:rsid w:val="00B47989"/>
    <w:rsid w:val="00B47B39"/>
    <w:rsid w:val="00B47E86"/>
    <w:rsid w:val="00B501AE"/>
    <w:rsid w:val="00B5046C"/>
    <w:rsid w:val="00B50842"/>
    <w:rsid w:val="00B50985"/>
    <w:rsid w:val="00B50AD8"/>
    <w:rsid w:val="00B50DBD"/>
    <w:rsid w:val="00B51319"/>
    <w:rsid w:val="00B516AF"/>
    <w:rsid w:val="00B51B56"/>
    <w:rsid w:val="00B51E98"/>
    <w:rsid w:val="00B522FE"/>
    <w:rsid w:val="00B529CA"/>
    <w:rsid w:val="00B52A98"/>
    <w:rsid w:val="00B53145"/>
    <w:rsid w:val="00B535C0"/>
    <w:rsid w:val="00B53AC0"/>
    <w:rsid w:val="00B53E86"/>
    <w:rsid w:val="00B54038"/>
    <w:rsid w:val="00B54214"/>
    <w:rsid w:val="00B54488"/>
    <w:rsid w:val="00B54532"/>
    <w:rsid w:val="00B546B1"/>
    <w:rsid w:val="00B54FDA"/>
    <w:rsid w:val="00B55100"/>
    <w:rsid w:val="00B55689"/>
    <w:rsid w:val="00B556F1"/>
    <w:rsid w:val="00B557AE"/>
    <w:rsid w:val="00B55B26"/>
    <w:rsid w:val="00B55F89"/>
    <w:rsid w:val="00B56559"/>
    <w:rsid w:val="00B5661D"/>
    <w:rsid w:val="00B56742"/>
    <w:rsid w:val="00B56768"/>
    <w:rsid w:val="00B5685C"/>
    <w:rsid w:val="00B56955"/>
    <w:rsid w:val="00B56B90"/>
    <w:rsid w:val="00B56C4F"/>
    <w:rsid w:val="00B56D7F"/>
    <w:rsid w:val="00B56E36"/>
    <w:rsid w:val="00B56E9F"/>
    <w:rsid w:val="00B56FD6"/>
    <w:rsid w:val="00B576E2"/>
    <w:rsid w:val="00B57B34"/>
    <w:rsid w:val="00B57D26"/>
    <w:rsid w:val="00B57E23"/>
    <w:rsid w:val="00B60E87"/>
    <w:rsid w:val="00B61328"/>
    <w:rsid w:val="00B61576"/>
    <w:rsid w:val="00B6167D"/>
    <w:rsid w:val="00B61744"/>
    <w:rsid w:val="00B6226D"/>
    <w:rsid w:val="00B6226E"/>
    <w:rsid w:val="00B62401"/>
    <w:rsid w:val="00B624D1"/>
    <w:rsid w:val="00B626F7"/>
    <w:rsid w:val="00B63151"/>
    <w:rsid w:val="00B63491"/>
    <w:rsid w:val="00B636D3"/>
    <w:rsid w:val="00B63CA0"/>
    <w:rsid w:val="00B649AB"/>
    <w:rsid w:val="00B64AE3"/>
    <w:rsid w:val="00B64D8F"/>
    <w:rsid w:val="00B64E9D"/>
    <w:rsid w:val="00B651F8"/>
    <w:rsid w:val="00B652BC"/>
    <w:rsid w:val="00B656AF"/>
    <w:rsid w:val="00B66200"/>
    <w:rsid w:val="00B6637E"/>
    <w:rsid w:val="00B66550"/>
    <w:rsid w:val="00B669D1"/>
    <w:rsid w:val="00B66F45"/>
    <w:rsid w:val="00B6725B"/>
    <w:rsid w:val="00B6729C"/>
    <w:rsid w:val="00B672FB"/>
    <w:rsid w:val="00B674FC"/>
    <w:rsid w:val="00B6772F"/>
    <w:rsid w:val="00B67903"/>
    <w:rsid w:val="00B67D75"/>
    <w:rsid w:val="00B67F12"/>
    <w:rsid w:val="00B701FD"/>
    <w:rsid w:val="00B70412"/>
    <w:rsid w:val="00B70704"/>
    <w:rsid w:val="00B70A87"/>
    <w:rsid w:val="00B70DA4"/>
    <w:rsid w:val="00B70FF2"/>
    <w:rsid w:val="00B71055"/>
    <w:rsid w:val="00B715A5"/>
    <w:rsid w:val="00B715D6"/>
    <w:rsid w:val="00B7174D"/>
    <w:rsid w:val="00B720BE"/>
    <w:rsid w:val="00B72174"/>
    <w:rsid w:val="00B726A4"/>
    <w:rsid w:val="00B72C48"/>
    <w:rsid w:val="00B72FEA"/>
    <w:rsid w:val="00B73256"/>
    <w:rsid w:val="00B7352D"/>
    <w:rsid w:val="00B736C4"/>
    <w:rsid w:val="00B7378B"/>
    <w:rsid w:val="00B73BCC"/>
    <w:rsid w:val="00B73D72"/>
    <w:rsid w:val="00B73E50"/>
    <w:rsid w:val="00B741F7"/>
    <w:rsid w:val="00B74678"/>
    <w:rsid w:val="00B748FA"/>
    <w:rsid w:val="00B74BFB"/>
    <w:rsid w:val="00B74C45"/>
    <w:rsid w:val="00B74E38"/>
    <w:rsid w:val="00B750AC"/>
    <w:rsid w:val="00B7553B"/>
    <w:rsid w:val="00B756EE"/>
    <w:rsid w:val="00B75746"/>
    <w:rsid w:val="00B7575F"/>
    <w:rsid w:val="00B75760"/>
    <w:rsid w:val="00B75E0A"/>
    <w:rsid w:val="00B76229"/>
    <w:rsid w:val="00B76259"/>
    <w:rsid w:val="00B76447"/>
    <w:rsid w:val="00B764AC"/>
    <w:rsid w:val="00B767A7"/>
    <w:rsid w:val="00B76D70"/>
    <w:rsid w:val="00B76DE8"/>
    <w:rsid w:val="00B77163"/>
    <w:rsid w:val="00B772EE"/>
    <w:rsid w:val="00B778EF"/>
    <w:rsid w:val="00B77A11"/>
    <w:rsid w:val="00B77BF3"/>
    <w:rsid w:val="00B77CBD"/>
    <w:rsid w:val="00B77CD2"/>
    <w:rsid w:val="00B77E39"/>
    <w:rsid w:val="00B80366"/>
    <w:rsid w:val="00B806CC"/>
    <w:rsid w:val="00B80F17"/>
    <w:rsid w:val="00B8103B"/>
    <w:rsid w:val="00B81825"/>
    <w:rsid w:val="00B81A1A"/>
    <w:rsid w:val="00B81C84"/>
    <w:rsid w:val="00B825F5"/>
    <w:rsid w:val="00B8274C"/>
    <w:rsid w:val="00B8299C"/>
    <w:rsid w:val="00B82D91"/>
    <w:rsid w:val="00B83992"/>
    <w:rsid w:val="00B83A7E"/>
    <w:rsid w:val="00B84948"/>
    <w:rsid w:val="00B84F3A"/>
    <w:rsid w:val="00B853AD"/>
    <w:rsid w:val="00B856F1"/>
    <w:rsid w:val="00B857D2"/>
    <w:rsid w:val="00B85AF3"/>
    <w:rsid w:val="00B86146"/>
    <w:rsid w:val="00B865F7"/>
    <w:rsid w:val="00B867A1"/>
    <w:rsid w:val="00B86ECB"/>
    <w:rsid w:val="00B870A0"/>
    <w:rsid w:val="00B874AC"/>
    <w:rsid w:val="00B87832"/>
    <w:rsid w:val="00B878AB"/>
    <w:rsid w:val="00B878C8"/>
    <w:rsid w:val="00B87DFE"/>
    <w:rsid w:val="00B901A4"/>
    <w:rsid w:val="00B90210"/>
    <w:rsid w:val="00B9027B"/>
    <w:rsid w:val="00B9074B"/>
    <w:rsid w:val="00B907B6"/>
    <w:rsid w:val="00B90881"/>
    <w:rsid w:val="00B90D8A"/>
    <w:rsid w:val="00B91153"/>
    <w:rsid w:val="00B91527"/>
    <w:rsid w:val="00B91652"/>
    <w:rsid w:val="00B9228A"/>
    <w:rsid w:val="00B92B84"/>
    <w:rsid w:val="00B92BB7"/>
    <w:rsid w:val="00B92C02"/>
    <w:rsid w:val="00B92F2F"/>
    <w:rsid w:val="00B93082"/>
    <w:rsid w:val="00B933DD"/>
    <w:rsid w:val="00B93417"/>
    <w:rsid w:val="00B935C8"/>
    <w:rsid w:val="00B938A9"/>
    <w:rsid w:val="00B93938"/>
    <w:rsid w:val="00B940C1"/>
    <w:rsid w:val="00B94277"/>
    <w:rsid w:val="00B9436D"/>
    <w:rsid w:val="00B94CC7"/>
    <w:rsid w:val="00B94D97"/>
    <w:rsid w:val="00B94E84"/>
    <w:rsid w:val="00B94F53"/>
    <w:rsid w:val="00B951F4"/>
    <w:rsid w:val="00B953E4"/>
    <w:rsid w:val="00B95490"/>
    <w:rsid w:val="00B959F1"/>
    <w:rsid w:val="00B95D5F"/>
    <w:rsid w:val="00B96314"/>
    <w:rsid w:val="00B968A0"/>
    <w:rsid w:val="00B96DA1"/>
    <w:rsid w:val="00B9706D"/>
    <w:rsid w:val="00B977C3"/>
    <w:rsid w:val="00B978AB"/>
    <w:rsid w:val="00BA0214"/>
    <w:rsid w:val="00BA02E9"/>
    <w:rsid w:val="00BA0999"/>
    <w:rsid w:val="00BA0BA4"/>
    <w:rsid w:val="00BA0BD3"/>
    <w:rsid w:val="00BA0C24"/>
    <w:rsid w:val="00BA10C2"/>
    <w:rsid w:val="00BA17B5"/>
    <w:rsid w:val="00BA1809"/>
    <w:rsid w:val="00BA2171"/>
    <w:rsid w:val="00BA21FF"/>
    <w:rsid w:val="00BA2D1D"/>
    <w:rsid w:val="00BA2D57"/>
    <w:rsid w:val="00BA2FBE"/>
    <w:rsid w:val="00BA326D"/>
    <w:rsid w:val="00BA33DE"/>
    <w:rsid w:val="00BA3664"/>
    <w:rsid w:val="00BA370B"/>
    <w:rsid w:val="00BA390B"/>
    <w:rsid w:val="00BA3AF2"/>
    <w:rsid w:val="00BA4149"/>
    <w:rsid w:val="00BA421E"/>
    <w:rsid w:val="00BA4323"/>
    <w:rsid w:val="00BA4428"/>
    <w:rsid w:val="00BA443D"/>
    <w:rsid w:val="00BA46E4"/>
    <w:rsid w:val="00BA486A"/>
    <w:rsid w:val="00BA4C45"/>
    <w:rsid w:val="00BA4C9B"/>
    <w:rsid w:val="00BA4F5C"/>
    <w:rsid w:val="00BA5142"/>
    <w:rsid w:val="00BA5359"/>
    <w:rsid w:val="00BA5484"/>
    <w:rsid w:val="00BA5941"/>
    <w:rsid w:val="00BA64D5"/>
    <w:rsid w:val="00BA69FE"/>
    <w:rsid w:val="00BA6A10"/>
    <w:rsid w:val="00BA6CC8"/>
    <w:rsid w:val="00BA6F94"/>
    <w:rsid w:val="00BA7009"/>
    <w:rsid w:val="00BA7036"/>
    <w:rsid w:val="00BA70D4"/>
    <w:rsid w:val="00BA7742"/>
    <w:rsid w:val="00BA77BB"/>
    <w:rsid w:val="00BA788E"/>
    <w:rsid w:val="00BA79BF"/>
    <w:rsid w:val="00BB0387"/>
    <w:rsid w:val="00BB0831"/>
    <w:rsid w:val="00BB099A"/>
    <w:rsid w:val="00BB0C02"/>
    <w:rsid w:val="00BB0C68"/>
    <w:rsid w:val="00BB105D"/>
    <w:rsid w:val="00BB115A"/>
    <w:rsid w:val="00BB167F"/>
    <w:rsid w:val="00BB1859"/>
    <w:rsid w:val="00BB1866"/>
    <w:rsid w:val="00BB18D5"/>
    <w:rsid w:val="00BB21CF"/>
    <w:rsid w:val="00BB2212"/>
    <w:rsid w:val="00BB2348"/>
    <w:rsid w:val="00BB23A0"/>
    <w:rsid w:val="00BB29DB"/>
    <w:rsid w:val="00BB2A1A"/>
    <w:rsid w:val="00BB2A3B"/>
    <w:rsid w:val="00BB3246"/>
    <w:rsid w:val="00BB3476"/>
    <w:rsid w:val="00BB352C"/>
    <w:rsid w:val="00BB35F1"/>
    <w:rsid w:val="00BB37A3"/>
    <w:rsid w:val="00BB391C"/>
    <w:rsid w:val="00BB3A3E"/>
    <w:rsid w:val="00BB3D7A"/>
    <w:rsid w:val="00BB405B"/>
    <w:rsid w:val="00BB4358"/>
    <w:rsid w:val="00BB473C"/>
    <w:rsid w:val="00BB4A49"/>
    <w:rsid w:val="00BB4B42"/>
    <w:rsid w:val="00BB4CAB"/>
    <w:rsid w:val="00BB57F7"/>
    <w:rsid w:val="00BB5C98"/>
    <w:rsid w:val="00BB5D38"/>
    <w:rsid w:val="00BB5D69"/>
    <w:rsid w:val="00BB63D7"/>
    <w:rsid w:val="00BB64CF"/>
    <w:rsid w:val="00BB6E5C"/>
    <w:rsid w:val="00BB7299"/>
    <w:rsid w:val="00BB72A5"/>
    <w:rsid w:val="00BB72CC"/>
    <w:rsid w:val="00BB7A62"/>
    <w:rsid w:val="00BB7E86"/>
    <w:rsid w:val="00BB7EC0"/>
    <w:rsid w:val="00BB7ED2"/>
    <w:rsid w:val="00BC097A"/>
    <w:rsid w:val="00BC0C43"/>
    <w:rsid w:val="00BC1090"/>
    <w:rsid w:val="00BC10E9"/>
    <w:rsid w:val="00BC1198"/>
    <w:rsid w:val="00BC1324"/>
    <w:rsid w:val="00BC1367"/>
    <w:rsid w:val="00BC14B1"/>
    <w:rsid w:val="00BC170D"/>
    <w:rsid w:val="00BC174F"/>
    <w:rsid w:val="00BC182A"/>
    <w:rsid w:val="00BC1FE5"/>
    <w:rsid w:val="00BC22C6"/>
    <w:rsid w:val="00BC2735"/>
    <w:rsid w:val="00BC278F"/>
    <w:rsid w:val="00BC2E0A"/>
    <w:rsid w:val="00BC3057"/>
    <w:rsid w:val="00BC376B"/>
    <w:rsid w:val="00BC3CB7"/>
    <w:rsid w:val="00BC3EAF"/>
    <w:rsid w:val="00BC3FD5"/>
    <w:rsid w:val="00BC4241"/>
    <w:rsid w:val="00BC4360"/>
    <w:rsid w:val="00BC44A6"/>
    <w:rsid w:val="00BC4536"/>
    <w:rsid w:val="00BC46F6"/>
    <w:rsid w:val="00BC4B81"/>
    <w:rsid w:val="00BC4F19"/>
    <w:rsid w:val="00BC5067"/>
    <w:rsid w:val="00BC540A"/>
    <w:rsid w:val="00BC57F8"/>
    <w:rsid w:val="00BC5910"/>
    <w:rsid w:val="00BC5ACF"/>
    <w:rsid w:val="00BC6279"/>
    <w:rsid w:val="00BC652E"/>
    <w:rsid w:val="00BC66FC"/>
    <w:rsid w:val="00BC67E0"/>
    <w:rsid w:val="00BC6D80"/>
    <w:rsid w:val="00BC70B4"/>
    <w:rsid w:val="00BC7691"/>
    <w:rsid w:val="00BC769E"/>
    <w:rsid w:val="00BC7DD6"/>
    <w:rsid w:val="00BD053D"/>
    <w:rsid w:val="00BD0547"/>
    <w:rsid w:val="00BD06FE"/>
    <w:rsid w:val="00BD074B"/>
    <w:rsid w:val="00BD0884"/>
    <w:rsid w:val="00BD100D"/>
    <w:rsid w:val="00BD1616"/>
    <w:rsid w:val="00BD1AA6"/>
    <w:rsid w:val="00BD1BF3"/>
    <w:rsid w:val="00BD1D31"/>
    <w:rsid w:val="00BD1DAC"/>
    <w:rsid w:val="00BD206A"/>
    <w:rsid w:val="00BD23F8"/>
    <w:rsid w:val="00BD2B03"/>
    <w:rsid w:val="00BD2C6C"/>
    <w:rsid w:val="00BD3144"/>
    <w:rsid w:val="00BD322A"/>
    <w:rsid w:val="00BD3431"/>
    <w:rsid w:val="00BD36EE"/>
    <w:rsid w:val="00BD374B"/>
    <w:rsid w:val="00BD375D"/>
    <w:rsid w:val="00BD3F0A"/>
    <w:rsid w:val="00BD3FDF"/>
    <w:rsid w:val="00BD3FE5"/>
    <w:rsid w:val="00BD4112"/>
    <w:rsid w:val="00BD426D"/>
    <w:rsid w:val="00BD43FC"/>
    <w:rsid w:val="00BD444C"/>
    <w:rsid w:val="00BD44B1"/>
    <w:rsid w:val="00BD4955"/>
    <w:rsid w:val="00BD4A54"/>
    <w:rsid w:val="00BD4CF0"/>
    <w:rsid w:val="00BD4E86"/>
    <w:rsid w:val="00BD51F5"/>
    <w:rsid w:val="00BD526A"/>
    <w:rsid w:val="00BD54DB"/>
    <w:rsid w:val="00BD5749"/>
    <w:rsid w:val="00BD57F9"/>
    <w:rsid w:val="00BD5F7F"/>
    <w:rsid w:val="00BD601E"/>
    <w:rsid w:val="00BD61C1"/>
    <w:rsid w:val="00BD6232"/>
    <w:rsid w:val="00BD667E"/>
    <w:rsid w:val="00BD6A6C"/>
    <w:rsid w:val="00BD6A70"/>
    <w:rsid w:val="00BD6D6D"/>
    <w:rsid w:val="00BD6E3F"/>
    <w:rsid w:val="00BD7972"/>
    <w:rsid w:val="00BE001A"/>
    <w:rsid w:val="00BE0A0E"/>
    <w:rsid w:val="00BE0DF4"/>
    <w:rsid w:val="00BE1205"/>
    <w:rsid w:val="00BE12D4"/>
    <w:rsid w:val="00BE1310"/>
    <w:rsid w:val="00BE1C9F"/>
    <w:rsid w:val="00BE1E41"/>
    <w:rsid w:val="00BE20B7"/>
    <w:rsid w:val="00BE20F4"/>
    <w:rsid w:val="00BE2252"/>
    <w:rsid w:val="00BE23D0"/>
    <w:rsid w:val="00BE25D6"/>
    <w:rsid w:val="00BE28A6"/>
    <w:rsid w:val="00BE2DA7"/>
    <w:rsid w:val="00BE2FA1"/>
    <w:rsid w:val="00BE3110"/>
    <w:rsid w:val="00BE33EA"/>
    <w:rsid w:val="00BE344F"/>
    <w:rsid w:val="00BE3832"/>
    <w:rsid w:val="00BE3DE2"/>
    <w:rsid w:val="00BE42C6"/>
    <w:rsid w:val="00BE4FED"/>
    <w:rsid w:val="00BE55F1"/>
    <w:rsid w:val="00BE5694"/>
    <w:rsid w:val="00BE5727"/>
    <w:rsid w:val="00BE59A4"/>
    <w:rsid w:val="00BE6396"/>
    <w:rsid w:val="00BE6402"/>
    <w:rsid w:val="00BE652C"/>
    <w:rsid w:val="00BE6638"/>
    <w:rsid w:val="00BE680D"/>
    <w:rsid w:val="00BE694B"/>
    <w:rsid w:val="00BE75D3"/>
    <w:rsid w:val="00BE7C29"/>
    <w:rsid w:val="00BE7D13"/>
    <w:rsid w:val="00BF0351"/>
    <w:rsid w:val="00BF0367"/>
    <w:rsid w:val="00BF0474"/>
    <w:rsid w:val="00BF05CD"/>
    <w:rsid w:val="00BF07FA"/>
    <w:rsid w:val="00BF0E86"/>
    <w:rsid w:val="00BF1461"/>
    <w:rsid w:val="00BF1576"/>
    <w:rsid w:val="00BF171B"/>
    <w:rsid w:val="00BF1B0C"/>
    <w:rsid w:val="00BF1CA0"/>
    <w:rsid w:val="00BF1F5E"/>
    <w:rsid w:val="00BF2054"/>
    <w:rsid w:val="00BF25C7"/>
    <w:rsid w:val="00BF34A9"/>
    <w:rsid w:val="00BF3652"/>
    <w:rsid w:val="00BF3AEA"/>
    <w:rsid w:val="00BF3C84"/>
    <w:rsid w:val="00BF3CCB"/>
    <w:rsid w:val="00BF49DE"/>
    <w:rsid w:val="00BF4F0F"/>
    <w:rsid w:val="00BF5600"/>
    <w:rsid w:val="00BF57DE"/>
    <w:rsid w:val="00BF598B"/>
    <w:rsid w:val="00BF5EB1"/>
    <w:rsid w:val="00BF6444"/>
    <w:rsid w:val="00BF6498"/>
    <w:rsid w:val="00BF69D8"/>
    <w:rsid w:val="00BF6AA3"/>
    <w:rsid w:val="00BF6B01"/>
    <w:rsid w:val="00BF6F3B"/>
    <w:rsid w:val="00BF7339"/>
    <w:rsid w:val="00BF76B0"/>
    <w:rsid w:val="00BF7A12"/>
    <w:rsid w:val="00BF7C3B"/>
    <w:rsid w:val="00C000A4"/>
    <w:rsid w:val="00C00125"/>
    <w:rsid w:val="00C00754"/>
    <w:rsid w:val="00C007E3"/>
    <w:rsid w:val="00C00926"/>
    <w:rsid w:val="00C00B5F"/>
    <w:rsid w:val="00C00E3E"/>
    <w:rsid w:val="00C00F1F"/>
    <w:rsid w:val="00C01003"/>
    <w:rsid w:val="00C01181"/>
    <w:rsid w:val="00C014C8"/>
    <w:rsid w:val="00C01785"/>
    <w:rsid w:val="00C01D2B"/>
    <w:rsid w:val="00C01F8A"/>
    <w:rsid w:val="00C02198"/>
    <w:rsid w:val="00C022E0"/>
    <w:rsid w:val="00C0287D"/>
    <w:rsid w:val="00C029B3"/>
    <w:rsid w:val="00C02D25"/>
    <w:rsid w:val="00C02D71"/>
    <w:rsid w:val="00C03431"/>
    <w:rsid w:val="00C03490"/>
    <w:rsid w:val="00C0359D"/>
    <w:rsid w:val="00C035D6"/>
    <w:rsid w:val="00C0393B"/>
    <w:rsid w:val="00C03AFE"/>
    <w:rsid w:val="00C03F57"/>
    <w:rsid w:val="00C04018"/>
    <w:rsid w:val="00C0410E"/>
    <w:rsid w:val="00C042F0"/>
    <w:rsid w:val="00C0450E"/>
    <w:rsid w:val="00C04D39"/>
    <w:rsid w:val="00C051C3"/>
    <w:rsid w:val="00C0542D"/>
    <w:rsid w:val="00C056C7"/>
    <w:rsid w:val="00C0574B"/>
    <w:rsid w:val="00C05E5D"/>
    <w:rsid w:val="00C05E7B"/>
    <w:rsid w:val="00C06391"/>
    <w:rsid w:val="00C06557"/>
    <w:rsid w:val="00C069E6"/>
    <w:rsid w:val="00C06AF0"/>
    <w:rsid w:val="00C06C34"/>
    <w:rsid w:val="00C06CB7"/>
    <w:rsid w:val="00C06CD3"/>
    <w:rsid w:val="00C06D1D"/>
    <w:rsid w:val="00C06D1E"/>
    <w:rsid w:val="00C06E87"/>
    <w:rsid w:val="00C07085"/>
    <w:rsid w:val="00C077EB"/>
    <w:rsid w:val="00C07831"/>
    <w:rsid w:val="00C07956"/>
    <w:rsid w:val="00C07B9A"/>
    <w:rsid w:val="00C101E7"/>
    <w:rsid w:val="00C10A15"/>
    <w:rsid w:val="00C10A32"/>
    <w:rsid w:val="00C10ADC"/>
    <w:rsid w:val="00C11585"/>
    <w:rsid w:val="00C116D8"/>
    <w:rsid w:val="00C11772"/>
    <w:rsid w:val="00C1180B"/>
    <w:rsid w:val="00C119CF"/>
    <w:rsid w:val="00C11A51"/>
    <w:rsid w:val="00C123F8"/>
    <w:rsid w:val="00C12B8B"/>
    <w:rsid w:val="00C12E66"/>
    <w:rsid w:val="00C12F57"/>
    <w:rsid w:val="00C1319A"/>
    <w:rsid w:val="00C137AF"/>
    <w:rsid w:val="00C13874"/>
    <w:rsid w:val="00C13903"/>
    <w:rsid w:val="00C13EEE"/>
    <w:rsid w:val="00C142AA"/>
    <w:rsid w:val="00C143AD"/>
    <w:rsid w:val="00C14502"/>
    <w:rsid w:val="00C1468E"/>
    <w:rsid w:val="00C14A5F"/>
    <w:rsid w:val="00C15161"/>
    <w:rsid w:val="00C15688"/>
    <w:rsid w:val="00C15A23"/>
    <w:rsid w:val="00C15A7A"/>
    <w:rsid w:val="00C15C84"/>
    <w:rsid w:val="00C15D3C"/>
    <w:rsid w:val="00C15F25"/>
    <w:rsid w:val="00C15F3F"/>
    <w:rsid w:val="00C1623F"/>
    <w:rsid w:val="00C163B6"/>
    <w:rsid w:val="00C16508"/>
    <w:rsid w:val="00C16590"/>
    <w:rsid w:val="00C16713"/>
    <w:rsid w:val="00C169A3"/>
    <w:rsid w:val="00C16E3E"/>
    <w:rsid w:val="00C1722F"/>
    <w:rsid w:val="00C1767C"/>
    <w:rsid w:val="00C17CC7"/>
    <w:rsid w:val="00C20307"/>
    <w:rsid w:val="00C203E5"/>
    <w:rsid w:val="00C203F6"/>
    <w:rsid w:val="00C20612"/>
    <w:rsid w:val="00C20743"/>
    <w:rsid w:val="00C20A66"/>
    <w:rsid w:val="00C20AEA"/>
    <w:rsid w:val="00C20B0B"/>
    <w:rsid w:val="00C214F6"/>
    <w:rsid w:val="00C216D5"/>
    <w:rsid w:val="00C21A0A"/>
    <w:rsid w:val="00C21A8C"/>
    <w:rsid w:val="00C21D43"/>
    <w:rsid w:val="00C221B8"/>
    <w:rsid w:val="00C223AD"/>
    <w:rsid w:val="00C22941"/>
    <w:rsid w:val="00C22AFF"/>
    <w:rsid w:val="00C22BDC"/>
    <w:rsid w:val="00C22E0C"/>
    <w:rsid w:val="00C22FD1"/>
    <w:rsid w:val="00C23214"/>
    <w:rsid w:val="00C2333F"/>
    <w:rsid w:val="00C23491"/>
    <w:rsid w:val="00C23741"/>
    <w:rsid w:val="00C2381B"/>
    <w:rsid w:val="00C23B31"/>
    <w:rsid w:val="00C23D95"/>
    <w:rsid w:val="00C23E60"/>
    <w:rsid w:val="00C23EB3"/>
    <w:rsid w:val="00C23F28"/>
    <w:rsid w:val="00C23F4E"/>
    <w:rsid w:val="00C23FFD"/>
    <w:rsid w:val="00C24477"/>
    <w:rsid w:val="00C24670"/>
    <w:rsid w:val="00C24CC6"/>
    <w:rsid w:val="00C25031"/>
    <w:rsid w:val="00C25219"/>
    <w:rsid w:val="00C258B0"/>
    <w:rsid w:val="00C2593C"/>
    <w:rsid w:val="00C25B67"/>
    <w:rsid w:val="00C25BF1"/>
    <w:rsid w:val="00C25C96"/>
    <w:rsid w:val="00C25FB7"/>
    <w:rsid w:val="00C26166"/>
    <w:rsid w:val="00C2633C"/>
    <w:rsid w:val="00C265A6"/>
    <w:rsid w:val="00C265C2"/>
    <w:rsid w:val="00C269A7"/>
    <w:rsid w:val="00C26E18"/>
    <w:rsid w:val="00C26E64"/>
    <w:rsid w:val="00C279E5"/>
    <w:rsid w:val="00C27D99"/>
    <w:rsid w:val="00C27E1E"/>
    <w:rsid w:val="00C304A8"/>
    <w:rsid w:val="00C30524"/>
    <w:rsid w:val="00C30602"/>
    <w:rsid w:val="00C3078A"/>
    <w:rsid w:val="00C30B5A"/>
    <w:rsid w:val="00C30F5C"/>
    <w:rsid w:val="00C313DC"/>
    <w:rsid w:val="00C317FC"/>
    <w:rsid w:val="00C31A29"/>
    <w:rsid w:val="00C31CBE"/>
    <w:rsid w:val="00C31EF9"/>
    <w:rsid w:val="00C32670"/>
    <w:rsid w:val="00C32888"/>
    <w:rsid w:val="00C328BA"/>
    <w:rsid w:val="00C32CB0"/>
    <w:rsid w:val="00C3301E"/>
    <w:rsid w:val="00C33034"/>
    <w:rsid w:val="00C330AC"/>
    <w:rsid w:val="00C33D5E"/>
    <w:rsid w:val="00C33DFE"/>
    <w:rsid w:val="00C3414E"/>
    <w:rsid w:val="00C342FE"/>
    <w:rsid w:val="00C34386"/>
    <w:rsid w:val="00C34871"/>
    <w:rsid w:val="00C3497A"/>
    <w:rsid w:val="00C3509D"/>
    <w:rsid w:val="00C35989"/>
    <w:rsid w:val="00C35A63"/>
    <w:rsid w:val="00C35A70"/>
    <w:rsid w:val="00C360A4"/>
    <w:rsid w:val="00C362BD"/>
    <w:rsid w:val="00C3651A"/>
    <w:rsid w:val="00C36845"/>
    <w:rsid w:val="00C36850"/>
    <w:rsid w:val="00C36ADB"/>
    <w:rsid w:val="00C3730B"/>
    <w:rsid w:val="00C403FB"/>
    <w:rsid w:val="00C408B8"/>
    <w:rsid w:val="00C40B42"/>
    <w:rsid w:val="00C40C9A"/>
    <w:rsid w:val="00C411E4"/>
    <w:rsid w:val="00C413E8"/>
    <w:rsid w:val="00C415AA"/>
    <w:rsid w:val="00C41B91"/>
    <w:rsid w:val="00C41C55"/>
    <w:rsid w:val="00C41D10"/>
    <w:rsid w:val="00C41EBD"/>
    <w:rsid w:val="00C4203F"/>
    <w:rsid w:val="00C42DE7"/>
    <w:rsid w:val="00C4358F"/>
    <w:rsid w:val="00C43590"/>
    <w:rsid w:val="00C43761"/>
    <w:rsid w:val="00C43B99"/>
    <w:rsid w:val="00C443DB"/>
    <w:rsid w:val="00C44723"/>
    <w:rsid w:val="00C449DA"/>
    <w:rsid w:val="00C45337"/>
    <w:rsid w:val="00C4533E"/>
    <w:rsid w:val="00C45393"/>
    <w:rsid w:val="00C45529"/>
    <w:rsid w:val="00C455C5"/>
    <w:rsid w:val="00C455EC"/>
    <w:rsid w:val="00C458D3"/>
    <w:rsid w:val="00C45C50"/>
    <w:rsid w:val="00C46688"/>
    <w:rsid w:val="00C46A09"/>
    <w:rsid w:val="00C46AA3"/>
    <w:rsid w:val="00C46B77"/>
    <w:rsid w:val="00C46B78"/>
    <w:rsid w:val="00C46F6B"/>
    <w:rsid w:val="00C46FEB"/>
    <w:rsid w:val="00C474A5"/>
    <w:rsid w:val="00C4767B"/>
    <w:rsid w:val="00C4775E"/>
    <w:rsid w:val="00C4792F"/>
    <w:rsid w:val="00C47F3F"/>
    <w:rsid w:val="00C50931"/>
    <w:rsid w:val="00C50B20"/>
    <w:rsid w:val="00C5131C"/>
    <w:rsid w:val="00C51990"/>
    <w:rsid w:val="00C52066"/>
    <w:rsid w:val="00C52076"/>
    <w:rsid w:val="00C5254F"/>
    <w:rsid w:val="00C528E8"/>
    <w:rsid w:val="00C52E3B"/>
    <w:rsid w:val="00C535A1"/>
    <w:rsid w:val="00C53600"/>
    <w:rsid w:val="00C536E6"/>
    <w:rsid w:val="00C538C1"/>
    <w:rsid w:val="00C53A2E"/>
    <w:rsid w:val="00C53D2C"/>
    <w:rsid w:val="00C53E95"/>
    <w:rsid w:val="00C54267"/>
    <w:rsid w:val="00C54411"/>
    <w:rsid w:val="00C545FF"/>
    <w:rsid w:val="00C549B1"/>
    <w:rsid w:val="00C54A0C"/>
    <w:rsid w:val="00C54AB7"/>
    <w:rsid w:val="00C54D1F"/>
    <w:rsid w:val="00C54E93"/>
    <w:rsid w:val="00C55FF4"/>
    <w:rsid w:val="00C562EC"/>
    <w:rsid w:val="00C5643B"/>
    <w:rsid w:val="00C56A3A"/>
    <w:rsid w:val="00C56B05"/>
    <w:rsid w:val="00C56B93"/>
    <w:rsid w:val="00C56F9B"/>
    <w:rsid w:val="00C57205"/>
    <w:rsid w:val="00C57754"/>
    <w:rsid w:val="00C577E3"/>
    <w:rsid w:val="00C57AB0"/>
    <w:rsid w:val="00C57B54"/>
    <w:rsid w:val="00C57DA1"/>
    <w:rsid w:val="00C60217"/>
    <w:rsid w:val="00C60332"/>
    <w:rsid w:val="00C603A9"/>
    <w:rsid w:val="00C606CB"/>
    <w:rsid w:val="00C606CF"/>
    <w:rsid w:val="00C60727"/>
    <w:rsid w:val="00C608BD"/>
    <w:rsid w:val="00C6093F"/>
    <w:rsid w:val="00C609EE"/>
    <w:rsid w:val="00C6101B"/>
    <w:rsid w:val="00C6102B"/>
    <w:rsid w:val="00C61363"/>
    <w:rsid w:val="00C616A9"/>
    <w:rsid w:val="00C6178E"/>
    <w:rsid w:val="00C617E5"/>
    <w:rsid w:val="00C622AE"/>
    <w:rsid w:val="00C62859"/>
    <w:rsid w:val="00C62B3B"/>
    <w:rsid w:val="00C62F65"/>
    <w:rsid w:val="00C62FFF"/>
    <w:rsid w:val="00C63221"/>
    <w:rsid w:val="00C637FE"/>
    <w:rsid w:val="00C638D3"/>
    <w:rsid w:val="00C63C15"/>
    <w:rsid w:val="00C64049"/>
    <w:rsid w:val="00C641B8"/>
    <w:rsid w:val="00C64326"/>
    <w:rsid w:val="00C648AE"/>
    <w:rsid w:val="00C64AB5"/>
    <w:rsid w:val="00C64B0E"/>
    <w:rsid w:val="00C64C13"/>
    <w:rsid w:val="00C6526F"/>
    <w:rsid w:val="00C653DA"/>
    <w:rsid w:val="00C654E8"/>
    <w:rsid w:val="00C6585C"/>
    <w:rsid w:val="00C65900"/>
    <w:rsid w:val="00C65EF9"/>
    <w:rsid w:val="00C66121"/>
    <w:rsid w:val="00C6656D"/>
    <w:rsid w:val="00C66890"/>
    <w:rsid w:val="00C66A89"/>
    <w:rsid w:val="00C66D4A"/>
    <w:rsid w:val="00C66F95"/>
    <w:rsid w:val="00C67418"/>
    <w:rsid w:val="00C67DCB"/>
    <w:rsid w:val="00C70084"/>
    <w:rsid w:val="00C70371"/>
    <w:rsid w:val="00C70998"/>
    <w:rsid w:val="00C70CC8"/>
    <w:rsid w:val="00C70FFA"/>
    <w:rsid w:val="00C71412"/>
    <w:rsid w:val="00C71466"/>
    <w:rsid w:val="00C71918"/>
    <w:rsid w:val="00C71946"/>
    <w:rsid w:val="00C71A8D"/>
    <w:rsid w:val="00C71B7C"/>
    <w:rsid w:val="00C71D1E"/>
    <w:rsid w:val="00C71ED2"/>
    <w:rsid w:val="00C7219A"/>
    <w:rsid w:val="00C721A2"/>
    <w:rsid w:val="00C7241B"/>
    <w:rsid w:val="00C7266D"/>
    <w:rsid w:val="00C727FA"/>
    <w:rsid w:val="00C72CD2"/>
    <w:rsid w:val="00C73156"/>
    <w:rsid w:val="00C73327"/>
    <w:rsid w:val="00C733AD"/>
    <w:rsid w:val="00C7364C"/>
    <w:rsid w:val="00C7377A"/>
    <w:rsid w:val="00C7385F"/>
    <w:rsid w:val="00C73B8F"/>
    <w:rsid w:val="00C73EB5"/>
    <w:rsid w:val="00C7405A"/>
    <w:rsid w:val="00C74627"/>
    <w:rsid w:val="00C7484E"/>
    <w:rsid w:val="00C74A0B"/>
    <w:rsid w:val="00C74A84"/>
    <w:rsid w:val="00C754DC"/>
    <w:rsid w:val="00C755D1"/>
    <w:rsid w:val="00C7578B"/>
    <w:rsid w:val="00C75989"/>
    <w:rsid w:val="00C75D79"/>
    <w:rsid w:val="00C75E0B"/>
    <w:rsid w:val="00C75E56"/>
    <w:rsid w:val="00C760BF"/>
    <w:rsid w:val="00C76137"/>
    <w:rsid w:val="00C7641B"/>
    <w:rsid w:val="00C7657F"/>
    <w:rsid w:val="00C76D06"/>
    <w:rsid w:val="00C7751D"/>
    <w:rsid w:val="00C77A85"/>
    <w:rsid w:val="00C77A9D"/>
    <w:rsid w:val="00C77EA5"/>
    <w:rsid w:val="00C77F83"/>
    <w:rsid w:val="00C80334"/>
    <w:rsid w:val="00C80462"/>
    <w:rsid w:val="00C807B0"/>
    <w:rsid w:val="00C80EE5"/>
    <w:rsid w:val="00C80FB4"/>
    <w:rsid w:val="00C8164F"/>
    <w:rsid w:val="00C81BF3"/>
    <w:rsid w:val="00C82305"/>
    <w:rsid w:val="00C8241B"/>
    <w:rsid w:val="00C83031"/>
    <w:rsid w:val="00C83634"/>
    <w:rsid w:val="00C83916"/>
    <w:rsid w:val="00C83FC9"/>
    <w:rsid w:val="00C8486C"/>
    <w:rsid w:val="00C84B7A"/>
    <w:rsid w:val="00C84DE6"/>
    <w:rsid w:val="00C851E7"/>
    <w:rsid w:val="00C85419"/>
    <w:rsid w:val="00C85457"/>
    <w:rsid w:val="00C85630"/>
    <w:rsid w:val="00C85B20"/>
    <w:rsid w:val="00C861F9"/>
    <w:rsid w:val="00C862E1"/>
    <w:rsid w:val="00C86448"/>
    <w:rsid w:val="00C868F4"/>
    <w:rsid w:val="00C86A67"/>
    <w:rsid w:val="00C86A84"/>
    <w:rsid w:val="00C872CF"/>
    <w:rsid w:val="00C87BB6"/>
    <w:rsid w:val="00C87C4C"/>
    <w:rsid w:val="00C90056"/>
    <w:rsid w:val="00C907E8"/>
    <w:rsid w:val="00C90AC4"/>
    <w:rsid w:val="00C90D2F"/>
    <w:rsid w:val="00C90E0F"/>
    <w:rsid w:val="00C90E6B"/>
    <w:rsid w:val="00C90F84"/>
    <w:rsid w:val="00C91989"/>
    <w:rsid w:val="00C91A6E"/>
    <w:rsid w:val="00C91EE4"/>
    <w:rsid w:val="00C921C9"/>
    <w:rsid w:val="00C92CBE"/>
    <w:rsid w:val="00C92FF3"/>
    <w:rsid w:val="00C93125"/>
    <w:rsid w:val="00C9327A"/>
    <w:rsid w:val="00C933B7"/>
    <w:rsid w:val="00C933F5"/>
    <w:rsid w:val="00C935B1"/>
    <w:rsid w:val="00C94181"/>
    <w:rsid w:val="00C94339"/>
    <w:rsid w:val="00C9496A"/>
    <w:rsid w:val="00C95384"/>
    <w:rsid w:val="00C9539C"/>
    <w:rsid w:val="00C9566B"/>
    <w:rsid w:val="00C9576C"/>
    <w:rsid w:val="00C95ABA"/>
    <w:rsid w:val="00C95C35"/>
    <w:rsid w:val="00C95CE9"/>
    <w:rsid w:val="00C95E60"/>
    <w:rsid w:val="00C9647D"/>
    <w:rsid w:val="00C967E9"/>
    <w:rsid w:val="00C96A39"/>
    <w:rsid w:val="00C9700A"/>
    <w:rsid w:val="00C97041"/>
    <w:rsid w:val="00C97196"/>
    <w:rsid w:val="00C97280"/>
    <w:rsid w:val="00C972C2"/>
    <w:rsid w:val="00C97A8A"/>
    <w:rsid w:val="00CA068F"/>
    <w:rsid w:val="00CA0C74"/>
    <w:rsid w:val="00CA0EF0"/>
    <w:rsid w:val="00CA0FD3"/>
    <w:rsid w:val="00CA142F"/>
    <w:rsid w:val="00CA16B3"/>
    <w:rsid w:val="00CA19CF"/>
    <w:rsid w:val="00CA1B5A"/>
    <w:rsid w:val="00CA1CD0"/>
    <w:rsid w:val="00CA2018"/>
    <w:rsid w:val="00CA206A"/>
    <w:rsid w:val="00CA246A"/>
    <w:rsid w:val="00CA2661"/>
    <w:rsid w:val="00CA2A16"/>
    <w:rsid w:val="00CA2AEC"/>
    <w:rsid w:val="00CA2ECA"/>
    <w:rsid w:val="00CA307B"/>
    <w:rsid w:val="00CA3202"/>
    <w:rsid w:val="00CA33AE"/>
    <w:rsid w:val="00CA3A56"/>
    <w:rsid w:val="00CA3B1E"/>
    <w:rsid w:val="00CA3BD6"/>
    <w:rsid w:val="00CA3DD6"/>
    <w:rsid w:val="00CA3E79"/>
    <w:rsid w:val="00CA42D4"/>
    <w:rsid w:val="00CA436E"/>
    <w:rsid w:val="00CA4462"/>
    <w:rsid w:val="00CA5323"/>
    <w:rsid w:val="00CA5914"/>
    <w:rsid w:val="00CA5DB1"/>
    <w:rsid w:val="00CA5F48"/>
    <w:rsid w:val="00CA61DC"/>
    <w:rsid w:val="00CA6292"/>
    <w:rsid w:val="00CA6324"/>
    <w:rsid w:val="00CA65D8"/>
    <w:rsid w:val="00CA6621"/>
    <w:rsid w:val="00CA675F"/>
    <w:rsid w:val="00CA6C1F"/>
    <w:rsid w:val="00CA700F"/>
    <w:rsid w:val="00CA7B0B"/>
    <w:rsid w:val="00CA7D39"/>
    <w:rsid w:val="00CB09CC"/>
    <w:rsid w:val="00CB0A3D"/>
    <w:rsid w:val="00CB0C79"/>
    <w:rsid w:val="00CB0C99"/>
    <w:rsid w:val="00CB0D4F"/>
    <w:rsid w:val="00CB0DC7"/>
    <w:rsid w:val="00CB1183"/>
    <w:rsid w:val="00CB1789"/>
    <w:rsid w:val="00CB1AB4"/>
    <w:rsid w:val="00CB1F58"/>
    <w:rsid w:val="00CB2245"/>
    <w:rsid w:val="00CB256B"/>
    <w:rsid w:val="00CB29FD"/>
    <w:rsid w:val="00CB30D7"/>
    <w:rsid w:val="00CB320E"/>
    <w:rsid w:val="00CB331B"/>
    <w:rsid w:val="00CB394E"/>
    <w:rsid w:val="00CB3D6B"/>
    <w:rsid w:val="00CB4182"/>
    <w:rsid w:val="00CB4DAA"/>
    <w:rsid w:val="00CB4E0C"/>
    <w:rsid w:val="00CB55A7"/>
    <w:rsid w:val="00CB5667"/>
    <w:rsid w:val="00CB56B2"/>
    <w:rsid w:val="00CB62AF"/>
    <w:rsid w:val="00CB6309"/>
    <w:rsid w:val="00CB6556"/>
    <w:rsid w:val="00CB660A"/>
    <w:rsid w:val="00CB6BAA"/>
    <w:rsid w:val="00CB6C21"/>
    <w:rsid w:val="00CB7242"/>
    <w:rsid w:val="00CB75C2"/>
    <w:rsid w:val="00CB76A5"/>
    <w:rsid w:val="00CB790A"/>
    <w:rsid w:val="00CB79A7"/>
    <w:rsid w:val="00CB7B1F"/>
    <w:rsid w:val="00CC0BC8"/>
    <w:rsid w:val="00CC0CE9"/>
    <w:rsid w:val="00CC0F95"/>
    <w:rsid w:val="00CC1120"/>
    <w:rsid w:val="00CC1FAC"/>
    <w:rsid w:val="00CC20A9"/>
    <w:rsid w:val="00CC27C6"/>
    <w:rsid w:val="00CC27D9"/>
    <w:rsid w:val="00CC2C2E"/>
    <w:rsid w:val="00CC2D53"/>
    <w:rsid w:val="00CC2D77"/>
    <w:rsid w:val="00CC2EB3"/>
    <w:rsid w:val="00CC3569"/>
    <w:rsid w:val="00CC36E0"/>
    <w:rsid w:val="00CC3929"/>
    <w:rsid w:val="00CC398B"/>
    <w:rsid w:val="00CC3B98"/>
    <w:rsid w:val="00CC427F"/>
    <w:rsid w:val="00CC4281"/>
    <w:rsid w:val="00CC444E"/>
    <w:rsid w:val="00CC45B0"/>
    <w:rsid w:val="00CC45C8"/>
    <w:rsid w:val="00CC4681"/>
    <w:rsid w:val="00CC470A"/>
    <w:rsid w:val="00CC47D1"/>
    <w:rsid w:val="00CC522B"/>
    <w:rsid w:val="00CC55CF"/>
    <w:rsid w:val="00CC55D9"/>
    <w:rsid w:val="00CC587F"/>
    <w:rsid w:val="00CC5D24"/>
    <w:rsid w:val="00CC6088"/>
    <w:rsid w:val="00CC664E"/>
    <w:rsid w:val="00CC6AF4"/>
    <w:rsid w:val="00CC6B20"/>
    <w:rsid w:val="00CC6B51"/>
    <w:rsid w:val="00CC6C2A"/>
    <w:rsid w:val="00CC6DFD"/>
    <w:rsid w:val="00CC6F60"/>
    <w:rsid w:val="00CC74F4"/>
    <w:rsid w:val="00CC77EC"/>
    <w:rsid w:val="00CC7807"/>
    <w:rsid w:val="00CC79B2"/>
    <w:rsid w:val="00CC7E9C"/>
    <w:rsid w:val="00CD01A7"/>
    <w:rsid w:val="00CD0577"/>
    <w:rsid w:val="00CD07FA"/>
    <w:rsid w:val="00CD0E6B"/>
    <w:rsid w:val="00CD1711"/>
    <w:rsid w:val="00CD17F7"/>
    <w:rsid w:val="00CD1C9B"/>
    <w:rsid w:val="00CD1CCE"/>
    <w:rsid w:val="00CD1D13"/>
    <w:rsid w:val="00CD1DFA"/>
    <w:rsid w:val="00CD207F"/>
    <w:rsid w:val="00CD21B1"/>
    <w:rsid w:val="00CD23B2"/>
    <w:rsid w:val="00CD2734"/>
    <w:rsid w:val="00CD331F"/>
    <w:rsid w:val="00CD3354"/>
    <w:rsid w:val="00CD3601"/>
    <w:rsid w:val="00CD39C3"/>
    <w:rsid w:val="00CD3D66"/>
    <w:rsid w:val="00CD3E27"/>
    <w:rsid w:val="00CD443D"/>
    <w:rsid w:val="00CD5A15"/>
    <w:rsid w:val="00CD5BCE"/>
    <w:rsid w:val="00CD5D60"/>
    <w:rsid w:val="00CD61FD"/>
    <w:rsid w:val="00CD6CA8"/>
    <w:rsid w:val="00CD7324"/>
    <w:rsid w:val="00CD79A1"/>
    <w:rsid w:val="00CD79D5"/>
    <w:rsid w:val="00CD7CEA"/>
    <w:rsid w:val="00CE0419"/>
    <w:rsid w:val="00CE05CF"/>
    <w:rsid w:val="00CE0693"/>
    <w:rsid w:val="00CE078C"/>
    <w:rsid w:val="00CE084C"/>
    <w:rsid w:val="00CE0BB7"/>
    <w:rsid w:val="00CE0F6B"/>
    <w:rsid w:val="00CE12CD"/>
    <w:rsid w:val="00CE1E52"/>
    <w:rsid w:val="00CE2002"/>
    <w:rsid w:val="00CE214D"/>
    <w:rsid w:val="00CE25CB"/>
    <w:rsid w:val="00CE2752"/>
    <w:rsid w:val="00CE2856"/>
    <w:rsid w:val="00CE2997"/>
    <w:rsid w:val="00CE2B4F"/>
    <w:rsid w:val="00CE2BF0"/>
    <w:rsid w:val="00CE2EA8"/>
    <w:rsid w:val="00CE313F"/>
    <w:rsid w:val="00CE350E"/>
    <w:rsid w:val="00CE3D26"/>
    <w:rsid w:val="00CE3F18"/>
    <w:rsid w:val="00CE4515"/>
    <w:rsid w:val="00CE4CCF"/>
    <w:rsid w:val="00CE5041"/>
    <w:rsid w:val="00CE53AD"/>
    <w:rsid w:val="00CE5581"/>
    <w:rsid w:val="00CE55FA"/>
    <w:rsid w:val="00CE5D2B"/>
    <w:rsid w:val="00CE5D37"/>
    <w:rsid w:val="00CE5D55"/>
    <w:rsid w:val="00CE5F39"/>
    <w:rsid w:val="00CE5F6D"/>
    <w:rsid w:val="00CE6009"/>
    <w:rsid w:val="00CE62B4"/>
    <w:rsid w:val="00CE62F1"/>
    <w:rsid w:val="00CE6559"/>
    <w:rsid w:val="00CE6B37"/>
    <w:rsid w:val="00CE6BC0"/>
    <w:rsid w:val="00CE6F32"/>
    <w:rsid w:val="00CE766E"/>
    <w:rsid w:val="00CE7BAA"/>
    <w:rsid w:val="00CE7D38"/>
    <w:rsid w:val="00CF01E0"/>
    <w:rsid w:val="00CF028D"/>
    <w:rsid w:val="00CF037F"/>
    <w:rsid w:val="00CF06B1"/>
    <w:rsid w:val="00CF0762"/>
    <w:rsid w:val="00CF0BE5"/>
    <w:rsid w:val="00CF0E44"/>
    <w:rsid w:val="00CF1100"/>
    <w:rsid w:val="00CF129E"/>
    <w:rsid w:val="00CF228E"/>
    <w:rsid w:val="00CF27DD"/>
    <w:rsid w:val="00CF2861"/>
    <w:rsid w:val="00CF29DC"/>
    <w:rsid w:val="00CF2D24"/>
    <w:rsid w:val="00CF2D5F"/>
    <w:rsid w:val="00CF2E56"/>
    <w:rsid w:val="00CF2F08"/>
    <w:rsid w:val="00CF3388"/>
    <w:rsid w:val="00CF35F2"/>
    <w:rsid w:val="00CF39D1"/>
    <w:rsid w:val="00CF3B33"/>
    <w:rsid w:val="00CF3BD3"/>
    <w:rsid w:val="00CF3E24"/>
    <w:rsid w:val="00CF4A86"/>
    <w:rsid w:val="00CF4C6E"/>
    <w:rsid w:val="00CF4FC6"/>
    <w:rsid w:val="00CF5430"/>
    <w:rsid w:val="00CF546B"/>
    <w:rsid w:val="00CF5718"/>
    <w:rsid w:val="00CF5AF0"/>
    <w:rsid w:val="00CF5D75"/>
    <w:rsid w:val="00CF5D7F"/>
    <w:rsid w:val="00CF5F91"/>
    <w:rsid w:val="00CF61EF"/>
    <w:rsid w:val="00CF632B"/>
    <w:rsid w:val="00CF64BB"/>
    <w:rsid w:val="00CF6914"/>
    <w:rsid w:val="00CF6AC0"/>
    <w:rsid w:val="00CF7087"/>
    <w:rsid w:val="00CF7286"/>
    <w:rsid w:val="00CF7918"/>
    <w:rsid w:val="00CF7BF8"/>
    <w:rsid w:val="00D0026F"/>
    <w:rsid w:val="00D00794"/>
    <w:rsid w:val="00D00987"/>
    <w:rsid w:val="00D011D7"/>
    <w:rsid w:val="00D0132D"/>
    <w:rsid w:val="00D01424"/>
    <w:rsid w:val="00D01543"/>
    <w:rsid w:val="00D015BC"/>
    <w:rsid w:val="00D017D8"/>
    <w:rsid w:val="00D018AB"/>
    <w:rsid w:val="00D01BCA"/>
    <w:rsid w:val="00D01CA0"/>
    <w:rsid w:val="00D0212B"/>
    <w:rsid w:val="00D021B8"/>
    <w:rsid w:val="00D02822"/>
    <w:rsid w:val="00D02CE7"/>
    <w:rsid w:val="00D032C6"/>
    <w:rsid w:val="00D0357E"/>
    <w:rsid w:val="00D0383F"/>
    <w:rsid w:val="00D03BE1"/>
    <w:rsid w:val="00D0418A"/>
    <w:rsid w:val="00D0447A"/>
    <w:rsid w:val="00D0470B"/>
    <w:rsid w:val="00D04AC8"/>
    <w:rsid w:val="00D04D4C"/>
    <w:rsid w:val="00D04FBE"/>
    <w:rsid w:val="00D0556F"/>
    <w:rsid w:val="00D055C9"/>
    <w:rsid w:val="00D0590D"/>
    <w:rsid w:val="00D05DFD"/>
    <w:rsid w:val="00D065AE"/>
    <w:rsid w:val="00D06DB5"/>
    <w:rsid w:val="00D07CB3"/>
    <w:rsid w:val="00D07FEB"/>
    <w:rsid w:val="00D10193"/>
    <w:rsid w:val="00D10417"/>
    <w:rsid w:val="00D10660"/>
    <w:rsid w:val="00D1079A"/>
    <w:rsid w:val="00D10C04"/>
    <w:rsid w:val="00D10C1C"/>
    <w:rsid w:val="00D10CF7"/>
    <w:rsid w:val="00D110BF"/>
    <w:rsid w:val="00D110D5"/>
    <w:rsid w:val="00D114E3"/>
    <w:rsid w:val="00D11555"/>
    <w:rsid w:val="00D116D3"/>
    <w:rsid w:val="00D12275"/>
    <w:rsid w:val="00D1269E"/>
    <w:rsid w:val="00D12E81"/>
    <w:rsid w:val="00D12F2A"/>
    <w:rsid w:val="00D13839"/>
    <w:rsid w:val="00D140A4"/>
    <w:rsid w:val="00D143E0"/>
    <w:rsid w:val="00D149AD"/>
    <w:rsid w:val="00D14F80"/>
    <w:rsid w:val="00D15492"/>
    <w:rsid w:val="00D1597B"/>
    <w:rsid w:val="00D15F86"/>
    <w:rsid w:val="00D160F3"/>
    <w:rsid w:val="00D164B8"/>
    <w:rsid w:val="00D16654"/>
    <w:rsid w:val="00D16695"/>
    <w:rsid w:val="00D16E73"/>
    <w:rsid w:val="00D16E9C"/>
    <w:rsid w:val="00D16F76"/>
    <w:rsid w:val="00D17554"/>
    <w:rsid w:val="00D17F2C"/>
    <w:rsid w:val="00D20071"/>
    <w:rsid w:val="00D20466"/>
    <w:rsid w:val="00D20674"/>
    <w:rsid w:val="00D206CB"/>
    <w:rsid w:val="00D207A4"/>
    <w:rsid w:val="00D208E4"/>
    <w:rsid w:val="00D2090A"/>
    <w:rsid w:val="00D20DB4"/>
    <w:rsid w:val="00D212F4"/>
    <w:rsid w:val="00D21420"/>
    <w:rsid w:val="00D21542"/>
    <w:rsid w:val="00D215C7"/>
    <w:rsid w:val="00D21635"/>
    <w:rsid w:val="00D2173B"/>
    <w:rsid w:val="00D21B07"/>
    <w:rsid w:val="00D21B96"/>
    <w:rsid w:val="00D21CF4"/>
    <w:rsid w:val="00D21E91"/>
    <w:rsid w:val="00D21F62"/>
    <w:rsid w:val="00D22C3D"/>
    <w:rsid w:val="00D22FB1"/>
    <w:rsid w:val="00D23612"/>
    <w:rsid w:val="00D23734"/>
    <w:rsid w:val="00D237E1"/>
    <w:rsid w:val="00D2384F"/>
    <w:rsid w:val="00D238BA"/>
    <w:rsid w:val="00D23CB9"/>
    <w:rsid w:val="00D23D95"/>
    <w:rsid w:val="00D24188"/>
    <w:rsid w:val="00D242AB"/>
    <w:rsid w:val="00D2443F"/>
    <w:rsid w:val="00D24C87"/>
    <w:rsid w:val="00D24DC5"/>
    <w:rsid w:val="00D24E5D"/>
    <w:rsid w:val="00D254AB"/>
    <w:rsid w:val="00D25628"/>
    <w:rsid w:val="00D25C6A"/>
    <w:rsid w:val="00D2630D"/>
    <w:rsid w:val="00D268F3"/>
    <w:rsid w:val="00D26B87"/>
    <w:rsid w:val="00D26E39"/>
    <w:rsid w:val="00D26E3F"/>
    <w:rsid w:val="00D27173"/>
    <w:rsid w:val="00D271E3"/>
    <w:rsid w:val="00D2748B"/>
    <w:rsid w:val="00D278D2"/>
    <w:rsid w:val="00D27BC0"/>
    <w:rsid w:val="00D27CE8"/>
    <w:rsid w:val="00D27D59"/>
    <w:rsid w:val="00D27FF2"/>
    <w:rsid w:val="00D3028E"/>
    <w:rsid w:val="00D303EA"/>
    <w:rsid w:val="00D30BA4"/>
    <w:rsid w:val="00D30BDE"/>
    <w:rsid w:val="00D30C79"/>
    <w:rsid w:val="00D3130B"/>
    <w:rsid w:val="00D31481"/>
    <w:rsid w:val="00D31489"/>
    <w:rsid w:val="00D314C9"/>
    <w:rsid w:val="00D31634"/>
    <w:rsid w:val="00D319CC"/>
    <w:rsid w:val="00D31B41"/>
    <w:rsid w:val="00D31D79"/>
    <w:rsid w:val="00D322DF"/>
    <w:rsid w:val="00D32645"/>
    <w:rsid w:val="00D32708"/>
    <w:rsid w:val="00D327CC"/>
    <w:rsid w:val="00D3294B"/>
    <w:rsid w:val="00D32BB8"/>
    <w:rsid w:val="00D3303A"/>
    <w:rsid w:val="00D330CE"/>
    <w:rsid w:val="00D33293"/>
    <w:rsid w:val="00D33E16"/>
    <w:rsid w:val="00D34409"/>
    <w:rsid w:val="00D34425"/>
    <w:rsid w:val="00D34555"/>
    <w:rsid w:val="00D34690"/>
    <w:rsid w:val="00D34A08"/>
    <w:rsid w:val="00D34DBA"/>
    <w:rsid w:val="00D3524E"/>
    <w:rsid w:val="00D35926"/>
    <w:rsid w:val="00D35AF4"/>
    <w:rsid w:val="00D36114"/>
    <w:rsid w:val="00D36776"/>
    <w:rsid w:val="00D3697A"/>
    <w:rsid w:val="00D36AE4"/>
    <w:rsid w:val="00D36AFE"/>
    <w:rsid w:val="00D37118"/>
    <w:rsid w:val="00D37B49"/>
    <w:rsid w:val="00D37DCA"/>
    <w:rsid w:val="00D408EB"/>
    <w:rsid w:val="00D40D63"/>
    <w:rsid w:val="00D40D66"/>
    <w:rsid w:val="00D40ECC"/>
    <w:rsid w:val="00D411B6"/>
    <w:rsid w:val="00D41502"/>
    <w:rsid w:val="00D41715"/>
    <w:rsid w:val="00D4183A"/>
    <w:rsid w:val="00D41D3F"/>
    <w:rsid w:val="00D42159"/>
    <w:rsid w:val="00D42490"/>
    <w:rsid w:val="00D424B7"/>
    <w:rsid w:val="00D42632"/>
    <w:rsid w:val="00D42F71"/>
    <w:rsid w:val="00D42F73"/>
    <w:rsid w:val="00D43957"/>
    <w:rsid w:val="00D43F21"/>
    <w:rsid w:val="00D44095"/>
    <w:rsid w:val="00D440BE"/>
    <w:rsid w:val="00D444B6"/>
    <w:rsid w:val="00D44557"/>
    <w:rsid w:val="00D4455E"/>
    <w:rsid w:val="00D44839"/>
    <w:rsid w:val="00D44A50"/>
    <w:rsid w:val="00D44ED9"/>
    <w:rsid w:val="00D45B42"/>
    <w:rsid w:val="00D45B51"/>
    <w:rsid w:val="00D46521"/>
    <w:rsid w:val="00D469C9"/>
    <w:rsid w:val="00D46AA4"/>
    <w:rsid w:val="00D46B1C"/>
    <w:rsid w:val="00D47BBA"/>
    <w:rsid w:val="00D47BE5"/>
    <w:rsid w:val="00D47D24"/>
    <w:rsid w:val="00D47D71"/>
    <w:rsid w:val="00D47E34"/>
    <w:rsid w:val="00D50178"/>
    <w:rsid w:val="00D5030A"/>
    <w:rsid w:val="00D50674"/>
    <w:rsid w:val="00D5173C"/>
    <w:rsid w:val="00D517CB"/>
    <w:rsid w:val="00D5185D"/>
    <w:rsid w:val="00D519CC"/>
    <w:rsid w:val="00D51C1B"/>
    <w:rsid w:val="00D52090"/>
    <w:rsid w:val="00D52873"/>
    <w:rsid w:val="00D529C8"/>
    <w:rsid w:val="00D52AB2"/>
    <w:rsid w:val="00D533FA"/>
    <w:rsid w:val="00D53C0A"/>
    <w:rsid w:val="00D53FEC"/>
    <w:rsid w:val="00D54075"/>
    <w:rsid w:val="00D54201"/>
    <w:rsid w:val="00D548CD"/>
    <w:rsid w:val="00D548E7"/>
    <w:rsid w:val="00D54974"/>
    <w:rsid w:val="00D54BEE"/>
    <w:rsid w:val="00D550F8"/>
    <w:rsid w:val="00D55102"/>
    <w:rsid w:val="00D5510A"/>
    <w:rsid w:val="00D55196"/>
    <w:rsid w:val="00D5542B"/>
    <w:rsid w:val="00D5551B"/>
    <w:rsid w:val="00D555B0"/>
    <w:rsid w:val="00D5589F"/>
    <w:rsid w:val="00D55B43"/>
    <w:rsid w:val="00D55C53"/>
    <w:rsid w:val="00D55E92"/>
    <w:rsid w:val="00D56751"/>
    <w:rsid w:val="00D56959"/>
    <w:rsid w:val="00D56B5D"/>
    <w:rsid w:val="00D570D4"/>
    <w:rsid w:val="00D57923"/>
    <w:rsid w:val="00D57A75"/>
    <w:rsid w:val="00D57C49"/>
    <w:rsid w:val="00D57E31"/>
    <w:rsid w:val="00D57FC8"/>
    <w:rsid w:val="00D60263"/>
    <w:rsid w:val="00D60561"/>
    <w:rsid w:val="00D60A07"/>
    <w:rsid w:val="00D60B0B"/>
    <w:rsid w:val="00D60DED"/>
    <w:rsid w:val="00D60F24"/>
    <w:rsid w:val="00D60F9E"/>
    <w:rsid w:val="00D61227"/>
    <w:rsid w:val="00D61393"/>
    <w:rsid w:val="00D621BE"/>
    <w:rsid w:val="00D621E2"/>
    <w:rsid w:val="00D621EE"/>
    <w:rsid w:val="00D624A2"/>
    <w:rsid w:val="00D62B5D"/>
    <w:rsid w:val="00D62E87"/>
    <w:rsid w:val="00D63123"/>
    <w:rsid w:val="00D634ED"/>
    <w:rsid w:val="00D63727"/>
    <w:rsid w:val="00D638A3"/>
    <w:rsid w:val="00D63B59"/>
    <w:rsid w:val="00D63C00"/>
    <w:rsid w:val="00D63D41"/>
    <w:rsid w:val="00D63D42"/>
    <w:rsid w:val="00D640AF"/>
    <w:rsid w:val="00D644EB"/>
    <w:rsid w:val="00D64A4C"/>
    <w:rsid w:val="00D64A73"/>
    <w:rsid w:val="00D64C06"/>
    <w:rsid w:val="00D64C7E"/>
    <w:rsid w:val="00D64E61"/>
    <w:rsid w:val="00D64EE7"/>
    <w:rsid w:val="00D64F90"/>
    <w:rsid w:val="00D6522D"/>
    <w:rsid w:val="00D65593"/>
    <w:rsid w:val="00D65662"/>
    <w:rsid w:val="00D65770"/>
    <w:rsid w:val="00D65EDA"/>
    <w:rsid w:val="00D66098"/>
    <w:rsid w:val="00D662DA"/>
    <w:rsid w:val="00D662EB"/>
    <w:rsid w:val="00D666D4"/>
    <w:rsid w:val="00D66CBD"/>
    <w:rsid w:val="00D66CC3"/>
    <w:rsid w:val="00D67BD9"/>
    <w:rsid w:val="00D67E23"/>
    <w:rsid w:val="00D701A0"/>
    <w:rsid w:val="00D7055F"/>
    <w:rsid w:val="00D708D8"/>
    <w:rsid w:val="00D70AA2"/>
    <w:rsid w:val="00D70FBA"/>
    <w:rsid w:val="00D7118D"/>
    <w:rsid w:val="00D714F9"/>
    <w:rsid w:val="00D71886"/>
    <w:rsid w:val="00D719C9"/>
    <w:rsid w:val="00D71FF3"/>
    <w:rsid w:val="00D722F7"/>
    <w:rsid w:val="00D72394"/>
    <w:rsid w:val="00D7262B"/>
    <w:rsid w:val="00D727DE"/>
    <w:rsid w:val="00D72853"/>
    <w:rsid w:val="00D72D75"/>
    <w:rsid w:val="00D72F17"/>
    <w:rsid w:val="00D73EB0"/>
    <w:rsid w:val="00D73F2D"/>
    <w:rsid w:val="00D7414F"/>
    <w:rsid w:val="00D742AC"/>
    <w:rsid w:val="00D747FC"/>
    <w:rsid w:val="00D74879"/>
    <w:rsid w:val="00D7499B"/>
    <w:rsid w:val="00D74E4B"/>
    <w:rsid w:val="00D74E8D"/>
    <w:rsid w:val="00D74E90"/>
    <w:rsid w:val="00D75D39"/>
    <w:rsid w:val="00D75F46"/>
    <w:rsid w:val="00D76798"/>
    <w:rsid w:val="00D76864"/>
    <w:rsid w:val="00D768E1"/>
    <w:rsid w:val="00D76B3E"/>
    <w:rsid w:val="00D76DD9"/>
    <w:rsid w:val="00D76E8E"/>
    <w:rsid w:val="00D77206"/>
    <w:rsid w:val="00D77506"/>
    <w:rsid w:val="00D7761F"/>
    <w:rsid w:val="00D801E6"/>
    <w:rsid w:val="00D80A78"/>
    <w:rsid w:val="00D80B1B"/>
    <w:rsid w:val="00D80CAB"/>
    <w:rsid w:val="00D80F2B"/>
    <w:rsid w:val="00D81299"/>
    <w:rsid w:val="00D8160C"/>
    <w:rsid w:val="00D819FE"/>
    <w:rsid w:val="00D8202A"/>
    <w:rsid w:val="00D8216C"/>
    <w:rsid w:val="00D82329"/>
    <w:rsid w:val="00D823ED"/>
    <w:rsid w:val="00D825A0"/>
    <w:rsid w:val="00D826D3"/>
    <w:rsid w:val="00D8282F"/>
    <w:rsid w:val="00D82D2D"/>
    <w:rsid w:val="00D830BE"/>
    <w:rsid w:val="00D83152"/>
    <w:rsid w:val="00D8322E"/>
    <w:rsid w:val="00D835D5"/>
    <w:rsid w:val="00D836E6"/>
    <w:rsid w:val="00D838D7"/>
    <w:rsid w:val="00D83A0A"/>
    <w:rsid w:val="00D83BDA"/>
    <w:rsid w:val="00D83DE4"/>
    <w:rsid w:val="00D8434D"/>
    <w:rsid w:val="00D84A83"/>
    <w:rsid w:val="00D84AA3"/>
    <w:rsid w:val="00D851CA"/>
    <w:rsid w:val="00D851F1"/>
    <w:rsid w:val="00D85327"/>
    <w:rsid w:val="00D8541A"/>
    <w:rsid w:val="00D85791"/>
    <w:rsid w:val="00D85A60"/>
    <w:rsid w:val="00D85BBA"/>
    <w:rsid w:val="00D85DD0"/>
    <w:rsid w:val="00D85EE0"/>
    <w:rsid w:val="00D85F96"/>
    <w:rsid w:val="00D8670B"/>
    <w:rsid w:val="00D8689F"/>
    <w:rsid w:val="00D86FDA"/>
    <w:rsid w:val="00D87172"/>
    <w:rsid w:val="00D872CC"/>
    <w:rsid w:val="00D872F3"/>
    <w:rsid w:val="00D87767"/>
    <w:rsid w:val="00D87836"/>
    <w:rsid w:val="00D87FD0"/>
    <w:rsid w:val="00D900E4"/>
    <w:rsid w:val="00D90206"/>
    <w:rsid w:val="00D9095C"/>
    <w:rsid w:val="00D909A7"/>
    <w:rsid w:val="00D909E1"/>
    <w:rsid w:val="00D90C3F"/>
    <w:rsid w:val="00D90CE7"/>
    <w:rsid w:val="00D91250"/>
    <w:rsid w:val="00D91572"/>
    <w:rsid w:val="00D916A1"/>
    <w:rsid w:val="00D9186D"/>
    <w:rsid w:val="00D923B3"/>
    <w:rsid w:val="00D92625"/>
    <w:rsid w:val="00D92C50"/>
    <w:rsid w:val="00D92EE6"/>
    <w:rsid w:val="00D93720"/>
    <w:rsid w:val="00D9372B"/>
    <w:rsid w:val="00D93908"/>
    <w:rsid w:val="00D9391F"/>
    <w:rsid w:val="00D93D2F"/>
    <w:rsid w:val="00D93DD5"/>
    <w:rsid w:val="00D940E6"/>
    <w:rsid w:val="00D9412E"/>
    <w:rsid w:val="00D944F5"/>
    <w:rsid w:val="00D9479C"/>
    <w:rsid w:val="00D94849"/>
    <w:rsid w:val="00D95017"/>
    <w:rsid w:val="00D952E7"/>
    <w:rsid w:val="00D955EC"/>
    <w:rsid w:val="00D95910"/>
    <w:rsid w:val="00D959E8"/>
    <w:rsid w:val="00D95CE3"/>
    <w:rsid w:val="00D95E0C"/>
    <w:rsid w:val="00D95E4A"/>
    <w:rsid w:val="00D95EA6"/>
    <w:rsid w:val="00D95EF4"/>
    <w:rsid w:val="00D96279"/>
    <w:rsid w:val="00D96706"/>
    <w:rsid w:val="00D96890"/>
    <w:rsid w:val="00D96D2F"/>
    <w:rsid w:val="00D97152"/>
    <w:rsid w:val="00D976ED"/>
    <w:rsid w:val="00D97789"/>
    <w:rsid w:val="00D97E38"/>
    <w:rsid w:val="00DA0486"/>
    <w:rsid w:val="00DA0B40"/>
    <w:rsid w:val="00DA0E09"/>
    <w:rsid w:val="00DA15D0"/>
    <w:rsid w:val="00DA18A1"/>
    <w:rsid w:val="00DA1E8D"/>
    <w:rsid w:val="00DA20C5"/>
    <w:rsid w:val="00DA2381"/>
    <w:rsid w:val="00DA2473"/>
    <w:rsid w:val="00DA25FA"/>
    <w:rsid w:val="00DA26D3"/>
    <w:rsid w:val="00DA288C"/>
    <w:rsid w:val="00DA2932"/>
    <w:rsid w:val="00DA29C0"/>
    <w:rsid w:val="00DA2A3E"/>
    <w:rsid w:val="00DA2A66"/>
    <w:rsid w:val="00DA30BA"/>
    <w:rsid w:val="00DA31C5"/>
    <w:rsid w:val="00DA371F"/>
    <w:rsid w:val="00DA378E"/>
    <w:rsid w:val="00DA38C3"/>
    <w:rsid w:val="00DA3C25"/>
    <w:rsid w:val="00DA3E64"/>
    <w:rsid w:val="00DA400D"/>
    <w:rsid w:val="00DA40EC"/>
    <w:rsid w:val="00DA41F4"/>
    <w:rsid w:val="00DA4517"/>
    <w:rsid w:val="00DA466C"/>
    <w:rsid w:val="00DA47A3"/>
    <w:rsid w:val="00DA4AC1"/>
    <w:rsid w:val="00DA4B7A"/>
    <w:rsid w:val="00DA4BAF"/>
    <w:rsid w:val="00DA4DC9"/>
    <w:rsid w:val="00DA4E3D"/>
    <w:rsid w:val="00DA508A"/>
    <w:rsid w:val="00DA5140"/>
    <w:rsid w:val="00DA52A2"/>
    <w:rsid w:val="00DA555A"/>
    <w:rsid w:val="00DA58F6"/>
    <w:rsid w:val="00DA59A4"/>
    <w:rsid w:val="00DA5BE8"/>
    <w:rsid w:val="00DA5F24"/>
    <w:rsid w:val="00DA670E"/>
    <w:rsid w:val="00DA6740"/>
    <w:rsid w:val="00DA6B18"/>
    <w:rsid w:val="00DA6CF0"/>
    <w:rsid w:val="00DA6F3A"/>
    <w:rsid w:val="00DA7B02"/>
    <w:rsid w:val="00DA7F40"/>
    <w:rsid w:val="00DB01A9"/>
    <w:rsid w:val="00DB057A"/>
    <w:rsid w:val="00DB077E"/>
    <w:rsid w:val="00DB0F78"/>
    <w:rsid w:val="00DB12FB"/>
    <w:rsid w:val="00DB172B"/>
    <w:rsid w:val="00DB17FC"/>
    <w:rsid w:val="00DB1C22"/>
    <w:rsid w:val="00DB1D52"/>
    <w:rsid w:val="00DB1E17"/>
    <w:rsid w:val="00DB2229"/>
    <w:rsid w:val="00DB22F8"/>
    <w:rsid w:val="00DB2364"/>
    <w:rsid w:val="00DB2443"/>
    <w:rsid w:val="00DB250C"/>
    <w:rsid w:val="00DB259F"/>
    <w:rsid w:val="00DB2774"/>
    <w:rsid w:val="00DB2EF0"/>
    <w:rsid w:val="00DB3197"/>
    <w:rsid w:val="00DB347F"/>
    <w:rsid w:val="00DB3AB2"/>
    <w:rsid w:val="00DB40E1"/>
    <w:rsid w:val="00DB41D9"/>
    <w:rsid w:val="00DB4257"/>
    <w:rsid w:val="00DB42B0"/>
    <w:rsid w:val="00DB472F"/>
    <w:rsid w:val="00DB4B78"/>
    <w:rsid w:val="00DB4E52"/>
    <w:rsid w:val="00DB56D6"/>
    <w:rsid w:val="00DB578E"/>
    <w:rsid w:val="00DB58C0"/>
    <w:rsid w:val="00DB6113"/>
    <w:rsid w:val="00DB61C9"/>
    <w:rsid w:val="00DB6289"/>
    <w:rsid w:val="00DB6469"/>
    <w:rsid w:val="00DB64FB"/>
    <w:rsid w:val="00DB6827"/>
    <w:rsid w:val="00DB6CDC"/>
    <w:rsid w:val="00DB7490"/>
    <w:rsid w:val="00DC0000"/>
    <w:rsid w:val="00DC0174"/>
    <w:rsid w:val="00DC01F5"/>
    <w:rsid w:val="00DC02A0"/>
    <w:rsid w:val="00DC03C6"/>
    <w:rsid w:val="00DC0C25"/>
    <w:rsid w:val="00DC12A2"/>
    <w:rsid w:val="00DC1A62"/>
    <w:rsid w:val="00DC1D8F"/>
    <w:rsid w:val="00DC248F"/>
    <w:rsid w:val="00DC26AF"/>
    <w:rsid w:val="00DC26F4"/>
    <w:rsid w:val="00DC27CB"/>
    <w:rsid w:val="00DC27D4"/>
    <w:rsid w:val="00DC27FA"/>
    <w:rsid w:val="00DC2A0F"/>
    <w:rsid w:val="00DC2C5C"/>
    <w:rsid w:val="00DC3187"/>
    <w:rsid w:val="00DC33DE"/>
    <w:rsid w:val="00DC37BE"/>
    <w:rsid w:val="00DC3B9F"/>
    <w:rsid w:val="00DC41FC"/>
    <w:rsid w:val="00DC4446"/>
    <w:rsid w:val="00DC4AF4"/>
    <w:rsid w:val="00DC4ED6"/>
    <w:rsid w:val="00DC5141"/>
    <w:rsid w:val="00DC55FD"/>
    <w:rsid w:val="00DC5635"/>
    <w:rsid w:val="00DC5825"/>
    <w:rsid w:val="00DC5B07"/>
    <w:rsid w:val="00DC5DD1"/>
    <w:rsid w:val="00DC656A"/>
    <w:rsid w:val="00DC6914"/>
    <w:rsid w:val="00DC6F43"/>
    <w:rsid w:val="00DC79DE"/>
    <w:rsid w:val="00DC7A7B"/>
    <w:rsid w:val="00DD0338"/>
    <w:rsid w:val="00DD0850"/>
    <w:rsid w:val="00DD0CA4"/>
    <w:rsid w:val="00DD105B"/>
    <w:rsid w:val="00DD106C"/>
    <w:rsid w:val="00DD18F8"/>
    <w:rsid w:val="00DD19FA"/>
    <w:rsid w:val="00DD2068"/>
    <w:rsid w:val="00DD20D4"/>
    <w:rsid w:val="00DD2FAA"/>
    <w:rsid w:val="00DD34BD"/>
    <w:rsid w:val="00DD381C"/>
    <w:rsid w:val="00DD39B1"/>
    <w:rsid w:val="00DD3C35"/>
    <w:rsid w:val="00DD420B"/>
    <w:rsid w:val="00DD4ACE"/>
    <w:rsid w:val="00DD4BFF"/>
    <w:rsid w:val="00DD4C3C"/>
    <w:rsid w:val="00DD5123"/>
    <w:rsid w:val="00DD54F8"/>
    <w:rsid w:val="00DD5514"/>
    <w:rsid w:val="00DD5601"/>
    <w:rsid w:val="00DD594F"/>
    <w:rsid w:val="00DD5B0F"/>
    <w:rsid w:val="00DD6353"/>
    <w:rsid w:val="00DD691A"/>
    <w:rsid w:val="00DD6CB0"/>
    <w:rsid w:val="00DD6E70"/>
    <w:rsid w:val="00DD7131"/>
    <w:rsid w:val="00DD7172"/>
    <w:rsid w:val="00DD7265"/>
    <w:rsid w:val="00DD748E"/>
    <w:rsid w:val="00DD76EE"/>
    <w:rsid w:val="00DD7C2C"/>
    <w:rsid w:val="00DD7FC0"/>
    <w:rsid w:val="00DE0352"/>
    <w:rsid w:val="00DE060A"/>
    <w:rsid w:val="00DE082D"/>
    <w:rsid w:val="00DE1353"/>
    <w:rsid w:val="00DE17BB"/>
    <w:rsid w:val="00DE2A26"/>
    <w:rsid w:val="00DE2ED9"/>
    <w:rsid w:val="00DE312F"/>
    <w:rsid w:val="00DE31FE"/>
    <w:rsid w:val="00DE3537"/>
    <w:rsid w:val="00DE3D68"/>
    <w:rsid w:val="00DE3E09"/>
    <w:rsid w:val="00DE4052"/>
    <w:rsid w:val="00DE46A9"/>
    <w:rsid w:val="00DE496B"/>
    <w:rsid w:val="00DE4D66"/>
    <w:rsid w:val="00DE4D73"/>
    <w:rsid w:val="00DE4F00"/>
    <w:rsid w:val="00DE4F4D"/>
    <w:rsid w:val="00DE5078"/>
    <w:rsid w:val="00DE5972"/>
    <w:rsid w:val="00DE5B84"/>
    <w:rsid w:val="00DE5D90"/>
    <w:rsid w:val="00DE5FFF"/>
    <w:rsid w:val="00DE60DA"/>
    <w:rsid w:val="00DE6C78"/>
    <w:rsid w:val="00DE6CE0"/>
    <w:rsid w:val="00DE6FE4"/>
    <w:rsid w:val="00DE748E"/>
    <w:rsid w:val="00DE7653"/>
    <w:rsid w:val="00DE7BA6"/>
    <w:rsid w:val="00DE7C3D"/>
    <w:rsid w:val="00DE7D55"/>
    <w:rsid w:val="00DE7EB2"/>
    <w:rsid w:val="00DE7F6E"/>
    <w:rsid w:val="00DF031B"/>
    <w:rsid w:val="00DF0335"/>
    <w:rsid w:val="00DF0529"/>
    <w:rsid w:val="00DF099E"/>
    <w:rsid w:val="00DF0D9C"/>
    <w:rsid w:val="00DF16AB"/>
    <w:rsid w:val="00DF1A22"/>
    <w:rsid w:val="00DF2029"/>
    <w:rsid w:val="00DF20D6"/>
    <w:rsid w:val="00DF2BEB"/>
    <w:rsid w:val="00DF34D2"/>
    <w:rsid w:val="00DF3779"/>
    <w:rsid w:val="00DF3A72"/>
    <w:rsid w:val="00DF3DF1"/>
    <w:rsid w:val="00DF493F"/>
    <w:rsid w:val="00DF4AED"/>
    <w:rsid w:val="00DF4C21"/>
    <w:rsid w:val="00DF4D13"/>
    <w:rsid w:val="00DF58F3"/>
    <w:rsid w:val="00DF5C87"/>
    <w:rsid w:val="00DF5E10"/>
    <w:rsid w:val="00DF67CB"/>
    <w:rsid w:val="00DF6D32"/>
    <w:rsid w:val="00DF6DC5"/>
    <w:rsid w:val="00DF6F0A"/>
    <w:rsid w:val="00DF7005"/>
    <w:rsid w:val="00DF700A"/>
    <w:rsid w:val="00DF75C0"/>
    <w:rsid w:val="00DF79E6"/>
    <w:rsid w:val="00DF7A25"/>
    <w:rsid w:val="00DF7C1F"/>
    <w:rsid w:val="00DF7E81"/>
    <w:rsid w:val="00E0002E"/>
    <w:rsid w:val="00E005DB"/>
    <w:rsid w:val="00E00AFD"/>
    <w:rsid w:val="00E00C73"/>
    <w:rsid w:val="00E00C77"/>
    <w:rsid w:val="00E0103F"/>
    <w:rsid w:val="00E010BC"/>
    <w:rsid w:val="00E01574"/>
    <w:rsid w:val="00E02271"/>
    <w:rsid w:val="00E023E3"/>
    <w:rsid w:val="00E02641"/>
    <w:rsid w:val="00E029F7"/>
    <w:rsid w:val="00E035F6"/>
    <w:rsid w:val="00E03759"/>
    <w:rsid w:val="00E0388D"/>
    <w:rsid w:val="00E03920"/>
    <w:rsid w:val="00E03B72"/>
    <w:rsid w:val="00E03F55"/>
    <w:rsid w:val="00E04440"/>
    <w:rsid w:val="00E049C8"/>
    <w:rsid w:val="00E04B40"/>
    <w:rsid w:val="00E04E25"/>
    <w:rsid w:val="00E0519D"/>
    <w:rsid w:val="00E051C7"/>
    <w:rsid w:val="00E059CD"/>
    <w:rsid w:val="00E05BAD"/>
    <w:rsid w:val="00E05C53"/>
    <w:rsid w:val="00E067C9"/>
    <w:rsid w:val="00E06848"/>
    <w:rsid w:val="00E06BD1"/>
    <w:rsid w:val="00E06F5C"/>
    <w:rsid w:val="00E0711F"/>
    <w:rsid w:val="00E071CB"/>
    <w:rsid w:val="00E07979"/>
    <w:rsid w:val="00E079A1"/>
    <w:rsid w:val="00E07C29"/>
    <w:rsid w:val="00E10052"/>
    <w:rsid w:val="00E10BE3"/>
    <w:rsid w:val="00E10DAE"/>
    <w:rsid w:val="00E10ED0"/>
    <w:rsid w:val="00E10F12"/>
    <w:rsid w:val="00E11041"/>
    <w:rsid w:val="00E112EB"/>
    <w:rsid w:val="00E11402"/>
    <w:rsid w:val="00E115E7"/>
    <w:rsid w:val="00E11CB8"/>
    <w:rsid w:val="00E11DE0"/>
    <w:rsid w:val="00E120F7"/>
    <w:rsid w:val="00E12294"/>
    <w:rsid w:val="00E12623"/>
    <w:rsid w:val="00E126A7"/>
    <w:rsid w:val="00E12BF5"/>
    <w:rsid w:val="00E12BF7"/>
    <w:rsid w:val="00E13532"/>
    <w:rsid w:val="00E13A8D"/>
    <w:rsid w:val="00E13F7C"/>
    <w:rsid w:val="00E14082"/>
    <w:rsid w:val="00E14302"/>
    <w:rsid w:val="00E14366"/>
    <w:rsid w:val="00E1483D"/>
    <w:rsid w:val="00E150A5"/>
    <w:rsid w:val="00E15397"/>
    <w:rsid w:val="00E154E9"/>
    <w:rsid w:val="00E158D7"/>
    <w:rsid w:val="00E15A3D"/>
    <w:rsid w:val="00E15ACA"/>
    <w:rsid w:val="00E15F0C"/>
    <w:rsid w:val="00E1625F"/>
    <w:rsid w:val="00E1695A"/>
    <w:rsid w:val="00E17141"/>
    <w:rsid w:val="00E1759D"/>
    <w:rsid w:val="00E177D1"/>
    <w:rsid w:val="00E17F42"/>
    <w:rsid w:val="00E20065"/>
    <w:rsid w:val="00E20463"/>
    <w:rsid w:val="00E2054C"/>
    <w:rsid w:val="00E20A4C"/>
    <w:rsid w:val="00E20B7F"/>
    <w:rsid w:val="00E21939"/>
    <w:rsid w:val="00E21A3D"/>
    <w:rsid w:val="00E21DE2"/>
    <w:rsid w:val="00E21F22"/>
    <w:rsid w:val="00E22BC6"/>
    <w:rsid w:val="00E22D4F"/>
    <w:rsid w:val="00E23093"/>
    <w:rsid w:val="00E23A4C"/>
    <w:rsid w:val="00E23AA3"/>
    <w:rsid w:val="00E23B29"/>
    <w:rsid w:val="00E23B76"/>
    <w:rsid w:val="00E23E03"/>
    <w:rsid w:val="00E246DD"/>
    <w:rsid w:val="00E24A0E"/>
    <w:rsid w:val="00E24BB9"/>
    <w:rsid w:val="00E24F29"/>
    <w:rsid w:val="00E250A2"/>
    <w:rsid w:val="00E250C8"/>
    <w:rsid w:val="00E25482"/>
    <w:rsid w:val="00E257F6"/>
    <w:rsid w:val="00E259AD"/>
    <w:rsid w:val="00E259BB"/>
    <w:rsid w:val="00E25DF2"/>
    <w:rsid w:val="00E26148"/>
    <w:rsid w:val="00E262D1"/>
    <w:rsid w:val="00E26564"/>
    <w:rsid w:val="00E2681B"/>
    <w:rsid w:val="00E2696D"/>
    <w:rsid w:val="00E269C5"/>
    <w:rsid w:val="00E26AD1"/>
    <w:rsid w:val="00E26C88"/>
    <w:rsid w:val="00E26DD4"/>
    <w:rsid w:val="00E27185"/>
    <w:rsid w:val="00E2723E"/>
    <w:rsid w:val="00E27365"/>
    <w:rsid w:val="00E2752A"/>
    <w:rsid w:val="00E2769E"/>
    <w:rsid w:val="00E27735"/>
    <w:rsid w:val="00E27952"/>
    <w:rsid w:val="00E27F77"/>
    <w:rsid w:val="00E30092"/>
    <w:rsid w:val="00E3038A"/>
    <w:rsid w:val="00E30454"/>
    <w:rsid w:val="00E30650"/>
    <w:rsid w:val="00E306AE"/>
    <w:rsid w:val="00E309FB"/>
    <w:rsid w:val="00E30A38"/>
    <w:rsid w:val="00E30B84"/>
    <w:rsid w:val="00E30D46"/>
    <w:rsid w:val="00E310D2"/>
    <w:rsid w:val="00E31A4C"/>
    <w:rsid w:val="00E31FB6"/>
    <w:rsid w:val="00E321CA"/>
    <w:rsid w:val="00E32289"/>
    <w:rsid w:val="00E32391"/>
    <w:rsid w:val="00E323F3"/>
    <w:rsid w:val="00E324E9"/>
    <w:rsid w:val="00E3260F"/>
    <w:rsid w:val="00E32735"/>
    <w:rsid w:val="00E32EEC"/>
    <w:rsid w:val="00E32F87"/>
    <w:rsid w:val="00E33214"/>
    <w:rsid w:val="00E3354C"/>
    <w:rsid w:val="00E3397D"/>
    <w:rsid w:val="00E33CA2"/>
    <w:rsid w:val="00E34B0C"/>
    <w:rsid w:val="00E34B2D"/>
    <w:rsid w:val="00E34BFE"/>
    <w:rsid w:val="00E34CF4"/>
    <w:rsid w:val="00E34FB1"/>
    <w:rsid w:val="00E352AB"/>
    <w:rsid w:val="00E3562C"/>
    <w:rsid w:val="00E357AF"/>
    <w:rsid w:val="00E35D31"/>
    <w:rsid w:val="00E3609B"/>
    <w:rsid w:val="00E36325"/>
    <w:rsid w:val="00E36385"/>
    <w:rsid w:val="00E36CFE"/>
    <w:rsid w:val="00E36D74"/>
    <w:rsid w:val="00E36F59"/>
    <w:rsid w:val="00E372A1"/>
    <w:rsid w:val="00E37404"/>
    <w:rsid w:val="00E37450"/>
    <w:rsid w:val="00E37827"/>
    <w:rsid w:val="00E37CE8"/>
    <w:rsid w:val="00E37DA1"/>
    <w:rsid w:val="00E40247"/>
    <w:rsid w:val="00E4065A"/>
    <w:rsid w:val="00E40A02"/>
    <w:rsid w:val="00E40E3B"/>
    <w:rsid w:val="00E4118A"/>
    <w:rsid w:val="00E411E4"/>
    <w:rsid w:val="00E4165F"/>
    <w:rsid w:val="00E4169F"/>
    <w:rsid w:val="00E416FB"/>
    <w:rsid w:val="00E42042"/>
    <w:rsid w:val="00E42B6D"/>
    <w:rsid w:val="00E42D3A"/>
    <w:rsid w:val="00E42EDE"/>
    <w:rsid w:val="00E430B3"/>
    <w:rsid w:val="00E43669"/>
    <w:rsid w:val="00E439F8"/>
    <w:rsid w:val="00E43D66"/>
    <w:rsid w:val="00E441F5"/>
    <w:rsid w:val="00E4439F"/>
    <w:rsid w:val="00E44CC9"/>
    <w:rsid w:val="00E4512F"/>
    <w:rsid w:val="00E454E3"/>
    <w:rsid w:val="00E45CD3"/>
    <w:rsid w:val="00E45E9D"/>
    <w:rsid w:val="00E45EB4"/>
    <w:rsid w:val="00E46483"/>
    <w:rsid w:val="00E46C11"/>
    <w:rsid w:val="00E46C23"/>
    <w:rsid w:val="00E46C33"/>
    <w:rsid w:val="00E46D23"/>
    <w:rsid w:val="00E472A2"/>
    <w:rsid w:val="00E4767D"/>
    <w:rsid w:val="00E476AD"/>
    <w:rsid w:val="00E479D4"/>
    <w:rsid w:val="00E47B17"/>
    <w:rsid w:val="00E5000F"/>
    <w:rsid w:val="00E50B3A"/>
    <w:rsid w:val="00E50CA2"/>
    <w:rsid w:val="00E50EFF"/>
    <w:rsid w:val="00E51524"/>
    <w:rsid w:val="00E5152B"/>
    <w:rsid w:val="00E5159A"/>
    <w:rsid w:val="00E5163F"/>
    <w:rsid w:val="00E51696"/>
    <w:rsid w:val="00E51790"/>
    <w:rsid w:val="00E51C09"/>
    <w:rsid w:val="00E5208C"/>
    <w:rsid w:val="00E52090"/>
    <w:rsid w:val="00E521A7"/>
    <w:rsid w:val="00E527A6"/>
    <w:rsid w:val="00E52911"/>
    <w:rsid w:val="00E52B67"/>
    <w:rsid w:val="00E52C30"/>
    <w:rsid w:val="00E532FA"/>
    <w:rsid w:val="00E53508"/>
    <w:rsid w:val="00E53A95"/>
    <w:rsid w:val="00E540F3"/>
    <w:rsid w:val="00E547D0"/>
    <w:rsid w:val="00E5491A"/>
    <w:rsid w:val="00E54A46"/>
    <w:rsid w:val="00E54BFF"/>
    <w:rsid w:val="00E54C89"/>
    <w:rsid w:val="00E54D78"/>
    <w:rsid w:val="00E55183"/>
    <w:rsid w:val="00E5535D"/>
    <w:rsid w:val="00E554D7"/>
    <w:rsid w:val="00E554F2"/>
    <w:rsid w:val="00E558CD"/>
    <w:rsid w:val="00E559A0"/>
    <w:rsid w:val="00E55F42"/>
    <w:rsid w:val="00E56A15"/>
    <w:rsid w:val="00E56BF1"/>
    <w:rsid w:val="00E5770D"/>
    <w:rsid w:val="00E5777D"/>
    <w:rsid w:val="00E577AB"/>
    <w:rsid w:val="00E57E3D"/>
    <w:rsid w:val="00E60401"/>
    <w:rsid w:val="00E604E9"/>
    <w:rsid w:val="00E608E4"/>
    <w:rsid w:val="00E60993"/>
    <w:rsid w:val="00E60B72"/>
    <w:rsid w:val="00E61049"/>
    <w:rsid w:val="00E61121"/>
    <w:rsid w:val="00E6123B"/>
    <w:rsid w:val="00E61601"/>
    <w:rsid w:val="00E616B0"/>
    <w:rsid w:val="00E61D41"/>
    <w:rsid w:val="00E62076"/>
    <w:rsid w:val="00E62101"/>
    <w:rsid w:val="00E62115"/>
    <w:rsid w:val="00E624F7"/>
    <w:rsid w:val="00E62975"/>
    <w:rsid w:val="00E629C2"/>
    <w:rsid w:val="00E62D59"/>
    <w:rsid w:val="00E63175"/>
    <w:rsid w:val="00E6330E"/>
    <w:rsid w:val="00E63429"/>
    <w:rsid w:val="00E636FF"/>
    <w:rsid w:val="00E63EC8"/>
    <w:rsid w:val="00E63FFB"/>
    <w:rsid w:val="00E6472A"/>
    <w:rsid w:val="00E64ABF"/>
    <w:rsid w:val="00E64B92"/>
    <w:rsid w:val="00E64E54"/>
    <w:rsid w:val="00E6510B"/>
    <w:rsid w:val="00E651FF"/>
    <w:rsid w:val="00E658A9"/>
    <w:rsid w:val="00E65904"/>
    <w:rsid w:val="00E65A0D"/>
    <w:rsid w:val="00E65A71"/>
    <w:rsid w:val="00E65BEB"/>
    <w:rsid w:val="00E65C68"/>
    <w:rsid w:val="00E65D3E"/>
    <w:rsid w:val="00E660B9"/>
    <w:rsid w:val="00E66704"/>
    <w:rsid w:val="00E6681B"/>
    <w:rsid w:val="00E67673"/>
    <w:rsid w:val="00E676CD"/>
    <w:rsid w:val="00E6775E"/>
    <w:rsid w:val="00E70008"/>
    <w:rsid w:val="00E70114"/>
    <w:rsid w:val="00E70303"/>
    <w:rsid w:val="00E704ED"/>
    <w:rsid w:val="00E705B8"/>
    <w:rsid w:val="00E707BF"/>
    <w:rsid w:val="00E70A0A"/>
    <w:rsid w:val="00E70B53"/>
    <w:rsid w:val="00E70C55"/>
    <w:rsid w:val="00E70DDB"/>
    <w:rsid w:val="00E71100"/>
    <w:rsid w:val="00E711BD"/>
    <w:rsid w:val="00E7125A"/>
    <w:rsid w:val="00E712DA"/>
    <w:rsid w:val="00E71438"/>
    <w:rsid w:val="00E718E5"/>
    <w:rsid w:val="00E71997"/>
    <w:rsid w:val="00E72282"/>
    <w:rsid w:val="00E725D1"/>
    <w:rsid w:val="00E72697"/>
    <w:rsid w:val="00E72D45"/>
    <w:rsid w:val="00E73903"/>
    <w:rsid w:val="00E73A54"/>
    <w:rsid w:val="00E73C75"/>
    <w:rsid w:val="00E73FB8"/>
    <w:rsid w:val="00E74292"/>
    <w:rsid w:val="00E74C2A"/>
    <w:rsid w:val="00E75C84"/>
    <w:rsid w:val="00E75D09"/>
    <w:rsid w:val="00E75E5F"/>
    <w:rsid w:val="00E76036"/>
    <w:rsid w:val="00E7619E"/>
    <w:rsid w:val="00E76216"/>
    <w:rsid w:val="00E7668F"/>
    <w:rsid w:val="00E7733C"/>
    <w:rsid w:val="00E7751E"/>
    <w:rsid w:val="00E77AD1"/>
    <w:rsid w:val="00E806AF"/>
    <w:rsid w:val="00E80779"/>
    <w:rsid w:val="00E81469"/>
    <w:rsid w:val="00E81547"/>
    <w:rsid w:val="00E819EF"/>
    <w:rsid w:val="00E81C81"/>
    <w:rsid w:val="00E81D1F"/>
    <w:rsid w:val="00E820AF"/>
    <w:rsid w:val="00E8228C"/>
    <w:rsid w:val="00E8259C"/>
    <w:rsid w:val="00E8271E"/>
    <w:rsid w:val="00E82AB9"/>
    <w:rsid w:val="00E82CC9"/>
    <w:rsid w:val="00E8316F"/>
    <w:rsid w:val="00E8324F"/>
    <w:rsid w:val="00E838D0"/>
    <w:rsid w:val="00E83BBD"/>
    <w:rsid w:val="00E83DBE"/>
    <w:rsid w:val="00E841E6"/>
    <w:rsid w:val="00E8440F"/>
    <w:rsid w:val="00E845DF"/>
    <w:rsid w:val="00E84802"/>
    <w:rsid w:val="00E848D6"/>
    <w:rsid w:val="00E84A68"/>
    <w:rsid w:val="00E84C18"/>
    <w:rsid w:val="00E84E7F"/>
    <w:rsid w:val="00E859A6"/>
    <w:rsid w:val="00E85DB3"/>
    <w:rsid w:val="00E860BF"/>
    <w:rsid w:val="00E864A2"/>
    <w:rsid w:val="00E87042"/>
    <w:rsid w:val="00E870E8"/>
    <w:rsid w:val="00E8726C"/>
    <w:rsid w:val="00E875D0"/>
    <w:rsid w:val="00E876B9"/>
    <w:rsid w:val="00E876DB"/>
    <w:rsid w:val="00E87721"/>
    <w:rsid w:val="00E87D06"/>
    <w:rsid w:val="00E87D6B"/>
    <w:rsid w:val="00E905E6"/>
    <w:rsid w:val="00E906DE"/>
    <w:rsid w:val="00E90826"/>
    <w:rsid w:val="00E90D7D"/>
    <w:rsid w:val="00E90DBC"/>
    <w:rsid w:val="00E90EE8"/>
    <w:rsid w:val="00E90F93"/>
    <w:rsid w:val="00E91308"/>
    <w:rsid w:val="00E91566"/>
    <w:rsid w:val="00E91624"/>
    <w:rsid w:val="00E91E9E"/>
    <w:rsid w:val="00E91F85"/>
    <w:rsid w:val="00E92198"/>
    <w:rsid w:val="00E92642"/>
    <w:rsid w:val="00E92B27"/>
    <w:rsid w:val="00E92B92"/>
    <w:rsid w:val="00E92D4C"/>
    <w:rsid w:val="00E92D74"/>
    <w:rsid w:val="00E9316C"/>
    <w:rsid w:val="00E93668"/>
    <w:rsid w:val="00E93A84"/>
    <w:rsid w:val="00E93AEE"/>
    <w:rsid w:val="00E93BA9"/>
    <w:rsid w:val="00E93BE7"/>
    <w:rsid w:val="00E9410C"/>
    <w:rsid w:val="00E94122"/>
    <w:rsid w:val="00E9496E"/>
    <w:rsid w:val="00E94ABC"/>
    <w:rsid w:val="00E94AE6"/>
    <w:rsid w:val="00E94D3D"/>
    <w:rsid w:val="00E94F5C"/>
    <w:rsid w:val="00E95786"/>
    <w:rsid w:val="00E95812"/>
    <w:rsid w:val="00E95C1C"/>
    <w:rsid w:val="00E95C5A"/>
    <w:rsid w:val="00E95DC1"/>
    <w:rsid w:val="00E95FCB"/>
    <w:rsid w:val="00E968BF"/>
    <w:rsid w:val="00E96A43"/>
    <w:rsid w:val="00E96B14"/>
    <w:rsid w:val="00E975DA"/>
    <w:rsid w:val="00E97AB3"/>
    <w:rsid w:val="00E97B6A"/>
    <w:rsid w:val="00EA0263"/>
    <w:rsid w:val="00EA072C"/>
    <w:rsid w:val="00EA076C"/>
    <w:rsid w:val="00EA090A"/>
    <w:rsid w:val="00EA0EE9"/>
    <w:rsid w:val="00EA10BB"/>
    <w:rsid w:val="00EA1456"/>
    <w:rsid w:val="00EA1638"/>
    <w:rsid w:val="00EA1788"/>
    <w:rsid w:val="00EA184E"/>
    <w:rsid w:val="00EA1BBA"/>
    <w:rsid w:val="00EA1DAF"/>
    <w:rsid w:val="00EA2315"/>
    <w:rsid w:val="00EA28F2"/>
    <w:rsid w:val="00EA2908"/>
    <w:rsid w:val="00EA2A92"/>
    <w:rsid w:val="00EA2DE7"/>
    <w:rsid w:val="00EA2F20"/>
    <w:rsid w:val="00EA2FD0"/>
    <w:rsid w:val="00EA31F4"/>
    <w:rsid w:val="00EA3555"/>
    <w:rsid w:val="00EA38C8"/>
    <w:rsid w:val="00EA4611"/>
    <w:rsid w:val="00EA47FE"/>
    <w:rsid w:val="00EA4F42"/>
    <w:rsid w:val="00EA5454"/>
    <w:rsid w:val="00EA5797"/>
    <w:rsid w:val="00EA5E5B"/>
    <w:rsid w:val="00EA6C0F"/>
    <w:rsid w:val="00EA6C1C"/>
    <w:rsid w:val="00EA6CA6"/>
    <w:rsid w:val="00EA6D73"/>
    <w:rsid w:val="00EA6EFA"/>
    <w:rsid w:val="00EA7058"/>
    <w:rsid w:val="00EA7143"/>
    <w:rsid w:val="00EA74F5"/>
    <w:rsid w:val="00EA78F5"/>
    <w:rsid w:val="00EA7960"/>
    <w:rsid w:val="00EA7AAF"/>
    <w:rsid w:val="00EA7B48"/>
    <w:rsid w:val="00EA7CBB"/>
    <w:rsid w:val="00EA7EE9"/>
    <w:rsid w:val="00EB039A"/>
    <w:rsid w:val="00EB099A"/>
    <w:rsid w:val="00EB0A0B"/>
    <w:rsid w:val="00EB0C97"/>
    <w:rsid w:val="00EB19C1"/>
    <w:rsid w:val="00EB2381"/>
    <w:rsid w:val="00EB2422"/>
    <w:rsid w:val="00EB2B6F"/>
    <w:rsid w:val="00EB30E2"/>
    <w:rsid w:val="00EB3951"/>
    <w:rsid w:val="00EB3A14"/>
    <w:rsid w:val="00EB3B8E"/>
    <w:rsid w:val="00EB3CC6"/>
    <w:rsid w:val="00EB3E4D"/>
    <w:rsid w:val="00EB415B"/>
    <w:rsid w:val="00EB431C"/>
    <w:rsid w:val="00EB46F6"/>
    <w:rsid w:val="00EB4D4F"/>
    <w:rsid w:val="00EB4E0D"/>
    <w:rsid w:val="00EB5104"/>
    <w:rsid w:val="00EB5280"/>
    <w:rsid w:val="00EB557A"/>
    <w:rsid w:val="00EB5B7E"/>
    <w:rsid w:val="00EB5FE1"/>
    <w:rsid w:val="00EB60CD"/>
    <w:rsid w:val="00EB612A"/>
    <w:rsid w:val="00EB6472"/>
    <w:rsid w:val="00EB69F1"/>
    <w:rsid w:val="00EB6B91"/>
    <w:rsid w:val="00EB6D06"/>
    <w:rsid w:val="00EB7029"/>
    <w:rsid w:val="00EB70CA"/>
    <w:rsid w:val="00EB79CC"/>
    <w:rsid w:val="00EB7B12"/>
    <w:rsid w:val="00EB7F6D"/>
    <w:rsid w:val="00EC00CD"/>
    <w:rsid w:val="00EC036C"/>
    <w:rsid w:val="00EC0970"/>
    <w:rsid w:val="00EC0ABE"/>
    <w:rsid w:val="00EC0F01"/>
    <w:rsid w:val="00EC0F7E"/>
    <w:rsid w:val="00EC11DC"/>
    <w:rsid w:val="00EC12CA"/>
    <w:rsid w:val="00EC15A4"/>
    <w:rsid w:val="00EC1B73"/>
    <w:rsid w:val="00EC1CEB"/>
    <w:rsid w:val="00EC1D3A"/>
    <w:rsid w:val="00EC1EB7"/>
    <w:rsid w:val="00EC2001"/>
    <w:rsid w:val="00EC2B95"/>
    <w:rsid w:val="00EC2BE3"/>
    <w:rsid w:val="00EC2C14"/>
    <w:rsid w:val="00EC2F5D"/>
    <w:rsid w:val="00EC31FC"/>
    <w:rsid w:val="00EC343E"/>
    <w:rsid w:val="00EC351F"/>
    <w:rsid w:val="00EC3625"/>
    <w:rsid w:val="00EC383C"/>
    <w:rsid w:val="00EC392F"/>
    <w:rsid w:val="00EC3D3B"/>
    <w:rsid w:val="00EC3F15"/>
    <w:rsid w:val="00EC46C9"/>
    <w:rsid w:val="00EC47D1"/>
    <w:rsid w:val="00EC4E1C"/>
    <w:rsid w:val="00EC51ED"/>
    <w:rsid w:val="00EC5219"/>
    <w:rsid w:val="00EC5670"/>
    <w:rsid w:val="00EC58FD"/>
    <w:rsid w:val="00EC5B6C"/>
    <w:rsid w:val="00EC62CF"/>
    <w:rsid w:val="00EC6361"/>
    <w:rsid w:val="00EC6835"/>
    <w:rsid w:val="00EC6C9F"/>
    <w:rsid w:val="00EC7057"/>
    <w:rsid w:val="00EC70BE"/>
    <w:rsid w:val="00EC7280"/>
    <w:rsid w:val="00EC74BB"/>
    <w:rsid w:val="00EC7725"/>
    <w:rsid w:val="00EC7A85"/>
    <w:rsid w:val="00EC7B1C"/>
    <w:rsid w:val="00EC7FFB"/>
    <w:rsid w:val="00ED0013"/>
    <w:rsid w:val="00ED0421"/>
    <w:rsid w:val="00ED044C"/>
    <w:rsid w:val="00ED0C57"/>
    <w:rsid w:val="00ED1944"/>
    <w:rsid w:val="00ED19AC"/>
    <w:rsid w:val="00ED1AF7"/>
    <w:rsid w:val="00ED1B11"/>
    <w:rsid w:val="00ED20FB"/>
    <w:rsid w:val="00ED21D6"/>
    <w:rsid w:val="00ED23DD"/>
    <w:rsid w:val="00ED2445"/>
    <w:rsid w:val="00ED2CDC"/>
    <w:rsid w:val="00ED3945"/>
    <w:rsid w:val="00ED3C43"/>
    <w:rsid w:val="00ED3D8B"/>
    <w:rsid w:val="00ED3DD0"/>
    <w:rsid w:val="00ED40F9"/>
    <w:rsid w:val="00ED4128"/>
    <w:rsid w:val="00ED41CF"/>
    <w:rsid w:val="00ED41D9"/>
    <w:rsid w:val="00ED5108"/>
    <w:rsid w:val="00ED5178"/>
    <w:rsid w:val="00ED5268"/>
    <w:rsid w:val="00ED5CE4"/>
    <w:rsid w:val="00ED61B2"/>
    <w:rsid w:val="00ED621F"/>
    <w:rsid w:val="00ED65A3"/>
    <w:rsid w:val="00ED6DA1"/>
    <w:rsid w:val="00ED7391"/>
    <w:rsid w:val="00ED773C"/>
    <w:rsid w:val="00ED7804"/>
    <w:rsid w:val="00ED7A32"/>
    <w:rsid w:val="00ED7AAB"/>
    <w:rsid w:val="00ED7E7A"/>
    <w:rsid w:val="00EE0077"/>
    <w:rsid w:val="00EE01EA"/>
    <w:rsid w:val="00EE03B8"/>
    <w:rsid w:val="00EE042B"/>
    <w:rsid w:val="00EE048E"/>
    <w:rsid w:val="00EE1638"/>
    <w:rsid w:val="00EE179E"/>
    <w:rsid w:val="00EE2469"/>
    <w:rsid w:val="00EE249E"/>
    <w:rsid w:val="00EE262E"/>
    <w:rsid w:val="00EE2B02"/>
    <w:rsid w:val="00EE2B8C"/>
    <w:rsid w:val="00EE2E48"/>
    <w:rsid w:val="00EE3BE8"/>
    <w:rsid w:val="00EE4079"/>
    <w:rsid w:val="00EE465E"/>
    <w:rsid w:val="00EE485C"/>
    <w:rsid w:val="00EE51C7"/>
    <w:rsid w:val="00EE55BF"/>
    <w:rsid w:val="00EE561B"/>
    <w:rsid w:val="00EE59BC"/>
    <w:rsid w:val="00EE5A57"/>
    <w:rsid w:val="00EE5A94"/>
    <w:rsid w:val="00EE6725"/>
    <w:rsid w:val="00EE6C45"/>
    <w:rsid w:val="00EE6DB5"/>
    <w:rsid w:val="00EE6FF7"/>
    <w:rsid w:val="00EE7006"/>
    <w:rsid w:val="00EE7137"/>
    <w:rsid w:val="00EE7394"/>
    <w:rsid w:val="00EE75FC"/>
    <w:rsid w:val="00EE7629"/>
    <w:rsid w:val="00EE773C"/>
    <w:rsid w:val="00EE7CE9"/>
    <w:rsid w:val="00EF0680"/>
    <w:rsid w:val="00EF085F"/>
    <w:rsid w:val="00EF12D1"/>
    <w:rsid w:val="00EF12E8"/>
    <w:rsid w:val="00EF1525"/>
    <w:rsid w:val="00EF1874"/>
    <w:rsid w:val="00EF1F17"/>
    <w:rsid w:val="00EF2D0D"/>
    <w:rsid w:val="00EF2D26"/>
    <w:rsid w:val="00EF3297"/>
    <w:rsid w:val="00EF3C35"/>
    <w:rsid w:val="00EF3C3A"/>
    <w:rsid w:val="00EF3E04"/>
    <w:rsid w:val="00EF418F"/>
    <w:rsid w:val="00EF4267"/>
    <w:rsid w:val="00EF5094"/>
    <w:rsid w:val="00EF56B8"/>
    <w:rsid w:val="00EF5C20"/>
    <w:rsid w:val="00EF645F"/>
    <w:rsid w:val="00EF64C7"/>
    <w:rsid w:val="00EF6632"/>
    <w:rsid w:val="00EF693D"/>
    <w:rsid w:val="00EF701D"/>
    <w:rsid w:val="00EF7BB2"/>
    <w:rsid w:val="00EF7CAF"/>
    <w:rsid w:val="00EF7F1F"/>
    <w:rsid w:val="00F004F9"/>
    <w:rsid w:val="00F00504"/>
    <w:rsid w:val="00F0087F"/>
    <w:rsid w:val="00F00CF7"/>
    <w:rsid w:val="00F01383"/>
    <w:rsid w:val="00F01723"/>
    <w:rsid w:val="00F0183F"/>
    <w:rsid w:val="00F01A8A"/>
    <w:rsid w:val="00F01C38"/>
    <w:rsid w:val="00F01C67"/>
    <w:rsid w:val="00F0232A"/>
    <w:rsid w:val="00F023D6"/>
    <w:rsid w:val="00F031B6"/>
    <w:rsid w:val="00F03DE1"/>
    <w:rsid w:val="00F0436A"/>
    <w:rsid w:val="00F04CAE"/>
    <w:rsid w:val="00F05084"/>
    <w:rsid w:val="00F051D7"/>
    <w:rsid w:val="00F0542D"/>
    <w:rsid w:val="00F05894"/>
    <w:rsid w:val="00F05F4B"/>
    <w:rsid w:val="00F067C5"/>
    <w:rsid w:val="00F069DA"/>
    <w:rsid w:val="00F06AFC"/>
    <w:rsid w:val="00F06FB9"/>
    <w:rsid w:val="00F0748C"/>
    <w:rsid w:val="00F077CB"/>
    <w:rsid w:val="00F07D96"/>
    <w:rsid w:val="00F07F1A"/>
    <w:rsid w:val="00F100DD"/>
    <w:rsid w:val="00F10591"/>
    <w:rsid w:val="00F109C8"/>
    <w:rsid w:val="00F10A9D"/>
    <w:rsid w:val="00F11001"/>
    <w:rsid w:val="00F1138E"/>
    <w:rsid w:val="00F116DD"/>
    <w:rsid w:val="00F1175A"/>
    <w:rsid w:val="00F11AAD"/>
    <w:rsid w:val="00F11C7D"/>
    <w:rsid w:val="00F11CDB"/>
    <w:rsid w:val="00F11F25"/>
    <w:rsid w:val="00F120CE"/>
    <w:rsid w:val="00F1230F"/>
    <w:rsid w:val="00F126BD"/>
    <w:rsid w:val="00F12835"/>
    <w:rsid w:val="00F1345D"/>
    <w:rsid w:val="00F13789"/>
    <w:rsid w:val="00F1399D"/>
    <w:rsid w:val="00F142B7"/>
    <w:rsid w:val="00F15058"/>
    <w:rsid w:val="00F15718"/>
    <w:rsid w:val="00F158BC"/>
    <w:rsid w:val="00F15C82"/>
    <w:rsid w:val="00F161F8"/>
    <w:rsid w:val="00F1625C"/>
    <w:rsid w:val="00F1633E"/>
    <w:rsid w:val="00F165F1"/>
    <w:rsid w:val="00F16A36"/>
    <w:rsid w:val="00F16E1C"/>
    <w:rsid w:val="00F1734D"/>
    <w:rsid w:val="00F173EE"/>
    <w:rsid w:val="00F174FB"/>
    <w:rsid w:val="00F178A9"/>
    <w:rsid w:val="00F20229"/>
    <w:rsid w:val="00F21CEE"/>
    <w:rsid w:val="00F22240"/>
    <w:rsid w:val="00F2242F"/>
    <w:rsid w:val="00F2255F"/>
    <w:rsid w:val="00F2275C"/>
    <w:rsid w:val="00F22892"/>
    <w:rsid w:val="00F229E9"/>
    <w:rsid w:val="00F22B92"/>
    <w:rsid w:val="00F23AC0"/>
    <w:rsid w:val="00F23D42"/>
    <w:rsid w:val="00F23E41"/>
    <w:rsid w:val="00F240A4"/>
    <w:rsid w:val="00F242FD"/>
    <w:rsid w:val="00F25063"/>
    <w:rsid w:val="00F25751"/>
    <w:rsid w:val="00F259AE"/>
    <w:rsid w:val="00F2655A"/>
    <w:rsid w:val="00F2679D"/>
    <w:rsid w:val="00F269A2"/>
    <w:rsid w:val="00F270BF"/>
    <w:rsid w:val="00F2735F"/>
    <w:rsid w:val="00F274A9"/>
    <w:rsid w:val="00F27503"/>
    <w:rsid w:val="00F2768E"/>
    <w:rsid w:val="00F2781F"/>
    <w:rsid w:val="00F27AE1"/>
    <w:rsid w:val="00F27DA8"/>
    <w:rsid w:val="00F27F29"/>
    <w:rsid w:val="00F30375"/>
    <w:rsid w:val="00F304BF"/>
    <w:rsid w:val="00F304FA"/>
    <w:rsid w:val="00F3056D"/>
    <w:rsid w:val="00F31348"/>
    <w:rsid w:val="00F31656"/>
    <w:rsid w:val="00F31A99"/>
    <w:rsid w:val="00F31AB0"/>
    <w:rsid w:val="00F31B8C"/>
    <w:rsid w:val="00F31C84"/>
    <w:rsid w:val="00F321F8"/>
    <w:rsid w:val="00F325A3"/>
    <w:rsid w:val="00F325B9"/>
    <w:rsid w:val="00F3353C"/>
    <w:rsid w:val="00F335B8"/>
    <w:rsid w:val="00F3363C"/>
    <w:rsid w:val="00F3383F"/>
    <w:rsid w:val="00F33D06"/>
    <w:rsid w:val="00F33D11"/>
    <w:rsid w:val="00F33D1F"/>
    <w:rsid w:val="00F3424A"/>
    <w:rsid w:val="00F34291"/>
    <w:rsid w:val="00F345AF"/>
    <w:rsid w:val="00F34C33"/>
    <w:rsid w:val="00F3563E"/>
    <w:rsid w:val="00F3580B"/>
    <w:rsid w:val="00F35E53"/>
    <w:rsid w:val="00F36017"/>
    <w:rsid w:val="00F36029"/>
    <w:rsid w:val="00F36659"/>
    <w:rsid w:val="00F367D6"/>
    <w:rsid w:val="00F36BE1"/>
    <w:rsid w:val="00F370FB"/>
    <w:rsid w:val="00F3713E"/>
    <w:rsid w:val="00F37313"/>
    <w:rsid w:val="00F373B6"/>
    <w:rsid w:val="00F37534"/>
    <w:rsid w:val="00F37697"/>
    <w:rsid w:val="00F37821"/>
    <w:rsid w:val="00F37BF4"/>
    <w:rsid w:val="00F40442"/>
    <w:rsid w:val="00F404B2"/>
    <w:rsid w:val="00F40581"/>
    <w:rsid w:val="00F40695"/>
    <w:rsid w:val="00F406CB"/>
    <w:rsid w:val="00F406FC"/>
    <w:rsid w:val="00F4074B"/>
    <w:rsid w:val="00F40A94"/>
    <w:rsid w:val="00F40B74"/>
    <w:rsid w:val="00F410E9"/>
    <w:rsid w:val="00F42325"/>
    <w:rsid w:val="00F425F4"/>
    <w:rsid w:val="00F42973"/>
    <w:rsid w:val="00F42D01"/>
    <w:rsid w:val="00F4323C"/>
    <w:rsid w:val="00F43315"/>
    <w:rsid w:val="00F433E1"/>
    <w:rsid w:val="00F437EF"/>
    <w:rsid w:val="00F43B8F"/>
    <w:rsid w:val="00F44567"/>
    <w:rsid w:val="00F4456C"/>
    <w:rsid w:val="00F44928"/>
    <w:rsid w:val="00F449BD"/>
    <w:rsid w:val="00F44F1F"/>
    <w:rsid w:val="00F45160"/>
    <w:rsid w:val="00F45164"/>
    <w:rsid w:val="00F453A7"/>
    <w:rsid w:val="00F45A5D"/>
    <w:rsid w:val="00F45B28"/>
    <w:rsid w:val="00F45BDC"/>
    <w:rsid w:val="00F45CF5"/>
    <w:rsid w:val="00F46367"/>
    <w:rsid w:val="00F466EF"/>
    <w:rsid w:val="00F466F0"/>
    <w:rsid w:val="00F469D5"/>
    <w:rsid w:val="00F46A99"/>
    <w:rsid w:val="00F46DEC"/>
    <w:rsid w:val="00F46E4F"/>
    <w:rsid w:val="00F46EA4"/>
    <w:rsid w:val="00F473E4"/>
    <w:rsid w:val="00F47470"/>
    <w:rsid w:val="00F4750F"/>
    <w:rsid w:val="00F47788"/>
    <w:rsid w:val="00F477C9"/>
    <w:rsid w:val="00F47BD8"/>
    <w:rsid w:val="00F47DF8"/>
    <w:rsid w:val="00F47F7D"/>
    <w:rsid w:val="00F47FBA"/>
    <w:rsid w:val="00F5054E"/>
    <w:rsid w:val="00F50556"/>
    <w:rsid w:val="00F5070B"/>
    <w:rsid w:val="00F50965"/>
    <w:rsid w:val="00F50C6B"/>
    <w:rsid w:val="00F515BC"/>
    <w:rsid w:val="00F5184F"/>
    <w:rsid w:val="00F518C1"/>
    <w:rsid w:val="00F51A36"/>
    <w:rsid w:val="00F51A95"/>
    <w:rsid w:val="00F51DF8"/>
    <w:rsid w:val="00F52274"/>
    <w:rsid w:val="00F52387"/>
    <w:rsid w:val="00F52602"/>
    <w:rsid w:val="00F52755"/>
    <w:rsid w:val="00F5286A"/>
    <w:rsid w:val="00F52987"/>
    <w:rsid w:val="00F52E83"/>
    <w:rsid w:val="00F52EC6"/>
    <w:rsid w:val="00F536F2"/>
    <w:rsid w:val="00F538B1"/>
    <w:rsid w:val="00F53B4F"/>
    <w:rsid w:val="00F53C3E"/>
    <w:rsid w:val="00F53C47"/>
    <w:rsid w:val="00F54104"/>
    <w:rsid w:val="00F5414E"/>
    <w:rsid w:val="00F542D5"/>
    <w:rsid w:val="00F54C54"/>
    <w:rsid w:val="00F54EDB"/>
    <w:rsid w:val="00F54F0D"/>
    <w:rsid w:val="00F55B17"/>
    <w:rsid w:val="00F55DA7"/>
    <w:rsid w:val="00F56455"/>
    <w:rsid w:val="00F5647F"/>
    <w:rsid w:val="00F5749E"/>
    <w:rsid w:val="00F574D3"/>
    <w:rsid w:val="00F574DA"/>
    <w:rsid w:val="00F57A05"/>
    <w:rsid w:val="00F57A20"/>
    <w:rsid w:val="00F57F24"/>
    <w:rsid w:val="00F6001F"/>
    <w:rsid w:val="00F600F9"/>
    <w:rsid w:val="00F60443"/>
    <w:rsid w:val="00F60517"/>
    <w:rsid w:val="00F607E0"/>
    <w:rsid w:val="00F60979"/>
    <w:rsid w:val="00F609A9"/>
    <w:rsid w:val="00F609B2"/>
    <w:rsid w:val="00F60B72"/>
    <w:rsid w:val="00F60F21"/>
    <w:rsid w:val="00F6112A"/>
    <w:rsid w:val="00F612A3"/>
    <w:rsid w:val="00F6153C"/>
    <w:rsid w:val="00F61600"/>
    <w:rsid w:val="00F6167F"/>
    <w:rsid w:val="00F618E9"/>
    <w:rsid w:val="00F61A8B"/>
    <w:rsid w:val="00F61F0E"/>
    <w:rsid w:val="00F62D3E"/>
    <w:rsid w:val="00F62F32"/>
    <w:rsid w:val="00F63656"/>
    <w:rsid w:val="00F637D8"/>
    <w:rsid w:val="00F638AC"/>
    <w:rsid w:val="00F63C7E"/>
    <w:rsid w:val="00F64096"/>
    <w:rsid w:val="00F649FD"/>
    <w:rsid w:val="00F65B25"/>
    <w:rsid w:val="00F65B29"/>
    <w:rsid w:val="00F65CC0"/>
    <w:rsid w:val="00F65D09"/>
    <w:rsid w:val="00F66324"/>
    <w:rsid w:val="00F66357"/>
    <w:rsid w:val="00F663C2"/>
    <w:rsid w:val="00F66608"/>
    <w:rsid w:val="00F667B5"/>
    <w:rsid w:val="00F66DED"/>
    <w:rsid w:val="00F66E6A"/>
    <w:rsid w:val="00F66F59"/>
    <w:rsid w:val="00F67C56"/>
    <w:rsid w:val="00F67D90"/>
    <w:rsid w:val="00F67EEC"/>
    <w:rsid w:val="00F67F58"/>
    <w:rsid w:val="00F67F7C"/>
    <w:rsid w:val="00F7033F"/>
    <w:rsid w:val="00F70492"/>
    <w:rsid w:val="00F707D0"/>
    <w:rsid w:val="00F708AE"/>
    <w:rsid w:val="00F70CE3"/>
    <w:rsid w:val="00F70DA7"/>
    <w:rsid w:val="00F70EE7"/>
    <w:rsid w:val="00F712DA"/>
    <w:rsid w:val="00F715BD"/>
    <w:rsid w:val="00F7240C"/>
    <w:rsid w:val="00F724B0"/>
    <w:rsid w:val="00F728DB"/>
    <w:rsid w:val="00F72E34"/>
    <w:rsid w:val="00F7303D"/>
    <w:rsid w:val="00F730B3"/>
    <w:rsid w:val="00F731E7"/>
    <w:rsid w:val="00F733D4"/>
    <w:rsid w:val="00F737D1"/>
    <w:rsid w:val="00F73A8E"/>
    <w:rsid w:val="00F73B26"/>
    <w:rsid w:val="00F73B78"/>
    <w:rsid w:val="00F73EFA"/>
    <w:rsid w:val="00F73FBE"/>
    <w:rsid w:val="00F7422B"/>
    <w:rsid w:val="00F74243"/>
    <w:rsid w:val="00F743C5"/>
    <w:rsid w:val="00F74732"/>
    <w:rsid w:val="00F7489F"/>
    <w:rsid w:val="00F74A03"/>
    <w:rsid w:val="00F74C69"/>
    <w:rsid w:val="00F74CFD"/>
    <w:rsid w:val="00F7515F"/>
    <w:rsid w:val="00F7543A"/>
    <w:rsid w:val="00F7553F"/>
    <w:rsid w:val="00F75649"/>
    <w:rsid w:val="00F758E6"/>
    <w:rsid w:val="00F75B13"/>
    <w:rsid w:val="00F75C91"/>
    <w:rsid w:val="00F75F63"/>
    <w:rsid w:val="00F76501"/>
    <w:rsid w:val="00F7686F"/>
    <w:rsid w:val="00F76AAA"/>
    <w:rsid w:val="00F76ADC"/>
    <w:rsid w:val="00F76BF3"/>
    <w:rsid w:val="00F76E2A"/>
    <w:rsid w:val="00F76EDA"/>
    <w:rsid w:val="00F77127"/>
    <w:rsid w:val="00F77188"/>
    <w:rsid w:val="00F7718F"/>
    <w:rsid w:val="00F771B3"/>
    <w:rsid w:val="00F772CE"/>
    <w:rsid w:val="00F77A99"/>
    <w:rsid w:val="00F77AF2"/>
    <w:rsid w:val="00F77B20"/>
    <w:rsid w:val="00F77C3F"/>
    <w:rsid w:val="00F77F7E"/>
    <w:rsid w:val="00F8041D"/>
    <w:rsid w:val="00F8067F"/>
    <w:rsid w:val="00F80AB4"/>
    <w:rsid w:val="00F80AF8"/>
    <w:rsid w:val="00F80D95"/>
    <w:rsid w:val="00F81249"/>
    <w:rsid w:val="00F812DE"/>
    <w:rsid w:val="00F813A2"/>
    <w:rsid w:val="00F81B30"/>
    <w:rsid w:val="00F81C35"/>
    <w:rsid w:val="00F8244C"/>
    <w:rsid w:val="00F82941"/>
    <w:rsid w:val="00F83013"/>
    <w:rsid w:val="00F8305F"/>
    <w:rsid w:val="00F830B7"/>
    <w:rsid w:val="00F830BA"/>
    <w:rsid w:val="00F83169"/>
    <w:rsid w:val="00F8335C"/>
    <w:rsid w:val="00F8429E"/>
    <w:rsid w:val="00F84302"/>
    <w:rsid w:val="00F843C2"/>
    <w:rsid w:val="00F845E2"/>
    <w:rsid w:val="00F85110"/>
    <w:rsid w:val="00F85182"/>
    <w:rsid w:val="00F85C6F"/>
    <w:rsid w:val="00F85CFC"/>
    <w:rsid w:val="00F85D77"/>
    <w:rsid w:val="00F8607F"/>
    <w:rsid w:val="00F860A3"/>
    <w:rsid w:val="00F860E0"/>
    <w:rsid w:val="00F8626F"/>
    <w:rsid w:val="00F86736"/>
    <w:rsid w:val="00F867B2"/>
    <w:rsid w:val="00F86963"/>
    <w:rsid w:val="00F86FB7"/>
    <w:rsid w:val="00F870B4"/>
    <w:rsid w:val="00F8735E"/>
    <w:rsid w:val="00F87500"/>
    <w:rsid w:val="00F902FC"/>
    <w:rsid w:val="00F903AA"/>
    <w:rsid w:val="00F90553"/>
    <w:rsid w:val="00F9072C"/>
    <w:rsid w:val="00F90763"/>
    <w:rsid w:val="00F9084A"/>
    <w:rsid w:val="00F90B96"/>
    <w:rsid w:val="00F9109F"/>
    <w:rsid w:val="00F914BA"/>
    <w:rsid w:val="00F91957"/>
    <w:rsid w:val="00F9198C"/>
    <w:rsid w:val="00F91C5F"/>
    <w:rsid w:val="00F9201D"/>
    <w:rsid w:val="00F92094"/>
    <w:rsid w:val="00F92504"/>
    <w:rsid w:val="00F9279A"/>
    <w:rsid w:val="00F9287E"/>
    <w:rsid w:val="00F93710"/>
    <w:rsid w:val="00F9374D"/>
    <w:rsid w:val="00F938F5"/>
    <w:rsid w:val="00F94130"/>
    <w:rsid w:val="00F946AC"/>
    <w:rsid w:val="00F947FB"/>
    <w:rsid w:val="00F9491D"/>
    <w:rsid w:val="00F94A96"/>
    <w:rsid w:val="00F94DDC"/>
    <w:rsid w:val="00F94F5D"/>
    <w:rsid w:val="00F950F7"/>
    <w:rsid w:val="00F95366"/>
    <w:rsid w:val="00F95403"/>
    <w:rsid w:val="00F95CD1"/>
    <w:rsid w:val="00F9677B"/>
    <w:rsid w:val="00F96974"/>
    <w:rsid w:val="00F96EB9"/>
    <w:rsid w:val="00F97386"/>
    <w:rsid w:val="00F97FF6"/>
    <w:rsid w:val="00FA0734"/>
    <w:rsid w:val="00FA0920"/>
    <w:rsid w:val="00FA139B"/>
    <w:rsid w:val="00FA1AF3"/>
    <w:rsid w:val="00FA200B"/>
    <w:rsid w:val="00FA215E"/>
    <w:rsid w:val="00FA29D7"/>
    <w:rsid w:val="00FA2A70"/>
    <w:rsid w:val="00FA2B8D"/>
    <w:rsid w:val="00FA2BA1"/>
    <w:rsid w:val="00FA3852"/>
    <w:rsid w:val="00FA39CC"/>
    <w:rsid w:val="00FA3A63"/>
    <w:rsid w:val="00FA3EAA"/>
    <w:rsid w:val="00FA41A4"/>
    <w:rsid w:val="00FA4535"/>
    <w:rsid w:val="00FA4614"/>
    <w:rsid w:val="00FA47F5"/>
    <w:rsid w:val="00FA4AB3"/>
    <w:rsid w:val="00FA4F5B"/>
    <w:rsid w:val="00FA506C"/>
    <w:rsid w:val="00FA5121"/>
    <w:rsid w:val="00FA5257"/>
    <w:rsid w:val="00FA5A34"/>
    <w:rsid w:val="00FA5F59"/>
    <w:rsid w:val="00FA63AE"/>
    <w:rsid w:val="00FA656D"/>
    <w:rsid w:val="00FA66FB"/>
    <w:rsid w:val="00FA6BB9"/>
    <w:rsid w:val="00FA6BE0"/>
    <w:rsid w:val="00FA6DDB"/>
    <w:rsid w:val="00FA7399"/>
    <w:rsid w:val="00FA7DD0"/>
    <w:rsid w:val="00FB00EA"/>
    <w:rsid w:val="00FB02A0"/>
    <w:rsid w:val="00FB031F"/>
    <w:rsid w:val="00FB036E"/>
    <w:rsid w:val="00FB0487"/>
    <w:rsid w:val="00FB0615"/>
    <w:rsid w:val="00FB06C5"/>
    <w:rsid w:val="00FB06E5"/>
    <w:rsid w:val="00FB157C"/>
    <w:rsid w:val="00FB1C42"/>
    <w:rsid w:val="00FB1FB3"/>
    <w:rsid w:val="00FB24C7"/>
    <w:rsid w:val="00FB26FE"/>
    <w:rsid w:val="00FB2C63"/>
    <w:rsid w:val="00FB30BB"/>
    <w:rsid w:val="00FB331A"/>
    <w:rsid w:val="00FB340D"/>
    <w:rsid w:val="00FB35C4"/>
    <w:rsid w:val="00FB3886"/>
    <w:rsid w:val="00FB401A"/>
    <w:rsid w:val="00FB41AB"/>
    <w:rsid w:val="00FB48DB"/>
    <w:rsid w:val="00FB512E"/>
    <w:rsid w:val="00FB5144"/>
    <w:rsid w:val="00FB5858"/>
    <w:rsid w:val="00FB5955"/>
    <w:rsid w:val="00FB5960"/>
    <w:rsid w:val="00FB59DC"/>
    <w:rsid w:val="00FB5A9C"/>
    <w:rsid w:val="00FB5E9E"/>
    <w:rsid w:val="00FB5EF6"/>
    <w:rsid w:val="00FB62C8"/>
    <w:rsid w:val="00FB68AB"/>
    <w:rsid w:val="00FB6B19"/>
    <w:rsid w:val="00FB6D17"/>
    <w:rsid w:val="00FB6DE0"/>
    <w:rsid w:val="00FB78F2"/>
    <w:rsid w:val="00FB790F"/>
    <w:rsid w:val="00FB7A3B"/>
    <w:rsid w:val="00FB7B09"/>
    <w:rsid w:val="00FB7F54"/>
    <w:rsid w:val="00FB7FB9"/>
    <w:rsid w:val="00FC03D5"/>
    <w:rsid w:val="00FC0880"/>
    <w:rsid w:val="00FC09A8"/>
    <w:rsid w:val="00FC0C8B"/>
    <w:rsid w:val="00FC111C"/>
    <w:rsid w:val="00FC112C"/>
    <w:rsid w:val="00FC1333"/>
    <w:rsid w:val="00FC1E62"/>
    <w:rsid w:val="00FC1F09"/>
    <w:rsid w:val="00FC2082"/>
    <w:rsid w:val="00FC2236"/>
    <w:rsid w:val="00FC25C5"/>
    <w:rsid w:val="00FC25C8"/>
    <w:rsid w:val="00FC2B2F"/>
    <w:rsid w:val="00FC2F0D"/>
    <w:rsid w:val="00FC2FBD"/>
    <w:rsid w:val="00FC32FB"/>
    <w:rsid w:val="00FC336B"/>
    <w:rsid w:val="00FC34E3"/>
    <w:rsid w:val="00FC3A4A"/>
    <w:rsid w:val="00FC3C53"/>
    <w:rsid w:val="00FC3CA1"/>
    <w:rsid w:val="00FC3D25"/>
    <w:rsid w:val="00FC420B"/>
    <w:rsid w:val="00FC42F9"/>
    <w:rsid w:val="00FC4386"/>
    <w:rsid w:val="00FC4524"/>
    <w:rsid w:val="00FC4952"/>
    <w:rsid w:val="00FC4B47"/>
    <w:rsid w:val="00FC4E89"/>
    <w:rsid w:val="00FC5403"/>
    <w:rsid w:val="00FC6E8A"/>
    <w:rsid w:val="00FC788C"/>
    <w:rsid w:val="00FC7CA6"/>
    <w:rsid w:val="00FC7F49"/>
    <w:rsid w:val="00FD0249"/>
    <w:rsid w:val="00FD05E0"/>
    <w:rsid w:val="00FD0881"/>
    <w:rsid w:val="00FD0C8C"/>
    <w:rsid w:val="00FD0DCA"/>
    <w:rsid w:val="00FD1616"/>
    <w:rsid w:val="00FD1B51"/>
    <w:rsid w:val="00FD1C66"/>
    <w:rsid w:val="00FD1CA7"/>
    <w:rsid w:val="00FD1D05"/>
    <w:rsid w:val="00FD1DB4"/>
    <w:rsid w:val="00FD1DED"/>
    <w:rsid w:val="00FD1EF4"/>
    <w:rsid w:val="00FD20BA"/>
    <w:rsid w:val="00FD2180"/>
    <w:rsid w:val="00FD21E4"/>
    <w:rsid w:val="00FD22D3"/>
    <w:rsid w:val="00FD26AF"/>
    <w:rsid w:val="00FD299A"/>
    <w:rsid w:val="00FD2B14"/>
    <w:rsid w:val="00FD2F4E"/>
    <w:rsid w:val="00FD344C"/>
    <w:rsid w:val="00FD3540"/>
    <w:rsid w:val="00FD3737"/>
    <w:rsid w:val="00FD4C3A"/>
    <w:rsid w:val="00FD4D97"/>
    <w:rsid w:val="00FD500A"/>
    <w:rsid w:val="00FD5064"/>
    <w:rsid w:val="00FD5374"/>
    <w:rsid w:val="00FD5AB3"/>
    <w:rsid w:val="00FD5ACC"/>
    <w:rsid w:val="00FD5CB8"/>
    <w:rsid w:val="00FD6144"/>
    <w:rsid w:val="00FD61F5"/>
    <w:rsid w:val="00FD63E3"/>
    <w:rsid w:val="00FD665A"/>
    <w:rsid w:val="00FD6A6D"/>
    <w:rsid w:val="00FD6F1A"/>
    <w:rsid w:val="00FD6FDF"/>
    <w:rsid w:val="00FD70F2"/>
    <w:rsid w:val="00FD72FF"/>
    <w:rsid w:val="00FD762F"/>
    <w:rsid w:val="00FD7ADA"/>
    <w:rsid w:val="00FD7C69"/>
    <w:rsid w:val="00FD7ED4"/>
    <w:rsid w:val="00FD7F75"/>
    <w:rsid w:val="00FE0095"/>
    <w:rsid w:val="00FE05A9"/>
    <w:rsid w:val="00FE0655"/>
    <w:rsid w:val="00FE0B7E"/>
    <w:rsid w:val="00FE1332"/>
    <w:rsid w:val="00FE1426"/>
    <w:rsid w:val="00FE1666"/>
    <w:rsid w:val="00FE191A"/>
    <w:rsid w:val="00FE1930"/>
    <w:rsid w:val="00FE1E30"/>
    <w:rsid w:val="00FE1E6B"/>
    <w:rsid w:val="00FE220B"/>
    <w:rsid w:val="00FE2785"/>
    <w:rsid w:val="00FE2DE2"/>
    <w:rsid w:val="00FE328E"/>
    <w:rsid w:val="00FE3347"/>
    <w:rsid w:val="00FE3379"/>
    <w:rsid w:val="00FE3A9F"/>
    <w:rsid w:val="00FE3CC7"/>
    <w:rsid w:val="00FE4001"/>
    <w:rsid w:val="00FE43B3"/>
    <w:rsid w:val="00FE469C"/>
    <w:rsid w:val="00FE48E3"/>
    <w:rsid w:val="00FE494D"/>
    <w:rsid w:val="00FE4BE9"/>
    <w:rsid w:val="00FE53F4"/>
    <w:rsid w:val="00FE5A14"/>
    <w:rsid w:val="00FE5B85"/>
    <w:rsid w:val="00FE61BB"/>
    <w:rsid w:val="00FE62A5"/>
    <w:rsid w:val="00FE658C"/>
    <w:rsid w:val="00FE68AA"/>
    <w:rsid w:val="00FE690A"/>
    <w:rsid w:val="00FE6BC2"/>
    <w:rsid w:val="00FE6BCF"/>
    <w:rsid w:val="00FE70D5"/>
    <w:rsid w:val="00FE7109"/>
    <w:rsid w:val="00FE71E1"/>
    <w:rsid w:val="00FE7235"/>
    <w:rsid w:val="00FE73FE"/>
    <w:rsid w:val="00FE749B"/>
    <w:rsid w:val="00FE74EC"/>
    <w:rsid w:val="00FE7980"/>
    <w:rsid w:val="00FE7996"/>
    <w:rsid w:val="00FE79E4"/>
    <w:rsid w:val="00FE7A63"/>
    <w:rsid w:val="00FE7CD3"/>
    <w:rsid w:val="00FF0319"/>
    <w:rsid w:val="00FF09FF"/>
    <w:rsid w:val="00FF0A74"/>
    <w:rsid w:val="00FF1143"/>
    <w:rsid w:val="00FF1DEE"/>
    <w:rsid w:val="00FF200C"/>
    <w:rsid w:val="00FF2059"/>
    <w:rsid w:val="00FF266C"/>
    <w:rsid w:val="00FF272E"/>
    <w:rsid w:val="00FF29D3"/>
    <w:rsid w:val="00FF2D96"/>
    <w:rsid w:val="00FF2F9E"/>
    <w:rsid w:val="00FF313D"/>
    <w:rsid w:val="00FF31B6"/>
    <w:rsid w:val="00FF3242"/>
    <w:rsid w:val="00FF3584"/>
    <w:rsid w:val="00FF381E"/>
    <w:rsid w:val="00FF38D5"/>
    <w:rsid w:val="00FF409C"/>
    <w:rsid w:val="00FF443B"/>
    <w:rsid w:val="00FF4736"/>
    <w:rsid w:val="00FF48A6"/>
    <w:rsid w:val="00FF491A"/>
    <w:rsid w:val="00FF4CDA"/>
    <w:rsid w:val="00FF5006"/>
    <w:rsid w:val="00FF50FC"/>
    <w:rsid w:val="00FF513C"/>
    <w:rsid w:val="00FF5174"/>
    <w:rsid w:val="00FF53F9"/>
    <w:rsid w:val="00FF553C"/>
    <w:rsid w:val="00FF5C89"/>
    <w:rsid w:val="00FF5CBF"/>
    <w:rsid w:val="00FF63AD"/>
    <w:rsid w:val="00FF645B"/>
    <w:rsid w:val="00FF667B"/>
    <w:rsid w:val="00FF68CB"/>
    <w:rsid w:val="00FF702B"/>
    <w:rsid w:val="00FF7176"/>
    <w:rsid w:val="00FF72B1"/>
    <w:rsid w:val="00FF7513"/>
    <w:rsid w:val="00FF7750"/>
    <w:rsid w:val="00FF7A5F"/>
    <w:rsid w:val="00FF7BC3"/>
    <w:rsid w:val="00FF7CA0"/>
    <w:rsid w:val="00FF7F55"/>
    <w:rsid w:val="012FAC51"/>
    <w:rsid w:val="02F3915A"/>
    <w:rsid w:val="0319161A"/>
    <w:rsid w:val="0322C90D"/>
    <w:rsid w:val="03351EF6"/>
    <w:rsid w:val="03A6AD09"/>
    <w:rsid w:val="040AACC7"/>
    <w:rsid w:val="04286FF0"/>
    <w:rsid w:val="04298D3F"/>
    <w:rsid w:val="04CC159F"/>
    <w:rsid w:val="05028418"/>
    <w:rsid w:val="050334B7"/>
    <w:rsid w:val="050BB0CA"/>
    <w:rsid w:val="056A7DCA"/>
    <w:rsid w:val="069A03E9"/>
    <w:rsid w:val="06F0BBD7"/>
    <w:rsid w:val="079333E6"/>
    <w:rsid w:val="07F0DD5B"/>
    <w:rsid w:val="08096E40"/>
    <w:rsid w:val="0878A02A"/>
    <w:rsid w:val="088C208A"/>
    <w:rsid w:val="08D7B158"/>
    <w:rsid w:val="08ED6E6F"/>
    <w:rsid w:val="090E43D1"/>
    <w:rsid w:val="094D4673"/>
    <w:rsid w:val="09B5E200"/>
    <w:rsid w:val="09BF3AE4"/>
    <w:rsid w:val="09E6047A"/>
    <w:rsid w:val="0B638F48"/>
    <w:rsid w:val="0B74FCF0"/>
    <w:rsid w:val="0B8F2C04"/>
    <w:rsid w:val="0BC7D72E"/>
    <w:rsid w:val="0C212636"/>
    <w:rsid w:val="0CD069E9"/>
    <w:rsid w:val="0CD0899E"/>
    <w:rsid w:val="0D0A3928"/>
    <w:rsid w:val="0D919A1F"/>
    <w:rsid w:val="0DAF8C73"/>
    <w:rsid w:val="0E4FE0BB"/>
    <w:rsid w:val="0E527A75"/>
    <w:rsid w:val="0E7C7A7E"/>
    <w:rsid w:val="0F1CE852"/>
    <w:rsid w:val="0FDD5F09"/>
    <w:rsid w:val="0FF7CBF3"/>
    <w:rsid w:val="10230584"/>
    <w:rsid w:val="102DBE2A"/>
    <w:rsid w:val="104BFC5F"/>
    <w:rsid w:val="108616C1"/>
    <w:rsid w:val="10E4642B"/>
    <w:rsid w:val="110CA2D3"/>
    <w:rsid w:val="128B0E7A"/>
    <w:rsid w:val="12972BDC"/>
    <w:rsid w:val="12D9B7ED"/>
    <w:rsid w:val="12E9DE4E"/>
    <w:rsid w:val="12ECD2AB"/>
    <w:rsid w:val="131B71B7"/>
    <w:rsid w:val="136588DE"/>
    <w:rsid w:val="136EB3E5"/>
    <w:rsid w:val="137DB0F5"/>
    <w:rsid w:val="13CCA449"/>
    <w:rsid w:val="13E403F8"/>
    <w:rsid w:val="13EBEB64"/>
    <w:rsid w:val="1412B387"/>
    <w:rsid w:val="142CE29B"/>
    <w:rsid w:val="15795F02"/>
    <w:rsid w:val="15FE6752"/>
    <w:rsid w:val="169D1540"/>
    <w:rsid w:val="169FA24C"/>
    <w:rsid w:val="16C77AC6"/>
    <w:rsid w:val="16EA2D9D"/>
    <w:rsid w:val="174C3871"/>
    <w:rsid w:val="1777512B"/>
    <w:rsid w:val="17BB05EC"/>
    <w:rsid w:val="17FC5213"/>
    <w:rsid w:val="18371CED"/>
    <w:rsid w:val="1853E0E2"/>
    <w:rsid w:val="18CB68B6"/>
    <w:rsid w:val="18DA52BC"/>
    <w:rsid w:val="19306E59"/>
    <w:rsid w:val="19DE1582"/>
    <w:rsid w:val="19F9A55C"/>
    <w:rsid w:val="1A05B62F"/>
    <w:rsid w:val="1A44540B"/>
    <w:rsid w:val="1A8DDDA5"/>
    <w:rsid w:val="1AA106AD"/>
    <w:rsid w:val="1AD0120D"/>
    <w:rsid w:val="1B43029D"/>
    <w:rsid w:val="1B4B86A0"/>
    <w:rsid w:val="1B6ED12F"/>
    <w:rsid w:val="1BB0827A"/>
    <w:rsid w:val="1BD91B1F"/>
    <w:rsid w:val="1C196F4E"/>
    <w:rsid w:val="1C4777E1"/>
    <w:rsid w:val="1C479AEE"/>
    <w:rsid w:val="1C6B231C"/>
    <w:rsid w:val="1D7FBD2F"/>
    <w:rsid w:val="1DAD8199"/>
    <w:rsid w:val="1DE8989D"/>
    <w:rsid w:val="1DFDCD0B"/>
    <w:rsid w:val="1E55C539"/>
    <w:rsid w:val="1E940A4F"/>
    <w:rsid w:val="1ED9748F"/>
    <w:rsid w:val="1F5C6132"/>
    <w:rsid w:val="1F671BA7"/>
    <w:rsid w:val="2023EFF1"/>
    <w:rsid w:val="2034F8F2"/>
    <w:rsid w:val="204C6A9C"/>
    <w:rsid w:val="2056C26E"/>
    <w:rsid w:val="20E19E35"/>
    <w:rsid w:val="20E7F25B"/>
    <w:rsid w:val="22165C2A"/>
    <w:rsid w:val="22563792"/>
    <w:rsid w:val="230EA52D"/>
    <w:rsid w:val="2335E93F"/>
    <w:rsid w:val="23482425"/>
    <w:rsid w:val="23732579"/>
    <w:rsid w:val="23B846BE"/>
    <w:rsid w:val="24992B32"/>
    <w:rsid w:val="2553C77C"/>
    <w:rsid w:val="25893B7D"/>
    <w:rsid w:val="25BC92EE"/>
    <w:rsid w:val="25CE0096"/>
    <w:rsid w:val="25FC5EDE"/>
    <w:rsid w:val="26EEC417"/>
    <w:rsid w:val="272313A0"/>
    <w:rsid w:val="27855C1F"/>
    <w:rsid w:val="278D4D5C"/>
    <w:rsid w:val="27BEF8F5"/>
    <w:rsid w:val="27C59263"/>
    <w:rsid w:val="27E5DD02"/>
    <w:rsid w:val="283FA630"/>
    <w:rsid w:val="28DC0851"/>
    <w:rsid w:val="28FB7543"/>
    <w:rsid w:val="2900A92A"/>
    <w:rsid w:val="2903DAF0"/>
    <w:rsid w:val="293D24C5"/>
    <w:rsid w:val="29434239"/>
    <w:rsid w:val="2A255F4E"/>
    <w:rsid w:val="2A2B9BB3"/>
    <w:rsid w:val="2A636CB2"/>
    <w:rsid w:val="2BB7F530"/>
    <w:rsid w:val="2C6E045E"/>
    <w:rsid w:val="2D052CF7"/>
    <w:rsid w:val="2D07F807"/>
    <w:rsid w:val="2D41BA0D"/>
    <w:rsid w:val="2DAA4E91"/>
    <w:rsid w:val="2E3B916E"/>
    <w:rsid w:val="2E4D0A69"/>
    <w:rsid w:val="2F178B13"/>
    <w:rsid w:val="2F7E95CF"/>
    <w:rsid w:val="2FFD6EF9"/>
    <w:rsid w:val="3075E26C"/>
    <w:rsid w:val="30C2DB8F"/>
    <w:rsid w:val="31B65ABB"/>
    <w:rsid w:val="320C9708"/>
    <w:rsid w:val="3214B3ED"/>
    <w:rsid w:val="3240D17E"/>
    <w:rsid w:val="327A1139"/>
    <w:rsid w:val="3302A799"/>
    <w:rsid w:val="33565774"/>
    <w:rsid w:val="33806990"/>
    <w:rsid w:val="345B91AC"/>
    <w:rsid w:val="35BDB2A3"/>
    <w:rsid w:val="35DB9F62"/>
    <w:rsid w:val="3676E033"/>
    <w:rsid w:val="369E1E97"/>
    <w:rsid w:val="36CFC6FC"/>
    <w:rsid w:val="377968FC"/>
    <w:rsid w:val="377A0074"/>
    <w:rsid w:val="37A95A6F"/>
    <w:rsid w:val="37AFB4CA"/>
    <w:rsid w:val="38228D03"/>
    <w:rsid w:val="3855C9FA"/>
    <w:rsid w:val="3859C50E"/>
    <w:rsid w:val="38655D2D"/>
    <w:rsid w:val="38AF0655"/>
    <w:rsid w:val="38C3F6B8"/>
    <w:rsid w:val="38C790EC"/>
    <w:rsid w:val="39BCB6CE"/>
    <w:rsid w:val="3B50D20E"/>
    <w:rsid w:val="3B532D77"/>
    <w:rsid w:val="3B8AC1C1"/>
    <w:rsid w:val="3BB14CC3"/>
    <w:rsid w:val="3BBBA87A"/>
    <w:rsid w:val="3C117225"/>
    <w:rsid w:val="3C168E51"/>
    <w:rsid w:val="3CA89B8B"/>
    <w:rsid w:val="3D3A550A"/>
    <w:rsid w:val="3D604037"/>
    <w:rsid w:val="3D9B4D86"/>
    <w:rsid w:val="3DB7308E"/>
    <w:rsid w:val="3E1933ED"/>
    <w:rsid w:val="3E5A4142"/>
    <w:rsid w:val="3E94812C"/>
    <w:rsid w:val="3F0F9118"/>
    <w:rsid w:val="3F251697"/>
    <w:rsid w:val="3F51C580"/>
    <w:rsid w:val="3F603A19"/>
    <w:rsid w:val="3FC8C3E1"/>
    <w:rsid w:val="400D9767"/>
    <w:rsid w:val="4145BA2C"/>
    <w:rsid w:val="4151DC4B"/>
    <w:rsid w:val="423BC797"/>
    <w:rsid w:val="424A1354"/>
    <w:rsid w:val="425E2F28"/>
    <w:rsid w:val="426F0558"/>
    <w:rsid w:val="427BB83B"/>
    <w:rsid w:val="4290BC50"/>
    <w:rsid w:val="429499A3"/>
    <w:rsid w:val="42FBF5BD"/>
    <w:rsid w:val="4314E0FF"/>
    <w:rsid w:val="439A977B"/>
    <w:rsid w:val="43F277A5"/>
    <w:rsid w:val="4443245D"/>
    <w:rsid w:val="444D3CF2"/>
    <w:rsid w:val="465475FF"/>
    <w:rsid w:val="465D917A"/>
    <w:rsid w:val="46C5D2F8"/>
    <w:rsid w:val="46CEAE0C"/>
    <w:rsid w:val="46FDE433"/>
    <w:rsid w:val="4702AA8B"/>
    <w:rsid w:val="4798F43F"/>
    <w:rsid w:val="47F35537"/>
    <w:rsid w:val="489820FD"/>
    <w:rsid w:val="48BAC838"/>
    <w:rsid w:val="48EF45FA"/>
    <w:rsid w:val="49ABB60A"/>
    <w:rsid w:val="49B46633"/>
    <w:rsid w:val="49E6439B"/>
    <w:rsid w:val="4A1C69A7"/>
    <w:rsid w:val="4A5DB75D"/>
    <w:rsid w:val="4B54E4A4"/>
    <w:rsid w:val="4B72D25E"/>
    <w:rsid w:val="4C299DC5"/>
    <w:rsid w:val="4CA96036"/>
    <w:rsid w:val="4CDEFEBA"/>
    <w:rsid w:val="4D60EB46"/>
    <w:rsid w:val="4D65254E"/>
    <w:rsid w:val="4D69CCB3"/>
    <w:rsid w:val="4D8F0F80"/>
    <w:rsid w:val="4DB6E203"/>
    <w:rsid w:val="4DDD8691"/>
    <w:rsid w:val="4E127199"/>
    <w:rsid w:val="4E8092E9"/>
    <w:rsid w:val="4E9117F2"/>
    <w:rsid w:val="4E972185"/>
    <w:rsid w:val="4EFCD623"/>
    <w:rsid w:val="4FB9F8A2"/>
    <w:rsid w:val="4FEB9C2C"/>
    <w:rsid w:val="505A11DF"/>
    <w:rsid w:val="50906474"/>
    <w:rsid w:val="524C9C1C"/>
    <w:rsid w:val="53335DAE"/>
    <w:rsid w:val="539BDAD4"/>
    <w:rsid w:val="5407D126"/>
    <w:rsid w:val="54AE7DCE"/>
    <w:rsid w:val="54F7D573"/>
    <w:rsid w:val="55DA9913"/>
    <w:rsid w:val="561FE9F2"/>
    <w:rsid w:val="562BFBCE"/>
    <w:rsid w:val="56341117"/>
    <w:rsid w:val="5652A05C"/>
    <w:rsid w:val="585B0859"/>
    <w:rsid w:val="5952C660"/>
    <w:rsid w:val="59FBD0E8"/>
    <w:rsid w:val="5B1DBF52"/>
    <w:rsid w:val="5B48B7EB"/>
    <w:rsid w:val="5B9CC324"/>
    <w:rsid w:val="5B9CCB4D"/>
    <w:rsid w:val="5C8044F0"/>
    <w:rsid w:val="5D94F492"/>
    <w:rsid w:val="5DA4247C"/>
    <w:rsid w:val="5E1727BB"/>
    <w:rsid w:val="5E1A99D6"/>
    <w:rsid w:val="5E2DBF67"/>
    <w:rsid w:val="5EFB6011"/>
    <w:rsid w:val="5F55A319"/>
    <w:rsid w:val="5F6873FE"/>
    <w:rsid w:val="60273E0E"/>
    <w:rsid w:val="6036BEDC"/>
    <w:rsid w:val="6069CFD2"/>
    <w:rsid w:val="60D5E3A0"/>
    <w:rsid w:val="611A4317"/>
    <w:rsid w:val="61B9FE58"/>
    <w:rsid w:val="61E69733"/>
    <w:rsid w:val="61EF1B36"/>
    <w:rsid w:val="622E50A9"/>
    <w:rsid w:val="6261A71F"/>
    <w:rsid w:val="63B1E0EE"/>
    <w:rsid w:val="641378AF"/>
    <w:rsid w:val="641570ED"/>
    <w:rsid w:val="6429470D"/>
    <w:rsid w:val="652FF666"/>
    <w:rsid w:val="65301753"/>
    <w:rsid w:val="654B6848"/>
    <w:rsid w:val="655021C8"/>
    <w:rsid w:val="65607C13"/>
    <w:rsid w:val="65E2D257"/>
    <w:rsid w:val="660FA4D9"/>
    <w:rsid w:val="66DB2FA9"/>
    <w:rsid w:val="68052BFF"/>
    <w:rsid w:val="6827479E"/>
    <w:rsid w:val="68B3C532"/>
    <w:rsid w:val="68C20BAC"/>
    <w:rsid w:val="68DDCE57"/>
    <w:rsid w:val="68FDE625"/>
    <w:rsid w:val="6950F0BD"/>
    <w:rsid w:val="69A58E94"/>
    <w:rsid w:val="69D227C7"/>
    <w:rsid w:val="69DE6B25"/>
    <w:rsid w:val="69FEEEC1"/>
    <w:rsid w:val="6A15DD3C"/>
    <w:rsid w:val="6ABFA204"/>
    <w:rsid w:val="6ADDF756"/>
    <w:rsid w:val="6B47E75B"/>
    <w:rsid w:val="6C8A57E7"/>
    <w:rsid w:val="6D7B7B07"/>
    <w:rsid w:val="6DB1A421"/>
    <w:rsid w:val="6DBA8CCB"/>
    <w:rsid w:val="6DBC5147"/>
    <w:rsid w:val="6DBFDF0C"/>
    <w:rsid w:val="6DF6CCE6"/>
    <w:rsid w:val="6E1E45AA"/>
    <w:rsid w:val="6E8C7188"/>
    <w:rsid w:val="6EC57EE2"/>
    <w:rsid w:val="6F439403"/>
    <w:rsid w:val="70970610"/>
    <w:rsid w:val="71400E21"/>
    <w:rsid w:val="71469C11"/>
    <w:rsid w:val="715724EE"/>
    <w:rsid w:val="72C0EC06"/>
    <w:rsid w:val="73005801"/>
    <w:rsid w:val="7330F974"/>
    <w:rsid w:val="73641A4B"/>
    <w:rsid w:val="73991787"/>
    <w:rsid w:val="73B64647"/>
    <w:rsid w:val="73CC14A5"/>
    <w:rsid w:val="73FDB315"/>
    <w:rsid w:val="76EBE270"/>
    <w:rsid w:val="771E9644"/>
    <w:rsid w:val="78B961CF"/>
    <w:rsid w:val="78C75946"/>
    <w:rsid w:val="7A0C679F"/>
    <w:rsid w:val="7A6CC8BC"/>
    <w:rsid w:val="7A908BD0"/>
    <w:rsid w:val="7AF6B69A"/>
    <w:rsid w:val="7B2D55B8"/>
    <w:rsid w:val="7B5360A9"/>
    <w:rsid w:val="7C0B4749"/>
    <w:rsid w:val="7C0E6656"/>
    <w:rsid w:val="7C162116"/>
    <w:rsid w:val="7D088A5E"/>
    <w:rsid w:val="7D35560A"/>
    <w:rsid w:val="7D6C6B26"/>
    <w:rsid w:val="7DD91EF3"/>
    <w:rsid w:val="7E61C1B0"/>
    <w:rsid w:val="7EE06904"/>
    <w:rsid w:val="7FA85C6A"/>
    <w:rsid w:val="7FA926B3"/>
    <w:rsid w:val="7FB3373F"/>
    <w:rsid w:val="7FCB707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DF6998"/>
  <w15:chartTrackingRefBased/>
  <w15:docId w15:val="{99639AD9-6C3B-4392-8E16-8FF23DF28E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82E49"/>
    <w:pPr>
      <w:tabs>
        <w:tab w:val="left" w:pos="567"/>
      </w:tabs>
      <w:spacing w:before="120" w:line="254" w:lineRule="auto"/>
    </w:pPr>
    <w:rPr>
      <w:rFonts w:ascii="Work Sans" w:hAnsi="Work Sans"/>
      <w:sz w:val="20"/>
      <w:szCs w:val="22"/>
    </w:rPr>
  </w:style>
  <w:style w:type="paragraph" w:styleId="Heading1">
    <w:name w:val="heading 1"/>
    <w:basedOn w:val="CGCSubHead"/>
    <w:next w:val="BodyText"/>
    <w:link w:val="Heading1Char"/>
    <w:uiPriority w:val="9"/>
    <w:qFormat/>
    <w:rsid w:val="00773471"/>
    <w:pPr>
      <w:numPr>
        <w:numId w:val="4"/>
      </w:numPr>
      <w:spacing w:before="360"/>
      <w:outlineLvl w:val="0"/>
    </w:pPr>
    <w:rPr>
      <w:b w:val="0"/>
      <w:sz w:val="40"/>
      <w:szCs w:val="40"/>
    </w:rPr>
  </w:style>
  <w:style w:type="paragraph" w:styleId="Heading2">
    <w:name w:val="heading 2"/>
    <w:basedOn w:val="CGCSubHead"/>
    <w:next w:val="BodyText"/>
    <w:link w:val="Heading2Char"/>
    <w:uiPriority w:val="9"/>
    <w:unhideWhenUsed/>
    <w:qFormat/>
    <w:rsid w:val="006D6A98"/>
    <w:pPr>
      <w:numPr>
        <w:ilvl w:val="1"/>
        <w:numId w:val="4"/>
      </w:numPr>
      <w:spacing w:before="120" w:after="120"/>
      <w:outlineLvl w:val="1"/>
    </w:pPr>
    <w:rPr>
      <w:rFonts w:ascii="Open Sans Semibold" w:hAnsi="Open Sans Semibold"/>
      <w:b w:val="0"/>
      <w:sz w:val="26"/>
      <w:szCs w:val="36"/>
    </w:rPr>
  </w:style>
  <w:style w:type="paragraph" w:styleId="Heading3">
    <w:name w:val="heading 3"/>
    <w:basedOn w:val="CGCSubHead"/>
    <w:next w:val="CGCBodyCopy"/>
    <w:link w:val="Heading3Char"/>
    <w:uiPriority w:val="9"/>
    <w:unhideWhenUsed/>
    <w:qFormat/>
    <w:rsid w:val="00FC25C5"/>
    <w:pPr>
      <w:numPr>
        <w:ilvl w:val="2"/>
        <w:numId w:val="4"/>
      </w:numPr>
      <w:spacing w:before="120" w:after="120"/>
      <w:outlineLvl w:val="2"/>
    </w:pPr>
    <w:rPr>
      <w:rFonts w:ascii="Open Sans Semibold" w:hAnsi="Open Sans Semibold"/>
      <w:b w:val="0"/>
      <w:color w:val="auto"/>
      <w:sz w:val="22"/>
    </w:rPr>
  </w:style>
  <w:style w:type="paragraph" w:styleId="Heading4">
    <w:name w:val="heading 4"/>
    <w:basedOn w:val="Normal"/>
    <w:next w:val="Normal"/>
    <w:link w:val="Heading4Char"/>
    <w:uiPriority w:val="9"/>
    <w:unhideWhenUsed/>
    <w:qFormat/>
    <w:rsid w:val="00F60F21"/>
    <w:pPr>
      <w:keepNext/>
      <w:keepLines/>
      <w:numPr>
        <w:ilvl w:val="3"/>
        <w:numId w:val="4"/>
      </w:numPr>
      <w:spacing w:after="120" w:line="252" w:lineRule="auto"/>
      <w:outlineLvl w:val="3"/>
    </w:pPr>
    <w:rPr>
      <w:rFonts w:ascii="Open Sans Semibold" w:eastAsiaTheme="majorEastAsia" w:hAnsi="Open Sans Semibold" w:cstheme="majorBidi"/>
      <w:iCs/>
      <w:sz w:val="19"/>
    </w:rPr>
  </w:style>
  <w:style w:type="paragraph" w:styleId="Heading5">
    <w:name w:val="heading 5"/>
    <w:basedOn w:val="Normal"/>
    <w:next w:val="Normal"/>
    <w:link w:val="Heading5Char"/>
    <w:uiPriority w:val="9"/>
    <w:unhideWhenUsed/>
    <w:qFormat/>
    <w:rsid w:val="00D40D63"/>
    <w:pPr>
      <w:keepNext/>
      <w:keepLines/>
      <w:numPr>
        <w:ilvl w:val="4"/>
        <w:numId w:val="4"/>
      </w:numPr>
      <w:spacing w:before="40"/>
      <w:outlineLvl w:val="4"/>
    </w:pPr>
    <w:rPr>
      <w:rFonts w:asciiTheme="majorHAnsi" w:eastAsiaTheme="majorEastAsia" w:hAnsiTheme="majorHAnsi" w:cstheme="majorBidi"/>
      <w:color w:val="00334A" w:themeColor="accent1" w:themeShade="BF"/>
    </w:rPr>
  </w:style>
  <w:style w:type="paragraph" w:styleId="Heading6">
    <w:name w:val="heading 6"/>
    <w:basedOn w:val="Normal"/>
    <w:next w:val="Normal"/>
    <w:link w:val="Heading6Char"/>
    <w:uiPriority w:val="9"/>
    <w:unhideWhenUsed/>
    <w:qFormat/>
    <w:rsid w:val="00D40D63"/>
    <w:pPr>
      <w:keepNext/>
      <w:keepLines/>
      <w:numPr>
        <w:ilvl w:val="5"/>
        <w:numId w:val="4"/>
      </w:numPr>
      <w:spacing w:before="40"/>
      <w:outlineLvl w:val="5"/>
    </w:pPr>
    <w:rPr>
      <w:rFonts w:asciiTheme="majorHAnsi" w:eastAsiaTheme="majorEastAsia" w:hAnsiTheme="majorHAnsi" w:cstheme="majorBidi"/>
      <w:color w:val="002231" w:themeColor="accent1" w:themeShade="7F"/>
    </w:rPr>
  </w:style>
  <w:style w:type="paragraph" w:styleId="Heading7">
    <w:name w:val="heading 7"/>
    <w:basedOn w:val="Normal"/>
    <w:next w:val="Normal"/>
    <w:link w:val="Heading7Char"/>
    <w:uiPriority w:val="9"/>
    <w:unhideWhenUsed/>
    <w:qFormat/>
    <w:rsid w:val="00D40D63"/>
    <w:pPr>
      <w:keepNext/>
      <w:keepLines/>
      <w:numPr>
        <w:ilvl w:val="6"/>
        <w:numId w:val="4"/>
      </w:numPr>
      <w:spacing w:before="40"/>
      <w:outlineLvl w:val="6"/>
    </w:pPr>
    <w:rPr>
      <w:rFonts w:asciiTheme="majorHAnsi" w:eastAsiaTheme="majorEastAsia" w:hAnsiTheme="majorHAnsi" w:cstheme="majorBidi"/>
      <w:i/>
      <w:iCs/>
      <w:color w:val="002231" w:themeColor="accent1" w:themeShade="7F"/>
    </w:rPr>
  </w:style>
  <w:style w:type="paragraph" w:styleId="Heading8">
    <w:name w:val="heading 8"/>
    <w:basedOn w:val="Normal"/>
    <w:next w:val="Normal"/>
    <w:link w:val="Heading8Char"/>
    <w:uiPriority w:val="9"/>
    <w:unhideWhenUsed/>
    <w:qFormat/>
    <w:rsid w:val="00D40D63"/>
    <w:pPr>
      <w:keepNext/>
      <w:keepLines/>
      <w:numPr>
        <w:ilvl w:val="7"/>
        <w:numId w:val="4"/>
      </w:numPr>
      <w:spacing w:before="40"/>
      <w:outlineLvl w:val="7"/>
    </w:pPr>
    <w:rPr>
      <w:rFonts w:asciiTheme="majorHAnsi" w:eastAsiaTheme="majorEastAsia" w:hAnsiTheme="majorHAnsi" w:cstheme="majorBidi"/>
      <w:color w:val="0071A1" w:themeColor="text1" w:themeTint="D8"/>
      <w:sz w:val="21"/>
      <w:szCs w:val="21"/>
    </w:rPr>
  </w:style>
  <w:style w:type="paragraph" w:styleId="Heading9">
    <w:name w:val="heading 9"/>
    <w:basedOn w:val="Normal"/>
    <w:next w:val="Normal"/>
    <w:link w:val="Heading9Char"/>
    <w:uiPriority w:val="9"/>
    <w:unhideWhenUsed/>
    <w:qFormat/>
    <w:rsid w:val="00D40D63"/>
    <w:pPr>
      <w:keepNext/>
      <w:keepLines/>
      <w:numPr>
        <w:ilvl w:val="8"/>
        <w:numId w:val="4"/>
      </w:numPr>
      <w:spacing w:before="40"/>
      <w:outlineLvl w:val="8"/>
    </w:pPr>
    <w:rPr>
      <w:rFonts w:asciiTheme="majorHAnsi" w:eastAsiaTheme="majorEastAsia" w:hAnsiTheme="majorHAnsi" w:cstheme="majorBidi"/>
      <w:i/>
      <w:iCs/>
      <w:color w:val="0071A1"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4367"/>
    <w:pPr>
      <w:tabs>
        <w:tab w:val="center" w:pos="4513"/>
        <w:tab w:val="right" w:pos="9026"/>
      </w:tabs>
      <w:spacing w:before="0" w:line="240" w:lineRule="auto"/>
      <w:ind w:left="-1701" w:right="-1202" w:firstLine="1701"/>
    </w:pPr>
    <w:rPr>
      <w:rFonts w:ascii="Open Sans Semibold" w:hAnsi="Open Sans Semibold"/>
      <w:color w:val="006991"/>
      <w:sz w:val="14"/>
    </w:rPr>
  </w:style>
  <w:style w:type="character" w:customStyle="1" w:styleId="HeaderChar">
    <w:name w:val="Header Char"/>
    <w:basedOn w:val="DefaultParagraphFont"/>
    <w:link w:val="Header"/>
    <w:uiPriority w:val="99"/>
    <w:rsid w:val="001F4367"/>
    <w:rPr>
      <w:rFonts w:ascii="Open Sans Semibold" w:hAnsi="Open Sans Semibold"/>
      <w:color w:val="006991"/>
      <w:sz w:val="14"/>
      <w:szCs w:val="22"/>
    </w:rPr>
  </w:style>
  <w:style w:type="paragraph" w:styleId="Footer">
    <w:name w:val="footer"/>
    <w:basedOn w:val="Normal"/>
    <w:link w:val="FooterChar"/>
    <w:uiPriority w:val="99"/>
    <w:unhideWhenUsed/>
    <w:rsid w:val="005C0550"/>
    <w:pPr>
      <w:tabs>
        <w:tab w:val="center" w:pos="4513"/>
        <w:tab w:val="right" w:pos="9026"/>
      </w:tabs>
    </w:pPr>
  </w:style>
  <w:style w:type="character" w:customStyle="1" w:styleId="FooterChar">
    <w:name w:val="Footer Char"/>
    <w:basedOn w:val="DefaultParagraphFont"/>
    <w:link w:val="Footer"/>
    <w:uiPriority w:val="99"/>
    <w:rsid w:val="005C0550"/>
  </w:style>
  <w:style w:type="paragraph" w:styleId="Caption">
    <w:name w:val="caption"/>
    <w:basedOn w:val="Normal"/>
    <w:next w:val="Normal"/>
    <w:link w:val="CaptionChar"/>
    <w:qFormat/>
    <w:rsid w:val="0071146B"/>
    <w:pPr>
      <w:keepNext/>
      <w:keepLines/>
      <w:tabs>
        <w:tab w:val="clear" w:pos="567"/>
        <w:tab w:val="left" w:pos="1134"/>
        <w:tab w:val="left" w:pos="1418"/>
      </w:tabs>
      <w:spacing w:before="240" w:after="120" w:line="240" w:lineRule="auto"/>
      <w:ind w:left="1134" w:hanging="1134"/>
    </w:pPr>
    <w:rPr>
      <w:b/>
      <w:bCs/>
      <w:sz w:val="24"/>
      <w:szCs w:val="24"/>
    </w:rPr>
  </w:style>
  <w:style w:type="character" w:customStyle="1" w:styleId="CaptionChar">
    <w:name w:val="Caption Char"/>
    <w:basedOn w:val="DefaultParagraphFont"/>
    <w:link w:val="Caption"/>
    <w:rsid w:val="0071146B"/>
    <w:rPr>
      <w:rFonts w:ascii="Work Sans" w:hAnsi="Work Sans"/>
      <w:b/>
      <w:bCs/>
    </w:rPr>
  </w:style>
  <w:style w:type="paragraph" w:customStyle="1" w:styleId="CGCTablenote">
    <w:name w:val="CGC Table note"/>
    <w:basedOn w:val="Normal"/>
    <w:next w:val="Normal"/>
    <w:link w:val="CGCTablenoteChar"/>
    <w:qFormat/>
    <w:rsid w:val="005C0550"/>
    <w:pPr>
      <w:tabs>
        <w:tab w:val="left" w:pos="680"/>
      </w:tabs>
      <w:spacing w:before="40" w:line="240" w:lineRule="auto"/>
      <w:ind w:left="340" w:hanging="227"/>
    </w:pPr>
    <w:rPr>
      <w:sz w:val="14"/>
    </w:rPr>
  </w:style>
  <w:style w:type="paragraph" w:styleId="BodyText">
    <w:name w:val="Body Text"/>
    <w:link w:val="BodyTextChar"/>
    <w:qFormat/>
    <w:rsid w:val="00643F32"/>
    <w:pPr>
      <w:spacing w:before="240" w:line="300" w:lineRule="atLeast"/>
      <w:jc w:val="both"/>
    </w:pPr>
    <w:rPr>
      <w:rFonts w:ascii="Open Sans Light" w:eastAsia="Times New Roman" w:hAnsi="Open Sans Light" w:cs="Times New Roman"/>
      <w:sz w:val="20"/>
      <w:szCs w:val="20"/>
      <w:lang w:eastAsia="en-AU"/>
    </w:rPr>
  </w:style>
  <w:style w:type="character" w:customStyle="1" w:styleId="BodyTextChar">
    <w:name w:val="Body Text Char"/>
    <w:basedOn w:val="DefaultParagraphFont"/>
    <w:link w:val="BodyText"/>
    <w:rsid w:val="00643F32"/>
    <w:rPr>
      <w:rFonts w:ascii="Open Sans Light" w:eastAsia="Times New Roman" w:hAnsi="Open Sans Light" w:cs="Times New Roman"/>
      <w:sz w:val="20"/>
      <w:szCs w:val="20"/>
      <w:lang w:eastAsia="en-AU"/>
    </w:rPr>
  </w:style>
  <w:style w:type="character" w:customStyle="1" w:styleId="normaltextrun">
    <w:name w:val="normaltextrun"/>
    <w:basedOn w:val="DefaultParagraphFont"/>
    <w:rsid w:val="005C0550"/>
  </w:style>
  <w:style w:type="paragraph" w:customStyle="1" w:styleId="CGCBodyCopy">
    <w:name w:val="CGC Body Copy"/>
    <w:basedOn w:val="Normal"/>
    <w:autoRedefine/>
    <w:qFormat/>
    <w:rsid w:val="001F4367"/>
    <w:pPr>
      <w:jc w:val="both"/>
    </w:pPr>
    <w:rPr>
      <w:rFonts w:cs="Cambria Math"/>
      <w:color w:val="000000"/>
      <w:szCs w:val="21"/>
      <w:shd w:val="clear" w:color="auto" w:fill="FFFFFF"/>
      <w14:shadow w14:blurRad="50800" w14:dist="50800" w14:dir="5400000" w14:sx="0" w14:sy="0" w14:kx="0" w14:ky="0" w14:algn="ctr">
        <w14:srgbClr w14:val="000000">
          <w14:alpha w14:val="1000"/>
        </w14:srgbClr>
      </w14:shadow>
    </w:rPr>
  </w:style>
  <w:style w:type="paragraph" w:customStyle="1" w:styleId="CGCSubHead">
    <w:name w:val="CGC Sub Head"/>
    <w:next w:val="CGCBodyCopy"/>
    <w:autoRedefine/>
    <w:qFormat/>
    <w:rsid w:val="005C2025"/>
    <w:pPr>
      <w:spacing w:before="240" w:after="200" w:line="276" w:lineRule="auto"/>
    </w:pPr>
    <w:rPr>
      <w:rFonts w:ascii="Work Sans" w:eastAsiaTheme="majorEastAsia" w:hAnsi="Work Sans" w:cs="Open Sans"/>
      <w:b/>
      <w:bCs/>
      <w:color w:val="006991"/>
      <w:sz w:val="28"/>
      <w:szCs w:val="28"/>
    </w:rPr>
  </w:style>
  <w:style w:type="character" w:styleId="Hyperlink">
    <w:name w:val="Hyperlink"/>
    <w:basedOn w:val="DefaultParagraphFont"/>
    <w:uiPriority w:val="99"/>
    <w:unhideWhenUsed/>
    <w:rsid w:val="008B3F9B"/>
    <w:rPr>
      <w:color w:val="006991" w:themeColor="hyperlink"/>
      <w:u w:val="single"/>
    </w:rPr>
  </w:style>
  <w:style w:type="character" w:styleId="UnresolvedMention">
    <w:name w:val="Unresolved Mention"/>
    <w:basedOn w:val="DefaultParagraphFont"/>
    <w:uiPriority w:val="99"/>
    <w:semiHidden/>
    <w:unhideWhenUsed/>
    <w:rsid w:val="008B3F9B"/>
    <w:rPr>
      <w:color w:val="605E5C"/>
      <w:shd w:val="clear" w:color="auto" w:fill="E1DFDD"/>
    </w:rPr>
  </w:style>
  <w:style w:type="character" w:styleId="PageNumber">
    <w:name w:val="page number"/>
    <w:basedOn w:val="DefaultParagraphFont"/>
    <w:uiPriority w:val="99"/>
    <w:semiHidden/>
    <w:unhideWhenUsed/>
    <w:rsid w:val="008B3F9B"/>
  </w:style>
  <w:style w:type="character" w:customStyle="1" w:styleId="Heading1Char">
    <w:name w:val="Heading 1 Char"/>
    <w:basedOn w:val="DefaultParagraphFont"/>
    <w:link w:val="Heading1"/>
    <w:uiPriority w:val="9"/>
    <w:rsid w:val="00773471"/>
    <w:rPr>
      <w:rFonts w:ascii="Work Sans" w:eastAsiaTheme="majorEastAsia" w:hAnsi="Work Sans" w:cs="Open Sans"/>
      <w:bCs/>
      <w:color w:val="006991"/>
      <w:sz w:val="40"/>
      <w:szCs w:val="40"/>
    </w:rPr>
  </w:style>
  <w:style w:type="character" w:customStyle="1" w:styleId="Heading2Char">
    <w:name w:val="Heading 2 Char"/>
    <w:basedOn w:val="DefaultParagraphFont"/>
    <w:link w:val="Heading2"/>
    <w:uiPriority w:val="9"/>
    <w:rsid w:val="006D6A98"/>
    <w:rPr>
      <w:rFonts w:ascii="Open Sans Semibold" w:eastAsiaTheme="majorEastAsia" w:hAnsi="Open Sans Semibold" w:cs="Open Sans"/>
      <w:bCs/>
      <w:color w:val="006991"/>
      <w:sz w:val="26"/>
      <w:szCs w:val="36"/>
    </w:rPr>
  </w:style>
  <w:style w:type="character" w:customStyle="1" w:styleId="Heading3Char">
    <w:name w:val="Heading 3 Char"/>
    <w:basedOn w:val="DefaultParagraphFont"/>
    <w:link w:val="Heading3"/>
    <w:uiPriority w:val="9"/>
    <w:rsid w:val="006C0639"/>
    <w:rPr>
      <w:rFonts w:ascii="Open Sans Semibold" w:eastAsiaTheme="majorEastAsia" w:hAnsi="Open Sans Semibold" w:cs="Open Sans"/>
      <w:bCs/>
      <w:sz w:val="22"/>
      <w:szCs w:val="28"/>
    </w:rPr>
  </w:style>
  <w:style w:type="paragraph" w:styleId="NormalWeb">
    <w:name w:val="Normal (Web)"/>
    <w:basedOn w:val="Normal"/>
    <w:uiPriority w:val="99"/>
    <w:unhideWhenUsed/>
    <w:rsid w:val="00C87C4C"/>
    <w:pPr>
      <w:tabs>
        <w:tab w:val="clear" w:pos="567"/>
      </w:tabs>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FootnoteText">
    <w:name w:val="footnote text"/>
    <w:basedOn w:val="Normal"/>
    <w:link w:val="FootnoteTextChar"/>
    <w:uiPriority w:val="99"/>
    <w:unhideWhenUsed/>
    <w:qFormat/>
    <w:rsid w:val="00B74E38"/>
    <w:pPr>
      <w:spacing w:before="0" w:line="240" w:lineRule="auto"/>
    </w:pPr>
    <w:rPr>
      <w:sz w:val="14"/>
      <w:szCs w:val="20"/>
    </w:rPr>
  </w:style>
  <w:style w:type="character" w:customStyle="1" w:styleId="FootnoteTextChar">
    <w:name w:val="Footnote Text Char"/>
    <w:basedOn w:val="DefaultParagraphFont"/>
    <w:link w:val="FootnoteText"/>
    <w:uiPriority w:val="99"/>
    <w:rsid w:val="00B74E38"/>
    <w:rPr>
      <w:rFonts w:ascii="Work Sans" w:hAnsi="Work Sans"/>
      <w:sz w:val="14"/>
      <w:szCs w:val="20"/>
    </w:rPr>
  </w:style>
  <w:style w:type="character" w:styleId="FootnoteReference">
    <w:name w:val="footnote reference"/>
    <w:unhideWhenUsed/>
    <w:qFormat/>
    <w:rsid w:val="003C2C06"/>
    <w:rPr>
      <w:rFonts w:ascii="Work Sans" w:hAnsi="Work Sans"/>
      <w:sz w:val="20"/>
      <w:szCs w:val="16"/>
    </w:rPr>
  </w:style>
  <w:style w:type="paragraph" w:styleId="ListParagraph">
    <w:name w:val="List Paragraph"/>
    <w:basedOn w:val="ListBullet"/>
    <w:uiPriority w:val="34"/>
    <w:qFormat/>
    <w:rsid w:val="00497C68"/>
    <w:pPr>
      <w:spacing w:before="60" w:line="312" w:lineRule="auto"/>
      <w:ind w:left="584" w:hanging="227"/>
    </w:pPr>
  </w:style>
  <w:style w:type="table" w:styleId="TableGrid">
    <w:name w:val="Table Grid"/>
    <w:basedOn w:val="TableNormal"/>
    <w:uiPriority w:val="39"/>
    <w:rsid w:val="00E079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634ED"/>
    <w:pPr>
      <w:keepNext/>
      <w:keepLines/>
      <w:spacing w:before="240" w:after="0" w:line="259" w:lineRule="auto"/>
      <w:outlineLvl w:val="9"/>
    </w:pPr>
    <w:rPr>
      <w:rFonts w:asciiTheme="majorHAnsi" w:hAnsiTheme="majorHAnsi" w:cstheme="majorBidi"/>
      <w:b/>
      <w:bCs w:val="0"/>
      <w:color w:val="00334A" w:themeColor="accent1" w:themeShade="BF"/>
      <w:sz w:val="32"/>
      <w:szCs w:val="32"/>
      <w:lang w:val="en-US"/>
    </w:rPr>
  </w:style>
  <w:style w:type="paragraph" w:styleId="TOC1">
    <w:name w:val="toc 1"/>
    <w:basedOn w:val="Normal"/>
    <w:next w:val="Normal"/>
    <w:autoRedefine/>
    <w:uiPriority w:val="39"/>
    <w:unhideWhenUsed/>
    <w:rsid w:val="00E20B7F"/>
    <w:pPr>
      <w:tabs>
        <w:tab w:val="clear" w:pos="567"/>
      </w:tabs>
      <w:spacing w:after="100"/>
    </w:pPr>
    <w:rPr>
      <w:rFonts w:ascii="Work Sans SemiBold" w:hAnsi="Work Sans SemiBold"/>
    </w:rPr>
  </w:style>
  <w:style w:type="paragraph" w:styleId="TOC2">
    <w:name w:val="toc 2"/>
    <w:basedOn w:val="Normal"/>
    <w:next w:val="Normal"/>
    <w:autoRedefine/>
    <w:uiPriority w:val="39"/>
    <w:unhideWhenUsed/>
    <w:rsid w:val="00D634ED"/>
    <w:pPr>
      <w:tabs>
        <w:tab w:val="clear" w:pos="567"/>
      </w:tabs>
      <w:spacing w:after="100"/>
      <w:ind w:left="200"/>
    </w:pPr>
  </w:style>
  <w:style w:type="paragraph" w:styleId="TOC3">
    <w:name w:val="toc 3"/>
    <w:basedOn w:val="Normal"/>
    <w:next w:val="Normal"/>
    <w:autoRedefine/>
    <w:uiPriority w:val="39"/>
    <w:unhideWhenUsed/>
    <w:rsid w:val="00D634ED"/>
    <w:pPr>
      <w:tabs>
        <w:tab w:val="clear" w:pos="567"/>
      </w:tabs>
      <w:spacing w:after="100"/>
      <w:ind w:left="400"/>
    </w:pPr>
  </w:style>
  <w:style w:type="paragraph" w:styleId="Subtitle">
    <w:name w:val="Subtitle"/>
    <w:basedOn w:val="Normal"/>
    <w:next w:val="Normal"/>
    <w:link w:val="SubtitleChar"/>
    <w:uiPriority w:val="11"/>
    <w:qFormat/>
    <w:rsid w:val="00D40D63"/>
    <w:pPr>
      <w:numPr>
        <w:ilvl w:val="1"/>
      </w:numPr>
      <w:spacing w:after="160"/>
    </w:pPr>
    <w:rPr>
      <w:rFonts w:asciiTheme="minorHAnsi" w:eastAsiaTheme="minorEastAsia" w:hAnsiTheme="minorHAnsi"/>
      <w:color w:val="00AAF3" w:themeColor="text1" w:themeTint="A5"/>
      <w:spacing w:val="15"/>
      <w:sz w:val="22"/>
    </w:rPr>
  </w:style>
  <w:style w:type="character" w:customStyle="1" w:styleId="SubtitleChar">
    <w:name w:val="Subtitle Char"/>
    <w:basedOn w:val="DefaultParagraphFont"/>
    <w:link w:val="Subtitle"/>
    <w:uiPriority w:val="11"/>
    <w:rsid w:val="00D40D63"/>
    <w:rPr>
      <w:rFonts w:eastAsiaTheme="minorEastAsia"/>
      <w:color w:val="00AAF3" w:themeColor="text1" w:themeTint="A5"/>
      <w:spacing w:val="15"/>
      <w:sz w:val="22"/>
      <w:szCs w:val="22"/>
    </w:rPr>
  </w:style>
  <w:style w:type="character" w:styleId="SubtleReference">
    <w:name w:val="Subtle Reference"/>
    <w:basedOn w:val="DefaultParagraphFont"/>
    <w:uiPriority w:val="31"/>
    <w:qFormat/>
    <w:rsid w:val="00D40D63"/>
    <w:rPr>
      <w:smallCaps/>
      <w:color w:val="00AAF3" w:themeColor="text1" w:themeTint="A5"/>
    </w:rPr>
  </w:style>
  <w:style w:type="character" w:styleId="IntenseReference">
    <w:name w:val="Intense Reference"/>
    <w:basedOn w:val="DefaultParagraphFont"/>
    <w:uiPriority w:val="32"/>
    <w:qFormat/>
    <w:rsid w:val="00D40D63"/>
    <w:rPr>
      <w:b/>
      <w:bCs/>
      <w:smallCaps/>
      <w:color w:val="004563" w:themeColor="accent1"/>
      <w:spacing w:val="5"/>
    </w:rPr>
  </w:style>
  <w:style w:type="character" w:styleId="BookTitle">
    <w:name w:val="Book Title"/>
    <w:basedOn w:val="DefaultParagraphFont"/>
    <w:uiPriority w:val="33"/>
    <w:qFormat/>
    <w:rsid w:val="00D40D63"/>
    <w:rPr>
      <w:b/>
      <w:bCs/>
      <w:i/>
      <w:iCs/>
      <w:spacing w:val="5"/>
    </w:rPr>
  </w:style>
  <w:style w:type="character" w:styleId="Strong">
    <w:name w:val="Strong"/>
    <w:basedOn w:val="DefaultParagraphFont"/>
    <w:uiPriority w:val="22"/>
    <w:qFormat/>
    <w:rsid w:val="00D40D63"/>
    <w:rPr>
      <w:b/>
      <w:bCs/>
    </w:rPr>
  </w:style>
  <w:style w:type="character" w:styleId="IntenseEmphasis">
    <w:name w:val="Intense Emphasis"/>
    <w:basedOn w:val="DefaultParagraphFont"/>
    <w:uiPriority w:val="21"/>
    <w:qFormat/>
    <w:rsid w:val="00D40D63"/>
    <w:rPr>
      <w:i/>
      <w:iCs/>
      <w:color w:val="004563" w:themeColor="accent1"/>
    </w:rPr>
  </w:style>
  <w:style w:type="character" w:styleId="Emphasis">
    <w:name w:val="Emphasis"/>
    <w:basedOn w:val="DefaultParagraphFont"/>
    <w:uiPriority w:val="20"/>
    <w:qFormat/>
    <w:rsid w:val="00D40D63"/>
    <w:rPr>
      <w:i/>
      <w:iCs/>
    </w:rPr>
  </w:style>
  <w:style w:type="character" w:styleId="SubtleEmphasis">
    <w:name w:val="Subtle Emphasis"/>
    <w:basedOn w:val="DefaultParagraphFont"/>
    <w:uiPriority w:val="19"/>
    <w:qFormat/>
    <w:rsid w:val="00D40D63"/>
    <w:rPr>
      <w:i/>
      <w:iCs/>
      <w:color w:val="008DC9" w:themeColor="text1" w:themeTint="BF"/>
    </w:rPr>
  </w:style>
  <w:style w:type="paragraph" w:styleId="Title">
    <w:name w:val="Title"/>
    <w:basedOn w:val="Normal"/>
    <w:next w:val="Normal"/>
    <w:link w:val="TitleChar"/>
    <w:uiPriority w:val="10"/>
    <w:qFormat/>
    <w:rsid w:val="00D40D63"/>
    <w:pPr>
      <w:spacing w:before="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0D63"/>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F60F21"/>
    <w:rPr>
      <w:rFonts w:ascii="Open Sans Semibold" w:eastAsiaTheme="majorEastAsia" w:hAnsi="Open Sans Semibold" w:cstheme="majorBidi"/>
      <w:iCs/>
      <w:sz w:val="19"/>
      <w:szCs w:val="22"/>
    </w:rPr>
  </w:style>
  <w:style w:type="character" w:customStyle="1" w:styleId="Heading5Char">
    <w:name w:val="Heading 5 Char"/>
    <w:basedOn w:val="DefaultParagraphFont"/>
    <w:link w:val="Heading5"/>
    <w:uiPriority w:val="9"/>
    <w:rsid w:val="00D40D63"/>
    <w:rPr>
      <w:rFonts w:asciiTheme="majorHAnsi" w:eastAsiaTheme="majorEastAsia" w:hAnsiTheme="majorHAnsi" w:cstheme="majorBidi"/>
      <w:color w:val="00334A" w:themeColor="accent1" w:themeShade="BF"/>
      <w:sz w:val="20"/>
      <w:szCs w:val="22"/>
    </w:rPr>
  </w:style>
  <w:style w:type="character" w:customStyle="1" w:styleId="Heading6Char">
    <w:name w:val="Heading 6 Char"/>
    <w:basedOn w:val="DefaultParagraphFont"/>
    <w:link w:val="Heading6"/>
    <w:uiPriority w:val="9"/>
    <w:rsid w:val="00D40D63"/>
    <w:rPr>
      <w:rFonts w:asciiTheme="majorHAnsi" w:eastAsiaTheme="majorEastAsia" w:hAnsiTheme="majorHAnsi" w:cstheme="majorBidi"/>
      <w:color w:val="002231" w:themeColor="accent1" w:themeShade="7F"/>
      <w:sz w:val="20"/>
      <w:szCs w:val="22"/>
    </w:rPr>
  </w:style>
  <w:style w:type="character" w:customStyle="1" w:styleId="Heading7Char">
    <w:name w:val="Heading 7 Char"/>
    <w:basedOn w:val="DefaultParagraphFont"/>
    <w:link w:val="Heading7"/>
    <w:uiPriority w:val="9"/>
    <w:rsid w:val="00D40D63"/>
    <w:rPr>
      <w:rFonts w:asciiTheme="majorHAnsi" w:eastAsiaTheme="majorEastAsia" w:hAnsiTheme="majorHAnsi" w:cstheme="majorBidi"/>
      <w:i/>
      <w:iCs/>
      <w:color w:val="002231" w:themeColor="accent1" w:themeShade="7F"/>
      <w:sz w:val="20"/>
      <w:szCs w:val="22"/>
    </w:rPr>
  </w:style>
  <w:style w:type="character" w:customStyle="1" w:styleId="Heading8Char">
    <w:name w:val="Heading 8 Char"/>
    <w:basedOn w:val="DefaultParagraphFont"/>
    <w:link w:val="Heading8"/>
    <w:uiPriority w:val="9"/>
    <w:rsid w:val="00D40D63"/>
    <w:rPr>
      <w:rFonts w:asciiTheme="majorHAnsi" w:eastAsiaTheme="majorEastAsia" w:hAnsiTheme="majorHAnsi" w:cstheme="majorBidi"/>
      <w:color w:val="0071A1" w:themeColor="text1" w:themeTint="D8"/>
      <w:sz w:val="21"/>
      <w:szCs w:val="21"/>
    </w:rPr>
  </w:style>
  <w:style w:type="character" w:customStyle="1" w:styleId="Heading9Char">
    <w:name w:val="Heading 9 Char"/>
    <w:basedOn w:val="DefaultParagraphFont"/>
    <w:link w:val="Heading9"/>
    <w:uiPriority w:val="9"/>
    <w:rsid w:val="00D40D63"/>
    <w:rPr>
      <w:rFonts w:asciiTheme="majorHAnsi" w:eastAsiaTheme="majorEastAsia" w:hAnsiTheme="majorHAnsi" w:cstheme="majorBidi"/>
      <w:i/>
      <w:iCs/>
      <w:color w:val="0071A1" w:themeColor="text1" w:themeTint="D8"/>
      <w:sz w:val="21"/>
      <w:szCs w:val="21"/>
    </w:rPr>
  </w:style>
  <w:style w:type="paragraph" w:customStyle="1" w:styleId="CGCTableHead">
    <w:name w:val="CGC Table Head"/>
    <w:basedOn w:val="CGCBodyCopy"/>
    <w:qFormat/>
    <w:rsid w:val="005A064C"/>
    <w:pPr>
      <w:spacing w:before="160" w:after="120" w:line="240" w:lineRule="auto"/>
    </w:pPr>
    <w:rPr>
      <w:rFonts w:ascii="Work Sans SemiBold" w:hAnsi="Work Sans SemiBold"/>
      <w:bCs/>
    </w:rPr>
  </w:style>
  <w:style w:type="paragraph" w:customStyle="1" w:styleId="Tableheading">
    <w:name w:val="Table heading"/>
    <w:basedOn w:val="BodyText"/>
    <w:rsid w:val="005A064C"/>
    <w:pPr>
      <w:spacing w:before="160" w:after="120" w:line="240" w:lineRule="auto"/>
    </w:pPr>
    <w:rPr>
      <w:rFonts w:ascii="Work Sans SemiBold" w:hAnsi="Work Sans SemiBold"/>
    </w:rPr>
  </w:style>
  <w:style w:type="paragraph" w:customStyle="1" w:styleId="Tablefootnote">
    <w:name w:val="Table footnote"/>
    <w:basedOn w:val="CGCTablenote"/>
    <w:next w:val="BodyText"/>
    <w:rsid w:val="006D6A98"/>
  </w:style>
  <w:style w:type="paragraph" w:styleId="ListBullet">
    <w:name w:val="List Bullet"/>
    <w:basedOn w:val="Normal"/>
    <w:uiPriority w:val="99"/>
    <w:unhideWhenUsed/>
    <w:rsid w:val="00497C68"/>
    <w:pPr>
      <w:numPr>
        <w:numId w:val="1"/>
      </w:numPr>
      <w:contextualSpacing/>
    </w:pPr>
  </w:style>
  <w:style w:type="paragraph" w:customStyle="1" w:styleId="CGCBulletPoints">
    <w:name w:val="CGC Bullet Points"/>
    <w:basedOn w:val="Normal"/>
    <w:qFormat/>
    <w:rsid w:val="00350854"/>
    <w:pPr>
      <w:numPr>
        <w:numId w:val="2"/>
      </w:numPr>
      <w:tabs>
        <w:tab w:val="clear" w:pos="567"/>
      </w:tabs>
      <w:spacing w:before="60" w:line="276" w:lineRule="auto"/>
      <w:ind w:left="714" w:hanging="357"/>
    </w:pPr>
    <w:rPr>
      <w:rFonts w:eastAsia="Calibri" w:cs="Arial"/>
    </w:rPr>
  </w:style>
  <w:style w:type="paragraph" w:customStyle="1" w:styleId="CGCBulletPoints-Level2">
    <w:name w:val="CGC Bullet Points - Level 2"/>
    <w:basedOn w:val="Normal"/>
    <w:next w:val="CGCBulletPoints"/>
    <w:rsid w:val="002076AC"/>
    <w:pPr>
      <w:numPr>
        <w:numId w:val="3"/>
      </w:numPr>
      <w:ind w:left="1151" w:hanging="357"/>
    </w:pPr>
  </w:style>
  <w:style w:type="character" w:styleId="CommentReference">
    <w:name w:val="annotation reference"/>
    <w:basedOn w:val="DefaultParagraphFont"/>
    <w:uiPriority w:val="99"/>
    <w:semiHidden/>
    <w:unhideWhenUsed/>
    <w:rsid w:val="009C39BC"/>
    <w:rPr>
      <w:sz w:val="16"/>
      <w:szCs w:val="16"/>
    </w:rPr>
  </w:style>
  <w:style w:type="paragraph" w:styleId="CommentText">
    <w:name w:val="annotation text"/>
    <w:basedOn w:val="Normal"/>
    <w:link w:val="CommentTextChar"/>
    <w:uiPriority w:val="99"/>
    <w:unhideWhenUsed/>
    <w:rsid w:val="009C39BC"/>
    <w:pPr>
      <w:spacing w:line="240" w:lineRule="auto"/>
    </w:pPr>
    <w:rPr>
      <w:szCs w:val="20"/>
    </w:rPr>
  </w:style>
  <w:style w:type="character" w:customStyle="1" w:styleId="CommentTextChar">
    <w:name w:val="Comment Text Char"/>
    <w:basedOn w:val="DefaultParagraphFont"/>
    <w:link w:val="CommentText"/>
    <w:uiPriority w:val="99"/>
    <w:rsid w:val="009C39BC"/>
    <w:rPr>
      <w:rFonts w:ascii="Work Sans" w:hAnsi="Work Sans"/>
      <w:sz w:val="20"/>
      <w:szCs w:val="20"/>
    </w:rPr>
  </w:style>
  <w:style w:type="paragraph" w:styleId="CommentSubject">
    <w:name w:val="annotation subject"/>
    <w:basedOn w:val="CommentText"/>
    <w:next w:val="CommentText"/>
    <w:link w:val="CommentSubjectChar"/>
    <w:uiPriority w:val="99"/>
    <w:semiHidden/>
    <w:unhideWhenUsed/>
    <w:rsid w:val="009C39BC"/>
    <w:rPr>
      <w:b/>
      <w:bCs/>
    </w:rPr>
  </w:style>
  <w:style w:type="character" w:customStyle="1" w:styleId="CommentSubjectChar">
    <w:name w:val="Comment Subject Char"/>
    <w:basedOn w:val="CommentTextChar"/>
    <w:link w:val="CommentSubject"/>
    <w:uiPriority w:val="99"/>
    <w:semiHidden/>
    <w:rsid w:val="009C39BC"/>
    <w:rPr>
      <w:rFonts w:ascii="Work Sans" w:hAnsi="Work Sans"/>
      <w:b/>
      <w:bCs/>
      <w:sz w:val="20"/>
      <w:szCs w:val="20"/>
    </w:rPr>
  </w:style>
  <w:style w:type="character" w:styleId="Mention">
    <w:name w:val="Mention"/>
    <w:basedOn w:val="DefaultParagraphFont"/>
    <w:uiPriority w:val="99"/>
    <w:unhideWhenUsed/>
    <w:rsid w:val="009C39BC"/>
    <w:rPr>
      <w:color w:val="2B579A"/>
      <w:shd w:val="clear" w:color="auto" w:fill="E1DFDD"/>
    </w:rPr>
  </w:style>
  <w:style w:type="character" w:customStyle="1" w:styleId="ui-provider">
    <w:name w:val="ui-provider"/>
    <w:basedOn w:val="DefaultParagraphFont"/>
    <w:rsid w:val="000D06E3"/>
  </w:style>
  <w:style w:type="paragraph" w:styleId="Revision">
    <w:name w:val="Revision"/>
    <w:hidden/>
    <w:uiPriority w:val="99"/>
    <w:semiHidden/>
    <w:rsid w:val="00832D95"/>
    <w:rPr>
      <w:rFonts w:ascii="Work Sans" w:hAnsi="Work Sans"/>
      <w:sz w:val="20"/>
      <w:szCs w:val="22"/>
    </w:rPr>
  </w:style>
  <w:style w:type="character" w:customStyle="1" w:styleId="cf01">
    <w:name w:val="cf01"/>
    <w:basedOn w:val="DefaultParagraphFont"/>
    <w:rsid w:val="00832D95"/>
    <w:rPr>
      <w:rFonts w:ascii="Segoe UI" w:hAnsi="Segoe UI" w:cs="Segoe UI" w:hint="default"/>
      <w:sz w:val="18"/>
      <w:szCs w:val="18"/>
    </w:rPr>
  </w:style>
  <w:style w:type="character" w:styleId="FollowedHyperlink">
    <w:name w:val="FollowedHyperlink"/>
    <w:basedOn w:val="DefaultParagraphFont"/>
    <w:uiPriority w:val="99"/>
    <w:semiHidden/>
    <w:unhideWhenUsed/>
    <w:rsid w:val="00012175"/>
    <w:rPr>
      <w:color w:val="93EA9E" w:themeColor="followedHyperlink"/>
      <w:u w:val="single"/>
    </w:rPr>
  </w:style>
  <w:style w:type="paragraph" w:customStyle="1" w:styleId="Footer1">
    <w:name w:val="Footer 1"/>
    <w:basedOn w:val="Normal"/>
    <w:qFormat/>
    <w:rsid w:val="001A4E47"/>
    <w:pPr>
      <w:spacing w:before="0"/>
      <w:jc w:val="both"/>
    </w:pPr>
    <w:rPr>
      <w:rFonts w:cs="Open Sans Light"/>
      <w:color w:val="000000"/>
      <w:sz w:val="14"/>
      <w:szCs w:val="16"/>
      <w:shd w:val="clear" w:color="auto" w:fill="FFFFFF"/>
    </w:rPr>
  </w:style>
  <w:style w:type="paragraph" w:customStyle="1" w:styleId="ListNumberedlvl1">
    <w:name w:val="List Numbered lvl 1"/>
    <w:basedOn w:val="Normal"/>
    <w:qFormat/>
    <w:rsid w:val="0062232B"/>
    <w:pPr>
      <w:numPr>
        <w:numId w:val="6"/>
      </w:numPr>
      <w:tabs>
        <w:tab w:val="clear" w:pos="567"/>
      </w:tabs>
      <w:spacing w:after="120" w:line="312" w:lineRule="auto"/>
    </w:pPr>
    <w:rPr>
      <w:rFonts w:eastAsia="Calibri" w:cs="Arial"/>
    </w:rPr>
  </w:style>
  <w:style w:type="paragraph" w:customStyle="1" w:styleId="ListNumberedlvl2">
    <w:name w:val="List Numbered lvl 2"/>
    <w:basedOn w:val="Normal"/>
    <w:qFormat/>
    <w:rsid w:val="0062232B"/>
    <w:pPr>
      <w:numPr>
        <w:ilvl w:val="1"/>
        <w:numId w:val="6"/>
      </w:numPr>
      <w:tabs>
        <w:tab w:val="clear" w:pos="567"/>
      </w:tabs>
      <w:spacing w:after="120" w:line="312" w:lineRule="auto"/>
    </w:pPr>
    <w:rPr>
      <w:rFonts w:eastAsia="Calibri" w:cs="Arial"/>
    </w:rPr>
  </w:style>
  <w:style w:type="paragraph" w:customStyle="1" w:styleId="ListNumberedlvl3">
    <w:name w:val="List Numbered lvl 3"/>
    <w:basedOn w:val="Normal"/>
    <w:qFormat/>
    <w:rsid w:val="0062232B"/>
    <w:pPr>
      <w:numPr>
        <w:ilvl w:val="2"/>
        <w:numId w:val="6"/>
      </w:numPr>
      <w:tabs>
        <w:tab w:val="clear" w:pos="567"/>
      </w:tabs>
      <w:spacing w:after="120" w:line="312" w:lineRule="auto"/>
    </w:pPr>
    <w:rPr>
      <w:rFonts w:eastAsia="Calibri" w:cs="Arial"/>
    </w:rPr>
  </w:style>
  <w:style w:type="paragraph" w:customStyle="1" w:styleId="ListNumberedlvl4">
    <w:name w:val="List Numbered lvl 4"/>
    <w:basedOn w:val="Normal"/>
    <w:qFormat/>
    <w:rsid w:val="0062232B"/>
    <w:pPr>
      <w:numPr>
        <w:ilvl w:val="3"/>
        <w:numId w:val="6"/>
      </w:numPr>
      <w:tabs>
        <w:tab w:val="clear" w:pos="567"/>
      </w:tabs>
      <w:spacing w:after="120" w:line="312" w:lineRule="auto"/>
    </w:pPr>
    <w:rPr>
      <w:rFonts w:eastAsia="Calibri" w:cs="Arial"/>
    </w:rPr>
  </w:style>
  <w:style w:type="paragraph" w:customStyle="1" w:styleId="ListNumberedlvl5">
    <w:name w:val="List Numbered lvl 5"/>
    <w:basedOn w:val="Normal"/>
    <w:qFormat/>
    <w:rsid w:val="0062232B"/>
    <w:pPr>
      <w:numPr>
        <w:ilvl w:val="4"/>
        <w:numId w:val="6"/>
      </w:numPr>
      <w:tabs>
        <w:tab w:val="clear" w:pos="567"/>
      </w:tabs>
      <w:spacing w:after="120" w:line="312" w:lineRule="auto"/>
    </w:pPr>
    <w:rPr>
      <w:rFonts w:eastAsia="Calibri" w:cs="Arial"/>
    </w:rPr>
  </w:style>
  <w:style w:type="paragraph" w:customStyle="1" w:styleId="ListNumberedlvl6">
    <w:name w:val="List Numbered lvl 6"/>
    <w:basedOn w:val="Normal"/>
    <w:qFormat/>
    <w:rsid w:val="0062232B"/>
    <w:pPr>
      <w:numPr>
        <w:ilvl w:val="5"/>
        <w:numId w:val="6"/>
      </w:numPr>
      <w:tabs>
        <w:tab w:val="clear" w:pos="567"/>
      </w:tabs>
      <w:spacing w:after="120" w:line="312" w:lineRule="auto"/>
    </w:pPr>
    <w:rPr>
      <w:rFonts w:eastAsia="Calibri" w:cs="Arial"/>
    </w:rPr>
  </w:style>
  <w:style w:type="paragraph" w:customStyle="1" w:styleId="ListNumberedlvl7">
    <w:name w:val="List Numbered lvl 7"/>
    <w:basedOn w:val="Normal"/>
    <w:qFormat/>
    <w:rsid w:val="0062232B"/>
    <w:pPr>
      <w:numPr>
        <w:ilvl w:val="6"/>
        <w:numId w:val="6"/>
      </w:numPr>
      <w:tabs>
        <w:tab w:val="clear" w:pos="567"/>
      </w:tabs>
      <w:spacing w:after="120" w:line="312" w:lineRule="auto"/>
    </w:pPr>
    <w:rPr>
      <w:rFonts w:eastAsia="Calibri" w:cs="Arial"/>
    </w:rPr>
  </w:style>
  <w:style w:type="paragraph" w:customStyle="1" w:styleId="ListNumberedlvl8">
    <w:name w:val="List Numbered lvl 8"/>
    <w:basedOn w:val="Normal"/>
    <w:qFormat/>
    <w:rsid w:val="0062232B"/>
    <w:pPr>
      <w:numPr>
        <w:ilvl w:val="7"/>
        <w:numId w:val="6"/>
      </w:numPr>
      <w:tabs>
        <w:tab w:val="clear" w:pos="567"/>
      </w:tabs>
      <w:spacing w:after="120" w:line="312" w:lineRule="auto"/>
    </w:pPr>
    <w:rPr>
      <w:rFonts w:eastAsia="Calibri" w:cs="Arial"/>
    </w:rPr>
  </w:style>
  <w:style w:type="paragraph" w:customStyle="1" w:styleId="ListNumberedlvl9">
    <w:name w:val="List Numbered lvl 9"/>
    <w:basedOn w:val="Normal"/>
    <w:qFormat/>
    <w:rsid w:val="0062232B"/>
    <w:pPr>
      <w:numPr>
        <w:ilvl w:val="8"/>
        <w:numId w:val="6"/>
      </w:numPr>
      <w:tabs>
        <w:tab w:val="clear" w:pos="567"/>
      </w:tabs>
      <w:spacing w:after="120" w:line="312" w:lineRule="auto"/>
    </w:pPr>
    <w:rPr>
      <w:rFonts w:eastAsia="Calibri" w:cs="Arial"/>
    </w:rPr>
  </w:style>
  <w:style w:type="paragraph" w:customStyle="1" w:styleId="CGC2025TableNote">
    <w:name w:val="CGC 2025 Table Note"/>
    <w:basedOn w:val="CGCTablenote"/>
    <w:link w:val="CGC2025TableNoteChar"/>
    <w:qFormat/>
    <w:rsid w:val="00850CF6"/>
  </w:style>
  <w:style w:type="character" w:customStyle="1" w:styleId="CGC2025TableNoteChar">
    <w:name w:val="CGC 2025 Table Note Char"/>
    <w:basedOn w:val="DefaultParagraphFont"/>
    <w:link w:val="CGC2025TableNote"/>
    <w:rsid w:val="00850CF6"/>
    <w:rPr>
      <w:rFonts w:ascii="Work Sans" w:hAnsi="Work Sans"/>
      <w:sz w:val="14"/>
      <w:szCs w:val="22"/>
    </w:rPr>
  </w:style>
  <w:style w:type="paragraph" w:customStyle="1" w:styleId="CGC2025Caption">
    <w:name w:val="CGC 2025 Caption"/>
    <w:basedOn w:val="Normal"/>
    <w:qFormat/>
    <w:rsid w:val="00A82E49"/>
    <w:pPr>
      <w:spacing w:before="240" w:after="120" w:line="240" w:lineRule="auto"/>
    </w:pPr>
    <w:rPr>
      <w:b/>
    </w:rPr>
  </w:style>
  <w:style w:type="paragraph" w:customStyle="1" w:styleId="BulletPoints">
    <w:name w:val="Bullet Points"/>
    <w:basedOn w:val="Normal"/>
    <w:link w:val="BulletPointsChar"/>
    <w:qFormat/>
    <w:rsid w:val="000801E5"/>
    <w:pPr>
      <w:tabs>
        <w:tab w:val="clear" w:pos="567"/>
      </w:tabs>
      <w:spacing w:before="60" w:line="276" w:lineRule="auto"/>
      <w:ind w:left="714" w:hanging="357"/>
    </w:pPr>
    <w:rPr>
      <w:rFonts w:eastAsia="Calibri" w:cs="Arial"/>
    </w:rPr>
  </w:style>
  <w:style w:type="character" w:customStyle="1" w:styleId="BulletPointsChar">
    <w:name w:val="Bullet Points Char"/>
    <w:basedOn w:val="DefaultParagraphFont"/>
    <w:link w:val="BulletPoints"/>
    <w:rsid w:val="000801E5"/>
    <w:rPr>
      <w:rFonts w:ascii="Work Sans" w:eastAsia="Calibri" w:hAnsi="Work Sans" w:cs="Arial"/>
      <w:sz w:val="20"/>
      <w:szCs w:val="22"/>
    </w:rPr>
  </w:style>
  <w:style w:type="paragraph" w:customStyle="1" w:styleId="BulletPoints-Level2">
    <w:name w:val="Bullet Points - Level 2"/>
    <w:basedOn w:val="Normal"/>
    <w:next w:val="BulletPoints"/>
    <w:rsid w:val="000801E5"/>
    <w:pPr>
      <w:ind w:left="1287" w:hanging="360"/>
    </w:pPr>
  </w:style>
  <w:style w:type="paragraph" w:customStyle="1" w:styleId="CGC2025Bullet1">
    <w:name w:val="CGC 2025 Bullet 1"/>
    <w:basedOn w:val="Normal"/>
    <w:link w:val="CGC2025Bullet1Char"/>
    <w:qFormat/>
    <w:rsid w:val="000801E5"/>
    <w:pPr>
      <w:ind w:left="927" w:hanging="360"/>
    </w:pPr>
    <w:rPr>
      <w:szCs w:val="20"/>
    </w:rPr>
  </w:style>
  <w:style w:type="character" w:customStyle="1" w:styleId="CGC2025Bullet1Char">
    <w:name w:val="CGC 2025 Bullet 1 Char"/>
    <w:basedOn w:val="DefaultParagraphFont"/>
    <w:link w:val="CGC2025Bullet1"/>
    <w:rsid w:val="000801E5"/>
    <w:rPr>
      <w:rFonts w:ascii="Work Sans" w:hAnsi="Work Sans"/>
      <w:sz w:val="20"/>
      <w:szCs w:val="20"/>
    </w:rPr>
  </w:style>
  <w:style w:type="character" w:customStyle="1" w:styleId="CGCTablenoteChar">
    <w:name w:val="CGC Table note Char"/>
    <w:basedOn w:val="DefaultParagraphFont"/>
    <w:link w:val="CGCTablenote"/>
    <w:rsid w:val="008C58FC"/>
    <w:rPr>
      <w:rFonts w:ascii="Work Sans" w:hAnsi="Work Sans"/>
      <w:sz w:val="1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81123">
      <w:bodyDiv w:val="1"/>
      <w:marLeft w:val="0"/>
      <w:marRight w:val="0"/>
      <w:marTop w:val="0"/>
      <w:marBottom w:val="0"/>
      <w:divBdr>
        <w:top w:val="none" w:sz="0" w:space="0" w:color="auto"/>
        <w:left w:val="none" w:sz="0" w:space="0" w:color="auto"/>
        <w:bottom w:val="none" w:sz="0" w:space="0" w:color="auto"/>
        <w:right w:val="none" w:sz="0" w:space="0" w:color="auto"/>
      </w:divBdr>
    </w:div>
    <w:div w:id="25833843">
      <w:bodyDiv w:val="1"/>
      <w:marLeft w:val="0"/>
      <w:marRight w:val="0"/>
      <w:marTop w:val="0"/>
      <w:marBottom w:val="0"/>
      <w:divBdr>
        <w:top w:val="none" w:sz="0" w:space="0" w:color="auto"/>
        <w:left w:val="none" w:sz="0" w:space="0" w:color="auto"/>
        <w:bottom w:val="none" w:sz="0" w:space="0" w:color="auto"/>
        <w:right w:val="none" w:sz="0" w:space="0" w:color="auto"/>
      </w:divBdr>
    </w:div>
    <w:div w:id="34737901">
      <w:bodyDiv w:val="1"/>
      <w:marLeft w:val="0"/>
      <w:marRight w:val="0"/>
      <w:marTop w:val="0"/>
      <w:marBottom w:val="0"/>
      <w:divBdr>
        <w:top w:val="none" w:sz="0" w:space="0" w:color="auto"/>
        <w:left w:val="none" w:sz="0" w:space="0" w:color="auto"/>
        <w:bottom w:val="none" w:sz="0" w:space="0" w:color="auto"/>
        <w:right w:val="none" w:sz="0" w:space="0" w:color="auto"/>
      </w:divBdr>
    </w:div>
    <w:div w:id="55318380">
      <w:bodyDiv w:val="1"/>
      <w:marLeft w:val="0"/>
      <w:marRight w:val="0"/>
      <w:marTop w:val="0"/>
      <w:marBottom w:val="0"/>
      <w:divBdr>
        <w:top w:val="none" w:sz="0" w:space="0" w:color="auto"/>
        <w:left w:val="none" w:sz="0" w:space="0" w:color="auto"/>
        <w:bottom w:val="none" w:sz="0" w:space="0" w:color="auto"/>
        <w:right w:val="none" w:sz="0" w:space="0" w:color="auto"/>
      </w:divBdr>
    </w:div>
    <w:div w:id="75634793">
      <w:bodyDiv w:val="1"/>
      <w:marLeft w:val="0"/>
      <w:marRight w:val="0"/>
      <w:marTop w:val="0"/>
      <w:marBottom w:val="0"/>
      <w:divBdr>
        <w:top w:val="none" w:sz="0" w:space="0" w:color="auto"/>
        <w:left w:val="none" w:sz="0" w:space="0" w:color="auto"/>
        <w:bottom w:val="none" w:sz="0" w:space="0" w:color="auto"/>
        <w:right w:val="none" w:sz="0" w:space="0" w:color="auto"/>
      </w:divBdr>
    </w:div>
    <w:div w:id="101465113">
      <w:bodyDiv w:val="1"/>
      <w:marLeft w:val="0"/>
      <w:marRight w:val="0"/>
      <w:marTop w:val="0"/>
      <w:marBottom w:val="0"/>
      <w:divBdr>
        <w:top w:val="none" w:sz="0" w:space="0" w:color="auto"/>
        <w:left w:val="none" w:sz="0" w:space="0" w:color="auto"/>
        <w:bottom w:val="none" w:sz="0" w:space="0" w:color="auto"/>
        <w:right w:val="none" w:sz="0" w:space="0" w:color="auto"/>
      </w:divBdr>
    </w:div>
    <w:div w:id="142359282">
      <w:bodyDiv w:val="1"/>
      <w:marLeft w:val="0"/>
      <w:marRight w:val="0"/>
      <w:marTop w:val="0"/>
      <w:marBottom w:val="0"/>
      <w:divBdr>
        <w:top w:val="none" w:sz="0" w:space="0" w:color="auto"/>
        <w:left w:val="none" w:sz="0" w:space="0" w:color="auto"/>
        <w:bottom w:val="none" w:sz="0" w:space="0" w:color="auto"/>
        <w:right w:val="none" w:sz="0" w:space="0" w:color="auto"/>
      </w:divBdr>
    </w:div>
    <w:div w:id="151218371">
      <w:bodyDiv w:val="1"/>
      <w:marLeft w:val="0"/>
      <w:marRight w:val="0"/>
      <w:marTop w:val="0"/>
      <w:marBottom w:val="0"/>
      <w:divBdr>
        <w:top w:val="none" w:sz="0" w:space="0" w:color="auto"/>
        <w:left w:val="none" w:sz="0" w:space="0" w:color="auto"/>
        <w:bottom w:val="none" w:sz="0" w:space="0" w:color="auto"/>
        <w:right w:val="none" w:sz="0" w:space="0" w:color="auto"/>
      </w:divBdr>
    </w:div>
    <w:div w:id="193271925">
      <w:bodyDiv w:val="1"/>
      <w:marLeft w:val="0"/>
      <w:marRight w:val="0"/>
      <w:marTop w:val="0"/>
      <w:marBottom w:val="0"/>
      <w:divBdr>
        <w:top w:val="none" w:sz="0" w:space="0" w:color="auto"/>
        <w:left w:val="none" w:sz="0" w:space="0" w:color="auto"/>
        <w:bottom w:val="none" w:sz="0" w:space="0" w:color="auto"/>
        <w:right w:val="none" w:sz="0" w:space="0" w:color="auto"/>
      </w:divBdr>
    </w:div>
    <w:div w:id="220406586">
      <w:bodyDiv w:val="1"/>
      <w:marLeft w:val="0"/>
      <w:marRight w:val="0"/>
      <w:marTop w:val="0"/>
      <w:marBottom w:val="0"/>
      <w:divBdr>
        <w:top w:val="none" w:sz="0" w:space="0" w:color="auto"/>
        <w:left w:val="none" w:sz="0" w:space="0" w:color="auto"/>
        <w:bottom w:val="none" w:sz="0" w:space="0" w:color="auto"/>
        <w:right w:val="none" w:sz="0" w:space="0" w:color="auto"/>
      </w:divBdr>
    </w:div>
    <w:div w:id="220949614">
      <w:bodyDiv w:val="1"/>
      <w:marLeft w:val="0"/>
      <w:marRight w:val="0"/>
      <w:marTop w:val="0"/>
      <w:marBottom w:val="0"/>
      <w:divBdr>
        <w:top w:val="none" w:sz="0" w:space="0" w:color="auto"/>
        <w:left w:val="none" w:sz="0" w:space="0" w:color="auto"/>
        <w:bottom w:val="none" w:sz="0" w:space="0" w:color="auto"/>
        <w:right w:val="none" w:sz="0" w:space="0" w:color="auto"/>
      </w:divBdr>
    </w:div>
    <w:div w:id="243996307">
      <w:bodyDiv w:val="1"/>
      <w:marLeft w:val="0"/>
      <w:marRight w:val="0"/>
      <w:marTop w:val="0"/>
      <w:marBottom w:val="0"/>
      <w:divBdr>
        <w:top w:val="none" w:sz="0" w:space="0" w:color="auto"/>
        <w:left w:val="none" w:sz="0" w:space="0" w:color="auto"/>
        <w:bottom w:val="none" w:sz="0" w:space="0" w:color="auto"/>
        <w:right w:val="none" w:sz="0" w:space="0" w:color="auto"/>
      </w:divBdr>
    </w:div>
    <w:div w:id="290745327">
      <w:bodyDiv w:val="1"/>
      <w:marLeft w:val="0"/>
      <w:marRight w:val="0"/>
      <w:marTop w:val="0"/>
      <w:marBottom w:val="0"/>
      <w:divBdr>
        <w:top w:val="none" w:sz="0" w:space="0" w:color="auto"/>
        <w:left w:val="none" w:sz="0" w:space="0" w:color="auto"/>
        <w:bottom w:val="none" w:sz="0" w:space="0" w:color="auto"/>
        <w:right w:val="none" w:sz="0" w:space="0" w:color="auto"/>
      </w:divBdr>
    </w:div>
    <w:div w:id="308167024">
      <w:bodyDiv w:val="1"/>
      <w:marLeft w:val="0"/>
      <w:marRight w:val="0"/>
      <w:marTop w:val="0"/>
      <w:marBottom w:val="0"/>
      <w:divBdr>
        <w:top w:val="none" w:sz="0" w:space="0" w:color="auto"/>
        <w:left w:val="none" w:sz="0" w:space="0" w:color="auto"/>
        <w:bottom w:val="none" w:sz="0" w:space="0" w:color="auto"/>
        <w:right w:val="none" w:sz="0" w:space="0" w:color="auto"/>
      </w:divBdr>
    </w:div>
    <w:div w:id="325480847">
      <w:bodyDiv w:val="1"/>
      <w:marLeft w:val="0"/>
      <w:marRight w:val="0"/>
      <w:marTop w:val="0"/>
      <w:marBottom w:val="0"/>
      <w:divBdr>
        <w:top w:val="none" w:sz="0" w:space="0" w:color="auto"/>
        <w:left w:val="none" w:sz="0" w:space="0" w:color="auto"/>
        <w:bottom w:val="none" w:sz="0" w:space="0" w:color="auto"/>
        <w:right w:val="none" w:sz="0" w:space="0" w:color="auto"/>
      </w:divBdr>
    </w:div>
    <w:div w:id="344678003">
      <w:bodyDiv w:val="1"/>
      <w:marLeft w:val="0"/>
      <w:marRight w:val="0"/>
      <w:marTop w:val="0"/>
      <w:marBottom w:val="0"/>
      <w:divBdr>
        <w:top w:val="none" w:sz="0" w:space="0" w:color="auto"/>
        <w:left w:val="none" w:sz="0" w:space="0" w:color="auto"/>
        <w:bottom w:val="none" w:sz="0" w:space="0" w:color="auto"/>
        <w:right w:val="none" w:sz="0" w:space="0" w:color="auto"/>
      </w:divBdr>
    </w:div>
    <w:div w:id="350226886">
      <w:bodyDiv w:val="1"/>
      <w:marLeft w:val="0"/>
      <w:marRight w:val="0"/>
      <w:marTop w:val="0"/>
      <w:marBottom w:val="0"/>
      <w:divBdr>
        <w:top w:val="none" w:sz="0" w:space="0" w:color="auto"/>
        <w:left w:val="none" w:sz="0" w:space="0" w:color="auto"/>
        <w:bottom w:val="none" w:sz="0" w:space="0" w:color="auto"/>
        <w:right w:val="none" w:sz="0" w:space="0" w:color="auto"/>
      </w:divBdr>
    </w:div>
    <w:div w:id="372971316">
      <w:bodyDiv w:val="1"/>
      <w:marLeft w:val="0"/>
      <w:marRight w:val="0"/>
      <w:marTop w:val="0"/>
      <w:marBottom w:val="0"/>
      <w:divBdr>
        <w:top w:val="none" w:sz="0" w:space="0" w:color="auto"/>
        <w:left w:val="none" w:sz="0" w:space="0" w:color="auto"/>
        <w:bottom w:val="none" w:sz="0" w:space="0" w:color="auto"/>
        <w:right w:val="none" w:sz="0" w:space="0" w:color="auto"/>
      </w:divBdr>
    </w:div>
    <w:div w:id="412048395">
      <w:bodyDiv w:val="1"/>
      <w:marLeft w:val="0"/>
      <w:marRight w:val="0"/>
      <w:marTop w:val="0"/>
      <w:marBottom w:val="0"/>
      <w:divBdr>
        <w:top w:val="none" w:sz="0" w:space="0" w:color="auto"/>
        <w:left w:val="none" w:sz="0" w:space="0" w:color="auto"/>
        <w:bottom w:val="none" w:sz="0" w:space="0" w:color="auto"/>
        <w:right w:val="none" w:sz="0" w:space="0" w:color="auto"/>
      </w:divBdr>
    </w:div>
    <w:div w:id="454954924">
      <w:bodyDiv w:val="1"/>
      <w:marLeft w:val="0"/>
      <w:marRight w:val="0"/>
      <w:marTop w:val="0"/>
      <w:marBottom w:val="0"/>
      <w:divBdr>
        <w:top w:val="none" w:sz="0" w:space="0" w:color="auto"/>
        <w:left w:val="none" w:sz="0" w:space="0" w:color="auto"/>
        <w:bottom w:val="none" w:sz="0" w:space="0" w:color="auto"/>
        <w:right w:val="none" w:sz="0" w:space="0" w:color="auto"/>
      </w:divBdr>
    </w:div>
    <w:div w:id="455609304">
      <w:bodyDiv w:val="1"/>
      <w:marLeft w:val="0"/>
      <w:marRight w:val="0"/>
      <w:marTop w:val="0"/>
      <w:marBottom w:val="0"/>
      <w:divBdr>
        <w:top w:val="none" w:sz="0" w:space="0" w:color="auto"/>
        <w:left w:val="none" w:sz="0" w:space="0" w:color="auto"/>
        <w:bottom w:val="none" w:sz="0" w:space="0" w:color="auto"/>
        <w:right w:val="none" w:sz="0" w:space="0" w:color="auto"/>
      </w:divBdr>
    </w:div>
    <w:div w:id="460224664">
      <w:bodyDiv w:val="1"/>
      <w:marLeft w:val="0"/>
      <w:marRight w:val="0"/>
      <w:marTop w:val="0"/>
      <w:marBottom w:val="0"/>
      <w:divBdr>
        <w:top w:val="none" w:sz="0" w:space="0" w:color="auto"/>
        <w:left w:val="none" w:sz="0" w:space="0" w:color="auto"/>
        <w:bottom w:val="none" w:sz="0" w:space="0" w:color="auto"/>
        <w:right w:val="none" w:sz="0" w:space="0" w:color="auto"/>
      </w:divBdr>
    </w:div>
    <w:div w:id="463042362">
      <w:bodyDiv w:val="1"/>
      <w:marLeft w:val="0"/>
      <w:marRight w:val="0"/>
      <w:marTop w:val="0"/>
      <w:marBottom w:val="0"/>
      <w:divBdr>
        <w:top w:val="none" w:sz="0" w:space="0" w:color="auto"/>
        <w:left w:val="none" w:sz="0" w:space="0" w:color="auto"/>
        <w:bottom w:val="none" w:sz="0" w:space="0" w:color="auto"/>
        <w:right w:val="none" w:sz="0" w:space="0" w:color="auto"/>
      </w:divBdr>
    </w:div>
    <w:div w:id="463427489">
      <w:bodyDiv w:val="1"/>
      <w:marLeft w:val="0"/>
      <w:marRight w:val="0"/>
      <w:marTop w:val="0"/>
      <w:marBottom w:val="0"/>
      <w:divBdr>
        <w:top w:val="none" w:sz="0" w:space="0" w:color="auto"/>
        <w:left w:val="none" w:sz="0" w:space="0" w:color="auto"/>
        <w:bottom w:val="none" w:sz="0" w:space="0" w:color="auto"/>
        <w:right w:val="none" w:sz="0" w:space="0" w:color="auto"/>
      </w:divBdr>
    </w:div>
    <w:div w:id="466358698">
      <w:bodyDiv w:val="1"/>
      <w:marLeft w:val="0"/>
      <w:marRight w:val="0"/>
      <w:marTop w:val="0"/>
      <w:marBottom w:val="0"/>
      <w:divBdr>
        <w:top w:val="none" w:sz="0" w:space="0" w:color="auto"/>
        <w:left w:val="none" w:sz="0" w:space="0" w:color="auto"/>
        <w:bottom w:val="none" w:sz="0" w:space="0" w:color="auto"/>
        <w:right w:val="none" w:sz="0" w:space="0" w:color="auto"/>
      </w:divBdr>
    </w:div>
    <w:div w:id="469708660">
      <w:bodyDiv w:val="1"/>
      <w:marLeft w:val="0"/>
      <w:marRight w:val="0"/>
      <w:marTop w:val="0"/>
      <w:marBottom w:val="0"/>
      <w:divBdr>
        <w:top w:val="none" w:sz="0" w:space="0" w:color="auto"/>
        <w:left w:val="none" w:sz="0" w:space="0" w:color="auto"/>
        <w:bottom w:val="none" w:sz="0" w:space="0" w:color="auto"/>
        <w:right w:val="none" w:sz="0" w:space="0" w:color="auto"/>
      </w:divBdr>
    </w:div>
    <w:div w:id="510025164">
      <w:bodyDiv w:val="1"/>
      <w:marLeft w:val="0"/>
      <w:marRight w:val="0"/>
      <w:marTop w:val="0"/>
      <w:marBottom w:val="0"/>
      <w:divBdr>
        <w:top w:val="none" w:sz="0" w:space="0" w:color="auto"/>
        <w:left w:val="none" w:sz="0" w:space="0" w:color="auto"/>
        <w:bottom w:val="none" w:sz="0" w:space="0" w:color="auto"/>
        <w:right w:val="none" w:sz="0" w:space="0" w:color="auto"/>
      </w:divBdr>
    </w:div>
    <w:div w:id="529299229">
      <w:bodyDiv w:val="1"/>
      <w:marLeft w:val="0"/>
      <w:marRight w:val="0"/>
      <w:marTop w:val="0"/>
      <w:marBottom w:val="0"/>
      <w:divBdr>
        <w:top w:val="none" w:sz="0" w:space="0" w:color="auto"/>
        <w:left w:val="none" w:sz="0" w:space="0" w:color="auto"/>
        <w:bottom w:val="none" w:sz="0" w:space="0" w:color="auto"/>
        <w:right w:val="none" w:sz="0" w:space="0" w:color="auto"/>
      </w:divBdr>
    </w:div>
    <w:div w:id="535431885">
      <w:bodyDiv w:val="1"/>
      <w:marLeft w:val="0"/>
      <w:marRight w:val="0"/>
      <w:marTop w:val="0"/>
      <w:marBottom w:val="0"/>
      <w:divBdr>
        <w:top w:val="none" w:sz="0" w:space="0" w:color="auto"/>
        <w:left w:val="none" w:sz="0" w:space="0" w:color="auto"/>
        <w:bottom w:val="none" w:sz="0" w:space="0" w:color="auto"/>
        <w:right w:val="none" w:sz="0" w:space="0" w:color="auto"/>
      </w:divBdr>
    </w:div>
    <w:div w:id="555316797">
      <w:bodyDiv w:val="1"/>
      <w:marLeft w:val="0"/>
      <w:marRight w:val="0"/>
      <w:marTop w:val="0"/>
      <w:marBottom w:val="0"/>
      <w:divBdr>
        <w:top w:val="none" w:sz="0" w:space="0" w:color="auto"/>
        <w:left w:val="none" w:sz="0" w:space="0" w:color="auto"/>
        <w:bottom w:val="none" w:sz="0" w:space="0" w:color="auto"/>
        <w:right w:val="none" w:sz="0" w:space="0" w:color="auto"/>
      </w:divBdr>
    </w:div>
    <w:div w:id="584531296">
      <w:bodyDiv w:val="1"/>
      <w:marLeft w:val="0"/>
      <w:marRight w:val="0"/>
      <w:marTop w:val="0"/>
      <w:marBottom w:val="0"/>
      <w:divBdr>
        <w:top w:val="none" w:sz="0" w:space="0" w:color="auto"/>
        <w:left w:val="none" w:sz="0" w:space="0" w:color="auto"/>
        <w:bottom w:val="none" w:sz="0" w:space="0" w:color="auto"/>
        <w:right w:val="none" w:sz="0" w:space="0" w:color="auto"/>
      </w:divBdr>
    </w:div>
    <w:div w:id="601453348">
      <w:bodyDiv w:val="1"/>
      <w:marLeft w:val="0"/>
      <w:marRight w:val="0"/>
      <w:marTop w:val="0"/>
      <w:marBottom w:val="0"/>
      <w:divBdr>
        <w:top w:val="none" w:sz="0" w:space="0" w:color="auto"/>
        <w:left w:val="none" w:sz="0" w:space="0" w:color="auto"/>
        <w:bottom w:val="none" w:sz="0" w:space="0" w:color="auto"/>
        <w:right w:val="none" w:sz="0" w:space="0" w:color="auto"/>
      </w:divBdr>
    </w:div>
    <w:div w:id="619804819">
      <w:bodyDiv w:val="1"/>
      <w:marLeft w:val="0"/>
      <w:marRight w:val="0"/>
      <w:marTop w:val="0"/>
      <w:marBottom w:val="0"/>
      <w:divBdr>
        <w:top w:val="none" w:sz="0" w:space="0" w:color="auto"/>
        <w:left w:val="none" w:sz="0" w:space="0" w:color="auto"/>
        <w:bottom w:val="none" w:sz="0" w:space="0" w:color="auto"/>
        <w:right w:val="none" w:sz="0" w:space="0" w:color="auto"/>
      </w:divBdr>
    </w:div>
    <w:div w:id="621574213">
      <w:bodyDiv w:val="1"/>
      <w:marLeft w:val="0"/>
      <w:marRight w:val="0"/>
      <w:marTop w:val="0"/>
      <w:marBottom w:val="0"/>
      <w:divBdr>
        <w:top w:val="none" w:sz="0" w:space="0" w:color="auto"/>
        <w:left w:val="none" w:sz="0" w:space="0" w:color="auto"/>
        <w:bottom w:val="none" w:sz="0" w:space="0" w:color="auto"/>
        <w:right w:val="none" w:sz="0" w:space="0" w:color="auto"/>
      </w:divBdr>
    </w:div>
    <w:div w:id="629214326">
      <w:bodyDiv w:val="1"/>
      <w:marLeft w:val="0"/>
      <w:marRight w:val="0"/>
      <w:marTop w:val="0"/>
      <w:marBottom w:val="0"/>
      <w:divBdr>
        <w:top w:val="none" w:sz="0" w:space="0" w:color="auto"/>
        <w:left w:val="none" w:sz="0" w:space="0" w:color="auto"/>
        <w:bottom w:val="none" w:sz="0" w:space="0" w:color="auto"/>
        <w:right w:val="none" w:sz="0" w:space="0" w:color="auto"/>
      </w:divBdr>
    </w:div>
    <w:div w:id="643659907">
      <w:bodyDiv w:val="1"/>
      <w:marLeft w:val="0"/>
      <w:marRight w:val="0"/>
      <w:marTop w:val="0"/>
      <w:marBottom w:val="0"/>
      <w:divBdr>
        <w:top w:val="none" w:sz="0" w:space="0" w:color="auto"/>
        <w:left w:val="none" w:sz="0" w:space="0" w:color="auto"/>
        <w:bottom w:val="none" w:sz="0" w:space="0" w:color="auto"/>
        <w:right w:val="none" w:sz="0" w:space="0" w:color="auto"/>
      </w:divBdr>
    </w:div>
    <w:div w:id="661935730">
      <w:bodyDiv w:val="1"/>
      <w:marLeft w:val="0"/>
      <w:marRight w:val="0"/>
      <w:marTop w:val="0"/>
      <w:marBottom w:val="0"/>
      <w:divBdr>
        <w:top w:val="none" w:sz="0" w:space="0" w:color="auto"/>
        <w:left w:val="none" w:sz="0" w:space="0" w:color="auto"/>
        <w:bottom w:val="none" w:sz="0" w:space="0" w:color="auto"/>
        <w:right w:val="none" w:sz="0" w:space="0" w:color="auto"/>
      </w:divBdr>
    </w:div>
    <w:div w:id="681787928">
      <w:bodyDiv w:val="1"/>
      <w:marLeft w:val="0"/>
      <w:marRight w:val="0"/>
      <w:marTop w:val="0"/>
      <w:marBottom w:val="0"/>
      <w:divBdr>
        <w:top w:val="none" w:sz="0" w:space="0" w:color="auto"/>
        <w:left w:val="none" w:sz="0" w:space="0" w:color="auto"/>
        <w:bottom w:val="none" w:sz="0" w:space="0" w:color="auto"/>
        <w:right w:val="none" w:sz="0" w:space="0" w:color="auto"/>
      </w:divBdr>
    </w:div>
    <w:div w:id="704134667">
      <w:bodyDiv w:val="1"/>
      <w:marLeft w:val="0"/>
      <w:marRight w:val="0"/>
      <w:marTop w:val="0"/>
      <w:marBottom w:val="0"/>
      <w:divBdr>
        <w:top w:val="none" w:sz="0" w:space="0" w:color="auto"/>
        <w:left w:val="none" w:sz="0" w:space="0" w:color="auto"/>
        <w:bottom w:val="none" w:sz="0" w:space="0" w:color="auto"/>
        <w:right w:val="none" w:sz="0" w:space="0" w:color="auto"/>
      </w:divBdr>
    </w:div>
    <w:div w:id="733940268">
      <w:bodyDiv w:val="1"/>
      <w:marLeft w:val="0"/>
      <w:marRight w:val="0"/>
      <w:marTop w:val="0"/>
      <w:marBottom w:val="0"/>
      <w:divBdr>
        <w:top w:val="none" w:sz="0" w:space="0" w:color="auto"/>
        <w:left w:val="none" w:sz="0" w:space="0" w:color="auto"/>
        <w:bottom w:val="none" w:sz="0" w:space="0" w:color="auto"/>
        <w:right w:val="none" w:sz="0" w:space="0" w:color="auto"/>
      </w:divBdr>
    </w:div>
    <w:div w:id="755714428">
      <w:bodyDiv w:val="1"/>
      <w:marLeft w:val="0"/>
      <w:marRight w:val="0"/>
      <w:marTop w:val="0"/>
      <w:marBottom w:val="0"/>
      <w:divBdr>
        <w:top w:val="none" w:sz="0" w:space="0" w:color="auto"/>
        <w:left w:val="none" w:sz="0" w:space="0" w:color="auto"/>
        <w:bottom w:val="none" w:sz="0" w:space="0" w:color="auto"/>
        <w:right w:val="none" w:sz="0" w:space="0" w:color="auto"/>
      </w:divBdr>
    </w:div>
    <w:div w:id="764038316">
      <w:bodyDiv w:val="1"/>
      <w:marLeft w:val="0"/>
      <w:marRight w:val="0"/>
      <w:marTop w:val="0"/>
      <w:marBottom w:val="0"/>
      <w:divBdr>
        <w:top w:val="none" w:sz="0" w:space="0" w:color="auto"/>
        <w:left w:val="none" w:sz="0" w:space="0" w:color="auto"/>
        <w:bottom w:val="none" w:sz="0" w:space="0" w:color="auto"/>
        <w:right w:val="none" w:sz="0" w:space="0" w:color="auto"/>
      </w:divBdr>
    </w:div>
    <w:div w:id="779030521">
      <w:bodyDiv w:val="1"/>
      <w:marLeft w:val="0"/>
      <w:marRight w:val="0"/>
      <w:marTop w:val="0"/>
      <w:marBottom w:val="0"/>
      <w:divBdr>
        <w:top w:val="none" w:sz="0" w:space="0" w:color="auto"/>
        <w:left w:val="none" w:sz="0" w:space="0" w:color="auto"/>
        <w:bottom w:val="none" w:sz="0" w:space="0" w:color="auto"/>
        <w:right w:val="none" w:sz="0" w:space="0" w:color="auto"/>
      </w:divBdr>
    </w:div>
    <w:div w:id="782967228">
      <w:bodyDiv w:val="1"/>
      <w:marLeft w:val="0"/>
      <w:marRight w:val="0"/>
      <w:marTop w:val="0"/>
      <w:marBottom w:val="0"/>
      <w:divBdr>
        <w:top w:val="none" w:sz="0" w:space="0" w:color="auto"/>
        <w:left w:val="none" w:sz="0" w:space="0" w:color="auto"/>
        <w:bottom w:val="none" w:sz="0" w:space="0" w:color="auto"/>
        <w:right w:val="none" w:sz="0" w:space="0" w:color="auto"/>
      </w:divBdr>
    </w:div>
    <w:div w:id="792402191">
      <w:bodyDiv w:val="1"/>
      <w:marLeft w:val="0"/>
      <w:marRight w:val="0"/>
      <w:marTop w:val="0"/>
      <w:marBottom w:val="0"/>
      <w:divBdr>
        <w:top w:val="none" w:sz="0" w:space="0" w:color="auto"/>
        <w:left w:val="none" w:sz="0" w:space="0" w:color="auto"/>
        <w:bottom w:val="none" w:sz="0" w:space="0" w:color="auto"/>
        <w:right w:val="none" w:sz="0" w:space="0" w:color="auto"/>
      </w:divBdr>
    </w:div>
    <w:div w:id="793056228">
      <w:bodyDiv w:val="1"/>
      <w:marLeft w:val="0"/>
      <w:marRight w:val="0"/>
      <w:marTop w:val="0"/>
      <w:marBottom w:val="0"/>
      <w:divBdr>
        <w:top w:val="none" w:sz="0" w:space="0" w:color="auto"/>
        <w:left w:val="none" w:sz="0" w:space="0" w:color="auto"/>
        <w:bottom w:val="none" w:sz="0" w:space="0" w:color="auto"/>
        <w:right w:val="none" w:sz="0" w:space="0" w:color="auto"/>
      </w:divBdr>
    </w:div>
    <w:div w:id="840655780">
      <w:bodyDiv w:val="1"/>
      <w:marLeft w:val="0"/>
      <w:marRight w:val="0"/>
      <w:marTop w:val="0"/>
      <w:marBottom w:val="0"/>
      <w:divBdr>
        <w:top w:val="none" w:sz="0" w:space="0" w:color="auto"/>
        <w:left w:val="none" w:sz="0" w:space="0" w:color="auto"/>
        <w:bottom w:val="none" w:sz="0" w:space="0" w:color="auto"/>
        <w:right w:val="none" w:sz="0" w:space="0" w:color="auto"/>
      </w:divBdr>
    </w:div>
    <w:div w:id="861556707">
      <w:bodyDiv w:val="1"/>
      <w:marLeft w:val="0"/>
      <w:marRight w:val="0"/>
      <w:marTop w:val="0"/>
      <w:marBottom w:val="0"/>
      <w:divBdr>
        <w:top w:val="none" w:sz="0" w:space="0" w:color="auto"/>
        <w:left w:val="none" w:sz="0" w:space="0" w:color="auto"/>
        <w:bottom w:val="none" w:sz="0" w:space="0" w:color="auto"/>
        <w:right w:val="none" w:sz="0" w:space="0" w:color="auto"/>
      </w:divBdr>
    </w:div>
    <w:div w:id="861826121">
      <w:bodyDiv w:val="1"/>
      <w:marLeft w:val="0"/>
      <w:marRight w:val="0"/>
      <w:marTop w:val="0"/>
      <w:marBottom w:val="0"/>
      <w:divBdr>
        <w:top w:val="none" w:sz="0" w:space="0" w:color="auto"/>
        <w:left w:val="none" w:sz="0" w:space="0" w:color="auto"/>
        <w:bottom w:val="none" w:sz="0" w:space="0" w:color="auto"/>
        <w:right w:val="none" w:sz="0" w:space="0" w:color="auto"/>
      </w:divBdr>
    </w:div>
    <w:div w:id="880702615">
      <w:bodyDiv w:val="1"/>
      <w:marLeft w:val="0"/>
      <w:marRight w:val="0"/>
      <w:marTop w:val="0"/>
      <w:marBottom w:val="0"/>
      <w:divBdr>
        <w:top w:val="none" w:sz="0" w:space="0" w:color="auto"/>
        <w:left w:val="none" w:sz="0" w:space="0" w:color="auto"/>
        <w:bottom w:val="none" w:sz="0" w:space="0" w:color="auto"/>
        <w:right w:val="none" w:sz="0" w:space="0" w:color="auto"/>
      </w:divBdr>
    </w:div>
    <w:div w:id="906305453">
      <w:bodyDiv w:val="1"/>
      <w:marLeft w:val="0"/>
      <w:marRight w:val="0"/>
      <w:marTop w:val="0"/>
      <w:marBottom w:val="0"/>
      <w:divBdr>
        <w:top w:val="none" w:sz="0" w:space="0" w:color="auto"/>
        <w:left w:val="none" w:sz="0" w:space="0" w:color="auto"/>
        <w:bottom w:val="none" w:sz="0" w:space="0" w:color="auto"/>
        <w:right w:val="none" w:sz="0" w:space="0" w:color="auto"/>
      </w:divBdr>
    </w:div>
    <w:div w:id="933705369">
      <w:bodyDiv w:val="1"/>
      <w:marLeft w:val="0"/>
      <w:marRight w:val="0"/>
      <w:marTop w:val="0"/>
      <w:marBottom w:val="0"/>
      <w:divBdr>
        <w:top w:val="none" w:sz="0" w:space="0" w:color="auto"/>
        <w:left w:val="none" w:sz="0" w:space="0" w:color="auto"/>
        <w:bottom w:val="none" w:sz="0" w:space="0" w:color="auto"/>
        <w:right w:val="none" w:sz="0" w:space="0" w:color="auto"/>
      </w:divBdr>
    </w:div>
    <w:div w:id="936598702">
      <w:bodyDiv w:val="1"/>
      <w:marLeft w:val="0"/>
      <w:marRight w:val="0"/>
      <w:marTop w:val="0"/>
      <w:marBottom w:val="0"/>
      <w:divBdr>
        <w:top w:val="none" w:sz="0" w:space="0" w:color="auto"/>
        <w:left w:val="none" w:sz="0" w:space="0" w:color="auto"/>
        <w:bottom w:val="none" w:sz="0" w:space="0" w:color="auto"/>
        <w:right w:val="none" w:sz="0" w:space="0" w:color="auto"/>
      </w:divBdr>
    </w:div>
    <w:div w:id="944384184">
      <w:bodyDiv w:val="1"/>
      <w:marLeft w:val="0"/>
      <w:marRight w:val="0"/>
      <w:marTop w:val="0"/>
      <w:marBottom w:val="0"/>
      <w:divBdr>
        <w:top w:val="none" w:sz="0" w:space="0" w:color="auto"/>
        <w:left w:val="none" w:sz="0" w:space="0" w:color="auto"/>
        <w:bottom w:val="none" w:sz="0" w:space="0" w:color="auto"/>
        <w:right w:val="none" w:sz="0" w:space="0" w:color="auto"/>
      </w:divBdr>
    </w:div>
    <w:div w:id="955988049">
      <w:bodyDiv w:val="1"/>
      <w:marLeft w:val="0"/>
      <w:marRight w:val="0"/>
      <w:marTop w:val="0"/>
      <w:marBottom w:val="0"/>
      <w:divBdr>
        <w:top w:val="none" w:sz="0" w:space="0" w:color="auto"/>
        <w:left w:val="none" w:sz="0" w:space="0" w:color="auto"/>
        <w:bottom w:val="none" w:sz="0" w:space="0" w:color="auto"/>
        <w:right w:val="none" w:sz="0" w:space="0" w:color="auto"/>
      </w:divBdr>
    </w:div>
    <w:div w:id="960841168">
      <w:bodyDiv w:val="1"/>
      <w:marLeft w:val="0"/>
      <w:marRight w:val="0"/>
      <w:marTop w:val="0"/>
      <w:marBottom w:val="0"/>
      <w:divBdr>
        <w:top w:val="none" w:sz="0" w:space="0" w:color="auto"/>
        <w:left w:val="none" w:sz="0" w:space="0" w:color="auto"/>
        <w:bottom w:val="none" w:sz="0" w:space="0" w:color="auto"/>
        <w:right w:val="none" w:sz="0" w:space="0" w:color="auto"/>
      </w:divBdr>
    </w:div>
    <w:div w:id="961611413">
      <w:bodyDiv w:val="1"/>
      <w:marLeft w:val="0"/>
      <w:marRight w:val="0"/>
      <w:marTop w:val="0"/>
      <w:marBottom w:val="0"/>
      <w:divBdr>
        <w:top w:val="none" w:sz="0" w:space="0" w:color="auto"/>
        <w:left w:val="none" w:sz="0" w:space="0" w:color="auto"/>
        <w:bottom w:val="none" w:sz="0" w:space="0" w:color="auto"/>
        <w:right w:val="none" w:sz="0" w:space="0" w:color="auto"/>
      </w:divBdr>
    </w:div>
    <w:div w:id="983436263">
      <w:bodyDiv w:val="1"/>
      <w:marLeft w:val="0"/>
      <w:marRight w:val="0"/>
      <w:marTop w:val="0"/>
      <w:marBottom w:val="0"/>
      <w:divBdr>
        <w:top w:val="none" w:sz="0" w:space="0" w:color="auto"/>
        <w:left w:val="none" w:sz="0" w:space="0" w:color="auto"/>
        <w:bottom w:val="none" w:sz="0" w:space="0" w:color="auto"/>
        <w:right w:val="none" w:sz="0" w:space="0" w:color="auto"/>
      </w:divBdr>
    </w:div>
    <w:div w:id="1053582215">
      <w:bodyDiv w:val="1"/>
      <w:marLeft w:val="0"/>
      <w:marRight w:val="0"/>
      <w:marTop w:val="0"/>
      <w:marBottom w:val="0"/>
      <w:divBdr>
        <w:top w:val="none" w:sz="0" w:space="0" w:color="auto"/>
        <w:left w:val="none" w:sz="0" w:space="0" w:color="auto"/>
        <w:bottom w:val="none" w:sz="0" w:space="0" w:color="auto"/>
        <w:right w:val="none" w:sz="0" w:space="0" w:color="auto"/>
      </w:divBdr>
    </w:div>
    <w:div w:id="1055816273">
      <w:bodyDiv w:val="1"/>
      <w:marLeft w:val="0"/>
      <w:marRight w:val="0"/>
      <w:marTop w:val="0"/>
      <w:marBottom w:val="0"/>
      <w:divBdr>
        <w:top w:val="none" w:sz="0" w:space="0" w:color="auto"/>
        <w:left w:val="none" w:sz="0" w:space="0" w:color="auto"/>
        <w:bottom w:val="none" w:sz="0" w:space="0" w:color="auto"/>
        <w:right w:val="none" w:sz="0" w:space="0" w:color="auto"/>
      </w:divBdr>
    </w:div>
    <w:div w:id="1056079338">
      <w:bodyDiv w:val="1"/>
      <w:marLeft w:val="0"/>
      <w:marRight w:val="0"/>
      <w:marTop w:val="0"/>
      <w:marBottom w:val="0"/>
      <w:divBdr>
        <w:top w:val="none" w:sz="0" w:space="0" w:color="auto"/>
        <w:left w:val="none" w:sz="0" w:space="0" w:color="auto"/>
        <w:bottom w:val="none" w:sz="0" w:space="0" w:color="auto"/>
        <w:right w:val="none" w:sz="0" w:space="0" w:color="auto"/>
      </w:divBdr>
    </w:div>
    <w:div w:id="1080522935">
      <w:bodyDiv w:val="1"/>
      <w:marLeft w:val="0"/>
      <w:marRight w:val="0"/>
      <w:marTop w:val="0"/>
      <w:marBottom w:val="0"/>
      <w:divBdr>
        <w:top w:val="none" w:sz="0" w:space="0" w:color="auto"/>
        <w:left w:val="none" w:sz="0" w:space="0" w:color="auto"/>
        <w:bottom w:val="none" w:sz="0" w:space="0" w:color="auto"/>
        <w:right w:val="none" w:sz="0" w:space="0" w:color="auto"/>
      </w:divBdr>
    </w:div>
    <w:div w:id="1088843427">
      <w:bodyDiv w:val="1"/>
      <w:marLeft w:val="0"/>
      <w:marRight w:val="0"/>
      <w:marTop w:val="0"/>
      <w:marBottom w:val="0"/>
      <w:divBdr>
        <w:top w:val="none" w:sz="0" w:space="0" w:color="auto"/>
        <w:left w:val="none" w:sz="0" w:space="0" w:color="auto"/>
        <w:bottom w:val="none" w:sz="0" w:space="0" w:color="auto"/>
        <w:right w:val="none" w:sz="0" w:space="0" w:color="auto"/>
      </w:divBdr>
    </w:div>
    <w:div w:id="1088885897">
      <w:bodyDiv w:val="1"/>
      <w:marLeft w:val="0"/>
      <w:marRight w:val="0"/>
      <w:marTop w:val="0"/>
      <w:marBottom w:val="0"/>
      <w:divBdr>
        <w:top w:val="none" w:sz="0" w:space="0" w:color="auto"/>
        <w:left w:val="none" w:sz="0" w:space="0" w:color="auto"/>
        <w:bottom w:val="none" w:sz="0" w:space="0" w:color="auto"/>
        <w:right w:val="none" w:sz="0" w:space="0" w:color="auto"/>
      </w:divBdr>
    </w:div>
    <w:div w:id="1101951876">
      <w:bodyDiv w:val="1"/>
      <w:marLeft w:val="0"/>
      <w:marRight w:val="0"/>
      <w:marTop w:val="0"/>
      <w:marBottom w:val="0"/>
      <w:divBdr>
        <w:top w:val="none" w:sz="0" w:space="0" w:color="auto"/>
        <w:left w:val="none" w:sz="0" w:space="0" w:color="auto"/>
        <w:bottom w:val="none" w:sz="0" w:space="0" w:color="auto"/>
        <w:right w:val="none" w:sz="0" w:space="0" w:color="auto"/>
      </w:divBdr>
    </w:div>
    <w:div w:id="1111819723">
      <w:bodyDiv w:val="1"/>
      <w:marLeft w:val="0"/>
      <w:marRight w:val="0"/>
      <w:marTop w:val="0"/>
      <w:marBottom w:val="0"/>
      <w:divBdr>
        <w:top w:val="none" w:sz="0" w:space="0" w:color="auto"/>
        <w:left w:val="none" w:sz="0" w:space="0" w:color="auto"/>
        <w:bottom w:val="none" w:sz="0" w:space="0" w:color="auto"/>
        <w:right w:val="none" w:sz="0" w:space="0" w:color="auto"/>
      </w:divBdr>
    </w:div>
    <w:div w:id="1151368228">
      <w:bodyDiv w:val="1"/>
      <w:marLeft w:val="0"/>
      <w:marRight w:val="0"/>
      <w:marTop w:val="0"/>
      <w:marBottom w:val="0"/>
      <w:divBdr>
        <w:top w:val="none" w:sz="0" w:space="0" w:color="auto"/>
        <w:left w:val="none" w:sz="0" w:space="0" w:color="auto"/>
        <w:bottom w:val="none" w:sz="0" w:space="0" w:color="auto"/>
        <w:right w:val="none" w:sz="0" w:space="0" w:color="auto"/>
      </w:divBdr>
    </w:div>
    <w:div w:id="1161383929">
      <w:bodyDiv w:val="1"/>
      <w:marLeft w:val="0"/>
      <w:marRight w:val="0"/>
      <w:marTop w:val="0"/>
      <w:marBottom w:val="0"/>
      <w:divBdr>
        <w:top w:val="none" w:sz="0" w:space="0" w:color="auto"/>
        <w:left w:val="none" w:sz="0" w:space="0" w:color="auto"/>
        <w:bottom w:val="none" w:sz="0" w:space="0" w:color="auto"/>
        <w:right w:val="none" w:sz="0" w:space="0" w:color="auto"/>
      </w:divBdr>
    </w:div>
    <w:div w:id="1165508456">
      <w:bodyDiv w:val="1"/>
      <w:marLeft w:val="0"/>
      <w:marRight w:val="0"/>
      <w:marTop w:val="0"/>
      <w:marBottom w:val="0"/>
      <w:divBdr>
        <w:top w:val="none" w:sz="0" w:space="0" w:color="auto"/>
        <w:left w:val="none" w:sz="0" w:space="0" w:color="auto"/>
        <w:bottom w:val="none" w:sz="0" w:space="0" w:color="auto"/>
        <w:right w:val="none" w:sz="0" w:space="0" w:color="auto"/>
      </w:divBdr>
    </w:div>
    <w:div w:id="1193494337">
      <w:bodyDiv w:val="1"/>
      <w:marLeft w:val="0"/>
      <w:marRight w:val="0"/>
      <w:marTop w:val="0"/>
      <w:marBottom w:val="0"/>
      <w:divBdr>
        <w:top w:val="none" w:sz="0" w:space="0" w:color="auto"/>
        <w:left w:val="none" w:sz="0" w:space="0" w:color="auto"/>
        <w:bottom w:val="none" w:sz="0" w:space="0" w:color="auto"/>
        <w:right w:val="none" w:sz="0" w:space="0" w:color="auto"/>
      </w:divBdr>
    </w:div>
    <w:div w:id="1203441418">
      <w:bodyDiv w:val="1"/>
      <w:marLeft w:val="0"/>
      <w:marRight w:val="0"/>
      <w:marTop w:val="0"/>
      <w:marBottom w:val="0"/>
      <w:divBdr>
        <w:top w:val="none" w:sz="0" w:space="0" w:color="auto"/>
        <w:left w:val="none" w:sz="0" w:space="0" w:color="auto"/>
        <w:bottom w:val="none" w:sz="0" w:space="0" w:color="auto"/>
        <w:right w:val="none" w:sz="0" w:space="0" w:color="auto"/>
      </w:divBdr>
    </w:div>
    <w:div w:id="1210146312">
      <w:bodyDiv w:val="1"/>
      <w:marLeft w:val="0"/>
      <w:marRight w:val="0"/>
      <w:marTop w:val="0"/>
      <w:marBottom w:val="0"/>
      <w:divBdr>
        <w:top w:val="none" w:sz="0" w:space="0" w:color="auto"/>
        <w:left w:val="none" w:sz="0" w:space="0" w:color="auto"/>
        <w:bottom w:val="none" w:sz="0" w:space="0" w:color="auto"/>
        <w:right w:val="none" w:sz="0" w:space="0" w:color="auto"/>
      </w:divBdr>
    </w:div>
    <w:div w:id="1210532770">
      <w:bodyDiv w:val="1"/>
      <w:marLeft w:val="0"/>
      <w:marRight w:val="0"/>
      <w:marTop w:val="0"/>
      <w:marBottom w:val="0"/>
      <w:divBdr>
        <w:top w:val="none" w:sz="0" w:space="0" w:color="auto"/>
        <w:left w:val="none" w:sz="0" w:space="0" w:color="auto"/>
        <w:bottom w:val="none" w:sz="0" w:space="0" w:color="auto"/>
        <w:right w:val="none" w:sz="0" w:space="0" w:color="auto"/>
      </w:divBdr>
    </w:div>
    <w:div w:id="1221289967">
      <w:bodyDiv w:val="1"/>
      <w:marLeft w:val="0"/>
      <w:marRight w:val="0"/>
      <w:marTop w:val="0"/>
      <w:marBottom w:val="0"/>
      <w:divBdr>
        <w:top w:val="none" w:sz="0" w:space="0" w:color="auto"/>
        <w:left w:val="none" w:sz="0" w:space="0" w:color="auto"/>
        <w:bottom w:val="none" w:sz="0" w:space="0" w:color="auto"/>
        <w:right w:val="none" w:sz="0" w:space="0" w:color="auto"/>
      </w:divBdr>
    </w:div>
    <w:div w:id="1229193264">
      <w:bodyDiv w:val="1"/>
      <w:marLeft w:val="0"/>
      <w:marRight w:val="0"/>
      <w:marTop w:val="0"/>
      <w:marBottom w:val="0"/>
      <w:divBdr>
        <w:top w:val="none" w:sz="0" w:space="0" w:color="auto"/>
        <w:left w:val="none" w:sz="0" w:space="0" w:color="auto"/>
        <w:bottom w:val="none" w:sz="0" w:space="0" w:color="auto"/>
        <w:right w:val="none" w:sz="0" w:space="0" w:color="auto"/>
      </w:divBdr>
    </w:div>
    <w:div w:id="1234702120">
      <w:bodyDiv w:val="1"/>
      <w:marLeft w:val="0"/>
      <w:marRight w:val="0"/>
      <w:marTop w:val="0"/>
      <w:marBottom w:val="0"/>
      <w:divBdr>
        <w:top w:val="none" w:sz="0" w:space="0" w:color="auto"/>
        <w:left w:val="none" w:sz="0" w:space="0" w:color="auto"/>
        <w:bottom w:val="none" w:sz="0" w:space="0" w:color="auto"/>
        <w:right w:val="none" w:sz="0" w:space="0" w:color="auto"/>
      </w:divBdr>
    </w:div>
    <w:div w:id="1262101538">
      <w:bodyDiv w:val="1"/>
      <w:marLeft w:val="0"/>
      <w:marRight w:val="0"/>
      <w:marTop w:val="0"/>
      <w:marBottom w:val="0"/>
      <w:divBdr>
        <w:top w:val="none" w:sz="0" w:space="0" w:color="auto"/>
        <w:left w:val="none" w:sz="0" w:space="0" w:color="auto"/>
        <w:bottom w:val="none" w:sz="0" w:space="0" w:color="auto"/>
        <w:right w:val="none" w:sz="0" w:space="0" w:color="auto"/>
      </w:divBdr>
    </w:div>
    <w:div w:id="1279602360">
      <w:bodyDiv w:val="1"/>
      <w:marLeft w:val="0"/>
      <w:marRight w:val="0"/>
      <w:marTop w:val="0"/>
      <w:marBottom w:val="0"/>
      <w:divBdr>
        <w:top w:val="none" w:sz="0" w:space="0" w:color="auto"/>
        <w:left w:val="none" w:sz="0" w:space="0" w:color="auto"/>
        <w:bottom w:val="none" w:sz="0" w:space="0" w:color="auto"/>
        <w:right w:val="none" w:sz="0" w:space="0" w:color="auto"/>
      </w:divBdr>
    </w:div>
    <w:div w:id="1295137293">
      <w:bodyDiv w:val="1"/>
      <w:marLeft w:val="0"/>
      <w:marRight w:val="0"/>
      <w:marTop w:val="0"/>
      <w:marBottom w:val="0"/>
      <w:divBdr>
        <w:top w:val="none" w:sz="0" w:space="0" w:color="auto"/>
        <w:left w:val="none" w:sz="0" w:space="0" w:color="auto"/>
        <w:bottom w:val="none" w:sz="0" w:space="0" w:color="auto"/>
        <w:right w:val="none" w:sz="0" w:space="0" w:color="auto"/>
      </w:divBdr>
    </w:div>
    <w:div w:id="1298217620">
      <w:bodyDiv w:val="1"/>
      <w:marLeft w:val="0"/>
      <w:marRight w:val="0"/>
      <w:marTop w:val="0"/>
      <w:marBottom w:val="0"/>
      <w:divBdr>
        <w:top w:val="none" w:sz="0" w:space="0" w:color="auto"/>
        <w:left w:val="none" w:sz="0" w:space="0" w:color="auto"/>
        <w:bottom w:val="none" w:sz="0" w:space="0" w:color="auto"/>
        <w:right w:val="none" w:sz="0" w:space="0" w:color="auto"/>
      </w:divBdr>
    </w:div>
    <w:div w:id="1301885970">
      <w:bodyDiv w:val="1"/>
      <w:marLeft w:val="0"/>
      <w:marRight w:val="0"/>
      <w:marTop w:val="0"/>
      <w:marBottom w:val="0"/>
      <w:divBdr>
        <w:top w:val="none" w:sz="0" w:space="0" w:color="auto"/>
        <w:left w:val="none" w:sz="0" w:space="0" w:color="auto"/>
        <w:bottom w:val="none" w:sz="0" w:space="0" w:color="auto"/>
        <w:right w:val="none" w:sz="0" w:space="0" w:color="auto"/>
      </w:divBdr>
    </w:div>
    <w:div w:id="1308128125">
      <w:bodyDiv w:val="1"/>
      <w:marLeft w:val="0"/>
      <w:marRight w:val="0"/>
      <w:marTop w:val="0"/>
      <w:marBottom w:val="0"/>
      <w:divBdr>
        <w:top w:val="none" w:sz="0" w:space="0" w:color="auto"/>
        <w:left w:val="none" w:sz="0" w:space="0" w:color="auto"/>
        <w:bottom w:val="none" w:sz="0" w:space="0" w:color="auto"/>
        <w:right w:val="none" w:sz="0" w:space="0" w:color="auto"/>
      </w:divBdr>
    </w:div>
    <w:div w:id="1309431434">
      <w:bodyDiv w:val="1"/>
      <w:marLeft w:val="0"/>
      <w:marRight w:val="0"/>
      <w:marTop w:val="0"/>
      <w:marBottom w:val="0"/>
      <w:divBdr>
        <w:top w:val="none" w:sz="0" w:space="0" w:color="auto"/>
        <w:left w:val="none" w:sz="0" w:space="0" w:color="auto"/>
        <w:bottom w:val="none" w:sz="0" w:space="0" w:color="auto"/>
        <w:right w:val="none" w:sz="0" w:space="0" w:color="auto"/>
      </w:divBdr>
    </w:div>
    <w:div w:id="1309555261">
      <w:bodyDiv w:val="1"/>
      <w:marLeft w:val="0"/>
      <w:marRight w:val="0"/>
      <w:marTop w:val="0"/>
      <w:marBottom w:val="0"/>
      <w:divBdr>
        <w:top w:val="none" w:sz="0" w:space="0" w:color="auto"/>
        <w:left w:val="none" w:sz="0" w:space="0" w:color="auto"/>
        <w:bottom w:val="none" w:sz="0" w:space="0" w:color="auto"/>
        <w:right w:val="none" w:sz="0" w:space="0" w:color="auto"/>
      </w:divBdr>
    </w:div>
    <w:div w:id="1356465228">
      <w:bodyDiv w:val="1"/>
      <w:marLeft w:val="0"/>
      <w:marRight w:val="0"/>
      <w:marTop w:val="0"/>
      <w:marBottom w:val="0"/>
      <w:divBdr>
        <w:top w:val="none" w:sz="0" w:space="0" w:color="auto"/>
        <w:left w:val="none" w:sz="0" w:space="0" w:color="auto"/>
        <w:bottom w:val="none" w:sz="0" w:space="0" w:color="auto"/>
        <w:right w:val="none" w:sz="0" w:space="0" w:color="auto"/>
      </w:divBdr>
    </w:div>
    <w:div w:id="1369143908">
      <w:bodyDiv w:val="1"/>
      <w:marLeft w:val="0"/>
      <w:marRight w:val="0"/>
      <w:marTop w:val="0"/>
      <w:marBottom w:val="0"/>
      <w:divBdr>
        <w:top w:val="none" w:sz="0" w:space="0" w:color="auto"/>
        <w:left w:val="none" w:sz="0" w:space="0" w:color="auto"/>
        <w:bottom w:val="none" w:sz="0" w:space="0" w:color="auto"/>
        <w:right w:val="none" w:sz="0" w:space="0" w:color="auto"/>
      </w:divBdr>
    </w:div>
    <w:div w:id="1428116981">
      <w:bodyDiv w:val="1"/>
      <w:marLeft w:val="0"/>
      <w:marRight w:val="0"/>
      <w:marTop w:val="0"/>
      <w:marBottom w:val="0"/>
      <w:divBdr>
        <w:top w:val="none" w:sz="0" w:space="0" w:color="auto"/>
        <w:left w:val="none" w:sz="0" w:space="0" w:color="auto"/>
        <w:bottom w:val="none" w:sz="0" w:space="0" w:color="auto"/>
        <w:right w:val="none" w:sz="0" w:space="0" w:color="auto"/>
      </w:divBdr>
    </w:div>
    <w:div w:id="1428842934">
      <w:bodyDiv w:val="1"/>
      <w:marLeft w:val="0"/>
      <w:marRight w:val="0"/>
      <w:marTop w:val="0"/>
      <w:marBottom w:val="0"/>
      <w:divBdr>
        <w:top w:val="none" w:sz="0" w:space="0" w:color="auto"/>
        <w:left w:val="none" w:sz="0" w:space="0" w:color="auto"/>
        <w:bottom w:val="none" w:sz="0" w:space="0" w:color="auto"/>
        <w:right w:val="none" w:sz="0" w:space="0" w:color="auto"/>
      </w:divBdr>
    </w:div>
    <w:div w:id="1434861677">
      <w:bodyDiv w:val="1"/>
      <w:marLeft w:val="0"/>
      <w:marRight w:val="0"/>
      <w:marTop w:val="0"/>
      <w:marBottom w:val="0"/>
      <w:divBdr>
        <w:top w:val="none" w:sz="0" w:space="0" w:color="auto"/>
        <w:left w:val="none" w:sz="0" w:space="0" w:color="auto"/>
        <w:bottom w:val="none" w:sz="0" w:space="0" w:color="auto"/>
        <w:right w:val="none" w:sz="0" w:space="0" w:color="auto"/>
      </w:divBdr>
    </w:div>
    <w:div w:id="1444693771">
      <w:bodyDiv w:val="1"/>
      <w:marLeft w:val="0"/>
      <w:marRight w:val="0"/>
      <w:marTop w:val="0"/>
      <w:marBottom w:val="0"/>
      <w:divBdr>
        <w:top w:val="none" w:sz="0" w:space="0" w:color="auto"/>
        <w:left w:val="none" w:sz="0" w:space="0" w:color="auto"/>
        <w:bottom w:val="none" w:sz="0" w:space="0" w:color="auto"/>
        <w:right w:val="none" w:sz="0" w:space="0" w:color="auto"/>
      </w:divBdr>
    </w:div>
    <w:div w:id="1452364622">
      <w:bodyDiv w:val="1"/>
      <w:marLeft w:val="0"/>
      <w:marRight w:val="0"/>
      <w:marTop w:val="0"/>
      <w:marBottom w:val="0"/>
      <w:divBdr>
        <w:top w:val="none" w:sz="0" w:space="0" w:color="auto"/>
        <w:left w:val="none" w:sz="0" w:space="0" w:color="auto"/>
        <w:bottom w:val="none" w:sz="0" w:space="0" w:color="auto"/>
        <w:right w:val="none" w:sz="0" w:space="0" w:color="auto"/>
      </w:divBdr>
    </w:div>
    <w:div w:id="1462770424">
      <w:bodyDiv w:val="1"/>
      <w:marLeft w:val="0"/>
      <w:marRight w:val="0"/>
      <w:marTop w:val="0"/>
      <w:marBottom w:val="0"/>
      <w:divBdr>
        <w:top w:val="none" w:sz="0" w:space="0" w:color="auto"/>
        <w:left w:val="none" w:sz="0" w:space="0" w:color="auto"/>
        <w:bottom w:val="none" w:sz="0" w:space="0" w:color="auto"/>
        <w:right w:val="none" w:sz="0" w:space="0" w:color="auto"/>
      </w:divBdr>
    </w:div>
    <w:div w:id="1469083155">
      <w:bodyDiv w:val="1"/>
      <w:marLeft w:val="0"/>
      <w:marRight w:val="0"/>
      <w:marTop w:val="0"/>
      <w:marBottom w:val="0"/>
      <w:divBdr>
        <w:top w:val="none" w:sz="0" w:space="0" w:color="auto"/>
        <w:left w:val="none" w:sz="0" w:space="0" w:color="auto"/>
        <w:bottom w:val="none" w:sz="0" w:space="0" w:color="auto"/>
        <w:right w:val="none" w:sz="0" w:space="0" w:color="auto"/>
      </w:divBdr>
    </w:div>
    <w:div w:id="1499076851">
      <w:bodyDiv w:val="1"/>
      <w:marLeft w:val="0"/>
      <w:marRight w:val="0"/>
      <w:marTop w:val="0"/>
      <w:marBottom w:val="0"/>
      <w:divBdr>
        <w:top w:val="none" w:sz="0" w:space="0" w:color="auto"/>
        <w:left w:val="none" w:sz="0" w:space="0" w:color="auto"/>
        <w:bottom w:val="none" w:sz="0" w:space="0" w:color="auto"/>
        <w:right w:val="none" w:sz="0" w:space="0" w:color="auto"/>
      </w:divBdr>
    </w:div>
    <w:div w:id="1531144447">
      <w:bodyDiv w:val="1"/>
      <w:marLeft w:val="0"/>
      <w:marRight w:val="0"/>
      <w:marTop w:val="0"/>
      <w:marBottom w:val="0"/>
      <w:divBdr>
        <w:top w:val="none" w:sz="0" w:space="0" w:color="auto"/>
        <w:left w:val="none" w:sz="0" w:space="0" w:color="auto"/>
        <w:bottom w:val="none" w:sz="0" w:space="0" w:color="auto"/>
        <w:right w:val="none" w:sz="0" w:space="0" w:color="auto"/>
      </w:divBdr>
    </w:div>
    <w:div w:id="1543325991">
      <w:bodyDiv w:val="1"/>
      <w:marLeft w:val="0"/>
      <w:marRight w:val="0"/>
      <w:marTop w:val="0"/>
      <w:marBottom w:val="0"/>
      <w:divBdr>
        <w:top w:val="none" w:sz="0" w:space="0" w:color="auto"/>
        <w:left w:val="none" w:sz="0" w:space="0" w:color="auto"/>
        <w:bottom w:val="none" w:sz="0" w:space="0" w:color="auto"/>
        <w:right w:val="none" w:sz="0" w:space="0" w:color="auto"/>
      </w:divBdr>
    </w:div>
    <w:div w:id="1570115724">
      <w:bodyDiv w:val="1"/>
      <w:marLeft w:val="0"/>
      <w:marRight w:val="0"/>
      <w:marTop w:val="0"/>
      <w:marBottom w:val="0"/>
      <w:divBdr>
        <w:top w:val="none" w:sz="0" w:space="0" w:color="auto"/>
        <w:left w:val="none" w:sz="0" w:space="0" w:color="auto"/>
        <w:bottom w:val="none" w:sz="0" w:space="0" w:color="auto"/>
        <w:right w:val="none" w:sz="0" w:space="0" w:color="auto"/>
      </w:divBdr>
    </w:div>
    <w:div w:id="1593123175">
      <w:bodyDiv w:val="1"/>
      <w:marLeft w:val="0"/>
      <w:marRight w:val="0"/>
      <w:marTop w:val="0"/>
      <w:marBottom w:val="0"/>
      <w:divBdr>
        <w:top w:val="none" w:sz="0" w:space="0" w:color="auto"/>
        <w:left w:val="none" w:sz="0" w:space="0" w:color="auto"/>
        <w:bottom w:val="none" w:sz="0" w:space="0" w:color="auto"/>
        <w:right w:val="none" w:sz="0" w:space="0" w:color="auto"/>
      </w:divBdr>
    </w:div>
    <w:div w:id="1596867018">
      <w:bodyDiv w:val="1"/>
      <w:marLeft w:val="0"/>
      <w:marRight w:val="0"/>
      <w:marTop w:val="0"/>
      <w:marBottom w:val="0"/>
      <w:divBdr>
        <w:top w:val="none" w:sz="0" w:space="0" w:color="auto"/>
        <w:left w:val="none" w:sz="0" w:space="0" w:color="auto"/>
        <w:bottom w:val="none" w:sz="0" w:space="0" w:color="auto"/>
        <w:right w:val="none" w:sz="0" w:space="0" w:color="auto"/>
      </w:divBdr>
    </w:div>
    <w:div w:id="1624732453">
      <w:bodyDiv w:val="1"/>
      <w:marLeft w:val="0"/>
      <w:marRight w:val="0"/>
      <w:marTop w:val="0"/>
      <w:marBottom w:val="0"/>
      <w:divBdr>
        <w:top w:val="none" w:sz="0" w:space="0" w:color="auto"/>
        <w:left w:val="none" w:sz="0" w:space="0" w:color="auto"/>
        <w:bottom w:val="none" w:sz="0" w:space="0" w:color="auto"/>
        <w:right w:val="none" w:sz="0" w:space="0" w:color="auto"/>
      </w:divBdr>
    </w:div>
    <w:div w:id="1625113051">
      <w:bodyDiv w:val="1"/>
      <w:marLeft w:val="0"/>
      <w:marRight w:val="0"/>
      <w:marTop w:val="0"/>
      <w:marBottom w:val="0"/>
      <w:divBdr>
        <w:top w:val="none" w:sz="0" w:space="0" w:color="auto"/>
        <w:left w:val="none" w:sz="0" w:space="0" w:color="auto"/>
        <w:bottom w:val="none" w:sz="0" w:space="0" w:color="auto"/>
        <w:right w:val="none" w:sz="0" w:space="0" w:color="auto"/>
      </w:divBdr>
    </w:div>
    <w:div w:id="1639842067">
      <w:bodyDiv w:val="1"/>
      <w:marLeft w:val="0"/>
      <w:marRight w:val="0"/>
      <w:marTop w:val="0"/>
      <w:marBottom w:val="0"/>
      <w:divBdr>
        <w:top w:val="none" w:sz="0" w:space="0" w:color="auto"/>
        <w:left w:val="none" w:sz="0" w:space="0" w:color="auto"/>
        <w:bottom w:val="none" w:sz="0" w:space="0" w:color="auto"/>
        <w:right w:val="none" w:sz="0" w:space="0" w:color="auto"/>
      </w:divBdr>
    </w:div>
    <w:div w:id="1643346258">
      <w:bodyDiv w:val="1"/>
      <w:marLeft w:val="0"/>
      <w:marRight w:val="0"/>
      <w:marTop w:val="0"/>
      <w:marBottom w:val="0"/>
      <w:divBdr>
        <w:top w:val="none" w:sz="0" w:space="0" w:color="auto"/>
        <w:left w:val="none" w:sz="0" w:space="0" w:color="auto"/>
        <w:bottom w:val="none" w:sz="0" w:space="0" w:color="auto"/>
        <w:right w:val="none" w:sz="0" w:space="0" w:color="auto"/>
      </w:divBdr>
    </w:div>
    <w:div w:id="1655180139">
      <w:bodyDiv w:val="1"/>
      <w:marLeft w:val="0"/>
      <w:marRight w:val="0"/>
      <w:marTop w:val="0"/>
      <w:marBottom w:val="0"/>
      <w:divBdr>
        <w:top w:val="none" w:sz="0" w:space="0" w:color="auto"/>
        <w:left w:val="none" w:sz="0" w:space="0" w:color="auto"/>
        <w:bottom w:val="none" w:sz="0" w:space="0" w:color="auto"/>
        <w:right w:val="none" w:sz="0" w:space="0" w:color="auto"/>
      </w:divBdr>
    </w:div>
    <w:div w:id="1656838196">
      <w:bodyDiv w:val="1"/>
      <w:marLeft w:val="0"/>
      <w:marRight w:val="0"/>
      <w:marTop w:val="0"/>
      <w:marBottom w:val="0"/>
      <w:divBdr>
        <w:top w:val="none" w:sz="0" w:space="0" w:color="auto"/>
        <w:left w:val="none" w:sz="0" w:space="0" w:color="auto"/>
        <w:bottom w:val="none" w:sz="0" w:space="0" w:color="auto"/>
        <w:right w:val="none" w:sz="0" w:space="0" w:color="auto"/>
      </w:divBdr>
    </w:div>
    <w:div w:id="1658218301">
      <w:bodyDiv w:val="1"/>
      <w:marLeft w:val="0"/>
      <w:marRight w:val="0"/>
      <w:marTop w:val="0"/>
      <w:marBottom w:val="0"/>
      <w:divBdr>
        <w:top w:val="none" w:sz="0" w:space="0" w:color="auto"/>
        <w:left w:val="none" w:sz="0" w:space="0" w:color="auto"/>
        <w:bottom w:val="none" w:sz="0" w:space="0" w:color="auto"/>
        <w:right w:val="none" w:sz="0" w:space="0" w:color="auto"/>
      </w:divBdr>
    </w:div>
    <w:div w:id="1658613615">
      <w:bodyDiv w:val="1"/>
      <w:marLeft w:val="0"/>
      <w:marRight w:val="0"/>
      <w:marTop w:val="0"/>
      <w:marBottom w:val="0"/>
      <w:divBdr>
        <w:top w:val="none" w:sz="0" w:space="0" w:color="auto"/>
        <w:left w:val="none" w:sz="0" w:space="0" w:color="auto"/>
        <w:bottom w:val="none" w:sz="0" w:space="0" w:color="auto"/>
        <w:right w:val="none" w:sz="0" w:space="0" w:color="auto"/>
      </w:divBdr>
    </w:div>
    <w:div w:id="1660186122">
      <w:bodyDiv w:val="1"/>
      <w:marLeft w:val="0"/>
      <w:marRight w:val="0"/>
      <w:marTop w:val="0"/>
      <w:marBottom w:val="0"/>
      <w:divBdr>
        <w:top w:val="none" w:sz="0" w:space="0" w:color="auto"/>
        <w:left w:val="none" w:sz="0" w:space="0" w:color="auto"/>
        <w:bottom w:val="none" w:sz="0" w:space="0" w:color="auto"/>
        <w:right w:val="none" w:sz="0" w:space="0" w:color="auto"/>
      </w:divBdr>
    </w:div>
    <w:div w:id="1674793112">
      <w:bodyDiv w:val="1"/>
      <w:marLeft w:val="0"/>
      <w:marRight w:val="0"/>
      <w:marTop w:val="0"/>
      <w:marBottom w:val="0"/>
      <w:divBdr>
        <w:top w:val="none" w:sz="0" w:space="0" w:color="auto"/>
        <w:left w:val="none" w:sz="0" w:space="0" w:color="auto"/>
        <w:bottom w:val="none" w:sz="0" w:space="0" w:color="auto"/>
        <w:right w:val="none" w:sz="0" w:space="0" w:color="auto"/>
      </w:divBdr>
    </w:div>
    <w:div w:id="1689214721">
      <w:bodyDiv w:val="1"/>
      <w:marLeft w:val="0"/>
      <w:marRight w:val="0"/>
      <w:marTop w:val="0"/>
      <w:marBottom w:val="0"/>
      <w:divBdr>
        <w:top w:val="none" w:sz="0" w:space="0" w:color="auto"/>
        <w:left w:val="none" w:sz="0" w:space="0" w:color="auto"/>
        <w:bottom w:val="none" w:sz="0" w:space="0" w:color="auto"/>
        <w:right w:val="none" w:sz="0" w:space="0" w:color="auto"/>
      </w:divBdr>
    </w:div>
    <w:div w:id="1690910467">
      <w:bodyDiv w:val="1"/>
      <w:marLeft w:val="0"/>
      <w:marRight w:val="0"/>
      <w:marTop w:val="0"/>
      <w:marBottom w:val="0"/>
      <w:divBdr>
        <w:top w:val="none" w:sz="0" w:space="0" w:color="auto"/>
        <w:left w:val="none" w:sz="0" w:space="0" w:color="auto"/>
        <w:bottom w:val="none" w:sz="0" w:space="0" w:color="auto"/>
        <w:right w:val="none" w:sz="0" w:space="0" w:color="auto"/>
      </w:divBdr>
    </w:div>
    <w:div w:id="1695618496">
      <w:bodyDiv w:val="1"/>
      <w:marLeft w:val="0"/>
      <w:marRight w:val="0"/>
      <w:marTop w:val="0"/>
      <w:marBottom w:val="0"/>
      <w:divBdr>
        <w:top w:val="none" w:sz="0" w:space="0" w:color="auto"/>
        <w:left w:val="none" w:sz="0" w:space="0" w:color="auto"/>
        <w:bottom w:val="none" w:sz="0" w:space="0" w:color="auto"/>
        <w:right w:val="none" w:sz="0" w:space="0" w:color="auto"/>
      </w:divBdr>
    </w:div>
    <w:div w:id="1715346545">
      <w:bodyDiv w:val="1"/>
      <w:marLeft w:val="0"/>
      <w:marRight w:val="0"/>
      <w:marTop w:val="0"/>
      <w:marBottom w:val="0"/>
      <w:divBdr>
        <w:top w:val="none" w:sz="0" w:space="0" w:color="auto"/>
        <w:left w:val="none" w:sz="0" w:space="0" w:color="auto"/>
        <w:bottom w:val="none" w:sz="0" w:space="0" w:color="auto"/>
        <w:right w:val="none" w:sz="0" w:space="0" w:color="auto"/>
      </w:divBdr>
    </w:div>
    <w:div w:id="1734231749">
      <w:bodyDiv w:val="1"/>
      <w:marLeft w:val="0"/>
      <w:marRight w:val="0"/>
      <w:marTop w:val="0"/>
      <w:marBottom w:val="0"/>
      <w:divBdr>
        <w:top w:val="none" w:sz="0" w:space="0" w:color="auto"/>
        <w:left w:val="none" w:sz="0" w:space="0" w:color="auto"/>
        <w:bottom w:val="none" w:sz="0" w:space="0" w:color="auto"/>
        <w:right w:val="none" w:sz="0" w:space="0" w:color="auto"/>
      </w:divBdr>
    </w:div>
    <w:div w:id="1735348484">
      <w:bodyDiv w:val="1"/>
      <w:marLeft w:val="0"/>
      <w:marRight w:val="0"/>
      <w:marTop w:val="0"/>
      <w:marBottom w:val="0"/>
      <w:divBdr>
        <w:top w:val="none" w:sz="0" w:space="0" w:color="auto"/>
        <w:left w:val="none" w:sz="0" w:space="0" w:color="auto"/>
        <w:bottom w:val="none" w:sz="0" w:space="0" w:color="auto"/>
        <w:right w:val="none" w:sz="0" w:space="0" w:color="auto"/>
      </w:divBdr>
    </w:div>
    <w:div w:id="1746613053">
      <w:bodyDiv w:val="1"/>
      <w:marLeft w:val="0"/>
      <w:marRight w:val="0"/>
      <w:marTop w:val="0"/>
      <w:marBottom w:val="0"/>
      <w:divBdr>
        <w:top w:val="none" w:sz="0" w:space="0" w:color="auto"/>
        <w:left w:val="none" w:sz="0" w:space="0" w:color="auto"/>
        <w:bottom w:val="none" w:sz="0" w:space="0" w:color="auto"/>
        <w:right w:val="none" w:sz="0" w:space="0" w:color="auto"/>
      </w:divBdr>
    </w:div>
    <w:div w:id="1749689426">
      <w:bodyDiv w:val="1"/>
      <w:marLeft w:val="0"/>
      <w:marRight w:val="0"/>
      <w:marTop w:val="0"/>
      <w:marBottom w:val="0"/>
      <w:divBdr>
        <w:top w:val="none" w:sz="0" w:space="0" w:color="auto"/>
        <w:left w:val="none" w:sz="0" w:space="0" w:color="auto"/>
        <w:bottom w:val="none" w:sz="0" w:space="0" w:color="auto"/>
        <w:right w:val="none" w:sz="0" w:space="0" w:color="auto"/>
      </w:divBdr>
    </w:div>
    <w:div w:id="1771924789">
      <w:bodyDiv w:val="1"/>
      <w:marLeft w:val="0"/>
      <w:marRight w:val="0"/>
      <w:marTop w:val="0"/>
      <w:marBottom w:val="0"/>
      <w:divBdr>
        <w:top w:val="none" w:sz="0" w:space="0" w:color="auto"/>
        <w:left w:val="none" w:sz="0" w:space="0" w:color="auto"/>
        <w:bottom w:val="none" w:sz="0" w:space="0" w:color="auto"/>
        <w:right w:val="none" w:sz="0" w:space="0" w:color="auto"/>
      </w:divBdr>
    </w:div>
    <w:div w:id="1797983479">
      <w:bodyDiv w:val="1"/>
      <w:marLeft w:val="0"/>
      <w:marRight w:val="0"/>
      <w:marTop w:val="0"/>
      <w:marBottom w:val="0"/>
      <w:divBdr>
        <w:top w:val="none" w:sz="0" w:space="0" w:color="auto"/>
        <w:left w:val="none" w:sz="0" w:space="0" w:color="auto"/>
        <w:bottom w:val="none" w:sz="0" w:space="0" w:color="auto"/>
        <w:right w:val="none" w:sz="0" w:space="0" w:color="auto"/>
      </w:divBdr>
    </w:div>
    <w:div w:id="1798837207">
      <w:bodyDiv w:val="1"/>
      <w:marLeft w:val="0"/>
      <w:marRight w:val="0"/>
      <w:marTop w:val="0"/>
      <w:marBottom w:val="0"/>
      <w:divBdr>
        <w:top w:val="none" w:sz="0" w:space="0" w:color="auto"/>
        <w:left w:val="none" w:sz="0" w:space="0" w:color="auto"/>
        <w:bottom w:val="none" w:sz="0" w:space="0" w:color="auto"/>
        <w:right w:val="none" w:sz="0" w:space="0" w:color="auto"/>
      </w:divBdr>
    </w:div>
    <w:div w:id="1810172282">
      <w:bodyDiv w:val="1"/>
      <w:marLeft w:val="0"/>
      <w:marRight w:val="0"/>
      <w:marTop w:val="0"/>
      <w:marBottom w:val="0"/>
      <w:divBdr>
        <w:top w:val="none" w:sz="0" w:space="0" w:color="auto"/>
        <w:left w:val="none" w:sz="0" w:space="0" w:color="auto"/>
        <w:bottom w:val="none" w:sz="0" w:space="0" w:color="auto"/>
        <w:right w:val="none" w:sz="0" w:space="0" w:color="auto"/>
      </w:divBdr>
    </w:div>
    <w:div w:id="1836796666">
      <w:bodyDiv w:val="1"/>
      <w:marLeft w:val="0"/>
      <w:marRight w:val="0"/>
      <w:marTop w:val="0"/>
      <w:marBottom w:val="0"/>
      <w:divBdr>
        <w:top w:val="none" w:sz="0" w:space="0" w:color="auto"/>
        <w:left w:val="none" w:sz="0" w:space="0" w:color="auto"/>
        <w:bottom w:val="none" w:sz="0" w:space="0" w:color="auto"/>
        <w:right w:val="none" w:sz="0" w:space="0" w:color="auto"/>
      </w:divBdr>
    </w:div>
    <w:div w:id="1850095547">
      <w:bodyDiv w:val="1"/>
      <w:marLeft w:val="0"/>
      <w:marRight w:val="0"/>
      <w:marTop w:val="0"/>
      <w:marBottom w:val="0"/>
      <w:divBdr>
        <w:top w:val="none" w:sz="0" w:space="0" w:color="auto"/>
        <w:left w:val="none" w:sz="0" w:space="0" w:color="auto"/>
        <w:bottom w:val="none" w:sz="0" w:space="0" w:color="auto"/>
        <w:right w:val="none" w:sz="0" w:space="0" w:color="auto"/>
      </w:divBdr>
    </w:div>
    <w:div w:id="1864905158">
      <w:bodyDiv w:val="1"/>
      <w:marLeft w:val="0"/>
      <w:marRight w:val="0"/>
      <w:marTop w:val="0"/>
      <w:marBottom w:val="0"/>
      <w:divBdr>
        <w:top w:val="none" w:sz="0" w:space="0" w:color="auto"/>
        <w:left w:val="none" w:sz="0" w:space="0" w:color="auto"/>
        <w:bottom w:val="none" w:sz="0" w:space="0" w:color="auto"/>
        <w:right w:val="none" w:sz="0" w:space="0" w:color="auto"/>
      </w:divBdr>
    </w:div>
    <w:div w:id="1893156320">
      <w:bodyDiv w:val="1"/>
      <w:marLeft w:val="0"/>
      <w:marRight w:val="0"/>
      <w:marTop w:val="0"/>
      <w:marBottom w:val="0"/>
      <w:divBdr>
        <w:top w:val="none" w:sz="0" w:space="0" w:color="auto"/>
        <w:left w:val="none" w:sz="0" w:space="0" w:color="auto"/>
        <w:bottom w:val="none" w:sz="0" w:space="0" w:color="auto"/>
        <w:right w:val="none" w:sz="0" w:space="0" w:color="auto"/>
      </w:divBdr>
    </w:div>
    <w:div w:id="1913343819">
      <w:bodyDiv w:val="1"/>
      <w:marLeft w:val="0"/>
      <w:marRight w:val="0"/>
      <w:marTop w:val="0"/>
      <w:marBottom w:val="0"/>
      <w:divBdr>
        <w:top w:val="none" w:sz="0" w:space="0" w:color="auto"/>
        <w:left w:val="none" w:sz="0" w:space="0" w:color="auto"/>
        <w:bottom w:val="none" w:sz="0" w:space="0" w:color="auto"/>
        <w:right w:val="none" w:sz="0" w:space="0" w:color="auto"/>
      </w:divBdr>
    </w:div>
    <w:div w:id="1941797133">
      <w:bodyDiv w:val="1"/>
      <w:marLeft w:val="0"/>
      <w:marRight w:val="0"/>
      <w:marTop w:val="0"/>
      <w:marBottom w:val="0"/>
      <w:divBdr>
        <w:top w:val="none" w:sz="0" w:space="0" w:color="auto"/>
        <w:left w:val="none" w:sz="0" w:space="0" w:color="auto"/>
        <w:bottom w:val="none" w:sz="0" w:space="0" w:color="auto"/>
        <w:right w:val="none" w:sz="0" w:space="0" w:color="auto"/>
      </w:divBdr>
    </w:div>
    <w:div w:id="1960452053">
      <w:bodyDiv w:val="1"/>
      <w:marLeft w:val="0"/>
      <w:marRight w:val="0"/>
      <w:marTop w:val="0"/>
      <w:marBottom w:val="0"/>
      <w:divBdr>
        <w:top w:val="none" w:sz="0" w:space="0" w:color="auto"/>
        <w:left w:val="none" w:sz="0" w:space="0" w:color="auto"/>
        <w:bottom w:val="none" w:sz="0" w:space="0" w:color="auto"/>
        <w:right w:val="none" w:sz="0" w:space="0" w:color="auto"/>
      </w:divBdr>
    </w:div>
    <w:div w:id="1985700429">
      <w:bodyDiv w:val="1"/>
      <w:marLeft w:val="0"/>
      <w:marRight w:val="0"/>
      <w:marTop w:val="0"/>
      <w:marBottom w:val="0"/>
      <w:divBdr>
        <w:top w:val="none" w:sz="0" w:space="0" w:color="auto"/>
        <w:left w:val="none" w:sz="0" w:space="0" w:color="auto"/>
        <w:bottom w:val="none" w:sz="0" w:space="0" w:color="auto"/>
        <w:right w:val="none" w:sz="0" w:space="0" w:color="auto"/>
      </w:divBdr>
    </w:div>
    <w:div w:id="1997032661">
      <w:bodyDiv w:val="1"/>
      <w:marLeft w:val="0"/>
      <w:marRight w:val="0"/>
      <w:marTop w:val="0"/>
      <w:marBottom w:val="0"/>
      <w:divBdr>
        <w:top w:val="none" w:sz="0" w:space="0" w:color="auto"/>
        <w:left w:val="none" w:sz="0" w:space="0" w:color="auto"/>
        <w:bottom w:val="none" w:sz="0" w:space="0" w:color="auto"/>
        <w:right w:val="none" w:sz="0" w:space="0" w:color="auto"/>
      </w:divBdr>
    </w:div>
    <w:div w:id="2004163938">
      <w:bodyDiv w:val="1"/>
      <w:marLeft w:val="0"/>
      <w:marRight w:val="0"/>
      <w:marTop w:val="0"/>
      <w:marBottom w:val="0"/>
      <w:divBdr>
        <w:top w:val="none" w:sz="0" w:space="0" w:color="auto"/>
        <w:left w:val="none" w:sz="0" w:space="0" w:color="auto"/>
        <w:bottom w:val="none" w:sz="0" w:space="0" w:color="auto"/>
        <w:right w:val="none" w:sz="0" w:space="0" w:color="auto"/>
      </w:divBdr>
    </w:div>
    <w:div w:id="2007592982">
      <w:bodyDiv w:val="1"/>
      <w:marLeft w:val="0"/>
      <w:marRight w:val="0"/>
      <w:marTop w:val="0"/>
      <w:marBottom w:val="0"/>
      <w:divBdr>
        <w:top w:val="none" w:sz="0" w:space="0" w:color="auto"/>
        <w:left w:val="none" w:sz="0" w:space="0" w:color="auto"/>
        <w:bottom w:val="none" w:sz="0" w:space="0" w:color="auto"/>
        <w:right w:val="none" w:sz="0" w:space="0" w:color="auto"/>
      </w:divBdr>
    </w:div>
    <w:div w:id="2018999245">
      <w:bodyDiv w:val="1"/>
      <w:marLeft w:val="0"/>
      <w:marRight w:val="0"/>
      <w:marTop w:val="0"/>
      <w:marBottom w:val="0"/>
      <w:divBdr>
        <w:top w:val="none" w:sz="0" w:space="0" w:color="auto"/>
        <w:left w:val="none" w:sz="0" w:space="0" w:color="auto"/>
        <w:bottom w:val="none" w:sz="0" w:space="0" w:color="auto"/>
        <w:right w:val="none" w:sz="0" w:space="0" w:color="auto"/>
      </w:divBdr>
    </w:div>
    <w:div w:id="2020085561">
      <w:bodyDiv w:val="1"/>
      <w:marLeft w:val="0"/>
      <w:marRight w:val="0"/>
      <w:marTop w:val="0"/>
      <w:marBottom w:val="0"/>
      <w:divBdr>
        <w:top w:val="none" w:sz="0" w:space="0" w:color="auto"/>
        <w:left w:val="none" w:sz="0" w:space="0" w:color="auto"/>
        <w:bottom w:val="none" w:sz="0" w:space="0" w:color="auto"/>
        <w:right w:val="none" w:sz="0" w:space="0" w:color="auto"/>
      </w:divBdr>
    </w:div>
    <w:div w:id="2050570351">
      <w:bodyDiv w:val="1"/>
      <w:marLeft w:val="0"/>
      <w:marRight w:val="0"/>
      <w:marTop w:val="0"/>
      <w:marBottom w:val="0"/>
      <w:divBdr>
        <w:top w:val="none" w:sz="0" w:space="0" w:color="auto"/>
        <w:left w:val="none" w:sz="0" w:space="0" w:color="auto"/>
        <w:bottom w:val="none" w:sz="0" w:space="0" w:color="auto"/>
        <w:right w:val="none" w:sz="0" w:space="0" w:color="auto"/>
      </w:divBdr>
    </w:div>
    <w:div w:id="2055305548">
      <w:bodyDiv w:val="1"/>
      <w:marLeft w:val="0"/>
      <w:marRight w:val="0"/>
      <w:marTop w:val="0"/>
      <w:marBottom w:val="0"/>
      <w:divBdr>
        <w:top w:val="none" w:sz="0" w:space="0" w:color="auto"/>
        <w:left w:val="none" w:sz="0" w:space="0" w:color="auto"/>
        <w:bottom w:val="none" w:sz="0" w:space="0" w:color="auto"/>
        <w:right w:val="none" w:sz="0" w:space="0" w:color="auto"/>
      </w:divBdr>
    </w:div>
    <w:div w:id="2066948720">
      <w:bodyDiv w:val="1"/>
      <w:marLeft w:val="0"/>
      <w:marRight w:val="0"/>
      <w:marTop w:val="0"/>
      <w:marBottom w:val="0"/>
      <w:divBdr>
        <w:top w:val="none" w:sz="0" w:space="0" w:color="auto"/>
        <w:left w:val="none" w:sz="0" w:space="0" w:color="auto"/>
        <w:bottom w:val="none" w:sz="0" w:space="0" w:color="auto"/>
        <w:right w:val="none" w:sz="0" w:space="0" w:color="auto"/>
      </w:divBdr>
    </w:div>
    <w:div w:id="2073769493">
      <w:bodyDiv w:val="1"/>
      <w:marLeft w:val="0"/>
      <w:marRight w:val="0"/>
      <w:marTop w:val="0"/>
      <w:marBottom w:val="0"/>
      <w:divBdr>
        <w:top w:val="none" w:sz="0" w:space="0" w:color="auto"/>
        <w:left w:val="none" w:sz="0" w:space="0" w:color="auto"/>
        <w:bottom w:val="none" w:sz="0" w:space="0" w:color="auto"/>
        <w:right w:val="none" w:sz="0" w:space="0" w:color="auto"/>
      </w:divBdr>
    </w:div>
    <w:div w:id="2103336216">
      <w:bodyDiv w:val="1"/>
      <w:marLeft w:val="0"/>
      <w:marRight w:val="0"/>
      <w:marTop w:val="0"/>
      <w:marBottom w:val="0"/>
      <w:divBdr>
        <w:top w:val="none" w:sz="0" w:space="0" w:color="auto"/>
        <w:left w:val="none" w:sz="0" w:space="0" w:color="auto"/>
        <w:bottom w:val="none" w:sz="0" w:space="0" w:color="auto"/>
        <w:right w:val="none" w:sz="0" w:space="0" w:color="auto"/>
      </w:divBdr>
    </w:div>
    <w:div w:id="2124760470">
      <w:bodyDiv w:val="1"/>
      <w:marLeft w:val="0"/>
      <w:marRight w:val="0"/>
      <w:marTop w:val="0"/>
      <w:marBottom w:val="0"/>
      <w:divBdr>
        <w:top w:val="none" w:sz="0" w:space="0" w:color="auto"/>
        <w:left w:val="none" w:sz="0" w:space="0" w:color="auto"/>
        <w:bottom w:val="none" w:sz="0" w:space="0" w:color="auto"/>
        <w:right w:val="none" w:sz="0" w:space="0" w:color="auto"/>
      </w:divBdr>
    </w:div>
    <w:div w:id="2129926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21" Type="http://schemas.openxmlformats.org/officeDocument/2006/relationships/hyperlink" Target="http://www.cgc.gov.au" TargetMode="External"/><Relationship Id="rId42" Type="http://schemas.openxmlformats.org/officeDocument/2006/relationships/image" Target="media/image17.emf"/><Relationship Id="rId47" Type="http://schemas.openxmlformats.org/officeDocument/2006/relationships/hyperlink" Target="http://www.cgc.gov.au" TargetMode="External"/><Relationship Id="rId63" Type="http://schemas.openxmlformats.org/officeDocument/2006/relationships/image" Target="media/image35.jpg"/><Relationship Id="rId68" Type="http://schemas.openxmlformats.org/officeDocument/2006/relationships/image" Target="media/image40.jpg"/><Relationship Id="rId84" Type="http://schemas.openxmlformats.org/officeDocument/2006/relationships/image" Target="media/image56.jpg"/><Relationship Id="rId89" Type="http://schemas.openxmlformats.org/officeDocument/2006/relationships/image" Target="media/image61.jpg"/><Relationship Id="rId16" Type="http://schemas.openxmlformats.org/officeDocument/2006/relationships/image" Target="media/image5.png"/><Relationship Id="rId11" Type="http://schemas.openxmlformats.org/officeDocument/2006/relationships/header" Target="header1.xml"/><Relationship Id="rId32" Type="http://schemas.openxmlformats.org/officeDocument/2006/relationships/hyperlink" Target="https://budget.gov.au/content/myefo/index.htm" TargetMode="External"/><Relationship Id="rId37" Type="http://schemas.openxmlformats.org/officeDocument/2006/relationships/image" Target="media/image12.emf"/><Relationship Id="rId53" Type="http://schemas.openxmlformats.org/officeDocument/2006/relationships/image" Target="media/image25.jpg"/><Relationship Id="rId58" Type="http://schemas.openxmlformats.org/officeDocument/2006/relationships/image" Target="media/image30.jpg"/><Relationship Id="rId74" Type="http://schemas.openxmlformats.org/officeDocument/2006/relationships/image" Target="media/image46.jpg"/><Relationship Id="rId79" Type="http://schemas.openxmlformats.org/officeDocument/2006/relationships/image" Target="media/image51.jpg"/><Relationship Id="rId5" Type="http://schemas.openxmlformats.org/officeDocument/2006/relationships/numbering" Target="numbering.xml"/><Relationship Id="rId90" Type="http://schemas.openxmlformats.org/officeDocument/2006/relationships/header" Target="header4.xml"/><Relationship Id="rId22" Type="http://schemas.openxmlformats.org/officeDocument/2006/relationships/header" Target="header3.xml"/><Relationship Id="rId27" Type="http://schemas.openxmlformats.org/officeDocument/2006/relationships/image" Target="media/image10.jpeg"/><Relationship Id="rId43" Type="http://schemas.openxmlformats.org/officeDocument/2006/relationships/image" Target="media/image18.emf"/><Relationship Id="rId48" Type="http://schemas.openxmlformats.org/officeDocument/2006/relationships/hyperlink" Target="https://www.cgc.gov.au/publications/quality-assurance-framework" TargetMode="External"/><Relationship Id="rId64" Type="http://schemas.openxmlformats.org/officeDocument/2006/relationships/image" Target="media/image36.jpg"/><Relationship Id="rId69" Type="http://schemas.openxmlformats.org/officeDocument/2006/relationships/image" Target="media/image41.jpg"/><Relationship Id="rId8" Type="http://schemas.openxmlformats.org/officeDocument/2006/relationships/webSettings" Target="webSettings.xml"/><Relationship Id="rId51" Type="http://schemas.openxmlformats.org/officeDocument/2006/relationships/image" Target="media/image23.jpg"/><Relationship Id="rId72" Type="http://schemas.openxmlformats.org/officeDocument/2006/relationships/image" Target="media/image44.jpg"/><Relationship Id="rId80" Type="http://schemas.openxmlformats.org/officeDocument/2006/relationships/image" Target="media/image52.jpg"/><Relationship Id="rId85" Type="http://schemas.openxmlformats.org/officeDocument/2006/relationships/image" Target="media/image57.jp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creativecommons.org/licenses/by/4.0/" TargetMode="External"/><Relationship Id="rId25" Type="http://schemas.openxmlformats.org/officeDocument/2006/relationships/image" Target="media/image8.jpg"/><Relationship Id="rId33" Type="http://schemas.openxmlformats.org/officeDocument/2006/relationships/hyperlink" Target="https://budget.gov.au/content/myefo/index.htm" TargetMode="External"/><Relationship Id="rId38" Type="http://schemas.openxmlformats.org/officeDocument/2006/relationships/image" Target="media/image13.emf"/><Relationship Id="rId46" Type="http://schemas.openxmlformats.org/officeDocument/2006/relationships/hyperlink" Target="https://www.cgc.gov.au/reports-for-government/2024-update" TargetMode="External"/><Relationship Id="rId59" Type="http://schemas.openxmlformats.org/officeDocument/2006/relationships/image" Target="media/image31.jpg"/><Relationship Id="rId67" Type="http://schemas.openxmlformats.org/officeDocument/2006/relationships/image" Target="media/image39.jpg"/><Relationship Id="rId20" Type="http://schemas.openxmlformats.org/officeDocument/2006/relationships/hyperlink" Target="mailto:secretary@cgc.gov.au" TargetMode="External"/><Relationship Id="rId41" Type="http://schemas.openxmlformats.org/officeDocument/2006/relationships/image" Target="media/image16.emf"/><Relationship Id="rId54" Type="http://schemas.openxmlformats.org/officeDocument/2006/relationships/image" Target="media/image26.jpg"/><Relationship Id="rId62" Type="http://schemas.openxmlformats.org/officeDocument/2006/relationships/image" Target="media/image34.jpg"/><Relationship Id="rId70" Type="http://schemas.openxmlformats.org/officeDocument/2006/relationships/image" Target="media/image42.jpg"/><Relationship Id="rId75" Type="http://schemas.openxmlformats.org/officeDocument/2006/relationships/image" Target="media/image47.jpg"/><Relationship Id="rId83" Type="http://schemas.openxmlformats.org/officeDocument/2006/relationships/image" Target="media/image55.jpg"/><Relationship Id="rId88" Type="http://schemas.openxmlformats.org/officeDocument/2006/relationships/image" Target="media/image60.jpg"/><Relationship Id="rId9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hyperlink" Target="http://www.cgc.gov.au/publications/glossary" TargetMode="External"/><Relationship Id="rId36" Type="http://schemas.openxmlformats.org/officeDocument/2006/relationships/chart" Target="charts/chart1.xml"/><Relationship Id="rId49" Type="http://schemas.openxmlformats.org/officeDocument/2006/relationships/image" Target="media/image21.jpg"/><Relationship Id="rId57" Type="http://schemas.openxmlformats.org/officeDocument/2006/relationships/image" Target="media/image29.jpg"/><Relationship Id="rId10" Type="http://schemas.openxmlformats.org/officeDocument/2006/relationships/endnotes" Target="endnotes.xml"/><Relationship Id="rId31" Type="http://schemas.openxmlformats.org/officeDocument/2006/relationships/hyperlink" Target="https://budget.gov.au/content/myefo/index.htm" TargetMode="External"/><Relationship Id="rId44" Type="http://schemas.openxmlformats.org/officeDocument/2006/relationships/image" Target="media/image19.emf"/><Relationship Id="rId52" Type="http://schemas.openxmlformats.org/officeDocument/2006/relationships/image" Target="media/image24.jpg"/><Relationship Id="rId60" Type="http://schemas.openxmlformats.org/officeDocument/2006/relationships/image" Target="media/image32.jpg"/><Relationship Id="rId65" Type="http://schemas.openxmlformats.org/officeDocument/2006/relationships/image" Target="media/image37.jpg"/><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8.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14.emf"/><Relationship Id="rId34" Type="http://schemas.openxmlformats.org/officeDocument/2006/relationships/hyperlink" Target="https://budget.gov.au/content/myefo/index.htm" TargetMode="External"/><Relationship Id="rId50" Type="http://schemas.openxmlformats.org/officeDocument/2006/relationships/image" Target="media/image22.jpg"/><Relationship Id="rId55" Type="http://schemas.openxmlformats.org/officeDocument/2006/relationships/image" Target="media/image27.jpg"/><Relationship Id="rId76" Type="http://schemas.openxmlformats.org/officeDocument/2006/relationships/image" Target="media/image48.jpg"/><Relationship Id="rId7" Type="http://schemas.openxmlformats.org/officeDocument/2006/relationships/settings" Target="settings.xml"/><Relationship Id="rId71" Type="http://schemas.openxmlformats.org/officeDocument/2006/relationships/image" Target="media/image43.jp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www.cgc.gov.au/reports-for-government/2025-methodology-review/review-outcomes/review-outcomes-chapters" TargetMode="External"/><Relationship Id="rId24" Type="http://schemas.openxmlformats.org/officeDocument/2006/relationships/image" Target="media/image7.jpeg"/><Relationship Id="rId40" Type="http://schemas.openxmlformats.org/officeDocument/2006/relationships/image" Target="media/image15.emf"/><Relationship Id="rId45" Type="http://schemas.openxmlformats.org/officeDocument/2006/relationships/image" Target="media/image20.emf"/><Relationship Id="rId66" Type="http://schemas.openxmlformats.org/officeDocument/2006/relationships/image" Target="media/image38.jpg"/><Relationship Id="rId87" Type="http://schemas.openxmlformats.org/officeDocument/2006/relationships/image" Target="media/image59.jpg"/><Relationship Id="rId61" Type="http://schemas.openxmlformats.org/officeDocument/2006/relationships/image" Target="media/image33.jpg"/><Relationship Id="rId82" Type="http://schemas.openxmlformats.org/officeDocument/2006/relationships/image" Target="media/image54.jpg"/><Relationship Id="rId19" Type="http://schemas.openxmlformats.org/officeDocument/2006/relationships/hyperlink" Target="http://www.pmc.gov.au/honours-and-symbols/commonwealth-coat-arms" TargetMode="External"/><Relationship Id="rId14" Type="http://schemas.openxmlformats.org/officeDocument/2006/relationships/header" Target="header2.xml"/><Relationship Id="rId30" Type="http://schemas.openxmlformats.org/officeDocument/2006/relationships/hyperlink" Target="https://www.cgc.gov.au/reports-for-government/2025-methodology-review/review-outcomes/review-outcomes-chapters" TargetMode="External"/><Relationship Id="rId35" Type="http://schemas.openxmlformats.org/officeDocument/2006/relationships/image" Target="media/image11.emf"/><Relationship Id="rId56" Type="http://schemas.openxmlformats.org/officeDocument/2006/relationships/image" Target="media/image28.jpg"/><Relationship Id="rId77" Type="http://schemas.openxmlformats.org/officeDocument/2006/relationships/image" Target="media/image49.jpg"/></Relationships>
</file>

<file path=word/_rels/footnotes.xml.rels><?xml version="1.0" encoding="UTF-8" standalone="yes"?>
<Relationships xmlns="http://schemas.openxmlformats.org/package/2006/relationships"><Relationship Id="rId8" Type="http://schemas.openxmlformats.org/officeDocument/2006/relationships/hyperlink" Target="https://www.cgc.gov.au/publications/occasional-paper-4-new-arrangements-distributing-gst" TargetMode="External"/><Relationship Id="rId3" Type="http://schemas.openxmlformats.org/officeDocument/2006/relationships/hyperlink" Target="https://www.legislation.gov.au/C2009A00011/latest/text" TargetMode="External"/><Relationship Id="rId7" Type="http://schemas.openxmlformats.org/officeDocument/2006/relationships/hyperlink" Target="http://www.cgc.gov.au/publications/glossary" TargetMode="External"/><Relationship Id="rId2" Type="http://schemas.openxmlformats.org/officeDocument/2006/relationships/hyperlink" Target="https://www.legislation.gov.au/C1973A00054/latest/text" TargetMode="External"/><Relationship Id="rId1" Type="http://schemas.openxmlformats.org/officeDocument/2006/relationships/hyperlink" Target="http://www.cgc.gov.au/publications/glossary" TargetMode="External"/><Relationship Id="rId6" Type="http://schemas.openxmlformats.org/officeDocument/2006/relationships/hyperlink" Target="https://budget.gov.au/content/myefo/index.htm" TargetMode="External"/><Relationship Id="rId5" Type="http://schemas.openxmlformats.org/officeDocument/2006/relationships/hyperlink" Target="https://federalfinancialrelations.gov.au/agreements/extension-gst-no-worse-guarantee" TargetMode="External"/><Relationship Id="rId4" Type="http://schemas.openxmlformats.org/officeDocument/2006/relationships/hyperlink" Target="https://www.legislation.gov.au/C2018A00143/asmade/text"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oleObject" Target="https://austreasury.sharepoint.com/sites/AS-SharePoint-PRD/U2026_Public/33226-1.%20Tables%20for%20report%20-%20Working%20Version.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229953998584571"/>
          <c:y val="3.3108305274971932E-2"/>
          <c:w val="0.86298354564755853"/>
          <c:h val="0.89261223344556673"/>
        </c:manualLayout>
      </c:layout>
      <c:barChart>
        <c:barDir val="col"/>
        <c:grouping val="clustered"/>
        <c:varyColors val="0"/>
        <c:ser>
          <c:idx val="0"/>
          <c:order val="0"/>
          <c:tx>
            <c:strRef>
              <c:f>'Fig2.2 StampDuty'!$A$25</c:f>
              <c:strCache>
                <c:ptCount val="1"/>
                <c:pt idx="0">
                  <c:v>2021-22</c:v>
                </c:pt>
              </c:strCache>
            </c:strRef>
          </c:tx>
          <c:spPr>
            <a:solidFill>
              <a:srgbClr val="CC5E12"/>
            </a:solidFill>
            <a:ln>
              <a:noFill/>
            </a:ln>
          </c:spPr>
          <c:invertIfNegative val="0"/>
          <c:cat>
            <c:strRef>
              <c:f>'Fig2.2 StampDuty'!$B$24:$J$24</c:f>
              <c:strCache>
                <c:ptCount val="9"/>
                <c:pt idx="0">
                  <c:v>NSW</c:v>
                </c:pt>
                <c:pt idx="1">
                  <c:v>Vic</c:v>
                </c:pt>
                <c:pt idx="2">
                  <c:v>Qld</c:v>
                </c:pt>
                <c:pt idx="3">
                  <c:v>WA</c:v>
                </c:pt>
                <c:pt idx="4">
                  <c:v>SA</c:v>
                </c:pt>
                <c:pt idx="5">
                  <c:v>Tas</c:v>
                </c:pt>
                <c:pt idx="6">
                  <c:v>ACT</c:v>
                </c:pt>
                <c:pt idx="7">
                  <c:v>NT</c:v>
                </c:pt>
                <c:pt idx="8">
                  <c:v>Total</c:v>
                </c:pt>
              </c:strCache>
            </c:strRef>
          </c:cat>
          <c:val>
            <c:numRef>
              <c:f>'Fig2.2 StampDuty'!$B$25:$J$25</c:f>
              <c:numCache>
                <c:formatCode>#,##0</c:formatCode>
                <c:ptCount val="9"/>
                <c:pt idx="0">
                  <c:v>36676.542006899792</c:v>
                </c:pt>
                <c:pt idx="1">
                  <c:v>32305.658576725935</c:v>
                </c:pt>
                <c:pt idx="2">
                  <c:v>28832.831184055882</c:v>
                </c:pt>
                <c:pt idx="3">
                  <c:v>22139.501748216804</c:v>
                </c:pt>
                <c:pt idx="4">
                  <c:v>20371.334106273622</c:v>
                </c:pt>
                <c:pt idx="5">
                  <c:v>19699.036616490437</c:v>
                </c:pt>
                <c:pt idx="6">
                  <c:v>33592.965647306497</c:v>
                </c:pt>
                <c:pt idx="7">
                  <c:v>18996.044043554888</c:v>
                </c:pt>
                <c:pt idx="8">
                  <c:v>30662.313653849189</c:v>
                </c:pt>
              </c:numCache>
            </c:numRef>
          </c:val>
          <c:extLst>
            <c:ext xmlns:c16="http://schemas.microsoft.com/office/drawing/2014/chart" uri="{C3380CC4-5D6E-409C-BE32-E72D297353CC}">
              <c16:uniqueId val="{00000000-6A3C-4BBC-89D3-B8A68F5A7372}"/>
            </c:ext>
          </c:extLst>
        </c:ser>
        <c:ser>
          <c:idx val="1"/>
          <c:order val="1"/>
          <c:tx>
            <c:strRef>
              <c:f>'Fig2.2 StampDuty'!$A$26</c:f>
              <c:strCache>
                <c:ptCount val="1"/>
                <c:pt idx="0">
                  <c:v>2022-23</c:v>
                </c:pt>
              </c:strCache>
            </c:strRef>
          </c:tx>
          <c:spPr>
            <a:solidFill>
              <a:sysClr val="window" lastClr="FFFFFF">
                <a:lumMod val="85000"/>
              </a:sysClr>
            </a:solidFill>
            <a:ln>
              <a:noFill/>
            </a:ln>
          </c:spPr>
          <c:invertIfNegative val="0"/>
          <c:cat>
            <c:strRef>
              <c:f>'Fig2.2 StampDuty'!$B$24:$J$24</c:f>
              <c:strCache>
                <c:ptCount val="9"/>
                <c:pt idx="0">
                  <c:v>NSW</c:v>
                </c:pt>
                <c:pt idx="1">
                  <c:v>Vic</c:v>
                </c:pt>
                <c:pt idx="2">
                  <c:v>Qld</c:v>
                </c:pt>
                <c:pt idx="3">
                  <c:v>WA</c:v>
                </c:pt>
                <c:pt idx="4">
                  <c:v>SA</c:v>
                </c:pt>
                <c:pt idx="5">
                  <c:v>Tas</c:v>
                </c:pt>
                <c:pt idx="6">
                  <c:v>ACT</c:v>
                </c:pt>
                <c:pt idx="7">
                  <c:v>NT</c:v>
                </c:pt>
                <c:pt idx="8">
                  <c:v>Total</c:v>
                </c:pt>
              </c:strCache>
            </c:strRef>
          </c:cat>
          <c:val>
            <c:numRef>
              <c:f>'Fig2.2 StampDuty'!$B$26:$J$26</c:f>
              <c:numCache>
                <c:formatCode>#,##0</c:formatCode>
                <c:ptCount val="9"/>
                <c:pt idx="0">
                  <c:v>26778.774958464666</c:v>
                </c:pt>
                <c:pt idx="1">
                  <c:v>26519.134516636706</c:v>
                </c:pt>
                <c:pt idx="2">
                  <c:v>23038.173491489913</c:v>
                </c:pt>
                <c:pt idx="3">
                  <c:v>20351.414054225621</c:v>
                </c:pt>
                <c:pt idx="4">
                  <c:v>17586.709695967256</c:v>
                </c:pt>
                <c:pt idx="5">
                  <c:v>16962.108151693417</c:v>
                </c:pt>
                <c:pt idx="6">
                  <c:v>29949.654090277822</c:v>
                </c:pt>
                <c:pt idx="7">
                  <c:v>11898.117188619397</c:v>
                </c:pt>
                <c:pt idx="8">
                  <c:v>24309.968108632322</c:v>
                </c:pt>
              </c:numCache>
            </c:numRef>
          </c:val>
          <c:extLst>
            <c:ext xmlns:c16="http://schemas.microsoft.com/office/drawing/2014/chart" uri="{C3380CC4-5D6E-409C-BE32-E72D297353CC}">
              <c16:uniqueId val="{00000001-6A3C-4BBC-89D3-B8A68F5A7372}"/>
            </c:ext>
          </c:extLst>
        </c:ser>
        <c:ser>
          <c:idx val="2"/>
          <c:order val="2"/>
          <c:tx>
            <c:strRef>
              <c:f>'Fig2.2 StampDuty'!$A$27</c:f>
              <c:strCache>
                <c:ptCount val="1"/>
                <c:pt idx="0">
                  <c:v>2023-24</c:v>
                </c:pt>
              </c:strCache>
            </c:strRef>
          </c:tx>
          <c:spPr>
            <a:solidFill>
              <a:sysClr val="window" lastClr="FFFFFF">
                <a:lumMod val="85000"/>
              </a:sysClr>
            </a:solidFill>
            <a:ln>
              <a:noFill/>
            </a:ln>
          </c:spPr>
          <c:invertIfNegative val="0"/>
          <c:cat>
            <c:strRef>
              <c:f>'Fig2.2 StampDuty'!$B$24:$J$24</c:f>
              <c:strCache>
                <c:ptCount val="9"/>
                <c:pt idx="0">
                  <c:v>NSW</c:v>
                </c:pt>
                <c:pt idx="1">
                  <c:v>Vic</c:v>
                </c:pt>
                <c:pt idx="2">
                  <c:v>Qld</c:v>
                </c:pt>
                <c:pt idx="3">
                  <c:v>WA</c:v>
                </c:pt>
                <c:pt idx="4">
                  <c:v>SA</c:v>
                </c:pt>
                <c:pt idx="5">
                  <c:v>Tas</c:v>
                </c:pt>
                <c:pt idx="6">
                  <c:v>ACT</c:v>
                </c:pt>
                <c:pt idx="7">
                  <c:v>NT</c:v>
                </c:pt>
                <c:pt idx="8">
                  <c:v>Total</c:v>
                </c:pt>
              </c:strCache>
            </c:strRef>
          </c:cat>
          <c:val>
            <c:numRef>
              <c:f>'Fig2.2 StampDuty'!$B$27:$J$27</c:f>
              <c:numCache>
                <c:formatCode>#,##0</c:formatCode>
                <c:ptCount val="9"/>
                <c:pt idx="0">
                  <c:v>29746.49671292022</c:v>
                </c:pt>
                <c:pt idx="1">
                  <c:v>24969.102383393249</c:v>
                </c:pt>
                <c:pt idx="2">
                  <c:v>26297.859130770259</c:v>
                </c:pt>
                <c:pt idx="3">
                  <c:v>23788.965420682605</c:v>
                </c:pt>
                <c:pt idx="4">
                  <c:v>19922.213157774208</c:v>
                </c:pt>
                <c:pt idx="5">
                  <c:v>16744.407532664791</c:v>
                </c:pt>
                <c:pt idx="6">
                  <c:v>24787.786135761547</c:v>
                </c:pt>
                <c:pt idx="7">
                  <c:v>12733.430916656016</c:v>
                </c:pt>
                <c:pt idx="8">
                  <c:v>25961.606894839369</c:v>
                </c:pt>
              </c:numCache>
            </c:numRef>
          </c:val>
          <c:extLst>
            <c:ext xmlns:c16="http://schemas.microsoft.com/office/drawing/2014/chart" uri="{C3380CC4-5D6E-409C-BE32-E72D297353CC}">
              <c16:uniqueId val="{00000002-6A3C-4BBC-89D3-B8A68F5A7372}"/>
            </c:ext>
          </c:extLst>
        </c:ser>
        <c:ser>
          <c:idx val="3"/>
          <c:order val="3"/>
          <c:tx>
            <c:strRef>
              <c:f>'Fig2.2 StampDuty'!$A$28</c:f>
              <c:strCache>
                <c:ptCount val="1"/>
                <c:pt idx="0">
                  <c:v>2024-25</c:v>
                </c:pt>
              </c:strCache>
            </c:strRef>
          </c:tx>
          <c:spPr>
            <a:solidFill>
              <a:srgbClr val="0092C8"/>
            </a:solidFill>
            <a:ln>
              <a:solidFill>
                <a:srgbClr val="5FB5D7"/>
              </a:solidFill>
            </a:ln>
          </c:spPr>
          <c:invertIfNegative val="0"/>
          <c:cat>
            <c:strRef>
              <c:f>'Fig2.2 StampDuty'!$B$24:$J$24</c:f>
              <c:strCache>
                <c:ptCount val="9"/>
                <c:pt idx="0">
                  <c:v>NSW</c:v>
                </c:pt>
                <c:pt idx="1">
                  <c:v>Vic</c:v>
                </c:pt>
                <c:pt idx="2">
                  <c:v>Qld</c:v>
                </c:pt>
                <c:pt idx="3">
                  <c:v>WA</c:v>
                </c:pt>
                <c:pt idx="4">
                  <c:v>SA</c:v>
                </c:pt>
                <c:pt idx="5">
                  <c:v>Tas</c:v>
                </c:pt>
                <c:pt idx="6">
                  <c:v>ACT</c:v>
                </c:pt>
                <c:pt idx="7">
                  <c:v>NT</c:v>
                </c:pt>
                <c:pt idx="8">
                  <c:v>Total</c:v>
                </c:pt>
              </c:strCache>
            </c:strRef>
          </c:cat>
          <c:val>
            <c:numRef>
              <c:f>'Fig2.2 StampDuty'!$B$28:$J$28</c:f>
              <c:numCache>
                <c:formatCode>#,##0</c:formatCode>
                <c:ptCount val="9"/>
                <c:pt idx="0">
                  <c:v>32077.379852482729</c:v>
                </c:pt>
                <c:pt idx="1">
                  <c:v>27613.839714474725</c:v>
                </c:pt>
                <c:pt idx="2">
                  <c:v>29644.490054978352</c:v>
                </c:pt>
                <c:pt idx="3">
                  <c:v>28165.171707387974</c:v>
                </c:pt>
                <c:pt idx="4">
                  <c:v>21818.51843081888</c:v>
                </c:pt>
                <c:pt idx="5">
                  <c:v>18532.455402272415</c:v>
                </c:pt>
                <c:pt idx="6">
                  <c:v>25760.041614407812</c:v>
                </c:pt>
                <c:pt idx="7">
                  <c:v>15402.827159745106</c:v>
                </c:pt>
                <c:pt idx="8">
                  <c:v>28742.088694209939</c:v>
                </c:pt>
              </c:numCache>
            </c:numRef>
          </c:val>
          <c:extLst>
            <c:ext xmlns:c16="http://schemas.microsoft.com/office/drawing/2014/chart" uri="{C3380CC4-5D6E-409C-BE32-E72D297353CC}">
              <c16:uniqueId val="{00000003-6A3C-4BBC-89D3-B8A68F5A7372}"/>
            </c:ext>
          </c:extLst>
        </c:ser>
        <c:dLbls>
          <c:showLegendKey val="0"/>
          <c:showVal val="0"/>
          <c:showCatName val="0"/>
          <c:showSerName val="0"/>
          <c:showPercent val="0"/>
          <c:showBubbleSize val="0"/>
        </c:dLbls>
        <c:gapWidth val="150"/>
        <c:axId val="266020736"/>
        <c:axId val="266031104"/>
      </c:barChart>
      <c:catAx>
        <c:axId val="266020736"/>
        <c:scaling>
          <c:orientation val="minMax"/>
        </c:scaling>
        <c:delete val="0"/>
        <c:axPos val="b"/>
        <c:numFmt formatCode="#,##0" sourceLinked="0"/>
        <c:majorTickMark val="out"/>
        <c:minorTickMark val="none"/>
        <c:tickLblPos val="low"/>
        <c:spPr>
          <a:ln>
            <a:noFill/>
          </a:ln>
        </c:spPr>
        <c:crossAx val="266031104"/>
        <c:crosses val="autoZero"/>
        <c:auto val="1"/>
        <c:lblAlgn val="ctr"/>
        <c:lblOffset val="100"/>
        <c:noMultiLvlLbl val="0"/>
      </c:catAx>
      <c:valAx>
        <c:axId val="266031104"/>
        <c:scaling>
          <c:orientation val="minMax"/>
        </c:scaling>
        <c:delete val="0"/>
        <c:axPos val="l"/>
        <c:majorGridlines>
          <c:spPr>
            <a:ln w="6350">
              <a:solidFill>
                <a:sysClr val="window" lastClr="FFFFFF">
                  <a:lumMod val="85000"/>
                </a:sysClr>
              </a:solidFill>
            </a:ln>
          </c:spPr>
        </c:majorGridlines>
        <c:title>
          <c:tx>
            <c:rich>
              <a:bodyPr rot="-5400000" vert="horz"/>
              <a:lstStyle/>
              <a:p>
                <a:pPr>
                  <a:defRPr/>
                </a:pPr>
                <a:r>
                  <a:rPr lang="en-AU"/>
                  <a:t>$ per capita</a:t>
                </a:r>
              </a:p>
            </c:rich>
          </c:tx>
          <c:overlay val="0"/>
        </c:title>
        <c:numFmt formatCode="#,##0" sourceLinked="0"/>
        <c:majorTickMark val="out"/>
        <c:minorTickMark val="none"/>
        <c:tickLblPos val="nextTo"/>
        <c:spPr>
          <a:ln>
            <a:noFill/>
          </a:ln>
        </c:spPr>
        <c:crossAx val="266020736"/>
        <c:crosses val="autoZero"/>
        <c:crossBetween val="between"/>
      </c:valAx>
    </c:plotArea>
    <c:legend>
      <c:legendPos val="t"/>
      <c:legendEntry>
        <c:idx val="1"/>
        <c:delete val="1"/>
      </c:legendEntry>
      <c:legendEntry>
        <c:idx val="2"/>
        <c:delete val="1"/>
      </c:legendEntry>
      <c:layout>
        <c:manualLayout>
          <c:xMode val="edge"/>
          <c:yMode val="edge"/>
          <c:x val="0.60067852087756557"/>
          <c:y val="4.9887766554433222E-2"/>
          <c:w val="0.23455927105449398"/>
          <c:h val="6.1615600448933792E-2"/>
        </c:manualLayout>
      </c:layout>
      <c:overlay val="0"/>
      <c:spPr>
        <a:solidFill>
          <a:sysClr val="window" lastClr="FFFFFF"/>
        </a:solidFill>
        <a:ln w="6350">
          <a:solidFill>
            <a:srgbClr val="939598"/>
          </a:solidFill>
        </a:ln>
      </c:spPr>
    </c:legend>
    <c:plotVisOnly val="1"/>
    <c:dispBlanksAs val="gap"/>
    <c:showDLblsOverMax val="0"/>
  </c:chart>
  <c:spPr>
    <a:ln w="9525">
      <a:solidFill>
        <a:srgbClr val="ADD6EA"/>
      </a:solidFill>
    </a:ln>
  </c:spPr>
  <c:txPr>
    <a:bodyPr/>
    <a:lstStyle/>
    <a:p>
      <a:pPr>
        <a:defRPr sz="800">
          <a:latin typeface="Work Sans" pitchFamily="2" charset="0"/>
          <a:cs typeface="Times New Roman"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CGC Colour Themes">
      <a:dk1>
        <a:srgbClr val="004562"/>
      </a:dk1>
      <a:lt1>
        <a:srgbClr val="FFFFFF"/>
      </a:lt1>
      <a:dk2>
        <a:srgbClr val="004562"/>
      </a:dk2>
      <a:lt2>
        <a:srgbClr val="E7E6E6"/>
      </a:lt2>
      <a:accent1>
        <a:srgbClr val="004563"/>
      </a:accent1>
      <a:accent2>
        <a:srgbClr val="0092C8"/>
      </a:accent2>
      <a:accent3>
        <a:srgbClr val="CC5E12"/>
      </a:accent3>
      <a:accent4>
        <a:srgbClr val="EDAB16"/>
      </a:accent4>
      <a:accent5>
        <a:srgbClr val="008069"/>
      </a:accent5>
      <a:accent6>
        <a:srgbClr val="00CE87"/>
      </a:accent6>
      <a:hlink>
        <a:srgbClr val="006991"/>
      </a:hlink>
      <a:folHlink>
        <a:srgbClr val="93EA9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bf41d29e-d373-46fe-ac56-44f7870c4624" xsi:nil="true"/>
    <lcf76f155ced4ddcb4097134ff3c332f xmlns="d1622fae-410a-4414-898c-6e5842a53ab0">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F016F3E1D58024D8E71FAE188B3DBDA" ma:contentTypeVersion="11" ma:contentTypeDescription="Create a new document." ma:contentTypeScope="" ma:versionID="4615532de7251e6cbf06c48d7c3d6676">
  <xsd:schema xmlns:xsd="http://www.w3.org/2001/XMLSchema" xmlns:xs="http://www.w3.org/2001/XMLSchema" xmlns:p="http://schemas.microsoft.com/office/2006/metadata/properties" xmlns:ns2="d1622fae-410a-4414-898c-6e5842a53ab0" xmlns:ns3="bf41d29e-d373-46fe-ac56-44f7870c4624" targetNamespace="http://schemas.microsoft.com/office/2006/metadata/properties" ma:root="true" ma:fieldsID="0672eb73e4485cfdf3a7d9ace70929b4" ns2:_="" ns3:_="">
    <xsd:import namespace="d1622fae-410a-4414-898c-6e5842a53ab0"/>
    <xsd:import namespace="bf41d29e-d373-46fe-ac56-44f7870c462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622fae-410a-4414-898c-6e5842a53a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f41d29e-d373-46fe-ac56-44f7870c4624"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5426ed26-c3b6-4d2c-a1e9-069e10861af6}" ma:internalName="TaxCatchAll" ma:showField="CatchAllData" ma:web="bf41d29e-d373-46fe-ac56-44f7870c462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9494F84-814F-4EE2-B308-02A3D0AE89C4}">
  <ds:schemaRefs>
    <ds:schemaRef ds:uri="http://schemas.microsoft.com/sharepoint/v3/contenttype/forms"/>
  </ds:schemaRefs>
</ds:datastoreItem>
</file>

<file path=customXml/itemProps2.xml><?xml version="1.0" encoding="utf-8"?>
<ds:datastoreItem xmlns:ds="http://schemas.openxmlformats.org/officeDocument/2006/customXml" ds:itemID="{52979382-591B-49F4-B835-508E57F947A4}">
  <ds:schemaRefs>
    <ds:schemaRef ds:uri="http://schemas.microsoft.com/office/2006/metadata/properties"/>
    <ds:schemaRef ds:uri="http://schemas.microsoft.com/office/infopath/2007/PartnerControls"/>
    <ds:schemaRef ds:uri="bf41d29e-d373-46fe-ac56-44f7870c4624"/>
    <ds:schemaRef ds:uri="d1622fae-410a-4414-898c-6e5842a53ab0"/>
  </ds:schemaRefs>
</ds:datastoreItem>
</file>

<file path=customXml/itemProps3.xml><?xml version="1.0" encoding="utf-8"?>
<ds:datastoreItem xmlns:ds="http://schemas.openxmlformats.org/officeDocument/2006/customXml" ds:itemID="{8BAFEE77-DB88-48B5-976E-1D87DFA759C3}">
  <ds:schemaRefs>
    <ds:schemaRef ds:uri="http://schemas.openxmlformats.org/officeDocument/2006/bibliography"/>
  </ds:schemaRefs>
</ds:datastoreItem>
</file>

<file path=customXml/itemProps4.xml><?xml version="1.0" encoding="utf-8"?>
<ds:datastoreItem xmlns:ds="http://schemas.openxmlformats.org/officeDocument/2006/customXml" ds:itemID="{C6A588F9-50C6-4B97-B36E-E25D33FABF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622fae-410a-4414-898c-6e5842a53ab0"/>
    <ds:schemaRef ds:uri="bf41d29e-d373-46fe-ac56-44f7870c4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1994</TotalTime>
  <Pages>105</Pages>
  <Words>18260</Words>
  <Characters>104087</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122103</CharactersWithSpaces>
  <SharedDoc>false</SharedDoc>
  <HLinks>
    <vt:vector size="234" baseType="variant">
      <vt:variant>
        <vt:i4>7602283</vt:i4>
      </vt:variant>
      <vt:variant>
        <vt:i4>141</vt:i4>
      </vt:variant>
      <vt:variant>
        <vt:i4>0</vt:i4>
      </vt:variant>
      <vt:variant>
        <vt:i4>5</vt:i4>
      </vt:variant>
      <vt:variant>
        <vt:lpwstr>https://www.cgc.gov.au/publications/quality-assurance-framework</vt:lpwstr>
      </vt:variant>
      <vt:variant>
        <vt:lpwstr/>
      </vt:variant>
      <vt:variant>
        <vt:i4>7602221</vt:i4>
      </vt:variant>
      <vt:variant>
        <vt:i4>138</vt:i4>
      </vt:variant>
      <vt:variant>
        <vt:i4>0</vt:i4>
      </vt:variant>
      <vt:variant>
        <vt:i4>5</vt:i4>
      </vt:variant>
      <vt:variant>
        <vt:lpwstr>http://www.cgc.gov.au/</vt:lpwstr>
      </vt:variant>
      <vt:variant>
        <vt:lpwstr/>
      </vt:variant>
      <vt:variant>
        <vt:i4>786503</vt:i4>
      </vt:variant>
      <vt:variant>
        <vt:i4>135</vt:i4>
      </vt:variant>
      <vt:variant>
        <vt:i4>0</vt:i4>
      </vt:variant>
      <vt:variant>
        <vt:i4>5</vt:i4>
      </vt:variant>
      <vt:variant>
        <vt:lpwstr>https://www.cgc.gov.au/reports-for-government/2024-update</vt:lpwstr>
      </vt:variant>
      <vt:variant>
        <vt:lpwstr/>
      </vt:variant>
      <vt:variant>
        <vt:i4>1245279</vt:i4>
      </vt:variant>
      <vt:variant>
        <vt:i4>132</vt:i4>
      </vt:variant>
      <vt:variant>
        <vt:i4>0</vt:i4>
      </vt:variant>
      <vt:variant>
        <vt:i4>5</vt:i4>
      </vt:variant>
      <vt:variant>
        <vt:lpwstr>https://budget.gov.au/content/myefo/index.htm</vt:lpwstr>
      </vt:variant>
      <vt:variant>
        <vt:lpwstr/>
      </vt:variant>
      <vt:variant>
        <vt:i4>1245279</vt:i4>
      </vt:variant>
      <vt:variant>
        <vt:i4>129</vt:i4>
      </vt:variant>
      <vt:variant>
        <vt:i4>0</vt:i4>
      </vt:variant>
      <vt:variant>
        <vt:i4>5</vt:i4>
      </vt:variant>
      <vt:variant>
        <vt:lpwstr>https://budget.gov.au/content/myefo/index.htm</vt:lpwstr>
      </vt:variant>
      <vt:variant>
        <vt:lpwstr/>
      </vt:variant>
      <vt:variant>
        <vt:i4>1245279</vt:i4>
      </vt:variant>
      <vt:variant>
        <vt:i4>126</vt:i4>
      </vt:variant>
      <vt:variant>
        <vt:i4>0</vt:i4>
      </vt:variant>
      <vt:variant>
        <vt:i4>5</vt:i4>
      </vt:variant>
      <vt:variant>
        <vt:lpwstr>https://budget.gov.au/content/myefo/index.htm</vt:lpwstr>
      </vt:variant>
      <vt:variant>
        <vt:lpwstr/>
      </vt:variant>
      <vt:variant>
        <vt:i4>1245279</vt:i4>
      </vt:variant>
      <vt:variant>
        <vt:i4>123</vt:i4>
      </vt:variant>
      <vt:variant>
        <vt:i4>0</vt:i4>
      </vt:variant>
      <vt:variant>
        <vt:i4>5</vt:i4>
      </vt:variant>
      <vt:variant>
        <vt:lpwstr>https://budget.gov.au/content/myefo/index.htm</vt:lpwstr>
      </vt:variant>
      <vt:variant>
        <vt:lpwstr/>
      </vt:variant>
      <vt:variant>
        <vt:i4>2424934</vt:i4>
      </vt:variant>
      <vt:variant>
        <vt:i4>120</vt:i4>
      </vt:variant>
      <vt:variant>
        <vt:i4>0</vt:i4>
      </vt:variant>
      <vt:variant>
        <vt:i4>5</vt:i4>
      </vt:variant>
      <vt:variant>
        <vt:lpwstr>https://www.cgc.gov.au/reports-for-government/2025-methodology-review/review-outcomes/review-outcomes-chapters</vt:lpwstr>
      </vt:variant>
      <vt:variant>
        <vt:lpwstr/>
      </vt:variant>
      <vt:variant>
        <vt:i4>2424934</vt:i4>
      </vt:variant>
      <vt:variant>
        <vt:i4>117</vt:i4>
      </vt:variant>
      <vt:variant>
        <vt:i4>0</vt:i4>
      </vt:variant>
      <vt:variant>
        <vt:i4>5</vt:i4>
      </vt:variant>
      <vt:variant>
        <vt:lpwstr>https://www.cgc.gov.au/reports-for-government/2025-methodology-review/review-outcomes/review-outcomes-chapters</vt:lpwstr>
      </vt:variant>
      <vt:variant>
        <vt:lpwstr/>
      </vt:variant>
      <vt:variant>
        <vt:i4>7274593</vt:i4>
      </vt:variant>
      <vt:variant>
        <vt:i4>114</vt:i4>
      </vt:variant>
      <vt:variant>
        <vt:i4>0</vt:i4>
      </vt:variant>
      <vt:variant>
        <vt:i4>5</vt:i4>
      </vt:variant>
      <vt:variant>
        <vt:lpwstr>http://www.cgc.gov.au/publications/glossary</vt:lpwstr>
      </vt:variant>
      <vt:variant>
        <vt:lpwstr/>
      </vt:variant>
      <vt:variant>
        <vt:i4>8126558</vt:i4>
      </vt:variant>
      <vt:variant>
        <vt:i4>111</vt:i4>
      </vt:variant>
      <vt:variant>
        <vt:i4>0</vt:i4>
      </vt:variant>
      <vt:variant>
        <vt:i4>5</vt:i4>
      </vt:variant>
      <vt:variant>
        <vt:lpwstr>mailto:Mike.Callaghan@cgc.gov.au</vt:lpwstr>
      </vt:variant>
      <vt:variant>
        <vt:lpwstr/>
      </vt:variant>
      <vt:variant>
        <vt:i4>1048636</vt:i4>
      </vt:variant>
      <vt:variant>
        <vt:i4>104</vt:i4>
      </vt:variant>
      <vt:variant>
        <vt:i4>0</vt:i4>
      </vt:variant>
      <vt:variant>
        <vt:i4>5</vt:i4>
      </vt:variant>
      <vt:variant>
        <vt:lpwstr/>
      </vt:variant>
      <vt:variant>
        <vt:lpwstr>_Toc221190640</vt:lpwstr>
      </vt:variant>
      <vt:variant>
        <vt:i4>1507388</vt:i4>
      </vt:variant>
      <vt:variant>
        <vt:i4>98</vt:i4>
      </vt:variant>
      <vt:variant>
        <vt:i4>0</vt:i4>
      </vt:variant>
      <vt:variant>
        <vt:i4>5</vt:i4>
      </vt:variant>
      <vt:variant>
        <vt:lpwstr/>
      </vt:variant>
      <vt:variant>
        <vt:lpwstr>_Toc221190639</vt:lpwstr>
      </vt:variant>
      <vt:variant>
        <vt:i4>1507388</vt:i4>
      </vt:variant>
      <vt:variant>
        <vt:i4>92</vt:i4>
      </vt:variant>
      <vt:variant>
        <vt:i4>0</vt:i4>
      </vt:variant>
      <vt:variant>
        <vt:i4>5</vt:i4>
      </vt:variant>
      <vt:variant>
        <vt:lpwstr/>
      </vt:variant>
      <vt:variant>
        <vt:lpwstr>_Toc221190638</vt:lpwstr>
      </vt:variant>
      <vt:variant>
        <vt:i4>1507388</vt:i4>
      </vt:variant>
      <vt:variant>
        <vt:i4>86</vt:i4>
      </vt:variant>
      <vt:variant>
        <vt:i4>0</vt:i4>
      </vt:variant>
      <vt:variant>
        <vt:i4>5</vt:i4>
      </vt:variant>
      <vt:variant>
        <vt:lpwstr/>
      </vt:variant>
      <vt:variant>
        <vt:lpwstr>_Toc221190637</vt:lpwstr>
      </vt:variant>
      <vt:variant>
        <vt:i4>1507388</vt:i4>
      </vt:variant>
      <vt:variant>
        <vt:i4>80</vt:i4>
      </vt:variant>
      <vt:variant>
        <vt:i4>0</vt:i4>
      </vt:variant>
      <vt:variant>
        <vt:i4>5</vt:i4>
      </vt:variant>
      <vt:variant>
        <vt:lpwstr/>
      </vt:variant>
      <vt:variant>
        <vt:lpwstr>_Toc221190636</vt:lpwstr>
      </vt:variant>
      <vt:variant>
        <vt:i4>1507388</vt:i4>
      </vt:variant>
      <vt:variant>
        <vt:i4>74</vt:i4>
      </vt:variant>
      <vt:variant>
        <vt:i4>0</vt:i4>
      </vt:variant>
      <vt:variant>
        <vt:i4>5</vt:i4>
      </vt:variant>
      <vt:variant>
        <vt:lpwstr/>
      </vt:variant>
      <vt:variant>
        <vt:lpwstr>_Toc221190635</vt:lpwstr>
      </vt:variant>
      <vt:variant>
        <vt:i4>1507388</vt:i4>
      </vt:variant>
      <vt:variant>
        <vt:i4>68</vt:i4>
      </vt:variant>
      <vt:variant>
        <vt:i4>0</vt:i4>
      </vt:variant>
      <vt:variant>
        <vt:i4>5</vt:i4>
      </vt:variant>
      <vt:variant>
        <vt:lpwstr/>
      </vt:variant>
      <vt:variant>
        <vt:lpwstr>_Toc221190634</vt:lpwstr>
      </vt:variant>
      <vt:variant>
        <vt:i4>1507388</vt:i4>
      </vt:variant>
      <vt:variant>
        <vt:i4>62</vt:i4>
      </vt:variant>
      <vt:variant>
        <vt:i4>0</vt:i4>
      </vt:variant>
      <vt:variant>
        <vt:i4>5</vt:i4>
      </vt:variant>
      <vt:variant>
        <vt:lpwstr/>
      </vt:variant>
      <vt:variant>
        <vt:lpwstr>_Toc221190633</vt:lpwstr>
      </vt:variant>
      <vt:variant>
        <vt:i4>1507388</vt:i4>
      </vt:variant>
      <vt:variant>
        <vt:i4>56</vt:i4>
      </vt:variant>
      <vt:variant>
        <vt:i4>0</vt:i4>
      </vt:variant>
      <vt:variant>
        <vt:i4>5</vt:i4>
      </vt:variant>
      <vt:variant>
        <vt:lpwstr/>
      </vt:variant>
      <vt:variant>
        <vt:lpwstr>_Toc221190632</vt:lpwstr>
      </vt:variant>
      <vt:variant>
        <vt:i4>1507388</vt:i4>
      </vt:variant>
      <vt:variant>
        <vt:i4>50</vt:i4>
      </vt:variant>
      <vt:variant>
        <vt:i4>0</vt:i4>
      </vt:variant>
      <vt:variant>
        <vt:i4>5</vt:i4>
      </vt:variant>
      <vt:variant>
        <vt:lpwstr/>
      </vt:variant>
      <vt:variant>
        <vt:lpwstr>_Toc221190631</vt:lpwstr>
      </vt:variant>
      <vt:variant>
        <vt:i4>1507388</vt:i4>
      </vt:variant>
      <vt:variant>
        <vt:i4>44</vt:i4>
      </vt:variant>
      <vt:variant>
        <vt:i4>0</vt:i4>
      </vt:variant>
      <vt:variant>
        <vt:i4>5</vt:i4>
      </vt:variant>
      <vt:variant>
        <vt:lpwstr/>
      </vt:variant>
      <vt:variant>
        <vt:lpwstr>_Toc221190630</vt:lpwstr>
      </vt:variant>
      <vt:variant>
        <vt:i4>1441852</vt:i4>
      </vt:variant>
      <vt:variant>
        <vt:i4>38</vt:i4>
      </vt:variant>
      <vt:variant>
        <vt:i4>0</vt:i4>
      </vt:variant>
      <vt:variant>
        <vt:i4>5</vt:i4>
      </vt:variant>
      <vt:variant>
        <vt:lpwstr/>
      </vt:variant>
      <vt:variant>
        <vt:lpwstr>_Toc221190629</vt:lpwstr>
      </vt:variant>
      <vt:variant>
        <vt:i4>1441852</vt:i4>
      </vt:variant>
      <vt:variant>
        <vt:i4>32</vt:i4>
      </vt:variant>
      <vt:variant>
        <vt:i4>0</vt:i4>
      </vt:variant>
      <vt:variant>
        <vt:i4>5</vt:i4>
      </vt:variant>
      <vt:variant>
        <vt:lpwstr/>
      </vt:variant>
      <vt:variant>
        <vt:lpwstr>_Toc221190628</vt:lpwstr>
      </vt:variant>
      <vt:variant>
        <vt:i4>1441852</vt:i4>
      </vt:variant>
      <vt:variant>
        <vt:i4>26</vt:i4>
      </vt:variant>
      <vt:variant>
        <vt:i4>0</vt:i4>
      </vt:variant>
      <vt:variant>
        <vt:i4>5</vt:i4>
      </vt:variant>
      <vt:variant>
        <vt:lpwstr/>
      </vt:variant>
      <vt:variant>
        <vt:lpwstr>_Toc221190627</vt:lpwstr>
      </vt:variant>
      <vt:variant>
        <vt:i4>1441852</vt:i4>
      </vt:variant>
      <vt:variant>
        <vt:i4>20</vt:i4>
      </vt:variant>
      <vt:variant>
        <vt:i4>0</vt:i4>
      </vt:variant>
      <vt:variant>
        <vt:i4>5</vt:i4>
      </vt:variant>
      <vt:variant>
        <vt:lpwstr/>
      </vt:variant>
      <vt:variant>
        <vt:lpwstr>_Toc221190626</vt:lpwstr>
      </vt:variant>
      <vt:variant>
        <vt:i4>1441852</vt:i4>
      </vt:variant>
      <vt:variant>
        <vt:i4>14</vt:i4>
      </vt:variant>
      <vt:variant>
        <vt:i4>0</vt:i4>
      </vt:variant>
      <vt:variant>
        <vt:i4>5</vt:i4>
      </vt:variant>
      <vt:variant>
        <vt:lpwstr/>
      </vt:variant>
      <vt:variant>
        <vt:lpwstr>_Toc221190625</vt:lpwstr>
      </vt:variant>
      <vt:variant>
        <vt:i4>7602221</vt:i4>
      </vt:variant>
      <vt:variant>
        <vt:i4>9</vt:i4>
      </vt:variant>
      <vt:variant>
        <vt:i4>0</vt:i4>
      </vt:variant>
      <vt:variant>
        <vt:i4>5</vt:i4>
      </vt:variant>
      <vt:variant>
        <vt:lpwstr>http://www.cgc.gov.au/</vt:lpwstr>
      </vt:variant>
      <vt:variant>
        <vt:lpwstr/>
      </vt:variant>
      <vt:variant>
        <vt:i4>8323091</vt:i4>
      </vt:variant>
      <vt:variant>
        <vt:i4>6</vt:i4>
      </vt:variant>
      <vt:variant>
        <vt:i4>0</vt:i4>
      </vt:variant>
      <vt:variant>
        <vt:i4>5</vt:i4>
      </vt:variant>
      <vt:variant>
        <vt:lpwstr>mailto:secretary@cgc.gov.au</vt:lpwstr>
      </vt:variant>
      <vt:variant>
        <vt:lpwstr/>
      </vt:variant>
      <vt:variant>
        <vt:i4>25</vt:i4>
      </vt:variant>
      <vt:variant>
        <vt:i4>3</vt:i4>
      </vt:variant>
      <vt:variant>
        <vt:i4>0</vt:i4>
      </vt:variant>
      <vt:variant>
        <vt:i4>5</vt:i4>
      </vt:variant>
      <vt:variant>
        <vt:lpwstr>http://www.pmc.gov.au/honours-and-symbols/commonwealth-coat-arms</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589914</vt:i4>
      </vt:variant>
      <vt:variant>
        <vt:i4>21</vt:i4>
      </vt:variant>
      <vt:variant>
        <vt:i4>0</vt:i4>
      </vt:variant>
      <vt:variant>
        <vt:i4>5</vt:i4>
      </vt:variant>
      <vt:variant>
        <vt:lpwstr>https://www.cgc.gov.au/publications/occasional-paper-4-new-arrangements-distributing-gst</vt:lpwstr>
      </vt:variant>
      <vt:variant>
        <vt:lpwstr/>
      </vt:variant>
      <vt:variant>
        <vt:i4>7274593</vt:i4>
      </vt:variant>
      <vt:variant>
        <vt:i4>18</vt:i4>
      </vt:variant>
      <vt:variant>
        <vt:i4>0</vt:i4>
      </vt:variant>
      <vt:variant>
        <vt:i4>5</vt:i4>
      </vt:variant>
      <vt:variant>
        <vt:lpwstr>http://www.cgc.gov.au/publications/glossary</vt:lpwstr>
      </vt:variant>
      <vt:variant>
        <vt:lpwstr/>
      </vt:variant>
      <vt:variant>
        <vt:i4>1245279</vt:i4>
      </vt:variant>
      <vt:variant>
        <vt:i4>15</vt:i4>
      </vt:variant>
      <vt:variant>
        <vt:i4>0</vt:i4>
      </vt:variant>
      <vt:variant>
        <vt:i4>5</vt:i4>
      </vt:variant>
      <vt:variant>
        <vt:lpwstr>https://budget.gov.au/content/myefo/index.htm</vt:lpwstr>
      </vt:variant>
      <vt:variant>
        <vt:lpwstr/>
      </vt:variant>
      <vt:variant>
        <vt:i4>3145775</vt:i4>
      </vt:variant>
      <vt:variant>
        <vt:i4>12</vt:i4>
      </vt:variant>
      <vt:variant>
        <vt:i4>0</vt:i4>
      </vt:variant>
      <vt:variant>
        <vt:i4>5</vt:i4>
      </vt:variant>
      <vt:variant>
        <vt:lpwstr>https://federalfinancialrelations.gov.au/agreements/extension-gst-no-worse-guarantee</vt:lpwstr>
      </vt:variant>
      <vt:variant>
        <vt:lpwstr>:~:text=This%20Agreement%20will%20assist%20states,providing%20untied%20payments%20to%20states.</vt:lpwstr>
      </vt:variant>
      <vt:variant>
        <vt:i4>2490419</vt:i4>
      </vt:variant>
      <vt:variant>
        <vt:i4>9</vt:i4>
      </vt:variant>
      <vt:variant>
        <vt:i4>0</vt:i4>
      </vt:variant>
      <vt:variant>
        <vt:i4>5</vt:i4>
      </vt:variant>
      <vt:variant>
        <vt:lpwstr>https://www.legislation.gov.au/C2018A00143/asmade/text</vt:lpwstr>
      </vt:variant>
      <vt:variant>
        <vt:lpwstr/>
      </vt:variant>
      <vt:variant>
        <vt:i4>2555952</vt:i4>
      </vt:variant>
      <vt:variant>
        <vt:i4>6</vt:i4>
      </vt:variant>
      <vt:variant>
        <vt:i4>0</vt:i4>
      </vt:variant>
      <vt:variant>
        <vt:i4>5</vt:i4>
      </vt:variant>
      <vt:variant>
        <vt:lpwstr>https://www.legislation.gov.au/C2009A00011/latest/text</vt:lpwstr>
      </vt:variant>
      <vt:variant>
        <vt:lpwstr/>
      </vt:variant>
      <vt:variant>
        <vt:i4>2162736</vt:i4>
      </vt:variant>
      <vt:variant>
        <vt:i4>3</vt:i4>
      </vt:variant>
      <vt:variant>
        <vt:i4>0</vt:i4>
      </vt:variant>
      <vt:variant>
        <vt:i4>5</vt:i4>
      </vt:variant>
      <vt:variant>
        <vt:lpwstr>https://www.legislation.gov.au/C1973A00054/latest/text</vt:lpwstr>
      </vt:variant>
      <vt:variant>
        <vt:lpwstr/>
      </vt:variant>
      <vt:variant>
        <vt:i4>7274593</vt:i4>
      </vt:variant>
      <vt:variant>
        <vt:i4>0</vt:i4>
      </vt:variant>
      <vt:variant>
        <vt:i4>0</vt:i4>
      </vt:variant>
      <vt:variant>
        <vt:i4>5</vt:i4>
      </vt:variant>
      <vt:variant>
        <vt:lpwstr>http://www.cgc.gov.au/publications/glossary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Warder</dc:creator>
  <cp:keywords/>
  <dc:description/>
  <cp:lastModifiedBy>Baldock, Katrina</cp:lastModifiedBy>
  <cp:revision>712</cp:revision>
  <cp:lastPrinted>2026-02-06T16:57:00Z</cp:lastPrinted>
  <dcterms:created xsi:type="dcterms:W3CDTF">2026-02-06T13:17:00Z</dcterms:created>
  <dcterms:modified xsi:type="dcterms:W3CDTF">2026-03-10T07:22:00Z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0x0101009F016F3E1D58024D8E71FAE188B3DBDA</vt:lpwstr>
  </property>
  <property fmtid="{D5CDD505-2E9C-101B-9397-08002B2CF9AE}" pid="3" name="MediaServiceImageTags">
    <vt:lpwstr/>
  </property>
  <property fmtid="{D5CDD505-2E9C-101B-9397-08002B2CF9AE}" pid="4" name="Order">
    <vt:r8>119400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y fmtid="{D5CDD505-2E9C-101B-9397-08002B2CF9AE}" pid="11" name="GUID">
    <vt:lpwstr>4622bac5-3e92-40e5-a810-8ced1483c7fd</vt:lpwstr>
  </property>
  <property fmtid="{D5CDD505-2E9C-101B-9397-08002B2CF9AE}" pid="12" name="MSIP_Label_4f932d64-9ab1-4d9b-81d2-a3a8b82dd47d_Enabled">
    <vt:lpwstr>true</vt:lpwstr>
  </property>
  <property fmtid="{D5CDD505-2E9C-101B-9397-08002B2CF9AE}" pid="13" name="MSIP_Label_4f932d64-9ab1-4d9b-81d2-a3a8b82dd47d_SetDate">
    <vt:lpwstr>2024-10-22T23:34:05Z</vt:lpwstr>
  </property>
  <property fmtid="{D5CDD505-2E9C-101B-9397-08002B2CF9AE}" pid="14" name="MSIP_Label_4f932d64-9ab1-4d9b-81d2-a3a8b82dd47d_Method">
    <vt:lpwstr>Privileged</vt:lpwstr>
  </property>
  <property fmtid="{D5CDD505-2E9C-101B-9397-08002B2CF9AE}" pid="15" name="MSIP_Label_4f932d64-9ab1-4d9b-81d2-a3a8b82dd47d_Name">
    <vt:lpwstr>OFFICIAL No Visual Marking</vt:lpwstr>
  </property>
  <property fmtid="{D5CDD505-2E9C-101B-9397-08002B2CF9AE}" pid="16" name="MSIP_Label_4f932d64-9ab1-4d9b-81d2-a3a8b82dd47d_SiteId">
    <vt:lpwstr>214f1646-2021-47cc-8397-e3d3a7ba7d9d</vt:lpwstr>
  </property>
  <property fmtid="{D5CDD505-2E9C-101B-9397-08002B2CF9AE}" pid="17" name="MSIP_Label_4f932d64-9ab1-4d9b-81d2-a3a8b82dd47d_ActionId">
    <vt:lpwstr>9a5da44d-994b-4f0d-ab4c-4be19977d4d3</vt:lpwstr>
  </property>
  <property fmtid="{D5CDD505-2E9C-101B-9397-08002B2CF9AE}" pid="18" name="MSIP_Label_4f932d64-9ab1-4d9b-81d2-a3a8b82dd47d_ContentBits">
    <vt:lpwstr>0</vt:lpwstr>
  </property>
</Properties>
</file>