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78FA2" w14:textId="2CA3E76C" w:rsidR="00F0686F" w:rsidRPr="0040294B" w:rsidRDefault="2E23286E" w:rsidP="0040294B">
      <w:pPr>
        <w:rPr>
          <w:sz w:val="24"/>
          <w:szCs w:val="24"/>
        </w:rPr>
      </w:pPr>
      <w:r>
        <w:rPr>
          <w:noProof/>
        </w:rPr>
        <w:drawing>
          <wp:inline distT="0" distB="0" distL="0" distR="0" wp14:anchorId="405E15DB" wp14:editId="285E3F8F">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661B45CB" w14:textId="696A8C8A" w:rsidR="00F0686F" w:rsidRPr="00F0686F" w:rsidRDefault="00F0686F" w:rsidP="00F0686F">
      <w:pPr>
        <w:rPr>
          <w:sz w:val="24"/>
          <w:szCs w:val="24"/>
        </w:rPr>
      </w:pPr>
    </w:p>
    <w:p w14:paraId="336FD0BF" w14:textId="2141C330" w:rsidR="00F0686F" w:rsidRPr="00F0686F" w:rsidRDefault="00F0686F" w:rsidP="00F0686F">
      <w:pPr>
        <w:rPr>
          <w:sz w:val="24"/>
          <w:szCs w:val="24"/>
        </w:rPr>
      </w:pPr>
    </w:p>
    <w:p w14:paraId="3C66368F" w14:textId="53E11544" w:rsidR="00F0686F" w:rsidRDefault="00F0686F" w:rsidP="00F0686F">
      <w:pPr>
        <w:rPr>
          <w:sz w:val="24"/>
          <w:szCs w:val="24"/>
        </w:rPr>
      </w:pPr>
    </w:p>
    <w:p w14:paraId="5E07383D" w14:textId="425567F9" w:rsidR="00F0686F" w:rsidRDefault="00F0686F" w:rsidP="00F0686F">
      <w:pPr>
        <w:rPr>
          <w:sz w:val="24"/>
          <w:szCs w:val="24"/>
        </w:rPr>
      </w:pPr>
    </w:p>
    <w:p w14:paraId="2844F2B4" w14:textId="6182833D" w:rsidR="00F0686F" w:rsidRPr="00F0686F" w:rsidRDefault="00524D9E" w:rsidP="00F0686F">
      <w:pPr>
        <w:rPr>
          <w:sz w:val="24"/>
          <w:szCs w:val="24"/>
        </w:rPr>
      </w:pPr>
      <w:r w:rsidRPr="00962EFF">
        <w:rPr>
          <w:noProof/>
        </w:rPr>
        <mc:AlternateContent>
          <mc:Choice Requires="wps">
            <w:drawing>
              <wp:anchor distT="0" distB="0" distL="114300" distR="114300" simplePos="0" relativeHeight="251658241" behindDoc="0" locked="0" layoutInCell="1" allowOverlap="1" wp14:anchorId="4841E9B0" wp14:editId="28747539">
                <wp:simplePos x="0" y="0"/>
                <wp:positionH relativeFrom="margin">
                  <wp:posOffset>0</wp:posOffset>
                </wp:positionH>
                <wp:positionV relativeFrom="page">
                  <wp:posOffset>2771035</wp:posOffset>
                </wp:positionV>
                <wp:extent cx="5183505" cy="16802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183505" cy="1680210"/>
                        </a:xfrm>
                        <a:prstGeom prst="rect">
                          <a:avLst/>
                        </a:prstGeom>
                        <a:noFill/>
                        <a:ln w="6350">
                          <a:noFill/>
                        </a:ln>
                      </wps:spPr>
                      <wps:txbx>
                        <w:txbxContent>
                          <w:p w14:paraId="54CB7FB0" w14:textId="5DBFA644" w:rsidR="00DB09B9" w:rsidRPr="00670A63" w:rsidRDefault="00DB09B9" w:rsidP="0091156C">
                            <w:pPr>
                              <w:jc w:val="center"/>
                              <w:rPr>
                                <w:rFonts w:cs="Open Sans"/>
                                <w:b/>
                                <w:bCs/>
                                <w:color w:val="FFFFFF"/>
                                <w:sz w:val="84"/>
                                <w:szCs w:val="84"/>
                              </w:rPr>
                            </w:pPr>
                            <w:r w:rsidRPr="00670A63">
                              <w:rPr>
                                <w:rFonts w:cs="Open Sans"/>
                                <w:b/>
                                <w:bCs/>
                                <w:color w:val="FFFFFF"/>
                                <w:sz w:val="84"/>
                                <w:szCs w:val="84"/>
                              </w:rPr>
                              <w:t>New issues in the 202</w:t>
                            </w:r>
                            <w:r w:rsidR="000C7183">
                              <w:rPr>
                                <w:rFonts w:cs="Open Sans"/>
                                <w:b/>
                                <w:bCs/>
                                <w:color w:val="FFFFFF"/>
                                <w:sz w:val="84"/>
                                <w:szCs w:val="84"/>
                              </w:rPr>
                              <w:t>6</w:t>
                            </w:r>
                            <w:r w:rsidRPr="00670A63">
                              <w:rPr>
                                <w:rFonts w:cs="Open Sans"/>
                                <w:b/>
                                <w:bCs/>
                                <w:color w:val="FFFFFF"/>
                                <w:sz w:val="84"/>
                                <w:szCs w:val="84"/>
                              </w:rPr>
                              <w:t xml:space="preserve">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1E9B0" id="_x0000_t202" coordsize="21600,21600" o:spt="202" path="m,l,21600r21600,l21600,xe">
                <v:stroke joinstyle="miter"/>
                <v:path gradientshapeok="t" o:connecttype="rect"/>
              </v:shapetype>
              <v:shape id="Text Box 29" o:spid="_x0000_s1026" type="#_x0000_t202" style="position:absolute;margin-left:0;margin-top:218.2pt;width:408.15pt;height:13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WmGAIAAC0EAAAOAAAAZHJzL2Uyb0RvYy54bWysU02P2yAQvVfqf0DcG9tpkma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" filled="f" stroked="f" strokeweight=".5pt">
                <v:textbox>
                  <w:txbxContent>
                    <w:p w14:paraId="54CB7FB0" w14:textId="5DBFA644" w:rsidR="00DB09B9" w:rsidRPr="00670A63" w:rsidRDefault="00DB09B9" w:rsidP="0091156C">
                      <w:pPr>
                        <w:jc w:val="center"/>
                        <w:rPr>
                          <w:rFonts w:cs="Open Sans"/>
                          <w:b/>
                          <w:bCs/>
                          <w:color w:val="FFFFFF"/>
                          <w:sz w:val="84"/>
                          <w:szCs w:val="84"/>
                        </w:rPr>
                      </w:pPr>
                      <w:r w:rsidRPr="00670A63">
                        <w:rPr>
                          <w:rFonts w:cs="Open Sans"/>
                          <w:b/>
                          <w:bCs/>
                          <w:color w:val="FFFFFF"/>
                          <w:sz w:val="84"/>
                          <w:szCs w:val="84"/>
                        </w:rPr>
                        <w:t>New issues in the 202</w:t>
                      </w:r>
                      <w:r w:rsidR="000C7183">
                        <w:rPr>
                          <w:rFonts w:cs="Open Sans"/>
                          <w:b/>
                          <w:bCs/>
                          <w:color w:val="FFFFFF"/>
                          <w:sz w:val="84"/>
                          <w:szCs w:val="84"/>
                        </w:rPr>
                        <w:t>6</w:t>
                      </w:r>
                      <w:r w:rsidRPr="00670A63">
                        <w:rPr>
                          <w:rFonts w:cs="Open Sans"/>
                          <w:b/>
                          <w:bCs/>
                          <w:color w:val="FFFFFF"/>
                          <w:sz w:val="84"/>
                          <w:szCs w:val="84"/>
                        </w:rPr>
                        <w:t xml:space="preserve"> Update</w:t>
                      </w:r>
                    </w:p>
                  </w:txbxContent>
                </v:textbox>
                <w10:wrap anchorx="margin" anchory="page"/>
              </v:shape>
            </w:pict>
          </mc:Fallback>
        </mc:AlternateContent>
      </w:r>
    </w:p>
    <w:p w14:paraId="388F5055" w14:textId="3B13F77A" w:rsidR="00F0686F" w:rsidRDefault="00F0686F" w:rsidP="00F0686F">
      <w:pPr>
        <w:rPr>
          <w:sz w:val="24"/>
          <w:szCs w:val="24"/>
        </w:rPr>
      </w:pPr>
    </w:p>
    <w:p w14:paraId="0809D047" w14:textId="7B87D5CF" w:rsidR="00F0686F" w:rsidRDefault="00F0686F" w:rsidP="00F0686F">
      <w:pPr>
        <w:rPr>
          <w:sz w:val="24"/>
          <w:szCs w:val="24"/>
        </w:rPr>
      </w:pPr>
    </w:p>
    <w:p w14:paraId="5C2326E2" w14:textId="4B97A15D" w:rsidR="00F0686F" w:rsidRDefault="00F0686F" w:rsidP="00F0686F">
      <w:pPr>
        <w:rPr>
          <w:sz w:val="24"/>
          <w:szCs w:val="24"/>
        </w:rPr>
      </w:pPr>
    </w:p>
    <w:p w14:paraId="131650E4" w14:textId="62220EAD" w:rsidR="00F0686F" w:rsidRDefault="00F0686F" w:rsidP="00F0686F">
      <w:pPr>
        <w:rPr>
          <w:sz w:val="24"/>
          <w:szCs w:val="24"/>
        </w:rPr>
      </w:pPr>
    </w:p>
    <w:p w14:paraId="1984CB86" w14:textId="6BB38AC7" w:rsidR="00F0686F" w:rsidRDefault="00F0686F" w:rsidP="00F0686F">
      <w:pPr>
        <w:rPr>
          <w:sz w:val="24"/>
          <w:szCs w:val="24"/>
        </w:rPr>
      </w:pPr>
    </w:p>
    <w:p w14:paraId="5C0198E0" w14:textId="6E501165" w:rsidR="00F0686F" w:rsidRDefault="00F0686F" w:rsidP="00F0686F">
      <w:pPr>
        <w:rPr>
          <w:sz w:val="24"/>
          <w:szCs w:val="24"/>
        </w:rPr>
      </w:pPr>
    </w:p>
    <w:p w14:paraId="7AA5A6EB" w14:textId="0769A0E1" w:rsidR="0040294B" w:rsidRDefault="0040294B" w:rsidP="00F0686F">
      <w:pPr>
        <w:rPr>
          <w:sz w:val="24"/>
          <w:szCs w:val="24"/>
        </w:rPr>
      </w:pPr>
    </w:p>
    <w:p w14:paraId="11D93355" w14:textId="6E1F62C8" w:rsidR="0040294B" w:rsidRDefault="0040294B" w:rsidP="00F0686F">
      <w:pPr>
        <w:rPr>
          <w:sz w:val="24"/>
          <w:szCs w:val="24"/>
        </w:rPr>
      </w:pPr>
    </w:p>
    <w:p w14:paraId="26A0BECA" w14:textId="03122EF0" w:rsidR="0040294B" w:rsidRDefault="0040294B" w:rsidP="00F0686F">
      <w:pPr>
        <w:rPr>
          <w:sz w:val="24"/>
          <w:szCs w:val="24"/>
        </w:rPr>
      </w:pPr>
    </w:p>
    <w:p w14:paraId="45EF8893" w14:textId="0CB18D87" w:rsidR="00F0686F" w:rsidRPr="00F0686F" w:rsidRDefault="00F0686F" w:rsidP="00F0686F">
      <w:pPr>
        <w:rPr>
          <w:sz w:val="24"/>
          <w:szCs w:val="24"/>
        </w:rPr>
      </w:pPr>
    </w:p>
    <w:p w14:paraId="752E32B5" w14:textId="0818B218" w:rsidR="00F0686F" w:rsidRDefault="0068423F" w:rsidP="00F13451">
      <w:pPr>
        <w:pStyle w:val="Heading1"/>
        <w:sectPr w:rsidR="00F0686F" w:rsidSect="006D4D54">
          <w:headerReference w:type="default" r:id="rId12"/>
          <w:pgSz w:w="11906" w:h="16838"/>
          <w:pgMar w:top="1440" w:right="1440" w:bottom="1440" w:left="1440" w:header="567" w:footer="708" w:gutter="0"/>
          <w:cols w:space="708"/>
          <w:docGrid w:linePitch="360"/>
        </w:sectPr>
      </w:pPr>
      <w:r w:rsidRPr="00962EFF">
        <w:rPr>
          <w:noProof/>
        </w:rPr>
        <mc:AlternateContent>
          <mc:Choice Requires="wps">
            <w:drawing>
              <wp:anchor distT="0" distB="0" distL="114300" distR="114300" simplePos="0" relativeHeight="251658240" behindDoc="0" locked="0" layoutInCell="1" allowOverlap="1" wp14:anchorId="468EAE9C" wp14:editId="028EDF4B">
                <wp:simplePos x="0" y="0"/>
                <wp:positionH relativeFrom="margin">
                  <wp:posOffset>1705660</wp:posOffset>
                </wp:positionH>
                <wp:positionV relativeFrom="page">
                  <wp:posOffset>7373488</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2ADA50AF" w14:textId="64185808" w:rsidR="0068423F" w:rsidRPr="00670A63" w:rsidRDefault="0068423F" w:rsidP="0091156C">
                            <w:pPr>
                              <w:jc w:val="center"/>
                              <w:rPr>
                                <w:rFonts w:cs="Open Sans"/>
                                <w:color w:val="FFFFFF"/>
                                <w:sz w:val="28"/>
                                <w:szCs w:val="28"/>
                              </w:rPr>
                            </w:pPr>
                            <w:r w:rsidRPr="00E246C9">
                              <w:rPr>
                                <w:rFonts w:cs="Open Sans"/>
                                <w:color w:val="FFFFFF"/>
                                <w:sz w:val="28"/>
                                <w:szCs w:val="28"/>
                              </w:rPr>
                              <w:t>March</w:t>
                            </w:r>
                            <w:r w:rsidRPr="00670A63">
                              <w:rPr>
                                <w:rFonts w:cs="Open Sans"/>
                                <w:color w:val="FFFFFF"/>
                                <w:sz w:val="28"/>
                                <w:szCs w:val="28"/>
                              </w:rPr>
                              <w:t xml:space="preserve"> 202</w:t>
                            </w:r>
                            <w:r w:rsidR="000C7183">
                              <w:rPr>
                                <w:rFonts w:cs="Open Sans"/>
                                <w:color w:val="FFFFFF"/>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AE9C" id="Text Box 30" o:spid="_x0000_s1027" type="#_x0000_t202" style="position:absolute;margin-left:134.3pt;margin-top:580.6pt;width:134.25pt;height:34.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" filled="f" stroked="f" strokeweight=".5pt">
                <v:textbox>
                  <w:txbxContent>
                    <w:p w14:paraId="2ADA50AF" w14:textId="64185808" w:rsidR="0068423F" w:rsidRPr="00670A63" w:rsidRDefault="0068423F" w:rsidP="0091156C">
                      <w:pPr>
                        <w:jc w:val="center"/>
                        <w:rPr>
                          <w:rFonts w:cs="Open Sans"/>
                          <w:color w:val="FFFFFF"/>
                          <w:sz w:val="28"/>
                          <w:szCs w:val="28"/>
                        </w:rPr>
                      </w:pPr>
                      <w:r w:rsidRPr="00E246C9">
                        <w:rPr>
                          <w:rFonts w:cs="Open Sans"/>
                          <w:color w:val="FFFFFF"/>
                          <w:sz w:val="28"/>
                          <w:szCs w:val="28"/>
                        </w:rPr>
                        <w:t>March</w:t>
                      </w:r>
                      <w:r w:rsidRPr="00670A63">
                        <w:rPr>
                          <w:rFonts w:cs="Open Sans"/>
                          <w:color w:val="FFFFFF"/>
                          <w:sz w:val="28"/>
                          <w:szCs w:val="28"/>
                        </w:rPr>
                        <w:t xml:space="preserve"> 202</w:t>
                      </w:r>
                      <w:r w:rsidR="000C7183">
                        <w:rPr>
                          <w:rFonts w:cs="Open Sans"/>
                          <w:color w:val="FFFFFF"/>
                          <w:sz w:val="28"/>
                          <w:szCs w:val="28"/>
                        </w:rPr>
                        <w:t>6</w:t>
                      </w:r>
                    </w:p>
                  </w:txbxContent>
                </v:textbox>
                <w10:wrap anchorx="margin" anchory="page"/>
              </v:shape>
            </w:pict>
          </mc:Fallback>
        </mc:AlternateContent>
      </w:r>
    </w:p>
    <w:p w14:paraId="499DA4DE" w14:textId="33E1DF5B" w:rsidR="009A4460" w:rsidRDefault="005226BD" w:rsidP="00F13451">
      <w:pPr>
        <w:pStyle w:val="Heading1"/>
      </w:pPr>
      <w:r>
        <w:lastRenderedPageBreak/>
        <w:t>New issues in the 202</w:t>
      </w:r>
      <w:r w:rsidR="0023314E">
        <w:t>6</w:t>
      </w:r>
      <w:r>
        <w:t xml:space="preserve"> Update</w:t>
      </w:r>
    </w:p>
    <w:p w14:paraId="44EDE0BD" w14:textId="7B4263CC" w:rsidR="00434840" w:rsidRDefault="00446FAD" w:rsidP="00434840">
      <w:r w:rsidRPr="009F3AF5">
        <w:rPr>
          <w:noProof/>
        </w:rPr>
        <mc:AlternateContent>
          <mc:Choice Requires="wps">
            <w:drawing>
              <wp:anchor distT="0" distB="0" distL="114300" distR="114300" simplePos="0" relativeHeight="251658242" behindDoc="1" locked="0" layoutInCell="1" allowOverlap="1" wp14:anchorId="5E5F81EE" wp14:editId="197504B4">
                <wp:simplePos x="0" y="0"/>
                <wp:positionH relativeFrom="margin">
                  <wp:align>left</wp:align>
                </wp:positionH>
                <wp:positionV relativeFrom="margin">
                  <wp:posOffset>590550</wp:posOffset>
                </wp:positionV>
                <wp:extent cx="5781600" cy="53424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00" cy="5342400"/>
                        </a:xfrm>
                        <a:prstGeom prst="rect">
                          <a:avLst/>
                        </a:prstGeom>
                        <a:solidFill>
                          <a:srgbClr val="E5F8FF"/>
                        </a:solidFill>
                        <a:ln w="25400" cap="flat" cmpd="sng" algn="ctr">
                          <a:noFill/>
                          <a:prstDash val="solid"/>
                        </a:ln>
                        <a:effectLst/>
                      </wps:spPr>
                      <wps:txbx>
                        <w:txbxContent>
                          <w:p w14:paraId="4FA9A346" w14:textId="75D7454D" w:rsidR="000F3086" w:rsidRPr="00605528" w:rsidRDefault="000F3086" w:rsidP="000F3086">
                            <w:pPr>
                              <w:pStyle w:val="Heading3"/>
                            </w:pPr>
                            <w:r w:rsidRPr="00605528">
                              <w:t>Summary of Commission decisions</w:t>
                            </w:r>
                          </w:p>
                          <w:p w14:paraId="06AF1C41" w14:textId="7DAA26E3" w:rsidR="000F3086" w:rsidRPr="00605528" w:rsidRDefault="00AE7C10" w:rsidP="00AA0829">
                            <w:pPr>
                              <w:pStyle w:val="Heading4"/>
                              <w:rPr>
                                <w:rFonts w:hint="eastAsia"/>
                              </w:rPr>
                            </w:pPr>
                            <w:r w:rsidRPr="00605528">
                              <w:t xml:space="preserve">Data </w:t>
                            </w:r>
                            <w:r w:rsidR="00A3102E" w:rsidRPr="00605528">
                              <w:t>i</w:t>
                            </w:r>
                            <w:r w:rsidRPr="00605528">
                              <w:t>ssues</w:t>
                            </w:r>
                          </w:p>
                          <w:p w14:paraId="465A2791" w14:textId="3DD8D66A" w:rsidR="008C57FC" w:rsidRPr="00605528" w:rsidRDefault="006C6C60" w:rsidP="00A41097">
                            <w:pPr>
                              <w:pStyle w:val="Bulletpoint"/>
                            </w:pPr>
                            <w:r>
                              <w:rPr>
                                <w:rStyle w:val="BulletpointChar"/>
                              </w:rPr>
                              <w:t xml:space="preserve">Use the </w:t>
                            </w:r>
                            <w:r w:rsidR="00C11A80" w:rsidRPr="00C11A80">
                              <w:rPr>
                                <w:rStyle w:val="BulletpointChar"/>
                              </w:rPr>
                              <w:t xml:space="preserve">2023 </w:t>
                            </w:r>
                            <w:r w:rsidR="00BB073B">
                              <w:rPr>
                                <w:rStyle w:val="BulletpointChar"/>
                              </w:rPr>
                              <w:t xml:space="preserve">Australian </w:t>
                            </w:r>
                            <w:r w:rsidR="00D73C45">
                              <w:rPr>
                                <w:rStyle w:val="BulletpointChar"/>
                              </w:rPr>
                              <w:t>Curri</w:t>
                            </w:r>
                            <w:r w:rsidR="00606403">
                              <w:rPr>
                                <w:rStyle w:val="BulletpointChar"/>
                              </w:rPr>
                              <w:t>culum, Assessment and Reporting Authority</w:t>
                            </w:r>
                            <w:r w:rsidR="00214173">
                              <w:rPr>
                                <w:rStyle w:val="BulletpointChar"/>
                              </w:rPr>
                              <w:t xml:space="preserve"> </w:t>
                            </w:r>
                            <w:r w:rsidR="00BB073B">
                              <w:rPr>
                                <w:rStyle w:val="BulletpointChar"/>
                              </w:rPr>
                              <w:t>(</w:t>
                            </w:r>
                            <w:r w:rsidR="00C11A80" w:rsidRPr="00C11A80">
                              <w:rPr>
                                <w:rStyle w:val="BulletpointChar"/>
                              </w:rPr>
                              <w:t>ACARA</w:t>
                            </w:r>
                            <w:r w:rsidR="00BB073B">
                              <w:rPr>
                                <w:rStyle w:val="BulletpointChar"/>
                              </w:rPr>
                              <w:t>)</w:t>
                            </w:r>
                            <w:r w:rsidR="00C11A80" w:rsidRPr="00C11A80">
                              <w:rPr>
                                <w:rStyle w:val="BulletpointChar"/>
                              </w:rPr>
                              <w:t xml:space="preserve"> data </w:t>
                            </w:r>
                            <w:r w:rsidR="00667E6E">
                              <w:rPr>
                                <w:rStyle w:val="BulletpointChar"/>
                              </w:rPr>
                              <w:t xml:space="preserve">without adjustment </w:t>
                            </w:r>
                            <w:r>
                              <w:rPr>
                                <w:rStyle w:val="BulletpointChar"/>
                              </w:rPr>
                              <w:t>in the regression</w:t>
                            </w:r>
                            <w:r w:rsidR="007933E7">
                              <w:rPr>
                                <w:rStyle w:val="BulletpointChar"/>
                              </w:rPr>
                              <w:t xml:space="preserve"> model for the </w:t>
                            </w:r>
                            <w:proofErr w:type="gramStart"/>
                            <w:r w:rsidR="007933E7">
                              <w:rPr>
                                <w:rStyle w:val="BulletpointChar"/>
                              </w:rPr>
                              <w:t>schools</w:t>
                            </w:r>
                            <w:proofErr w:type="gramEnd"/>
                            <w:r w:rsidR="007933E7">
                              <w:rPr>
                                <w:rStyle w:val="BulletpointChar"/>
                              </w:rPr>
                              <w:t xml:space="preserve"> assessment</w:t>
                            </w:r>
                            <w:r w:rsidR="000043ED" w:rsidRPr="00605528">
                              <w:rPr>
                                <w:rStyle w:val="BulletpointChar"/>
                              </w:rPr>
                              <w:t>.</w:t>
                            </w:r>
                          </w:p>
                          <w:p w14:paraId="2A89CE7B" w14:textId="5C062FF8" w:rsidR="00224635" w:rsidRDefault="00F7075C" w:rsidP="00224635">
                            <w:pPr>
                              <w:pStyle w:val="Bulletpoint"/>
                            </w:pPr>
                            <w:r>
                              <w:t>I</w:t>
                            </w:r>
                            <w:r w:rsidR="00990581" w:rsidRPr="00990581">
                              <w:t xml:space="preserve">nclude </w:t>
                            </w:r>
                            <w:r w:rsidR="0079655E">
                              <w:t>non-admitted patient (</w:t>
                            </w:r>
                            <w:r w:rsidR="00990581" w:rsidRPr="00990581">
                              <w:t>NAP</w:t>
                            </w:r>
                            <w:r w:rsidR="0079655E">
                              <w:t>)</w:t>
                            </w:r>
                            <w:r w:rsidR="00990581" w:rsidRPr="00990581">
                              <w:t xml:space="preserve"> allied health services relating to violence, abuse and neglect services</w:t>
                            </w:r>
                            <w:r w:rsidR="009932DC">
                              <w:t>,</w:t>
                            </w:r>
                            <w:r w:rsidR="00990581" w:rsidRPr="00990581">
                              <w:t xml:space="preserve"> and genetic counselling in </w:t>
                            </w:r>
                            <w:r w:rsidR="0005068B">
                              <w:t xml:space="preserve">the </w:t>
                            </w:r>
                            <w:r w:rsidR="00990581" w:rsidRPr="00990581">
                              <w:t>community and public health activity</w:t>
                            </w:r>
                            <w:r w:rsidR="0005068B">
                              <w:t xml:space="preserve"> </w:t>
                            </w:r>
                            <w:r w:rsidR="00C86B77">
                              <w:t>proxy and</w:t>
                            </w:r>
                            <w:r w:rsidR="00990581">
                              <w:t xml:space="preserve"> exclude </w:t>
                            </w:r>
                            <w:r w:rsidR="00EE3B2A" w:rsidRPr="00990581">
                              <w:t>allied health services relating to</w:t>
                            </w:r>
                            <w:r w:rsidR="00EE3B2A">
                              <w:t xml:space="preserve"> </w:t>
                            </w:r>
                            <w:r w:rsidR="00E41654">
                              <w:t xml:space="preserve">long </w:t>
                            </w:r>
                            <w:r w:rsidR="00EE3B2A">
                              <w:t>COVID</w:t>
                            </w:r>
                            <w:r w:rsidR="00224635" w:rsidRPr="00605528">
                              <w:t>.</w:t>
                            </w:r>
                          </w:p>
                          <w:p w14:paraId="1D31DED6" w14:textId="2B52058A" w:rsidR="00224635" w:rsidRPr="00605528" w:rsidRDefault="00F7075C" w:rsidP="00224635">
                            <w:pPr>
                              <w:pStyle w:val="Bulletpoint"/>
                            </w:pPr>
                            <w:r>
                              <w:t>C</w:t>
                            </w:r>
                            <w:r w:rsidR="00EE3B2A" w:rsidRPr="00EE3B2A">
                              <w:t xml:space="preserve">ontinue scaling </w:t>
                            </w:r>
                            <w:r w:rsidR="00603A47">
                              <w:t>e</w:t>
                            </w:r>
                            <w:r w:rsidR="00110990">
                              <w:t xml:space="preserve">mergency </w:t>
                            </w:r>
                            <w:r w:rsidR="00603A47">
                              <w:t>d</w:t>
                            </w:r>
                            <w:r w:rsidR="00110990">
                              <w:t>epartment (</w:t>
                            </w:r>
                            <w:r w:rsidR="00EE3B2A" w:rsidRPr="00EE3B2A">
                              <w:t>ED</w:t>
                            </w:r>
                            <w:r w:rsidR="00110990">
                              <w:t>)</w:t>
                            </w:r>
                            <w:r w:rsidR="00EE3B2A" w:rsidRPr="00EE3B2A">
                              <w:t xml:space="preserve"> activity data in the </w:t>
                            </w:r>
                            <w:r w:rsidR="0044151C">
                              <w:t xml:space="preserve">community and public health activity </w:t>
                            </w:r>
                            <w:r w:rsidR="00EE3B2A" w:rsidRPr="00EE3B2A">
                              <w:t>proxy for the 2023</w:t>
                            </w:r>
                            <w:r w:rsidR="00DE00E7">
                              <w:t>–</w:t>
                            </w:r>
                            <w:r w:rsidR="00EE3B2A" w:rsidRPr="00EE3B2A">
                              <w:t>24 assessment year</w:t>
                            </w:r>
                            <w:r w:rsidR="00224635" w:rsidRPr="00605528">
                              <w:t>.</w:t>
                            </w:r>
                          </w:p>
                          <w:p w14:paraId="438EB081" w14:textId="5EA16005" w:rsidR="0054798F" w:rsidRDefault="003C0DBD" w:rsidP="00F94A7C">
                            <w:pPr>
                              <w:pStyle w:val="Bulletpoint"/>
                            </w:pPr>
                            <w:r>
                              <w:t>T</w:t>
                            </w:r>
                            <w:r w:rsidR="005C61CC" w:rsidRPr="001D2C0F">
                              <w:t>he Commission will retain the urban transport regression coefficients derived using only 2022–23 state net expenses data</w:t>
                            </w:r>
                            <w:r w:rsidR="00F90B11">
                              <w:t xml:space="preserve"> </w:t>
                            </w:r>
                            <w:r w:rsidR="00ED49A2">
                              <w:t>and increas</w:t>
                            </w:r>
                            <w:r w:rsidR="00744F42">
                              <w:t xml:space="preserve">e the </w:t>
                            </w:r>
                            <w:r w:rsidR="00596AB6">
                              <w:t xml:space="preserve">urban population </w:t>
                            </w:r>
                            <w:r w:rsidR="00744F42">
                              <w:t xml:space="preserve">blending ratios </w:t>
                            </w:r>
                            <w:r w:rsidR="00612942">
                              <w:t xml:space="preserve">by 5 percentage points </w:t>
                            </w:r>
                            <w:r w:rsidR="0037166C">
                              <w:t>as follows</w:t>
                            </w:r>
                            <w:r w:rsidR="003D0D16">
                              <w:t>:</w:t>
                            </w:r>
                          </w:p>
                          <w:p w14:paraId="57D3A077" w14:textId="196FD2FA" w:rsidR="0054798F" w:rsidRDefault="001F6997" w:rsidP="0054798F">
                            <w:pPr>
                              <w:pStyle w:val="Bulletpointsublevel"/>
                            </w:pPr>
                            <w:r>
                              <w:t>i</w:t>
                            </w:r>
                            <w:r w:rsidR="0015326B">
                              <w:t xml:space="preserve">ncrease the </w:t>
                            </w:r>
                            <w:r w:rsidR="00F94A7C" w:rsidRPr="00F94A7C">
                              <w:t xml:space="preserve">blending </w:t>
                            </w:r>
                            <w:r w:rsidR="0015326B">
                              <w:t>ratio</w:t>
                            </w:r>
                            <w:r w:rsidR="00F94A7C" w:rsidRPr="00F94A7C">
                              <w:t xml:space="preserve"> to 40% urban population and 60% urban centre characteristics model in the recurrent assessment</w:t>
                            </w:r>
                          </w:p>
                          <w:p w14:paraId="19B92633" w14:textId="6FED83B1" w:rsidR="0054798F" w:rsidRDefault="001F6997" w:rsidP="0054798F">
                            <w:pPr>
                              <w:pStyle w:val="Bulletpointsublevel"/>
                            </w:pPr>
                            <w:r>
                              <w:t>i</w:t>
                            </w:r>
                            <w:r w:rsidR="0015326B">
                              <w:t>ncrease the</w:t>
                            </w:r>
                            <w:r w:rsidR="000B3A9A">
                              <w:t xml:space="preserve"> blending ratio</w:t>
                            </w:r>
                            <w:r w:rsidR="00F94A7C" w:rsidRPr="00F94A7C">
                              <w:t xml:space="preserve"> to 30% urban population squared and 70% urban centre characteristics model in the investment assessment</w:t>
                            </w:r>
                            <w:r w:rsidR="005C61CC">
                              <w:t>.</w:t>
                            </w:r>
                          </w:p>
                          <w:p w14:paraId="739A6C69" w14:textId="5146B4BB" w:rsidR="00B25DC3" w:rsidRPr="00605528" w:rsidRDefault="00CA59F3" w:rsidP="00B25DC3">
                            <w:pPr>
                              <w:pStyle w:val="Heading4"/>
                              <w:rPr>
                                <w:rFonts w:hint="eastAsia"/>
                              </w:rPr>
                            </w:pPr>
                            <w:r w:rsidRPr="00605528">
                              <w:t>Assessment</w:t>
                            </w:r>
                            <w:r w:rsidR="00FE5559" w:rsidRPr="00605528">
                              <w:t xml:space="preserve"> </w:t>
                            </w:r>
                            <w:r w:rsidR="00A3102E" w:rsidRPr="00605528">
                              <w:t>i</w:t>
                            </w:r>
                            <w:r w:rsidR="00FE5559" w:rsidRPr="00605528">
                              <w:t>ssues</w:t>
                            </w:r>
                          </w:p>
                          <w:p w14:paraId="78F5E064" w14:textId="12A73A07" w:rsidR="00824586" w:rsidRPr="00605528" w:rsidRDefault="00657C31">
                            <w:pPr>
                              <w:pStyle w:val="Bulletpoint"/>
                            </w:pPr>
                            <w:r>
                              <w:t>E</w:t>
                            </w:r>
                            <w:r w:rsidR="008C4C82" w:rsidRPr="008C4C82">
                              <w:t xml:space="preserve">xclude Commonwealth spending on government schools from all calculations from 2024–25 and continue the </w:t>
                            </w:r>
                            <w:r w:rsidR="00982D79">
                              <w:t xml:space="preserve">2025 Review </w:t>
                            </w:r>
                            <w:r w:rsidR="00B0591B">
                              <w:t>approach</w:t>
                            </w:r>
                            <w:r w:rsidR="0008109F">
                              <w:t xml:space="preserve"> </w:t>
                            </w:r>
                            <w:r w:rsidR="00982D79">
                              <w:t>in</w:t>
                            </w:r>
                            <w:r w:rsidR="008C4C82" w:rsidRPr="008C4C82">
                              <w:t xml:space="preserve"> </w:t>
                            </w:r>
                            <w:r w:rsidR="00570DDC">
                              <w:br/>
                            </w:r>
                            <w:r w:rsidR="008C4C82" w:rsidRPr="008C4C82">
                              <w:t>2022–23 and 2023–24</w:t>
                            </w:r>
                            <w:r w:rsidR="009C15ED" w:rsidRPr="00605528">
                              <w:t>.</w:t>
                            </w:r>
                          </w:p>
                          <w:p w14:paraId="43AD6044" w14:textId="77777777" w:rsidR="008F5657" w:rsidRPr="00605528" w:rsidRDefault="008F5657" w:rsidP="008F5657">
                            <w:pPr>
                              <w:pStyle w:val="Heading4"/>
                              <w:rPr>
                                <w:rFonts w:hint="eastAsia"/>
                              </w:rPr>
                            </w:pPr>
                            <w:r w:rsidRPr="00605528">
                              <w:t>Commonwealth payments</w:t>
                            </w:r>
                          </w:p>
                          <w:p w14:paraId="6D52EE10" w14:textId="1C7ECA11" w:rsidR="008F5657" w:rsidRPr="00605528" w:rsidRDefault="008F5657" w:rsidP="008F5657">
                            <w:pPr>
                              <w:pStyle w:val="Bulletpoint"/>
                            </w:pPr>
                            <w:r w:rsidRPr="00605528">
                              <w:t xml:space="preserve">Apply the treatment of Commonwealth payments as listed in </w:t>
                            </w:r>
                            <w:r w:rsidR="00B0591B">
                              <w:t xml:space="preserve">Table A-1 </w:t>
                            </w:r>
                            <w:r w:rsidR="00432AB4">
                              <w:t xml:space="preserve">and </w:t>
                            </w:r>
                            <w:r w:rsidR="00432AB4" w:rsidRPr="00B0591B">
                              <w:rPr>
                                <w:bCs/>
                              </w:rPr>
                              <w:t>Table</w:t>
                            </w:r>
                            <w:r w:rsidR="00B0591B">
                              <w:rPr>
                                <w:bCs/>
                              </w:rPr>
                              <w:t> </w:t>
                            </w:r>
                            <w:r w:rsidR="00432AB4" w:rsidRPr="00B0591B">
                              <w:rPr>
                                <w:bCs/>
                              </w:rPr>
                              <w:t>A-2</w:t>
                            </w:r>
                            <w:r w:rsidR="00432AB4">
                              <w:t xml:space="preserve"> </w:t>
                            </w:r>
                            <w:r w:rsidR="00D647E5" w:rsidRPr="00605528">
                              <w:t xml:space="preserve">at </w:t>
                            </w:r>
                            <w:hyperlink w:anchor="_Attachment_A:_Treatment" w:history="1">
                              <w:r w:rsidR="00D647E5" w:rsidRPr="00605528">
                                <w:rPr>
                                  <w:rStyle w:val="Hyperlink"/>
                                  <w:color w:val="auto"/>
                                  <w:u w:val="none"/>
                                </w:rPr>
                                <w:t>A</w:t>
                              </w:r>
                              <w:r w:rsidR="00B73C2D">
                                <w:rPr>
                                  <w:rStyle w:val="Hyperlink"/>
                                  <w:color w:val="auto"/>
                                  <w:u w:val="none"/>
                                </w:rPr>
                                <w:t>ppendix</w:t>
                              </w:r>
                              <w:r w:rsidR="008247C1" w:rsidRPr="00605528">
                                <w:rPr>
                                  <w:rStyle w:val="Hyperlink"/>
                                  <w:color w:val="auto"/>
                                  <w:u w:val="none"/>
                                </w:rPr>
                                <w:t> </w:t>
                              </w:r>
                              <w:r w:rsidR="00D647E5" w:rsidRPr="00605528">
                                <w:rPr>
                                  <w:rStyle w:val="Hyperlink"/>
                                  <w:color w:val="auto"/>
                                  <w:u w:val="none"/>
                                </w:rPr>
                                <w:t>A</w:t>
                              </w:r>
                            </w:hyperlink>
                            <w:r w:rsidR="00D647E5" w:rsidRPr="00605528">
                              <w:t>.</w:t>
                            </w:r>
                          </w:p>
                          <w:p w14:paraId="2C801F13" w14:textId="77777777" w:rsidR="008D7D95" w:rsidRPr="008C57FC" w:rsidRDefault="008D7D95" w:rsidP="008D7D95">
                            <w:pPr>
                              <w:pStyle w:val="Bulletpoint"/>
                              <w:numPr>
                                <w:ilvl w:val="0"/>
                                <w:numId w:val="0"/>
                              </w:numPr>
                              <w:ind w:left="924"/>
                            </w:pPr>
                          </w:p>
                          <w:p w14:paraId="2E28F69B" w14:textId="77777777" w:rsidR="005226BD" w:rsidRDefault="005226BD" w:rsidP="0033168C">
                            <w:pPr>
                              <w:rPr>
                                <w:szCs w:val="20"/>
                              </w:rPr>
                            </w:pPr>
                          </w:p>
                          <w:p w14:paraId="5380606E" w14:textId="77777777" w:rsidR="005226BD" w:rsidRPr="00DA2B18" w:rsidRDefault="005226BD" w:rsidP="0033168C">
                            <w:pPr>
                              <w:rPr>
                                <w:szCs w:val="20"/>
                              </w:rPr>
                            </w:pPr>
                          </w:p>
                          <w:p w14:paraId="5785ABD8" w14:textId="77777777" w:rsidR="00D466DB" w:rsidRDefault="00D466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81EE" id="Rectangle 9" o:spid="_x0000_s1028" alt="&quot;&quot;" style="position:absolute;margin-left:0;margin-top:46.5pt;width:455.25pt;height:420.6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" fillcolor="#e5f8ff" stroked="f" strokeweight="2pt">
                <v:textbox>
                  <w:txbxContent>
                    <w:p w14:paraId="4FA9A346" w14:textId="75D7454D" w:rsidR="000F3086" w:rsidRPr="00605528" w:rsidRDefault="000F3086" w:rsidP="000F3086">
                      <w:pPr>
                        <w:pStyle w:val="Heading3"/>
                      </w:pPr>
                      <w:r w:rsidRPr="00605528">
                        <w:t>Summary of Commission decisions</w:t>
                      </w:r>
                    </w:p>
                    <w:p w14:paraId="06AF1C41" w14:textId="7DAA26E3" w:rsidR="000F3086" w:rsidRPr="00605528" w:rsidRDefault="00AE7C10" w:rsidP="00AA0829">
                      <w:pPr>
                        <w:pStyle w:val="Heading4"/>
                        <w:rPr>
                          <w:rFonts w:hint="eastAsia"/>
                        </w:rPr>
                      </w:pPr>
                      <w:r w:rsidRPr="00605528">
                        <w:t xml:space="preserve">Data </w:t>
                      </w:r>
                      <w:r w:rsidR="00A3102E" w:rsidRPr="00605528">
                        <w:t>i</w:t>
                      </w:r>
                      <w:r w:rsidRPr="00605528">
                        <w:t>ssues</w:t>
                      </w:r>
                    </w:p>
                    <w:p w14:paraId="465A2791" w14:textId="3DD8D66A" w:rsidR="008C57FC" w:rsidRPr="00605528" w:rsidRDefault="006C6C60" w:rsidP="00A41097">
                      <w:pPr>
                        <w:pStyle w:val="Bulletpoint"/>
                      </w:pPr>
                      <w:r>
                        <w:rPr>
                          <w:rStyle w:val="BulletpointChar"/>
                        </w:rPr>
                        <w:t xml:space="preserve">Use the </w:t>
                      </w:r>
                      <w:r w:rsidR="00C11A80" w:rsidRPr="00C11A80">
                        <w:rPr>
                          <w:rStyle w:val="BulletpointChar"/>
                        </w:rPr>
                        <w:t xml:space="preserve">2023 </w:t>
                      </w:r>
                      <w:r w:rsidR="00BB073B">
                        <w:rPr>
                          <w:rStyle w:val="BulletpointChar"/>
                        </w:rPr>
                        <w:t xml:space="preserve">Australian </w:t>
                      </w:r>
                      <w:r w:rsidR="00D73C45">
                        <w:rPr>
                          <w:rStyle w:val="BulletpointChar"/>
                        </w:rPr>
                        <w:t>Curri</w:t>
                      </w:r>
                      <w:r w:rsidR="00606403">
                        <w:rPr>
                          <w:rStyle w:val="BulletpointChar"/>
                        </w:rPr>
                        <w:t>culum, Assessment and Reporting Authority</w:t>
                      </w:r>
                      <w:r w:rsidR="00214173">
                        <w:rPr>
                          <w:rStyle w:val="BulletpointChar"/>
                        </w:rPr>
                        <w:t xml:space="preserve"> </w:t>
                      </w:r>
                      <w:r w:rsidR="00BB073B">
                        <w:rPr>
                          <w:rStyle w:val="BulletpointChar"/>
                        </w:rPr>
                        <w:t>(</w:t>
                      </w:r>
                      <w:r w:rsidR="00C11A80" w:rsidRPr="00C11A80">
                        <w:rPr>
                          <w:rStyle w:val="BulletpointChar"/>
                        </w:rPr>
                        <w:t>ACARA</w:t>
                      </w:r>
                      <w:r w:rsidR="00BB073B">
                        <w:rPr>
                          <w:rStyle w:val="BulletpointChar"/>
                        </w:rPr>
                        <w:t>)</w:t>
                      </w:r>
                      <w:r w:rsidR="00C11A80" w:rsidRPr="00C11A80">
                        <w:rPr>
                          <w:rStyle w:val="BulletpointChar"/>
                        </w:rPr>
                        <w:t xml:space="preserve"> data </w:t>
                      </w:r>
                      <w:r w:rsidR="00667E6E">
                        <w:rPr>
                          <w:rStyle w:val="BulletpointChar"/>
                        </w:rPr>
                        <w:t xml:space="preserve">without adjustment </w:t>
                      </w:r>
                      <w:r>
                        <w:rPr>
                          <w:rStyle w:val="BulletpointChar"/>
                        </w:rPr>
                        <w:t>in the regression</w:t>
                      </w:r>
                      <w:r w:rsidR="007933E7">
                        <w:rPr>
                          <w:rStyle w:val="BulletpointChar"/>
                        </w:rPr>
                        <w:t xml:space="preserve"> model for the </w:t>
                      </w:r>
                      <w:proofErr w:type="gramStart"/>
                      <w:r w:rsidR="007933E7">
                        <w:rPr>
                          <w:rStyle w:val="BulletpointChar"/>
                        </w:rPr>
                        <w:t>schools</w:t>
                      </w:r>
                      <w:proofErr w:type="gramEnd"/>
                      <w:r w:rsidR="007933E7">
                        <w:rPr>
                          <w:rStyle w:val="BulletpointChar"/>
                        </w:rPr>
                        <w:t xml:space="preserve"> assessment</w:t>
                      </w:r>
                      <w:r w:rsidR="000043ED" w:rsidRPr="00605528">
                        <w:rPr>
                          <w:rStyle w:val="BulletpointChar"/>
                        </w:rPr>
                        <w:t>.</w:t>
                      </w:r>
                    </w:p>
                    <w:p w14:paraId="2A89CE7B" w14:textId="5C062FF8" w:rsidR="00224635" w:rsidRDefault="00F7075C" w:rsidP="00224635">
                      <w:pPr>
                        <w:pStyle w:val="Bulletpoint"/>
                      </w:pPr>
                      <w:r>
                        <w:t>I</w:t>
                      </w:r>
                      <w:r w:rsidR="00990581" w:rsidRPr="00990581">
                        <w:t xml:space="preserve">nclude </w:t>
                      </w:r>
                      <w:r w:rsidR="0079655E">
                        <w:t>non-admitted patient (</w:t>
                      </w:r>
                      <w:r w:rsidR="00990581" w:rsidRPr="00990581">
                        <w:t>NAP</w:t>
                      </w:r>
                      <w:r w:rsidR="0079655E">
                        <w:t>)</w:t>
                      </w:r>
                      <w:r w:rsidR="00990581" w:rsidRPr="00990581">
                        <w:t xml:space="preserve"> allied health services relating to violence, abuse and neglect services</w:t>
                      </w:r>
                      <w:r w:rsidR="009932DC">
                        <w:t>,</w:t>
                      </w:r>
                      <w:r w:rsidR="00990581" w:rsidRPr="00990581">
                        <w:t xml:space="preserve"> and genetic counselling in </w:t>
                      </w:r>
                      <w:r w:rsidR="0005068B">
                        <w:t xml:space="preserve">the </w:t>
                      </w:r>
                      <w:r w:rsidR="00990581" w:rsidRPr="00990581">
                        <w:t>community and public health activity</w:t>
                      </w:r>
                      <w:r w:rsidR="0005068B">
                        <w:t xml:space="preserve"> </w:t>
                      </w:r>
                      <w:r w:rsidR="00C86B77">
                        <w:t>proxy and</w:t>
                      </w:r>
                      <w:r w:rsidR="00990581">
                        <w:t xml:space="preserve"> exclude </w:t>
                      </w:r>
                      <w:r w:rsidR="00EE3B2A" w:rsidRPr="00990581">
                        <w:t>allied health services relating to</w:t>
                      </w:r>
                      <w:r w:rsidR="00EE3B2A">
                        <w:t xml:space="preserve"> </w:t>
                      </w:r>
                      <w:r w:rsidR="00E41654">
                        <w:t xml:space="preserve">long </w:t>
                      </w:r>
                      <w:r w:rsidR="00EE3B2A">
                        <w:t>COVID</w:t>
                      </w:r>
                      <w:r w:rsidR="00224635" w:rsidRPr="00605528">
                        <w:t>.</w:t>
                      </w:r>
                    </w:p>
                    <w:p w14:paraId="1D31DED6" w14:textId="2B52058A" w:rsidR="00224635" w:rsidRPr="00605528" w:rsidRDefault="00F7075C" w:rsidP="00224635">
                      <w:pPr>
                        <w:pStyle w:val="Bulletpoint"/>
                      </w:pPr>
                      <w:r>
                        <w:t>C</w:t>
                      </w:r>
                      <w:r w:rsidR="00EE3B2A" w:rsidRPr="00EE3B2A">
                        <w:t xml:space="preserve">ontinue scaling </w:t>
                      </w:r>
                      <w:r w:rsidR="00603A47">
                        <w:t>e</w:t>
                      </w:r>
                      <w:r w:rsidR="00110990">
                        <w:t xml:space="preserve">mergency </w:t>
                      </w:r>
                      <w:r w:rsidR="00603A47">
                        <w:t>d</w:t>
                      </w:r>
                      <w:r w:rsidR="00110990">
                        <w:t>epartment (</w:t>
                      </w:r>
                      <w:r w:rsidR="00EE3B2A" w:rsidRPr="00EE3B2A">
                        <w:t>ED</w:t>
                      </w:r>
                      <w:r w:rsidR="00110990">
                        <w:t>)</w:t>
                      </w:r>
                      <w:r w:rsidR="00EE3B2A" w:rsidRPr="00EE3B2A">
                        <w:t xml:space="preserve"> activity data in the </w:t>
                      </w:r>
                      <w:r w:rsidR="0044151C">
                        <w:t xml:space="preserve">community and public health activity </w:t>
                      </w:r>
                      <w:r w:rsidR="00EE3B2A" w:rsidRPr="00EE3B2A">
                        <w:t>proxy for the 2023</w:t>
                      </w:r>
                      <w:r w:rsidR="00DE00E7">
                        <w:t>–</w:t>
                      </w:r>
                      <w:r w:rsidR="00EE3B2A" w:rsidRPr="00EE3B2A">
                        <w:t>24 assessment year</w:t>
                      </w:r>
                      <w:r w:rsidR="00224635" w:rsidRPr="00605528">
                        <w:t>.</w:t>
                      </w:r>
                    </w:p>
                    <w:p w14:paraId="438EB081" w14:textId="5EA16005" w:rsidR="0054798F" w:rsidRDefault="003C0DBD" w:rsidP="00F94A7C">
                      <w:pPr>
                        <w:pStyle w:val="Bulletpoint"/>
                      </w:pPr>
                      <w:r>
                        <w:t>T</w:t>
                      </w:r>
                      <w:r w:rsidR="005C61CC" w:rsidRPr="001D2C0F">
                        <w:t>he Commission will retain the urban transport regression coefficients derived using only 2022–23 state net expenses data</w:t>
                      </w:r>
                      <w:r w:rsidR="00F90B11">
                        <w:t xml:space="preserve"> </w:t>
                      </w:r>
                      <w:r w:rsidR="00ED49A2">
                        <w:t>and increas</w:t>
                      </w:r>
                      <w:r w:rsidR="00744F42">
                        <w:t xml:space="preserve">e the </w:t>
                      </w:r>
                      <w:r w:rsidR="00596AB6">
                        <w:t xml:space="preserve">urban population </w:t>
                      </w:r>
                      <w:r w:rsidR="00744F42">
                        <w:t xml:space="preserve">blending ratios </w:t>
                      </w:r>
                      <w:r w:rsidR="00612942">
                        <w:t xml:space="preserve">by 5 percentage points </w:t>
                      </w:r>
                      <w:r w:rsidR="0037166C">
                        <w:t>as follows</w:t>
                      </w:r>
                      <w:r w:rsidR="003D0D16">
                        <w:t>:</w:t>
                      </w:r>
                    </w:p>
                    <w:p w14:paraId="57D3A077" w14:textId="196FD2FA" w:rsidR="0054798F" w:rsidRDefault="001F6997" w:rsidP="0054798F">
                      <w:pPr>
                        <w:pStyle w:val="Bulletpointsublevel"/>
                      </w:pPr>
                      <w:r>
                        <w:t>i</w:t>
                      </w:r>
                      <w:r w:rsidR="0015326B">
                        <w:t xml:space="preserve">ncrease the </w:t>
                      </w:r>
                      <w:r w:rsidR="00F94A7C" w:rsidRPr="00F94A7C">
                        <w:t xml:space="preserve">blending </w:t>
                      </w:r>
                      <w:r w:rsidR="0015326B">
                        <w:t>ratio</w:t>
                      </w:r>
                      <w:r w:rsidR="00F94A7C" w:rsidRPr="00F94A7C">
                        <w:t xml:space="preserve"> to 40% urban population and 60% urban centre characteristics model in the recurrent assessment</w:t>
                      </w:r>
                    </w:p>
                    <w:p w14:paraId="19B92633" w14:textId="6FED83B1" w:rsidR="0054798F" w:rsidRDefault="001F6997" w:rsidP="0054798F">
                      <w:pPr>
                        <w:pStyle w:val="Bulletpointsublevel"/>
                      </w:pPr>
                      <w:r>
                        <w:t>i</w:t>
                      </w:r>
                      <w:r w:rsidR="0015326B">
                        <w:t>ncrease the</w:t>
                      </w:r>
                      <w:r w:rsidR="000B3A9A">
                        <w:t xml:space="preserve"> blending ratio</w:t>
                      </w:r>
                      <w:r w:rsidR="00F94A7C" w:rsidRPr="00F94A7C">
                        <w:t xml:space="preserve"> to 30% urban population squared and 70% urban centre characteristics model in the investment assessment</w:t>
                      </w:r>
                      <w:r w:rsidR="005C61CC">
                        <w:t>.</w:t>
                      </w:r>
                    </w:p>
                    <w:p w14:paraId="739A6C69" w14:textId="5146B4BB" w:rsidR="00B25DC3" w:rsidRPr="00605528" w:rsidRDefault="00CA59F3" w:rsidP="00B25DC3">
                      <w:pPr>
                        <w:pStyle w:val="Heading4"/>
                        <w:rPr>
                          <w:rFonts w:hint="eastAsia"/>
                        </w:rPr>
                      </w:pPr>
                      <w:r w:rsidRPr="00605528">
                        <w:t>Assessment</w:t>
                      </w:r>
                      <w:r w:rsidR="00FE5559" w:rsidRPr="00605528">
                        <w:t xml:space="preserve"> </w:t>
                      </w:r>
                      <w:r w:rsidR="00A3102E" w:rsidRPr="00605528">
                        <w:t>i</w:t>
                      </w:r>
                      <w:r w:rsidR="00FE5559" w:rsidRPr="00605528">
                        <w:t>ssues</w:t>
                      </w:r>
                    </w:p>
                    <w:p w14:paraId="78F5E064" w14:textId="12A73A07" w:rsidR="00824586" w:rsidRPr="00605528" w:rsidRDefault="00657C31">
                      <w:pPr>
                        <w:pStyle w:val="Bulletpoint"/>
                      </w:pPr>
                      <w:r>
                        <w:t>E</w:t>
                      </w:r>
                      <w:r w:rsidR="008C4C82" w:rsidRPr="008C4C82">
                        <w:t xml:space="preserve">xclude Commonwealth spending on government schools from all calculations from 2024–25 and continue the </w:t>
                      </w:r>
                      <w:r w:rsidR="00982D79">
                        <w:t xml:space="preserve">2025 Review </w:t>
                      </w:r>
                      <w:r w:rsidR="00B0591B">
                        <w:t>approach</w:t>
                      </w:r>
                      <w:r w:rsidR="0008109F">
                        <w:t xml:space="preserve"> </w:t>
                      </w:r>
                      <w:r w:rsidR="00982D79">
                        <w:t>in</w:t>
                      </w:r>
                      <w:r w:rsidR="008C4C82" w:rsidRPr="008C4C82">
                        <w:t xml:space="preserve"> </w:t>
                      </w:r>
                      <w:r w:rsidR="00570DDC">
                        <w:br/>
                      </w:r>
                      <w:r w:rsidR="008C4C82" w:rsidRPr="008C4C82">
                        <w:t>2022–23 and 2023–24</w:t>
                      </w:r>
                      <w:r w:rsidR="009C15ED" w:rsidRPr="00605528">
                        <w:t>.</w:t>
                      </w:r>
                    </w:p>
                    <w:p w14:paraId="43AD6044" w14:textId="77777777" w:rsidR="008F5657" w:rsidRPr="00605528" w:rsidRDefault="008F5657" w:rsidP="008F5657">
                      <w:pPr>
                        <w:pStyle w:val="Heading4"/>
                        <w:rPr>
                          <w:rFonts w:hint="eastAsia"/>
                        </w:rPr>
                      </w:pPr>
                      <w:r w:rsidRPr="00605528">
                        <w:t>Commonwealth payments</w:t>
                      </w:r>
                    </w:p>
                    <w:p w14:paraId="6D52EE10" w14:textId="1C7ECA11" w:rsidR="008F5657" w:rsidRPr="00605528" w:rsidRDefault="008F5657" w:rsidP="008F5657">
                      <w:pPr>
                        <w:pStyle w:val="Bulletpoint"/>
                      </w:pPr>
                      <w:r w:rsidRPr="00605528">
                        <w:t xml:space="preserve">Apply the treatment of Commonwealth payments as listed in </w:t>
                      </w:r>
                      <w:r w:rsidR="00B0591B">
                        <w:t xml:space="preserve">Table A-1 </w:t>
                      </w:r>
                      <w:r w:rsidR="00432AB4">
                        <w:t xml:space="preserve">and </w:t>
                      </w:r>
                      <w:r w:rsidR="00432AB4" w:rsidRPr="00B0591B">
                        <w:rPr>
                          <w:bCs/>
                        </w:rPr>
                        <w:t>Table</w:t>
                      </w:r>
                      <w:r w:rsidR="00B0591B">
                        <w:rPr>
                          <w:bCs/>
                        </w:rPr>
                        <w:t> </w:t>
                      </w:r>
                      <w:r w:rsidR="00432AB4" w:rsidRPr="00B0591B">
                        <w:rPr>
                          <w:bCs/>
                        </w:rPr>
                        <w:t>A-2</w:t>
                      </w:r>
                      <w:r w:rsidR="00432AB4">
                        <w:t xml:space="preserve"> </w:t>
                      </w:r>
                      <w:r w:rsidR="00D647E5" w:rsidRPr="00605528">
                        <w:t xml:space="preserve">at </w:t>
                      </w:r>
                      <w:hyperlink w:anchor="_Attachment_A:_Treatment" w:history="1">
                        <w:r w:rsidR="00D647E5" w:rsidRPr="00605528">
                          <w:rPr>
                            <w:rStyle w:val="Hyperlink"/>
                            <w:color w:val="auto"/>
                            <w:u w:val="none"/>
                          </w:rPr>
                          <w:t>A</w:t>
                        </w:r>
                        <w:r w:rsidR="00B73C2D">
                          <w:rPr>
                            <w:rStyle w:val="Hyperlink"/>
                            <w:color w:val="auto"/>
                            <w:u w:val="none"/>
                          </w:rPr>
                          <w:t>ppendix</w:t>
                        </w:r>
                        <w:r w:rsidR="008247C1" w:rsidRPr="00605528">
                          <w:rPr>
                            <w:rStyle w:val="Hyperlink"/>
                            <w:color w:val="auto"/>
                            <w:u w:val="none"/>
                          </w:rPr>
                          <w:t> </w:t>
                        </w:r>
                        <w:r w:rsidR="00D647E5" w:rsidRPr="00605528">
                          <w:rPr>
                            <w:rStyle w:val="Hyperlink"/>
                            <w:color w:val="auto"/>
                            <w:u w:val="none"/>
                          </w:rPr>
                          <w:t>A</w:t>
                        </w:r>
                      </w:hyperlink>
                      <w:r w:rsidR="00D647E5" w:rsidRPr="00605528">
                        <w:t>.</w:t>
                      </w:r>
                    </w:p>
                    <w:p w14:paraId="2C801F13" w14:textId="77777777" w:rsidR="008D7D95" w:rsidRPr="008C57FC" w:rsidRDefault="008D7D95" w:rsidP="008D7D95">
                      <w:pPr>
                        <w:pStyle w:val="Bulletpoint"/>
                        <w:numPr>
                          <w:ilvl w:val="0"/>
                          <w:numId w:val="0"/>
                        </w:numPr>
                        <w:ind w:left="924"/>
                      </w:pPr>
                    </w:p>
                    <w:p w14:paraId="2E28F69B" w14:textId="77777777" w:rsidR="005226BD" w:rsidRDefault="005226BD" w:rsidP="0033168C">
                      <w:pPr>
                        <w:rPr>
                          <w:szCs w:val="20"/>
                        </w:rPr>
                      </w:pPr>
                    </w:p>
                    <w:p w14:paraId="5380606E" w14:textId="77777777" w:rsidR="005226BD" w:rsidRPr="00DA2B18" w:rsidRDefault="005226BD" w:rsidP="0033168C">
                      <w:pPr>
                        <w:rPr>
                          <w:szCs w:val="20"/>
                        </w:rPr>
                      </w:pPr>
                    </w:p>
                    <w:p w14:paraId="5785ABD8" w14:textId="77777777" w:rsidR="00D466DB" w:rsidRDefault="00D466DB"/>
                  </w:txbxContent>
                </v:textbox>
                <w10:wrap anchorx="margin" anchory="margin"/>
              </v:rect>
            </w:pict>
          </mc:Fallback>
        </mc:AlternateContent>
      </w:r>
    </w:p>
    <w:p w14:paraId="74D5A43E" w14:textId="77777777" w:rsidR="00434840" w:rsidRDefault="00434840" w:rsidP="00434840"/>
    <w:p w14:paraId="13BBCF90" w14:textId="77777777" w:rsidR="00434840" w:rsidRDefault="00434840" w:rsidP="00434840"/>
    <w:p w14:paraId="22DC1B4B" w14:textId="77777777" w:rsidR="00434840" w:rsidRDefault="00434840" w:rsidP="00434840"/>
    <w:p w14:paraId="050144F6" w14:textId="77777777" w:rsidR="00434840" w:rsidRDefault="00434840" w:rsidP="00434840"/>
    <w:p w14:paraId="6E540013" w14:textId="77777777" w:rsidR="00434840" w:rsidRDefault="00434840" w:rsidP="00434840"/>
    <w:p w14:paraId="6956A818" w14:textId="77777777" w:rsidR="00434840" w:rsidRDefault="00434840" w:rsidP="00434840"/>
    <w:p w14:paraId="6BCB4712" w14:textId="45249370" w:rsidR="00434840" w:rsidRDefault="00E41654" w:rsidP="00E41654">
      <w:pPr>
        <w:tabs>
          <w:tab w:val="left" w:pos="7530"/>
        </w:tabs>
      </w:pPr>
      <w:r>
        <w:tab/>
      </w:r>
    </w:p>
    <w:p w14:paraId="71466B40" w14:textId="77777777" w:rsidR="00434840" w:rsidRDefault="00434840" w:rsidP="00434840"/>
    <w:p w14:paraId="0DDB1F57" w14:textId="77777777" w:rsidR="00434840" w:rsidRDefault="00434840" w:rsidP="00434840"/>
    <w:p w14:paraId="0F5D00AC" w14:textId="77777777" w:rsidR="00434840" w:rsidRDefault="00434840" w:rsidP="00434840"/>
    <w:p w14:paraId="683D777E" w14:textId="77777777" w:rsidR="00434840" w:rsidRDefault="00434840" w:rsidP="00434840"/>
    <w:p w14:paraId="30D210F2" w14:textId="77777777" w:rsidR="00434840" w:rsidRDefault="00434840" w:rsidP="00434840"/>
    <w:p w14:paraId="1EE02FE0" w14:textId="77777777" w:rsidR="00434840" w:rsidRDefault="00434840" w:rsidP="00434840"/>
    <w:p w14:paraId="2F8EE109" w14:textId="77777777" w:rsidR="00434840" w:rsidRDefault="00434840" w:rsidP="00434840"/>
    <w:p w14:paraId="24689898" w14:textId="5959BFA6" w:rsidR="00434840" w:rsidRDefault="00434840" w:rsidP="00434840"/>
    <w:p w14:paraId="26613228" w14:textId="77777777" w:rsidR="00434840" w:rsidRDefault="00434840" w:rsidP="00434840"/>
    <w:p w14:paraId="6E970FAF" w14:textId="77777777" w:rsidR="00434840" w:rsidRDefault="00434840" w:rsidP="00434840"/>
    <w:p w14:paraId="2D7F2C46" w14:textId="51FBA45A" w:rsidR="00434840" w:rsidRDefault="00982D79" w:rsidP="00982D79">
      <w:pPr>
        <w:tabs>
          <w:tab w:val="left" w:pos="1395"/>
          <w:tab w:val="left" w:pos="5970"/>
        </w:tabs>
      </w:pPr>
      <w:r>
        <w:tab/>
      </w:r>
    </w:p>
    <w:p w14:paraId="56255A07" w14:textId="77777777" w:rsidR="00434840" w:rsidRPr="00434840" w:rsidRDefault="00434840" w:rsidP="00434840"/>
    <w:p w14:paraId="72B0DC79" w14:textId="18CBE85D" w:rsidR="009A4460" w:rsidRDefault="009A4460">
      <w:pPr>
        <w:rPr>
          <w:rFonts w:eastAsia="Times New Roman" w:cs="Open Sans"/>
          <w:b/>
          <w:bCs/>
          <w:color w:val="006991"/>
          <w:sz w:val="40"/>
          <w:szCs w:val="40"/>
        </w:rPr>
      </w:pPr>
      <w:r>
        <w:br w:type="page"/>
      </w:r>
    </w:p>
    <w:p w14:paraId="092797CB" w14:textId="08D26383" w:rsidR="00FE2B0F" w:rsidRDefault="00702502" w:rsidP="00D27159">
      <w:pPr>
        <w:pStyle w:val="Heading2"/>
      </w:pPr>
      <w:r>
        <w:lastRenderedPageBreak/>
        <w:t>Background</w:t>
      </w:r>
    </w:p>
    <w:p w14:paraId="7C4B28FD" w14:textId="5DF51598" w:rsidR="00B21EC8" w:rsidRPr="00BB58BB" w:rsidRDefault="00B21EC8" w:rsidP="00BB58BB">
      <w:pPr>
        <w:pStyle w:val="CGCParaNumber"/>
      </w:pPr>
      <w:r w:rsidRPr="00BB58BB">
        <w:t xml:space="preserve">In each </w:t>
      </w:r>
      <w:r w:rsidR="006B10FB" w:rsidRPr="00BB58BB">
        <w:t xml:space="preserve">annual </w:t>
      </w:r>
      <w:r w:rsidRPr="00BB58BB">
        <w:t>update, the Commission identifies new issues that might affect</w:t>
      </w:r>
      <w:r w:rsidR="7045EB4D" w:rsidRPr="00BB58BB">
        <w:t xml:space="preserve"> the</w:t>
      </w:r>
      <w:r w:rsidRPr="00BB58BB">
        <w:t xml:space="preserve"> GST</w:t>
      </w:r>
      <w:r w:rsidR="00570DDC">
        <w:t> </w:t>
      </w:r>
      <w:r w:rsidRPr="00BB58BB">
        <w:t xml:space="preserve">distribution. </w:t>
      </w:r>
      <w:r w:rsidR="00F6348E" w:rsidRPr="00BB58BB">
        <w:t>A discussion paper</w:t>
      </w:r>
      <w:r w:rsidR="008B4C4B" w:rsidRPr="00BB58BB">
        <w:t xml:space="preserve"> seeking state </w:t>
      </w:r>
      <w:r w:rsidR="008F429B">
        <w:t>and territory</w:t>
      </w:r>
      <w:r w:rsidR="00683555">
        <w:t xml:space="preserve"> (state)</w:t>
      </w:r>
      <w:r w:rsidR="008B4C4B" w:rsidRPr="00BB58BB">
        <w:t xml:space="preserve"> views</w:t>
      </w:r>
      <w:r w:rsidR="006B10FB" w:rsidRPr="00BB58BB">
        <w:t xml:space="preserve"> on new </w:t>
      </w:r>
      <w:r w:rsidR="00EB55DE" w:rsidRPr="00BB58BB">
        <w:t>issues</w:t>
      </w:r>
      <w:r w:rsidR="008B4C4B" w:rsidRPr="00BB58BB">
        <w:t xml:space="preserve"> was </w:t>
      </w:r>
      <w:r w:rsidR="00B62C6B" w:rsidRPr="00BB58BB">
        <w:t>released</w:t>
      </w:r>
      <w:r w:rsidR="008B4C4B" w:rsidRPr="00BB58BB">
        <w:t xml:space="preserve"> on </w:t>
      </w:r>
      <w:r w:rsidR="004E7461" w:rsidRPr="00BB58BB">
        <w:t>1</w:t>
      </w:r>
      <w:r w:rsidR="00B37FBA" w:rsidRPr="00BB58BB">
        <w:t> </w:t>
      </w:r>
      <w:r w:rsidR="004E7461" w:rsidRPr="00BB58BB">
        <w:t>October</w:t>
      </w:r>
      <w:r w:rsidR="008A7ECA" w:rsidRPr="00BB58BB">
        <w:t xml:space="preserve"> 202</w:t>
      </w:r>
      <w:r w:rsidR="004E7461" w:rsidRPr="00BB58BB">
        <w:t>5</w:t>
      </w:r>
      <w:r w:rsidR="008B4C4B" w:rsidRPr="00BB58BB">
        <w:t xml:space="preserve">. </w:t>
      </w:r>
      <w:r w:rsidRPr="00BB58BB">
        <w:t>For the 202</w:t>
      </w:r>
      <w:r w:rsidR="004E7461" w:rsidRPr="00BB58BB">
        <w:t>6</w:t>
      </w:r>
      <w:r w:rsidRPr="00BB58BB">
        <w:t xml:space="preserve"> Update, the</w:t>
      </w:r>
      <w:r w:rsidR="008B4C4B" w:rsidRPr="00BB58BB">
        <w:t xml:space="preserve"> new</w:t>
      </w:r>
      <w:r w:rsidRPr="00BB58BB">
        <w:t xml:space="preserve"> issues fall into the following </w:t>
      </w:r>
      <w:r w:rsidR="006763FA" w:rsidRPr="00BB58BB">
        <w:t>categories</w:t>
      </w:r>
      <w:r w:rsidRPr="00BB58BB">
        <w:t>:</w:t>
      </w:r>
    </w:p>
    <w:p w14:paraId="62440509" w14:textId="77777777" w:rsidR="005B257B" w:rsidRPr="004E7461" w:rsidRDefault="005B257B" w:rsidP="00D535A6">
      <w:pPr>
        <w:pStyle w:val="CGCBullet1"/>
        <w:numPr>
          <w:ilvl w:val="0"/>
          <w:numId w:val="1"/>
        </w:numPr>
      </w:pPr>
      <w:r w:rsidRPr="004E7461">
        <w:t xml:space="preserve">data issues – how the latest available data, data corrections or changes to data availability are incorporated into assessments </w:t>
      </w:r>
    </w:p>
    <w:p w14:paraId="29670063" w14:textId="6B771AB1" w:rsidR="005B257B" w:rsidRPr="004E7461" w:rsidRDefault="005B257B" w:rsidP="00D535A6">
      <w:pPr>
        <w:pStyle w:val="CGCBullet1"/>
        <w:numPr>
          <w:ilvl w:val="0"/>
          <w:numId w:val="1"/>
        </w:numPr>
      </w:pPr>
      <w:r w:rsidRPr="004E7461">
        <w:t xml:space="preserve">assessment issues – relating to how changed </w:t>
      </w:r>
      <w:r w:rsidR="00CD6969" w:rsidRPr="004E7461">
        <w:t xml:space="preserve">state </w:t>
      </w:r>
      <w:r w:rsidRPr="004E7461">
        <w:t>circumstances are incorporated into assessments</w:t>
      </w:r>
    </w:p>
    <w:p w14:paraId="789D01D8" w14:textId="1D608F9D" w:rsidR="005B257B" w:rsidRPr="004E7461" w:rsidRDefault="005B257B" w:rsidP="00D535A6">
      <w:pPr>
        <w:pStyle w:val="CGCBullet1"/>
        <w:numPr>
          <w:ilvl w:val="0"/>
          <w:numId w:val="1"/>
        </w:numPr>
      </w:pPr>
      <w:r w:rsidRPr="004E7461">
        <w:t>treatment of Commonwealth payments, including new payments and major changes in payment arrangements</w:t>
      </w:r>
      <w:r w:rsidRPr="004E7461" w:rsidDel="005B257B">
        <w:t>.</w:t>
      </w:r>
    </w:p>
    <w:p w14:paraId="177E152C" w14:textId="790E16F0" w:rsidR="00E206B6" w:rsidRDefault="00E206B6" w:rsidP="0079655E">
      <w:pPr>
        <w:pStyle w:val="CGCParaNumber"/>
        <w:keepNext/>
      </w:pPr>
      <w:r>
        <w:t>This paper outlines the Commission’s decisions on each of the new issues raised in the discussion paper</w:t>
      </w:r>
      <w:r w:rsidR="00C9145A">
        <w:t xml:space="preserve"> after </w:t>
      </w:r>
      <w:r w:rsidR="008E2CED">
        <w:t>considering</w:t>
      </w:r>
      <w:r w:rsidR="00C9145A">
        <w:t xml:space="preserve"> state comments</w:t>
      </w:r>
      <w:r>
        <w:t xml:space="preserve">. </w:t>
      </w:r>
    </w:p>
    <w:p w14:paraId="5C7E2C0C" w14:textId="333BBED5" w:rsidR="00F06BC2" w:rsidRDefault="00F06BC2" w:rsidP="00F31DE6">
      <w:pPr>
        <w:pStyle w:val="Heading2"/>
      </w:pPr>
      <w:r>
        <w:t>Data issues</w:t>
      </w:r>
    </w:p>
    <w:p w14:paraId="1BCD0CEE" w14:textId="0E163F7C" w:rsidR="00AD0CC4" w:rsidRDefault="00AD0CC4" w:rsidP="00AD0CC4">
      <w:pPr>
        <w:pStyle w:val="Heading3"/>
      </w:pPr>
      <w:r>
        <w:t>Schools</w:t>
      </w:r>
      <w:r w:rsidR="0067336C">
        <w:t xml:space="preserve"> – changes in state funding</w:t>
      </w:r>
    </w:p>
    <w:p w14:paraId="79B8971B" w14:textId="77777777" w:rsidR="00B841B1" w:rsidRDefault="00B841B1" w:rsidP="00B841B1">
      <w:pPr>
        <w:pStyle w:val="Heading5"/>
        <w:rPr>
          <w:rFonts w:hint="eastAsia"/>
        </w:rPr>
      </w:pPr>
      <w:r>
        <w:t>Issue</w:t>
      </w:r>
    </w:p>
    <w:p w14:paraId="0C89C175" w14:textId="715313F4" w:rsidR="00AB5358" w:rsidRPr="002443BD" w:rsidRDefault="0011580C" w:rsidP="00F70334">
      <w:pPr>
        <w:pStyle w:val="CGCParaNumber"/>
      </w:pPr>
      <w:r w:rsidRPr="002443BD">
        <w:t xml:space="preserve">Each year, the Commission recalculates the </w:t>
      </w:r>
      <w:proofErr w:type="gramStart"/>
      <w:r w:rsidRPr="002443BD">
        <w:t>schools</w:t>
      </w:r>
      <w:proofErr w:type="gramEnd"/>
      <w:r w:rsidRPr="002443BD">
        <w:t xml:space="preserve"> regression with the latest available data to determine the relative cost of different groups of students.</w:t>
      </w:r>
      <w:r w:rsidR="00E740AF">
        <w:t xml:space="preserve"> Including the</w:t>
      </w:r>
      <w:r w:rsidR="00E740AF" w:rsidRPr="00E65118">
        <w:t xml:space="preserve"> 2023 </w:t>
      </w:r>
      <w:r w:rsidR="00E740AF">
        <w:t>ACARA</w:t>
      </w:r>
      <w:r w:rsidR="00E740AF" w:rsidRPr="00E65118">
        <w:t xml:space="preserve"> data produced some larger annual changes in coefficients than had been </w:t>
      </w:r>
      <w:r w:rsidR="00E740AF">
        <w:t>estimated</w:t>
      </w:r>
      <w:r w:rsidR="00E740AF" w:rsidRPr="00E65118">
        <w:t xml:space="preserve"> previously.</w:t>
      </w:r>
    </w:p>
    <w:p w14:paraId="41C41020" w14:textId="6F74ECDE" w:rsidR="0011580C" w:rsidRPr="002443BD" w:rsidRDefault="00FE69F2" w:rsidP="00F70334">
      <w:pPr>
        <w:pStyle w:val="CGCParaNumber"/>
      </w:pPr>
      <w:r w:rsidRPr="002443BD">
        <w:t>The Commission</w:t>
      </w:r>
      <w:r w:rsidR="006D2D93">
        <w:t xml:space="preserve"> consulted the states </w:t>
      </w:r>
      <w:r w:rsidR="00DD287C">
        <w:t xml:space="preserve">on the </w:t>
      </w:r>
      <w:r w:rsidRPr="002443BD">
        <w:t xml:space="preserve">use </w:t>
      </w:r>
      <w:r w:rsidR="00DD287C">
        <w:t>of</w:t>
      </w:r>
      <w:r w:rsidRPr="002443BD">
        <w:t xml:space="preserve"> the 2023 ACARA data without adjustment.</w:t>
      </w:r>
    </w:p>
    <w:p w14:paraId="79D22542" w14:textId="77777777" w:rsidR="00B841B1" w:rsidRDefault="00B841B1" w:rsidP="00B841B1">
      <w:pPr>
        <w:pStyle w:val="Heading5"/>
        <w:rPr>
          <w:rFonts w:hint="eastAsia"/>
        </w:rPr>
      </w:pPr>
      <w:r>
        <w:t>State views</w:t>
      </w:r>
    </w:p>
    <w:p w14:paraId="395B58F2" w14:textId="2C5BBCF7" w:rsidR="005832D4" w:rsidRDefault="00B841B1" w:rsidP="00073DAE">
      <w:pPr>
        <w:pStyle w:val="CGCParaNumber"/>
        <w:keepNext/>
      </w:pPr>
      <w:r>
        <w:t xml:space="preserve">All states </w:t>
      </w:r>
      <w:r w:rsidR="004A1C36">
        <w:t xml:space="preserve">broadly </w:t>
      </w:r>
      <w:r>
        <w:t xml:space="preserve">supported </w:t>
      </w:r>
      <w:r w:rsidR="00FE69F2" w:rsidRPr="00FE69F2">
        <w:t>us</w:t>
      </w:r>
      <w:r w:rsidR="00DD287C">
        <w:t>ing</w:t>
      </w:r>
      <w:r w:rsidR="00FE69F2" w:rsidRPr="00FE69F2">
        <w:t xml:space="preserve"> the 2023 ACARA data without adjustment.</w:t>
      </w:r>
    </w:p>
    <w:p w14:paraId="3FF07614" w14:textId="0E7C2A9C" w:rsidR="00175047" w:rsidRDefault="002740E7" w:rsidP="00D535A6">
      <w:pPr>
        <w:pStyle w:val="CGCParaNumber"/>
        <w:keepNext/>
      </w:pPr>
      <w:r>
        <w:t xml:space="preserve">New South Wales and South Australia said the Commission should investigate the ACARA data to ensure they remain fit for purpose into the future. Western Australia and the ACT said the changes </w:t>
      </w:r>
      <w:r w:rsidR="009E22A9">
        <w:t xml:space="preserve">in coefficients </w:t>
      </w:r>
      <w:r>
        <w:t xml:space="preserve">raised questions as to the policy neutrality of the regression model and whether it </w:t>
      </w:r>
      <w:r w:rsidR="00AF392D">
        <w:t>i</w:t>
      </w:r>
      <w:r>
        <w:t xml:space="preserve">s capturing the drivers of costs. </w:t>
      </w:r>
    </w:p>
    <w:p w14:paraId="75ED018E" w14:textId="77777777" w:rsidR="00B841B1" w:rsidRDefault="00B841B1" w:rsidP="00B841B1">
      <w:pPr>
        <w:pStyle w:val="Heading5"/>
        <w:rPr>
          <w:rFonts w:hint="eastAsia"/>
        </w:rPr>
      </w:pPr>
      <w:r>
        <w:t>Commission decision</w:t>
      </w:r>
    </w:p>
    <w:p w14:paraId="38FD2BB3" w14:textId="01D5170F" w:rsidR="009E22A9" w:rsidRPr="00FE77E4" w:rsidRDefault="009E22A9" w:rsidP="00073DAE">
      <w:pPr>
        <w:pStyle w:val="CGCParaNumber"/>
        <w:keepNext/>
      </w:pPr>
      <w:r>
        <w:t>While t</w:t>
      </w:r>
      <w:r w:rsidRPr="00ED26D1">
        <w:t xml:space="preserve">he inclusion of the </w:t>
      </w:r>
      <w:r>
        <w:t xml:space="preserve">2023 </w:t>
      </w:r>
      <w:r w:rsidRPr="00ED26D1">
        <w:t>ACARA data</w:t>
      </w:r>
      <w:r>
        <w:t xml:space="preserve"> led to larger changes in coefficients, the Commission’s investigations</w:t>
      </w:r>
      <w:r w:rsidRPr="00ED26D1">
        <w:t xml:space="preserve"> </w:t>
      </w:r>
      <w:r>
        <w:t>found that</w:t>
      </w:r>
      <w:r w:rsidRPr="00ED26D1">
        <w:t xml:space="preserve"> several states had faster growth in funding for schools with higher proportions of First Nations students</w:t>
      </w:r>
      <w:r>
        <w:t>. This means the assessment continues to reflect the average of how states fund their schools. As such, it remains policy neutral and fit for purpose.</w:t>
      </w:r>
    </w:p>
    <w:p w14:paraId="65241CA4" w14:textId="68F9F114" w:rsidR="00FE69F2" w:rsidRPr="00FE77E4" w:rsidRDefault="00B841B1" w:rsidP="00F546C6">
      <w:pPr>
        <w:pStyle w:val="CGCParaNumber"/>
      </w:pPr>
      <w:r w:rsidRPr="00FE77E4">
        <w:t xml:space="preserve">The Commission </w:t>
      </w:r>
      <w:r w:rsidR="00FE69F2" w:rsidRPr="00FE77E4">
        <w:t>will use the 2023 ACARA data without adjustment.</w:t>
      </w:r>
    </w:p>
    <w:p w14:paraId="34553115" w14:textId="58AD3A39" w:rsidR="00F06BC2" w:rsidRDefault="00B841B1" w:rsidP="0084445F">
      <w:pPr>
        <w:pStyle w:val="Heading3"/>
        <w:keepNext/>
      </w:pPr>
      <w:r>
        <w:lastRenderedPageBreak/>
        <w:t>Health</w:t>
      </w:r>
      <w:r w:rsidR="0067336C">
        <w:t xml:space="preserve"> – community health activity proxy</w:t>
      </w:r>
    </w:p>
    <w:p w14:paraId="56CA3C95" w14:textId="7ED1FE9E" w:rsidR="000F0987" w:rsidRPr="005F7DE4" w:rsidRDefault="000F0987" w:rsidP="000F0987">
      <w:pPr>
        <w:pStyle w:val="CGCParaNumber"/>
        <w:keepNext/>
      </w:pPr>
      <w:r>
        <w:t>The community and public health assessment uses a proxy measure of activity based on a combination of ED triage 4 and 5 activity and selected NAP activity.</w:t>
      </w:r>
      <w:r w:rsidR="00E44B13" w:rsidRPr="008107A3">
        <w:rPr>
          <w:rStyle w:val="FootnoteReference"/>
          <w:szCs w:val="20"/>
        </w:rPr>
        <w:footnoteReference w:id="2"/>
      </w:r>
    </w:p>
    <w:p w14:paraId="27830A27" w14:textId="15D45BE7" w:rsidR="000F0987" w:rsidRPr="005F7DE4" w:rsidRDefault="000F0987" w:rsidP="000F0987">
      <w:pPr>
        <w:pStyle w:val="CGCParaNumber"/>
      </w:pPr>
      <w:r w:rsidRPr="005F7DE4">
        <w:t xml:space="preserve">Two issues </w:t>
      </w:r>
      <w:r w:rsidR="008C7F92">
        <w:t>arose</w:t>
      </w:r>
      <w:r w:rsidRPr="005F7DE4">
        <w:t xml:space="preserve"> with the data used to calculate the proxy</w:t>
      </w:r>
      <w:r>
        <w:t>:</w:t>
      </w:r>
    </w:p>
    <w:p w14:paraId="692954D4" w14:textId="77777777" w:rsidR="000F0987" w:rsidRPr="005F7DE4" w:rsidRDefault="000F0987" w:rsidP="00D535A6">
      <w:pPr>
        <w:pStyle w:val="CGCBullet1"/>
        <w:numPr>
          <w:ilvl w:val="0"/>
          <w:numId w:val="1"/>
        </w:numPr>
      </w:pPr>
      <w:r w:rsidRPr="005F7DE4">
        <w:t xml:space="preserve">3 new categories of </w:t>
      </w:r>
      <w:r>
        <w:t>NAP</w:t>
      </w:r>
      <w:r w:rsidRPr="005F7DE4">
        <w:t xml:space="preserve"> services</w:t>
      </w:r>
    </w:p>
    <w:p w14:paraId="71A840F9" w14:textId="77777777" w:rsidR="000F0987" w:rsidRDefault="000F0987" w:rsidP="00D535A6">
      <w:pPr>
        <w:pStyle w:val="CGCBullet1"/>
        <w:numPr>
          <w:ilvl w:val="0"/>
          <w:numId w:val="1"/>
        </w:numPr>
      </w:pPr>
      <w:r w:rsidRPr="005F7DE4">
        <w:t>coverage of ED triage 4 and 5 activity data.</w:t>
      </w:r>
    </w:p>
    <w:p w14:paraId="0CA38424" w14:textId="77777777" w:rsidR="008F305C" w:rsidRDefault="008F305C" w:rsidP="00DF29EE">
      <w:pPr>
        <w:pStyle w:val="Heading4"/>
        <w:rPr>
          <w:rFonts w:hint="eastAsia"/>
        </w:rPr>
      </w:pPr>
      <w:r>
        <w:t>Non-admitted patient clinic categories</w:t>
      </w:r>
    </w:p>
    <w:p w14:paraId="4FB2A824" w14:textId="4454A69B" w:rsidR="00F31DE6" w:rsidRDefault="00BF6728" w:rsidP="00CB1A2C">
      <w:pPr>
        <w:pStyle w:val="Heading5"/>
        <w:rPr>
          <w:rFonts w:hint="eastAsia"/>
        </w:rPr>
      </w:pPr>
      <w:r>
        <w:t>Issue</w:t>
      </w:r>
    </w:p>
    <w:p w14:paraId="2D8082C7" w14:textId="662E5EB0" w:rsidR="00991CD5" w:rsidRDefault="00991CD5" w:rsidP="00E44B13">
      <w:pPr>
        <w:pStyle w:val="CGCParaNumber"/>
      </w:pPr>
      <w:r>
        <w:t xml:space="preserve">The 2023–24 data on NAP activity from the Independent Health and Aged Care Pricing Authority (IHACPA) include 3 new </w:t>
      </w:r>
      <w:r w:rsidRPr="00B95E14">
        <w:t xml:space="preserve">Tier 2 </w:t>
      </w:r>
      <w:r>
        <w:t xml:space="preserve">clinic categories for services provided by allied health personnel and/or clinical nurse specialists (Table </w:t>
      </w:r>
      <w:r w:rsidR="008C2DD1">
        <w:t>1</w:t>
      </w:r>
      <w:r>
        <w:t xml:space="preserve">). The Commission </w:t>
      </w:r>
      <w:r w:rsidR="00B74268">
        <w:t>sought state views</w:t>
      </w:r>
      <w:r>
        <w:t xml:space="preserve"> </w:t>
      </w:r>
      <w:r w:rsidR="00F6042B">
        <w:t xml:space="preserve">on whether </w:t>
      </w:r>
      <w:r>
        <w:t xml:space="preserve">these </w:t>
      </w:r>
      <w:r w:rsidR="00E654C8">
        <w:t xml:space="preserve">new </w:t>
      </w:r>
      <w:r>
        <w:t xml:space="preserve">categories </w:t>
      </w:r>
      <w:r w:rsidR="00302719">
        <w:t xml:space="preserve">should be included </w:t>
      </w:r>
      <w:r>
        <w:t xml:space="preserve">in its proxy for </w:t>
      </w:r>
      <w:r w:rsidRPr="00354B26">
        <w:t>community and public health</w:t>
      </w:r>
      <w:r>
        <w:t xml:space="preserve"> activity.</w:t>
      </w:r>
    </w:p>
    <w:p w14:paraId="3625DE44" w14:textId="513F50B1" w:rsidR="00991CD5" w:rsidRPr="005D1FEA" w:rsidRDefault="00991CD5" w:rsidP="00991CD5">
      <w:pPr>
        <w:pStyle w:val="Caption"/>
        <w:rPr>
          <w:rFonts w:eastAsiaTheme="minorHAnsi" w:cstheme="minorBidi"/>
          <w:b w:val="0"/>
          <w:szCs w:val="22"/>
        </w:rPr>
      </w:pPr>
      <w:bookmarkStart w:id="0" w:name="_Ref205299177"/>
      <w:bookmarkStart w:id="1" w:name="_Hlk215493735"/>
      <w:r w:rsidRPr="005D1FEA">
        <w:rPr>
          <w:rFonts w:eastAsiaTheme="minorHAnsi" w:cstheme="minorBidi"/>
          <w:szCs w:val="22"/>
        </w:rPr>
        <w:t>Table</w:t>
      </w:r>
      <w:bookmarkEnd w:id="0"/>
      <w:r w:rsidRPr="005D1FEA">
        <w:rPr>
          <w:rFonts w:eastAsiaTheme="minorHAnsi" w:cstheme="minorBidi"/>
          <w:szCs w:val="22"/>
        </w:rPr>
        <w:t xml:space="preserve"> </w:t>
      </w:r>
      <w:r w:rsidR="008C2DD1">
        <w:rPr>
          <w:rFonts w:eastAsiaTheme="minorHAnsi" w:cstheme="minorBidi"/>
          <w:szCs w:val="22"/>
        </w:rPr>
        <w:t>1</w:t>
      </w:r>
      <w:r w:rsidRPr="005D1FEA">
        <w:rPr>
          <w:rFonts w:eastAsiaTheme="minorHAnsi" w:cstheme="minorBidi"/>
          <w:szCs w:val="22"/>
        </w:rPr>
        <w:tab/>
        <w:t>New allied health non-admitted patient service classifications</w:t>
      </w:r>
    </w:p>
    <w:tbl>
      <w:tblPr>
        <w:tblW w:w="5000" w:type="pct"/>
        <w:tblLook w:val="04A0" w:firstRow="1" w:lastRow="0" w:firstColumn="1" w:lastColumn="0" w:noHBand="0" w:noVBand="1"/>
      </w:tblPr>
      <w:tblGrid>
        <w:gridCol w:w="1359"/>
        <w:gridCol w:w="7667"/>
      </w:tblGrid>
      <w:tr w:rsidR="00991CD5" w:rsidRPr="004A0A2A" w14:paraId="6C6E64F9" w14:textId="77777777">
        <w:trPr>
          <w:trHeight w:val="375"/>
          <w:tblHeader/>
        </w:trPr>
        <w:tc>
          <w:tcPr>
            <w:tcW w:w="753" w:type="pct"/>
            <w:tcBorders>
              <w:top w:val="nil"/>
              <w:left w:val="nil"/>
              <w:bottom w:val="nil"/>
              <w:right w:val="nil"/>
            </w:tcBorders>
            <w:shd w:val="clear" w:color="000000" w:fill="006991"/>
            <w:noWrap/>
            <w:vAlign w:val="center"/>
            <w:hideMark/>
          </w:tcPr>
          <w:bookmarkEnd w:id="1"/>
          <w:p w14:paraId="65CCA59A" w14:textId="77777777" w:rsidR="00991CD5" w:rsidRPr="004A0A2A" w:rsidRDefault="00991CD5">
            <w:pPr>
              <w:keepNext/>
              <w:keepLines/>
              <w:spacing w:line="240" w:lineRule="auto"/>
              <w:rPr>
                <w:rFonts w:ascii="Open Sans Semibold" w:eastAsia="Times New Roman" w:hAnsi="Open Sans Semibold" w:cs="Open Sans Semibold"/>
                <w:color w:val="FFFFFF"/>
                <w:sz w:val="16"/>
                <w:szCs w:val="16"/>
                <w:lang w:eastAsia="en-AU"/>
              </w:rPr>
            </w:pPr>
            <w:r w:rsidRPr="004A0A2A">
              <w:rPr>
                <w:rFonts w:ascii="Open Sans Semibold" w:eastAsia="Times New Roman" w:hAnsi="Open Sans Semibold" w:cs="Open Sans Semibold"/>
                <w:color w:val="FFFFFF"/>
                <w:sz w:val="16"/>
                <w:szCs w:val="16"/>
                <w:lang w:eastAsia="en-AU"/>
              </w:rPr>
              <w:t>Tier 2</w:t>
            </w:r>
          </w:p>
        </w:tc>
        <w:tc>
          <w:tcPr>
            <w:tcW w:w="4247" w:type="pct"/>
            <w:tcBorders>
              <w:top w:val="nil"/>
              <w:left w:val="nil"/>
              <w:bottom w:val="nil"/>
              <w:right w:val="nil"/>
            </w:tcBorders>
            <w:shd w:val="clear" w:color="000000" w:fill="006991"/>
            <w:noWrap/>
            <w:vAlign w:val="center"/>
            <w:hideMark/>
          </w:tcPr>
          <w:p w14:paraId="76F9E90C" w14:textId="77777777" w:rsidR="00991CD5" w:rsidRPr="004A0A2A" w:rsidRDefault="00991CD5">
            <w:pPr>
              <w:keepNext/>
              <w:keepLines/>
              <w:spacing w:line="240" w:lineRule="auto"/>
              <w:rPr>
                <w:rFonts w:ascii="Open Sans Semibold" w:eastAsia="Times New Roman" w:hAnsi="Open Sans Semibold" w:cs="Open Sans Semibold"/>
                <w:color w:val="FFFFFF"/>
                <w:sz w:val="16"/>
                <w:szCs w:val="16"/>
                <w:lang w:eastAsia="en-AU"/>
              </w:rPr>
            </w:pPr>
            <w:r w:rsidRPr="004A0A2A">
              <w:rPr>
                <w:rFonts w:ascii="Open Sans Semibold" w:eastAsia="Times New Roman" w:hAnsi="Open Sans Semibold" w:cs="Open Sans Semibold"/>
                <w:color w:val="FFFFFF"/>
                <w:sz w:val="16"/>
                <w:szCs w:val="16"/>
                <w:lang w:eastAsia="en-AU"/>
              </w:rPr>
              <w:t>Non-admitted patient service</w:t>
            </w:r>
          </w:p>
        </w:tc>
      </w:tr>
      <w:tr w:rsidR="00991CD5" w:rsidRPr="004A0A2A" w14:paraId="5AF29B1C" w14:textId="77777777">
        <w:trPr>
          <w:trHeight w:val="300"/>
        </w:trPr>
        <w:tc>
          <w:tcPr>
            <w:tcW w:w="753" w:type="pct"/>
            <w:tcBorders>
              <w:top w:val="nil"/>
              <w:left w:val="nil"/>
              <w:bottom w:val="single" w:sz="4" w:space="0" w:color="ADD6EA"/>
              <w:right w:val="nil"/>
            </w:tcBorders>
            <w:shd w:val="clear" w:color="000000" w:fill="FFFFFF"/>
            <w:vAlign w:val="bottom"/>
            <w:hideMark/>
          </w:tcPr>
          <w:p w14:paraId="622488C9" w14:textId="77777777" w:rsidR="00991CD5" w:rsidRPr="00D160EB" w:rsidRDefault="00991CD5">
            <w:pPr>
              <w:keepNext/>
              <w:keepLines/>
              <w:spacing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40.65</w:t>
            </w:r>
          </w:p>
        </w:tc>
        <w:tc>
          <w:tcPr>
            <w:tcW w:w="4247" w:type="pct"/>
            <w:tcBorders>
              <w:top w:val="nil"/>
              <w:left w:val="nil"/>
              <w:bottom w:val="single" w:sz="4" w:space="0" w:color="ADD6EA"/>
              <w:right w:val="nil"/>
            </w:tcBorders>
            <w:shd w:val="clear" w:color="000000" w:fill="FFFFFF"/>
            <w:vAlign w:val="bottom"/>
            <w:hideMark/>
          </w:tcPr>
          <w:p w14:paraId="2EA06940" w14:textId="77777777" w:rsidR="00991CD5" w:rsidRPr="00D160EB" w:rsidRDefault="00991CD5">
            <w:pPr>
              <w:keepNext/>
              <w:keepLines/>
              <w:spacing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Violence, abuse and neglect services</w:t>
            </w:r>
          </w:p>
        </w:tc>
      </w:tr>
      <w:tr w:rsidR="00991CD5" w:rsidRPr="004A0A2A" w14:paraId="481A1FA2" w14:textId="77777777">
        <w:trPr>
          <w:trHeight w:val="300"/>
        </w:trPr>
        <w:tc>
          <w:tcPr>
            <w:tcW w:w="753" w:type="pct"/>
            <w:tcBorders>
              <w:top w:val="nil"/>
              <w:left w:val="nil"/>
              <w:bottom w:val="single" w:sz="4" w:space="0" w:color="ADD6EA"/>
              <w:right w:val="nil"/>
            </w:tcBorders>
            <w:shd w:val="clear" w:color="000000" w:fill="FFFFFF"/>
            <w:vAlign w:val="bottom"/>
            <w:hideMark/>
          </w:tcPr>
          <w:p w14:paraId="2835595D" w14:textId="77777777" w:rsidR="00991CD5" w:rsidRPr="00D160EB" w:rsidRDefault="00991CD5">
            <w:pPr>
              <w:keepNext/>
              <w:keepLines/>
              <w:spacing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40.66</w:t>
            </w:r>
          </w:p>
        </w:tc>
        <w:tc>
          <w:tcPr>
            <w:tcW w:w="4247" w:type="pct"/>
            <w:tcBorders>
              <w:top w:val="nil"/>
              <w:left w:val="nil"/>
              <w:bottom w:val="single" w:sz="4" w:space="0" w:color="ADD6EA"/>
              <w:right w:val="nil"/>
            </w:tcBorders>
            <w:shd w:val="clear" w:color="000000" w:fill="FFFFFF"/>
            <w:vAlign w:val="bottom"/>
            <w:hideMark/>
          </w:tcPr>
          <w:p w14:paraId="21B2169C" w14:textId="77777777" w:rsidR="00991CD5" w:rsidRPr="00D160EB" w:rsidRDefault="00991CD5">
            <w:pPr>
              <w:keepNext/>
              <w:keepLines/>
              <w:spacing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Genetic counselling</w:t>
            </w:r>
          </w:p>
        </w:tc>
      </w:tr>
      <w:tr w:rsidR="00991CD5" w:rsidRPr="004A0A2A" w14:paraId="2BD7AAD8" w14:textId="77777777">
        <w:trPr>
          <w:trHeight w:val="300"/>
        </w:trPr>
        <w:tc>
          <w:tcPr>
            <w:tcW w:w="753" w:type="pct"/>
            <w:tcBorders>
              <w:top w:val="nil"/>
              <w:left w:val="nil"/>
              <w:bottom w:val="single" w:sz="4" w:space="0" w:color="ADD6EA"/>
              <w:right w:val="nil"/>
            </w:tcBorders>
            <w:shd w:val="clear" w:color="000000" w:fill="FFFFFF"/>
            <w:vAlign w:val="bottom"/>
            <w:hideMark/>
          </w:tcPr>
          <w:p w14:paraId="2D3C7633" w14:textId="77777777" w:rsidR="00991CD5" w:rsidRPr="00D160EB" w:rsidRDefault="00991CD5">
            <w:pPr>
              <w:keepNext/>
              <w:keepLines/>
              <w:spacing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40.67</w:t>
            </w:r>
          </w:p>
        </w:tc>
        <w:tc>
          <w:tcPr>
            <w:tcW w:w="4247" w:type="pct"/>
            <w:tcBorders>
              <w:top w:val="nil"/>
              <w:left w:val="nil"/>
              <w:bottom w:val="single" w:sz="4" w:space="0" w:color="ADD6EA"/>
              <w:right w:val="nil"/>
            </w:tcBorders>
            <w:shd w:val="clear" w:color="000000" w:fill="FFFFFF"/>
            <w:vAlign w:val="bottom"/>
            <w:hideMark/>
          </w:tcPr>
          <w:p w14:paraId="038F4F08" w14:textId="77777777" w:rsidR="00991CD5" w:rsidRPr="00D160EB" w:rsidRDefault="00991CD5">
            <w:pPr>
              <w:keepNext/>
              <w:keepLines/>
              <w:spacing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Long COVID</w:t>
            </w:r>
          </w:p>
        </w:tc>
      </w:tr>
    </w:tbl>
    <w:p w14:paraId="0BC1D825" w14:textId="1EA5CDE7" w:rsidR="00991CD5" w:rsidRDefault="00991CD5" w:rsidP="00014740">
      <w:pPr>
        <w:pStyle w:val="Tablenote"/>
        <w:ind w:left="709" w:hanging="652"/>
      </w:pPr>
      <w:r>
        <w:t>Source:</w:t>
      </w:r>
      <w:r>
        <w:tab/>
        <w:t>I</w:t>
      </w:r>
      <w:r w:rsidR="00EA7BE2">
        <w:t>HAC</w:t>
      </w:r>
      <w:r w:rsidR="00C31D6F">
        <w:t>PA</w:t>
      </w:r>
      <w:r>
        <w:t xml:space="preserve">, </w:t>
      </w:r>
      <w:hyperlink r:id="rId13" w:history="1">
        <w:r w:rsidRPr="006A4F2C">
          <w:rPr>
            <w:rStyle w:val="Hyperlink"/>
          </w:rPr>
          <w:t>Tier 2 non-admitted services 2023–24</w:t>
        </w:r>
      </w:hyperlink>
      <w:r>
        <w:t>, 2023, accessed 5 August 2025.</w:t>
      </w:r>
    </w:p>
    <w:p w14:paraId="578AA209" w14:textId="3F8506B1" w:rsidR="00A85200" w:rsidRDefault="00A85200" w:rsidP="00A85200">
      <w:pPr>
        <w:pStyle w:val="Heading5"/>
        <w:rPr>
          <w:rFonts w:hint="eastAsia"/>
        </w:rPr>
      </w:pPr>
      <w:r>
        <w:t>State views</w:t>
      </w:r>
    </w:p>
    <w:p w14:paraId="49F55782" w14:textId="2229F089" w:rsidR="00240137" w:rsidRDefault="03D04D42">
      <w:pPr>
        <w:pStyle w:val="CGCParaNumber"/>
      </w:pPr>
      <w:r>
        <w:t>All</w:t>
      </w:r>
      <w:r w:rsidR="60D8603D">
        <w:t xml:space="preserve"> states</w:t>
      </w:r>
      <w:r>
        <w:t xml:space="preserve"> except </w:t>
      </w:r>
      <w:r w:rsidR="00C53EBB">
        <w:t>the Northern Territory</w:t>
      </w:r>
      <w:r>
        <w:t xml:space="preserve"> supported </w:t>
      </w:r>
      <w:r w:rsidR="00C53EBB">
        <w:t>includ</w:t>
      </w:r>
      <w:r w:rsidR="0053288E">
        <w:t>ing</w:t>
      </w:r>
      <w:r w:rsidR="00C53EBB">
        <w:t xml:space="preserve"> NAP allied health services relating to violence, abuse and neglect services</w:t>
      </w:r>
      <w:r w:rsidR="00E75A33">
        <w:t>,</w:t>
      </w:r>
      <w:r w:rsidR="00C53EBB">
        <w:t xml:space="preserve"> and genetic counselling in </w:t>
      </w:r>
      <w:r w:rsidR="008C5394">
        <w:t xml:space="preserve">the </w:t>
      </w:r>
      <w:r w:rsidR="00C53EBB">
        <w:t>proxy for community and public health activity</w:t>
      </w:r>
      <w:r w:rsidR="009B6663">
        <w:t xml:space="preserve"> in the 2026</w:t>
      </w:r>
      <w:r w:rsidR="00126337">
        <w:t> </w:t>
      </w:r>
      <w:r w:rsidR="009B6663">
        <w:t>Update</w:t>
      </w:r>
      <w:r w:rsidR="0074610B">
        <w:t>.</w:t>
      </w:r>
      <w:r w:rsidR="003E76A2">
        <w:t xml:space="preserve"> </w:t>
      </w:r>
      <w:r w:rsidR="001424C9">
        <w:t>T</w:t>
      </w:r>
      <w:r w:rsidR="00C53EBB">
        <w:t xml:space="preserve">he Northern Territory did </w:t>
      </w:r>
      <w:r w:rsidR="00C43558">
        <w:t xml:space="preserve">not </w:t>
      </w:r>
      <w:r w:rsidR="00C53EBB">
        <w:t xml:space="preserve">support </w:t>
      </w:r>
      <w:r w:rsidR="008E3BE8">
        <w:t>inclu</w:t>
      </w:r>
      <w:r w:rsidR="002E3308">
        <w:t>ding</w:t>
      </w:r>
      <w:r w:rsidR="008E3BE8">
        <w:t xml:space="preserve"> the </w:t>
      </w:r>
      <w:r w:rsidR="00CE7230">
        <w:t>2</w:t>
      </w:r>
      <w:r w:rsidR="008E3BE8">
        <w:t xml:space="preserve"> new classifications </w:t>
      </w:r>
      <w:r w:rsidR="00C743D5">
        <w:t>on data quality grounds</w:t>
      </w:r>
      <w:r w:rsidR="005469EC">
        <w:t xml:space="preserve">. It said the uneven </w:t>
      </w:r>
      <w:r w:rsidR="003E5B15">
        <w:t xml:space="preserve">distribution of activity </w:t>
      </w:r>
      <w:r w:rsidR="003B7EF6">
        <w:t>suggested the data were not fit for purpose</w:t>
      </w:r>
      <w:r w:rsidR="006D64EE">
        <w:t>.</w:t>
      </w:r>
    </w:p>
    <w:p w14:paraId="1EBC7E93" w14:textId="03438BCF" w:rsidR="00B2108A" w:rsidRDefault="00B2108A">
      <w:pPr>
        <w:pStyle w:val="CGCParaNumber"/>
      </w:pPr>
      <w:r>
        <w:t xml:space="preserve">All states supported </w:t>
      </w:r>
      <w:r w:rsidR="008B4ECB">
        <w:t>ex</w:t>
      </w:r>
      <w:r>
        <w:t>clud</w:t>
      </w:r>
      <w:r w:rsidR="008C5394">
        <w:t>ing</w:t>
      </w:r>
      <w:r>
        <w:t xml:space="preserve"> NAP allied health services relating to long COVID </w:t>
      </w:r>
      <w:r w:rsidR="00005416">
        <w:t>from</w:t>
      </w:r>
      <w:r>
        <w:t xml:space="preserve"> the</w:t>
      </w:r>
      <w:r w:rsidR="008C5394">
        <w:t xml:space="preserve"> proxy for the</w:t>
      </w:r>
      <w:r>
        <w:t xml:space="preserve"> 2026 Update.</w:t>
      </w:r>
    </w:p>
    <w:p w14:paraId="226CC24E" w14:textId="425443FF" w:rsidR="00A85200" w:rsidRDefault="00A85200" w:rsidP="0C0027AC">
      <w:pPr>
        <w:pStyle w:val="Heading5"/>
        <w:rPr>
          <w:rFonts w:hint="eastAsia"/>
        </w:rPr>
      </w:pPr>
      <w:r>
        <w:t>Commission decision</w:t>
      </w:r>
    </w:p>
    <w:p w14:paraId="7FE6958B" w14:textId="67B749A3" w:rsidR="005D6635" w:rsidRDefault="001946BE">
      <w:pPr>
        <w:pStyle w:val="CGCParaNumber"/>
      </w:pPr>
      <w:r>
        <w:t xml:space="preserve">Under the </w:t>
      </w:r>
      <w:r w:rsidR="005D6635" w:rsidRPr="00200EF4">
        <w:t>2025 Review</w:t>
      </w:r>
      <w:r w:rsidR="0078421D">
        <w:t xml:space="preserve"> method</w:t>
      </w:r>
      <w:r w:rsidR="00EA1240" w:rsidRPr="00200EF4">
        <w:t>, the Commission</w:t>
      </w:r>
      <w:r w:rsidR="00335A8B" w:rsidRPr="00200EF4">
        <w:t xml:space="preserve"> </w:t>
      </w:r>
      <w:r>
        <w:t xml:space="preserve">will </w:t>
      </w:r>
      <w:r w:rsidR="009678FA" w:rsidRPr="00200EF4">
        <w:t xml:space="preserve">update the </w:t>
      </w:r>
      <w:r w:rsidR="00200EF4" w:rsidRPr="00200EF4">
        <w:t xml:space="preserve">community and public health </w:t>
      </w:r>
      <w:r w:rsidR="009678FA" w:rsidRPr="00200EF4">
        <w:t>proxy</w:t>
      </w:r>
      <w:r w:rsidR="00200EF4" w:rsidRPr="00200EF4">
        <w:t xml:space="preserve"> each year.</w:t>
      </w:r>
      <w:r w:rsidR="00E44B13">
        <w:t xml:space="preserve"> NAP services are included in the proxy if they are </w:t>
      </w:r>
      <w:proofErr w:type="gramStart"/>
      <w:r w:rsidR="00E44B13" w:rsidRPr="006D3968">
        <w:t xml:space="preserve">similar </w:t>
      </w:r>
      <w:r w:rsidR="00E44B13">
        <w:t>to</w:t>
      </w:r>
      <w:proofErr w:type="gramEnd"/>
      <w:r w:rsidR="00E44B13">
        <w:t xml:space="preserve"> </w:t>
      </w:r>
      <w:r w:rsidR="00E44B13" w:rsidRPr="006D3968">
        <w:t>community and public health services.</w:t>
      </w:r>
      <w:r w:rsidR="003F5ABE">
        <w:t xml:space="preserve"> This </w:t>
      </w:r>
      <w:r w:rsidR="00B63639">
        <w:t>i</w:t>
      </w:r>
      <w:r w:rsidR="003F5ABE">
        <w:t xml:space="preserve">s on the assumption that </w:t>
      </w:r>
      <w:r w:rsidR="00523EAE">
        <w:t>if service types and access levels are similar then socio-demographic usage patterns will be similar.</w:t>
      </w:r>
    </w:p>
    <w:p w14:paraId="3692E1B1" w14:textId="7001A056" w:rsidR="008F3ADF" w:rsidRPr="00B353B4" w:rsidRDefault="00575E08" w:rsidP="00B90E31">
      <w:pPr>
        <w:pStyle w:val="CGCParaNumber"/>
      </w:pPr>
      <w:r>
        <w:t>NAP allied health services relating to violence, abuse and neglect</w:t>
      </w:r>
      <w:r w:rsidR="00E75A33">
        <w:t>,</w:t>
      </w:r>
      <w:r>
        <w:t xml:space="preserve"> and genetic counselling</w:t>
      </w:r>
      <w:r w:rsidR="00E44B13">
        <w:t xml:space="preserve"> are commonly provided in community health settings.</w:t>
      </w:r>
      <w:r w:rsidR="002641EE">
        <w:t xml:space="preserve"> </w:t>
      </w:r>
      <w:r w:rsidR="00A02039">
        <w:t>The</w:t>
      </w:r>
      <w:r w:rsidR="00A0377B">
        <w:t xml:space="preserve"> Commission </w:t>
      </w:r>
      <w:r w:rsidR="007D5376">
        <w:t xml:space="preserve">does not consider the uneven distribution of activity for </w:t>
      </w:r>
      <w:r w:rsidR="00E27393">
        <w:t>the</w:t>
      </w:r>
      <w:r w:rsidR="3E4BAA23">
        <w:t>se</w:t>
      </w:r>
      <w:r w:rsidR="00E27393">
        <w:t xml:space="preserve"> </w:t>
      </w:r>
      <w:r w:rsidR="002641EE">
        <w:t xml:space="preserve">2 </w:t>
      </w:r>
      <w:r w:rsidR="00E01A9A">
        <w:t xml:space="preserve">new </w:t>
      </w:r>
      <w:r w:rsidR="00E27393">
        <w:t xml:space="preserve">types of </w:t>
      </w:r>
      <w:r w:rsidR="002641EE">
        <w:t>services</w:t>
      </w:r>
      <w:r w:rsidR="00E27393">
        <w:t xml:space="preserve"> </w:t>
      </w:r>
      <w:r w:rsidR="002965F9">
        <w:t>to be</w:t>
      </w:r>
      <w:r w:rsidR="00E27393">
        <w:t xml:space="preserve"> grounds for excluding them from the proxy</w:t>
      </w:r>
      <w:r w:rsidR="00641D41">
        <w:t>. S</w:t>
      </w:r>
      <w:r w:rsidR="00A27E71">
        <w:t xml:space="preserve">tates </w:t>
      </w:r>
      <w:r w:rsidR="00FF28DF">
        <w:t>can</w:t>
      </w:r>
      <w:r w:rsidR="00A40F09">
        <w:t xml:space="preserve"> </w:t>
      </w:r>
      <w:r w:rsidR="00BB1476">
        <w:t xml:space="preserve">differ </w:t>
      </w:r>
      <w:r w:rsidR="00A27E71">
        <w:t xml:space="preserve">in </w:t>
      </w:r>
      <w:r w:rsidR="00C52318">
        <w:t>how they</w:t>
      </w:r>
      <w:r w:rsidR="00A27E71">
        <w:t xml:space="preserve"> </w:t>
      </w:r>
      <w:r w:rsidR="005909D8">
        <w:t xml:space="preserve">deliver </w:t>
      </w:r>
      <w:r w:rsidR="005970FD">
        <w:t xml:space="preserve">(and </w:t>
      </w:r>
      <w:r w:rsidR="004655E8">
        <w:t>report on</w:t>
      </w:r>
      <w:r w:rsidR="00462640">
        <w:t>)</w:t>
      </w:r>
      <w:r w:rsidR="004655E8">
        <w:t xml:space="preserve"> </w:t>
      </w:r>
      <w:r w:rsidR="006A6132">
        <w:t xml:space="preserve">some </w:t>
      </w:r>
      <w:r w:rsidR="00F54D2D">
        <w:t xml:space="preserve">allied </w:t>
      </w:r>
      <w:r w:rsidR="00A27E71">
        <w:t>health services.</w:t>
      </w:r>
      <w:r w:rsidR="00034C41">
        <w:t xml:space="preserve"> </w:t>
      </w:r>
      <w:r w:rsidR="00047FFB" w:rsidRPr="00B353B4">
        <w:t xml:space="preserve">Comparable services </w:t>
      </w:r>
      <w:r w:rsidR="00D73319" w:rsidRPr="00B353B4">
        <w:t xml:space="preserve">may </w:t>
      </w:r>
      <w:r w:rsidR="007161DA" w:rsidRPr="00B353B4">
        <w:t xml:space="preserve">be </w:t>
      </w:r>
      <w:r w:rsidR="005909D8">
        <w:t xml:space="preserve">delivered </w:t>
      </w:r>
      <w:r w:rsidR="007161DA" w:rsidRPr="00B353B4">
        <w:t xml:space="preserve">as </w:t>
      </w:r>
      <w:r w:rsidR="00AC5A38" w:rsidRPr="00B353B4">
        <w:t xml:space="preserve">NAP </w:t>
      </w:r>
      <w:r w:rsidR="005909D8">
        <w:t>services</w:t>
      </w:r>
      <w:r w:rsidR="005909D8" w:rsidRPr="00B353B4">
        <w:t xml:space="preserve"> </w:t>
      </w:r>
      <w:r w:rsidR="007161DA" w:rsidRPr="00B353B4">
        <w:t xml:space="preserve">in some states and as </w:t>
      </w:r>
      <w:r w:rsidR="00A27E71" w:rsidRPr="00B353B4">
        <w:t xml:space="preserve">community health </w:t>
      </w:r>
      <w:r w:rsidR="005909D8">
        <w:t xml:space="preserve">services </w:t>
      </w:r>
      <w:r w:rsidR="00D55B09" w:rsidRPr="00B353B4">
        <w:t>in others</w:t>
      </w:r>
      <w:r w:rsidR="00A27E71" w:rsidRPr="00B353B4">
        <w:t xml:space="preserve">. </w:t>
      </w:r>
      <w:r w:rsidR="00F626BA" w:rsidRPr="00B353B4">
        <w:t>T</w:t>
      </w:r>
      <w:r w:rsidR="00484140" w:rsidRPr="00B353B4">
        <w:t>o</w:t>
      </w:r>
      <w:r w:rsidR="00F626BA" w:rsidRPr="00B353B4">
        <w:t xml:space="preserve"> ensure </w:t>
      </w:r>
      <w:r w:rsidR="001E1FED">
        <w:t>the</w:t>
      </w:r>
      <w:r w:rsidR="00F626BA" w:rsidRPr="00B353B4">
        <w:t xml:space="preserve"> proxy is comprehensive, the Commission considers it </w:t>
      </w:r>
      <w:r w:rsidR="008B0EC1">
        <w:t>appropriate</w:t>
      </w:r>
      <w:r w:rsidR="00F626BA" w:rsidRPr="00B353B4">
        <w:t xml:space="preserve"> to include </w:t>
      </w:r>
      <w:r w:rsidR="00A33200" w:rsidRPr="00B353B4">
        <w:t xml:space="preserve">activity for the 2 types of services in its proxy where </w:t>
      </w:r>
      <w:r w:rsidR="007B4D80">
        <w:t xml:space="preserve">they are </w:t>
      </w:r>
      <w:r w:rsidR="00A33200" w:rsidRPr="00B353B4">
        <w:t xml:space="preserve">reported as NAP activity. </w:t>
      </w:r>
      <w:r w:rsidR="002A0B83">
        <w:t>T</w:t>
      </w:r>
      <w:r w:rsidR="00B45BEB" w:rsidRPr="00B353B4">
        <w:t xml:space="preserve">he </w:t>
      </w:r>
      <w:r w:rsidR="00B45BEB" w:rsidRPr="00B353B4">
        <w:lastRenderedPageBreak/>
        <w:t xml:space="preserve">Commission </w:t>
      </w:r>
      <w:r w:rsidR="00A86FA5">
        <w:t>notes</w:t>
      </w:r>
      <w:r w:rsidR="00662D8E" w:rsidRPr="00B353B4">
        <w:t xml:space="preserve"> </w:t>
      </w:r>
      <w:r w:rsidR="00B45BEB" w:rsidRPr="00B353B4">
        <w:t xml:space="preserve">that </w:t>
      </w:r>
      <w:r w:rsidR="00916339" w:rsidRPr="00B353B4">
        <w:t xml:space="preserve">the </w:t>
      </w:r>
      <w:r w:rsidR="003D2D9B">
        <w:t xml:space="preserve">2 </w:t>
      </w:r>
      <w:r w:rsidR="00916339" w:rsidRPr="00B353B4">
        <w:t xml:space="preserve">new NAP </w:t>
      </w:r>
      <w:r w:rsidR="008F3ADF" w:rsidRPr="00B353B4">
        <w:t>class</w:t>
      </w:r>
      <w:r w:rsidR="00571A1F" w:rsidRPr="00B353B4">
        <w:t>ifications</w:t>
      </w:r>
      <w:r w:rsidR="00D8715A" w:rsidRPr="00B353B4">
        <w:t xml:space="preserve"> </w:t>
      </w:r>
      <w:r w:rsidR="0090406C">
        <w:t xml:space="preserve">represent less than </w:t>
      </w:r>
      <w:r w:rsidR="00780CD1">
        <w:t>1</w:t>
      </w:r>
      <w:r w:rsidR="0090406C">
        <w:t xml:space="preserve">% of the </w:t>
      </w:r>
      <w:r w:rsidR="00CC7188" w:rsidRPr="00B353B4">
        <w:t xml:space="preserve">total </w:t>
      </w:r>
      <w:r w:rsidR="00902C34" w:rsidRPr="00B353B4">
        <w:t>proxy</w:t>
      </w:r>
      <w:r w:rsidR="00155170" w:rsidRPr="00B353B4">
        <w:t xml:space="preserve"> and </w:t>
      </w:r>
      <w:r w:rsidR="008B0EC1">
        <w:t xml:space="preserve">the </w:t>
      </w:r>
      <w:r w:rsidR="00742BB7">
        <w:t xml:space="preserve">proxy </w:t>
      </w:r>
      <w:r w:rsidR="00486C2A" w:rsidRPr="00B353B4">
        <w:t xml:space="preserve">is </w:t>
      </w:r>
      <w:r w:rsidR="00742BB7">
        <w:t xml:space="preserve">applied at </w:t>
      </w:r>
      <w:r w:rsidR="00E9077E">
        <w:t xml:space="preserve">the </w:t>
      </w:r>
      <w:r w:rsidR="00486C2A" w:rsidRPr="00B353B4">
        <w:t>national average</w:t>
      </w:r>
      <w:r w:rsidR="0077239B" w:rsidRPr="00B353B4">
        <w:t xml:space="preserve"> </w:t>
      </w:r>
      <w:r w:rsidR="00E9077E">
        <w:t>level only</w:t>
      </w:r>
      <w:r w:rsidR="00486C2A" w:rsidRPr="00B353B4">
        <w:t>.</w:t>
      </w:r>
      <w:r w:rsidR="006A1D5E" w:rsidRPr="008107A3">
        <w:rPr>
          <w:rStyle w:val="FootnoteReference"/>
          <w:szCs w:val="20"/>
        </w:rPr>
        <w:footnoteReference w:id="3"/>
      </w:r>
    </w:p>
    <w:p w14:paraId="2D4F67F9" w14:textId="3D57EF0F" w:rsidR="00765AC1" w:rsidRPr="00B353B4" w:rsidRDefault="00B2108A">
      <w:pPr>
        <w:pStyle w:val="CGCParaNumber"/>
      </w:pPr>
      <w:r w:rsidRPr="00B353B4">
        <w:t>The 2025 Review methodology specified that COVID-19 NAP services would be excluded from the proxy indicator for the 2025 Review and 2026 Update, given COVID</w:t>
      </w:r>
      <w:r w:rsidRPr="00B353B4">
        <w:noBreakHyphen/>
        <w:t xml:space="preserve">19 expenses </w:t>
      </w:r>
      <w:r w:rsidR="00EE31CF" w:rsidRPr="00B353B4">
        <w:t>we</w:t>
      </w:r>
      <w:r w:rsidRPr="00B353B4">
        <w:t xml:space="preserve">re separately assessed in a temporary health expense component. </w:t>
      </w:r>
      <w:r w:rsidR="0060447C" w:rsidRPr="00B353B4">
        <w:t xml:space="preserve">Consistent with this, </w:t>
      </w:r>
      <w:r w:rsidR="0032388E">
        <w:t>the</w:t>
      </w:r>
      <w:r w:rsidR="0060447C" w:rsidRPr="00B353B4">
        <w:t xml:space="preserve"> C</w:t>
      </w:r>
      <w:r w:rsidR="00093565" w:rsidRPr="00B353B4">
        <w:t xml:space="preserve">ommission considers </w:t>
      </w:r>
      <w:r w:rsidR="008C1993" w:rsidRPr="00B353B4">
        <w:t xml:space="preserve">NAP allied health services for long COVID </w:t>
      </w:r>
      <w:r w:rsidR="0060447C" w:rsidRPr="00B353B4">
        <w:t>should also be excluded from the proxy.</w:t>
      </w:r>
      <w:r w:rsidR="008C1993" w:rsidRPr="00B353B4">
        <w:t xml:space="preserve"> </w:t>
      </w:r>
    </w:p>
    <w:p w14:paraId="156F08A1" w14:textId="0A4B461F" w:rsidR="00A81480" w:rsidRPr="00B353B4" w:rsidRDefault="00765AC1">
      <w:pPr>
        <w:pStyle w:val="CGCParaNumber"/>
      </w:pPr>
      <w:r>
        <w:t>T</w:t>
      </w:r>
      <w:r w:rsidR="00B2108A">
        <w:t xml:space="preserve">he Commission </w:t>
      </w:r>
      <w:r>
        <w:t xml:space="preserve">will include </w:t>
      </w:r>
      <w:r w:rsidR="0035559E">
        <w:t>NAP allied health services relating to violence, abuse and neglect services</w:t>
      </w:r>
      <w:r w:rsidR="0032388E">
        <w:t>,</w:t>
      </w:r>
      <w:r w:rsidR="0035559E">
        <w:t xml:space="preserve"> and genetic counselling </w:t>
      </w:r>
      <w:r w:rsidR="00817628">
        <w:t xml:space="preserve">in its proxy for community and public health activity. It will not include </w:t>
      </w:r>
      <w:r w:rsidR="00B2108A">
        <w:t xml:space="preserve">long COVID </w:t>
      </w:r>
      <w:r w:rsidR="0092138A">
        <w:t xml:space="preserve">allied health </w:t>
      </w:r>
      <w:r w:rsidR="00B2108A">
        <w:t xml:space="preserve">services </w:t>
      </w:r>
      <w:r w:rsidR="00817628">
        <w:t xml:space="preserve">in </w:t>
      </w:r>
      <w:r w:rsidR="0092138A">
        <w:t>the proxy</w:t>
      </w:r>
      <w:r w:rsidR="00180316">
        <w:t xml:space="preserve"> for the </w:t>
      </w:r>
      <w:r w:rsidR="000E51B5">
        <w:t>2026 </w:t>
      </w:r>
      <w:r w:rsidR="00180316">
        <w:t>Update</w:t>
      </w:r>
      <w:r w:rsidR="0092249D">
        <w:t xml:space="preserve"> </w:t>
      </w:r>
      <w:r w:rsidR="009276B0">
        <w:t xml:space="preserve">but will include </w:t>
      </w:r>
      <w:r w:rsidR="000E51B5">
        <w:t xml:space="preserve">them </w:t>
      </w:r>
      <w:r w:rsidR="00493D0C">
        <w:t xml:space="preserve">from </w:t>
      </w:r>
      <w:r w:rsidR="00F43730">
        <w:t>the 2027 Update</w:t>
      </w:r>
      <w:r w:rsidR="009709E5">
        <w:t xml:space="preserve"> when the temporary COVID</w:t>
      </w:r>
      <w:r w:rsidR="00493408">
        <w:noBreakHyphen/>
      </w:r>
      <w:r w:rsidR="009709E5">
        <w:t>19 component is discontinued</w:t>
      </w:r>
      <w:r w:rsidR="00A81480">
        <w:t>.</w:t>
      </w:r>
    </w:p>
    <w:p w14:paraId="6D588875" w14:textId="33801F7E" w:rsidR="0046270A" w:rsidRDefault="00DF29EE" w:rsidP="00DF29EE">
      <w:pPr>
        <w:pStyle w:val="Heading4"/>
        <w:rPr>
          <w:rFonts w:hint="eastAsia"/>
        </w:rPr>
      </w:pPr>
      <w:r w:rsidRPr="00DF29EE">
        <w:t>Coverage of the ED triage 4 and 5 data</w:t>
      </w:r>
    </w:p>
    <w:p w14:paraId="70802808" w14:textId="42D3804A" w:rsidR="00926AB1" w:rsidRPr="00926AB1" w:rsidRDefault="002C03C9" w:rsidP="002C03C9">
      <w:pPr>
        <w:pStyle w:val="Heading5"/>
        <w:rPr>
          <w:rFonts w:hint="eastAsia"/>
        </w:rPr>
      </w:pPr>
      <w:r>
        <w:t>Issue</w:t>
      </w:r>
    </w:p>
    <w:p w14:paraId="74492C87" w14:textId="4C05A54E" w:rsidR="003A198D" w:rsidRPr="00083A74" w:rsidRDefault="003A198D" w:rsidP="003A198D">
      <w:pPr>
        <w:pStyle w:val="CGCParaNumber"/>
        <w:rPr>
          <w:color w:val="000000" w:themeColor="text1"/>
        </w:rPr>
      </w:pPr>
      <w:r w:rsidRPr="001A2D02">
        <w:t xml:space="preserve">The community and public health assessment proxy </w:t>
      </w:r>
      <w:r>
        <w:t>includes ED</w:t>
      </w:r>
      <w:r w:rsidRPr="001A2D02">
        <w:t xml:space="preserve"> triage 4 and 5 </w:t>
      </w:r>
      <w:r>
        <w:t xml:space="preserve">activity data. The assessment requires patient-level information such as age, Indigenous status and socio-economic status. However, some hospitals, particularly small and medium hospitals in more remote areas, report </w:t>
      </w:r>
      <w:r w:rsidR="00C936DD">
        <w:t xml:space="preserve">only </w:t>
      </w:r>
      <w:r>
        <w:t>aggregate data without patient demographics.</w:t>
      </w:r>
    </w:p>
    <w:p w14:paraId="363E203E" w14:textId="6AD01F21" w:rsidR="003A198D" w:rsidRPr="00BB59F5" w:rsidRDefault="003A198D" w:rsidP="003A198D">
      <w:pPr>
        <w:pStyle w:val="CGCParaNumber"/>
      </w:pPr>
      <w:r>
        <w:t>To minimise potential urban or non</w:t>
      </w:r>
      <w:r>
        <w:noBreakHyphen/>
        <w:t xml:space="preserve">Indigenous bias, </w:t>
      </w:r>
      <w:r w:rsidRPr="00B52F5D">
        <w:rPr>
          <w:color w:val="000000" w:themeColor="text1"/>
        </w:rPr>
        <w:t xml:space="preserve">ED activity </w:t>
      </w:r>
      <w:r>
        <w:rPr>
          <w:color w:val="000000" w:themeColor="text1"/>
        </w:rPr>
        <w:t xml:space="preserve">data </w:t>
      </w:r>
      <w:r w:rsidRPr="00090BC7">
        <w:rPr>
          <w:color w:val="000000" w:themeColor="text1"/>
        </w:rPr>
        <w:t>ha</w:t>
      </w:r>
      <w:r>
        <w:rPr>
          <w:color w:val="000000" w:themeColor="text1"/>
        </w:rPr>
        <w:t>ve</w:t>
      </w:r>
      <w:r w:rsidRPr="00B52F5D">
        <w:rPr>
          <w:color w:val="000000" w:themeColor="text1"/>
        </w:rPr>
        <w:t xml:space="preserve"> been scaled</w:t>
      </w:r>
      <w:r>
        <w:rPr>
          <w:color w:val="000000" w:themeColor="text1"/>
        </w:rPr>
        <w:t xml:space="preserve"> </w:t>
      </w:r>
      <w:r w:rsidRPr="00B52F5D">
        <w:rPr>
          <w:color w:val="000000" w:themeColor="text1"/>
        </w:rPr>
        <w:t>each year</w:t>
      </w:r>
      <w:r>
        <w:t xml:space="preserve"> s</w:t>
      </w:r>
      <w:r w:rsidR="0022271E">
        <w:t>uch</w:t>
      </w:r>
      <w:r>
        <w:t xml:space="preserve"> that presentations from hospitals without demographic information (predominantly block-funded hospitals) are assigned the demographic profile of hospitals in the same remoteness category</w:t>
      </w:r>
      <w:r w:rsidRPr="00B52F5D">
        <w:rPr>
          <w:color w:val="000000" w:themeColor="text1"/>
        </w:rPr>
        <w:t>.</w:t>
      </w:r>
      <w:r>
        <w:rPr>
          <w:color w:val="000000" w:themeColor="text1"/>
        </w:rPr>
        <w:t xml:space="preserve"> </w:t>
      </w:r>
      <w:r w:rsidRPr="00090BC7">
        <w:rPr>
          <w:color w:val="000000" w:themeColor="text1"/>
        </w:rPr>
        <w:t xml:space="preserve">NAP activity </w:t>
      </w:r>
      <w:r w:rsidRPr="000F0096">
        <w:rPr>
          <w:color w:val="000000" w:themeColor="text1"/>
        </w:rPr>
        <w:t xml:space="preserve">data </w:t>
      </w:r>
      <w:r w:rsidRPr="00090BC7">
        <w:rPr>
          <w:color w:val="000000" w:themeColor="text1"/>
        </w:rPr>
        <w:t xml:space="preserve">used in the proxy were similarly </w:t>
      </w:r>
      <w:r>
        <w:rPr>
          <w:color w:val="000000" w:themeColor="text1"/>
        </w:rPr>
        <w:t xml:space="preserve">scaled </w:t>
      </w:r>
      <w:r w:rsidRPr="0064218D">
        <w:rPr>
          <w:color w:val="000000" w:themeColor="text1"/>
        </w:rPr>
        <w:t>until 2020</w:t>
      </w:r>
      <w:r>
        <w:rPr>
          <w:color w:val="000000" w:themeColor="text1"/>
        </w:rPr>
        <w:t>–</w:t>
      </w:r>
      <w:r w:rsidRPr="0064218D">
        <w:rPr>
          <w:color w:val="000000" w:themeColor="text1"/>
        </w:rPr>
        <w:t>21</w:t>
      </w:r>
      <w:r>
        <w:rPr>
          <w:color w:val="000000" w:themeColor="text1"/>
        </w:rPr>
        <w:t>.</w:t>
      </w:r>
      <w:r w:rsidRPr="00090BC7">
        <w:rPr>
          <w:color w:val="000000" w:themeColor="text1"/>
        </w:rPr>
        <w:t xml:space="preserve"> </w:t>
      </w:r>
      <w:r>
        <w:rPr>
          <w:color w:val="000000" w:themeColor="text1"/>
        </w:rPr>
        <w:t>From 2021–22, state submission of aggregate NAP data to IHACPA became optional, meaning scaling was no longer feasible.</w:t>
      </w:r>
    </w:p>
    <w:p w14:paraId="6E6AAFE6" w14:textId="23344DA4" w:rsidR="009C46CB" w:rsidRDefault="003A198D" w:rsidP="009A4B43">
      <w:pPr>
        <w:pStyle w:val="CGCParaNumber"/>
        <w:rPr>
          <w:color w:val="000000" w:themeColor="text1"/>
        </w:rPr>
      </w:pPr>
      <w:r w:rsidRPr="00B52F5D">
        <w:rPr>
          <w:color w:val="000000" w:themeColor="text1"/>
        </w:rPr>
        <w:t xml:space="preserve">Coverage of </w:t>
      </w:r>
      <w:r>
        <w:rPr>
          <w:color w:val="000000" w:themeColor="text1"/>
        </w:rPr>
        <w:t xml:space="preserve">ED </w:t>
      </w:r>
      <w:r w:rsidRPr="00B52F5D">
        <w:rPr>
          <w:color w:val="000000" w:themeColor="text1"/>
        </w:rPr>
        <w:t xml:space="preserve">triage 4 and 5 </w:t>
      </w:r>
      <w:r>
        <w:t>improved markedly</w:t>
      </w:r>
      <w:r>
        <w:rPr>
          <w:color w:val="000000" w:themeColor="text1"/>
        </w:rPr>
        <w:t xml:space="preserve"> in the </w:t>
      </w:r>
      <w:r>
        <w:t xml:space="preserve">2023–24 </w:t>
      </w:r>
      <w:r>
        <w:rPr>
          <w:color w:val="000000" w:themeColor="text1"/>
        </w:rPr>
        <w:t>IHACPA</w:t>
      </w:r>
      <w:r w:rsidRPr="00B52F5D">
        <w:rPr>
          <w:color w:val="000000" w:themeColor="text1"/>
        </w:rPr>
        <w:t xml:space="preserve"> activity data</w:t>
      </w:r>
      <w:r>
        <w:rPr>
          <w:color w:val="000000" w:themeColor="text1"/>
        </w:rPr>
        <w:t>.</w:t>
      </w:r>
      <w:r w:rsidRPr="008107A3">
        <w:rPr>
          <w:rStyle w:val="FootnoteReference"/>
          <w:color w:val="000000" w:themeColor="text1"/>
          <w:szCs w:val="20"/>
        </w:rPr>
        <w:footnoteReference w:id="4"/>
      </w:r>
      <w:r>
        <w:rPr>
          <w:color w:val="000000" w:themeColor="text1"/>
        </w:rPr>
        <w:t xml:space="preserve"> The share of p</w:t>
      </w:r>
      <w:r>
        <w:t>atient</w:t>
      </w:r>
      <w:r w:rsidR="00660825">
        <w:t>-</w:t>
      </w:r>
      <w:r>
        <w:t xml:space="preserve">level data </w:t>
      </w:r>
      <w:r w:rsidR="003B20E8">
        <w:t xml:space="preserve">for </w:t>
      </w:r>
      <w:r>
        <w:t xml:space="preserve">block-funded hospitals </w:t>
      </w:r>
      <w:r>
        <w:rPr>
          <w:color w:val="000000" w:themeColor="text1"/>
        </w:rPr>
        <w:t xml:space="preserve">increased </w:t>
      </w:r>
      <w:r>
        <w:t>from 79% in 2022–</w:t>
      </w:r>
      <w:r>
        <w:rPr>
          <w:rFonts w:ascii="Times New Roman" w:hAnsi="Times New Roman" w:cs="Times New Roman"/>
        </w:rPr>
        <w:t>‍</w:t>
      </w:r>
      <w:r>
        <w:t>23 to 92% in 2023–24</w:t>
      </w:r>
      <w:r w:rsidR="009A4B43">
        <w:t xml:space="preserve">. </w:t>
      </w:r>
      <w:r w:rsidR="009C46CB" w:rsidRPr="00F145FE">
        <w:rPr>
          <w:color w:val="000000" w:themeColor="text1"/>
        </w:rPr>
        <w:t xml:space="preserve">The Commission </w:t>
      </w:r>
      <w:r w:rsidR="006E138F" w:rsidRPr="00F145FE">
        <w:rPr>
          <w:color w:val="000000" w:themeColor="text1"/>
        </w:rPr>
        <w:t xml:space="preserve">sought state </w:t>
      </w:r>
      <w:r w:rsidR="009C46CB" w:rsidRPr="00F145FE">
        <w:rPr>
          <w:color w:val="000000" w:themeColor="text1"/>
        </w:rPr>
        <w:t>view</w:t>
      </w:r>
      <w:r w:rsidR="006E138F" w:rsidRPr="00F145FE">
        <w:rPr>
          <w:color w:val="000000" w:themeColor="text1"/>
        </w:rPr>
        <w:t>s</w:t>
      </w:r>
      <w:r w:rsidR="009C46CB" w:rsidRPr="00F145FE">
        <w:rPr>
          <w:color w:val="000000" w:themeColor="text1"/>
        </w:rPr>
        <w:t xml:space="preserve"> </w:t>
      </w:r>
      <w:r w:rsidR="006E138F" w:rsidRPr="00F145FE">
        <w:rPr>
          <w:color w:val="000000" w:themeColor="text1"/>
        </w:rPr>
        <w:t xml:space="preserve">on whether </w:t>
      </w:r>
      <w:r w:rsidR="009C46CB" w:rsidRPr="00F145FE">
        <w:rPr>
          <w:color w:val="000000" w:themeColor="text1"/>
        </w:rPr>
        <w:t>to cease scaling the ED part of the community and public health activity proxy from 2023–24.</w:t>
      </w:r>
    </w:p>
    <w:p w14:paraId="2EA778D7" w14:textId="77777777" w:rsidR="00EC63E5" w:rsidRDefault="00EC63E5" w:rsidP="00EC63E5">
      <w:pPr>
        <w:pStyle w:val="Heading5"/>
        <w:rPr>
          <w:rFonts w:hint="eastAsia"/>
        </w:rPr>
      </w:pPr>
      <w:r>
        <w:t>State views</w:t>
      </w:r>
    </w:p>
    <w:p w14:paraId="69D39FAD" w14:textId="2AFACB3A" w:rsidR="00EC63E5" w:rsidRDefault="00EC63E5" w:rsidP="00EC63E5">
      <w:pPr>
        <w:pStyle w:val="CGCParaNumber"/>
        <w:rPr>
          <w:rStyle w:val="normaltextrun"/>
        </w:rPr>
      </w:pPr>
      <w:r>
        <w:rPr>
          <w:rStyle w:val="normaltextrun"/>
        </w:rPr>
        <w:t xml:space="preserve">Four </w:t>
      </w:r>
      <w:r w:rsidRPr="511DBA69">
        <w:rPr>
          <w:rStyle w:val="normaltextrun"/>
        </w:rPr>
        <w:t xml:space="preserve">states supported </w:t>
      </w:r>
      <w:r>
        <w:rPr>
          <w:rStyle w:val="normaltextrun"/>
        </w:rPr>
        <w:t xml:space="preserve">ceasing the scaling of the ED part of the proxy. </w:t>
      </w:r>
      <w:r w:rsidR="005117EE">
        <w:rPr>
          <w:rStyle w:val="normaltextrun"/>
        </w:rPr>
        <w:t xml:space="preserve">While </w:t>
      </w:r>
      <w:r>
        <w:rPr>
          <w:rStyle w:val="normaltextrun"/>
        </w:rPr>
        <w:t>South</w:t>
      </w:r>
      <w:r w:rsidR="0057500B">
        <w:rPr>
          <w:rStyle w:val="normaltextrun"/>
        </w:rPr>
        <w:t> </w:t>
      </w:r>
      <w:r>
        <w:rPr>
          <w:rStyle w:val="normaltextrun"/>
        </w:rPr>
        <w:t xml:space="preserve">Australia did not object to the use of unscaled ED data in the proxy for 2023–24, </w:t>
      </w:r>
      <w:r w:rsidR="005117EE">
        <w:rPr>
          <w:rStyle w:val="normaltextrun"/>
        </w:rPr>
        <w:t>it</w:t>
      </w:r>
      <w:r>
        <w:rPr>
          <w:rStyle w:val="normaltextrun"/>
        </w:rPr>
        <w:t xml:space="preserve"> said the appropriateness of using unscaled ED data should be reconsidered </w:t>
      </w:r>
      <w:r w:rsidR="00D2475C">
        <w:rPr>
          <w:rStyle w:val="normaltextrun"/>
        </w:rPr>
        <w:t>in</w:t>
      </w:r>
      <w:r>
        <w:rPr>
          <w:rStyle w:val="normaltextrun"/>
        </w:rPr>
        <w:t xml:space="preserve"> future assessment years.</w:t>
      </w:r>
    </w:p>
    <w:p w14:paraId="76A1AC4D" w14:textId="1215E615" w:rsidR="00EC63E5" w:rsidRDefault="00EC63E5" w:rsidP="00D535A6">
      <w:pPr>
        <w:pStyle w:val="CGCParaNumber"/>
      </w:pPr>
      <w:r>
        <w:rPr>
          <w:rStyle w:val="normaltextrun"/>
        </w:rPr>
        <w:t>Western Australia, Tasmania and the Northern Territory said the ED data should continue to be scaled. They said ceasing scaling would disadvantage states with larger regional and remote populations. Western Australia said r</w:t>
      </w:r>
      <w:r w:rsidRPr="0011530A">
        <w:t xml:space="preserve">emoving scaling for ED </w:t>
      </w:r>
      <w:r>
        <w:t xml:space="preserve">data would exacerbate the impact of no longer scaling </w:t>
      </w:r>
      <w:r w:rsidRPr="0011530A">
        <w:t xml:space="preserve">NAP </w:t>
      </w:r>
      <w:r>
        <w:t>data from 2021–22</w:t>
      </w:r>
      <w:r w:rsidR="000D5662">
        <w:t xml:space="preserve">, since </w:t>
      </w:r>
      <w:r>
        <w:t xml:space="preserve">the factors that led to reporting gaps in the NAP data would likely contribute to gaps in the </w:t>
      </w:r>
      <w:r w:rsidRPr="00216E7B">
        <w:t>ED data. The Northern Territory said</w:t>
      </w:r>
      <w:r w:rsidR="00382F81" w:rsidRPr="00216E7B">
        <w:t xml:space="preserve"> </w:t>
      </w:r>
      <w:r w:rsidR="00FC59BD" w:rsidRPr="00216E7B">
        <w:t>a reduction in the size of the scaling adjustment was not</w:t>
      </w:r>
      <w:r w:rsidR="003104FD" w:rsidRPr="00216E7B">
        <w:t xml:space="preserve">, in principle, a sound reason to </w:t>
      </w:r>
      <w:r w:rsidR="00382F81" w:rsidRPr="00216E7B">
        <w:t>remov</w:t>
      </w:r>
      <w:r w:rsidR="00EF2001" w:rsidRPr="00216E7B">
        <w:t>e</w:t>
      </w:r>
      <w:r w:rsidR="00382F81" w:rsidRPr="00216E7B">
        <w:t xml:space="preserve"> the </w:t>
      </w:r>
      <w:r w:rsidR="00216E7B" w:rsidRPr="00216E7B">
        <w:t>adjustment.</w:t>
      </w:r>
    </w:p>
    <w:p w14:paraId="10827B75" w14:textId="335BFADD" w:rsidR="00EC63E5" w:rsidRPr="00EC63E5" w:rsidRDefault="00EC63E5" w:rsidP="00EC63E5">
      <w:pPr>
        <w:pStyle w:val="Heading5"/>
        <w:rPr>
          <w:rFonts w:hint="eastAsia"/>
        </w:rPr>
      </w:pPr>
      <w:r>
        <w:lastRenderedPageBreak/>
        <w:t>Commission decision</w:t>
      </w:r>
    </w:p>
    <w:p w14:paraId="06F3A9F5" w14:textId="67A10009" w:rsidR="00093ED0" w:rsidRDefault="00093ED0" w:rsidP="003A198D">
      <w:pPr>
        <w:pStyle w:val="CGCParaNumber"/>
        <w:rPr>
          <w:color w:val="000000" w:themeColor="text1"/>
        </w:rPr>
      </w:pPr>
      <w:r>
        <w:rPr>
          <w:color w:val="000000" w:themeColor="text1"/>
        </w:rPr>
        <w:t>The Commission</w:t>
      </w:r>
      <w:r w:rsidR="0072334C">
        <w:rPr>
          <w:color w:val="000000" w:themeColor="text1"/>
        </w:rPr>
        <w:t xml:space="preserve">’s decision to </w:t>
      </w:r>
      <w:r>
        <w:rPr>
          <w:color w:val="000000" w:themeColor="text1"/>
        </w:rPr>
        <w:t xml:space="preserve">cease scaling </w:t>
      </w:r>
      <w:r w:rsidR="0072334C">
        <w:rPr>
          <w:color w:val="000000" w:themeColor="text1"/>
        </w:rPr>
        <w:t xml:space="preserve">NAP </w:t>
      </w:r>
      <w:r w:rsidR="001E3A72">
        <w:rPr>
          <w:color w:val="000000" w:themeColor="text1"/>
        </w:rPr>
        <w:t xml:space="preserve">activity </w:t>
      </w:r>
      <w:r w:rsidR="0072334C">
        <w:rPr>
          <w:color w:val="000000" w:themeColor="text1"/>
        </w:rPr>
        <w:t xml:space="preserve">data </w:t>
      </w:r>
      <w:r w:rsidR="001E3A72">
        <w:rPr>
          <w:color w:val="000000" w:themeColor="text1"/>
        </w:rPr>
        <w:t xml:space="preserve">from 2021–22 </w:t>
      </w:r>
      <w:r w:rsidR="002C78C6">
        <w:rPr>
          <w:color w:val="000000" w:themeColor="text1"/>
        </w:rPr>
        <w:t xml:space="preserve">reflected the changes </w:t>
      </w:r>
      <w:r w:rsidR="007A3D59">
        <w:rPr>
          <w:color w:val="000000" w:themeColor="text1"/>
        </w:rPr>
        <w:t xml:space="preserve">in reporting to </w:t>
      </w:r>
      <w:r w:rsidR="0072334C">
        <w:rPr>
          <w:color w:val="000000" w:themeColor="text1"/>
        </w:rPr>
        <w:t xml:space="preserve">IHACPA </w:t>
      </w:r>
      <w:r w:rsidR="003E457B">
        <w:rPr>
          <w:color w:val="000000" w:themeColor="text1"/>
        </w:rPr>
        <w:t>that</w:t>
      </w:r>
      <w:r w:rsidR="00864817">
        <w:rPr>
          <w:color w:val="000000" w:themeColor="text1"/>
        </w:rPr>
        <w:t xml:space="preserve"> </w:t>
      </w:r>
      <w:r w:rsidR="0072334C">
        <w:rPr>
          <w:color w:val="000000" w:themeColor="text1"/>
        </w:rPr>
        <w:t>mean</w:t>
      </w:r>
      <w:r w:rsidR="00864817">
        <w:rPr>
          <w:color w:val="000000" w:themeColor="text1"/>
        </w:rPr>
        <w:t>t</w:t>
      </w:r>
      <w:r w:rsidR="0072334C">
        <w:rPr>
          <w:color w:val="000000" w:themeColor="text1"/>
        </w:rPr>
        <w:t xml:space="preserve"> scaling was no longer feasible</w:t>
      </w:r>
      <w:r w:rsidR="00864817">
        <w:rPr>
          <w:color w:val="000000" w:themeColor="text1"/>
        </w:rPr>
        <w:t xml:space="preserve">. There have been no </w:t>
      </w:r>
      <w:r w:rsidR="00F957E3">
        <w:rPr>
          <w:color w:val="000000" w:themeColor="text1"/>
        </w:rPr>
        <w:t xml:space="preserve">equivalent </w:t>
      </w:r>
      <w:r w:rsidR="00864817">
        <w:rPr>
          <w:color w:val="000000" w:themeColor="text1"/>
        </w:rPr>
        <w:t>changes to ED data</w:t>
      </w:r>
      <w:r w:rsidR="00F957E3">
        <w:rPr>
          <w:color w:val="000000" w:themeColor="text1"/>
        </w:rPr>
        <w:t xml:space="preserve"> reporting</w:t>
      </w:r>
      <w:r w:rsidR="00864817">
        <w:rPr>
          <w:color w:val="000000" w:themeColor="text1"/>
        </w:rPr>
        <w:t>.</w:t>
      </w:r>
    </w:p>
    <w:p w14:paraId="687EF907" w14:textId="7B147234" w:rsidR="000B1AB5" w:rsidRPr="00093ED0" w:rsidRDefault="00187380" w:rsidP="003A198D">
      <w:pPr>
        <w:pStyle w:val="CGCParaNumber"/>
        <w:rPr>
          <w:color w:val="000000" w:themeColor="text1"/>
        </w:rPr>
      </w:pPr>
      <w:r>
        <w:t>T</w:t>
      </w:r>
      <w:r w:rsidR="005D1D53">
        <w:t xml:space="preserve">he ED data </w:t>
      </w:r>
      <w:r w:rsidR="00063AB3">
        <w:t xml:space="preserve">(and previously the NAP data) were scaled </w:t>
      </w:r>
      <w:r w:rsidR="0026426C">
        <w:t>t</w:t>
      </w:r>
      <w:r w:rsidR="00730BCE">
        <w:t>o minimise potential urban or non</w:t>
      </w:r>
      <w:r w:rsidR="00730BCE">
        <w:noBreakHyphen/>
        <w:t>Indigenous bias</w:t>
      </w:r>
      <w:r w:rsidR="00744DC9">
        <w:t xml:space="preserve">. </w:t>
      </w:r>
      <w:r w:rsidR="00C405A4">
        <w:t xml:space="preserve">While the increase in the </w:t>
      </w:r>
      <w:r w:rsidR="00666C4E">
        <w:t xml:space="preserve">availability of patient-level data for block-funded hospitals in 2023–24 reduces </w:t>
      </w:r>
      <w:r w:rsidR="00907254">
        <w:t xml:space="preserve">the </w:t>
      </w:r>
      <w:r w:rsidR="00666C4E">
        <w:t xml:space="preserve">potential </w:t>
      </w:r>
      <w:r w:rsidR="00907254">
        <w:t xml:space="preserve">for </w:t>
      </w:r>
      <w:r w:rsidR="00666C4E">
        <w:t>bias, it does not remove it.</w:t>
      </w:r>
    </w:p>
    <w:p w14:paraId="1C3844A6" w14:textId="24C9091C" w:rsidR="00E9403D" w:rsidRDefault="003B7F8C" w:rsidP="006704CB">
      <w:pPr>
        <w:pStyle w:val="CGCParaNumber"/>
      </w:pPr>
      <w:r w:rsidRPr="0026462A">
        <w:rPr>
          <w:color w:val="000000" w:themeColor="text1"/>
        </w:rPr>
        <w:t>On balance, t</w:t>
      </w:r>
      <w:r w:rsidR="00A45399" w:rsidRPr="0026462A">
        <w:rPr>
          <w:color w:val="000000" w:themeColor="text1"/>
        </w:rPr>
        <w:t xml:space="preserve">he Commission considers </w:t>
      </w:r>
      <w:r w:rsidR="00AC4730" w:rsidRPr="0026462A">
        <w:rPr>
          <w:color w:val="000000" w:themeColor="text1"/>
        </w:rPr>
        <w:t xml:space="preserve">potential bias from ceasing scaling </w:t>
      </w:r>
      <w:r w:rsidR="005165E7" w:rsidRPr="0026462A">
        <w:rPr>
          <w:color w:val="000000" w:themeColor="text1"/>
        </w:rPr>
        <w:t>outweigh</w:t>
      </w:r>
      <w:r w:rsidR="0079044A" w:rsidRPr="0026462A">
        <w:rPr>
          <w:color w:val="000000" w:themeColor="text1"/>
        </w:rPr>
        <w:t>s</w:t>
      </w:r>
      <w:r w:rsidR="005165E7" w:rsidRPr="0026462A">
        <w:rPr>
          <w:color w:val="000000" w:themeColor="text1"/>
        </w:rPr>
        <w:t xml:space="preserve"> </w:t>
      </w:r>
      <w:r w:rsidR="00FE7D45">
        <w:rPr>
          <w:color w:val="000000" w:themeColor="text1"/>
        </w:rPr>
        <w:t>the risk</w:t>
      </w:r>
      <w:r w:rsidR="002B158E">
        <w:rPr>
          <w:color w:val="000000" w:themeColor="text1"/>
        </w:rPr>
        <w:t xml:space="preserve"> </w:t>
      </w:r>
      <w:r w:rsidR="00FE7D45">
        <w:rPr>
          <w:color w:val="000000" w:themeColor="text1"/>
        </w:rPr>
        <w:t>that</w:t>
      </w:r>
      <w:r w:rsidR="0040694B" w:rsidRPr="0026462A">
        <w:rPr>
          <w:color w:val="000000" w:themeColor="text1"/>
        </w:rPr>
        <w:t xml:space="preserve"> </w:t>
      </w:r>
      <w:r w:rsidR="00DE36EF" w:rsidRPr="0026462A">
        <w:rPr>
          <w:color w:val="000000" w:themeColor="text1"/>
        </w:rPr>
        <w:t xml:space="preserve">the </w:t>
      </w:r>
      <w:r w:rsidR="0040694B" w:rsidRPr="0026462A">
        <w:rPr>
          <w:color w:val="000000" w:themeColor="text1"/>
        </w:rPr>
        <w:t xml:space="preserve">ED </w:t>
      </w:r>
      <w:r w:rsidR="00484B7C" w:rsidRPr="0026462A">
        <w:rPr>
          <w:color w:val="000000" w:themeColor="text1"/>
        </w:rPr>
        <w:t>component</w:t>
      </w:r>
      <w:r w:rsidR="0040694B" w:rsidRPr="0026462A">
        <w:rPr>
          <w:color w:val="000000" w:themeColor="text1"/>
        </w:rPr>
        <w:t xml:space="preserve"> of the proxy </w:t>
      </w:r>
      <w:r w:rsidR="000E16AD">
        <w:rPr>
          <w:color w:val="000000" w:themeColor="text1"/>
        </w:rPr>
        <w:t xml:space="preserve">will </w:t>
      </w:r>
      <w:r w:rsidR="00B301B9">
        <w:rPr>
          <w:color w:val="000000" w:themeColor="text1"/>
        </w:rPr>
        <w:t xml:space="preserve">receive </w:t>
      </w:r>
      <w:r w:rsidR="0040694B" w:rsidRPr="0026462A">
        <w:rPr>
          <w:color w:val="000000" w:themeColor="text1"/>
        </w:rPr>
        <w:t xml:space="preserve">a </w:t>
      </w:r>
      <w:r w:rsidR="00E9403D" w:rsidRPr="0026462A">
        <w:rPr>
          <w:color w:val="000000" w:themeColor="text1"/>
        </w:rPr>
        <w:t>disproportionate weight</w:t>
      </w:r>
      <w:r w:rsidR="00F51FD9" w:rsidRPr="0026462A">
        <w:rPr>
          <w:color w:val="000000" w:themeColor="text1"/>
        </w:rPr>
        <w:t xml:space="preserve"> </w:t>
      </w:r>
      <w:r w:rsidR="00D3132A" w:rsidRPr="0026462A">
        <w:rPr>
          <w:color w:val="000000" w:themeColor="text1"/>
        </w:rPr>
        <w:t>if scaling is retained</w:t>
      </w:r>
      <w:r w:rsidR="0040694B" w:rsidRPr="0026462A">
        <w:rPr>
          <w:color w:val="000000" w:themeColor="text1"/>
        </w:rPr>
        <w:t>.</w:t>
      </w:r>
      <w:r w:rsidR="005B404A" w:rsidRPr="0026462A">
        <w:rPr>
          <w:color w:val="000000" w:themeColor="text1"/>
        </w:rPr>
        <w:t xml:space="preserve"> </w:t>
      </w:r>
      <w:r w:rsidR="00726067">
        <w:t xml:space="preserve">Retaining the </w:t>
      </w:r>
      <w:r w:rsidR="003B1191">
        <w:t xml:space="preserve">scaling </w:t>
      </w:r>
      <w:r w:rsidR="00726067">
        <w:t xml:space="preserve">adjustment </w:t>
      </w:r>
      <w:r w:rsidR="003B1191">
        <w:t xml:space="preserve">only </w:t>
      </w:r>
      <w:r w:rsidR="00E9403D">
        <w:t xml:space="preserve">marginally </w:t>
      </w:r>
      <w:r w:rsidR="00ED6F6A">
        <w:t xml:space="preserve">increases </w:t>
      </w:r>
      <w:r w:rsidR="00E9403D">
        <w:t>the ED</w:t>
      </w:r>
      <w:r w:rsidR="00570DDC">
        <w:t> </w:t>
      </w:r>
      <w:r w:rsidR="00E9403D">
        <w:t xml:space="preserve">share of </w:t>
      </w:r>
      <w:r w:rsidR="00277E01">
        <w:t xml:space="preserve">the proxy </w:t>
      </w:r>
      <w:r w:rsidR="00615C4D">
        <w:t xml:space="preserve">in 2023–24 </w:t>
      </w:r>
      <w:r w:rsidR="00277E01">
        <w:t>(</w:t>
      </w:r>
      <w:r w:rsidR="00E9403D">
        <w:t>5</w:t>
      </w:r>
      <w:r w:rsidR="003F5717">
        <w:t>4</w:t>
      </w:r>
      <w:r w:rsidR="00E9403D">
        <w:t>.</w:t>
      </w:r>
      <w:r w:rsidR="003F5717">
        <w:t>1</w:t>
      </w:r>
      <w:r w:rsidR="00E9403D">
        <w:t xml:space="preserve">% </w:t>
      </w:r>
      <w:r w:rsidR="00277E01">
        <w:t xml:space="preserve">compared </w:t>
      </w:r>
      <w:r w:rsidR="00E9403D">
        <w:t>to 5</w:t>
      </w:r>
      <w:r w:rsidR="003F5717">
        <w:t>3</w:t>
      </w:r>
      <w:r w:rsidR="00E9403D">
        <w:t>.</w:t>
      </w:r>
      <w:r w:rsidR="003F5717">
        <w:t>5</w:t>
      </w:r>
      <w:r w:rsidR="00E9403D">
        <w:t>%</w:t>
      </w:r>
      <w:r w:rsidR="00677B31">
        <w:t xml:space="preserve"> without scaling).</w:t>
      </w:r>
    </w:p>
    <w:p w14:paraId="6E906ED8" w14:textId="64C444D9" w:rsidR="008D2BAE" w:rsidRDefault="00665617" w:rsidP="006704CB">
      <w:pPr>
        <w:pStyle w:val="CGCParaNumber"/>
      </w:pPr>
      <w:r>
        <w:t xml:space="preserve">The Commission </w:t>
      </w:r>
      <w:bookmarkStart w:id="2" w:name="_Hlk215581573"/>
      <w:r w:rsidR="00D13496">
        <w:t xml:space="preserve">will scale </w:t>
      </w:r>
      <w:r w:rsidR="00D03846">
        <w:t xml:space="preserve">ED </w:t>
      </w:r>
      <w:r w:rsidR="00F74DF6">
        <w:t>activity</w:t>
      </w:r>
      <w:r w:rsidR="00BA16CF">
        <w:t xml:space="preserve"> </w:t>
      </w:r>
      <w:r w:rsidR="00D03846">
        <w:t>data</w:t>
      </w:r>
      <w:r w:rsidR="005057EC">
        <w:t xml:space="preserve"> </w:t>
      </w:r>
      <w:r w:rsidR="00ED6EA0">
        <w:t>in</w:t>
      </w:r>
      <w:r w:rsidR="004A0FBC">
        <w:t xml:space="preserve"> </w:t>
      </w:r>
      <w:r w:rsidR="005057EC">
        <w:t>the proxy</w:t>
      </w:r>
      <w:r w:rsidR="00A0480B">
        <w:t xml:space="preserve"> for 2023</w:t>
      </w:r>
      <w:r w:rsidR="00DE00E7">
        <w:t>–</w:t>
      </w:r>
      <w:r w:rsidR="00C72EC4">
        <w:t>‍</w:t>
      </w:r>
      <w:r w:rsidR="00A0480B">
        <w:t>24</w:t>
      </w:r>
      <w:r w:rsidR="00775012">
        <w:t>,</w:t>
      </w:r>
      <w:r w:rsidR="000E653D">
        <w:t xml:space="preserve"> </w:t>
      </w:r>
      <w:r w:rsidR="002E4BC6">
        <w:t xml:space="preserve">consistent with the approach in </w:t>
      </w:r>
      <w:r w:rsidR="00DD788D">
        <w:t>earlier</w:t>
      </w:r>
      <w:r w:rsidR="000E653D">
        <w:t xml:space="preserve"> assessment </w:t>
      </w:r>
      <w:bookmarkEnd w:id="2"/>
      <w:r w:rsidR="000E653D">
        <w:t>year</w:t>
      </w:r>
      <w:r w:rsidR="00DD788D">
        <w:t>s</w:t>
      </w:r>
      <w:r w:rsidR="008D2BAE">
        <w:t>.</w:t>
      </w:r>
    </w:p>
    <w:p w14:paraId="7B1480F7" w14:textId="43D15B20" w:rsidR="008B3243" w:rsidRDefault="00AA1CD4" w:rsidP="008B3243">
      <w:pPr>
        <w:pStyle w:val="Heading3"/>
      </w:pPr>
      <w:r>
        <w:t>Transport</w:t>
      </w:r>
      <w:r w:rsidR="00FD7E4C">
        <w:t xml:space="preserve"> </w:t>
      </w:r>
      <w:r w:rsidR="0067336C">
        <w:t>– regression re-estimation</w:t>
      </w:r>
    </w:p>
    <w:p w14:paraId="51C42DC4" w14:textId="55A012CA" w:rsidR="00873ED1" w:rsidRDefault="00873ED1" w:rsidP="00873ED1">
      <w:pPr>
        <w:pStyle w:val="Heading5"/>
        <w:rPr>
          <w:rFonts w:hint="eastAsia"/>
        </w:rPr>
      </w:pPr>
      <w:r>
        <w:t>Issue</w:t>
      </w:r>
    </w:p>
    <w:p w14:paraId="63140532" w14:textId="5D8E04FD" w:rsidR="00807FC6" w:rsidRDefault="00C9642A" w:rsidP="00807FC6">
      <w:pPr>
        <w:pStyle w:val="CGCParaNumber"/>
        <w:ind w:hanging="357"/>
      </w:pPr>
      <w:r w:rsidRPr="00C9642A">
        <w:t>As part of the 2025 Review, the Commission decided to re-estimate the urban transport regression with updated data to reflect post-COVID-19 urban transport patterns. Where COVID-19 impacts lingered in key data, the Commission consulted on options and used judgement to implement workable solutions</w:t>
      </w:r>
      <w:r>
        <w:t>.</w:t>
      </w:r>
    </w:p>
    <w:p w14:paraId="50ED1C4E" w14:textId="758F3205" w:rsidR="00C9642A" w:rsidRDefault="00A717DB" w:rsidP="00807FC6">
      <w:pPr>
        <w:pStyle w:val="CGCParaNumber"/>
        <w:ind w:hanging="357"/>
      </w:pPr>
      <w:r w:rsidRPr="00A717DB">
        <w:t>For passenger numbers, the Commission determined 2021 Census actual passenger number data were not fit</w:t>
      </w:r>
      <w:r w:rsidR="00DA3B41">
        <w:t xml:space="preserve"> </w:t>
      </w:r>
      <w:r w:rsidRPr="00A717DB">
        <w:t>for</w:t>
      </w:r>
      <w:r w:rsidR="00DA3B41">
        <w:t xml:space="preserve"> </w:t>
      </w:r>
      <w:r w:rsidRPr="00A717DB">
        <w:t>purpose due to the impacts of COVID-19 on urban transport patterns. The Commission decided to use 2016 Census actual passenger number data adjusted by an index based on the Bureau of Infrastructure and Transport Research Economics data to estimate 2022–23 equivalents. Recognising that the use of older base data was not optimal, the Commission increased blending in the recurrent urban transport assessment to give urban population a weight of 35%, up from its previous 25%.</w:t>
      </w:r>
      <w:r w:rsidR="002D45D7" w:rsidRPr="008107A3">
        <w:rPr>
          <w:rStyle w:val="FootnoteReference"/>
          <w:szCs w:val="20"/>
        </w:rPr>
        <w:footnoteReference w:id="5"/>
      </w:r>
      <w:r w:rsidR="005E5D6D" w:rsidRPr="002514E0">
        <w:rPr>
          <w:rStyle w:val="FootnoteReference"/>
        </w:rPr>
        <w:t xml:space="preserve"> </w:t>
      </w:r>
      <w:r w:rsidRPr="00A717DB">
        <w:t>The additional 10% weight is to be removed once fit</w:t>
      </w:r>
      <w:r w:rsidR="007E6A1D">
        <w:t>-</w:t>
      </w:r>
      <w:r w:rsidRPr="00A717DB">
        <w:t>for</w:t>
      </w:r>
      <w:r w:rsidR="00177420">
        <w:t>-</w:t>
      </w:r>
      <w:r w:rsidRPr="00A717DB">
        <w:t>purpose 2026</w:t>
      </w:r>
      <w:r w:rsidR="00177420">
        <w:t> </w:t>
      </w:r>
      <w:r w:rsidRPr="00A717DB">
        <w:t>Census data become available in late 2027</w:t>
      </w:r>
      <w:r>
        <w:t>.</w:t>
      </w:r>
    </w:p>
    <w:p w14:paraId="5F376160" w14:textId="6B65CB28" w:rsidR="00A717DB" w:rsidRDefault="00815F69" w:rsidP="00807FC6">
      <w:pPr>
        <w:pStyle w:val="CGCParaNumber"/>
        <w:ind w:hanging="357"/>
      </w:pPr>
      <w:r>
        <w:t xml:space="preserve">The </w:t>
      </w:r>
      <w:r w:rsidRPr="00815F69">
        <w:t>Commission also consulted with states on using updated state net expense</w:t>
      </w:r>
      <w:r w:rsidR="007B20F1">
        <w:t xml:space="preserve"> </w:t>
      </w:r>
      <w:r w:rsidRPr="00815F69">
        <w:t>data. As 2020–21 and 2021–22 expense data were affected by state responses to COVID 19, the Commission decided to use 2022–23 and 2023–24 data to update the regression. The Commission considered that using 2 years of state net expense data in the regression model would mitigate variability, improve reliability and contemporaneity, and better reflect urban transport spending needs</w:t>
      </w:r>
      <w:r>
        <w:t>.</w:t>
      </w:r>
    </w:p>
    <w:p w14:paraId="0E133275" w14:textId="5A63147E" w:rsidR="004C4163" w:rsidRDefault="001531EF" w:rsidP="00807FC6">
      <w:pPr>
        <w:pStyle w:val="CGCParaNumber"/>
        <w:ind w:hanging="357"/>
      </w:pPr>
      <w:r>
        <w:t xml:space="preserve">At </w:t>
      </w:r>
      <w:r w:rsidRPr="001531EF">
        <w:t>the time of the 2025 Review, only 2022–23 data were available. The Commission decided to temporarily use that single year of data when re-estimating the regression model as it provided a more accurate representation of state expense needs post COVID–19 than the 2020 Review coefficients. The Commission also decided that, to improve the reliability of the assessment, it would re-estimate the model using 2022–</w:t>
      </w:r>
      <w:r w:rsidR="006150A6">
        <w:rPr>
          <w:rFonts w:ascii="Times New Roman" w:hAnsi="Times New Roman" w:cs="Times New Roman" w:hint="eastAsia"/>
          <w:rtl/>
        </w:rPr>
        <w:t>‍</w:t>
      </w:r>
      <w:r w:rsidRPr="001531EF">
        <w:t>23 and 2023–24 data as part of the 2026 Update. This was supported by most states</w:t>
      </w:r>
      <w:r>
        <w:t>.</w:t>
      </w:r>
    </w:p>
    <w:p w14:paraId="58C224E1" w14:textId="57D2FB01" w:rsidR="001531EF" w:rsidRDefault="00D00EC6" w:rsidP="00807FC6">
      <w:pPr>
        <w:pStyle w:val="CGCParaNumber"/>
        <w:ind w:hanging="357"/>
      </w:pPr>
      <w:r>
        <w:t xml:space="preserve">Having </w:t>
      </w:r>
      <w:r w:rsidRPr="00D00EC6">
        <w:t xml:space="preserve">received the 2023–24 data for the 2026 Update, the Commission noted differences in approach between the states and compared </w:t>
      </w:r>
      <w:r w:rsidR="004D7D87">
        <w:t>with</w:t>
      </w:r>
      <w:r w:rsidRPr="00D00EC6">
        <w:t xml:space="preserve"> the 2022–23 data. This </w:t>
      </w:r>
      <w:r w:rsidRPr="00D00EC6">
        <w:lastRenderedPageBreak/>
        <w:t>did not reflect changing transport provision, raising concerns with using the 2023–24 data.</w:t>
      </w:r>
      <w:r w:rsidR="00D2361F">
        <w:t xml:space="preserve"> </w:t>
      </w:r>
    </w:p>
    <w:p w14:paraId="18185154" w14:textId="59B505F2" w:rsidR="00324086" w:rsidRDefault="00324086" w:rsidP="00807FC6">
      <w:pPr>
        <w:pStyle w:val="CGCParaNumber"/>
        <w:ind w:hanging="357"/>
      </w:pPr>
      <w:r>
        <w:t xml:space="preserve">The </w:t>
      </w:r>
      <w:r w:rsidR="000669B1" w:rsidRPr="000669B1">
        <w:t>Commission sought state views on whether to use 2022–23 and 2023–24 data to calculate the model coefficients as intended in the 2025 Methodology Review, or whether it should alter the method to overcome the identified 2023–24 data concerns</w:t>
      </w:r>
      <w:r w:rsidR="000669B1">
        <w:t>.</w:t>
      </w:r>
    </w:p>
    <w:p w14:paraId="18F922B0" w14:textId="29C4B22D" w:rsidR="00C5671B" w:rsidRDefault="00C5671B" w:rsidP="00C5671B">
      <w:pPr>
        <w:pStyle w:val="Heading5"/>
        <w:rPr>
          <w:rFonts w:hint="eastAsia"/>
        </w:rPr>
      </w:pPr>
      <w:r>
        <w:t>State views</w:t>
      </w:r>
    </w:p>
    <w:p w14:paraId="19880118" w14:textId="6E79C332" w:rsidR="000669B1" w:rsidRDefault="00C5671B" w:rsidP="00807FC6">
      <w:pPr>
        <w:pStyle w:val="CGCParaNumber"/>
        <w:ind w:hanging="357"/>
      </w:pPr>
      <w:r>
        <w:t xml:space="preserve">Most </w:t>
      </w:r>
      <w:r w:rsidR="006D4864" w:rsidRPr="006D4864">
        <w:t xml:space="preserve">states supported retaining the 2025 Review regression model coefficients based on 2022–23 data only, </w:t>
      </w:r>
      <w:proofErr w:type="gramStart"/>
      <w:r w:rsidR="006D4864" w:rsidRPr="006D4864">
        <w:t>with the exception of</w:t>
      </w:r>
      <w:proofErr w:type="gramEnd"/>
      <w:r w:rsidR="006D4864" w:rsidRPr="006D4864">
        <w:t xml:space="preserve"> Queensland. Western Australia and the Northern Territory also raised broader concerns with the assessment approach.</w:t>
      </w:r>
    </w:p>
    <w:p w14:paraId="7C160055" w14:textId="0E6F3229" w:rsidR="00383A5C" w:rsidRDefault="00C005DC" w:rsidP="00807FC6">
      <w:pPr>
        <w:pStyle w:val="CGCParaNumber"/>
        <w:ind w:hanging="357"/>
      </w:pPr>
      <w:r>
        <w:t xml:space="preserve">Queensland </w:t>
      </w:r>
      <w:r w:rsidRPr="00C005DC">
        <w:t>said the changes in its net expense data in 2023–24 compared with 2022–</w:t>
      </w:r>
      <w:r w:rsidR="006F355E">
        <w:rPr>
          <w:rFonts w:ascii="Times New Roman" w:hAnsi="Times New Roman" w:cs="Times New Roman" w:hint="eastAsia"/>
          <w:rtl/>
        </w:rPr>
        <w:t>‍</w:t>
      </w:r>
      <w:r w:rsidRPr="00C005DC">
        <w:t>23 reflected extensive efforts to improve data quality, including by better allocating regional expenses to regional areas, as opposed to past practice where the expenses of smaller regions were included in larger urban area totals. Queensland also noted that its higher expenses were driven by significant increases in labour, maintenance and interest costs. Queensland suggested not including 2023–24 data would result in the regression being based on less reliable, more outdated data</w:t>
      </w:r>
      <w:r>
        <w:t>.</w:t>
      </w:r>
    </w:p>
    <w:p w14:paraId="45E2D70F" w14:textId="08812A08" w:rsidR="00781402" w:rsidRDefault="00781402" w:rsidP="00807FC6">
      <w:pPr>
        <w:pStyle w:val="CGCParaNumber"/>
        <w:ind w:hanging="357"/>
      </w:pPr>
      <w:r>
        <w:t>Queensland recommend</w:t>
      </w:r>
      <w:r w:rsidR="00B96F4A">
        <w:t>ed</w:t>
      </w:r>
      <w:r>
        <w:t xml:space="preserve"> the 2023</w:t>
      </w:r>
      <w:r w:rsidR="00B96F4A">
        <w:t>–</w:t>
      </w:r>
      <w:r>
        <w:t xml:space="preserve">24 data be incorporated </w:t>
      </w:r>
      <w:r w:rsidR="00D552F8" w:rsidRPr="00D552F8">
        <w:t xml:space="preserve">in the regression </w:t>
      </w:r>
      <w:r w:rsidR="27B299E8">
        <w:t>but</w:t>
      </w:r>
      <w:r w:rsidR="00BB6CCD">
        <w:t xml:space="preserve"> suggested </w:t>
      </w:r>
      <w:r w:rsidR="43ACC15B">
        <w:t xml:space="preserve">that an option for </w:t>
      </w:r>
      <w:r w:rsidR="00CE676E">
        <w:t>the Commission co</w:t>
      </w:r>
      <w:r w:rsidR="29B27200">
        <w:t xml:space="preserve">uld </w:t>
      </w:r>
      <w:r w:rsidR="0034261E">
        <w:t>be to</w:t>
      </w:r>
      <w:r w:rsidR="329BEA13">
        <w:t xml:space="preserve"> apply</w:t>
      </w:r>
      <w:r w:rsidR="00CE676E">
        <w:t xml:space="preserve"> a discount to the </w:t>
      </w:r>
      <w:r w:rsidR="00B96F4A">
        <w:t>parts of the data subject to significant variation.</w:t>
      </w:r>
    </w:p>
    <w:p w14:paraId="5F89DFD5" w14:textId="111160AA" w:rsidR="003826B5" w:rsidRDefault="003826B5" w:rsidP="00807FC6">
      <w:pPr>
        <w:pStyle w:val="CGCParaNumber"/>
        <w:ind w:hanging="357"/>
      </w:pPr>
      <w:r>
        <w:t>W</w:t>
      </w:r>
      <w:r w:rsidR="002B0467">
        <w:t xml:space="preserve">estern Australia </w:t>
      </w:r>
      <w:r w:rsidR="005D0027">
        <w:t>consider</w:t>
      </w:r>
      <w:r w:rsidR="009958E9">
        <w:t>ed</w:t>
      </w:r>
      <w:r w:rsidR="002B0467">
        <w:t xml:space="preserve"> the </w:t>
      </w:r>
      <w:r w:rsidR="00486FDB">
        <w:t xml:space="preserve">impact of </w:t>
      </w:r>
      <w:r w:rsidR="0097261D">
        <w:t>incorporating 2023</w:t>
      </w:r>
      <w:r w:rsidR="00E945C4">
        <w:t>–</w:t>
      </w:r>
      <w:r w:rsidR="0097261D">
        <w:t xml:space="preserve">24 data on the regression coefficients </w:t>
      </w:r>
      <w:r w:rsidR="0010500F">
        <w:t>indicate</w:t>
      </w:r>
      <w:r w:rsidR="002C1D0B">
        <w:t>d</w:t>
      </w:r>
      <w:r w:rsidR="0010500F">
        <w:t xml:space="preserve"> the model </w:t>
      </w:r>
      <w:r w:rsidR="002C1D0B">
        <w:t xml:space="preserve">was </w:t>
      </w:r>
      <w:r w:rsidR="0010500F">
        <w:t>unsound</w:t>
      </w:r>
      <w:r w:rsidR="003A273E">
        <w:t xml:space="preserve"> and raise</w:t>
      </w:r>
      <w:r w:rsidR="009958E9">
        <w:t>d</w:t>
      </w:r>
      <w:r w:rsidR="003A273E">
        <w:t xml:space="preserve"> concerns about the sensitivity of the model to </w:t>
      </w:r>
      <w:r w:rsidR="00CA31BF">
        <w:t xml:space="preserve">new data and </w:t>
      </w:r>
      <w:r w:rsidR="003A273E">
        <w:t xml:space="preserve">an increase in </w:t>
      </w:r>
      <w:r w:rsidR="004D1E56">
        <w:t>sample size</w:t>
      </w:r>
      <w:r w:rsidR="00CA31BF">
        <w:t>.</w:t>
      </w:r>
    </w:p>
    <w:p w14:paraId="7DA502C6" w14:textId="23F54AF8" w:rsidR="006B37D9" w:rsidRDefault="006B37D9" w:rsidP="00807FC6">
      <w:pPr>
        <w:pStyle w:val="CGCParaNumber"/>
        <w:ind w:hanging="357"/>
      </w:pPr>
      <w:r>
        <w:t xml:space="preserve">Western Australia also </w:t>
      </w:r>
      <w:r w:rsidR="00BC6BC1">
        <w:t>noted</w:t>
      </w:r>
      <w:r w:rsidR="00484FB8">
        <w:t xml:space="preserve"> the</w:t>
      </w:r>
      <w:r w:rsidR="001A55EF">
        <w:t xml:space="preserve"> </w:t>
      </w:r>
      <w:r w:rsidR="00D7244A">
        <w:t xml:space="preserve">high </w:t>
      </w:r>
      <w:r w:rsidR="001A55EF">
        <w:t>growth in passenger</w:t>
      </w:r>
      <w:r w:rsidR="00484FB8">
        <w:t xml:space="preserve"> number</w:t>
      </w:r>
      <w:r w:rsidR="001A55EF">
        <w:t xml:space="preserve">s between </w:t>
      </w:r>
      <w:r w:rsidR="00995C24">
        <w:t xml:space="preserve">years </w:t>
      </w:r>
      <w:r w:rsidR="007F58B7">
        <w:t>far exceed</w:t>
      </w:r>
      <w:r w:rsidR="001A67B0">
        <w:t>ed</w:t>
      </w:r>
      <w:r w:rsidR="00995C24">
        <w:t xml:space="preserve"> growth in urban area</w:t>
      </w:r>
      <w:r w:rsidR="007F58B7">
        <w:t xml:space="preserve"> populations</w:t>
      </w:r>
      <w:r w:rsidR="00D7244A">
        <w:t xml:space="preserve">. </w:t>
      </w:r>
      <w:r w:rsidR="002736A2">
        <w:t>It</w:t>
      </w:r>
      <w:r w:rsidR="00845873">
        <w:t xml:space="preserve"> consider</w:t>
      </w:r>
      <w:r w:rsidR="002736A2">
        <w:t>ed</w:t>
      </w:r>
      <w:r w:rsidR="00845873">
        <w:t xml:space="preserve"> that this support</w:t>
      </w:r>
      <w:r w:rsidR="001A67B0">
        <w:t>ed</w:t>
      </w:r>
      <w:r w:rsidR="00845873">
        <w:t xml:space="preserve"> the </w:t>
      </w:r>
      <w:r w:rsidR="00E86FB9">
        <w:t xml:space="preserve">recommendation that available capacity </w:t>
      </w:r>
      <w:r w:rsidR="005302EC">
        <w:t>on public transport would better reflect supply.</w:t>
      </w:r>
      <w:r w:rsidR="00D7244A">
        <w:t xml:space="preserve"> </w:t>
      </w:r>
      <w:r w:rsidR="005C6DDC" w:rsidRPr="005C6DDC">
        <w:t>Western Australia recommended the blending ratio be increased to at least 50:50 to address the limitations of the method and to recognise increased uncertainty about the robustness of the model</w:t>
      </w:r>
      <w:r w:rsidR="006226DC">
        <w:t>.</w:t>
      </w:r>
    </w:p>
    <w:p w14:paraId="700CEA41" w14:textId="02CB9CF6" w:rsidR="005C6DDC" w:rsidRDefault="005821E7" w:rsidP="00807FC6">
      <w:pPr>
        <w:pStyle w:val="CGCParaNumber"/>
        <w:ind w:hanging="357"/>
      </w:pPr>
      <w:r w:rsidRPr="005821E7">
        <w:t>The Northern Territory supported retaining the 2025 Review regression model coefficients. However, it said freezing the regression coefficients was a highly unsatisfactory result and suggested the Commission consider additional discounting for the urban transport regression</w:t>
      </w:r>
      <w:r>
        <w:t>.</w:t>
      </w:r>
    </w:p>
    <w:p w14:paraId="758CA477" w14:textId="70DC242F" w:rsidR="006F7BDE" w:rsidRDefault="006F7BDE" w:rsidP="006F7BDE">
      <w:pPr>
        <w:pStyle w:val="Heading5"/>
        <w:rPr>
          <w:rFonts w:hint="eastAsia"/>
        </w:rPr>
      </w:pPr>
      <w:r>
        <w:t>Commission decision</w:t>
      </w:r>
    </w:p>
    <w:p w14:paraId="3FDFD8E9" w14:textId="5EC8C41B" w:rsidR="005821E7" w:rsidRDefault="00160096" w:rsidP="00C723C2">
      <w:pPr>
        <w:pStyle w:val="CGCParaNumber"/>
        <w:ind w:hanging="357"/>
      </w:pPr>
      <w:r>
        <w:t>I</w:t>
      </w:r>
      <w:r w:rsidR="00AB0686">
        <w:t>n</w:t>
      </w:r>
      <w:r w:rsidR="00C723C2" w:rsidRPr="00C723C2">
        <w:t xml:space="preserve"> </w:t>
      </w:r>
      <w:r w:rsidR="00C723C2">
        <w:t>the 2025 Methodology Review, the Commission decided it would re-estimate the transport regression in the 2026 Update with 2 years of data to enhance the reliability and contemporaneity of the model. This decision aligned with a variety of state concerns about only using a single year of data, including that the relevant year (2022–</w:t>
      </w:r>
      <w:r w:rsidR="006C5E28">
        <w:rPr>
          <w:rFonts w:ascii="Times New Roman" w:hAnsi="Times New Roman" w:cs="Times New Roman" w:hint="eastAsia"/>
          <w:rtl/>
        </w:rPr>
        <w:t>‍</w:t>
      </w:r>
      <w:r w:rsidR="00C723C2">
        <w:t xml:space="preserve">23) may still contain the lingering impacts of </w:t>
      </w:r>
      <w:r w:rsidR="00AB0686">
        <w:t>COVID-19.</w:t>
      </w:r>
    </w:p>
    <w:p w14:paraId="671670A2" w14:textId="03B563E0" w:rsidR="009636E4" w:rsidRDefault="00E43A1C" w:rsidP="00807FC6">
      <w:pPr>
        <w:pStyle w:val="CGCParaNumber"/>
        <w:ind w:hanging="357"/>
      </w:pPr>
      <w:r>
        <w:t xml:space="preserve">The Commission acknowledges the efforts all states have made to provide 2023–24 data. Some of the data, however, vary significantly between states and when compared </w:t>
      </w:r>
      <w:r w:rsidR="00E32C36">
        <w:t>with</w:t>
      </w:r>
      <w:r>
        <w:t xml:space="preserve"> the 2022–23 data. Given comparability concerns, the Commission will not update the urban transport regression with 2023–24 state net expense data for the 2026 Update, as was intended in the 2025 Methodology Review. This approach is supported by most states.</w:t>
      </w:r>
    </w:p>
    <w:p w14:paraId="7C66FE5A" w14:textId="230CFB75" w:rsidR="007552B5" w:rsidRDefault="007552B5" w:rsidP="00807FC6">
      <w:pPr>
        <w:pStyle w:val="CGCParaNumber"/>
        <w:ind w:hanging="357"/>
      </w:pPr>
      <w:r>
        <w:t xml:space="preserve">The </w:t>
      </w:r>
      <w:r w:rsidRPr="007552B5">
        <w:t>inability to include 2023–24 state net expense data means the anticipated improvement to the urban transport regression has not been realised in the 2026</w:t>
      </w:r>
      <w:r w:rsidR="00CA1D7E">
        <w:t> </w:t>
      </w:r>
      <w:r w:rsidRPr="007552B5">
        <w:t>Update. Further, the regression will be based on only one year of data (2022–23) and will be less contemporaneous than anticipated at the time of the 2025</w:t>
      </w:r>
      <w:r w:rsidR="007F66BE">
        <w:t> </w:t>
      </w:r>
      <w:r w:rsidRPr="007552B5">
        <w:t>Methodology Review</w:t>
      </w:r>
      <w:r>
        <w:t>.</w:t>
      </w:r>
    </w:p>
    <w:p w14:paraId="5B07CD84" w14:textId="6E683848" w:rsidR="005E0769" w:rsidRDefault="002C5869" w:rsidP="00807FC6">
      <w:pPr>
        <w:pStyle w:val="CGCParaNumber"/>
        <w:ind w:hanging="357"/>
      </w:pPr>
      <w:r>
        <w:lastRenderedPageBreak/>
        <w:t xml:space="preserve">Under </w:t>
      </w:r>
      <w:r w:rsidRPr="002C5869">
        <w:t xml:space="preserve">the Terms of Reference for the 2026 Update, the Commission may introduce new data or make method changes to overcome data problems. The Commission has not yet been able to identify new, more reliable data to replace the 2023–24 state net expense data. Therefore, consistent with the </w:t>
      </w:r>
      <w:r w:rsidR="00EB6F7F">
        <w:t>t</w:t>
      </w:r>
      <w:r w:rsidRPr="002C5869">
        <w:t xml:space="preserve">erms of </w:t>
      </w:r>
      <w:r w:rsidR="00EB6F7F">
        <w:t>r</w:t>
      </w:r>
      <w:r w:rsidRPr="002C5869">
        <w:t>eference, the Commission will alter the urban transport method for the 2026 Update to address the impacts of the data problems</w:t>
      </w:r>
      <w:r>
        <w:t>.</w:t>
      </w:r>
    </w:p>
    <w:p w14:paraId="7A6830D4" w14:textId="51A19242" w:rsidR="002C5869" w:rsidRDefault="00906A91" w:rsidP="00807FC6">
      <w:pPr>
        <w:pStyle w:val="CGCParaNumber"/>
        <w:ind w:hanging="357"/>
      </w:pPr>
      <w:r w:rsidRPr="00C25E57">
        <w:t>With only a single and less contemporaneous year to estimate the regression coefficients, the Commission considers that the regression model is less reliable than anticipated in the 2025 Review.</w:t>
      </w:r>
      <w:r w:rsidRPr="00906A91">
        <w:t xml:space="preserve"> To address this in the 2026 Update, a further reweighting of the blending ratio in the recurrent assessment and an additional weighting in the investment assessment is warranted to reduce the model’s impact. This approach is consistent with the views of some states that recommended the regression be given less weight by increasing the blending ratio or applying discounts.</w:t>
      </w:r>
    </w:p>
    <w:p w14:paraId="422DDA7B" w14:textId="1A755483" w:rsidR="00906A91" w:rsidRDefault="00FA7651" w:rsidP="00807FC6">
      <w:pPr>
        <w:pStyle w:val="CGCParaNumber"/>
        <w:ind w:hanging="357"/>
      </w:pPr>
      <w:bookmarkStart w:id="3" w:name="_Hlk221181166"/>
      <w:r>
        <w:t xml:space="preserve">For </w:t>
      </w:r>
      <w:r w:rsidRPr="001D2C0F">
        <w:t xml:space="preserve">the 2026 Update, the Commission will retain the urban transport regression coefficients derived using only 2022–23 state net expense data. </w:t>
      </w:r>
      <w:bookmarkEnd w:id="3"/>
      <w:r w:rsidRPr="001D2C0F">
        <w:t>The urban population blending ratio will be increased by 5 percentage points to 40% urban population and 60% urban centre characteristics model in the recurrent assessment and to 30% urban population squared and 70% urban centre characteristics model in the investment assessment</w:t>
      </w:r>
      <w:r>
        <w:t>.</w:t>
      </w:r>
    </w:p>
    <w:p w14:paraId="57B58A6F" w14:textId="071D9DB0" w:rsidR="00FA7651" w:rsidRDefault="0025173B" w:rsidP="00807FC6">
      <w:pPr>
        <w:pStyle w:val="CGCParaNumber"/>
        <w:ind w:hanging="357"/>
      </w:pPr>
      <w:r>
        <w:t xml:space="preserve">The </w:t>
      </w:r>
      <w:r w:rsidRPr="0025173B">
        <w:t>Commission will continue to work with states through the Data Working Group to try and resolve the identified data problems. If issues are resolved, the Commission is open to revisiting the coefficients and the implications for the blending ratios in a future update, in consultation with the states</w:t>
      </w:r>
      <w:r>
        <w:t>.</w:t>
      </w:r>
    </w:p>
    <w:p w14:paraId="4A17DFEC" w14:textId="70F8405B" w:rsidR="00324A3A" w:rsidRPr="00ED204F" w:rsidRDefault="00324A3A" w:rsidP="00807FC6">
      <w:pPr>
        <w:pStyle w:val="CGCParaNumber"/>
        <w:ind w:hanging="357"/>
      </w:pPr>
      <w:r>
        <w:t xml:space="preserve">The </w:t>
      </w:r>
      <w:r w:rsidRPr="00324A3A">
        <w:t>Commission also notes the broader urban transport assessment is subject to consideration as part of the Commission’s forward work program</w:t>
      </w:r>
      <w:r>
        <w:t>.</w:t>
      </w:r>
    </w:p>
    <w:p w14:paraId="05E48FB5" w14:textId="28A867F0" w:rsidR="009A4460" w:rsidRDefault="00F67AFC" w:rsidP="00F67AFC">
      <w:pPr>
        <w:pStyle w:val="Heading2"/>
      </w:pPr>
      <w:r>
        <w:t>Assessment issues</w:t>
      </w:r>
    </w:p>
    <w:p w14:paraId="6A04854D" w14:textId="015E22AA" w:rsidR="00F67AFC" w:rsidRDefault="00F85433" w:rsidP="00634425">
      <w:pPr>
        <w:pStyle w:val="Heading3"/>
      </w:pPr>
      <w:r>
        <w:t>Schools</w:t>
      </w:r>
      <w:r w:rsidR="0067336C">
        <w:t xml:space="preserve"> – Better and Fairer Schools Agreement</w:t>
      </w:r>
    </w:p>
    <w:p w14:paraId="32C9E918" w14:textId="2F86BDB7" w:rsidR="00871F19" w:rsidRDefault="00871F19" w:rsidP="00871F19">
      <w:pPr>
        <w:pStyle w:val="Heading5"/>
        <w:rPr>
          <w:rFonts w:hint="eastAsia"/>
        </w:rPr>
      </w:pPr>
      <w:r>
        <w:t>Issue</w:t>
      </w:r>
    </w:p>
    <w:p w14:paraId="0A27E774" w14:textId="356EF7A6" w:rsidR="001E6426" w:rsidRDefault="001E6426" w:rsidP="001E6426">
      <w:pPr>
        <w:pStyle w:val="CGCParaNumber"/>
      </w:pPr>
      <w:bookmarkStart w:id="4" w:name="_Ref207794371"/>
      <w:r>
        <w:t xml:space="preserve">The </w:t>
      </w:r>
      <w:r w:rsidRPr="00237702">
        <w:t>Better and Fairer Schools Agreement 2025</w:t>
      </w:r>
      <w:r w:rsidRPr="6819DC36">
        <w:rPr>
          <w:i/>
          <w:iCs/>
        </w:rPr>
        <w:t xml:space="preserve"> </w:t>
      </w:r>
      <w:r>
        <w:t xml:space="preserve">(BFSA) commenced on 1 January 2025, replacing the </w:t>
      </w:r>
      <w:r w:rsidRPr="008018AD">
        <w:t>National Schools Reform Agreement</w:t>
      </w:r>
      <w:r>
        <w:t xml:space="preserve">. The </w:t>
      </w:r>
      <w:r w:rsidR="00440571">
        <w:t>S</w:t>
      </w:r>
      <w:r>
        <w:t xml:space="preserve">upplementary </w:t>
      </w:r>
      <w:r w:rsidR="00440571">
        <w:t>T</w:t>
      </w:r>
      <w:r>
        <w:t xml:space="preserve">erms of </w:t>
      </w:r>
      <w:r w:rsidR="00440571">
        <w:t>R</w:t>
      </w:r>
      <w:r>
        <w:t xml:space="preserve">eference for the 2025 Review directed the Commission on the treatment of this payment (outlined below). The Commission </w:t>
      </w:r>
      <w:r w:rsidR="001D1A74">
        <w:t xml:space="preserve">sought state views on </w:t>
      </w:r>
      <w:r>
        <w:t>how to implement those directions.</w:t>
      </w:r>
      <w:bookmarkEnd w:id="4"/>
    </w:p>
    <w:p w14:paraId="74113586" w14:textId="15B0E34E" w:rsidR="0007311B" w:rsidRPr="00DB01BB" w:rsidRDefault="0007311B" w:rsidP="0007311B">
      <w:pPr>
        <w:pStyle w:val="CGCParaNumber"/>
      </w:pPr>
      <w:r w:rsidRPr="00DB01BB">
        <w:t>The</w:t>
      </w:r>
      <w:r w:rsidRPr="00DB01BB" w:rsidDel="00BC5ACA">
        <w:t xml:space="preserve"> </w:t>
      </w:r>
      <w:r w:rsidR="00440571">
        <w:t>S</w:t>
      </w:r>
      <w:r w:rsidRPr="00DB01BB">
        <w:t xml:space="preserve">upplementary </w:t>
      </w:r>
      <w:r w:rsidR="00440571">
        <w:t>T</w:t>
      </w:r>
      <w:r w:rsidRPr="00DB01BB">
        <w:t xml:space="preserve">erms of </w:t>
      </w:r>
      <w:r w:rsidR="00440571">
        <w:t>R</w:t>
      </w:r>
      <w:r w:rsidRPr="00DB01BB">
        <w:t>eference for the 2025 Review stated:</w:t>
      </w:r>
    </w:p>
    <w:p w14:paraId="04513DD1" w14:textId="28843272" w:rsidR="00F05916" w:rsidRPr="008018AD" w:rsidRDefault="0007311B" w:rsidP="00105B99">
      <w:pPr>
        <w:pStyle w:val="Quote"/>
        <w:jc w:val="left"/>
        <w:rPr>
          <w:i w:val="0"/>
        </w:rPr>
      </w:pPr>
      <w:r w:rsidRPr="008018AD">
        <w:rPr>
          <w:i w:val="0"/>
        </w:rPr>
        <w:t>The Commission will ensure that the GST distribution process will not have the effect of unwinding the recognition of educational disadvantage, or the differential funding proportions, embedded in the Better and Fairer Schools Agreement (BFSA) funding arrangements. The Commission will also ensure that no state receives a windfall gain through the GST distribution from non</w:t>
      </w:r>
      <w:r w:rsidRPr="008018AD">
        <w:rPr>
          <w:i w:val="0"/>
        </w:rPr>
        <w:noBreakHyphen/>
        <w:t>participation in BFSA funding arrangements.</w:t>
      </w:r>
    </w:p>
    <w:p w14:paraId="21CFA702" w14:textId="117BD2D2" w:rsidR="00F05916" w:rsidRDefault="00F05916" w:rsidP="006F7F68">
      <w:pPr>
        <w:pStyle w:val="CGCParaNumber"/>
      </w:pPr>
      <w:r>
        <w:t>Th</w:t>
      </w:r>
      <w:r w:rsidR="00222D94">
        <w:t>os</w:t>
      </w:r>
      <w:r>
        <w:t>e terms of reference mean the differences in</w:t>
      </w:r>
      <w:r w:rsidR="00E403F1">
        <w:t xml:space="preserve"> schooling</w:t>
      </w:r>
      <w:r w:rsidR="00137914">
        <w:t xml:space="preserve"> resource </w:t>
      </w:r>
      <w:r w:rsidR="00CD2A20">
        <w:t>standard funding</w:t>
      </w:r>
      <w:r>
        <w:t xml:space="preserve"> proportions should no longer be unwound.</w:t>
      </w:r>
      <w:r w:rsidRPr="008107A3">
        <w:rPr>
          <w:rStyle w:val="FootnoteReference"/>
          <w:szCs w:val="20"/>
        </w:rPr>
        <w:footnoteReference w:id="6"/>
      </w:r>
      <w:r>
        <w:t xml:space="preserve"> The Commission</w:t>
      </w:r>
      <w:r w:rsidR="00222D94">
        <w:t>’</w:t>
      </w:r>
      <w:r>
        <w:t xml:space="preserve">s preliminary view </w:t>
      </w:r>
      <w:r w:rsidR="006F7F68">
        <w:t>was to</w:t>
      </w:r>
      <w:r>
        <w:t xml:space="preserve"> give effect to the terms of reference requirement</w:t>
      </w:r>
      <w:r w:rsidR="006F7F68">
        <w:t xml:space="preserve"> by </w:t>
      </w:r>
      <w:r>
        <w:t>exclud</w:t>
      </w:r>
      <w:r w:rsidR="00B82D79">
        <w:t>ing</w:t>
      </w:r>
      <w:r>
        <w:t xml:space="preserve"> the Commonwealth </w:t>
      </w:r>
      <w:r>
        <w:lastRenderedPageBreak/>
        <w:t>funding for government schools and the associated expenses (the standard ‘no impact’ approach to Commonwealth payments).</w:t>
      </w:r>
    </w:p>
    <w:p w14:paraId="3335CA71" w14:textId="34491240" w:rsidR="00A52BC7" w:rsidRDefault="00A52BC7" w:rsidP="00A52BC7">
      <w:pPr>
        <w:pStyle w:val="CGCParaNumber"/>
      </w:pPr>
      <w:r w:rsidRPr="00515F75">
        <w:t xml:space="preserve">The </w:t>
      </w:r>
      <w:r w:rsidRPr="00C174DD">
        <w:t>BFSA</w:t>
      </w:r>
      <w:r w:rsidRPr="00515F75">
        <w:t xml:space="preserve"> began in January 2025. </w:t>
      </w:r>
      <w:r>
        <w:t xml:space="preserve">Therefore, states received </w:t>
      </w:r>
      <w:r w:rsidRPr="008018AD">
        <w:t>Quality Schools</w:t>
      </w:r>
      <w:r>
        <w:t xml:space="preserve"> funding in the first half of 2024</w:t>
      </w:r>
      <w:r w:rsidRPr="00515F75">
        <w:t>–</w:t>
      </w:r>
      <w:r>
        <w:t>25, which was replaced by the BFSA funding in the second half of the year.</w:t>
      </w:r>
      <w:r w:rsidRPr="00515F75">
        <w:t xml:space="preserve"> The </w:t>
      </w:r>
      <w:r w:rsidRPr="00515F75" w:rsidDel="00C174DD">
        <w:t>2026</w:t>
      </w:r>
      <w:r>
        <w:t> </w:t>
      </w:r>
      <w:r w:rsidRPr="00515F75">
        <w:t xml:space="preserve">Update </w:t>
      </w:r>
      <w:r>
        <w:t>will be based on data for</w:t>
      </w:r>
      <w:r w:rsidRPr="00515F75">
        <w:t xml:space="preserve"> 2022–23, 2023–24 and 2024–</w:t>
      </w:r>
      <w:r w:rsidR="001A6B06">
        <w:t>‍</w:t>
      </w:r>
      <w:r w:rsidRPr="00515F75">
        <w:t xml:space="preserve">25. </w:t>
      </w:r>
    </w:p>
    <w:p w14:paraId="79EFA9EC" w14:textId="59138252" w:rsidR="005B416A" w:rsidRDefault="006C23E0" w:rsidP="006F7F68">
      <w:pPr>
        <w:pStyle w:val="CGCParaNumber"/>
      </w:pPr>
      <w:r>
        <w:t xml:space="preserve">On practicality grounds, the Commission was not inclined to split the </w:t>
      </w:r>
      <w:r w:rsidR="005C76B2">
        <w:t xml:space="preserve">data for </w:t>
      </w:r>
      <w:r>
        <w:t xml:space="preserve">2024–25 and apply the </w:t>
      </w:r>
      <w:r w:rsidRPr="008018AD">
        <w:t>Quality Schools</w:t>
      </w:r>
      <w:r>
        <w:t xml:space="preserve"> and BFSA treatments</w:t>
      </w:r>
      <w:r w:rsidR="00494B2D">
        <w:t xml:space="preserve"> to the splits</w:t>
      </w:r>
      <w:r>
        <w:t xml:space="preserve">. </w:t>
      </w:r>
      <w:r w:rsidR="008F19E1">
        <w:t xml:space="preserve">Its </w:t>
      </w:r>
      <w:r>
        <w:t>preliminary view was to apply the BFSA treatment to the entire funding for 2024–25.</w:t>
      </w:r>
    </w:p>
    <w:p w14:paraId="4AFAE388" w14:textId="77777777" w:rsidR="00C12725" w:rsidRDefault="00C12725" w:rsidP="00C12725">
      <w:pPr>
        <w:pStyle w:val="Heading5"/>
        <w:rPr>
          <w:rFonts w:hint="eastAsia"/>
        </w:rPr>
      </w:pPr>
      <w:r>
        <w:t>State views</w:t>
      </w:r>
    </w:p>
    <w:p w14:paraId="3219E722" w14:textId="23E98062" w:rsidR="10AB25F1" w:rsidRDefault="00E253C9" w:rsidP="00420680">
      <w:pPr>
        <w:pStyle w:val="CGCParaNumber"/>
      </w:pPr>
      <w:r>
        <w:t>Most</w:t>
      </w:r>
      <w:r w:rsidR="11E76F80">
        <w:t xml:space="preserve"> states support</w:t>
      </w:r>
      <w:r w:rsidR="7914B2A8">
        <w:t>ed</w:t>
      </w:r>
      <w:r w:rsidR="11E76F80">
        <w:t xml:space="preserve"> </w:t>
      </w:r>
      <w:r w:rsidR="003F7DEA">
        <w:t>exclud</w:t>
      </w:r>
      <w:r w:rsidR="00C54DC7">
        <w:t>ing</w:t>
      </w:r>
      <w:r w:rsidR="003F7DEA">
        <w:t xml:space="preserve"> </w:t>
      </w:r>
      <w:r w:rsidR="0011684C">
        <w:t>Commonwealth spending on state schools from</w:t>
      </w:r>
      <w:r w:rsidR="007A0CF0">
        <w:t xml:space="preserve"> 2024-25 and </w:t>
      </w:r>
      <w:r w:rsidR="00C33697">
        <w:t>continu</w:t>
      </w:r>
      <w:r w:rsidR="00C54DC7">
        <w:t>ing</w:t>
      </w:r>
      <w:r w:rsidR="00C33697">
        <w:t xml:space="preserve"> the </w:t>
      </w:r>
      <w:r w:rsidR="00494B2D">
        <w:t xml:space="preserve">2025 Review </w:t>
      </w:r>
      <w:r w:rsidR="00C33697">
        <w:t xml:space="preserve">approach </w:t>
      </w:r>
      <w:r w:rsidR="00D03ADA">
        <w:t>for 2022</w:t>
      </w:r>
      <w:r w:rsidR="00DE00E7">
        <w:t>–‍</w:t>
      </w:r>
      <w:r w:rsidR="00D03ADA">
        <w:t>23 and 2023</w:t>
      </w:r>
      <w:r w:rsidR="00DE00E7">
        <w:t>–</w:t>
      </w:r>
      <w:r w:rsidR="00D03ADA">
        <w:t xml:space="preserve">24. </w:t>
      </w:r>
    </w:p>
    <w:p w14:paraId="5B0F8406" w14:textId="4518F844" w:rsidR="00420680" w:rsidRDefault="004B4CD7" w:rsidP="00420680">
      <w:pPr>
        <w:pStyle w:val="CGCParaNumber"/>
      </w:pPr>
      <w:r>
        <w:t xml:space="preserve">Western Australia </w:t>
      </w:r>
      <w:r w:rsidR="008C0F7B">
        <w:t>proposed</w:t>
      </w:r>
      <w:r>
        <w:t xml:space="preserve"> an equal per capita approach </w:t>
      </w:r>
      <w:r w:rsidR="00EC0B68">
        <w:t>with a wage costs adjustment</w:t>
      </w:r>
      <w:r w:rsidR="00794F25">
        <w:t xml:space="preserve">, continuing </w:t>
      </w:r>
      <w:r w:rsidR="003839DB">
        <w:t>the</w:t>
      </w:r>
      <w:r w:rsidR="00CA122B">
        <w:t xml:space="preserve"> </w:t>
      </w:r>
      <w:r w:rsidR="003839DB">
        <w:t xml:space="preserve">approach </w:t>
      </w:r>
      <w:r w:rsidR="00CA122B">
        <w:t xml:space="preserve">since </w:t>
      </w:r>
      <w:r w:rsidR="00006E10">
        <w:t xml:space="preserve">the </w:t>
      </w:r>
      <w:r w:rsidR="00CA122B">
        <w:t>2015</w:t>
      </w:r>
      <w:r w:rsidR="00945BDD">
        <w:t xml:space="preserve"> </w:t>
      </w:r>
      <w:r w:rsidR="009C055B">
        <w:t>Review</w:t>
      </w:r>
      <w:r w:rsidR="00FF5F8C">
        <w:t>.</w:t>
      </w:r>
      <w:r w:rsidR="009C055B">
        <w:t xml:space="preserve"> </w:t>
      </w:r>
      <w:r w:rsidR="00FF5F8C">
        <w:t xml:space="preserve">It said this would </w:t>
      </w:r>
      <w:r w:rsidR="00777323">
        <w:t xml:space="preserve">meet </w:t>
      </w:r>
      <w:r w:rsidR="001B2D1A">
        <w:t xml:space="preserve">the requirements </w:t>
      </w:r>
      <w:r w:rsidR="00E728FC">
        <w:t>of</w:t>
      </w:r>
      <w:r w:rsidR="001B2D1A">
        <w:t xml:space="preserve"> the </w:t>
      </w:r>
      <w:r w:rsidR="00AD60C0">
        <w:t>S</w:t>
      </w:r>
      <w:r w:rsidR="001B2D1A">
        <w:t xml:space="preserve">upplementary </w:t>
      </w:r>
      <w:r w:rsidR="004D671E">
        <w:t>T</w:t>
      </w:r>
      <w:r w:rsidR="006A0B57">
        <w:t xml:space="preserve">erms of </w:t>
      </w:r>
      <w:r w:rsidR="004D671E">
        <w:t>R</w:t>
      </w:r>
      <w:r w:rsidR="006A0B57">
        <w:t>eference</w:t>
      </w:r>
      <w:r w:rsidR="00F74DE9">
        <w:t xml:space="preserve"> for the 2025 Review</w:t>
      </w:r>
      <w:r w:rsidR="00EC0B68">
        <w:t xml:space="preserve">. </w:t>
      </w:r>
    </w:p>
    <w:p w14:paraId="7C195ECE" w14:textId="0707E258" w:rsidR="006A0B57" w:rsidRDefault="000209A4" w:rsidP="00420680">
      <w:pPr>
        <w:pStyle w:val="CGCParaNumber"/>
      </w:pPr>
      <w:r>
        <w:t xml:space="preserve">South Australia </w:t>
      </w:r>
      <w:r w:rsidR="00E116F3">
        <w:t>said</w:t>
      </w:r>
      <w:r w:rsidR="00CB1F98">
        <w:t xml:space="preserve"> applying</w:t>
      </w:r>
      <w:r>
        <w:t xml:space="preserve"> </w:t>
      </w:r>
      <w:r w:rsidR="00557348">
        <w:t xml:space="preserve">a wage cost adjustment </w:t>
      </w:r>
      <w:r w:rsidR="000569BA">
        <w:t xml:space="preserve">would be </w:t>
      </w:r>
      <w:r w:rsidR="003B65CD">
        <w:t xml:space="preserve">inconsistent with </w:t>
      </w:r>
      <w:r w:rsidR="00906113">
        <w:t>the supplementary terms of reference</w:t>
      </w:r>
      <w:r w:rsidR="00F24A0C">
        <w:t xml:space="preserve">, </w:t>
      </w:r>
      <w:r w:rsidR="00D0494F">
        <w:t xml:space="preserve">since </w:t>
      </w:r>
      <w:r w:rsidR="00F24A0C">
        <w:t xml:space="preserve">the </w:t>
      </w:r>
      <w:r w:rsidR="008C3B7F">
        <w:t xml:space="preserve">differential </w:t>
      </w:r>
      <w:r w:rsidR="0029159A">
        <w:t>funding proportions</w:t>
      </w:r>
      <w:r w:rsidR="008C3B7F">
        <w:t xml:space="preserve"> </w:t>
      </w:r>
      <w:r w:rsidR="00D0494F">
        <w:t>(</w:t>
      </w:r>
      <w:r w:rsidR="008C3B7F">
        <w:t>once adjusted for wages</w:t>
      </w:r>
      <w:r w:rsidR="00D0494F">
        <w:t>)</w:t>
      </w:r>
      <w:r w:rsidR="008C3B7F">
        <w:t xml:space="preserve"> would differ from the proportions in the </w:t>
      </w:r>
      <w:r w:rsidR="000D5F9C">
        <w:t>funding agreement</w:t>
      </w:r>
      <w:r w:rsidR="00906113">
        <w:t>.</w:t>
      </w:r>
      <w:r w:rsidR="000569BA">
        <w:t xml:space="preserve"> </w:t>
      </w:r>
    </w:p>
    <w:p w14:paraId="6E55ABE3" w14:textId="4CD59A76" w:rsidR="00420680" w:rsidRDefault="00063937" w:rsidP="00420680">
      <w:pPr>
        <w:pStyle w:val="CGCParaNumber"/>
      </w:pPr>
      <w:r>
        <w:t>Most</w:t>
      </w:r>
      <w:r w:rsidR="0025267F">
        <w:t xml:space="preserve"> states supported </w:t>
      </w:r>
      <w:r w:rsidR="00737AC8">
        <w:t xml:space="preserve">or </w:t>
      </w:r>
      <w:r w:rsidR="0025267F">
        <w:t>did</w:t>
      </w:r>
      <w:r w:rsidR="00F757C5">
        <w:t xml:space="preserve"> </w:t>
      </w:r>
      <w:r w:rsidR="0025267F">
        <w:t>n</w:t>
      </w:r>
      <w:r w:rsidR="00F757C5">
        <w:t>o</w:t>
      </w:r>
      <w:r w:rsidR="0025267F">
        <w:t xml:space="preserve">t comment on the </w:t>
      </w:r>
      <w:r w:rsidR="00311626">
        <w:t>proposed approach for the transition year (not splitting</w:t>
      </w:r>
      <w:r w:rsidR="00926693">
        <w:t xml:space="preserve"> the 2024</w:t>
      </w:r>
      <w:r w:rsidR="00DE00E7">
        <w:t>–</w:t>
      </w:r>
      <w:r w:rsidR="00926693">
        <w:t>25 funding)</w:t>
      </w:r>
      <w:r w:rsidR="00934FAC">
        <w:t>.</w:t>
      </w:r>
      <w:r w:rsidR="00926693">
        <w:t xml:space="preserve"> New South Wales and the AC</w:t>
      </w:r>
      <w:r w:rsidR="00800A8D">
        <w:t>T favour</w:t>
      </w:r>
      <w:r w:rsidR="00EC15C3">
        <w:t>ed</w:t>
      </w:r>
      <w:r w:rsidR="00800A8D">
        <w:t xml:space="preserve"> splitting </w:t>
      </w:r>
      <w:r w:rsidR="0057667D">
        <w:t>the 2024</w:t>
      </w:r>
      <w:r w:rsidR="00DE00E7">
        <w:t>–</w:t>
      </w:r>
      <w:r w:rsidR="0057667D">
        <w:t>25 payment between Quality Schools and BFSA</w:t>
      </w:r>
      <w:r w:rsidR="00800A8D">
        <w:t>.</w:t>
      </w:r>
    </w:p>
    <w:p w14:paraId="3AB5AFFE" w14:textId="06161A15" w:rsidR="001370A9" w:rsidRDefault="00C12725" w:rsidP="00315148">
      <w:pPr>
        <w:pStyle w:val="Heading5"/>
        <w:rPr>
          <w:rFonts w:hint="eastAsia"/>
        </w:rPr>
      </w:pPr>
      <w:r>
        <w:t>Commission decision</w:t>
      </w:r>
    </w:p>
    <w:p w14:paraId="0AF1DFAC" w14:textId="54DC3413" w:rsidR="00420680" w:rsidRPr="00E949C2" w:rsidRDefault="00315148" w:rsidP="00420680">
      <w:pPr>
        <w:pStyle w:val="CGCParaNumber"/>
      </w:pPr>
      <w:r w:rsidRPr="00D945AD">
        <w:t xml:space="preserve">The Commission </w:t>
      </w:r>
      <w:r w:rsidR="00F36053">
        <w:t xml:space="preserve">supports the </w:t>
      </w:r>
      <w:r w:rsidRPr="00D945AD">
        <w:t>South Australia</w:t>
      </w:r>
      <w:r w:rsidR="00F36053">
        <w:t>n view</w:t>
      </w:r>
      <w:r w:rsidRPr="00D945AD">
        <w:t xml:space="preserve"> that to ensure </w:t>
      </w:r>
      <w:r w:rsidR="00147F9E" w:rsidRPr="00D945AD">
        <w:t xml:space="preserve">the </w:t>
      </w:r>
      <w:r w:rsidR="00D7433C" w:rsidRPr="00D945AD">
        <w:t xml:space="preserve">differential funding proportions are not unwound, </w:t>
      </w:r>
      <w:r w:rsidR="008A4161" w:rsidRPr="00D945AD">
        <w:t xml:space="preserve">no </w:t>
      </w:r>
      <w:r w:rsidR="008A4161" w:rsidRPr="00E949C2">
        <w:t>adjustments (including wage costs) should be applied to the Commonwealth funding of government schools.</w:t>
      </w:r>
    </w:p>
    <w:p w14:paraId="654E8B7C" w14:textId="0C4F01E0" w:rsidR="000326C6" w:rsidRPr="00E949C2" w:rsidRDefault="004861D1" w:rsidP="00420680">
      <w:pPr>
        <w:pStyle w:val="CGCParaNumber"/>
      </w:pPr>
      <w:r w:rsidRPr="00E949C2">
        <w:t xml:space="preserve">The BFSA and </w:t>
      </w:r>
      <w:r w:rsidR="00BB6FFC" w:rsidRPr="00E949C2">
        <w:t xml:space="preserve">the previous </w:t>
      </w:r>
      <w:r w:rsidR="00BB6FFC" w:rsidRPr="00B07635">
        <w:t>Quality Schools</w:t>
      </w:r>
      <w:r w:rsidR="00BB6FFC" w:rsidRPr="00E949C2">
        <w:t xml:space="preserve"> payment </w:t>
      </w:r>
      <w:r w:rsidR="005E4A9E" w:rsidRPr="00E949C2">
        <w:t xml:space="preserve">are classified to the same payment in </w:t>
      </w:r>
      <w:r w:rsidR="009C184D" w:rsidRPr="00E949C2">
        <w:t xml:space="preserve">Final Budget Outcome. </w:t>
      </w:r>
      <w:r w:rsidR="00B758B3">
        <w:t>Therefore,</w:t>
      </w:r>
      <w:r w:rsidR="009C184D" w:rsidRPr="00E949C2">
        <w:t xml:space="preserve"> splitting the 2024</w:t>
      </w:r>
      <w:r w:rsidR="00D344FD" w:rsidRPr="00E949C2">
        <w:t>–</w:t>
      </w:r>
      <w:r w:rsidR="009E4E8E">
        <w:t>‍</w:t>
      </w:r>
      <w:r w:rsidR="009C184D" w:rsidRPr="00E949C2">
        <w:t>25 payment</w:t>
      </w:r>
      <w:r w:rsidR="009E4E8E">
        <w:t>s</w:t>
      </w:r>
      <w:r w:rsidR="009C184D" w:rsidRPr="00E949C2">
        <w:t xml:space="preserve"> is not </w:t>
      </w:r>
      <w:r w:rsidR="00AE5459">
        <w:t>prac</w:t>
      </w:r>
      <w:r w:rsidR="00B758B3">
        <w:t>tical</w:t>
      </w:r>
      <w:r w:rsidR="000501A6" w:rsidRPr="00E949C2">
        <w:t xml:space="preserve">. </w:t>
      </w:r>
    </w:p>
    <w:p w14:paraId="7C1E71CB" w14:textId="51D1B88D" w:rsidR="00420680" w:rsidRPr="00E949C2" w:rsidRDefault="00417FD3" w:rsidP="00420680">
      <w:pPr>
        <w:pStyle w:val="CGCParaNumber"/>
      </w:pPr>
      <w:r w:rsidRPr="00E949C2">
        <w:t xml:space="preserve">The Commission will </w:t>
      </w:r>
      <w:r w:rsidR="00B3690E" w:rsidRPr="00E949C2">
        <w:t xml:space="preserve">exclude Commonwealth spending on </w:t>
      </w:r>
      <w:r w:rsidR="008A4161" w:rsidRPr="00E949C2">
        <w:t>government</w:t>
      </w:r>
      <w:r w:rsidR="00B3690E" w:rsidRPr="00E949C2">
        <w:t xml:space="preserve"> schools from all calculations from 2024–</w:t>
      </w:r>
      <w:r w:rsidR="00B3690E" w:rsidRPr="00E949C2">
        <w:rPr>
          <w:rFonts w:ascii="Times New Roman" w:hAnsi="Times New Roman" w:cs="Times New Roman"/>
        </w:rPr>
        <w:t>‍</w:t>
      </w:r>
      <w:r w:rsidR="00B3690E" w:rsidRPr="00E949C2">
        <w:t xml:space="preserve">25 and continue the </w:t>
      </w:r>
      <w:r w:rsidR="000F1A30" w:rsidRPr="00E949C2">
        <w:t>2025 Review</w:t>
      </w:r>
      <w:r w:rsidR="00B3690E" w:rsidRPr="00E949C2">
        <w:t xml:space="preserve"> approach for the 2022–</w:t>
      </w:r>
      <w:r w:rsidR="0048610F" w:rsidRPr="00E949C2">
        <w:rPr>
          <w:rFonts w:ascii="Times New Roman" w:hAnsi="Times New Roman" w:cs="Times New Roman"/>
        </w:rPr>
        <w:t>‍</w:t>
      </w:r>
      <w:r w:rsidR="00B3690E" w:rsidRPr="00E949C2">
        <w:t>23 and 2023–24 assessment years</w:t>
      </w:r>
      <w:r w:rsidR="00477108" w:rsidRPr="00E949C2">
        <w:t>.</w:t>
      </w:r>
    </w:p>
    <w:p w14:paraId="11D21577" w14:textId="79A1C70F" w:rsidR="004A3513" w:rsidRDefault="0004734A" w:rsidP="007D443C">
      <w:pPr>
        <w:pStyle w:val="Heading2"/>
      </w:pPr>
      <w:r>
        <w:t>Treatment of Commonwealth payments</w:t>
      </w:r>
    </w:p>
    <w:p w14:paraId="16A27C8F" w14:textId="5EB2C534" w:rsidR="00DC6B0B" w:rsidRPr="00A9495C" w:rsidRDefault="00034DBB" w:rsidP="00D535A6">
      <w:pPr>
        <w:pStyle w:val="CGCParaNumber"/>
      </w:pPr>
      <w:r w:rsidRPr="00A9495C">
        <w:t xml:space="preserve">The </w:t>
      </w:r>
      <w:r w:rsidR="004D671E">
        <w:t>T</w:t>
      </w:r>
      <w:r w:rsidRPr="00A9495C">
        <w:t xml:space="preserve">erms of </w:t>
      </w:r>
      <w:r w:rsidR="004D671E">
        <w:t>R</w:t>
      </w:r>
      <w:r w:rsidRPr="00A9495C">
        <w:t xml:space="preserve">eference </w:t>
      </w:r>
      <w:r w:rsidR="00F74DE9">
        <w:t xml:space="preserve">for the 2026 Update </w:t>
      </w:r>
      <w:r w:rsidRPr="00A9495C">
        <w:t xml:space="preserve">require the Commission to prepare its assessments on the basis that </w:t>
      </w:r>
      <w:r w:rsidR="00DC6B0B" w:rsidRPr="00A9495C">
        <w:t xml:space="preserve">certain </w:t>
      </w:r>
      <w:r w:rsidR="00F35F34" w:rsidRPr="00A9495C">
        <w:t xml:space="preserve">Commonwealth </w:t>
      </w:r>
      <w:r w:rsidR="006210DE" w:rsidRPr="00A9495C">
        <w:t xml:space="preserve">payments to the states </w:t>
      </w:r>
      <w:r w:rsidR="003A2F48" w:rsidRPr="00A9495C">
        <w:t xml:space="preserve">do not directly influence the GST revenue sharing relativities. </w:t>
      </w:r>
      <w:r w:rsidR="000D0A7C" w:rsidRPr="00A9495C">
        <w:t xml:space="preserve">Of the new payments </w:t>
      </w:r>
      <w:r w:rsidR="00D402FE" w:rsidRPr="00A9495C">
        <w:t>listed</w:t>
      </w:r>
      <w:r w:rsidR="000D0A7C" w:rsidRPr="00A9495C">
        <w:t xml:space="preserve"> in the </w:t>
      </w:r>
      <w:r w:rsidR="00FC53F3" w:rsidRPr="00A9495C">
        <w:t>t</w:t>
      </w:r>
      <w:r w:rsidR="000D0A7C" w:rsidRPr="00A9495C">
        <w:t xml:space="preserve">erms of </w:t>
      </w:r>
      <w:r w:rsidR="00132242" w:rsidRPr="00A9495C">
        <w:t>reference</w:t>
      </w:r>
      <w:r w:rsidR="00AE1BFA" w:rsidRPr="00A9495C">
        <w:t xml:space="preserve">, only </w:t>
      </w:r>
      <w:r w:rsidR="00D535A6">
        <w:t xml:space="preserve">the </w:t>
      </w:r>
      <w:r w:rsidR="004450FA" w:rsidRPr="009A7F1C">
        <w:t>payment</w:t>
      </w:r>
      <w:r w:rsidR="00124429" w:rsidRPr="00A9495C">
        <w:t xml:space="preserve"> </w:t>
      </w:r>
      <w:r w:rsidR="00122E91" w:rsidRPr="009A7F1C">
        <w:t>to</w:t>
      </w:r>
      <w:r w:rsidR="0044240F" w:rsidRPr="009A7F1C">
        <w:t xml:space="preserve"> </w:t>
      </w:r>
      <w:r w:rsidR="0044240F" w:rsidRPr="001F6997">
        <w:t>South Australia</w:t>
      </w:r>
      <w:r w:rsidR="00124429" w:rsidRPr="001F6997">
        <w:t xml:space="preserve"> </w:t>
      </w:r>
      <w:r w:rsidR="00496091">
        <w:t xml:space="preserve">to </w:t>
      </w:r>
      <w:r w:rsidR="001356E3" w:rsidRPr="001F6997">
        <w:t xml:space="preserve">support the Whyalla </w:t>
      </w:r>
      <w:r w:rsidR="007E629C" w:rsidRPr="001F6997">
        <w:t>S</w:t>
      </w:r>
      <w:r w:rsidR="001356E3" w:rsidRPr="001F6997">
        <w:t>teelworks</w:t>
      </w:r>
      <w:r w:rsidR="009A7F1C" w:rsidRPr="009A7F1C">
        <w:t xml:space="preserve"> falls</w:t>
      </w:r>
      <w:r w:rsidR="00105531" w:rsidRPr="00A9495C">
        <w:t xml:space="preserve"> within the assessment period fo</w:t>
      </w:r>
      <w:r w:rsidR="00370B13" w:rsidRPr="00A9495C">
        <w:t>r the 202</w:t>
      </w:r>
      <w:r w:rsidR="00454660">
        <w:t>6</w:t>
      </w:r>
      <w:r w:rsidR="00370B13" w:rsidRPr="00A9495C">
        <w:t xml:space="preserve"> Update.</w:t>
      </w:r>
      <w:r w:rsidR="00AC1826">
        <w:rPr>
          <w:rStyle w:val="FootnoteReference"/>
        </w:rPr>
        <w:footnoteReference w:id="7"/>
      </w:r>
      <w:r w:rsidR="00EA6507" w:rsidRPr="00A9495C">
        <w:t xml:space="preserve"> </w:t>
      </w:r>
    </w:p>
    <w:p w14:paraId="65780B91" w14:textId="0F5F2BE0" w:rsidR="000360D0" w:rsidRDefault="00D535A6" w:rsidP="00D535A6">
      <w:pPr>
        <w:pStyle w:val="CGCParaNumber"/>
      </w:pPr>
      <w:r>
        <w:t>P</w:t>
      </w:r>
      <w:r w:rsidR="000360D0">
        <w:t>ayments</w:t>
      </w:r>
      <w:r w:rsidR="000750F7">
        <w:t xml:space="preserve"> </w:t>
      </w:r>
      <w:r w:rsidR="00593DA8">
        <w:t xml:space="preserve">commencing </w:t>
      </w:r>
      <w:r w:rsidR="00747A63">
        <w:t>in</w:t>
      </w:r>
      <w:r w:rsidR="00593DA8">
        <w:t xml:space="preserve"> 2024–25</w:t>
      </w:r>
      <w:r w:rsidR="00747A63">
        <w:t xml:space="preserve"> </w:t>
      </w:r>
      <w:r w:rsidR="00295B12">
        <w:t>that were</w:t>
      </w:r>
      <w:r w:rsidR="000750F7">
        <w:t xml:space="preserve"> quarantined by previous terms of reference include:</w:t>
      </w:r>
    </w:p>
    <w:p w14:paraId="193E4C4A" w14:textId="7C4DA7B5" w:rsidR="003F7124" w:rsidRPr="00AB73BB" w:rsidRDefault="003F7124" w:rsidP="00D535A6">
      <w:pPr>
        <w:pStyle w:val="CGCBullet1"/>
        <w:numPr>
          <w:ilvl w:val="0"/>
          <w:numId w:val="1"/>
        </w:numPr>
      </w:pPr>
      <w:r>
        <w:t xml:space="preserve">Supplementary </w:t>
      </w:r>
      <w:r w:rsidR="00041B91">
        <w:t>T</w:t>
      </w:r>
      <w:r>
        <w:t xml:space="preserve">erms of </w:t>
      </w:r>
      <w:r w:rsidR="00041B91">
        <w:t>R</w:t>
      </w:r>
      <w:r>
        <w:t>eference for the 2025 Review</w:t>
      </w:r>
    </w:p>
    <w:p w14:paraId="0601842F" w14:textId="77777777" w:rsidR="003F7124" w:rsidRPr="008D2484" w:rsidRDefault="003F7124" w:rsidP="00D535A6">
      <w:pPr>
        <w:pStyle w:val="CGCBullet1"/>
        <w:numPr>
          <w:ilvl w:val="0"/>
          <w:numId w:val="5"/>
        </w:numPr>
        <w:ind w:left="1134"/>
      </w:pPr>
      <w:r w:rsidRPr="008D2484">
        <w:t>National Firearms Register</w:t>
      </w:r>
    </w:p>
    <w:p w14:paraId="0338B5A0" w14:textId="77777777" w:rsidR="003F7124" w:rsidRPr="008D2484" w:rsidRDefault="003F7124" w:rsidP="00D535A6">
      <w:pPr>
        <w:pStyle w:val="CGCBullet1"/>
        <w:numPr>
          <w:ilvl w:val="0"/>
          <w:numId w:val="5"/>
        </w:numPr>
        <w:ind w:left="1134"/>
      </w:pPr>
      <w:r w:rsidRPr="008D2484">
        <w:lastRenderedPageBreak/>
        <w:t>Growing regions</w:t>
      </w:r>
    </w:p>
    <w:p w14:paraId="319C7798" w14:textId="77777777" w:rsidR="003F7124" w:rsidRPr="008D2484" w:rsidRDefault="003F7124" w:rsidP="00D535A6">
      <w:pPr>
        <w:pStyle w:val="CGCBullet1"/>
        <w:numPr>
          <w:ilvl w:val="0"/>
          <w:numId w:val="5"/>
        </w:numPr>
        <w:ind w:left="1134"/>
      </w:pPr>
      <w:r w:rsidRPr="008D2484">
        <w:t>Regional Precincts and Partnership Program</w:t>
      </w:r>
    </w:p>
    <w:p w14:paraId="5AA4CC19" w14:textId="77777777" w:rsidR="003F7124" w:rsidRPr="008D2484" w:rsidRDefault="003F7124" w:rsidP="00D535A6">
      <w:pPr>
        <w:pStyle w:val="CGCBullet1"/>
        <w:numPr>
          <w:ilvl w:val="0"/>
          <w:numId w:val="5"/>
        </w:numPr>
        <w:ind w:left="1134"/>
      </w:pPr>
      <w:r w:rsidRPr="008D2484">
        <w:t>Urban Precincts and Partnership Program</w:t>
      </w:r>
    </w:p>
    <w:p w14:paraId="7F36CFAB" w14:textId="77777777" w:rsidR="003F7124" w:rsidRPr="008D2484" w:rsidRDefault="003F7124" w:rsidP="00D535A6">
      <w:pPr>
        <w:pStyle w:val="CGCBullet1"/>
        <w:numPr>
          <w:ilvl w:val="0"/>
          <w:numId w:val="5"/>
        </w:numPr>
        <w:ind w:left="1134"/>
      </w:pPr>
      <w:r w:rsidRPr="008D2484">
        <w:t>Thriving suburbs program</w:t>
      </w:r>
    </w:p>
    <w:p w14:paraId="74C9C53C" w14:textId="2571CA35" w:rsidR="003F7124" w:rsidRPr="008D2484" w:rsidRDefault="003F7124" w:rsidP="00D535A6">
      <w:pPr>
        <w:pStyle w:val="CGCBullet1"/>
        <w:numPr>
          <w:ilvl w:val="0"/>
          <w:numId w:val="5"/>
        </w:numPr>
        <w:ind w:left="1134"/>
      </w:pPr>
      <w:r w:rsidRPr="008D2484">
        <w:t>Launceston Northern Heart Centre</w:t>
      </w:r>
      <w:r w:rsidR="00AF1E7B">
        <w:t>.</w:t>
      </w:r>
    </w:p>
    <w:p w14:paraId="7BA08136" w14:textId="77BF5D03" w:rsidR="003F7124" w:rsidRPr="00AB73BB" w:rsidRDefault="2CB98E3A" w:rsidP="00D535A6">
      <w:pPr>
        <w:pStyle w:val="CGCBullet1"/>
        <w:numPr>
          <w:ilvl w:val="0"/>
          <w:numId w:val="1"/>
        </w:numPr>
      </w:pPr>
      <w:r>
        <w:t xml:space="preserve">Terms of </w:t>
      </w:r>
      <w:r w:rsidR="00041B91">
        <w:t>R</w:t>
      </w:r>
      <w:r>
        <w:t>eference for the 2025 Review</w:t>
      </w:r>
    </w:p>
    <w:p w14:paraId="5789DC8B" w14:textId="3BD9A602" w:rsidR="003F7124" w:rsidRPr="008D2484" w:rsidRDefault="003F7124" w:rsidP="00D535A6">
      <w:pPr>
        <w:pStyle w:val="CGCBullet1"/>
        <w:numPr>
          <w:ilvl w:val="0"/>
          <w:numId w:val="5"/>
        </w:numPr>
        <w:ind w:left="1134"/>
        <w:rPr>
          <w:iCs/>
        </w:rPr>
      </w:pPr>
      <w:r w:rsidRPr="008D2484">
        <w:rPr>
          <w:iCs/>
        </w:rPr>
        <w:t>Brisbane 2032 Olympic and Paralympic Games</w:t>
      </w:r>
      <w:r w:rsidR="00E82727">
        <w:rPr>
          <w:iCs/>
        </w:rPr>
        <w:t>.</w:t>
      </w:r>
    </w:p>
    <w:p w14:paraId="662C89E0" w14:textId="267137CD" w:rsidR="009026A8" w:rsidRPr="00A9495C" w:rsidRDefault="00E26E8E" w:rsidP="00D535A6">
      <w:pPr>
        <w:pStyle w:val="CGCParaNumber"/>
      </w:pPr>
      <w:r>
        <w:t xml:space="preserve">The Commission determined the treatment of </w:t>
      </w:r>
      <w:r w:rsidR="008766EC">
        <w:t>all other payments</w:t>
      </w:r>
      <w:r>
        <w:t xml:space="preserve"> by applying its </w:t>
      </w:r>
      <w:r w:rsidR="004A2E09" w:rsidRPr="00A9495C">
        <w:t>202</w:t>
      </w:r>
      <w:r w:rsidR="006B2C14" w:rsidRPr="00A9495C">
        <w:t>5</w:t>
      </w:r>
      <w:r w:rsidR="00D60DED">
        <w:t> </w:t>
      </w:r>
      <w:r w:rsidR="004A2E09" w:rsidRPr="00A9495C">
        <w:t>Review</w:t>
      </w:r>
      <w:r w:rsidR="00450EFA">
        <w:t xml:space="preserve"> guideline</w:t>
      </w:r>
      <w:r w:rsidR="00833501" w:rsidRPr="00A9495C">
        <w:t>:</w:t>
      </w:r>
    </w:p>
    <w:p w14:paraId="5AF57771" w14:textId="51896935" w:rsidR="00833501" w:rsidRPr="00B07635" w:rsidRDefault="00833501" w:rsidP="443C1FE6">
      <w:pPr>
        <w:ind w:left="720"/>
      </w:pPr>
      <w:r w:rsidRPr="00B07635">
        <w:t xml:space="preserve">payments which support </w:t>
      </w:r>
      <w:r w:rsidR="00430BAB" w:rsidRPr="00B07635">
        <w:t>s</w:t>
      </w:r>
      <w:r w:rsidRPr="00B07635">
        <w:t>tate services, and for which expenditure needs are assessed</w:t>
      </w:r>
      <w:r w:rsidR="006F6789" w:rsidRPr="00B07635">
        <w:t>,</w:t>
      </w:r>
      <w:r w:rsidR="001A4330" w:rsidRPr="00B07635">
        <w:t xml:space="preserve"> will impact </w:t>
      </w:r>
      <w:r w:rsidR="006F6789" w:rsidRPr="00B07635">
        <w:t>the GST relativities</w:t>
      </w:r>
      <w:r w:rsidR="00BE23AA" w:rsidRPr="00B07635">
        <w:t>.</w:t>
      </w:r>
    </w:p>
    <w:p w14:paraId="411A7066" w14:textId="2A8CCB6D" w:rsidR="00796BB1" w:rsidRPr="001248DF" w:rsidRDefault="00796BB1" w:rsidP="00796BB1">
      <w:pPr>
        <w:pStyle w:val="CGCParaNumber"/>
      </w:pPr>
      <w:r w:rsidRPr="00A9495C">
        <w:t xml:space="preserve">The Commission consulted states on the treatment of </w:t>
      </w:r>
      <w:r w:rsidR="007B0E43">
        <w:t xml:space="preserve">all new </w:t>
      </w:r>
      <w:r w:rsidRPr="00A9495C">
        <w:t xml:space="preserve">payments. </w:t>
      </w:r>
      <w:r>
        <w:t>P</w:t>
      </w:r>
      <w:r w:rsidRPr="00A9495C">
        <w:t xml:space="preserve">ayments </w:t>
      </w:r>
      <w:r>
        <w:t>for which</w:t>
      </w:r>
      <w:r w:rsidRPr="00A9495C">
        <w:t xml:space="preserve"> states raised issues with the proposed treatment are discussed below.</w:t>
      </w:r>
    </w:p>
    <w:p w14:paraId="511C88CC" w14:textId="54E8B202" w:rsidR="009026A8" w:rsidRPr="00A9495C" w:rsidRDefault="006F03D9" w:rsidP="00D535A6">
      <w:pPr>
        <w:pStyle w:val="CGCParaNumber"/>
      </w:pPr>
      <w:r>
        <w:t>Table A-1 and Table A-2 show t</w:t>
      </w:r>
      <w:r w:rsidR="00BE23AA" w:rsidRPr="00A9495C">
        <w:t>he treatment of Commonwealth pay</w:t>
      </w:r>
      <w:r w:rsidR="00D530B4" w:rsidRPr="00A9495C">
        <w:t>ments that commenced in 202</w:t>
      </w:r>
      <w:r w:rsidR="00454660">
        <w:t>4</w:t>
      </w:r>
      <w:r w:rsidR="00DE00E7">
        <w:t>–</w:t>
      </w:r>
      <w:r w:rsidR="00D530B4" w:rsidRPr="00A9495C">
        <w:t>2</w:t>
      </w:r>
      <w:r w:rsidR="00454660">
        <w:t>5</w:t>
      </w:r>
      <w:r w:rsidR="00D530B4" w:rsidRPr="00A9495C">
        <w:t xml:space="preserve">, as listed in the </w:t>
      </w:r>
      <w:r w:rsidR="00D530B4" w:rsidRPr="00D535A6">
        <w:t>Commonwealth</w:t>
      </w:r>
      <w:r w:rsidR="0020164B">
        <w:t>’s</w:t>
      </w:r>
      <w:r w:rsidR="00D530B4" w:rsidRPr="00D535A6" w:rsidDel="00CE4AA0">
        <w:t xml:space="preserve"> </w:t>
      </w:r>
      <w:r w:rsidR="00D530B4" w:rsidRPr="00CE4AA0">
        <w:rPr>
          <w:i/>
          <w:iCs/>
        </w:rPr>
        <w:t>Final Budget Outcome, 202</w:t>
      </w:r>
      <w:r w:rsidR="009D3B78" w:rsidRPr="00CE4AA0">
        <w:rPr>
          <w:i/>
          <w:iCs/>
        </w:rPr>
        <w:t>4</w:t>
      </w:r>
      <w:r w:rsidR="00DE00E7" w:rsidRPr="00CE4AA0">
        <w:rPr>
          <w:i/>
          <w:iCs/>
        </w:rPr>
        <w:t>–</w:t>
      </w:r>
      <w:r w:rsidR="00D943A3">
        <w:rPr>
          <w:i/>
          <w:iCs/>
        </w:rPr>
        <w:t>‍</w:t>
      </w:r>
      <w:r w:rsidR="00D530B4" w:rsidRPr="00CE4AA0">
        <w:rPr>
          <w:i/>
          <w:iCs/>
        </w:rPr>
        <w:t>2</w:t>
      </w:r>
      <w:r w:rsidR="009D3B78" w:rsidRPr="00CE4AA0">
        <w:rPr>
          <w:i/>
          <w:iCs/>
        </w:rPr>
        <w:t>5</w:t>
      </w:r>
      <w:r w:rsidR="008D1071" w:rsidRPr="00A9495C">
        <w:t>.</w:t>
      </w:r>
    </w:p>
    <w:p w14:paraId="74F99E98" w14:textId="3D834186" w:rsidR="0089634B" w:rsidRDefault="00105855" w:rsidP="0089634B">
      <w:pPr>
        <w:pStyle w:val="Heading4"/>
        <w:rPr>
          <w:rFonts w:hint="eastAsia"/>
        </w:rPr>
      </w:pPr>
      <w:r w:rsidRPr="00105855">
        <w:t>Housing Australia Future Fund – Remote Indigenous Housing</w:t>
      </w:r>
    </w:p>
    <w:p w14:paraId="2E665AD8" w14:textId="35DDA6D9" w:rsidR="003A44CF" w:rsidRDefault="009E1438" w:rsidP="443C1FE6">
      <w:pPr>
        <w:pStyle w:val="Heading5"/>
        <w:rPr>
          <w:rFonts w:hint="eastAsia"/>
        </w:rPr>
      </w:pPr>
      <w:r>
        <w:t>Issue</w:t>
      </w:r>
    </w:p>
    <w:p w14:paraId="7610C10F" w14:textId="4EBE8A87" w:rsidR="009E1438" w:rsidRDefault="00C94191" w:rsidP="00176BFD">
      <w:pPr>
        <w:pStyle w:val="CGCParaNumber"/>
      </w:pPr>
      <w:r>
        <w:t xml:space="preserve">This payment </w:t>
      </w:r>
      <w:r w:rsidR="002260B9">
        <w:t>provides f</w:t>
      </w:r>
      <w:r w:rsidRPr="00C94191">
        <w:t xml:space="preserve">unding for repairs, maintenance and improvements to housing in remote </w:t>
      </w:r>
      <w:r w:rsidR="00370DED">
        <w:t>First Nations</w:t>
      </w:r>
      <w:r w:rsidRPr="00C94191">
        <w:t xml:space="preserve"> communities in Queensland, Western Australia, South Australia and the Northern Territory.</w:t>
      </w:r>
    </w:p>
    <w:p w14:paraId="134D38E4" w14:textId="6F6A1043" w:rsidR="0057743C" w:rsidRDefault="002260B9" w:rsidP="00176BFD">
      <w:pPr>
        <w:pStyle w:val="CGCParaNumber"/>
      </w:pPr>
      <w:r>
        <w:t>The Commission</w:t>
      </w:r>
      <w:r w:rsidR="00332F3B">
        <w:t>’</w:t>
      </w:r>
      <w:r>
        <w:t xml:space="preserve">s preliminary view was that </w:t>
      </w:r>
      <w:r w:rsidR="00263458">
        <w:t>t</w:t>
      </w:r>
      <w:r w:rsidR="00263458" w:rsidRPr="00263458">
        <w:t>he payment supports social housing maintenance</w:t>
      </w:r>
      <w:r w:rsidR="00841FB2">
        <w:t>,</w:t>
      </w:r>
      <w:r w:rsidR="00263458">
        <w:t xml:space="preserve"> which</w:t>
      </w:r>
      <w:r w:rsidR="00263458" w:rsidRPr="00263458">
        <w:t xml:space="preserve"> is a state service</w:t>
      </w:r>
      <w:r w:rsidR="00263458">
        <w:t xml:space="preserve"> for which </w:t>
      </w:r>
      <w:r w:rsidR="00263458" w:rsidRPr="00263458">
        <w:t>needs are assessed</w:t>
      </w:r>
      <w:r w:rsidR="00263458">
        <w:t xml:space="preserve"> and</w:t>
      </w:r>
      <w:r w:rsidR="004D49AB">
        <w:t>,</w:t>
      </w:r>
      <w:r w:rsidR="00263458">
        <w:t xml:space="preserve"> therefore</w:t>
      </w:r>
      <w:r w:rsidR="004D49AB">
        <w:t>,</w:t>
      </w:r>
      <w:r w:rsidR="00263458">
        <w:t xml:space="preserve"> </w:t>
      </w:r>
      <w:r w:rsidR="0057743C">
        <w:t>should impact the GST relativities.</w:t>
      </w:r>
    </w:p>
    <w:p w14:paraId="02C50265" w14:textId="34FC5C79" w:rsidR="009E1438" w:rsidRDefault="00B02187" w:rsidP="443C1FE6">
      <w:pPr>
        <w:pStyle w:val="Heading5"/>
        <w:rPr>
          <w:rFonts w:hint="eastAsia"/>
        </w:rPr>
      </w:pPr>
      <w:r>
        <w:t xml:space="preserve">State </w:t>
      </w:r>
      <w:r w:rsidR="004222C2">
        <w:t>v</w:t>
      </w:r>
      <w:r>
        <w:t>iews</w:t>
      </w:r>
    </w:p>
    <w:p w14:paraId="0FBEEC89" w14:textId="3638DDEF" w:rsidR="00B02187" w:rsidRDefault="0000361B" w:rsidP="00176BFD">
      <w:pPr>
        <w:pStyle w:val="CGCParaNumber"/>
      </w:pPr>
      <w:r>
        <w:t>W</w:t>
      </w:r>
      <w:r w:rsidR="00B31E95">
        <w:t xml:space="preserve">estern </w:t>
      </w:r>
      <w:r>
        <w:t>A</w:t>
      </w:r>
      <w:r w:rsidR="00B31E95">
        <w:t>ustralia</w:t>
      </w:r>
      <w:r w:rsidR="00FF0AF8">
        <w:t xml:space="preserve"> </w:t>
      </w:r>
      <w:r w:rsidR="00045B69">
        <w:t xml:space="preserve">said </w:t>
      </w:r>
      <w:r w:rsidR="00247531">
        <w:t xml:space="preserve">similar payments </w:t>
      </w:r>
      <w:r w:rsidR="00B1248E">
        <w:t xml:space="preserve">were </w:t>
      </w:r>
      <w:r w:rsidR="005C261D">
        <w:t xml:space="preserve">quarantined </w:t>
      </w:r>
      <w:r w:rsidR="000A0595">
        <w:t xml:space="preserve">by </w:t>
      </w:r>
      <w:r w:rsidR="00B1248E">
        <w:t xml:space="preserve">previous </w:t>
      </w:r>
      <w:r w:rsidR="00507234">
        <w:t>terms of reference</w:t>
      </w:r>
      <w:r w:rsidR="00A317F9">
        <w:t xml:space="preserve">. </w:t>
      </w:r>
      <w:r w:rsidR="00467AF9">
        <w:t xml:space="preserve">It said </w:t>
      </w:r>
      <w:r w:rsidR="00977C29">
        <w:t xml:space="preserve">this payment should be treated consistently </w:t>
      </w:r>
      <w:r w:rsidR="00C25BA6">
        <w:t xml:space="preserve">with </w:t>
      </w:r>
      <w:r w:rsidR="00401395">
        <w:t xml:space="preserve">those </w:t>
      </w:r>
      <w:r w:rsidR="001413D4">
        <w:t>previous</w:t>
      </w:r>
      <w:r w:rsidR="00C25BA6">
        <w:t xml:space="preserve"> payments </w:t>
      </w:r>
      <w:r w:rsidR="001413D4">
        <w:t xml:space="preserve">as </w:t>
      </w:r>
      <w:r w:rsidR="0024020A">
        <w:t>no</w:t>
      </w:r>
      <w:r w:rsidR="00151B81">
        <w:t xml:space="preserve"> </w:t>
      </w:r>
      <w:r w:rsidR="004244DC">
        <w:t>impact.</w:t>
      </w:r>
    </w:p>
    <w:p w14:paraId="32900DF4" w14:textId="415DD7D7" w:rsidR="00B02187" w:rsidRDefault="00B02187" w:rsidP="443C1FE6">
      <w:pPr>
        <w:pStyle w:val="Heading5"/>
        <w:rPr>
          <w:rFonts w:hint="eastAsia"/>
        </w:rPr>
      </w:pPr>
      <w:r>
        <w:t>Commission decision</w:t>
      </w:r>
    </w:p>
    <w:p w14:paraId="1A3D8FD7" w14:textId="5DD99C43" w:rsidR="00176BFD" w:rsidRDefault="00042506" w:rsidP="00E76FD6">
      <w:pPr>
        <w:pStyle w:val="CGCParaNumber"/>
      </w:pPr>
      <w:r>
        <w:t xml:space="preserve">Previous </w:t>
      </w:r>
      <w:r w:rsidR="00152069">
        <w:t>terms of refer</w:t>
      </w:r>
      <w:r w:rsidR="00697DF8">
        <w:t>e</w:t>
      </w:r>
      <w:r w:rsidR="009F3D4C">
        <w:t xml:space="preserve">nce </w:t>
      </w:r>
      <w:r w:rsidR="00D73F16">
        <w:t xml:space="preserve">quarantined </w:t>
      </w:r>
      <w:r w:rsidR="000410FD">
        <w:t>payments</w:t>
      </w:r>
      <w:r w:rsidR="00494390">
        <w:t xml:space="preserve"> under the National Partnership on remote housing.</w:t>
      </w:r>
      <w:r w:rsidR="00284658">
        <w:t xml:space="preserve"> </w:t>
      </w:r>
      <w:r w:rsidR="008D31A4" w:rsidRPr="008D31A4">
        <w:t>Those payments were primarily for capital works or capacity building</w:t>
      </w:r>
      <w:r w:rsidR="008D31A4">
        <w:t xml:space="preserve">. </w:t>
      </w:r>
      <w:r w:rsidR="001120B3" w:rsidRPr="000667CE">
        <w:t xml:space="preserve">Payments for remote Indigenous housing under the </w:t>
      </w:r>
      <w:r w:rsidR="0045505F" w:rsidRPr="000667CE">
        <w:t xml:space="preserve">Housing </w:t>
      </w:r>
      <w:r w:rsidR="00284658" w:rsidRPr="000667CE">
        <w:t xml:space="preserve">Australia </w:t>
      </w:r>
      <w:r w:rsidR="001120B3" w:rsidRPr="000667CE">
        <w:t xml:space="preserve">Future Fund are primarily </w:t>
      </w:r>
      <w:r w:rsidR="003475BB" w:rsidRPr="000667CE">
        <w:t xml:space="preserve">for recurrent expenses. </w:t>
      </w:r>
      <w:r w:rsidR="00B175D7">
        <w:t xml:space="preserve">The Commission </w:t>
      </w:r>
      <w:r w:rsidR="006B6F9F">
        <w:t xml:space="preserve">does not </w:t>
      </w:r>
      <w:r w:rsidR="00B175D7">
        <w:t xml:space="preserve">consider </w:t>
      </w:r>
      <w:r w:rsidR="00F00D33">
        <w:t xml:space="preserve">previous </w:t>
      </w:r>
      <w:r w:rsidR="00B175D7">
        <w:t xml:space="preserve">terms of reference </w:t>
      </w:r>
      <w:r w:rsidR="00F00D33">
        <w:t xml:space="preserve">directions </w:t>
      </w:r>
      <w:r w:rsidR="00B175D7">
        <w:t>apply to the Housing Australia Future Fund – Remote Indigenous Housing</w:t>
      </w:r>
      <w:r w:rsidR="00D1751A">
        <w:t xml:space="preserve"> payment</w:t>
      </w:r>
      <w:r w:rsidR="00B175D7">
        <w:t>.</w:t>
      </w:r>
      <w:r w:rsidR="001C4703" w:rsidRPr="00D1751A">
        <w:t xml:space="preserve"> </w:t>
      </w:r>
      <w:r w:rsidR="00C050EB" w:rsidRPr="00D1751A">
        <w:t>It</w:t>
      </w:r>
      <w:r w:rsidR="00274CEE" w:rsidRPr="00D1751A">
        <w:t xml:space="preserve"> has treated </w:t>
      </w:r>
      <w:r w:rsidR="005973B3" w:rsidRPr="00D1751A">
        <w:t>the payment as impact.</w:t>
      </w:r>
      <w:r w:rsidR="00C90220">
        <w:t xml:space="preserve"> </w:t>
      </w:r>
    </w:p>
    <w:p w14:paraId="23F5964A" w14:textId="1A795DE6" w:rsidR="009633E8" w:rsidRDefault="0074299A" w:rsidP="009633E8">
      <w:pPr>
        <w:pStyle w:val="Heading4"/>
        <w:rPr>
          <w:rFonts w:hint="eastAsia"/>
        </w:rPr>
      </w:pPr>
      <w:r w:rsidRPr="0074299A">
        <w:t>Primary Health Care Services in remote Northern Territory</w:t>
      </w:r>
    </w:p>
    <w:p w14:paraId="1F934B0F" w14:textId="77777777" w:rsidR="009633E8" w:rsidRDefault="009633E8" w:rsidP="009633E8">
      <w:pPr>
        <w:pStyle w:val="Heading5"/>
        <w:rPr>
          <w:rFonts w:hint="eastAsia"/>
        </w:rPr>
      </w:pPr>
      <w:r>
        <w:t>Issue</w:t>
      </w:r>
    </w:p>
    <w:p w14:paraId="3E143717" w14:textId="3CEC4F9F" w:rsidR="00BC28B4" w:rsidRDefault="00BC28B4" w:rsidP="00BC28B4">
      <w:pPr>
        <w:pStyle w:val="CGCParaNumber"/>
      </w:pPr>
      <w:r>
        <w:t xml:space="preserve">This payment provides </w:t>
      </w:r>
      <w:r w:rsidR="004B5A24">
        <w:t>f</w:t>
      </w:r>
      <w:r w:rsidR="004B5A24" w:rsidRPr="004B5A24">
        <w:t>unding for the delivery of culturally appropriate, comprehensive primary health care for First Nations people in regional and remote Northern Territory communities where no Aboriginal Community Controlled Health Organisation</w:t>
      </w:r>
      <w:r w:rsidR="00450BDB">
        <w:t>s</w:t>
      </w:r>
      <w:r w:rsidR="006F4E01">
        <w:t xml:space="preserve"> </w:t>
      </w:r>
      <w:r w:rsidR="00F32677">
        <w:t>(ACCHO</w:t>
      </w:r>
      <w:r w:rsidR="00191DC8">
        <w:t>s</w:t>
      </w:r>
      <w:r w:rsidR="00F32677">
        <w:t xml:space="preserve">) </w:t>
      </w:r>
      <w:r w:rsidR="006F4E01">
        <w:t>operate</w:t>
      </w:r>
      <w:r w:rsidR="004B5A24" w:rsidRPr="004B5A24">
        <w:t>.</w:t>
      </w:r>
    </w:p>
    <w:p w14:paraId="18FE5FCD" w14:textId="0915A63E" w:rsidR="004B5A24" w:rsidRDefault="004B5A24" w:rsidP="004B5A24">
      <w:pPr>
        <w:pStyle w:val="CGCParaNumber"/>
      </w:pPr>
      <w:r>
        <w:lastRenderedPageBreak/>
        <w:t>The Commission</w:t>
      </w:r>
      <w:r w:rsidR="008F73B3">
        <w:t>’</w:t>
      </w:r>
      <w:r>
        <w:t>s preliminary view was that t</w:t>
      </w:r>
      <w:r w:rsidRPr="00263458">
        <w:t xml:space="preserve">he payment </w:t>
      </w:r>
      <w:r w:rsidR="00D62B23">
        <w:t>supports</w:t>
      </w:r>
      <w:r w:rsidR="00EB5F8A" w:rsidRPr="00EB5F8A">
        <w:t xml:space="preserve"> primary </w:t>
      </w:r>
      <w:r w:rsidR="00D62B23">
        <w:t>h</w:t>
      </w:r>
      <w:r w:rsidR="007A7F66">
        <w:t>e</w:t>
      </w:r>
      <w:r w:rsidR="00D62B23">
        <w:t>alth</w:t>
      </w:r>
      <w:r w:rsidR="0060202B">
        <w:t xml:space="preserve"> </w:t>
      </w:r>
      <w:r w:rsidR="00EB5F8A" w:rsidRPr="00EB5F8A">
        <w:t>care services</w:t>
      </w:r>
      <w:r w:rsidR="002F555C">
        <w:t xml:space="preserve">, </w:t>
      </w:r>
      <w:r w:rsidR="00EB5F8A" w:rsidRPr="00EB5F8A">
        <w:t xml:space="preserve">a </w:t>
      </w:r>
      <w:r w:rsidR="00223609">
        <w:t xml:space="preserve">state </w:t>
      </w:r>
      <w:r w:rsidR="00EB5F8A" w:rsidRPr="00EB5F8A">
        <w:t xml:space="preserve">responsibility </w:t>
      </w:r>
      <w:r w:rsidR="00D62B23">
        <w:t>f</w:t>
      </w:r>
      <w:r>
        <w:t xml:space="preserve">or which </w:t>
      </w:r>
      <w:r w:rsidRPr="00263458">
        <w:t>needs are assessed</w:t>
      </w:r>
      <w:r w:rsidR="00C368AE">
        <w:t>,</w:t>
      </w:r>
      <w:r>
        <w:t xml:space="preserve"> and therefore should impact GST relativities.</w:t>
      </w:r>
    </w:p>
    <w:p w14:paraId="276F2D2D" w14:textId="179DEDF5" w:rsidR="009633E8" w:rsidRDefault="009633E8" w:rsidP="009633E8">
      <w:pPr>
        <w:pStyle w:val="Heading5"/>
        <w:rPr>
          <w:rFonts w:hint="eastAsia"/>
        </w:rPr>
      </w:pPr>
      <w:r>
        <w:t xml:space="preserve">State </w:t>
      </w:r>
      <w:r w:rsidR="003A21B6">
        <w:t>v</w:t>
      </w:r>
      <w:r>
        <w:t>iews</w:t>
      </w:r>
    </w:p>
    <w:p w14:paraId="1A42A9DE" w14:textId="09C6C7C0" w:rsidR="00B61912" w:rsidRDefault="00BE1969" w:rsidP="007A7F66">
      <w:pPr>
        <w:pStyle w:val="CGCParaNumber"/>
      </w:pPr>
      <w:r>
        <w:t>The Northern Territory said that the payment fund</w:t>
      </w:r>
      <w:r w:rsidR="00972D0B">
        <w:t>s</w:t>
      </w:r>
      <w:r>
        <w:t xml:space="preserve"> </w:t>
      </w:r>
      <w:r w:rsidR="00F0324D">
        <w:t>delivery of</w:t>
      </w:r>
      <w:r w:rsidRPr="00DC47F0">
        <w:t xml:space="preserve"> primary health care </w:t>
      </w:r>
      <w:r>
        <w:t xml:space="preserve">services </w:t>
      </w:r>
      <w:r w:rsidRPr="00DC47F0">
        <w:t xml:space="preserve">in very remote </w:t>
      </w:r>
      <w:r w:rsidR="001E6DC3">
        <w:t>First Nations</w:t>
      </w:r>
      <w:r w:rsidR="001E6DC3" w:rsidRPr="00DC47F0">
        <w:t xml:space="preserve"> </w:t>
      </w:r>
      <w:r w:rsidRPr="00DC47F0">
        <w:t xml:space="preserve">communities on behalf of the Commonwealth. </w:t>
      </w:r>
      <w:r w:rsidR="00FE23D0" w:rsidRPr="00FE23D0">
        <w:t xml:space="preserve">It </w:t>
      </w:r>
      <w:r w:rsidR="00E03929">
        <w:t xml:space="preserve">noted </w:t>
      </w:r>
      <w:r w:rsidR="00FE23D0" w:rsidRPr="00FE23D0">
        <w:t>that</w:t>
      </w:r>
      <w:r w:rsidR="00790502">
        <w:t>:</w:t>
      </w:r>
    </w:p>
    <w:p w14:paraId="48530264" w14:textId="77777777" w:rsidR="00150F50" w:rsidRPr="00DE7E2C" w:rsidRDefault="00FE23D0" w:rsidP="00DE7E2C">
      <w:pPr>
        <w:pStyle w:val="CGCBullet1"/>
        <w:numPr>
          <w:ilvl w:val="0"/>
          <w:numId w:val="1"/>
        </w:numPr>
      </w:pPr>
      <w:r w:rsidRPr="00DE7E2C">
        <w:t xml:space="preserve">the </w:t>
      </w:r>
      <w:r w:rsidR="003945ED" w:rsidRPr="00DE7E2C">
        <w:t xml:space="preserve">services </w:t>
      </w:r>
      <w:r w:rsidR="00A04A14" w:rsidRPr="00DE7E2C">
        <w:t xml:space="preserve">represent </w:t>
      </w:r>
      <w:r w:rsidR="003945ED" w:rsidRPr="00DE7E2C">
        <w:t xml:space="preserve">a </w:t>
      </w:r>
      <w:r w:rsidRPr="00DE7E2C">
        <w:t xml:space="preserve">Commonwealth function </w:t>
      </w:r>
      <w:r w:rsidR="00F46155" w:rsidRPr="00DE7E2C">
        <w:t xml:space="preserve">delivered </w:t>
      </w:r>
      <w:r w:rsidR="009643A8" w:rsidRPr="00DE7E2C">
        <w:t xml:space="preserve">in </w:t>
      </w:r>
      <w:r w:rsidRPr="00DE7E2C">
        <w:t>areas of market failure</w:t>
      </w:r>
    </w:p>
    <w:p w14:paraId="67E51C25" w14:textId="7F45A7E8" w:rsidR="00CC7B7B" w:rsidRPr="00DE7E2C" w:rsidRDefault="000C43C0" w:rsidP="00DE7E2C">
      <w:pPr>
        <w:pStyle w:val="CGCBullet1"/>
        <w:numPr>
          <w:ilvl w:val="0"/>
          <w:numId w:val="1"/>
        </w:numPr>
      </w:pPr>
      <w:r w:rsidRPr="00DE7E2C">
        <w:t>the services are the same as those provided by ACCHO</w:t>
      </w:r>
      <w:r w:rsidR="00D9690A" w:rsidRPr="00DE7E2C">
        <w:t>s</w:t>
      </w:r>
      <w:r w:rsidR="00FD6B80" w:rsidRPr="00DE7E2C">
        <w:t xml:space="preserve"> </w:t>
      </w:r>
      <w:r w:rsidR="005D4AFB" w:rsidRPr="00DE7E2C">
        <w:t xml:space="preserve">but </w:t>
      </w:r>
      <w:r w:rsidR="00EB329C" w:rsidRPr="00DE7E2C">
        <w:t xml:space="preserve">are </w:t>
      </w:r>
      <w:r w:rsidR="00BE1969" w:rsidRPr="00DE7E2C">
        <w:t xml:space="preserve">delivered </w:t>
      </w:r>
      <w:r w:rsidR="00930F25" w:rsidRPr="00DE7E2C">
        <w:t xml:space="preserve">only </w:t>
      </w:r>
      <w:r w:rsidR="00EB329C" w:rsidRPr="00DE7E2C">
        <w:t>in locations where</w:t>
      </w:r>
      <w:r w:rsidR="007B0A29" w:rsidRPr="00DE7E2C">
        <w:t xml:space="preserve"> </w:t>
      </w:r>
      <w:r w:rsidR="007964A9" w:rsidRPr="00DE7E2C">
        <w:t xml:space="preserve">no </w:t>
      </w:r>
      <w:r w:rsidR="007E24B8" w:rsidRPr="00DE7E2C">
        <w:t>ACCHO</w:t>
      </w:r>
      <w:r w:rsidR="0092358C" w:rsidRPr="00DE7E2C">
        <w:t>s</w:t>
      </w:r>
      <w:r w:rsidR="00692D53" w:rsidRPr="00DE7E2C">
        <w:t xml:space="preserve"> operate</w:t>
      </w:r>
      <w:r w:rsidR="00B566AA" w:rsidRPr="00DE7E2C">
        <w:t xml:space="preserve">, </w:t>
      </w:r>
      <w:r w:rsidR="00DF25B4" w:rsidRPr="00DE7E2C">
        <w:t xml:space="preserve">with </w:t>
      </w:r>
      <w:r w:rsidR="001731B7" w:rsidRPr="00DE7E2C">
        <w:t xml:space="preserve">the </w:t>
      </w:r>
      <w:r w:rsidR="004F0707" w:rsidRPr="00DE7E2C">
        <w:t>Northern</w:t>
      </w:r>
      <w:r w:rsidR="004D135C" w:rsidRPr="00DE7E2C">
        <w:t xml:space="preserve"> </w:t>
      </w:r>
      <w:r w:rsidR="00BE1969" w:rsidRPr="00DE7E2C">
        <w:t xml:space="preserve">Territory </w:t>
      </w:r>
      <w:r w:rsidR="001731B7" w:rsidRPr="00DE7E2C">
        <w:t>serv</w:t>
      </w:r>
      <w:r w:rsidR="00DF25B4" w:rsidRPr="00DE7E2C">
        <w:t>ing</w:t>
      </w:r>
      <w:r w:rsidR="001731B7" w:rsidRPr="00DE7E2C">
        <w:t xml:space="preserve"> </w:t>
      </w:r>
      <w:r w:rsidR="00BE1969" w:rsidRPr="00DE7E2C">
        <w:t xml:space="preserve">as provider of last resort </w:t>
      </w:r>
      <w:r w:rsidR="006E5831" w:rsidRPr="00DE7E2C">
        <w:t xml:space="preserve">and </w:t>
      </w:r>
      <w:r w:rsidR="00712061" w:rsidRPr="00DE7E2C">
        <w:t>transition</w:t>
      </w:r>
      <w:r w:rsidR="00DF25B4" w:rsidRPr="00DE7E2C">
        <w:t>ing</w:t>
      </w:r>
      <w:r w:rsidR="00B461CC" w:rsidRPr="00DE7E2C">
        <w:t xml:space="preserve"> services</w:t>
      </w:r>
      <w:r w:rsidR="00712061" w:rsidRPr="00DE7E2C">
        <w:t xml:space="preserve"> to Aboriginal community control</w:t>
      </w:r>
      <w:r w:rsidR="005F2B93" w:rsidRPr="00DE7E2C">
        <w:t xml:space="preserve"> whe</w:t>
      </w:r>
      <w:r w:rsidR="000E4013" w:rsidRPr="00DE7E2C">
        <w:t>n</w:t>
      </w:r>
      <w:r w:rsidR="005F2B93" w:rsidRPr="00DE7E2C">
        <w:t xml:space="preserve"> feasible</w:t>
      </w:r>
      <w:r w:rsidR="005D7DBB" w:rsidRPr="00DE7E2C">
        <w:rPr>
          <w:vertAlign w:val="superscript"/>
        </w:rPr>
        <w:footnoteReference w:id="8"/>
      </w:r>
      <w:r w:rsidR="003645FD" w:rsidRPr="00DE7E2C">
        <w:rPr>
          <w:vertAlign w:val="superscript"/>
        </w:rPr>
        <w:t xml:space="preserve"> </w:t>
      </w:r>
    </w:p>
    <w:p w14:paraId="40277692" w14:textId="4FB67BBA" w:rsidR="00C26076" w:rsidRPr="00DE7E2C" w:rsidRDefault="000E7FF8" w:rsidP="00DE7E2C">
      <w:pPr>
        <w:pStyle w:val="CGCBullet1"/>
        <w:numPr>
          <w:ilvl w:val="0"/>
          <w:numId w:val="1"/>
        </w:numPr>
      </w:pPr>
      <w:r w:rsidRPr="00DE7E2C">
        <w:t xml:space="preserve">the service is not a </w:t>
      </w:r>
      <w:r w:rsidR="001B1CE5" w:rsidRPr="00DE7E2C">
        <w:t>usual s</w:t>
      </w:r>
      <w:r w:rsidRPr="00DE7E2C">
        <w:t>tate service</w:t>
      </w:r>
      <w:r w:rsidR="0058743C" w:rsidRPr="00DE7E2C">
        <w:t xml:space="preserve"> </w:t>
      </w:r>
      <w:r w:rsidR="00EC2828" w:rsidRPr="00DE7E2C">
        <w:t>as in other state</w:t>
      </w:r>
      <w:r w:rsidR="00491C71" w:rsidRPr="00DE7E2C">
        <w:t>s</w:t>
      </w:r>
      <w:r w:rsidR="00BA4448" w:rsidRPr="00DE7E2C">
        <w:t xml:space="preserve"> th</w:t>
      </w:r>
      <w:r w:rsidR="004A7F27" w:rsidRPr="00DE7E2C">
        <w:t>is</w:t>
      </w:r>
      <w:r w:rsidR="00BA4448" w:rsidRPr="00DE7E2C">
        <w:t xml:space="preserve"> would be delivered</w:t>
      </w:r>
      <w:r w:rsidR="004F4FDA" w:rsidRPr="00DE7E2C">
        <w:t xml:space="preserve"> </w:t>
      </w:r>
      <w:r w:rsidR="009A6DFA" w:rsidRPr="00DE7E2C">
        <w:t xml:space="preserve">by </w:t>
      </w:r>
      <w:r w:rsidR="00BE1969" w:rsidRPr="00DE7E2C">
        <w:t>non</w:t>
      </w:r>
      <w:r w:rsidR="00781DD1" w:rsidRPr="00DE7E2C">
        <w:noBreakHyphen/>
      </w:r>
      <w:r w:rsidR="00BE1969" w:rsidRPr="00DE7E2C">
        <w:t xml:space="preserve">government </w:t>
      </w:r>
      <w:r w:rsidR="009A6DFA" w:rsidRPr="00DE7E2C">
        <w:t>provider</w:t>
      </w:r>
      <w:r w:rsidR="005664F3" w:rsidRPr="00DE7E2C">
        <w:t>s</w:t>
      </w:r>
    </w:p>
    <w:p w14:paraId="6BA954A5" w14:textId="7C52401C" w:rsidR="000646EE" w:rsidRPr="00DE7E2C" w:rsidRDefault="00FF07C7" w:rsidP="00DE7E2C">
      <w:pPr>
        <w:pStyle w:val="CGCBullet1"/>
        <w:numPr>
          <w:ilvl w:val="0"/>
          <w:numId w:val="1"/>
        </w:numPr>
      </w:pPr>
      <w:r w:rsidRPr="00DE7E2C">
        <w:t>t</w:t>
      </w:r>
      <w:r w:rsidR="000646EE" w:rsidRPr="00DE7E2C">
        <w:t>he payment</w:t>
      </w:r>
      <w:r w:rsidR="00113C57" w:rsidRPr="00DE7E2C">
        <w:t xml:space="preserve"> replaces a prior Commonweal</w:t>
      </w:r>
      <w:r w:rsidR="00B24FA4" w:rsidRPr="00DE7E2C">
        <w:t>t</w:t>
      </w:r>
      <w:r w:rsidR="00113C57" w:rsidRPr="00DE7E2C">
        <w:t>h Own-Purpose</w:t>
      </w:r>
      <w:r w:rsidR="00B24FA4" w:rsidRPr="00DE7E2C">
        <w:t xml:space="preserve"> Expense.</w:t>
      </w:r>
    </w:p>
    <w:p w14:paraId="71D08EF6" w14:textId="77777777" w:rsidR="009633E8" w:rsidRDefault="009633E8" w:rsidP="009633E8">
      <w:pPr>
        <w:pStyle w:val="Heading5"/>
        <w:rPr>
          <w:rFonts w:hint="eastAsia"/>
        </w:rPr>
      </w:pPr>
      <w:r>
        <w:t>Commission decision</w:t>
      </w:r>
    </w:p>
    <w:p w14:paraId="545C3C11" w14:textId="29CD393B" w:rsidR="003367F9" w:rsidRDefault="00584610">
      <w:pPr>
        <w:pStyle w:val="CGCParaNumber"/>
      </w:pPr>
      <w:r>
        <w:t xml:space="preserve">The </w:t>
      </w:r>
      <w:r w:rsidR="007A7F66">
        <w:t xml:space="preserve">Commission </w:t>
      </w:r>
      <w:r w:rsidR="00E1605F">
        <w:t>accept</w:t>
      </w:r>
      <w:r w:rsidR="00307EE0">
        <w:t>s</w:t>
      </w:r>
      <w:r w:rsidR="00D256DA">
        <w:t xml:space="preserve"> that </w:t>
      </w:r>
      <w:r w:rsidR="001045D3">
        <w:t xml:space="preserve">the services </w:t>
      </w:r>
      <w:r w:rsidR="00DB60DB">
        <w:t xml:space="preserve">funded </w:t>
      </w:r>
      <w:r w:rsidR="00341420">
        <w:t xml:space="preserve">under </w:t>
      </w:r>
      <w:r w:rsidR="001045D3">
        <w:t>th</w:t>
      </w:r>
      <w:r w:rsidR="00557481">
        <w:t xml:space="preserve">is </w:t>
      </w:r>
      <w:r w:rsidR="001045D3">
        <w:t xml:space="preserve">agreement are the same as those </w:t>
      </w:r>
      <w:r w:rsidR="0084268A">
        <w:t xml:space="preserve">delivered </w:t>
      </w:r>
      <w:r w:rsidR="001045D3">
        <w:t xml:space="preserve">by </w:t>
      </w:r>
      <w:r w:rsidR="000B5D7C">
        <w:t>ACCHO</w:t>
      </w:r>
      <w:r w:rsidR="006235FF">
        <w:t>s</w:t>
      </w:r>
      <w:r w:rsidR="00E02EE2">
        <w:t xml:space="preserve">. </w:t>
      </w:r>
      <w:r w:rsidR="00323767">
        <w:t>I</w:t>
      </w:r>
      <w:r w:rsidR="00AB27D6">
        <w:t xml:space="preserve">t </w:t>
      </w:r>
      <w:r w:rsidR="00A22F59">
        <w:t xml:space="preserve">also notes that </w:t>
      </w:r>
      <w:r w:rsidR="002813A0">
        <w:t xml:space="preserve">this is </w:t>
      </w:r>
      <w:r w:rsidR="00AB27D6">
        <w:t xml:space="preserve">not a </w:t>
      </w:r>
      <w:r w:rsidR="000E5174">
        <w:t>u</w:t>
      </w:r>
      <w:r w:rsidR="00833BD6">
        <w:t xml:space="preserve">sual </w:t>
      </w:r>
      <w:r w:rsidR="000537B5">
        <w:t>state service</w:t>
      </w:r>
      <w:r w:rsidR="00464BD7">
        <w:t xml:space="preserve"> as in other states</w:t>
      </w:r>
      <w:r w:rsidR="002E4D7F">
        <w:t xml:space="preserve"> the</w:t>
      </w:r>
      <w:r w:rsidR="00B83D73">
        <w:t xml:space="preserve"> service </w:t>
      </w:r>
      <w:r w:rsidR="00820A9E">
        <w:t xml:space="preserve">would be delivered by </w:t>
      </w:r>
      <w:r w:rsidR="009056C4">
        <w:t>non-government</w:t>
      </w:r>
      <w:r w:rsidR="00CE6A14">
        <w:t xml:space="preserve"> organisations</w:t>
      </w:r>
      <w:r w:rsidR="000132B1">
        <w:t>.</w:t>
      </w:r>
      <w:r w:rsidR="000A6A9B">
        <w:t xml:space="preserve"> </w:t>
      </w:r>
      <w:r w:rsidR="003367F9">
        <w:t xml:space="preserve">Therefore, </w:t>
      </w:r>
      <w:r w:rsidR="00D03F30">
        <w:t xml:space="preserve">the </w:t>
      </w:r>
      <w:r w:rsidR="00AB19CA">
        <w:t>Commission will treat the payment as no impact</w:t>
      </w:r>
      <w:r w:rsidR="00D03F30">
        <w:t>.</w:t>
      </w:r>
      <w:r w:rsidR="00A06E19">
        <w:t xml:space="preserve"> </w:t>
      </w:r>
    </w:p>
    <w:p w14:paraId="683F9616" w14:textId="69D4D2E3" w:rsidR="009633E8" w:rsidRDefault="00656803" w:rsidP="009633E8">
      <w:pPr>
        <w:pStyle w:val="Heading4"/>
        <w:rPr>
          <w:rFonts w:hint="eastAsia"/>
        </w:rPr>
      </w:pPr>
      <w:r w:rsidRPr="00656803">
        <w:t>Safer Local Roads and Infrastructure Program (SLRIP)</w:t>
      </w:r>
    </w:p>
    <w:p w14:paraId="6A6DA58D" w14:textId="77777777" w:rsidR="009633E8" w:rsidRDefault="009633E8" w:rsidP="009633E8">
      <w:pPr>
        <w:pStyle w:val="Heading5"/>
        <w:rPr>
          <w:rFonts w:hint="eastAsia"/>
        </w:rPr>
      </w:pPr>
      <w:r>
        <w:t>Issue</w:t>
      </w:r>
    </w:p>
    <w:p w14:paraId="7E1A3D1E" w14:textId="512BC6AE" w:rsidR="00D76A44" w:rsidRDefault="00D76A44" w:rsidP="00CF01FE">
      <w:pPr>
        <w:pStyle w:val="CGCParaNumber"/>
      </w:pPr>
      <w:r w:rsidRPr="00D76A44">
        <w:t xml:space="preserve">The SLRIP is a funding program open to all state governments and </w:t>
      </w:r>
      <w:r w:rsidR="00503DAF">
        <w:t>l</w:t>
      </w:r>
      <w:r w:rsidRPr="00D76A44">
        <w:t xml:space="preserve">ocal </w:t>
      </w:r>
      <w:r w:rsidR="00503DAF">
        <w:t>g</w:t>
      </w:r>
      <w:r w:rsidRPr="00D76A44">
        <w:t xml:space="preserve">overnment </w:t>
      </w:r>
      <w:r w:rsidR="00503DAF">
        <w:t>a</w:t>
      </w:r>
      <w:r w:rsidRPr="00D76A44">
        <w:t>uthorities for investment in roads and bridges. It consolidates the previous Bridges Renewal Program and Heavy Vehicle Safety and Productivity Program into a single funding stream</w:t>
      </w:r>
      <w:r w:rsidR="00024804">
        <w:t xml:space="preserve">. </w:t>
      </w:r>
      <w:proofErr w:type="gramStart"/>
      <w:r w:rsidR="00024804">
        <w:t>B</w:t>
      </w:r>
      <w:r w:rsidR="00A4076B">
        <w:t xml:space="preserve">oth of </w:t>
      </w:r>
      <w:r w:rsidR="00024804">
        <w:t>these</w:t>
      </w:r>
      <w:proofErr w:type="gramEnd"/>
      <w:r w:rsidR="00024804">
        <w:t xml:space="preserve"> programs </w:t>
      </w:r>
      <w:r w:rsidR="009D5345">
        <w:t xml:space="preserve">were </w:t>
      </w:r>
      <w:r w:rsidR="00D52974">
        <w:t>previously</w:t>
      </w:r>
      <w:r w:rsidR="009D5345">
        <w:t xml:space="preserve"> treated as having an </w:t>
      </w:r>
      <w:r w:rsidR="002C4DEE">
        <w:t xml:space="preserve">impact </w:t>
      </w:r>
      <w:r w:rsidR="00965ED7">
        <w:t xml:space="preserve">on </w:t>
      </w:r>
      <w:r w:rsidR="00D57FB1" w:rsidRPr="003E0877">
        <w:t>GST relativities.</w:t>
      </w:r>
    </w:p>
    <w:p w14:paraId="2B568A89" w14:textId="7DC3CA4B" w:rsidR="00DC2928" w:rsidRDefault="00DC2928" w:rsidP="00CF01FE">
      <w:pPr>
        <w:pStyle w:val="CGCParaNumber"/>
      </w:pPr>
      <w:r>
        <w:t>The Commission</w:t>
      </w:r>
      <w:r w:rsidR="00A91E04">
        <w:t>’</w:t>
      </w:r>
      <w:r>
        <w:t>s preliminary view was that t</w:t>
      </w:r>
      <w:r w:rsidRPr="00263458">
        <w:t>he payment</w:t>
      </w:r>
      <w:r w:rsidR="00FB7C6C">
        <w:t xml:space="preserve"> is for investment in </w:t>
      </w:r>
      <w:r w:rsidR="00B934E5">
        <w:t>roads and bridges</w:t>
      </w:r>
      <w:r w:rsidR="000B2FEB">
        <w:t xml:space="preserve">, </w:t>
      </w:r>
      <w:r w:rsidR="00B934E5">
        <w:t>a state function for which needs are assessed</w:t>
      </w:r>
      <w:r w:rsidR="00501F59">
        <w:t>,</w:t>
      </w:r>
      <w:r w:rsidR="00B934E5">
        <w:t xml:space="preserve"> and </w:t>
      </w:r>
      <w:r w:rsidR="001B2AAE">
        <w:t xml:space="preserve">therefore </w:t>
      </w:r>
      <w:r w:rsidR="004158B5">
        <w:t xml:space="preserve">should </w:t>
      </w:r>
      <w:r w:rsidR="003A73DD">
        <w:t xml:space="preserve">continue to </w:t>
      </w:r>
      <w:r w:rsidR="004158B5">
        <w:t>impact GST relativities.</w:t>
      </w:r>
      <w:r w:rsidR="00934E62">
        <w:t xml:space="preserve"> </w:t>
      </w:r>
    </w:p>
    <w:p w14:paraId="251CF399" w14:textId="5972769D" w:rsidR="009633E8" w:rsidRDefault="009633E8" w:rsidP="009633E8">
      <w:pPr>
        <w:pStyle w:val="Heading5"/>
        <w:rPr>
          <w:rFonts w:hint="eastAsia"/>
        </w:rPr>
      </w:pPr>
      <w:r>
        <w:t xml:space="preserve">State </w:t>
      </w:r>
      <w:r w:rsidR="0004184E">
        <w:t>v</w:t>
      </w:r>
      <w:r>
        <w:t>iews</w:t>
      </w:r>
    </w:p>
    <w:p w14:paraId="62BA0B6C" w14:textId="2F7B3774" w:rsidR="009633E8" w:rsidRDefault="00CF01FE" w:rsidP="009A57AF">
      <w:pPr>
        <w:pStyle w:val="CGCParaNumber"/>
      </w:pPr>
      <w:r>
        <w:t>Victoria</w:t>
      </w:r>
      <w:r w:rsidR="00D3591E">
        <w:t xml:space="preserve"> said that</w:t>
      </w:r>
      <w:r w:rsidR="00CC5E06">
        <w:t xml:space="preserve"> if adequate data are available, </w:t>
      </w:r>
      <w:r w:rsidR="00172D1F">
        <w:t>the Commission should</w:t>
      </w:r>
      <w:r w:rsidR="00CC5E06">
        <w:t xml:space="preserve"> split the treatment of the payment into state (impact) and local government (no impact).</w:t>
      </w:r>
    </w:p>
    <w:p w14:paraId="16551C15" w14:textId="77777777" w:rsidR="009633E8" w:rsidRDefault="009633E8" w:rsidP="009633E8">
      <w:pPr>
        <w:pStyle w:val="Heading5"/>
        <w:rPr>
          <w:rFonts w:hint="eastAsia"/>
        </w:rPr>
      </w:pPr>
      <w:r>
        <w:t>Commission decision</w:t>
      </w:r>
    </w:p>
    <w:p w14:paraId="43104637" w14:textId="1D98A2E1" w:rsidR="00CF01FE" w:rsidRDefault="005D63AE" w:rsidP="00CF01FE">
      <w:pPr>
        <w:pStyle w:val="CGCParaNumber"/>
      </w:pPr>
      <w:r>
        <w:t xml:space="preserve">The </w:t>
      </w:r>
      <w:r w:rsidR="003E0877" w:rsidRPr="003E0877">
        <w:t>Commission</w:t>
      </w:r>
      <w:r>
        <w:t xml:space="preserve"> notes this payment consolidates </w:t>
      </w:r>
      <w:r w:rsidR="00695AE7">
        <w:t>2 payments that were treated as impact.</w:t>
      </w:r>
      <w:r w:rsidR="003E0877" w:rsidRPr="003E0877">
        <w:t xml:space="preserve"> </w:t>
      </w:r>
      <w:r w:rsidR="00BF78E3" w:rsidRPr="00BF78E3">
        <w:t xml:space="preserve">Since there has been no </w:t>
      </w:r>
      <w:r w:rsidR="00BF78E3">
        <w:t xml:space="preserve">substantive </w:t>
      </w:r>
      <w:r w:rsidR="00BF78E3" w:rsidRPr="00BF78E3">
        <w:t>change to the purpose or nature of the programs being consolidated</w:t>
      </w:r>
      <w:r w:rsidR="00F56ED4">
        <w:t>,</w:t>
      </w:r>
      <w:r w:rsidR="00520B0C">
        <w:t xml:space="preserve"> there is no</w:t>
      </w:r>
      <w:r w:rsidR="004D3B18">
        <w:t xml:space="preserve"> basis to </w:t>
      </w:r>
      <w:r w:rsidR="00495766">
        <w:t>split the payment</w:t>
      </w:r>
      <w:r w:rsidR="004D3B18">
        <w:t xml:space="preserve">. The Commission </w:t>
      </w:r>
      <w:r w:rsidR="00495766">
        <w:t xml:space="preserve">will </w:t>
      </w:r>
      <w:r w:rsidR="00BF78E3" w:rsidRPr="00BF78E3">
        <w:t xml:space="preserve">treat the SLRIP as </w:t>
      </w:r>
      <w:r w:rsidR="002C4124">
        <w:t>impact</w:t>
      </w:r>
      <w:r w:rsidR="005F7463">
        <w:t>.</w:t>
      </w:r>
    </w:p>
    <w:p w14:paraId="511DED98" w14:textId="77777777" w:rsidR="009614F9" w:rsidRDefault="009614F9" w:rsidP="005E1AED">
      <w:pPr>
        <w:pStyle w:val="CGCParaNumber"/>
        <w:sectPr w:rsidR="009614F9" w:rsidSect="002E20E7">
          <w:headerReference w:type="even" r:id="rId14"/>
          <w:headerReference w:type="default" r:id="rId15"/>
          <w:footerReference w:type="default" r:id="rId16"/>
          <w:headerReference w:type="first" r:id="rId17"/>
          <w:pgSz w:w="11906" w:h="16838"/>
          <w:pgMar w:top="1440" w:right="1440" w:bottom="1440" w:left="1440" w:header="454" w:footer="709" w:gutter="0"/>
          <w:cols w:space="708"/>
          <w:docGrid w:linePitch="360"/>
        </w:sectPr>
      </w:pPr>
    </w:p>
    <w:p w14:paraId="4DC2DB16" w14:textId="2FADA2B0" w:rsidR="00FB15FA" w:rsidRPr="008D2D98" w:rsidRDefault="00BA6732" w:rsidP="00FB15FA">
      <w:pPr>
        <w:pStyle w:val="Heading2"/>
        <w:rPr>
          <w:rFonts w:eastAsia="Work Sans"/>
        </w:rPr>
      </w:pPr>
      <w:r>
        <w:rPr>
          <w:rFonts w:eastAsia="Work Sans"/>
        </w:rPr>
        <w:lastRenderedPageBreak/>
        <w:t>Appendix</w:t>
      </w:r>
      <w:r w:rsidR="00FB15FA" w:rsidRPr="008D2D98">
        <w:rPr>
          <w:rFonts w:eastAsia="Work Sans"/>
        </w:rPr>
        <w:t xml:space="preserve"> </w:t>
      </w:r>
      <w:r w:rsidR="0029633D">
        <w:rPr>
          <w:rFonts w:eastAsia="Work Sans"/>
        </w:rPr>
        <w:t>A</w:t>
      </w:r>
      <w:r w:rsidR="00DF4ECF">
        <w:rPr>
          <w:rFonts w:eastAsia="Work Sans"/>
        </w:rPr>
        <w:t>:</w:t>
      </w:r>
      <w:r w:rsidR="00FB15FA">
        <w:rPr>
          <w:rFonts w:eastAsia="Work Sans"/>
        </w:rPr>
        <w:t xml:space="preserve"> </w:t>
      </w:r>
      <w:r w:rsidR="00FB15FA" w:rsidRPr="0036787C">
        <w:rPr>
          <w:rFonts w:eastAsia="Work Sans"/>
          <w:b w:val="0"/>
        </w:rPr>
        <w:t xml:space="preserve">Treatment of Commonwealth </w:t>
      </w:r>
      <w:r w:rsidR="0067336C">
        <w:rPr>
          <w:rFonts w:eastAsia="Work Sans"/>
          <w:b w:val="0"/>
        </w:rPr>
        <w:t>p</w:t>
      </w:r>
      <w:r w:rsidR="00FB15FA" w:rsidRPr="0036787C">
        <w:rPr>
          <w:rFonts w:eastAsia="Work Sans"/>
          <w:b w:val="0"/>
        </w:rPr>
        <w:t>ayments that commenced in 202</w:t>
      </w:r>
      <w:r w:rsidR="00961BDD">
        <w:rPr>
          <w:rFonts w:eastAsia="Work Sans"/>
          <w:b w:val="0"/>
        </w:rPr>
        <w:t>4</w:t>
      </w:r>
      <w:r w:rsidR="00FB15FA" w:rsidRPr="0036787C">
        <w:rPr>
          <w:rFonts w:eastAsia="Work Sans"/>
          <w:b w:val="0"/>
        </w:rPr>
        <w:t>–2</w:t>
      </w:r>
      <w:r w:rsidR="00961BDD">
        <w:rPr>
          <w:rFonts w:eastAsia="Work Sans"/>
          <w:b w:val="0"/>
        </w:rPr>
        <w:t>5</w:t>
      </w:r>
    </w:p>
    <w:p w14:paraId="6849553B" w14:textId="0E144F08" w:rsidR="00BD07F6" w:rsidRPr="00DF230F" w:rsidRDefault="00BD07F6" w:rsidP="00BD07F6">
      <w:pPr>
        <w:pStyle w:val="Tableheading"/>
        <w:tabs>
          <w:tab w:val="left" w:pos="1134"/>
        </w:tabs>
        <w:rPr>
          <w:rFonts w:ascii="Work Sans" w:hAnsi="Work Sans"/>
          <w:b/>
          <w:bCs/>
          <w:i/>
          <w:iCs/>
        </w:rPr>
      </w:pPr>
      <w:bookmarkStart w:id="5" w:name="_Ref207868140"/>
      <w:r w:rsidRPr="00DF230F">
        <w:rPr>
          <w:rFonts w:ascii="Work Sans" w:hAnsi="Work Sans"/>
          <w:b/>
          <w:bCs/>
        </w:rPr>
        <w:t>Table</w:t>
      </w:r>
      <w:bookmarkEnd w:id="5"/>
      <w:r w:rsidRPr="00DF230F">
        <w:rPr>
          <w:rFonts w:ascii="Work Sans" w:hAnsi="Work Sans"/>
          <w:b/>
          <w:bCs/>
        </w:rPr>
        <w:t xml:space="preserve"> A-1</w:t>
      </w:r>
      <w:r w:rsidRPr="00DF230F">
        <w:rPr>
          <w:rFonts w:ascii="Work Sans" w:hAnsi="Work Sans"/>
          <w:b/>
          <w:bCs/>
        </w:rPr>
        <w:tab/>
      </w:r>
      <w:r w:rsidR="003D3EA6">
        <w:rPr>
          <w:rFonts w:ascii="Work Sans" w:hAnsi="Work Sans"/>
          <w:b/>
          <w:bCs/>
        </w:rPr>
        <w:t>T</w:t>
      </w:r>
      <w:r w:rsidRPr="00DF230F">
        <w:rPr>
          <w:rFonts w:ascii="Work Sans" w:hAnsi="Work Sans"/>
          <w:b/>
          <w:bCs/>
        </w:rPr>
        <w:t xml:space="preserve">reatment of Commonwealth payments commenced in 2024–25, </w:t>
      </w:r>
      <w:r w:rsidRPr="00DF230F">
        <w:rPr>
          <w:rFonts w:ascii="Work Sans" w:hAnsi="Work Sans"/>
          <w:b/>
          <w:bCs/>
          <w:i/>
          <w:iCs/>
        </w:rPr>
        <w:t>Final Budget Outcome, 2024–25</w:t>
      </w:r>
    </w:p>
    <w:tbl>
      <w:tblPr>
        <w:tblW w:w="13892" w:type="dxa"/>
        <w:tblLayout w:type="fixed"/>
        <w:tblCellMar>
          <w:left w:w="28" w:type="dxa"/>
          <w:right w:w="28" w:type="dxa"/>
        </w:tblCellMar>
        <w:tblLook w:val="04A0" w:firstRow="1" w:lastRow="0" w:firstColumn="1" w:lastColumn="0" w:noHBand="0" w:noVBand="1"/>
      </w:tblPr>
      <w:tblGrid>
        <w:gridCol w:w="2410"/>
        <w:gridCol w:w="4394"/>
        <w:gridCol w:w="1134"/>
        <w:gridCol w:w="1276"/>
        <w:gridCol w:w="4678"/>
      </w:tblGrid>
      <w:tr w:rsidR="00BD07F6" w:rsidRPr="00C91117" w14:paraId="2AEA6742" w14:textId="77777777">
        <w:trPr>
          <w:trHeight w:val="567"/>
          <w:tblHeader/>
        </w:trPr>
        <w:tc>
          <w:tcPr>
            <w:tcW w:w="2410" w:type="dxa"/>
            <w:tcBorders>
              <w:top w:val="single" w:sz="4" w:space="0" w:color="ADD6EA"/>
              <w:left w:val="nil"/>
              <w:bottom w:val="single" w:sz="4" w:space="0" w:color="ADD6EA"/>
              <w:right w:val="nil"/>
            </w:tcBorders>
            <w:shd w:val="clear" w:color="auto" w:fill="006991"/>
            <w:hideMark/>
          </w:tcPr>
          <w:p w14:paraId="6057A1EE" w14:textId="77777777" w:rsidR="00BD07F6" w:rsidRPr="00C91117" w:rsidRDefault="00BD07F6">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Commonwealth payment</w:t>
            </w:r>
          </w:p>
        </w:tc>
        <w:tc>
          <w:tcPr>
            <w:tcW w:w="4394" w:type="dxa"/>
            <w:tcBorders>
              <w:top w:val="single" w:sz="4" w:space="0" w:color="ADD6EA"/>
              <w:left w:val="nil"/>
              <w:bottom w:val="single" w:sz="4" w:space="0" w:color="ADD6EA"/>
              <w:right w:val="nil"/>
            </w:tcBorders>
            <w:shd w:val="clear" w:color="auto" w:fill="006991"/>
            <w:hideMark/>
          </w:tcPr>
          <w:p w14:paraId="1CEC1E13" w14:textId="77777777" w:rsidR="00BD07F6" w:rsidRPr="00C91117" w:rsidRDefault="00BD07F6">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Description</w:t>
            </w:r>
          </w:p>
        </w:tc>
        <w:tc>
          <w:tcPr>
            <w:tcW w:w="1134" w:type="dxa"/>
            <w:tcBorders>
              <w:top w:val="single" w:sz="4" w:space="0" w:color="ADD6EA"/>
              <w:left w:val="nil"/>
              <w:bottom w:val="single" w:sz="4" w:space="0" w:color="ADD6EA"/>
              <w:right w:val="nil"/>
            </w:tcBorders>
            <w:shd w:val="clear" w:color="auto" w:fill="006991"/>
            <w:tcMar>
              <w:right w:w="85" w:type="dxa"/>
            </w:tcMar>
            <w:hideMark/>
          </w:tcPr>
          <w:p w14:paraId="294A86FC" w14:textId="77777777" w:rsidR="00BD07F6" w:rsidRPr="00C91117" w:rsidRDefault="00BD07F6">
            <w:pPr>
              <w:spacing w:line="240" w:lineRule="auto"/>
              <w:ind w:right="227"/>
              <w:jc w:val="right"/>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20</w:t>
            </w:r>
            <w:r>
              <w:rPr>
                <w:rFonts w:ascii="Open Sans Semibold" w:eastAsia="Times New Roman" w:hAnsi="Open Sans Semibold" w:cs="Open Sans Light"/>
                <w:color w:val="FFFFFF"/>
                <w:sz w:val="16"/>
                <w:szCs w:val="20"/>
                <w:lang w:eastAsia="en-AU"/>
              </w:rPr>
              <w:t>24–</w:t>
            </w:r>
            <w:r w:rsidRPr="00C91117">
              <w:rPr>
                <w:rFonts w:ascii="Open Sans Semibold" w:eastAsia="Times New Roman" w:hAnsi="Open Sans Semibold" w:cs="Open Sans Light"/>
                <w:color w:val="FFFFFF"/>
                <w:sz w:val="16"/>
                <w:szCs w:val="20"/>
                <w:lang w:eastAsia="en-AU"/>
              </w:rPr>
              <w:t>2</w:t>
            </w:r>
            <w:r>
              <w:rPr>
                <w:rFonts w:ascii="Open Sans Semibold" w:eastAsia="Times New Roman" w:hAnsi="Open Sans Semibold" w:cs="Open Sans Light"/>
                <w:color w:val="FFFFFF"/>
                <w:sz w:val="16"/>
                <w:szCs w:val="20"/>
                <w:lang w:eastAsia="en-AU"/>
              </w:rPr>
              <w:t>5</w:t>
            </w:r>
            <w:r w:rsidRPr="00C91117">
              <w:rPr>
                <w:rFonts w:ascii="Open Sans Semibold" w:eastAsia="Times New Roman" w:hAnsi="Open Sans Semibold" w:cs="Open Sans Light"/>
                <w:color w:val="FFFFFF"/>
                <w:sz w:val="16"/>
                <w:szCs w:val="20"/>
                <w:lang w:eastAsia="en-AU"/>
              </w:rPr>
              <w:t xml:space="preserve"> $m</w:t>
            </w:r>
          </w:p>
        </w:tc>
        <w:tc>
          <w:tcPr>
            <w:tcW w:w="1276" w:type="dxa"/>
            <w:tcBorders>
              <w:top w:val="single" w:sz="4" w:space="0" w:color="ADD6EA"/>
              <w:left w:val="nil"/>
              <w:bottom w:val="single" w:sz="4" w:space="0" w:color="ADD6EA"/>
              <w:right w:val="nil"/>
            </w:tcBorders>
            <w:shd w:val="clear" w:color="auto" w:fill="006991"/>
            <w:hideMark/>
          </w:tcPr>
          <w:p w14:paraId="2B294159" w14:textId="0AECD9A9" w:rsidR="00BD07F6" w:rsidRPr="00C91117" w:rsidRDefault="00086348">
            <w:pPr>
              <w:spacing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Light"/>
                <w:color w:val="FFFFFF"/>
                <w:sz w:val="16"/>
                <w:szCs w:val="20"/>
                <w:lang w:eastAsia="en-AU"/>
              </w:rPr>
              <w:t>T</w:t>
            </w:r>
            <w:r w:rsidR="00BD07F6" w:rsidRPr="00C91117">
              <w:rPr>
                <w:rFonts w:ascii="Open Sans Semibold" w:eastAsia="Times New Roman" w:hAnsi="Open Sans Semibold" w:cs="Open Sans Light"/>
                <w:color w:val="FFFFFF"/>
                <w:sz w:val="16"/>
                <w:szCs w:val="20"/>
                <w:lang w:eastAsia="en-AU"/>
              </w:rPr>
              <w:t>reatment</w:t>
            </w:r>
          </w:p>
        </w:tc>
        <w:tc>
          <w:tcPr>
            <w:tcW w:w="4678" w:type="dxa"/>
            <w:tcBorders>
              <w:top w:val="single" w:sz="4" w:space="0" w:color="ADD6EA"/>
              <w:left w:val="nil"/>
              <w:bottom w:val="single" w:sz="4" w:space="0" w:color="ADD6EA"/>
              <w:right w:val="nil"/>
            </w:tcBorders>
            <w:shd w:val="clear" w:color="auto" w:fill="006991"/>
            <w:hideMark/>
          </w:tcPr>
          <w:p w14:paraId="68BCB7F7" w14:textId="77777777" w:rsidR="00BD07F6" w:rsidRPr="00C91117" w:rsidRDefault="00BD07F6">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Reason for treatment</w:t>
            </w:r>
          </w:p>
        </w:tc>
      </w:tr>
      <w:tr w:rsidR="00BD07F6" w:rsidRPr="00C91117" w14:paraId="5FB5BCFA" w14:textId="77777777">
        <w:trPr>
          <w:trHeight w:val="259"/>
        </w:trPr>
        <w:tc>
          <w:tcPr>
            <w:tcW w:w="2410" w:type="dxa"/>
            <w:tcBorders>
              <w:top w:val="single" w:sz="4" w:space="0" w:color="ADD6EA"/>
              <w:left w:val="nil"/>
              <w:bottom w:val="single" w:sz="4" w:space="0" w:color="ADD6EA"/>
              <w:right w:val="nil"/>
            </w:tcBorders>
            <w:shd w:val="clear" w:color="auto" w:fill="B6D5E4"/>
            <w:hideMark/>
          </w:tcPr>
          <w:p w14:paraId="7D88115C" w14:textId="77777777" w:rsidR="00BD07F6" w:rsidRPr="00C91117" w:rsidRDefault="00BD07F6">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Light"/>
                <w:color w:val="000000"/>
                <w:sz w:val="16"/>
                <w:szCs w:val="20"/>
                <w:lang w:eastAsia="en-AU"/>
              </w:rPr>
              <w:t>Health</w:t>
            </w:r>
          </w:p>
        </w:tc>
        <w:tc>
          <w:tcPr>
            <w:tcW w:w="4394" w:type="dxa"/>
            <w:tcBorders>
              <w:top w:val="single" w:sz="4" w:space="0" w:color="ADD6EA"/>
              <w:left w:val="nil"/>
              <w:bottom w:val="single" w:sz="4" w:space="0" w:color="ADD6EA"/>
              <w:right w:val="nil"/>
            </w:tcBorders>
            <w:shd w:val="clear" w:color="auto" w:fill="B6D5E4"/>
            <w:noWrap/>
            <w:hideMark/>
          </w:tcPr>
          <w:p w14:paraId="680EF413" w14:textId="77777777" w:rsidR="00BD07F6" w:rsidRPr="00C91117" w:rsidRDefault="00BD07F6">
            <w:pPr>
              <w:spacing w:line="240" w:lineRule="auto"/>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1134" w:type="dxa"/>
            <w:tcBorders>
              <w:top w:val="single" w:sz="4" w:space="0" w:color="ADD6EA"/>
              <w:left w:val="nil"/>
              <w:bottom w:val="single" w:sz="4" w:space="0" w:color="ADD6EA"/>
              <w:right w:val="nil"/>
            </w:tcBorders>
            <w:shd w:val="clear" w:color="auto" w:fill="B6D5E4"/>
            <w:noWrap/>
            <w:tcMar>
              <w:right w:w="85" w:type="dxa"/>
            </w:tcMar>
            <w:hideMark/>
          </w:tcPr>
          <w:p w14:paraId="20B66E45" w14:textId="77777777" w:rsidR="00BD07F6" w:rsidRPr="00C91117" w:rsidRDefault="00BD07F6">
            <w:pPr>
              <w:spacing w:line="240" w:lineRule="auto"/>
              <w:ind w:right="227"/>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1276" w:type="dxa"/>
            <w:tcBorders>
              <w:top w:val="single" w:sz="4" w:space="0" w:color="ADD6EA"/>
              <w:left w:val="nil"/>
              <w:bottom w:val="single" w:sz="4" w:space="0" w:color="ADD6EA"/>
              <w:right w:val="nil"/>
            </w:tcBorders>
            <w:shd w:val="clear" w:color="auto" w:fill="B6D5E4"/>
            <w:noWrap/>
            <w:hideMark/>
          </w:tcPr>
          <w:p w14:paraId="11B12017" w14:textId="77777777" w:rsidR="00BD07F6" w:rsidRPr="00C91117" w:rsidRDefault="00BD07F6">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5328CFB9" w14:textId="77777777" w:rsidR="00BD07F6" w:rsidRPr="00C91117" w:rsidRDefault="00BD07F6">
            <w:pPr>
              <w:spacing w:line="240" w:lineRule="auto"/>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r>
      <w:tr w:rsidR="00BD07F6" w:rsidRPr="00EB0105" w14:paraId="7CF00C77" w14:textId="77777777">
        <w:trPr>
          <w:trHeight w:val="707"/>
        </w:trPr>
        <w:tc>
          <w:tcPr>
            <w:tcW w:w="2410" w:type="dxa"/>
            <w:tcBorders>
              <w:top w:val="single" w:sz="4" w:space="0" w:color="ADD6EA"/>
              <w:left w:val="nil"/>
              <w:bottom w:val="single" w:sz="4" w:space="0" w:color="ADD6EA"/>
              <w:right w:val="nil"/>
            </w:tcBorders>
          </w:tcPr>
          <w:p w14:paraId="5A1FBBAE" w14:textId="77777777" w:rsidR="00BD07F6" w:rsidRPr="00E84E03" w:rsidRDefault="00BD07F6">
            <w:pPr>
              <w:spacing w:line="240" w:lineRule="auto"/>
              <w:rPr>
                <w:rFonts w:ascii="Open Sans Light" w:hAnsi="Open Sans Light" w:cs="Open Sans Light"/>
                <w:sz w:val="16"/>
                <w:szCs w:val="16"/>
                <w:highlight w:val="yellow"/>
              </w:rPr>
            </w:pPr>
            <w:r w:rsidRPr="00E84E03">
              <w:rPr>
                <w:rFonts w:ascii="Open Sans Light" w:hAnsi="Open Sans Light" w:cs="Open Sans Light"/>
                <w:sz w:val="16"/>
                <w:szCs w:val="16"/>
              </w:rPr>
              <w:t>Be</w:t>
            </w:r>
            <w:r>
              <w:rPr>
                <w:rFonts w:ascii="Open Sans Light" w:hAnsi="Open Sans Light" w:cs="Open Sans Light"/>
                <w:sz w:val="16"/>
                <w:szCs w:val="16"/>
              </w:rPr>
              <w:t xml:space="preserve">ntley Hospital </w:t>
            </w:r>
            <w:proofErr w:type="spellStart"/>
            <w:r>
              <w:rPr>
                <w:rFonts w:ascii="Open Sans Light" w:hAnsi="Open Sans Light" w:cs="Open Sans Light"/>
                <w:sz w:val="16"/>
                <w:szCs w:val="16"/>
              </w:rPr>
              <w:t>Surgicentre</w:t>
            </w:r>
            <w:proofErr w:type="spellEnd"/>
          </w:p>
        </w:tc>
        <w:tc>
          <w:tcPr>
            <w:tcW w:w="4394" w:type="dxa"/>
            <w:tcBorders>
              <w:top w:val="single" w:sz="4" w:space="0" w:color="ADD6EA"/>
              <w:left w:val="nil"/>
              <w:bottom w:val="single" w:sz="4" w:space="0" w:color="ADD6EA"/>
              <w:right w:val="nil"/>
            </w:tcBorders>
          </w:tcPr>
          <w:p w14:paraId="0E6FDB87" w14:textId="77777777" w:rsidR="00BD07F6" w:rsidRPr="00EF66D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BC57EE">
              <w:rPr>
                <w:rFonts w:ascii="Open Sans Light" w:eastAsia="Times New Roman" w:hAnsi="Open Sans Light" w:cs="Open Sans Light"/>
                <w:color w:val="000000"/>
                <w:sz w:val="16"/>
                <w:szCs w:val="16"/>
                <w:lang w:eastAsia="en-AU"/>
              </w:rPr>
              <w:t xml:space="preserve">unding to deliver a new Bentley Hospital </w:t>
            </w:r>
            <w:proofErr w:type="spellStart"/>
            <w:r w:rsidRPr="00BC57EE">
              <w:rPr>
                <w:rFonts w:ascii="Open Sans Light" w:eastAsia="Times New Roman" w:hAnsi="Open Sans Light" w:cs="Open Sans Light"/>
                <w:color w:val="000000"/>
                <w:sz w:val="16"/>
                <w:szCs w:val="16"/>
                <w:lang w:eastAsia="en-AU"/>
              </w:rPr>
              <w:t>Surgicentre</w:t>
            </w:r>
            <w:proofErr w:type="spellEnd"/>
            <w:r>
              <w:rPr>
                <w:rFonts w:ascii="Open Sans Light" w:eastAsia="Times New Roman" w:hAnsi="Open Sans Light" w:cs="Open Sans Light"/>
                <w:color w:val="000000"/>
                <w:sz w:val="16"/>
                <w:szCs w:val="16"/>
                <w:lang w:eastAsia="en-AU"/>
              </w:rPr>
              <w:t>, which</w:t>
            </w:r>
            <w:r w:rsidDel="000E3E55">
              <w:rPr>
                <w:rFonts w:ascii="Open Sans Light" w:eastAsia="Times New Roman" w:hAnsi="Open Sans Light" w:cs="Open Sans Light"/>
                <w:color w:val="000000"/>
                <w:sz w:val="16"/>
                <w:szCs w:val="16"/>
                <w:lang w:eastAsia="en-AU"/>
              </w:rPr>
              <w:t xml:space="preserve"> </w:t>
            </w:r>
            <w:r>
              <w:rPr>
                <w:rFonts w:ascii="Open Sans Light" w:eastAsia="Times New Roman" w:hAnsi="Open Sans Light" w:cs="Open Sans Light"/>
                <w:color w:val="000000"/>
                <w:sz w:val="16"/>
                <w:szCs w:val="16"/>
                <w:lang w:eastAsia="en-AU"/>
              </w:rPr>
              <w:t>will</w:t>
            </w:r>
            <w:r w:rsidRPr="00BC57EE">
              <w:rPr>
                <w:rFonts w:ascii="Open Sans Light" w:eastAsia="Times New Roman" w:hAnsi="Open Sans Light" w:cs="Open Sans Light"/>
                <w:color w:val="000000"/>
                <w:sz w:val="16"/>
                <w:szCs w:val="16"/>
                <w:lang w:eastAsia="en-AU"/>
              </w:rPr>
              <w:t xml:space="preserve"> separate non-complex elective surgery from emergency surgery.</w:t>
            </w:r>
          </w:p>
        </w:tc>
        <w:tc>
          <w:tcPr>
            <w:tcW w:w="1134" w:type="dxa"/>
            <w:tcBorders>
              <w:top w:val="single" w:sz="4" w:space="0" w:color="ADD6EA"/>
              <w:left w:val="nil"/>
              <w:bottom w:val="single" w:sz="4" w:space="0" w:color="ADD6EA"/>
              <w:right w:val="nil"/>
            </w:tcBorders>
            <w:noWrap/>
            <w:tcMar>
              <w:right w:w="85" w:type="dxa"/>
            </w:tcMar>
          </w:tcPr>
          <w:p w14:paraId="7445914C" w14:textId="77777777" w:rsidR="00BD07F6" w:rsidRPr="00EF66D7"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15.6</w:t>
            </w:r>
          </w:p>
        </w:tc>
        <w:tc>
          <w:tcPr>
            <w:tcW w:w="1276" w:type="dxa"/>
            <w:tcBorders>
              <w:top w:val="single" w:sz="4" w:space="0" w:color="ADD6EA"/>
              <w:left w:val="nil"/>
              <w:bottom w:val="single" w:sz="4" w:space="0" w:color="ADD6EA"/>
              <w:right w:val="nil"/>
            </w:tcBorders>
            <w:noWrap/>
          </w:tcPr>
          <w:p w14:paraId="2BE406D9" w14:textId="77777777" w:rsidR="00BD07F6" w:rsidRPr="009D270E"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65E77E95" w14:textId="544896F6" w:rsidR="00BD07F6" w:rsidRPr="009D270E"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Investment in </w:t>
            </w:r>
            <w:r w:rsidRPr="006A2845">
              <w:rPr>
                <w:rFonts w:ascii="Open Sans Light" w:eastAsia="Times New Roman" w:hAnsi="Open Sans Light" w:cs="Open Sans Light"/>
                <w:color w:val="000000"/>
                <w:sz w:val="16"/>
                <w:szCs w:val="16"/>
                <w:lang w:eastAsia="en-AU"/>
              </w:rPr>
              <w:t xml:space="preserve">hospital infrastructure </w:t>
            </w:r>
            <w:r>
              <w:rPr>
                <w:rFonts w:ascii="Open Sans Light" w:eastAsia="Times New Roman" w:hAnsi="Open Sans Light" w:cs="Open Sans Light"/>
                <w:color w:val="000000"/>
                <w:sz w:val="16"/>
                <w:szCs w:val="16"/>
                <w:lang w:eastAsia="en-AU"/>
              </w:rPr>
              <w:t>is a state service</w:t>
            </w:r>
            <w:r w:rsidR="000A248C">
              <w:rPr>
                <w:rFonts w:ascii="Open Sans Light" w:eastAsia="Times New Roman" w:hAnsi="Open Sans Light" w:cs="Open Sans Light"/>
                <w:color w:val="000000"/>
                <w:sz w:val="16"/>
                <w:szCs w:val="16"/>
                <w:lang w:eastAsia="en-AU"/>
              </w:rPr>
              <w:t>,</w:t>
            </w:r>
            <w:r>
              <w:rPr>
                <w:rFonts w:ascii="Open Sans Light" w:eastAsia="Times New Roman" w:hAnsi="Open Sans Light" w:cs="Open Sans Light"/>
                <w:color w:val="000000"/>
                <w:sz w:val="16"/>
                <w:szCs w:val="16"/>
                <w:lang w:eastAsia="en-AU"/>
              </w:rPr>
              <w:t xml:space="preserve"> and </w:t>
            </w:r>
            <w:r w:rsidRPr="006A2845">
              <w:rPr>
                <w:rFonts w:ascii="Open Sans Light" w:eastAsia="Times New Roman" w:hAnsi="Open Sans Light" w:cs="Open Sans Light"/>
                <w:color w:val="000000"/>
                <w:sz w:val="16"/>
                <w:szCs w:val="16"/>
                <w:lang w:eastAsia="en-AU"/>
              </w:rPr>
              <w:t>needs are assessed.</w:t>
            </w:r>
          </w:p>
        </w:tc>
      </w:tr>
      <w:tr w:rsidR="00BD07F6" w:rsidRPr="00EB0105" w14:paraId="7375A557" w14:textId="77777777">
        <w:trPr>
          <w:trHeight w:val="881"/>
        </w:trPr>
        <w:tc>
          <w:tcPr>
            <w:tcW w:w="2410" w:type="dxa"/>
            <w:tcBorders>
              <w:top w:val="single" w:sz="4" w:space="0" w:color="ADD6EA"/>
              <w:left w:val="nil"/>
              <w:bottom w:val="single" w:sz="4" w:space="0" w:color="ADD6EA"/>
              <w:right w:val="nil"/>
            </w:tcBorders>
          </w:tcPr>
          <w:p w14:paraId="201B387A" w14:textId="77777777" w:rsidR="00BD07F6" w:rsidRDefault="00BD07F6">
            <w:pPr>
              <w:spacing w:line="240" w:lineRule="auto"/>
              <w:rPr>
                <w:rFonts w:ascii="Open Sans Light" w:hAnsi="Open Sans Light" w:cs="Open Sans Light"/>
                <w:sz w:val="16"/>
                <w:szCs w:val="16"/>
              </w:rPr>
            </w:pPr>
            <w:r w:rsidRPr="00225191">
              <w:rPr>
                <w:rFonts w:ascii="Open Sans Light" w:hAnsi="Open Sans Light" w:cs="Open Sans Light"/>
                <w:sz w:val="16"/>
                <w:szCs w:val="16"/>
              </w:rPr>
              <w:t>Expansion of the Flinders Medical Centre</w:t>
            </w:r>
          </w:p>
        </w:tc>
        <w:tc>
          <w:tcPr>
            <w:tcW w:w="4394" w:type="dxa"/>
            <w:tcBorders>
              <w:top w:val="single" w:sz="4" w:space="0" w:color="ADD6EA"/>
              <w:left w:val="nil"/>
              <w:bottom w:val="single" w:sz="4" w:space="0" w:color="ADD6EA"/>
              <w:right w:val="nil"/>
            </w:tcBorders>
          </w:tcPr>
          <w:p w14:paraId="4F5274EA"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DA4F23">
              <w:rPr>
                <w:rFonts w:ascii="Open Sans Light" w:eastAsia="Times New Roman" w:hAnsi="Open Sans Light" w:cs="Open Sans Light"/>
                <w:color w:val="000000"/>
                <w:sz w:val="16"/>
                <w:szCs w:val="16"/>
                <w:lang w:eastAsia="en-AU"/>
              </w:rPr>
              <w:t>und</w:t>
            </w:r>
            <w:r>
              <w:rPr>
                <w:rFonts w:ascii="Open Sans Light" w:eastAsia="Times New Roman" w:hAnsi="Open Sans Light" w:cs="Open Sans Light"/>
                <w:color w:val="000000"/>
                <w:sz w:val="16"/>
                <w:szCs w:val="16"/>
                <w:lang w:eastAsia="en-AU"/>
              </w:rPr>
              <w:t>ing for</w:t>
            </w:r>
            <w:r w:rsidRPr="00DA4F23">
              <w:rPr>
                <w:rFonts w:ascii="Open Sans Light" w:eastAsia="Times New Roman" w:hAnsi="Open Sans Light" w:cs="Open Sans Light"/>
                <w:color w:val="000000"/>
                <w:sz w:val="16"/>
                <w:szCs w:val="16"/>
                <w:lang w:eastAsia="en-AU"/>
              </w:rPr>
              <w:t xml:space="preserve"> an expansion of the Flinders Medical Centre, delivering 160 extra beds for the south of Adelaide.</w:t>
            </w:r>
          </w:p>
        </w:tc>
        <w:tc>
          <w:tcPr>
            <w:tcW w:w="1134" w:type="dxa"/>
            <w:tcBorders>
              <w:top w:val="single" w:sz="4" w:space="0" w:color="ADD6EA"/>
              <w:left w:val="nil"/>
              <w:bottom w:val="single" w:sz="4" w:space="0" w:color="ADD6EA"/>
              <w:right w:val="nil"/>
            </w:tcBorders>
            <w:noWrap/>
            <w:tcMar>
              <w:right w:w="85" w:type="dxa"/>
            </w:tcMar>
          </w:tcPr>
          <w:p w14:paraId="295C119F" w14:textId="77777777" w:rsidR="00BD07F6"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59.5</w:t>
            </w:r>
          </w:p>
        </w:tc>
        <w:tc>
          <w:tcPr>
            <w:tcW w:w="1276" w:type="dxa"/>
            <w:tcBorders>
              <w:top w:val="single" w:sz="4" w:space="0" w:color="ADD6EA"/>
              <w:left w:val="nil"/>
              <w:bottom w:val="single" w:sz="4" w:space="0" w:color="ADD6EA"/>
              <w:right w:val="nil"/>
            </w:tcBorders>
            <w:noWrap/>
          </w:tcPr>
          <w:p w14:paraId="4C1CC7B8"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0726B836" w14:textId="20B894B7" w:rsidR="00BD07F6" w:rsidRPr="00EB0105" w:rsidRDefault="00BD07F6">
            <w:pPr>
              <w:spacing w:line="240" w:lineRule="auto"/>
              <w:rPr>
                <w:rFonts w:ascii="Open Sans Light" w:eastAsia="Times New Roman" w:hAnsi="Open Sans Light" w:cs="Open Sans Light"/>
                <w:color w:val="000000"/>
                <w:sz w:val="16"/>
                <w:szCs w:val="16"/>
                <w:highlight w:val="yellow"/>
                <w:lang w:eastAsia="en-AU"/>
              </w:rPr>
            </w:pPr>
            <w:r>
              <w:rPr>
                <w:rFonts w:ascii="Open Sans Light" w:eastAsia="Times New Roman" w:hAnsi="Open Sans Light" w:cs="Open Sans Light"/>
                <w:color w:val="000000"/>
                <w:sz w:val="16"/>
                <w:szCs w:val="16"/>
                <w:lang w:eastAsia="en-AU"/>
              </w:rPr>
              <w:t xml:space="preserve">Investment in </w:t>
            </w:r>
            <w:r w:rsidRPr="006A2845">
              <w:rPr>
                <w:rFonts w:ascii="Open Sans Light" w:eastAsia="Times New Roman" w:hAnsi="Open Sans Light" w:cs="Open Sans Light"/>
                <w:color w:val="000000"/>
                <w:sz w:val="16"/>
                <w:szCs w:val="16"/>
                <w:lang w:eastAsia="en-AU"/>
              </w:rPr>
              <w:t xml:space="preserve">hospital infrastructure </w:t>
            </w:r>
            <w:r>
              <w:rPr>
                <w:rFonts w:ascii="Open Sans Light" w:eastAsia="Times New Roman" w:hAnsi="Open Sans Light" w:cs="Open Sans Light"/>
                <w:color w:val="000000"/>
                <w:sz w:val="16"/>
                <w:szCs w:val="16"/>
                <w:lang w:eastAsia="en-AU"/>
              </w:rPr>
              <w:t>is a state service</w:t>
            </w:r>
            <w:r w:rsidR="000A248C">
              <w:rPr>
                <w:rFonts w:ascii="Open Sans Light" w:eastAsia="Times New Roman" w:hAnsi="Open Sans Light" w:cs="Open Sans Light"/>
                <w:color w:val="000000"/>
                <w:sz w:val="16"/>
                <w:szCs w:val="16"/>
                <w:lang w:eastAsia="en-AU"/>
              </w:rPr>
              <w:t>,</w:t>
            </w:r>
            <w:r>
              <w:rPr>
                <w:rFonts w:ascii="Open Sans Light" w:eastAsia="Times New Roman" w:hAnsi="Open Sans Light" w:cs="Open Sans Light"/>
                <w:color w:val="000000"/>
                <w:sz w:val="16"/>
                <w:szCs w:val="16"/>
                <w:lang w:eastAsia="en-AU"/>
              </w:rPr>
              <w:t xml:space="preserve"> and </w:t>
            </w:r>
            <w:r w:rsidRPr="006A2845">
              <w:rPr>
                <w:rFonts w:ascii="Open Sans Light" w:eastAsia="Times New Roman" w:hAnsi="Open Sans Light" w:cs="Open Sans Light"/>
                <w:color w:val="000000"/>
                <w:sz w:val="16"/>
                <w:szCs w:val="16"/>
                <w:lang w:eastAsia="en-AU"/>
              </w:rPr>
              <w:t>needs are assessed.</w:t>
            </w:r>
          </w:p>
        </w:tc>
      </w:tr>
      <w:tr w:rsidR="00BD07F6" w:rsidRPr="00EB0105" w14:paraId="0D2AF6A9" w14:textId="77777777">
        <w:trPr>
          <w:trHeight w:val="707"/>
        </w:trPr>
        <w:tc>
          <w:tcPr>
            <w:tcW w:w="2410" w:type="dxa"/>
            <w:tcBorders>
              <w:top w:val="single" w:sz="4" w:space="0" w:color="ADD6EA"/>
              <w:left w:val="nil"/>
              <w:bottom w:val="single" w:sz="4" w:space="0" w:color="ADD6EA"/>
              <w:right w:val="nil"/>
            </w:tcBorders>
          </w:tcPr>
          <w:p w14:paraId="0354DD84"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sidRPr="00895180">
              <w:rPr>
                <w:rFonts w:ascii="Open Sans Light" w:eastAsia="Times New Roman" w:hAnsi="Open Sans Light" w:cs="Open Sans Light"/>
                <w:color w:val="000000"/>
                <w:sz w:val="16"/>
                <w:szCs w:val="16"/>
                <w:lang w:eastAsia="en-AU"/>
              </w:rPr>
              <w:t>Health and Medical Research Centre for Launceston</w:t>
            </w:r>
          </w:p>
        </w:tc>
        <w:tc>
          <w:tcPr>
            <w:tcW w:w="4394" w:type="dxa"/>
            <w:tcBorders>
              <w:top w:val="single" w:sz="4" w:space="0" w:color="ADD6EA"/>
              <w:left w:val="nil"/>
              <w:bottom w:val="single" w:sz="4" w:space="0" w:color="ADD6EA"/>
              <w:right w:val="nil"/>
            </w:tcBorders>
          </w:tcPr>
          <w:p w14:paraId="69C2BB6F"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6B6F8D">
              <w:rPr>
                <w:rFonts w:ascii="Open Sans Light" w:eastAsia="Times New Roman" w:hAnsi="Open Sans Light" w:cs="Open Sans Light"/>
                <w:color w:val="000000"/>
                <w:sz w:val="16"/>
                <w:szCs w:val="16"/>
                <w:lang w:eastAsia="en-AU"/>
              </w:rPr>
              <w:t>unding to develop a medical research centre within the Launceston General Hospital</w:t>
            </w:r>
            <w:r>
              <w:rPr>
                <w:rFonts w:ascii="Open Sans Light" w:eastAsia="Times New Roman" w:hAnsi="Open Sans Light" w:cs="Open Sans Light"/>
                <w:color w:val="000000"/>
                <w:sz w:val="16"/>
                <w:szCs w:val="16"/>
                <w:lang w:eastAsia="en-AU"/>
              </w:rPr>
              <w:t>.</w:t>
            </w:r>
          </w:p>
        </w:tc>
        <w:tc>
          <w:tcPr>
            <w:tcW w:w="1134" w:type="dxa"/>
            <w:tcBorders>
              <w:top w:val="single" w:sz="4" w:space="0" w:color="ADD6EA"/>
              <w:left w:val="nil"/>
              <w:bottom w:val="single" w:sz="4" w:space="0" w:color="ADD6EA"/>
              <w:right w:val="nil"/>
            </w:tcBorders>
            <w:noWrap/>
            <w:tcMar>
              <w:right w:w="85" w:type="dxa"/>
            </w:tcMar>
          </w:tcPr>
          <w:p w14:paraId="6E9D9127" w14:textId="77777777" w:rsidR="00BD07F6" w:rsidRPr="00EB0105"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0.4</w:t>
            </w:r>
          </w:p>
        </w:tc>
        <w:tc>
          <w:tcPr>
            <w:tcW w:w="1276" w:type="dxa"/>
            <w:tcBorders>
              <w:top w:val="single" w:sz="4" w:space="0" w:color="ADD6EA"/>
              <w:left w:val="nil"/>
              <w:bottom w:val="single" w:sz="4" w:space="0" w:color="ADD6EA"/>
              <w:right w:val="nil"/>
            </w:tcBorders>
            <w:noWrap/>
          </w:tcPr>
          <w:p w14:paraId="2DD6715E"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16C7E1B7" w14:textId="77777777" w:rsidR="00BD07F6" w:rsidRPr="00EB0105" w:rsidRDefault="00BD07F6">
            <w:pPr>
              <w:spacing w:line="240" w:lineRule="auto"/>
              <w:rPr>
                <w:rFonts w:ascii="Open Sans Light" w:eastAsia="Times New Roman" w:hAnsi="Open Sans Light" w:cs="Open Sans Light"/>
                <w:color w:val="000000"/>
                <w:sz w:val="16"/>
                <w:szCs w:val="16"/>
                <w:highlight w:val="yellow"/>
                <w:lang w:eastAsia="en-AU"/>
              </w:rPr>
            </w:pPr>
            <w:r>
              <w:rPr>
                <w:rFonts w:ascii="Open Sans Light" w:eastAsia="Times New Roman" w:hAnsi="Open Sans Light" w:cs="Open Sans Light"/>
                <w:color w:val="000000"/>
                <w:sz w:val="16"/>
                <w:szCs w:val="16"/>
                <w:lang w:eastAsia="en-AU"/>
              </w:rPr>
              <w:t>Medical r</w:t>
            </w:r>
            <w:r w:rsidRPr="00877542">
              <w:rPr>
                <w:rFonts w:ascii="Open Sans Light" w:eastAsia="Times New Roman" w:hAnsi="Open Sans Light" w:cs="Open Sans Light"/>
                <w:color w:val="000000"/>
                <w:sz w:val="16"/>
                <w:szCs w:val="16"/>
                <w:lang w:eastAsia="en-AU"/>
              </w:rPr>
              <w:t>esearch</w:t>
            </w:r>
            <w:r>
              <w:rPr>
                <w:rFonts w:ascii="Open Sans Light" w:eastAsia="Times New Roman" w:hAnsi="Open Sans Light" w:cs="Open Sans Light"/>
                <w:color w:val="000000"/>
                <w:sz w:val="16"/>
                <w:szCs w:val="16"/>
                <w:lang w:eastAsia="en-AU"/>
              </w:rPr>
              <w:t xml:space="preserve"> contributes to</w:t>
            </w:r>
            <w:r w:rsidRPr="00877542">
              <w:rPr>
                <w:rFonts w:ascii="Open Sans Light" w:eastAsia="Times New Roman" w:hAnsi="Open Sans Light" w:cs="Open Sans Light"/>
                <w:color w:val="000000"/>
                <w:sz w:val="16"/>
                <w:szCs w:val="16"/>
                <w:lang w:eastAsia="en-AU"/>
              </w:rPr>
              <w:t xml:space="preserve"> community health</w:t>
            </w:r>
            <w:r>
              <w:rPr>
                <w:rFonts w:ascii="Open Sans Light" w:eastAsia="Times New Roman" w:hAnsi="Open Sans Light" w:cs="Open Sans Light"/>
                <w:color w:val="000000"/>
                <w:sz w:val="16"/>
                <w:szCs w:val="16"/>
                <w:lang w:eastAsia="en-AU"/>
              </w:rPr>
              <w:t xml:space="preserve"> services. Community health is </w:t>
            </w:r>
            <w:r w:rsidRPr="00877542">
              <w:rPr>
                <w:rFonts w:ascii="Open Sans Light" w:eastAsia="Times New Roman" w:hAnsi="Open Sans Light" w:cs="Open Sans Light"/>
                <w:color w:val="000000"/>
                <w:sz w:val="16"/>
                <w:szCs w:val="16"/>
                <w:lang w:eastAsia="en-AU"/>
              </w:rPr>
              <w:t xml:space="preserve">a state </w:t>
            </w:r>
            <w:r>
              <w:rPr>
                <w:rFonts w:ascii="Open Sans Light" w:eastAsia="Times New Roman" w:hAnsi="Open Sans Light" w:cs="Open Sans Light"/>
                <w:color w:val="000000"/>
                <w:sz w:val="16"/>
                <w:szCs w:val="16"/>
                <w:lang w:eastAsia="en-AU"/>
              </w:rPr>
              <w:t>service, and</w:t>
            </w:r>
            <w:r w:rsidRPr="00877542">
              <w:rPr>
                <w:rFonts w:ascii="Open Sans Light" w:eastAsia="Times New Roman" w:hAnsi="Open Sans Light" w:cs="Open Sans Light"/>
                <w:color w:val="000000"/>
                <w:sz w:val="16"/>
                <w:szCs w:val="16"/>
                <w:lang w:eastAsia="en-AU"/>
              </w:rPr>
              <w:t xml:space="preserve"> needs are assessed.</w:t>
            </w:r>
          </w:p>
        </w:tc>
      </w:tr>
      <w:tr w:rsidR="00BD07F6" w:rsidRPr="00EB0105" w14:paraId="38A02127" w14:textId="77777777">
        <w:trPr>
          <w:trHeight w:val="536"/>
        </w:trPr>
        <w:tc>
          <w:tcPr>
            <w:tcW w:w="2410" w:type="dxa"/>
            <w:tcBorders>
              <w:top w:val="single" w:sz="4" w:space="0" w:color="ADD6EA"/>
              <w:left w:val="nil"/>
              <w:bottom w:val="single" w:sz="4" w:space="0" w:color="ADD6EA"/>
              <w:right w:val="nil"/>
            </w:tcBorders>
          </w:tcPr>
          <w:p w14:paraId="44456851" w14:textId="77777777" w:rsidR="00BD07F6" w:rsidRDefault="00BD07F6">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Integration and Empowerment Services and Wanneroo Seniors Club</w:t>
            </w:r>
          </w:p>
        </w:tc>
        <w:tc>
          <w:tcPr>
            <w:tcW w:w="4394" w:type="dxa"/>
            <w:tcBorders>
              <w:top w:val="single" w:sz="4" w:space="0" w:color="ADD6EA"/>
              <w:left w:val="nil"/>
              <w:bottom w:val="single" w:sz="4" w:space="0" w:color="ADD6EA"/>
              <w:right w:val="nil"/>
            </w:tcBorders>
          </w:tcPr>
          <w:p w14:paraId="35BFCABC" w14:textId="25942B9D"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sz w:val="16"/>
                <w:szCs w:val="16"/>
              </w:rPr>
              <w:t>F</w:t>
            </w:r>
            <w:r w:rsidRPr="00E8325D">
              <w:rPr>
                <w:rFonts w:ascii="Open Sans Light" w:hAnsi="Open Sans Light" w:cs="Open Sans Light"/>
                <w:sz w:val="16"/>
                <w:szCs w:val="16"/>
              </w:rPr>
              <w:t>unding</w:t>
            </w:r>
            <w:r>
              <w:rPr>
                <w:rFonts w:ascii="Open Sans Light" w:hAnsi="Open Sans Light" w:cs="Open Sans Light"/>
                <w:sz w:val="16"/>
                <w:szCs w:val="16"/>
              </w:rPr>
              <w:t>,</w:t>
            </w:r>
            <w:r w:rsidRPr="00E8325D">
              <w:rPr>
                <w:rFonts w:ascii="Open Sans Light" w:hAnsi="Open Sans Light" w:cs="Open Sans Light"/>
                <w:sz w:val="16"/>
                <w:szCs w:val="16"/>
              </w:rPr>
              <w:t xml:space="preserve"> </w:t>
            </w:r>
            <w:r>
              <w:rPr>
                <w:rFonts w:ascii="Open Sans Light" w:hAnsi="Open Sans Light" w:cs="Open Sans Light"/>
                <w:sz w:val="16"/>
                <w:szCs w:val="16"/>
              </w:rPr>
              <w:t>through</w:t>
            </w:r>
            <w:r w:rsidRPr="00E8325D">
              <w:rPr>
                <w:rFonts w:ascii="Open Sans Light" w:hAnsi="Open Sans Light" w:cs="Open Sans Light"/>
                <w:sz w:val="16"/>
                <w:szCs w:val="16"/>
              </w:rPr>
              <w:t xml:space="preserve"> the Western Australia</w:t>
            </w:r>
            <w:r w:rsidR="001529F2">
              <w:rPr>
                <w:rFonts w:ascii="Open Sans Light" w:hAnsi="Open Sans Light" w:cs="Open Sans Light"/>
                <w:sz w:val="16"/>
                <w:szCs w:val="16"/>
              </w:rPr>
              <w:t>n</w:t>
            </w:r>
            <w:r w:rsidRPr="00E8325D">
              <w:rPr>
                <w:rFonts w:ascii="Open Sans Light" w:hAnsi="Open Sans Light" w:cs="Open Sans Light"/>
                <w:sz w:val="16"/>
                <w:szCs w:val="16"/>
              </w:rPr>
              <w:t xml:space="preserve"> Government</w:t>
            </w:r>
            <w:r>
              <w:rPr>
                <w:rFonts w:ascii="Open Sans Light" w:hAnsi="Open Sans Light" w:cs="Open Sans Light"/>
                <w:sz w:val="16"/>
                <w:szCs w:val="16"/>
              </w:rPr>
              <w:t>,</w:t>
            </w:r>
            <w:r w:rsidRPr="00E8325D">
              <w:rPr>
                <w:rFonts w:ascii="Open Sans Light" w:hAnsi="Open Sans Light" w:cs="Open Sans Light"/>
                <w:sz w:val="16"/>
                <w:szCs w:val="16"/>
              </w:rPr>
              <w:t xml:space="preserve"> to facilitate Integration and Empowerment Services and Wanneroo Senior Citizens Club</w:t>
            </w:r>
            <w:r>
              <w:rPr>
                <w:rFonts w:ascii="Open Sans Light" w:hAnsi="Open Sans Light" w:cs="Open Sans Light"/>
                <w:sz w:val="16"/>
                <w:szCs w:val="16"/>
              </w:rPr>
              <w:t xml:space="preserve"> organisations</w:t>
            </w:r>
            <w:r w:rsidRPr="00E8325D">
              <w:rPr>
                <w:rFonts w:ascii="Open Sans Light" w:hAnsi="Open Sans Light" w:cs="Open Sans Light"/>
                <w:sz w:val="16"/>
                <w:szCs w:val="16"/>
              </w:rPr>
              <w:t xml:space="preserve"> to support delivery of services for </w:t>
            </w:r>
            <w:r w:rsidRPr="003B46B3">
              <w:rPr>
                <w:rFonts w:ascii="Open Sans Light" w:eastAsia="Times New Roman" w:hAnsi="Open Sans Light" w:cs="Open Sans Light"/>
                <w:color w:val="000000"/>
                <w:sz w:val="16"/>
                <w:szCs w:val="16"/>
                <w:lang w:eastAsia="en-AU"/>
              </w:rPr>
              <w:t>National Disability Insurance Scheme</w:t>
            </w:r>
            <w:r w:rsidRPr="00E8325D">
              <w:rPr>
                <w:rFonts w:ascii="Open Sans Light" w:hAnsi="Open Sans Light" w:cs="Open Sans Light"/>
                <w:sz w:val="16"/>
                <w:szCs w:val="16"/>
              </w:rPr>
              <w:t xml:space="preserve"> clients and Senior Australians.</w:t>
            </w:r>
          </w:p>
        </w:tc>
        <w:tc>
          <w:tcPr>
            <w:tcW w:w="1134" w:type="dxa"/>
            <w:tcBorders>
              <w:top w:val="single" w:sz="4" w:space="0" w:color="ADD6EA"/>
              <w:left w:val="nil"/>
              <w:bottom w:val="single" w:sz="4" w:space="0" w:color="ADD6EA"/>
              <w:right w:val="nil"/>
            </w:tcBorders>
            <w:noWrap/>
            <w:tcMar>
              <w:right w:w="85" w:type="dxa"/>
            </w:tcMar>
          </w:tcPr>
          <w:p w14:paraId="19D169F0" w14:textId="77777777" w:rsidR="00BD07F6"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0.2</w:t>
            </w:r>
          </w:p>
        </w:tc>
        <w:tc>
          <w:tcPr>
            <w:tcW w:w="1276" w:type="dxa"/>
            <w:tcBorders>
              <w:top w:val="single" w:sz="4" w:space="0" w:color="ADD6EA"/>
              <w:left w:val="nil"/>
              <w:bottom w:val="single" w:sz="4" w:space="0" w:color="ADD6EA"/>
              <w:right w:val="nil"/>
            </w:tcBorders>
            <w:noWrap/>
          </w:tcPr>
          <w:p w14:paraId="11D9D549"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6CD814BA" w14:textId="77777777" w:rsidR="00BD07F6" w:rsidRPr="00B13C07" w:rsidRDefault="00BD07F6">
            <w:pPr>
              <w:spacing w:line="240" w:lineRule="auto"/>
              <w:rPr>
                <w:rFonts w:ascii="Open Sans Light" w:hAnsi="Open Sans Light" w:cs="Open Sans Light"/>
                <w:sz w:val="16"/>
                <w:szCs w:val="16"/>
              </w:rPr>
            </w:pPr>
            <w:r w:rsidRPr="00287265">
              <w:rPr>
                <w:rFonts w:ascii="Open Sans Light" w:hAnsi="Open Sans Light" w:cs="Open Sans Light"/>
                <w:sz w:val="16"/>
                <w:szCs w:val="16"/>
              </w:rPr>
              <w:t>Delivery of community social welfare programs is a state service. However, needs are not assessed (other welfare).</w:t>
            </w:r>
          </w:p>
        </w:tc>
      </w:tr>
      <w:tr w:rsidR="00BD07F6" w:rsidRPr="00EB0105" w14:paraId="62DF8DCB" w14:textId="77777777">
        <w:trPr>
          <w:trHeight w:val="536"/>
        </w:trPr>
        <w:tc>
          <w:tcPr>
            <w:tcW w:w="2410" w:type="dxa"/>
            <w:tcBorders>
              <w:top w:val="single" w:sz="4" w:space="0" w:color="ADD6EA"/>
              <w:left w:val="nil"/>
              <w:bottom w:val="single" w:sz="4" w:space="0" w:color="ADD6EA"/>
              <w:right w:val="nil"/>
            </w:tcBorders>
          </w:tcPr>
          <w:p w14:paraId="72249920" w14:textId="77777777" w:rsidR="00BD07F6" w:rsidRDefault="00BD07F6">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Access to Eflornithine</w:t>
            </w:r>
          </w:p>
        </w:tc>
        <w:tc>
          <w:tcPr>
            <w:tcW w:w="4394" w:type="dxa"/>
            <w:tcBorders>
              <w:top w:val="single" w:sz="4" w:space="0" w:color="ADD6EA"/>
              <w:left w:val="nil"/>
              <w:bottom w:val="single" w:sz="4" w:space="0" w:color="ADD6EA"/>
              <w:right w:val="nil"/>
            </w:tcBorders>
          </w:tcPr>
          <w:p w14:paraId="0113572A" w14:textId="77777777" w:rsidR="00BD07F6" w:rsidRPr="007843BB" w:rsidRDefault="00BD07F6">
            <w:pPr>
              <w:spacing w:line="240" w:lineRule="auto"/>
              <w:rPr>
                <w:rFonts w:ascii="Open Sans Light" w:eastAsia="Times New Roman" w:hAnsi="Open Sans Light" w:cs="Open Sans Light"/>
                <w:color w:val="000000"/>
                <w:sz w:val="16"/>
                <w:szCs w:val="16"/>
                <w:lang w:eastAsia="en-AU"/>
              </w:rPr>
            </w:pPr>
            <w:r w:rsidRPr="007843BB">
              <w:rPr>
                <w:rFonts w:ascii="Open Sans Light" w:eastAsia="Times New Roman" w:hAnsi="Open Sans Light" w:cs="Open Sans Light"/>
                <w:color w:val="000000"/>
                <w:sz w:val="16"/>
                <w:szCs w:val="16"/>
                <w:lang w:eastAsia="en-AU"/>
              </w:rPr>
              <w:t>Funding to reimburse the cost of purchasing and transporting the medicine eflornithine for eligible patients.</w:t>
            </w:r>
          </w:p>
        </w:tc>
        <w:tc>
          <w:tcPr>
            <w:tcW w:w="1134" w:type="dxa"/>
            <w:tcBorders>
              <w:top w:val="single" w:sz="4" w:space="0" w:color="ADD6EA"/>
              <w:left w:val="nil"/>
              <w:bottom w:val="single" w:sz="4" w:space="0" w:color="ADD6EA"/>
              <w:right w:val="nil"/>
            </w:tcBorders>
            <w:noWrap/>
            <w:tcMar>
              <w:right w:w="85" w:type="dxa"/>
            </w:tcMar>
          </w:tcPr>
          <w:p w14:paraId="5E03A785" w14:textId="77777777" w:rsidR="00BD07F6" w:rsidRPr="007843BB"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0.8</w:t>
            </w:r>
          </w:p>
        </w:tc>
        <w:tc>
          <w:tcPr>
            <w:tcW w:w="1276" w:type="dxa"/>
            <w:tcBorders>
              <w:top w:val="single" w:sz="4" w:space="0" w:color="ADD6EA"/>
              <w:left w:val="nil"/>
              <w:bottom w:val="single" w:sz="4" w:space="0" w:color="ADD6EA"/>
              <w:right w:val="nil"/>
            </w:tcBorders>
            <w:noWrap/>
          </w:tcPr>
          <w:p w14:paraId="4D3E7B2C" w14:textId="77777777" w:rsidR="00BD07F6" w:rsidRPr="007843BB" w:rsidRDefault="00BD07F6">
            <w:pPr>
              <w:spacing w:line="240" w:lineRule="auto"/>
              <w:rPr>
                <w:rFonts w:ascii="Open Sans Light" w:eastAsia="Times New Roman" w:hAnsi="Open Sans Light" w:cs="Open Sans Light"/>
                <w:color w:val="000000"/>
                <w:sz w:val="16"/>
                <w:szCs w:val="16"/>
                <w:lang w:eastAsia="en-AU"/>
              </w:rPr>
            </w:pPr>
            <w:r w:rsidRPr="007843BB">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710834D4" w14:textId="77777777" w:rsidR="00BD07F6" w:rsidRPr="007843BB" w:rsidRDefault="00BD07F6">
            <w:pPr>
              <w:spacing w:line="240" w:lineRule="auto"/>
              <w:rPr>
                <w:rFonts w:ascii="Open Sans Light" w:eastAsia="Times New Roman" w:hAnsi="Open Sans Light" w:cs="Open Sans Light"/>
                <w:color w:val="000000"/>
                <w:sz w:val="16"/>
                <w:szCs w:val="16"/>
                <w:lang w:eastAsia="en-AU"/>
              </w:rPr>
            </w:pPr>
            <w:r w:rsidRPr="007843BB">
              <w:rPr>
                <w:rFonts w:ascii="Open Sans Light" w:eastAsia="Times New Roman" w:hAnsi="Open Sans Light" w:cs="Open Sans Light"/>
                <w:color w:val="000000"/>
                <w:sz w:val="16"/>
                <w:szCs w:val="16"/>
                <w:lang w:eastAsia="en-AU"/>
              </w:rPr>
              <w:t xml:space="preserve">The affordable access to medicines is a service typically provided by the Commonwealth through </w:t>
            </w:r>
            <w:r>
              <w:rPr>
                <w:rFonts w:ascii="Open Sans Light" w:eastAsia="Times New Roman" w:hAnsi="Open Sans Light" w:cs="Open Sans Light"/>
                <w:color w:val="000000"/>
                <w:sz w:val="16"/>
                <w:szCs w:val="16"/>
                <w:lang w:eastAsia="en-AU"/>
              </w:rPr>
              <w:t>the</w:t>
            </w:r>
            <w:r w:rsidRPr="007843BB">
              <w:rPr>
                <w:rFonts w:ascii="Open Sans Light" w:eastAsia="Times New Roman" w:hAnsi="Open Sans Light" w:cs="Open Sans Light"/>
                <w:color w:val="000000"/>
                <w:sz w:val="16"/>
                <w:szCs w:val="16"/>
                <w:lang w:eastAsia="en-AU"/>
              </w:rPr>
              <w:t xml:space="preserve"> Pharmaceutical Benefits Scheme.</w:t>
            </w:r>
          </w:p>
        </w:tc>
      </w:tr>
      <w:tr w:rsidR="00BD07F6" w:rsidRPr="00EB0105" w14:paraId="67FB9916" w14:textId="77777777">
        <w:trPr>
          <w:trHeight w:val="536"/>
        </w:trPr>
        <w:tc>
          <w:tcPr>
            <w:tcW w:w="2410" w:type="dxa"/>
            <w:tcBorders>
              <w:top w:val="single" w:sz="4" w:space="0" w:color="ADD6EA"/>
              <w:left w:val="nil"/>
              <w:bottom w:val="single" w:sz="4" w:space="0" w:color="ADD6EA"/>
              <w:right w:val="nil"/>
            </w:tcBorders>
          </w:tcPr>
          <w:p w14:paraId="354F8A6D" w14:textId="77777777" w:rsidR="00BD07F6" w:rsidRDefault="00BD07F6">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Eliminating cervical cancer in Australia</w:t>
            </w:r>
          </w:p>
        </w:tc>
        <w:tc>
          <w:tcPr>
            <w:tcW w:w="4394" w:type="dxa"/>
            <w:tcBorders>
              <w:top w:val="single" w:sz="4" w:space="0" w:color="ADD6EA"/>
              <w:left w:val="nil"/>
              <w:bottom w:val="single" w:sz="4" w:space="0" w:color="ADD6EA"/>
              <w:right w:val="nil"/>
            </w:tcBorders>
          </w:tcPr>
          <w:p w14:paraId="477E3DBB" w14:textId="6F90EDA4"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590E9E">
              <w:rPr>
                <w:rFonts w:ascii="Open Sans Light" w:eastAsia="Times New Roman" w:hAnsi="Open Sans Light" w:cs="Open Sans Light"/>
                <w:color w:val="000000"/>
                <w:sz w:val="16"/>
                <w:szCs w:val="16"/>
                <w:lang w:eastAsia="en-AU"/>
              </w:rPr>
              <w:t>unding to expand cervical screening services to improve access to reach under</w:t>
            </w:r>
            <w:r>
              <w:rPr>
                <w:rFonts w:ascii="Open Sans Light" w:eastAsia="Times New Roman" w:hAnsi="Open Sans Light" w:cs="Open Sans Light"/>
                <w:color w:val="000000"/>
                <w:sz w:val="16"/>
                <w:szCs w:val="16"/>
                <w:lang w:eastAsia="en-AU"/>
              </w:rPr>
              <w:t>-</w:t>
            </w:r>
            <w:r w:rsidRPr="00590E9E">
              <w:rPr>
                <w:rFonts w:ascii="Open Sans Light" w:eastAsia="Times New Roman" w:hAnsi="Open Sans Light" w:cs="Open Sans Light"/>
                <w:color w:val="000000"/>
                <w:sz w:val="16"/>
                <w:szCs w:val="16"/>
                <w:lang w:eastAsia="en-AU"/>
              </w:rPr>
              <w:t>screened populations.</w:t>
            </w:r>
          </w:p>
        </w:tc>
        <w:tc>
          <w:tcPr>
            <w:tcW w:w="1134" w:type="dxa"/>
            <w:tcBorders>
              <w:top w:val="single" w:sz="4" w:space="0" w:color="ADD6EA"/>
              <w:left w:val="nil"/>
              <w:bottom w:val="single" w:sz="4" w:space="0" w:color="ADD6EA"/>
              <w:right w:val="nil"/>
            </w:tcBorders>
            <w:noWrap/>
            <w:tcMar>
              <w:right w:w="85" w:type="dxa"/>
            </w:tcMar>
          </w:tcPr>
          <w:p w14:paraId="5113095F" w14:textId="77777777" w:rsidR="00BD07F6" w:rsidRPr="00F36488"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5.2</w:t>
            </w:r>
          </w:p>
        </w:tc>
        <w:tc>
          <w:tcPr>
            <w:tcW w:w="1276" w:type="dxa"/>
            <w:tcBorders>
              <w:top w:val="single" w:sz="4" w:space="0" w:color="ADD6EA"/>
              <w:left w:val="nil"/>
              <w:bottom w:val="single" w:sz="4" w:space="0" w:color="ADD6EA"/>
              <w:right w:val="nil"/>
            </w:tcBorders>
            <w:noWrap/>
          </w:tcPr>
          <w:p w14:paraId="625B6491" w14:textId="77777777" w:rsidR="00BD07F6" w:rsidRPr="00F36488" w:rsidRDefault="00BD07F6">
            <w:pPr>
              <w:spacing w:line="240" w:lineRule="auto"/>
              <w:rPr>
                <w:rFonts w:ascii="Open Sans Light" w:eastAsia="Times New Roman" w:hAnsi="Open Sans Light" w:cs="Open Sans Light"/>
                <w:color w:val="000000"/>
                <w:sz w:val="16"/>
                <w:szCs w:val="16"/>
                <w:lang w:eastAsia="en-AU"/>
              </w:rPr>
            </w:pPr>
            <w:r w:rsidRPr="00F36488">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72DED75" w14:textId="77777777" w:rsidR="00BD07F6" w:rsidRPr="00F36488" w:rsidRDefault="00BD07F6">
            <w:pPr>
              <w:spacing w:line="240" w:lineRule="auto"/>
              <w:rPr>
                <w:rFonts w:ascii="Open Sans Light" w:eastAsia="Times New Roman" w:hAnsi="Open Sans Light" w:cs="Open Sans Light"/>
                <w:color w:val="000000"/>
                <w:sz w:val="16"/>
                <w:szCs w:val="16"/>
                <w:highlight w:val="yellow"/>
                <w:lang w:eastAsia="en-AU"/>
              </w:rPr>
            </w:pPr>
            <w:r w:rsidRPr="00F36488">
              <w:rPr>
                <w:rFonts w:ascii="Open Sans Light" w:hAnsi="Open Sans Light" w:cs="Open Sans Light"/>
                <w:color w:val="000000"/>
                <w:sz w:val="16"/>
                <w:szCs w:val="16"/>
              </w:rPr>
              <w:t xml:space="preserve">Cervical screening services </w:t>
            </w:r>
            <w:r>
              <w:rPr>
                <w:rFonts w:ascii="Open Sans Light" w:hAnsi="Open Sans Light" w:cs="Open Sans Light"/>
                <w:color w:val="000000"/>
                <w:sz w:val="16"/>
                <w:szCs w:val="16"/>
              </w:rPr>
              <w:t>is a</w:t>
            </w:r>
            <w:r w:rsidRPr="00F36488">
              <w:rPr>
                <w:rFonts w:ascii="Open Sans Light" w:hAnsi="Open Sans Light" w:cs="Open Sans Light"/>
                <w:color w:val="000000"/>
                <w:sz w:val="16"/>
                <w:szCs w:val="16"/>
              </w:rPr>
              <w:t xml:space="preserve"> community </w:t>
            </w:r>
            <w:r>
              <w:rPr>
                <w:rFonts w:ascii="Open Sans Light" w:hAnsi="Open Sans Light" w:cs="Open Sans Light"/>
                <w:color w:val="000000"/>
                <w:sz w:val="16"/>
                <w:szCs w:val="16"/>
              </w:rPr>
              <w:t xml:space="preserve">health </w:t>
            </w:r>
            <w:r w:rsidRPr="00F36488">
              <w:rPr>
                <w:rFonts w:ascii="Open Sans Light" w:hAnsi="Open Sans Light" w:cs="Open Sans Light"/>
                <w:color w:val="000000"/>
                <w:sz w:val="16"/>
                <w:szCs w:val="16"/>
              </w:rPr>
              <w:t>service</w:t>
            </w:r>
            <w:r>
              <w:rPr>
                <w:rFonts w:ascii="Open Sans Light" w:hAnsi="Open Sans Light" w:cs="Open Sans Light"/>
                <w:color w:val="000000"/>
                <w:sz w:val="16"/>
                <w:szCs w:val="16"/>
              </w:rPr>
              <w:t>. Community health is a state service,</w:t>
            </w:r>
            <w:r w:rsidRPr="00F36488">
              <w:rPr>
                <w:rFonts w:ascii="Open Sans Light" w:hAnsi="Open Sans Light" w:cs="Open Sans Light"/>
                <w:color w:val="000000"/>
                <w:sz w:val="16"/>
                <w:szCs w:val="16"/>
              </w:rPr>
              <w:t xml:space="preserve"> and needs are assessed. </w:t>
            </w:r>
          </w:p>
        </w:tc>
      </w:tr>
      <w:tr w:rsidR="00BD07F6" w:rsidRPr="00EB0105" w14:paraId="3B7F9129" w14:textId="77777777">
        <w:trPr>
          <w:trHeight w:val="536"/>
        </w:trPr>
        <w:tc>
          <w:tcPr>
            <w:tcW w:w="2410" w:type="dxa"/>
            <w:tcBorders>
              <w:top w:val="single" w:sz="4" w:space="0" w:color="ADD6EA"/>
              <w:left w:val="nil"/>
              <w:bottom w:val="single" w:sz="4" w:space="0" w:color="ADD6EA"/>
              <w:right w:val="nil"/>
            </w:tcBorders>
          </w:tcPr>
          <w:p w14:paraId="3A2CDD4D" w14:textId="77777777" w:rsidR="00BD07F6" w:rsidRDefault="00BD07F6">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Supporting older Australian</w:t>
            </w:r>
            <w:r>
              <w:rPr>
                <w:rFonts w:ascii="Open Sans Light" w:eastAsia="Times New Roman" w:hAnsi="Open Sans Light" w:cs="Open Sans Light"/>
                <w:color w:val="000000"/>
                <w:sz w:val="16"/>
                <w:szCs w:val="16"/>
                <w:lang w:eastAsia="en-AU"/>
              </w:rPr>
              <w:t xml:space="preserve"> patients</w:t>
            </w:r>
          </w:p>
        </w:tc>
        <w:tc>
          <w:tcPr>
            <w:tcW w:w="4394" w:type="dxa"/>
            <w:tcBorders>
              <w:top w:val="single" w:sz="4" w:space="0" w:color="ADD6EA"/>
              <w:left w:val="nil"/>
              <w:bottom w:val="single" w:sz="4" w:space="0" w:color="ADD6EA"/>
              <w:right w:val="nil"/>
            </w:tcBorders>
          </w:tcPr>
          <w:p w14:paraId="6632938F" w14:textId="6ADA6F4F"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8704F5">
              <w:rPr>
                <w:rFonts w:ascii="Open Sans Light" w:eastAsia="Times New Roman" w:hAnsi="Open Sans Light" w:cs="Open Sans Light"/>
                <w:color w:val="000000"/>
                <w:sz w:val="16"/>
                <w:szCs w:val="16"/>
                <w:lang w:eastAsia="en-AU"/>
              </w:rPr>
              <w:t xml:space="preserve">unding to invest in state initiatives that address long stay older patient challenges </w:t>
            </w:r>
            <w:r w:rsidR="00AF479D" w:rsidRPr="008704F5">
              <w:rPr>
                <w:rFonts w:ascii="Open Sans Light" w:eastAsia="Times New Roman" w:hAnsi="Open Sans Light" w:cs="Open Sans Light"/>
                <w:color w:val="000000"/>
                <w:sz w:val="16"/>
                <w:szCs w:val="16"/>
                <w:lang w:eastAsia="en-AU"/>
              </w:rPr>
              <w:t>through</w:t>
            </w:r>
            <w:r w:rsidRPr="008704F5">
              <w:rPr>
                <w:rFonts w:ascii="Open Sans Light" w:eastAsia="Times New Roman" w:hAnsi="Open Sans Light" w:cs="Open Sans Light"/>
                <w:color w:val="000000"/>
                <w:sz w:val="16"/>
                <w:szCs w:val="16"/>
                <w:lang w:eastAsia="en-AU"/>
              </w:rPr>
              <w:t xml:space="preserve"> avoiding hospital presentation and admission</w:t>
            </w:r>
            <w:r>
              <w:rPr>
                <w:rFonts w:ascii="Open Sans Light" w:eastAsia="Times New Roman" w:hAnsi="Open Sans Light" w:cs="Open Sans Light"/>
                <w:color w:val="000000"/>
                <w:sz w:val="16"/>
                <w:szCs w:val="16"/>
                <w:lang w:eastAsia="en-AU"/>
              </w:rPr>
              <w:t>;</w:t>
            </w:r>
            <w:r w:rsidRPr="008704F5">
              <w:rPr>
                <w:rFonts w:ascii="Open Sans Light" w:eastAsia="Times New Roman" w:hAnsi="Open Sans Light" w:cs="Open Sans Light"/>
                <w:color w:val="000000"/>
                <w:sz w:val="16"/>
                <w:szCs w:val="16"/>
                <w:lang w:eastAsia="en-AU"/>
              </w:rPr>
              <w:t xml:space="preserve"> where hospital admission is necessary, reducing the length of the hospital stay</w:t>
            </w:r>
            <w:r>
              <w:rPr>
                <w:rFonts w:ascii="Open Sans Light" w:eastAsia="Times New Roman" w:hAnsi="Open Sans Light" w:cs="Open Sans Light"/>
                <w:color w:val="000000"/>
                <w:sz w:val="16"/>
                <w:szCs w:val="16"/>
                <w:lang w:eastAsia="en-AU"/>
              </w:rPr>
              <w:t>;</w:t>
            </w:r>
            <w:r w:rsidRPr="008704F5">
              <w:rPr>
                <w:rFonts w:ascii="Open Sans Light" w:eastAsia="Times New Roman" w:hAnsi="Open Sans Light" w:cs="Open Sans Light"/>
                <w:color w:val="000000"/>
                <w:sz w:val="16"/>
                <w:szCs w:val="16"/>
                <w:lang w:eastAsia="en-AU"/>
              </w:rPr>
              <w:t xml:space="preserve"> </w:t>
            </w:r>
            <w:r w:rsidRPr="008704F5">
              <w:rPr>
                <w:rFonts w:ascii="Open Sans Light" w:eastAsia="Times New Roman" w:hAnsi="Open Sans Light" w:cs="Open Sans Light"/>
                <w:color w:val="000000"/>
                <w:sz w:val="16"/>
                <w:szCs w:val="16"/>
                <w:lang w:eastAsia="en-AU"/>
              </w:rPr>
              <w:lastRenderedPageBreak/>
              <w:t>supporting earlier discharge</w:t>
            </w:r>
            <w:r>
              <w:rPr>
                <w:rFonts w:ascii="Open Sans Light" w:eastAsia="Times New Roman" w:hAnsi="Open Sans Light" w:cs="Open Sans Light"/>
                <w:color w:val="000000"/>
                <w:sz w:val="16"/>
                <w:szCs w:val="16"/>
                <w:lang w:eastAsia="en-AU"/>
              </w:rPr>
              <w:t xml:space="preserve">; and </w:t>
            </w:r>
            <w:r w:rsidRPr="008704F5">
              <w:rPr>
                <w:rFonts w:ascii="Open Sans Light" w:eastAsia="Times New Roman" w:hAnsi="Open Sans Light" w:cs="Open Sans Light"/>
                <w:color w:val="000000"/>
                <w:sz w:val="16"/>
                <w:szCs w:val="16"/>
                <w:lang w:eastAsia="en-AU"/>
              </w:rPr>
              <w:t>improving the transition out of hospital to other appropriate care.</w:t>
            </w:r>
          </w:p>
        </w:tc>
        <w:tc>
          <w:tcPr>
            <w:tcW w:w="1134" w:type="dxa"/>
            <w:tcBorders>
              <w:top w:val="single" w:sz="4" w:space="0" w:color="ADD6EA"/>
              <w:left w:val="nil"/>
              <w:bottom w:val="single" w:sz="4" w:space="0" w:color="ADD6EA"/>
              <w:right w:val="nil"/>
            </w:tcBorders>
            <w:noWrap/>
            <w:tcMar>
              <w:right w:w="85" w:type="dxa"/>
            </w:tcMar>
          </w:tcPr>
          <w:p w14:paraId="3D53C4D1" w14:textId="77777777" w:rsidR="00BD07F6" w:rsidRPr="00F36488"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lastRenderedPageBreak/>
              <w:t>168.6</w:t>
            </w:r>
          </w:p>
        </w:tc>
        <w:tc>
          <w:tcPr>
            <w:tcW w:w="1276" w:type="dxa"/>
            <w:tcBorders>
              <w:top w:val="single" w:sz="4" w:space="0" w:color="ADD6EA"/>
              <w:left w:val="nil"/>
              <w:bottom w:val="single" w:sz="4" w:space="0" w:color="ADD6EA"/>
              <w:right w:val="nil"/>
            </w:tcBorders>
            <w:noWrap/>
          </w:tcPr>
          <w:p w14:paraId="51B26708" w14:textId="77777777" w:rsidR="00BD07F6" w:rsidRPr="00F36488" w:rsidRDefault="00BD07F6">
            <w:pPr>
              <w:spacing w:line="240" w:lineRule="auto"/>
              <w:rPr>
                <w:rFonts w:ascii="Open Sans Light" w:eastAsia="Times New Roman" w:hAnsi="Open Sans Light" w:cs="Open Sans Light"/>
                <w:color w:val="000000"/>
                <w:sz w:val="16"/>
                <w:szCs w:val="16"/>
                <w:lang w:eastAsia="en-AU"/>
              </w:rPr>
            </w:pPr>
            <w:r w:rsidRPr="00F36488">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44278755" w14:textId="77777777" w:rsidR="00BD07F6" w:rsidRPr="00F36488" w:rsidRDefault="00BD07F6">
            <w:pPr>
              <w:spacing w:line="240" w:lineRule="auto"/>
              <w:rPr>
                <w:rFonts w:ascii="Open Sans Light" w:eastAsia="Times New Roman" w:hAnsi="Open Sans Light" w:cs="Open Sans Light"/>
                <w:color w:val="000000"/>
                <w:sz w:val="16"/>
                <w:szCs w:val="16"/>
                <w:highlight w:val="yellow"/>
                <w:lang w:eastAsia="en-AU"/>
              </w:rPr>
            </w:pPr>
            <w:r w:rsidRPr="00F36488">
              <w:rPr>
                <w:rFonts w:ascii="Open Sans Light" w:hAnsi="Open Sans Light" w:cs="Open Sans Light"/>
                <w:color w:val="000000"/>
                <w:sz w:val="16"/>
                <w:szCs w:val="16"/>
              </w:rPr>
              <w:t>The payment predominantly funds aged care</w:t>
            </w:r>
            <w:r>
              <w:rPr>
                <w:rFonts w:ascii="Open Sans Light" w:hAnsi="Open Sans Light" w:cs="Open Sans Light"/>
                <w:color w:val="000000"/>
                <w:sz w:val="16"/>
                <w:szCs w:val="16"/>
              </w:rPr>
              <w:t>,</w:t>
            </w:r>
            <w:r w:rsidRPr="00F36488">
              <w:rPr>
                <w:rFonts w:ascii="Open Sans Light" w:hAnsi="Open Sans Light" w:cs="Open Sans Light"/>
                <w:color w:val="000000"/>
                <w:sz w:val="16"/>
                <w:szCs w:val="16"/>
              </w:rPr>
              <w:t xml:space="preserve"> which is a Commonwealth responsibility.</w:t>
            </w:r>
          </w:p>
        </w:tc>
      </w:tr>
      <w:tr w:rsidR="00BD07F6" w:rsidRPr="00EB0105" w14:paraId="125D7115" w14:textId="77777777">
        <w:trPr>
          <w:trHeight w:val="536"/>
        </w:trPr>
        <w:tc>
          <w:tcPr>
            <w:tcW w:w="2410" w:type="dxa"/>
            <w:tcBorders>
              <w:top w:val="single" w:sz="4" w:space="0" w:color="ADD6EA"/>
              <w:left w:val="nil"/>
              <w:bottom w:val="single" w:sz="4" w:space="0" w:color="ADD6EA"/>
              <w:right w:val="nil"/>
            </w:tcBorders>
          </w:tcPr>
          <w:p w14:paraId="27F09E19" w14:textId="77777777" w:rsidR="00BD07F6" w:rsidRDefault="00BD07F6">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Primary Health Care Services in remote N</w:t>
            </w:r>
            <w:r>
              <w:rPr>
                <w:rFonts w:ascii="Open Sans Light" w:eastAsia="Times New Roman" w:hAnsi="Open Sans Light" w:cs="Open Sans Light"/>
                <w:color w:val="000000"/>
                <w:sz w:val="16"/>
                <w:szCs w:val="16"/>
                <w:lang w:eastAsia="en-AU"/>
              </w:rPr>
              <w:t>orthern Territory</w:t>
            </w:r>
          </w:p>
        </w:tc>
        <w:tc>
          <w:tcPr>
            <w:tcW w:w="4394" w:type="dxa"/>
            <w:tcBorders>
              <w:top w:val="single" w:sz="4" w:space="0" w:color="ADD6EA"/>
              <w:left w:val="nil"/>
              <w:bottom w:val="single" w:sz="4" w:space="0" w:color="ADD6EA"/>
              <w:right w:val="nil"/>
            </w:tcBorders>
          </w:tcPr>
          <w:p w14:paraId="54EDF481"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8704F5">
              <w:rPr>
                <w:rFonts w:ascii="Open Sans Light" w:eastAsia="Times New Roman" w:hAnsi="Open Sans Light" w:cs="Open Sans Light"/>
                <w:color w:val="000000"/>
                <w:sz w:val="16"/>
                <w:szCs w:val="16"/>
                <w:lang w:eastAsia="en-AU"/>
              </w:rPr>
              <w:t>unding for the delivery of culturally appropriate, comprehensive primary health care for First Nations people in regional and remote Northern Territory communities where there is no Aboriginal Community Controlled Health Organisation.</w:t>
            </w:r>
          </w:p>
        </w:tc>
        <w:tc>
          <w:tcPr>
            <w:tcW w:w="1134" w:type="dxa"/>
            <w:tcBorders>
              <w:top w:val="single" w:sz="4" w:space="0" w:color="ADD6EA"/>
              <w:left w:val="nil"/>
              <w:bottom w:val="single" w:sz="4" w:space="0" w:color="ADD6EA"/>
              <w:right w:val="nil"/>
            </w:tcBorders>
            <w:noWrap/>
            <w:tcMar>
              <w:right w:w="85" w:type="dxa"/>
            </w:tcMar>
          </w:tcPr>
          <w:p w14:paraId="47C9E762" w14:textId="77777777" w:rsidR="00BD07F6" w:rsidRPr="00CB1CE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46.3</w:t>
            </w:r>
          </w:p>
        </w:tc>
        <w:tc>
          <w:tcPr>
            <w:tcW w:w="1276" w:type="dxa"/>
            <w:tcBorders>
              <w:top w:val="single" w:sz="4" w:space="0" w:color="ADD6EA"/>
              <w:left w:val="nil"/>
              <w:bottom w:val="single" w:sz="4" w:space="0" w:color="ADD6EA"/>
              <w:right w:val="nil"/>
            </w:tcBorders>
            <w:noWrap/>
          </w:tcPr>
          <w:p w14:paraId="27BE715F" w14:textId="63E7E6F1" w:rsidR="00BD07F6" w:rsidRPr="00F34659" w:rsidRDefault="00613D11">
            <w:pPr>
              <w:spacing w:line="240" w:lineRule="auto"/>
              <w:rPr>
                <w:rFonts w:ascii="Open Sans Light" w:eastAsia="Times New Roman" w:hAnsi="Open Sans Light" w:cs="Open Sans Light"/>
                <w:color w:val="000000"/>
                <w:sz w:val="16"/>
                <w:szCs w:val="16"/>
                <w:lang w:eastAsia="en-AU"/>
              </w:rPr>
            </w:pPr>
            <w:r w:rsidRPr="001862FB">
              <w:rPr>
                <w:rFonts w:ascii="Open Sans Light" w:hAnsi="Open Sans Light" w:cs="Open Sans Light"/>
                <w:color w:val="000000"/>
                <w:sz w:val="16"/>
                <w:szCs w:val="16"/>
              </w:rPr>
              <w:t xml:space="preserve">No </w:t>
            </w:r>
            <w:r w:rsidR="00BD07F6" w:rsidRPr="001862FB">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50100A06" w14:textId="2E073160" w:rsidR="00BD07F6" w:rsidRPr="00F34659" w:rsidRDefault="00450D77">
            <w:pPr>
              <w:spacing w:line="240" w:lineRule="auto"/>
              <w:rPr>
                <w:rFonts w:ascii="Open Sans Light" w:eastAsia="Times New Roman" w:hAnsi="Open Sans Light" w:cs="Open Sans Light"/>
                <w:color w:val="000000"/>
                <w:sz w:val="16"/>
                <w:szCs w:val="16"/>
                <w:lang w:eastAsia="en-AU"/>
              </w:rPr>
            </w:pPr>
            <w:r w:rsidRPr="001862FB">
              <w:rPr>
                <w:rFonts w:ascii="Open Sans Light" w:hAnsi="Open Sans Light" w:cs="Open Sans Light"/>
                <w:color w:val="000000"/>
                <w:sz w:val="16"/>
                <w:szCs w:val="16"/>
              </w:rPr>
              <w:t xml:space="preserve">The payment predominantly funds </w:t>
            </w:r>
            <w:r w:rsidR="009E62A3" w:rsidRPr="001862FB">
              <w:rPr>
                <w:rFonts w:ascii="Open Sans Light" w:hAnsi="Open Sans Light" w:cs="Open Sans Light"/>
                <w:color w:val="000000"/>
                <w:sz w:val="16"/>
                <w:szCs w:val="16"/>
              </w:rPr>
              <w:t>the</w:t>
            </w:r>
            <w:r w:rsidR="0031465D" w:rsidRPr="001862FB">
              <w:rPr>
                <w:rFonts w:ascii="Open Sans Light" w:hAnsi="Open Sans Light" w:cs="Open Sans Light"/>
                <w:color w:val="000000"/>
                <w:sz w:val="16"/>
                <w:szCs w:val="16"/>
              </w:rPr>
              <w:t xml:space="preserve"> state </w:t>
            </w:r>
            <w:r w:rsidR="007E1224" w:rsidRPr="001862FB">
              <w:rPr>
                <w:rFonts w:ascii="Open Sans Light" w:hAnsi="Open Sans Light" w:cs="Open Sans Light"/>
                <w:color w:val="000000"/>
                <w:sz w:val="16"/>
                <w:szCs w:val="16"/>
              </w:rPr>
              <w:t xml:space="preserve">government </w:t>
            </w:r>
            <w:r w:rsidR="00E33D56" w:rsidRPr="001862FB">
              <w:rPr>
                <w:rFonts w:ascii="Open Sans Light" w:hAnsi="Open Sans Light" w:cs="Open Sans Light"/>
                <w:color w:val="000000"/>
                <w:sz w:val="16"/>
                <w:szCs w:val="16"/>
              </w:rPr>
              <w:t>to</w:t>
            </w:r>
            <w:r w:rsidR="00B94989" w:rsidRPr="001862FB">
              <w:rPr>
                <w:rFonts w:ascii="Open Sans Light" w:hAnsi="Open Sans Light" w:cs="Open Sans Light"/>
                <w:color w:val="000000"/>
                <w:sz w:val="16"/>
                <w:szCs w:val="16"/>
              </w:rPr>
              <w:t xml:space="preserve"> provide services that are </w:t>
            </w:r>
            <w:r w:rsidR="00E33D56" w:rsidRPr="001862FB">
              <w:rPr>
                <w:rFonts w:ascii="Open Sans Light" w:hAnsi="Open Sans Light" w:cs="Open Sans Light"/>
                <w:color w:val="000000"/>
                <w:sz w:val="16"/>
                <w:szCs w:val="16"/>
              </w:rPr>
              <w:t>usually the responsibility of the Commonwealth and non-government providers</w:t>
            </w:r>
            <w:r w:rsidR="00726212" w:rsidRPr="001862FB">
              <w:rPr>
                <w:rFonts w:ascii="Open Sans Light" w:hAnsi="Open Sans Light" w:cs="Open Sans Light"/>
                <w:color w:val="000000"/>
                <w:sz w:val="16"/>
                <w:szCs w:val="16"/>
              </w:rPr>
              <w:t>.</w:t>
            </w:r>
          </w:p>
        </w:tc>
      </w:tr>
      <w:tr w:rsidR="00BD07F6" w:rsidRPr="00EB0105" w14:paraId="65EC0213" w14:textId="77777777">
        <w:trPr>
          <w:trHeight w:val="536"/>
        </w:trPr>
        <w:tc>
          <w:tcPr>
            <w:tcW w:w="2410" w:type="dxa"/>
            <w:tcBorders>
              <w:top w:val="single" w:sz="4" w:space="0" w:color="ADD6EA"/>
              <w:left w:val="nil"/>
              <w:bottom w:val="single" w:sz="4" w:space="0" w:color="ADD6EA"/>
              <w:right w:val="nil"/>
            </w:tcBorders>
          </w:tcPr>
          <w:p w14:paraId="25C7F17F" w14:textId="77777777" w:rsidR="00BD07F6" w:rsidRDefault="00BD07F6">
            <w:pPr>
              <w:spacing w:line="240" w:lineRule="auto"/>
              <w:rPr>
                <w:rFonts w:ascii="Open Sans Light" w:hAnsi="Open Sans Light" w:cs="Open Sans Light"/>
                <w:sz w:val="16"/>
                <w:szCs w:val="16"/>
              </w:rPr>
            </w:pPr>
            <w:r w:rsidRPr="00E8235B">
              <w:rPr>
                <w:rFonts w:ascii="Open Sans Light" w:hAnsi="Open Sans Light" w:cs="Open Sans Light"/>
                <w:sz w:val="16"/>
                <w:szCs w:val="16"/>
              </w:rPr>
              <w:t>Yass Maternity Care Centre</w:t>
            </w:r>
          </w:p>
        </w:tc>
        <w:tc>
          <w:tcPr>
            <w:tcW w:w="4394" w:type="dxa"/>
            <w:tcBorders>
              <w:top w:val="single" w:sz="4" w:space="0" w:color="ADD6EA"/>
              <w:left w:val="nil"/>
              <w:bottom w:val="single" w:sz="4" w:space="0" w:color="ADD6EA"/>
              <w:right w:val="nil"/>
            </w:tcBorders>
          </w:tcPr>
          <w:p w14:paraId="028857D4" w14:textId="77777777" w:rsidR="00BD07F6" w:rsidRPr="00EB0105" w:rsidRDefault="00BD07F6">
            <w:pPr>
              <w:spacing w:line="240" w:lineRule="auto"/>
              <w:rPr>
                <w:rFonts w:ascii="Open Sans Light" w:hAnsi="Open Sans Light" w:cs="Open Sans Light"/>
                <w:sz w:val="16"/>
                <w:szCs w:val="16"/>
              </w:rPr>
            </w:pPr>
            <w:r>
              <w:rPr>
                <w:rFonts w:ascii="Open Sans Light" w:hAnsi="Open Sans Light" w:cs="Open Sans Light"/>
                <w:sz w:val="16"/>
                <w:szCs w:val="16"/>
              </w:rPr>
              <w:t>Funding for d</w:t>
            </w:r>
            <w:r w:rsidRPr="007F191D">
              <w:rPr>
                <w:rFonts w:ascii="Open Sans Light" w:hAnsi="Open Sans Light" w:cs="Open Sans Light"/>
                <w:sz w:val="16"/>
                <w:szCs w:val="16"/>
              </w:rPr>
              <w:t>eveloping a women</w:t>
            </w:r>
            <w:r>
              <w:rPr>
                <w:rFonts w:ascii="Open Sans Light" w:hAnsi="Open Sans Light" w:cs="Open Sans Light"/>
                <w:sz w:val="16"/>
                <w:szCs w:val="16"/>
              </w:rPr>
              <w:t>’</w:t>
            </w:r>
            <w:r w:rsidRPr="007F191D">
              <w:rPr>
                <w:rFonts w:ascii="Open Sans Light" w:hAnsi="Open Sans Light" w:cs="Open Sans Light"/>
                <w:sz w:val="16"/>
                <w:szCs w:val="16"/>
              </w:rPr>
              <w:t>s and family maternity care centre at Yass</w:t>
            </w:r>
            <w:r>
              <w:rPr>
                <w:rFonts w:ascii="Open Sans Light" w:hAnsi="Open Sans Light" w:cs="Open Sans Light"/>
                <w:sz w:val="16"/>
                <w:szCs w:val="16"/>
              </w:rPr>
              <w:t>.</w:t>
            </w:r>
          </w:p>
        </w:tc>
        <w:tc>
          <w:tcPr>
            <w:tcW w:w="1134" w:type="dxa"/>
            <w:tcBorders>
              <w:top w:val="single" w:sz="4" w:space="0" w:color="ADD6EA"/>
              <w:left w:val="nil"/>
              <w:bottom w:val="single" w:sz="4" w:space="0" w:color="ADD6EA"/>
              <w:right w:val="nil"/>
            </w:tcBorders>
            <w:noWrap/>
            <w:tcMar>
              <w:right w:w="85" w:type="dxa"/>
            </w:tcMar>
          </w:tcPr>
          <w:p w14:paraId="439E0674" w14:textId="77777777" w:rsidR="00BD07F6" w:rsidRPr="00CB1CE7" w:rsidRDefault="00BD07F6">
            <w:pPr>
              <w:spacing w:line="240" w:lineRule="auto"/>
              <w:ind w:right="227"/>
              <w:jc w:val="right"/>
              <w:rPr>
                <w:rFonts w:ascii="Open Sans Light" w:hAnsi="Open Sans Light" w:cs="Open Sans Light"/>
                <w:sz w:val="16"/>
                <w:szCs w:val="16"/>
              </w:rPr>
            </w:pPr>
            <w:r w:rsidRPr="00E23345">
              <w:rPr>
                <w:rFonts w:ascii="Open Sans Light" w:hAnsi="Open Sans Light" w:cs="Open Sans Light"/>
                <w:sz w:val="16"/>
                <w:szCs w:val="16"/>
              </w:rPr>
              <w:t>2.9</w:t>
            </w:r>
          </w:p>
        </w:tc>
        <w:tc>
          <w:tcPr>
            <w:tcW w:w="1276" w:type="dxa"/>
            <w:tcBorders>
              <w:top w:val="single" w:sz="4" w:space="0" w:color="ADD6EA"/>
              <w:left w:val="nil"/>
              <w:bottom w:val="single" w:sz="4" w:space="0" w:color="ADD6EA"/>
              <w:right w:val="nil"/>
            </w:tcBorders>
            <w:noWrap/>
          </w:tcPr>
          <w:p w14:paraId="206A70F4" w14:textId="77777777" w:rsidR="00BD07F6" w:rsidRPr="00CB1CE7" w:rsidRDefault="00BD07F6">
            <w:pPr>
              <w:spacing w:line="240" w:lineRule="auto"/>
              <w:rPr>
                <w:rFonts w:ascii="Open Sans Light" w:hAnsi="Open Sans Light" w:cs="Open Sans Light"/>
                <w:sz w:val="16"/>
                <w:szCs w:val="16"/>
              </w:rPr>
            </w:pPr>
            <w:r w:rsidRPr="00CB1CE7">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2E7BFED5" w14:textId="77777777" w:rsidR="00BD07F6" w:rsidRPr="00CB1CE7" w:rsidRDefault="00BD07F6">
            <w:pPr>
              <w:spacing w:line="240" w:lineRule="auto"/>
              <w:rPr>
                <w:rFonts w:ascii="Open Sans Light" w:hAnsi="Open Sans Light" w:cs="Open Sans Light"/>
                <w:sz w:val="16"/>
                <w:szCs w:val="16"/>
              </w:rPr>
            </w:pPr>
            <w:r w:rsidRPr="00CB1CE7">
              <w:rPr>
                <w:rFonts w:ascii="Open Sans Light" w:hAnsi="Open Sans Light" w:cs="Open Sans Light"/>
                <w:color w:val="000000"/>
                <w:sz w:val="16"/>
                <w:szCs w:val="16"/>
              </w:rPr>
              <w:t>Maternity health services are a state function, and needs are assessed.</w:t>
            </w:r>
          </w:p>
        </w:tc>
      </w:tr>
      <w:tr w:rsidR="00BD07F6" w:rsidRPr="00EB0105" w14:paraId="35320DDF" w14:textId="77777777">
        <w:trPr>
          <w:trHeight w:val="536"/>
        </w:trPr>
        <w:tc>
          <w:tcPr>
            <w:tcW w:w="2410" w:type="dxa"/>
            <w:tcBorders>
              <w:top w:val="single" w:sz="4" w:space="0" w:color="ADD6EA"/>
              <w:left w:val="nil"/>
              <w:bottom w:val="single" w:sz="4" w:space="0" w:color="ADD6EA"/>
              <w:right w:val="nil"/>
            </w:tcBorders>
          </w:tcPr>
          <w:p w14:paraId="2A1884CC" w14:textId="77777777" w:rsidR="00BD07F6" w:rsidRDefault="00BD07F6">
            <w:pPr>
              <w:spacing w:line="240" w:lineRule="auto"/>
              <w:rPr>
                <w:rFonts w:ascii="Open Sans Light" w:hAnsi="Open Sans Light" w:cs="Open Sans Light"/>
                <w:sz w:val="16"/>
                <w:szCs w:val="16"/>
              </w:rPr>
            </w:pPr>
            <w:r w:rsidRPr="00E8235B">
              <w:rPr>
                <w:rFonts w:ascii="Open Sans Light" w:hAnsi="Open Sans Light" w:cs="Open Sans Light"/>
                <w:sz w:val="16"/>
                <w:szCs w:val="16"/>
              </w:rPr>
              <w:t>Canoe Slalom World Championship 2025</w:t>
            </w:r>
          </w:p>
        </w:tc>
        <w:tc>
          <w:tcPr>
            <w:tcW w:w="4394" w:type="dxa"/>
            <w:tcBorders>
              <w:top w:val="single" w:sz="4" w:space="0" w:color="ADD6EA"/>
              <w:left w:val="nil"/>
              <w:bottom w:val="single" w:sz="4" w:space="0" w:color="ADD6EA"/>
              <w:right w:val="nil"/>
            </w:tcBorders>
          </w:tcPr>
          <w:p w14:paraId="09AB3D2F" w14:textId="1D772F06" w:rsidR="00BD07F6" w:rsidRPr="00EB0105" w:rsidRDefault="00BD07F6">
            <w:pPr>
              <w:spacing w:line="240" w:lineRule="auto"/>
              <w:rPr>
                <w:rFonts w:ascii="Open Sans Light" w:hAnsi="Open Sans Light" w:cs="Open Sans Light"/>
                <w:sz w:val="16"/>
                <w:szCs w:val="16"/>
              </w:rPr>
            </w:pPr>
            <w:r>
              <w:rPr>
                <w:rFonts w:ascii="Open Sans Light" w:hAnsi="Open Sans Light" w:cs="Open Sans Light"/>
                <w:sz w:val="16"/>
                <w:szCs w:val="16"/>
              </w:rPr>
              <w:t>C</w:t>
            </w:r>
            <w:r w:rsidRPr="009667F6">
              <w:rPr>
                <w:rFonts w:ascii="Open Sans Light" w:hAnsi="Open Sans Light" w:cs="Open Sans Light"/>
                <w:sz w:val="16"/>
                <w:szCs w:val="16"/>
              </w:rPr>
              <w:t>ontribut</w:t>
            </w:r>
            <w:r>
              <w:rPr>
                <w:rFonts w:ascii="Open Sans Light" w:hAnsi="Open Sans Light" w:cs="Open Sans Light"/>
                <w:sz w:val="16"/>
                <w:szCs w:val="16"/>
              </w:rPr>
              <w:t>ion</w:t>
            </w:r>
            <w:r w:rsidRPr="009667F6">
              <w:rPr>
                <w:rFonts w:ascii="Open Sans Light" w:hAnsi="Open Sans Light" w:cs="Open Sans Light"/>
                <w:sz w:val="16"/>
                <w:szCs w:val="16"/>
              </w:rPr>
              <w:t xml:space="preserve"> to a range of </w:t>
            </w:r>
            <w:r>
              <w:rPr>
                <w:rFonts w:ascii="Open Sans Light" w:hAnsi="Open Sans Light" w:cs="Open Sans Light"/>
                <w:sz w:val="16"/>
                <w:szCs w:val="16"/>
              </w:rPr>
              <w:t>e</w:t>
            </w:r>
            <w:r w:rsidRPr="009667F6">
              <w:rPr>
                <w:rFonts w:ascii="Open Sans Light" w:hAnsi="Open Sans Light" w:cs="Open Sans Light"/>
                <w:sz w:val="16"/>
                <w:szCs w:val="16"/>
              </w:rPr>
              <w:t xml:space="preserve">vent planning activities such as </w:t>
            </w:r>
            <w:r>
              <w:rPr>
                <w:rFonts w:ascii="Open Sans Light" w:hAnsi="Open Sans Light" w:cs="Open Sans Light"/>
                <w:sz w:val="16"/>
                <w:szCs w:val="16"/>
              </w:rPr>
              <w:t>m</w:t>
            </w:r>
            <w:r w:rsidRPr="009667F6">
              <w:rPr>
                <w:rFonts w:ascii="Open Sans Light" w:hAnsi="Open Sans Light" w:cs="Open Sans Light"/>
                <w:sz w:val="16"/>
                <w:szCs w:val="16"/>
              </w:rPr>
              <w:t xml:space="preserve">arketing and promotion, </w:t>
            </w:r>
            <w:r>
              <w:rPr>
                <w:rFonts w:ascii="Open Sans Light" w:hAnsi="Open Sans Light" w:cs="Open Sans Light"/>
                <w:sz w:val="16"/>
                <w:szCs w:val="16"/>
              </w:rPr>
              <w:t>b</w:t>
            </w:r>
            <w:r w:rsidRPr="009667F6">
              <w:rPr>
                <w:rFonts w:ascii="Open Sans Light" w:hAnsi="Open Sans Light" w:cs="Open Sans Light"/>
                <w:sz w:val="16"/>
                <w:szCs w:val="16"/>
              </w:rPr>
              <w:t xml:space="preserve">roadcast production, sports presentation, technology/performance systems, venue branding, </w:t>
            </w:r>
            <w:r w:rsidR="0095545B">
              <w:rPr>
                <w:rFonts w:ascii="Open Sans Light" w:hAnsi="Open Sans Light" w:cs="Open Sans Light"/>
                <w:sz w:val="16"/>
                <w:szCs w:val="16"/>
              </w:rPr>
              <w:t>I</w:t>
            </w:r>
            <w:r w:rsidRPr="009667F6">
              <w:rPr>
                <w:rFonts w:ascii="Open Sans Light" w:hAnsi="Open Sans Light" w:cs="Open Sans Light"/>
                <w:sz w:val="16"/>
                <w:szCs w:val="16"/>
              </w:rPr>
              <w:t>n</w:t>
            </w:r>
            <w:r>
              <w:rPr>
                <w:rFonts w:ascii="Open Sans Light" w:hAnsi="Open Sans Light" w:cs="Open Sans Light"/>
                <w:sz w:val="16"/>
                <w:szCs w:val="16"/>
              </w:rPr>
              <w:t>t</w:t>
            </w:r>
            <w:r w:rsidRPr="009667F6">
              <w:rPr>
                <w:rFonts w:ascii="Open Sans Light" w:hAnsi="Open Sans Light" w:cs="Open Sans Light"/>
                <w:sz w:val="16"/>
                <w:szCs w:val="16"/>
              </w:rPr>
              <w:t>ernational Canoe Federation development programme, test events, post event legacy impact and evaluation reports.</w:t>
            </w:r>
          </w:p>
        </w:tc>
        <w:tc>
          <w:tcPr>
            <w:tcW w:w="1134" w:type="dxa"/>
            <w:tcBorders>
              <w:top w:val="single" w:sz="4" w:space="0" w:color="ADD6EA"/>
              <w:left w:val="nil"/>
              <w:bottom w:val="single" w:sz="4" w:space="0" w:color="ADD6EA"/>
              <w:right w:val="nil"/>
            </w:tcBorders>
            <w:noWrap/>
            <w:tcMar>
              <w:right w:w="85" w:type="dxa"/>
            </w:tcMar>
          </w:tcPr>
          <w:p w14:paraId="0956FAF6" w14:textId="77777777" w:rsidR="00BD07F6" w:rsidRPr="00CB1CE7" w:rsidRDefault="00BD07F6">
            <w:pPr>
              <w:spacing w:line="240" w:lineRule="auto"/>
              <w:ind w:right="227"/>
              <w:jc w:val="right"/>
              <w:rPr>
                <w:rFonts w:ascii="Open Sans Light" w:hAnsi="Open Sans Light" w:cs="Open Sans Light"/>
                <w:sz w:val="16"/>
                <w:szCs w:val="16"/>
              </w:rPr>
            </w:pPr>
            <w:r w:rsidRPr="00E23345">
              <w:rPr>
                <w:rFonts w:ascii="Open Sans Light" w:hAnsi="Open Sans Light" w:cs="Open Sans Light"/>
                <w:sz w:val="16"/>
                <w:szCs w:val="16"/>
              </w:rPr>
              <w:t>0.8</w:t>
            </w:r>
          </w:p>
        </w:tc>
        <w:tc>
          <w:tcPr>
            <w:tcW w:w="1276" w:type="dxa"/>
            <w:tcBorders>
              <w:top w:val="single" w:sz="4" w:space="0" w:color="ADD6EA"/>
              <w:left w:val="nil"/>
              <w:bottom w:val="single" w:sz="4" w:space="0" w:color="ADD6EA"/>
              <w:right w:val="nil"/>
            </w:tcBorders>
            <w:noWrap/>
          </w:tcPr>
          <w:p w14:paraId="68E65C66" w14:textId="77777777" w:rsidR="00BD07F6" w:rsidRPr="00CB1CE7" w:rsidRDefault="00BD07F6">
            <w:pPr>
              <w:spacing w:line="240" w:lineRule="auto"/>
              <w:rPr>
                <w:rFonts w:ascii="Open Sans Light" w:hAnsi="Open Sans Light" w:cs="Open Sans Light"/>
                <w:sz w:val="16"/>
                <w:szCs w:val="16"/>
              </w:rPr>
            </w:pPr>
            <w:r w:rsidRPr="00CB1CE7">
              <w:rPr>
                <w:rFonts w:ascii="Open Sans Light" w:hAnsi="Open Sans Light" w:cs="Open Sans Light"/>
                <w:sz w:val="16"/>
                <w:szCs w:val="16"/>
              </w:rPr>
              <w:t>No Impact</w:t>
            </w:r>
          </w:p>
        </w:tc>
        <w:tc>
          <w:tcPr>
            <w:tcW w:w="4678" w:type="dxa"/>
            <w:tcBorders>
              <w:top w:val="single" w:sz="4" w:space="0" w:color="ADD6EA"/>
              <w:left w:val="nil"/>
              <w:bottom w:val="single" w:sz="4" w:space="0" w:color="ADD6EA"/>
              <w:right w:val="nil"/>
            </w:tcBorders>
            <w:noWrap/>
          </w:tcPr>
          <w:p w14:paraId="68739543" w14:textId="77777777" w:rsidR="00BD07F6" w:rsidRPr="00CB1CE7" w:rsidRDefault="00BD07F6">
            <w:pPr>
              <w:spacing w:line="240" w:lineRule="auto"/>
              <w:rPr>
                <w:rFonts w:ascii="Open Sans Light" w:hAnsi="Open Sans Light" w:cs="Open Sans Light"/>
                <w:sz w:val="16"/>
                <w:szCs w:val="16"/>
              </w:rPr>
            </w:pPr>
            <w:r w:rsidRPr="00CB1CE7">
              <w:rPr>
                <w:rFonts w:ascii="Open Sans Light" w:hAnsi="Open Sans Light" w:cs="Open Sans Light"/>
                <w:sz w:val="16"/>
                <w:szCs w:val="16"/>
              </w:rPr>
              <w:t>While recreational services are a state function, needs for international events are not assessed.</w:t>
            </w:r>
          </w:p>
        </w:tc>
      </w:tr>
      <w:tr w:rsidR="00BD07F6" w:rsidRPr="00EB0105" w14:paraId="2037FBA8" w14:textId="77777777">
        <w:trPr>
          <w:trHeight w:val="536"/>
        </w:trPr>
        <w:tc>
          <w:tcPr>
            <w:tcW w:w="2410" w:type="dxa"/>
            <w:tcBorders>
              <w:top w:val="single" w:sz="4" w:space="0" w:color="ADD6EA"/>
              <w:left w:val="nil"/>
              <w:bottom w:val="single" w:sz="4" w:space="0" w:color="ADD6EA"/>
              <w:right w:val="nil"/>
            </w:tcBorders>
          </w:tcPr>
          <w:p w14:paraId="5C4AF861" w14:textId="77777777" w:rsidR="00BD07F6" w:rsidRDefault="00BD07F6">
            <w:pPr>
              <w:spacing w:line="240" w:lineRule="auto"/>
              <w:rPr>
                <w:rFonts w:ascii="Open Sans Light" w:hAnsi="Open Sans Light" w:cs="Open Sans Light"/>
                <w:sz w:val="16"/>
                <w:szCs w:val="16"/>
              </w:rPr>
            </w:pPr>
            <w:r w:rsidRPr="00742819">
              <w:rPr>
                <w:rFonts w:ascii="Open Sans Light" w:hAnsi="Open Sans Light" w:cs="Open Sans Light"/>
                <w:sz w:val="16"/>
                <w:szCs w:val="16"/>
              </w:rPr>
              <w:t>Short-term workforce reforms - Kruk Review Implementation</w:t>
            </w:r>
          </w:p>
        </w:tc>
        <w:tc>
          <w:tcPr>
            <w:tcW w:w="4394" w:type="dxa"/>
            <w:tcBorders>
              <w:top w:val="single" w:sz="4" w:space="0" w:color="ADD6EA"/>
              <w:left w:val="nil"/>
              <w:bottom w:val="single" w:sz="4" w:space="0" w:color="ADD6EA"/>
              <w:right w:val="nil"/>
            </w:tcBorders>
          </w:tcPr>
          <w:p w14:paraId="43278F4F" w14:textId="77777777" w:rsidR="00BD07F6" w:rsidRPr="00EB0105" w:rsidRDefault="00BD07F6">
            <w:pPr>
              <w:tabs>
                <w:tab w:val="left" w:pos="1290"/>
              </w:tabs>
              <w:spacing w:line="240" w:lineRule="auto"/>
              <w:rPr>
                <w:rFonts w:ascii="Open Sans Light" w:hAnsi="Open Sans Light" w:cs="Open Sans Light"/>
                <w:sz w:val="16"/>
                <w:szCs w:val="16"/>
              </w:rPr>
            </w:pPr>
            <w:r w:rsidRPr="003148F5">
              <w:rPr>
                <w:rFonts w:ascii="Open Sans Light" w:hAnsi="Open Sans Light" w:cs="Open Sans Light"/>
                <w:sz w:val="16"/>
                <w:szCs w:val="16"/>
              </w:rPr>
              <w:t>Removing regulatory and transitionary barriers for overseas health professionals to work in Australia</w:t>
            </w:r>
            <w:r>
              <w:rPr>
                <w:rFonts w:ascii="Open Sans Light" w:hAnsi="Open Sans Light" w:cs="Open Sans Light"/>
                <w:sz w:val="16"/>
                <w:szCs w:val="16"/>
              </w:rPr>
              <w:t>.</w:t>
            </w:r>
          </w:p>
        </w:tc>
        <w:tc>
          <w:tcPr>
            <w:tcW w:w="1134" w:type="dxa"/>
            <w:tcBorders>
              <w:top w:val="single" w:sz="4" w:space="0" w:color="ADD6EA"/>
              <w:left w:val="nil"/>
              <w:bottom w:val="single" w:sz="4" w:space="0" w:color="ADD6EA"/>
              <w:right w:val="nil"/>
            </w:tcBorders>
            <w:noWrap/>
            <w:tcMar>
              <w:right w:w="85" w:type="dxa"/>
            </w:tcMar>
          </w:tcPr>
          <w:p w14:paraId="5FB19D05" w14:textId="77777777" w:rsidR="00BD07F6" w:rsidRPr="00F36488" w:rsidRDefault="00BD07F6">
            <w:pPr>
              <w:spacing w:line="240" w:lineRule="auto"/>
              <w:ind w:right="227"/>
              <w:jc w:val="right"/>
              <w:rPr>
                <w:rFonts w:ascii="Open Sans Light" w:hAnsi="Open Sans Light" w:cs="Open Sans Light"/>
                <w:sz w:val="16"/>
                <w:szCs w:val="16"/>
              </w:rPr>
            </w:pPr>
            <w:r w:rsidRPr="00E23345">
              <w:rPr>
                <w:rFonts w:ascii="Open Sans Light" w:hAnsi="Open Sans Light" w:cs="Open Sans Light"/>
                <w:sz w:val="16"/>
                <w:szCs w:val="16"/>
              </w:rPr>
              <w:t>1.3</w:t>
            </w:r>
          </w:p>
        </w:tc>
        <w:tc>
          <w:tcPr>
            <w:tcW w:w="1276" w:type="dxa"/>
            <w:tcBorders>
              <w:top w:val="single" w:sz="4" w:space="0" w:color="ADD6EA"/>
              <w:left w:val="nil"/>
              <w:bottom w:val="single" w:sz="4" w:space="0" w:color="ADD6EA"/>
              <w:right w:val="nil"/>
            </w:tcBorders>
            <w:noWrap/>
          </w:tcPr>
          <w:p w14:paraId="3BE1A20E" w14:textId="77777777" w:rsidR="00BD07F6" w:rsidRPr="00F36488" w:rsidRDefault="00BD07F6">
            <w:pPr>
              <w:spacing w:line="240" w:lineRule="auto"/>
              <w:rPr>
                <w:rFonts w:ascii="Open Sans Light" w:hAnsi="Open Sans Light" w:cs="Open Sans Light"/>
                <w:sz w:val="16"/>
                <w:szCs w:val="16"/>
              </w:rPr>
            </w:pPr>
            <w:r w:rsidRPr="00F36488">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5A12D9BD" w14:textId="77777777" w:rsidR="00BD07F6" w:rsidRPr="00DD58F8" w:rsidRDefault="00BD07F6">
            <w:pPr>
              <w:spacing w:line="240" w:lineRule="auto"/>
              <w:rPr>
                <w:rFonts w:ascii="Open Sans Light" w:hAnsi="Open Sans Light" w:cs="Open Sans Light"/>
                <w:sz w:val="16"/>
                <w:szCs w:val="16"/>
                <w:highlight w:val="yellow"/>
              </w:rPr>
            </w:pPr>
            <w:r>
              <w:rPr>
                <w:rFonts w:ascii="Open Sans Light" w:hAnsi="Open Sans Light" w:cs="Open Sans Light"/>
                <w:sz w:val="16"/>
                <w:szCs w:val="16"/>
              </w:rPr>
              <w:t>Regulation of</w:t>
            </w:r>
            <w:r w:rsidRPr="00F47D49">
              <w:rPr>
                <w:rFonts w:ascii="Open Sans Light" w:hAnsi="Open Sans Light" w:cs="Open Sans Light"/>
                <w:sz w:val="16"/>
                <w:szCs w:val="16"/>
              </w:rPr>
              <w:t xml:space="preserve"> international health professionals is a Commonwealth responsibility.</w:t>
            </w:r>
          </w:p>
        </w:tc>
      </w:tr>
      <w:tr w:rsidR="00BD07F6" w:rsidRPr="00C91117" w14:paraId="7FF4F6E6" w14:textId="77777777">
        <w:trPr>
          <w:trHeight w:val="284"/>
        </w:trPr>
        <w:tc>
          <w:tcPr>
            <w:tcW w:w="13892" w:type="dxa"/>
            <w:gridSpan w:val="5"/>
            <w:tcBorders>
              <w:top w:val="single" w:sz="4" w:space="0" w:color="ADD6EA"/>
              <w:left w:val="nil"/>
              <w:bottom w:val="single" w:sz="4" w:space="0" w:color="ADD6EA"/>
              <w:right w:val="nil"/>
            </w:tcBorders>
            <w:shd w:val="clear" w:color="auto" w:fill="B6D5E4"/>
            <w:tcMar>
              <w:right w:w="85" w:type="dxa"/>
            </w:tcMar>
          </w:tcPr>
          <w:p w14:paraId="1EBE2743" w14:textId="77777777" w:rsidR="00BD07F6" w:rsidRPr="00184475" w:rsidRDefault="00BD07F6">
            <w:pPr>
              <w:keepNext/>
              <w:spacing w:line="240" w:lineRule="auto"/>
              <w:ind w:right="227"/>
              <w:rPr>
                <w:rFonts w:ascii="Open Sans Semibold" w:eastAsia="Times New Roman" w:hAnsi="Open Sans Semibold" w:cs="Open Sans Semibold"/>
                <w:color w:val="000000"/>
                <w:sz w:val="16"/>
                <w:szCs w:val="20"/>
                <w:lang w:eastAsia="en-AU"/>
              </w:rPr>
            </w:pPr>
            <w:r>
              <w:rPr>
                <w:rFonts w:ascii="Open Sans Semibold" w:eastAsia="Times New Roman" w:hAnsi="Open Sans Semibold" w:cs="Open Sans Semibold"/>
                <w:color w:val="000000"/>
                <w:sz w:val="16"/>
                <w:szCs w:val="20"/>
                <w:lang w:eastAsia="en-AU"/>
              </w:rPr>
              <w:t>Education</w:t>
            </w:r>
          </w:p>
        </w:tc>
      </w:tr>
      <w:tr w:rsidR="00BD07F6" w:rsidRPr="00C91117" w14:paraId="1C47B0B6" w14:textId="77777777">
        <w:trPr>
          <w:trHeight w:val="510"/>
        </w:trPr>
        <w:tc>
          <w:tcPr>
            <w:tcW w:w="2410" w:type="dxa"/>
            <w:tcBorders>
              <w:top w:val="single" w:sz="4" w:space="0" w:color="ADD6EA"/>
              <w:left w:val="nil"/>
              <w:bottom w:val="single" w:sz="4" w:space="0" w:color="ADD6EA"/>
              <w:right w:val="nil"/>
            </w:tcBorders>
          </w:tcPr>
          <w:p w14:paraId="73B0D348"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sidRPr="00B53758">
              <w:rPr>
                <w:rFonts w:ascii="Open Sans Light" w:eastAsia="Times New Roman" w:hAnsi="Open Sans Light" w:cs="Open Sans Light"/>
                <w:color w:val="000000"/>
                <w:sz w:val="16"/>
                <w:szCs w:val="16"/>
                <w:lang w:eastAsia="en-AU"/>
              </w:rPr>
              <w:t>Operational Support for Manjali School</w:t>
            </w:r>
          </w:p>
        </w:tc>
        <w:tc>
          <w:tcPr>
            <w:tcW w:w="4394" w:type="dxa"/>
            <w:tcBorders>
              <w:top w:val="single" w:sz="4" w:space="0" w:color="ADD6EA"/>
              <w:left w:val="nil"/>
              <w:bottom w:val="single" w:sz="4" w:space="0" w:color="ADD6EA"/>
              <w:right w:val="nil"/>
            </w:tcBorders>
          </w:tcPr>
          <w:p w14:paraId="61A66990"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sz w:val="16"/>
                <w:szCs w:val="16"/>
              </w:rPr>
              <w:t>F</w:t>
            </w:r>
            <w:r w:rsidRPr="00FA02B3">
              <w:rPr>
                <w:rFonts w:ascii="Open Sans Light" w:hAnsi="Open Sans Light" w:cs="Open Sans Light"/>
                <w:sz w:val="16"/>
                <w:szCs w:val="16"/>
              </w:rPr>
              <w:t>unding to support the operation of the Manjali Studio School, a new secondary boarding school in the Kimberley region of Western Australia for First Nations students, which opened in 2025.</w:t>
            </w:r>
          </w:p>
        </w:tc>
        <w:tc>
          <w:tcPr>
            <w:tcW w:w="1134" w:type="dxa"/>
            <w:tcBorders>
              <w:top w:val="single" w:sz="4" w:space="0" w:color="ADD6EA"/>
              <w:left w:val="nil"/>
              <w:bottom w:val="single" w:sz="4" w:space="0" w:color="ADD6EA"/>
              <w:right w:val="nil"/>
            </w:tcBorders>
            <w:noWrap/>
            <w:tcMar>
              <w:right w:w="85" w:type="dxa"/>
            </w:tcMar>
          </w:tcPr>
          <w:p w14:paraId="482CB59E" w14:textId="77777777" w:rsidR="00BD07F6" w:rsidRPr="00786B03" w:rsidRDefault="00BD07F6">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2.7</w:t>
            </w:r>
          </w:p>
        </w:tc>
        <w:tc>
          <w:tcPr>
            <w:tcW w:w="1276" w:type="dxa"/>
            <w:tcBorders>
              <w:top w:val="single" w:sz="4" w:space="0" w:color="ADD6EA"/>
              <w:left w:val="nil"/>
              <w:bottom w:val="single" w:sz="4" w:space="0" w:color="ADD6EA"/>
              <w:right w:val="nil"/>
            </w:tcBorders>
            <w:noWrap/>
          </w:tcPr>
          <w:p w14:paraId="76405559" w14:textId="77777777" w:rsidR="00BD07F6" w:rsidRPr="00786B03"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1D172734" w14:textId="77777777" w:rsidR="00BD07F6" w:rsidRPr="00786B03" w:rsidRDefault="00BD07F6">
            <w:pPr>
              <w:spacing w:line="240" w:lineRule="auto"/>
              <w:rPr>
                <w:rFonts w:ascii="Open Sans Light" w:eastAsia="Times New Roman" w:hAnsi="Open Sans Light" w:cs="Open Sans Light"/>
                <w:color w:val="000000"/>
                <w:sz w:val="16"/>
                <w:szCs w:val="16"/>
                <w:lang w:eastAsia="en-AU"/>
              </w:rPr>
            </w:pPr>
            <w:r w:rsidRPr="00CD595A">
              <w:rPr>
                <w:rFonts w:ascii="Open Sans Light" w:eastAsia="Times New Roman" w:hAnsi="Open Sans Light" w:cs="Open Sans Light"/>
                <w:color w:val="000000"/>
                <w:sz w:val="16"/>
                <w:szCs w:val="16"/>
                <w:lang w:eastAsia="en-AU"/>
              </w:rPr>
              <w:t>Commonwealth funded support for non-government schools is not assessed.</w:t>
            </w:r>
          </w:p>
        </w:tc>
      </w:tr>
      <w:tr w:rsidR="00BD07F6" w:rsidRPr="00C91117" w14:paraId="42154695" w14:textId="77777777">
        <w:trPr>
          <w:trHeight w:val="510"/>
        </w:trPr>
        <w:tc>
          <w:tcPr>
            <w:tcW w:w="2410" w:type="dxa"/>
            <w:tcBorders>
              <w:top w:val="single" w:sz="4" w:space="0" w:color="ADD6EA"/>
              <w:left w:val="nil"/>
              <w:bottom w:val="single" w:sz="4" w:space="0" w:color="ADD6EA"/>
              <w:right w:val="nil"/>
            </w:tcBorders>
          </w:tcPr>
          <w:p w14:paraId="05530026" w14:textId="77777777" w:rsidR="00BD07F6" w:rsidRPr="00D94F84" w:rsidRDefault="00BD07F6">
            <w:pPr>
              <w:spacing w:line="240" w:lineRule="auto"/>
              <w:rPr>
                <w:rFonts w:ascii="Open Sans Light" w:eastAsia="Times New Roman" w:hAnsi="Open Sans Light" w:cs="Open Sans Light"/>
                <w:color w:val="000000"/>
                <w:sz w:val="16"/>
                <w:szCs w:val="16"/>
                <w:lang w:eastAsia="en-AU"/>
              </w:rPr>
            </w:pPr>
            <w:r w:rsidRPr="00D94F84">
              <w:rPr>
                <w:rFonts w:ascii="Open Sans Light" w:eastAsia="Times New Roman" w:hAnsi="Open Sans Light" w:cs="Open Sans Light"/>
                <w:color w:val="000000"/>
                <w:sz w:val="16"/>
                <w:szCs w:val="16"/>
                <w:lang w:eastAsia="en-AU"/>
              </w:rPr>
              <w:t>Better and Fairer Schools Funding</w:t>
            </w:r>
          </w:p>
        </w:tc>
        <w:tc>
          <w:tcPr>
            <w:tcW w:w="4394" w:type="dxa"/>
            <w:tcBorders>
              <w:top w:val="single" w:sz="4" w:space="0" w:color="ADD6EA"/>
              <w:left w:val="nil"/>
              <w:bottom w:val="single" w:sz="4" w:space="0" w:color="ADD6EA"/>
              <w:right w:val="nil"/>
            </w:tcBorders>
          </w:tcPr>
          <w:p w14:paraId="5C3976F6" w14:textId="4C6B06C9" w:rsidR="00BD07F6" w:rsidRPr="00D94F84" w:rsidRDefault="00BD07F6">
            <w:pPr>
              <w:spacing w:line="240" w:lineRule="auto"/>
              <w:rPr>
                <w:rFonts w:ascii="Open Sans Light" w:eastAsia="Times New Roman" w:hAnsi="Open Sans Light" w:cs="Open Sans Light"/>
                <w:color w:val="000000"/>
                <w:sz w:val="16"/>
                <w:szCs w:val="16"/>
                <w:lang w:eastAsia="en-AU"/>
              </w:rPr>
            </w:pPr>
            <w:r w:rsidRPr="00D94F84">
              <w:rPr>
                <w:rFonts w:ascii="Open Sans Light" w:hAnsi="Open Sans Light" w:cs="Open Sans Light"/>
                <w:sz w:val="16"/>
                <w:szCs w:val="16"/>
              </w:rPr>
              <w:t>Funding, in a joint agreement with states, to support state education services to improve educational outcomes of Australian students. The BFSF will go to government and non-government schools in all states including recurrent funding, capital funding, choice and affordability funding</w:t>
            </w:r>
            <w:r w:rsidR="00F21BC0">
              <w:rPr>
                <w:rFonts w:ascii="Open Sans Light" w:hAnsi="Open Sans Light" w:cs="Open Sans Light"/>
                <w:sz w:val="16"/>
                <w:szCs w:val="16"/>
              </w:rPr>
              <w:t>,</w:t>
            </w:r>
            <w:r w:rsidRPr="00D94F84">
              <w:rPr>
                <w:rFonts w:ascii="Open Sans Light" w:hAnsi="Open Sans Light" w:cs="Open Sans Light"/>
                <w:sz w:val="16"/>
                <w:szCs w:val="16"/>
              </w:rPr>
              <w:t xml:space="preserve"> and other prescribed purpose funding.</w:t>
            </w:r>
          </w:p>
        </w:tc>
        <w:tc>
          <w:tcPr>
            <w:tcW w:w="1134" w:type="dxa"/>
            <w:tcBorders>
              <w:top w:val="single" w:sz="4" w:space="0" w:color="ADD6EA"/>
              <w:left w:val="nil"/>
              <w:bottom w:val="single" w:sz="4" w:space="0" w:color="ADD6EA"/>
              <w:right w:val="nil"/>
            </w:tcBorders>
            <w:noWrap/>
            <w:tcMar>
              <w:right w:w="85" w:type="dxa"/>
            </w:tcMar>
          </w:tcPr>
          <w:p w14:paraId="2395AE4F" w14:textId="77777777" w:rsidR="00BD07F6" w:rsidRPr="00D94F84"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31,026.7</w:t>
            </w:r>
          </w:p>
        </w:tc>
        <w:tc>
          <w:tcPr>
            <w:tcW w:w="1276" w:type="dxa"/>
            <w:tcBorders>
              <w:top w:val="single" w:sz="4" w:space="0" w:color="ADD6EA"/>
              <w:left w:val="nil"/>
              <w:bottom w:val="single" w:sz="4" w:space="0" w:color="ADD6EA"/>
              <w:right w:val="nil"/>
            </w:tcBorders>
            <w:noWrap/>
          </w:tcPr>
          <w:p w14:paraId="404CD89A" w14:textId="77777777" w:rsidR="00BD07F6" w:rsidRPr="00D94F84" w:rsidRDefault="00BD07F6">
            <w:pPr>
              <w:spacing w:line="240" w:lineRule="auto"/>
              <w:rPr>
                <w:rFonts w:ascii="Open Sans Light" w:eastAsia="Times New Roman" w:hAnsi="Open Sans Light" w:cs="Open Sans Light"/>
                <w:color w:val="000000"/>
                <w:sz w:val="16"/>
                <w:szCs w:val="16"/>
                <w:lang w:eastAsia="en-AU"/>
              </w:rPr>
            </w:pPr>
            <w:r w:rsidRPr="00D94F84">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5F1E65DC" w14:textId="1F19A32C" w:rsidR="00BD07F6" w:rsidRDefault="00BD07F6">
            <w:pPr>
              <w:spacing w:line="240" w:lineRule="auto"/>
              <w:rPr>
                <w:rFonts w:ascii="Open Sans Light" w:eastAsia="Times New Roman" w:hAnsi="Open Sans Light" w:cs="Open Sans Light"/>
                <w:color w:val="000000"/>
                <w:sz w:val="16"/>
                <w:szCs w:val="16"/>
                <w:lang w:eastAsia="en-AU"/>
              </w:rPr>
            </w:pPr>
            <w:r w:rsidRPr="00D6572D">
              <w:rPr>
                <w:rFonts w:ascii="Open Sans Light" w:eastAsia="Times New Roman" w:hAnsi="Open Sans Light" w:cs="Open Sans Light"/>
                <w:color w:val="000000"/>
                <w:sz w:val="16"/>
                <w:szCs w:val="16"/>
                <w:lang w:eastAsia="en-AU"/>
              </w:rPr>
              <w:t xml:space="preserve">See paragraphs </w:t>
            </w:r>
            <w:r w:rsidR="00D6572D" w:rsidRPr="00D6572D">
              <w:rPr>
                <w:rFonts w:ascii="Open Sans Light" w:eastAsia="Times New Roman" w:hAnsi="Open Sans Light" w:cs="Open Sans Light"/>
                <w:color w:val="000000"/>
                <w:sz w:val="16"/>
                <w:szCs w:val="16"/>
                <w:lang w:eastAsia="en-AU"/>
              </w:rPr>
              <w:t>47</w:t>
            </w:r>
            <w:r w:rsidRPr="00D6572D">
              <w:rPr>
                <w:rFonts w:ascii="Open Sans Light" w:eastAsia="Times New Roman" w:hAnsi="Open Sans Light" w:cs="Open Sans Light"/>
                <w:color w:val="000000"/>
                <w:sz w:val="16"/>
                <w:szCs w:val="16"/>
                <w:lang w:eastAsia="en-AU"/>
              </w:rPr>
              <w:t xml:space="preserve"> to </w:t>
            </w:r>
            <w:r w:rsidR="00D6572D" w:rsidRPr="00D6572D">
              <w:rPr>
                <w:rFonts w:ascii="Open Sans Light" w:eastAsia="Times New Roman" w:hAnsi="Open Sans Light" w:cs="Open Sans Light"/>
                <w:color w:val="000000"/>
                <w:sz w:val="16"/>
                <w:szCs w:val="16"/>
                <w:lang w:eastAsia="en-AU"/>
              </w:rPr>
              <w:t>58</w:t>
            </w:r>
            <w:r w:rsidRPr="00D6572D">
              <w:rPr>
                <w:rFonts w:ascii="Open Sans Light" w:eastAsia="Times New Roman" w:hAnsi="Open Sans Light" w:cs="Open Sans Light"/>
                <w:color w:val="000000"/>
                <w:sz w:val="16"/>
                <w:szCs w:val="16"/>
                <w:lang w:eastAsia="en-AU"/>
              </w:rPr>
              <w:t xml:space="preserve"> in the main document.</w:t>
            </w:r>
          </w:p>
          <w:p w14:paraId="2C368190" w14:textId="77777777" w:rsidR="00BD07F6" w:rsidRPr="00D94F84"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Includes $19,325.4 million for non-government schools which will be treated out of scope.</w:t>
            </w:r>
          </w:p>
        </w:tc>
      </w:tr>
      <w:tr w:rsidR="00BD07F6" w:rsidRPr="00C91117" w14:paraId="7F5A1E29" w14:textId="77777777">
        <w:trPr>
          <w:trHeight w:val="283"/>
        </w:trPr>
        <w:tc>
          <w:tcPr>
            <w:tcW w:w="13892" w:type="dxa"/>
            <w:gridSpan w:val="5"/>
            <w:tcBorders>
              <w:top w:val="single" w:sz="4" w:space="0" w:color="ADD6EA"/>
              <w:left w:val="nil"/>
              <w:bottom w:val="single" w:sz="4" w:space="0" w:color="ADD6EA"/>
              <w:right w:val="nil"/>
            </w:tcBorders>
            <w:shd w:val="clear" w:color="auto" w:fill="B6D5E4"/>
          </w:tcPr>
          <w:p w14:paraId="454190BB" w14:textId="77777777" w:rsidR="00BD07F6" w:rsidRPr="00C91117" w:rsidRDefault="00BD07F6">
            <w:pPr>
              <w:spacing w:line="240" w:lineRule="auto"/>
              <w:rPr>
                <w:rFonts w:eastAsia="Times New Roman" w:cs="Open Sans Light"/>
                <w:color w:val="000000"/>
                <w:sz w:val="16"/>
                <w:szCs w:val="20"/>
                <w:lang w:eastAsia="en-AU"/>
              </w:rPr>
            </w:pPr>
            <w:r>
              <w:rPr>
                <w:rFonts w:ascii="Open Sans Semibold" w:eastAsia="Times New Roman" w:hAnsi="Open Sans Semibold" w:cs="Open Sans Semibold"/>
                <w:color w:val="000000"/>
                <w:sz w:val="16"/>
                <w:szCs w:val="20"/>
                <w:lang w:eastAsia="en-AU"/>
              </w:rPr>
              <w:t>Skills and Workforce Development</w:t>
            </w:r>
          </w:p>
        </w:tc>
      </w:tr>
      <w:tr w:rsidR="00BD07F6" w:rsidRPr="00C91117" w14:paraId="06E505A8" w14:textId="77777777">
        <w:trPr>
          <w:trHeight w:val="510"/>
        </w:trPr>
        <w:tc>
          <w:tcPr>
            <w:tcW w:w="2410" w:type="dxa"/>
            <w:tcBorders>
              <w:top w:val="single" w:sz="4" w:space="0" w:color="ADD6EA"/>
              <w:left w:val="nil"/>
              <w:bottom w:val="single" w:sz="4" w:space="0" w:color="ADD6EA"/>
              <w:right w:val="nil"/>
            </w:tcBorders>
          </w:tcPr>
          <w:p w14:paraId="3F440EFE" w14:textId="77777777" w:rsidR="00BD07F6" w:rsidRPr="00F0064B" w:rsidRDefault="00BD07F6">
            <w:pPr>
              <w:spacing w:line="240" w:lineRule="auto"/>
              <w:rPr>
                <w:rFonts w:ascii="Open Sans Light" w:eastAsia="Times New Roman" w:hAnsi="Open Sans Light" w:cs="Open Sans Light"/>
                <w:color w:val="000000"/>
                <w:sz w:val="16"/>
                <w:szCs w:val="16"/>
                <w:lang w:eastAsia="en-AU"/>
              </w:rPr>
            </w:pPr>
            <w:r w:rsidRPr="00D340F3">
              <w:rPr>
                <w:rFonts w:ascii="Open Sans Light" w:eastAsia="Times New Roman" w:hAnsi="Open Sans Light" w:cs="Open Sans Light"/>
                <w:color w:val="000000"/>
                <w:sz w:val="16"/>
                <w:szCs w:val="16"/>
                <w:lang w:eastAsia="en-AU"/>
              </w:rPr>
              <w:t>Degree Apprenticeship Pilot Program</w:t>
            </w:r>
          </w:p>
        </w:tc>
        <w:tc>
          <w:tcPr>
            <w:tcW w:w="4394" w:type="dxa"/>
            <w:tcBorders>
              <w:top w:val="single" w:sz="4" w:space="0" w:color="ADD6EA"/>
              <w:left w:val="nil"/>
              <w:bottom w:val="single" w:sz="4" w:space="0" w:color="ADD6EA"/>
              <w:right w:val="nil"/>
            </w:tcBorders>
          </w:tcPr>
          <w:p w14:paraId="3100091B" w14:textId="77777777" w:rsidR="00BD07F6" w:rsidRPr="004C0A99" w:rsidRDefault="00BD07F6">
            <w:pPr>
              <w:spacing w:line="240" w:lineRule="auto"/>
              <w:rPr>
                <w:rFonts w:ascii="Open Sans Light" w:eastAsia="Times New Roman" w:hAnsi="Open Sans Light" w:cs="Open Sans Light"/>
                <w:color w:val="000000"/>
                <w:sz w:val="16"/>
                <w:szCs w:val="16"/>
                <w:lang w:eastAsia="en-AU"/>
              </w:rPr>
            </w:pPr>
            <w:r w:rsidRPr="004C0A99">
              <w:rPr>
                <w:rFonts w:ascii="Open Sans Light" w:hAnsi="Open Sans Light" w:cs="Open Sans Light"/>
                <w:color w:val="000000"/>
                <w:sz w:val="16"/>
                <w:szCs w:val="16"/>
              </w:rPr>
              <w:t xml:space="preserve">Support for the delivery of the Degree Apprenticeships Pilot program. </w:t>
            </w:r>
          </w:p>
        </w:tc>
        <w:tc>
          <w:tcPr>
            <w:tcW w:w="1134" w:type="dxa"/>
            <w:tcBorders>
              <w:top w:val="single" w:sz="4" w:space="0" w:color="ADD6EA"/>
              <w:left w:val="nil"/>
              <w:bottom w:val="single" w:sz="4" w:space="0" w:color="ADD6EA"/>
              <w:right w:val="nil"/>
            </w:tcBorders>
            <w:noWrap/>
            <w:tcMar>
              <w:right w:w="85" w:type="dxa"/>
            </w:tcMar>
          </w:tcPr>
          <w:p w14:paraId="696A1AB0" w14:textId="77777777" w:rsidR="00BD07F6" w:rsidRPr="00CB1CE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tcPr>
          <w:p w14:paraId="268EAF86"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4AF07C80" w14:textId="18B73A13"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Post</w:t>
            </w:r>
            <w:r>
              <w:rPr>
                <w:rFonts w:ascii="Open Sans Light" w:hAnsi="Open Sans Light" w:cs="Open Sans Light"/>
                <w:color w:val="000000"/>
                <w:sz w:val="16"/>
                <w:szCs w:val="16"/>
              </w:rPr>
              <w:noBreakHyphen/>
            </w:r>
            <w:r w:rsidRPr="00CB1CE7">
              <w:rPr>
                <w:rFonts w:ascii="Open Sans Light" w:hAnsi="Open Sans Light" w:cs="Open Sans Light"/>
                <w:color w:val="000000"/>
                <w:sz w:val="16"/>
                <w:szCs w:val="16"/>
              </w:rPr>
              <w:t xml:space="preserve">secondary education is a state </w:t>
            </w:r>
            <w:r w:rsidR="00DC6009" w:rsidRPr="00CB1CE7">
              <w:rPr>
                <w:rFonts w:ascii="Open Sans Light" w:hAnsi="Open Sans Light" w:cs="Open Sans Light"/>
                <w:color w:val="000000"/>
                <w:sz w:val="16"/>
                <w:szCs w:val="16"/>
              </w:rPr>
              <w:t>function,</w:t>
            </w:r>
            <w:r w:rsidRPr="00CB1CE7">
              <w:rPr>
                <w:rFonts w:ascii="Open Sans Light" w:hAnsi="Open Sans Light" w:cs="Open Sans Light"/>
                <w:color w:val="000000"/>
                <w:sz w:val="16"/>
                <w:szCs w:val="16"/>
              </w:rPr>
              <w:t xml:space="preserve"> and needs are assessed.</w:t>
            </w:r>
          </w:p>
        </w:tc>
      </w:tr>
      <w:tr w:rsidR="00BD07F6" w:rsidRPr="00C91117" w14:paraId="22089678" w14:textId="77777777">
        <w:trPr>
          <w:trHeight w:val="510"/>
        </w:trPr>
        <w:tc>
          <w:tcPr>
            <w:tcW w:w="2410" w:type="dxa"/>
            <w:tcBorders>
              <w:top w:val="single" w:sz="4" w:space="0" w:color="ADD6EA"/>
              <w:left w:val="nil"/>
              <w:bottom w:val="single" w:sz="4" w:space="0" w:color="ADD6EA"/>
              <w:right w:val="nil"/>
            </w:tcBorders>
          </w:tcPr>
          <w:p w14:paraId="1B16B8A1" w14:textId="77777777" w:rsidR="00BD07F6" w:rsidRPr="00F0064B" w:rsidRDefault="00BD07F6">
            <w:pPr>
              <w:spacing w:line="240" w:lineRule="auto"/>
              <w:rPr>
                <w:rFonts w:ascii="Open Sans Light" w:eastAsia="Times New Roman" w:hAnsi="Open Sans Light" w:cs="Open Sans Light"/>
                <w:color w:val="000000"/>
                <w:sz w:val="16"/>
                <w:szCs w:val="16"/>
                <w:lang w:eastAsia="en-AU"/>
              </w:rPr>
            </w:pPr>
            <w:r w:rsidRPr="00D340F3">
              <w:rPr>
                <w:rFonts w:ascii="Open Sans Light" w:eastAsia="Times New Roman" w:hAnsi="Open Sans Light" w:cs="Open Sans Light"/>
                <w:color w:val="000000"/>
                <w:sz w:val="16"/>
                <w:szCs w:val="16"/>
                <w:lang w:eastAsia="en-AU"/>
              </w:rPr>
              <w:lastRenderedPageBreak/>
              <w:t>Turbocharging TAFE Centres of Excellence</w:t>
            </w:r>
          </w:p>
        </w:tc>
        <w:tc>
          <w:tcPr>
            <w:tcW w:w="4394" w:type="dxa"/>
            <w:tcBorders>
              <w:top w:val="single" w:sz="4" w:space="0" w:color="ADD6EA"/>
              <w:left w:val="nil"/>
              <w:bottom w:val="single" w:sz="4" w:space="0" w:color="ADD6EA"/>
              <w:right w:val="nil"/>
            </w:tcBorders>
          </w:tcPr>
          <w:p w14:paraId="51B5AD9D" w14:textId="77777777" w:rsidR="00BD07F6" w:rsidRPr="004C0A99" w:rsidRDefault="00BD07F6">
            <w:pPr>
              <w:spacing w:line="240" w:lineRule="auto"/>
              <w:rPr>
                <w:rFonts w:ascii="Open Sans Light" w:eastAsia="Times New Roman" w:hAnsi="Open Sans Light" w:cs="Open Sans Light"/>
                <w:color w:val="000000"/>
                <w:sz w:val="16"/>
                <w:szCs w:val="16"/>
                <w:lang w:eastAsia="en-AU"/>
              </w:rPr>
            </w:pPr>
            <w:r w:rsidRPr="004C0A99">
              <w:rPr>
                <w:rFonts w:ascii="Open Sans Light" w:hAnsi="Open Sans Light" w:cs="Open Sans Light"/>
                <w:color w:val="000000"/>
                <w:sz w:val="16"/>
                <w:szCs w:val="16"/>
              </w:rPr>
              <w:t>Funding for TAFE Centres of Excellence to support agreed national skills and training priorities.</w:t>
            </w:r>
          </w:p>
        </w:tc>
        <w:tc>
          <w:tcPr>
            <w:tcW w:w="1134" w:type="dxa"/>
            <w:tcBorders>
              <w:top w:val="single" w:sz="4" w:space="0" w:color="ADD6EA"/>
              <w:left w:val="nil"/>
              <w:bottom w:val="single" w:sz="4" w:space="0" w:color="ADD6EA"/>
              <w:right w:val="nil"/>
            </w:tcBorders>
            <w:noWrap/>
            <w:tcMar>
              <w:right w:w="85" w:type="dxa"/>
            </w:tcMar>
          </w:tcPr>
          <w:p w14:paraId="41D2318F" w14:textId="77777777" w:rsidR="00BD07F6" w:rsidRPr="004C0A99"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14.7</w:t>
            </w:r>
          </w:p>
        </w:tc>
        <w:tc>
          <w:tcPr>
            <w:tcW w:w="1276" w:type="dxa"/>
            <w:tcBorders>
              <w:top w:val="single" w:sz="4" w:space="0" w:color="ADD6EA"/>
              <w:left w:val="nil"/>
              <w:bottom w:val="single" w:sz="4" w:space="0" w:color="ADD6EA"/>
              <w:right w:val="nil"/>
            </w:tcBorders>
            <w:noWrap/>
          </w:tcPr>
          <w:p w14:paraId="37C40667" w14:textId="77777777" w:rsidR="00BD07F6" w:rsidRPr="004C0A99" w:rsidRDefault="00BD07F6">
            <w:pPr>
              <w:spacing w:line="240" w:lineRule="auto"/>
              <w:rPr>
                <w:rFonts w:ascii="Open Sans Light" w:eastAsia="Times New Roman" w:hAnsi="Open Sans Light" w:cs="Open Sans Light"/>
                <w:color w:val="000000"/>
                <w:sz w:val="16"/>
                <w:szCs w:val="16"/>
                <w:lang w:eastAsia="en-AU"/>
              </w:rPr>
            </w:pPr>
            <w:r w:rsidRPr="004C0A99">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763673E2" w14:textId="3105616D" w:rsidR="00BD07F6" w:rsidRPr="004C0A99" w:rsidRDefault="00BD07F6">
            <w:pPr>
              <w:spacing w:line="240" w:lineRule="auto"/>
              <w:rPr>
                <w:rFonts w:ascii="Open Sans Light" w:eastAsia="Times New Roman" w:hAnsi="Open Sans Light" w:cs="Open Sans Light"/>
                <w:color w:val="000000"/>
                <w:sz w:val="16"/>
                <w:szCs w:val="16"/>
                <w:highlight w:val="yellow"/>
                <w:lang w:eastAsia="en-AU"/>
              </w:rPr>
            </w:pPr>
            <w:r w:rsidRPr="004C0A99">
              <w:rPr>
                <w:rFonts w:ascii="Open Sans Light" w:hAnsi="Open Sans Light" w:cs="Open Sans Light"/>
                <w:color w:val="000000"/>
                <w:sz w:val="16"/>
                <w:szCs w:val="16"/>
              </w:rPr>
              <w:t xml:space="preserve">Demand to meet workforce challenges </w:t>
            </w:r>
            <w:r>
              <w:rPr>
                <w:rFonts w:ascii="Open Sans Light" w:hAnsi="Open Sans Light" w:cs="Open Sans Light"/>
                <w:color w:val="000000"/>
                <w:sz w:val="16"/>
                <w:szCs w:val="16"/>
              </w:rPr>
              <w:t xml:space="preserve">through further education </w:t>
            </w:r>
            <w:r w:rsidRPr="004C0A99">
              <w:rPr>
                <w:rFonts w:ascii="Open Sans Light" w:hAnsi="Open Sans Light" w:cs="Open Sans Light"/>
                <w:color w:val="000000"/>
                <w:sz w:val="16"/>
                <w:szCs w:val="16"/>
              </w:rPr>
              <w:t>in each state is a usual state function</w:t>
            </w:r>
            <w:r w:rsidR="000211E8">
              <w:rPr>
                <w:rFonts w:ascii="Open Sans Light" w:hAnsi="Open Sans Light" w:cs="Open Sans Light"/>
                <w:color w:val="000000"/>
                <w:sz w:val="16"/>
                <w:szCs w:val="16"/>
              </w:rPr>
              <w:t>,</w:t>
            </w:r>
            <w:r w:rsidRPr="004C0A99">
              <w:rPr>
                <w:rFonts w:ascii="Open Sans Light" w:hAnsi="Open Sans Light" w:cs="Open Sans Light"/>
                <w:color w:val="000000"/>
                <w:sz w:val="16"/>
                <w:szCs w:val="16"/>
              </w:rPr>
              <w:t xml:space="preserve"> and </w:t>
            </w:r>
            <w:r>
              <w:rPr>
                <w:rFonts w:ascii="Open Sans Light" w:hAnsi="Open Sans Light" w:cs="Open Sans Light"/>
                <w:color w:val="000000"/>
                <w:sz w:val="16"/>
                <w:szCs w:val="16"/>
              </w:rPr>
              <w:t>needs are</w:t>
            </w:r>
            <w:r w:rsidRPr="004C0A99">
              <w:rPr>
                <w:rFonts w:ascii="Open Sans Light" w:hAnsi="Open Sans Light" w:cs="Open Sans Light"/>
                <w:color w:val="000000"/>
                <w:sz w:val="16"/>
                <w:szCs w:val="16"/>
              </w:rPr>
              <w:t xml:space="preserve"> assessed.</w:t>
            </w:r>
          </w:p>
        </w:tc>
      </w:tr>
      <w:tr w:rsidR="00BD07F6" w:rsidRPr="00C91117" w14:paraId="0167E6A4" w14:textId="77777777">
        <w:trPr>
          <w:trHeight w:val="284"/>
        </w:trPr>
        <w:tc>
          <w:tcPr>
            <w:tcW w:w="13892" w:type="dxa"/>
            <w:gridSpan w:val="5"/>
            <w:tcBorders>
              <w:top w:val="single" w:sz="4" w:space="0" w:color="ADD6EA"/>
              <w:left w:val="nil"/>
              <w:bottom w:val="nil"/>
              <w:right w:val="nil"/>
            </w:tcBorders>
            <w:shd w:val="clear" w:color="auto" w:fill="B6D5E4"/>
            <w:tcMar>
              <w:right w:w="85" w:type="dxa"/>
            </w:tcMar>
          </w:tcPr>
          <w:p w14:paraId="3E814CB1" w14:textId="77777777" w:rsidR="00BD07F6" w:rsidRPr="00642499" w:rsidRDefault="00BD07F6">
            <w:pPr>
              <w:spacing w:line="240" w:lineRule="auto"/>
              <w:ind w:right="227"/>
              <w:rPr>
                <w:rFonts w:ascii="Open Sans Semibold" w:eastAsia="Times New Roman" w:hAnsi="Open Sans Semibold" w:cs="Open Sans Semibold"/>
                <w:color w:val="000000"/>
                <w:sz w:val="16"/>
                <w:szCs w:val="20"/>
                <w:lang w:eastAsia="en-AU"/>
              </w:rPr>
            </w:pPr>
            <w:r>
              <w:rPr>
                <w:rFonts w:ascii="Open Sans Semibold" w:eastAsia="Times New Roman" w:hAnsi="Open Sans Semibold" w:cs="Open Sans Semibold"/>
                <w:color w:val="000000"/>
                <w:sz w:val="16"/>
                <w:szCs w:val="20"/>
                <w:lang w:eastAsia="en-AU"/>
              </w:rPr>
              <w:t>Community</w:t>
            </w:r>
          </w:p>
        </w:tc>
      </w:tr>
      <w:tr w:rsidR="00BD07F6" w:rsidRPr="00C91117" w14:paraId="6FADC780" w14:textId="77777777">
        <w:trPr>
          <w:trHeight w:val="510"/>
        </w:trPr>
        <w:tc>
          <w:tcPr>
            <w:tcW w:w="2410" w:type="dxa"/>
            <w:tcBorders>
              <w:top w:val="single" w:sz="4" w:space="0" w:color="ADD6EA"/>
              <w:left w:val="nil"/>
              <w:bottom w:val="single" w:sz="4" w:space="0" w:color="ADD6EA"/>
              <w:right w:val="nil"/>
            </w:tcBorders>
          </w:tcPr>
          <w:p w14:paraId="0A07C7DF"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sidRPr="0034547C">
              <w:rPr>
                <w:rFonts w:ascii="Open Sans Light" w:eastAsia="Times New Roman" w:hAnsi="Open Sans Light" w:cs="Open Sans Light"/>
                <w:color w:val="000000"/>
                <w:sz w:val="16"/>
                <w:szCs w:val="16"/>
                <w:lang w:eastAsia="en-AU"/>
              </w:rPr>
              <w:t>Far North Queensland Connect Project</w:t>
            </w:r>
          </w:p>
        </w:tc>
        <w:tc>
          <w:tcPr>
            <w:tcW w:w="4394" w:type="dxa"/>
            <w:tcBorders>
              <w:top w:val="single" w:sz="4" w:space="0" w:color="ADD6EA"/>
              <w:left w:val="nil"/>
              <w:bottom w:val="single" w:sz="4" w:space="0" w:color="ADD6EA"/>
              <w:right w:val="nil"/>
            </w:tcBorders>
          </w:tcPr>
          <w:p w14:paraId="678B6285"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Funding to Queensland to explore a model to integrate care and support services, strengthen local community workforces, and build inclusive communities across Far North Queensland. The initiative aims to increase National Disability Insurance Scheme plan utilisation, workforce capability and efficient integration of resources.</w:t>
            </w:r>
          </w:p>
        </w:tc>
        <w:tc>
          <w:tcPr>
            <w:tcW w:w="1134" w:type="dxa"/>
            <w:tcBorders>
              <w:top w:val="single" w:sz="4" w:space="0" w:color="ADD6EA"/>
              <w:left w:val="nil"/>
              <w:bottom w:val="single" w:sz="4" w:space="0" w:color="ADD6EA"/>
              <w:right w:val="nil"/>
            </w:tcBorders>
            <w:noWrap/>
            <w:tcMar>
              <w:right w:w="85" w:type="dxa"/>
            </w:tcMar>
          </w:tcPr>
          <w:p w14:paraId="694F699C" w14:textId="77777777" w:rsidR="00BD07F6" w:rsidRPr="003B46B3" w:rsidRDefault="00BD07F6">
            <w:pPr>
              <w:spacing w:line="240" w:lineRule="auto"/>
              <w:ind w:right="227"/>
              <w:jc w:val="right"/>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4.6</w:t>
            </w:r>
          </w:p>
        </w:tc>
        <w:tc>
          <w:tcPr>
            <w:tcW w:w="1276" w:type="dxa"/>
            <w:tcBorders>
              <w:top w:val="single" w:sz="4" w:space="0" w:color="ADD6EA"/>
              <w:left w:val="nil"/>
              <w:bottom w:val="single" w:sz="4" w:space="0" w:color="ADD6EA"/>
              <w:right w:val="nil"/>
            </w:tcBorders>
            <w:noWrap/>
          </w:tcPr>
          <w:p w14:paraId="26936D60"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sidRPr="003B46B3">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00D7BE57"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sidRPr="00287265">
              <w:rPr>
                <w:rFonts w:ascii="Open Sans Light" w:hAnsi="Open Sans Light" w:cs="Open Sans Light"/>
                <w:sz w:val="16"/>
                <w:szCs w:val="16"/>
              </w:rPr>
              <w:t>Delivery of community social welfare programs is a state service. However, needs are not assessed (other welfare).</w:t>
            </w:r>
          </w:p>
        </w:tc>
      </w:tr>
      <w:tr w:rsidR="00BD07F6" w:rsidRPr="00C91117" w14:paraId="3CAC24CF" w14:textId="77777777">
        <w:trPr>
          <w:trHeight w:val="510"/>
        </w:trPr>
        <w:tc>
          <w:tcPr>
            <w:tcW w:w="2410" w:type="dxa"/>
            <w:tcBorders>
              <w:top w:val="single" w:sz="4" w:space="0" w:color="ADD6EA"/>
              <w:left w:val="nil"/>
              <w:bottom w:val="single" w:sz="4" w:space="0" w:color="ADD6EA"/>
              <w:right w:val="nil"/>
            </w:tcBorders>
          </w:tcPr>
          <w:p w14:paraId="78CB66AB" w14:textId="77777777" w:rsidR="00BD07F6" w:rsidRPr="00ED56BE" w:rsidRDefault="00BD07F6">
            <w:pPr>
              <w:spacing w:line="240" w:lineRule="auto"/>
              <w:rPr>
                <w:rFonts w:ascii="Open Sans Light" w:eastAsia="Times New Roman" w:hAnsi="Open Sans Light" w:cs="Open Sans Light"/>
                <w:color w:val="000000"/>
                <w:sz w:val="16"/>
                <w:szCs w:val="16"/>
                <w:lang w:eastAsia="en-AU"/>
              </w:rPr>
            </w:pPr>
            <w:r w:rsidRPr="00A638DC">
              <w:rPr>
                <w:rFonts w:ascii="Open Sans Light" w:eastAsia="Times New Roman" w:hAnsi="Open Sans Light" w:cs="Open Sans Light"/>
                <w:color w:val="000000"/>
                <w:sz w:val="16"/>
                <w:szCs w:val="16"/>
                <w:lang w:eastAsia="en-AU"/>
              </w:rPr>
              <w:t>Outcomes Fund</w:t>
            </w:r>
          </w:p>
        </w:tc>
        <w:tc>
          <w:tcPr>
            <w:tcW w:w="4394" w:type="dxa"/>
            <w:tcBorders>
              <w:top w:val="single" w:sz="4" w:space="0" w:color="ADD6EA"/>
              <w:left w:val="nil"/>
              <w:bottom w:val="single" w:sz="4" w:space="0" w:color="ADD6EA"/>
              <w:right w:val="nil"/>
            </w:tcBorders>
          </w:tcPr>
          <w:p w14:paraId="2E2EAC87"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A</w:t>
            </w:r>
            <w:r w:rsidRPr="003B46B3">
              <w:rPr>
                <w:rFonts w:ascii="Open Sans Light" w:eastAsia="Times New Roman" w:hAnsi="Open Sans Light" w:cs="Open Sans Light"/>
                <w:color w:val="000000"/>
                <w:sz w:val="16"/>
                <w:szCs w:val="16"/>
                <w:lang w:eastAsia="en-AU"/>
              </w:rPr>
              <w:t xml:space="preserve"> </w:t>
            </w:r>
            <w:r>
              <w:rPr>
                <w:rFonts w:ascii="Open Sans Light" w:eastAsia="Times New Roman" w:hAnsi="Open Sans Light" w:cs="Open Sans Light"/>
                <w:color w:val="000000"/>
                <w:sz w:val="16"/>
                <w:szCs w:val="16"/>
                <w:lang w:eastAsia="en-AU"/>
              </w:rPr>
              <w:t>commitment of</w:t>
            </w:r>
            <w:r w:rsidRPr="003B46B3">
              <w:rPr>
                <w:rFonts w:ascii="Open Sans Light" w:eastAsia="Times New Roman" w:hAnsi="Open Sans Light" w:cs="Open Sans Light"/>
                <w:color w:val="000000"/>
                <w:sz w:val="16"/>
                <w:szCs w:val="16"/>
                <w:lang w:eastAsia="en-AU"/>
              </w:rPr>
              <w:t xml:space="preserve"> $100 million over </w:t>
            </w:r>
            <w:r>
              <w:rPr>
                <w:rFonts w:ascii="Open Sans Light" w:eastAsia="Times New Roman" w:hAnsi="Open Sans Light" w:cs="Open Sans Light"/>
                <w:color w:val="000000"/>
                <w:sz w:val="16"/>
                <w:szCs w:val="16"/>
                <w:lang w:eastAsia="en-AU"/>
              </w:rPr>
              <w:t>10</w:t>
            </w:r>
            <w:r w:rsidRPr="003B46B3">
              <w:rPr>
                <w:rFonts w:ascii="Open Sans Light" w:eastAsia="Times New Roman" w:hAnsi="Open Sans Light" w:cs="Open Sans Light"/>
                <w:color w:val="000000"/>
                <w:sz w:val="16"/>
                <w:szCs w:val="16"/>
                <w:lang w:eastAsia="en-AU"/>
              </w:rPr>
              <w:t xml:space="preserve"> years to support social impact investing projects addressing entrenched disadvantage focus</w:t>
            </w:r>
            <w:r>
              <w:rPr>
                <w:rFonts w:ascii="Open Sans Light" w:eastAsia="Times New Roman" w:hAnsi="Open Sans Light" w:cs="Open Sans Light"/>
                <w:color w:val="000000"/>
                <w:sz w:val="16"/>
                <w:szCs w:val="16"/>
                <w:lang w:eastAsia="en-AU"/>
              </w:rPr>
              <w:t>ing</w:t>
            </w:r>
            <w:r w:rsidRPr="003B46B3">
              <w:rPr>
                <w:rFonts w:ascii="Open Sans Light" w:eastAsia="Times New Roman" w:hAnsi="Open Sans Light" w:cs="Open Sans Light"/>
                <w:color w:val="000000"/>
                <w:sz w:val="16"/>
                <w:szCs w:val="16"/>
                <w:lang w:eastAsia="en-AU"/>
              </w:rPr>
              <w:t xml:space="preserve"> on supporting families and children, people facing concentrated unemployment and people facing or experiencing homelessness.</w:t>
            </w:r>
          </w:p>
        </w:tc>
        <w:tc>
          <w:tcPr>
            <w:tcW w:w="1134" w:type="dxa"/>
            <w:tcBorders>
              <w:top w:val="single" w:sz="4" w:space="0" w:color="ADD6EA"/>
              <w:left w:val="nil"/>
              <w:bottom w:val="single" w:sz="4" w:space="0" w:color="ADD6EA"/>
              <w:right w:val="nil"/>
            </w:tcBorders>
            <w:noWrap/>
            <w:tcMar>
              <w:right w:w="85" w:type="dxa"/>
            </w:tcMar>
          </w:tcPr>
          <w:p w14:paraId="4F9D7B01" w14:textId="77777777" w:rsidR="00BD07F6" w:rsidRPr="003B46B3" w:rsidRDefault="00BD07F6">
            <w:pPr>
              <w:spacing w:line="240" w:lineRule="auto"/>
              <w:ind w:right="227"/>
              <w:jc w:val="right"/>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1.7</w:t>
            </w:r>
          </w:p>
        </w:tc>
        <w:tc>
          <w:tcPr>
            <w:tcW w:w="1276" w:type="dxa"/>
            <w:tcBorders>
              <w:top w:val="single" w:sz="4" w:space="0" w:color="ADD6EA"/>
              <w:left w:val="nil"/>
              <w:bottom w:val="single" w:sz="4" w:space="0" w:color="ADD6EA"/>
              <w:right w:val="nil"/>
            </w:tcBorders>
            <w:noWrap/>
          </w:tcPr>
          <w:p w14:paraId="6784A589"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sidRPr="003B46B3">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66CF603E"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sidRPr="00287265">
              <w:rPr>
                <w:rFonts w:ascii="Open Sans Light" w:hAnsi="Open Sans Light" w:cs="Open Sans Light"/>
                <w:sz w:val="16"/>
                <w:szCs w:val="16"/>
              </w:rPr>
              <w:t>Delivery of community social welfare programs is a state service. However, needs are not assessed (other welfare).</w:t>
            </w:r>
          </w:p>
        </w:tc>
      </w:tr>
      <w:tr w:rsidR="00BD07F6" w:rsidRPr="00C91117" w14:paraId="6A950835" w14:textId="77777777">
        <w:trPr>
          <w:trHeight w:val="510"/>
        </w:trPr>
        <w:tc>
          <w:tcPr>
            <w:tcW w:w="2410" w:type="dxa"/>
            <w:tcBorders>
              <w:top w:val="single" w:sz="4" w:space="0" w:color="ADD6EA"/>
              <w:left w:val="nil"/>
              <w:bottom w:val="single" w:sz="4" w:space="0" w:color="ADD6EA"/>
              <w:right w:val="nil"/>
            </w:tcBorders>
          </w:tcPr>
          <w:p w14:paraId="330CDD76" w14:textId="77777777" w:rsidR="00BD07F6" w:rsidRPr="00EB0105" w:rsidRDefault="00BD07F6">
            <w:pPr>
              <w:spacing w:line="240" w:lineRule="auto"/>
              <w:rPr>
                <w:rFonts w:ascii="Open Sans Light" w:eastAsia="Times New Roman" w:hAnsi="Open Sans Light" w:cs="Open Sans Light"/>
                <w:color w:val="000000"/>
                <w:sz w:val="16"/>
                <w:szCs w:val="16"/>
                <w:lang w:eastAsia="en-AU"/>
              </w:rPr>
            </w:pPr>
            <w:r w:rsidRPr="00A638DC">
              <w:rPr>
                <w:rFonts w:ascii="Open Sans Light" w:eastAsia="Times New Roman" w:hAnsi="Open Sans Light" w:cs="Open Sans Light"/>
                <w:color w:val="000000"/>
                <w:sz w:val="16"/>
                <w:szCs w:val="16"/>
                <w:lang w:eastAsia="en-AU"/>
              </w:rPr>
              <w:t>Port Augusta Safety and Wellbeing Partnership</w:t>
            </w:r>
          </w:p>
        </w:tc>
        <w:tc>
          <w:tcPr>
            <w:tcW w:w="4394" w:type="dxa"/>
            <w:tcBorders>
              <w:top w:val="single" w:sz="4" w:space="0" w:color="ADD6EA"/>
              <w:left w:val="nil"/>
              <w:bottom w:val="single" w:sz="4" w:space="0" w:color="ADD6EA"/>
              <w:right w:val="nil"/>
            </w:tcBorders>
          </w:tcPr>
          <w:p w14:paraId="0F98BD8E"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3B46B3">
              <w:rPr>
                <w:rFonts w:ascii="Open Sans Light" w:eastAsia="Times New Roman" w:hAnsi="Open Sans Light" w:cs="Open Sans Light"/>
                <w:color w:val="000000"/>
                <w:sz w:val="16"/>
                <w:szCs w:val="16"/>
                <w:lang w:eastAsia="en-AU"/>
              </w:rPr>
              <w:t>unding to support the Port Augusta Safety and Wellbeing Partnership. The Partnership aims to better coordinate investment in community services between the Australian Government and South Australia to improve the safety and wellbeing of people in Port Augusta and Davenport.</w:t>
            </w:r>
          </w:p>
        </w:tc>
        <w:tc>
          <w:tcPr>
            <w:tcW w:w="1134" w:type="dxa"/>
            <w:tcBorders>
              <w:top w:val="single" w:sz="4" w:space="0" w:color="ADD6EA"/>
              <w:left w:val="nil"/>
              <w:bottom w:val="single" w:sz="4" w:space="0" w:color="ADD6EA"/>
              <w:right w:val="nil"/>
            </w:tcBorders>
            <w:noWrap/>
            <w:tcMar>
              <w:right w:w="85" w:type="dxa"/>
            </w:tcMar>
          </w:tcPr>
          <w:p w14:paraId="71ACA136" w14:textId="77777777" w:rsidR="00BD07F6" w:rsidRPr="003B46B3" w:rsidRDefault="00BD07F6">
            <w:pPr>
              <w:spacing w:line="240" w:lineRule="auto"/>
              <w:ind w:right="227"/>
              <w:jc w:val="right"/>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3</w:t>
            </w:r>
            <w:r w:rsidRPr="00E23345">
              <w:rPr>
                <w:rFonts w:ascii="Open Sans Light" w:eastAsia="Times New Roman" w:hAnsi="Open Sans Light" w:cs="Open Sans Light"/>
                <w:color w:val="000000"/>
                <w:sz w:val="16"/>
                <w:szCs w:val="16"/>
                <w:lang w:eastAsia="en-AU"/>
              </w:rPr>
              <w:t>.0</w:t>
            </w:r>
          </w:p>
        </w:tc>
        <w:tc>
          <w:tcPr>
            <w:tcW w:w="1276" w:type="dxa"/>
            <w:tcBorders>
              <w:top w:val="single" w:sz="4" w:space="0" w:color="ADD6EA"/>
              <w:left w:val="nil"/>
              <w:bottom w:val="single" w:sz="4" w:space="0" w:color="ADD6EA"/>
              <w:right w:val="nil"/>
            </w:tcBorders>
            <w:noWrap/>
          </w:tcPr>
          <w:p w14:paraId="06B19067" w14:textId="77777777" w:rsidR="00BD07F6" w:rsidRPr="003B46B3" w:rsidRDefault="00BD07F6">
            <w:pPr>
              <w:spacing w:line="240" w:lineRule="auto"/>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64FD7597" w14:textId="70AC00A2" w:rsidR="00BD07F6" w:rsidRPr="003B46B3" w:rsidRDefault="00BD07F6">
            <w:pPr>
              <w:spacing w:line="240" w:lineRule="auto"/>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First Nations community engagement and development is a normal state function</w:t>
            </w:r>
            <w:r w:rsidR="00F46063">
              <w:rPr>
                <w:rFonts w:ascii="Open Sans Light" w:eastAsia="Times New Roman" w:hAnsi="Open Sans Light" w:cs="Open Sans Light"/>
                <w:color w:val="000000"/>
                <w:sz w:val="16"/>
                <w:szCs w:val="16"/>
                <w:lang w:eastAsia="en-AU"/>
              </w:rPr>
              <w:t>,</w:t>
            </w:r>
            <w:r w:rsidRPr="003B46B3">
              <w:rPr>
                <w:rFonts w:ascii="Open Sans Light" w:eastAsia="Times New Roman" w:hAnsi="Open Sans Light" w:cs="Open Sans Light"/>
                <w:color w:val="000000"/>
                <w:sz w:val="16"/>
                <w:szCs w:val="16"/>
                <w:lang w:eastAsia="en-AU"/>
              </w:rPr>
              <w:t xml:space="preserve"> </w:t>
            </w:r>
            <w:r>
              <w:rPr>
                <w:rFonts w:ascii="Open Sans Light" w:eastAsia="Times New Roman" w:hAnsi="Open Sans Light" w:cs="Open Sans Light"/>
                <w:color w:val="000000"/>
                <w:sz w:val="16"/>
                <w:szCs w:val="16"/>
                <w:lang w:eastAsia="en-AU"/>
              </w:rPr>
              <w:t>and</w:t>
            </w:r>
            <w:r w:rsidRPr="003B46B3">
              <w:rPr>
                <w:rFonts w:ascii="Open Sans Light" w:eastAsia="Times New Roman" w:hAnsi="Open Sans Light" w:cs="Open Sans Light"/>
                <w:color w:val="000000"/>
                <w:sz w:val="16"/>
                <w:szCs w:val="16"/>
                <w:lang w:eastAsia="en-AU"/>
              </w:rPr>
              <w:t xml:space="preserve"> needs are assessed.</w:t>
            </w:r>
          </w:p>
        </w:tc>
      </w:tr>
      <w:tr w:rsidR="00BD07F6" w:rsidRPr="00642499" w14:paraId="365DA960" w14:textId="77777777">
        <w:trPr>
          <w:trHeight w:val="284"/>
        </w:trPr>
        <w:tc>
          <w:tcPr>
            <w:tcW w:w="13892" w:type="dxa"/>
            <w:gridSpan w:val="5"/>
            <w:tcBorders>
              <w:top w:val="single" w:sz="4" w:space="0" w:color="ADD6EA"/>
              <w:left w:val="nil"/>
              <w:bottom w:val="nil"/>
              <w:right w:val="nil"/>
            </w:tcBorders>
            <w:shd w:val="clear" w:color="auto" w:fill="B6D5E4"/>
            <w:tcMar>
              <w:right w:w="85" w:type="dxa"/>
            </w:tcMar>
          </w:tcPr>
          <w:p w14:paraId="7268B7BC" w14:textId="77777777" w:rsidR="00BD07F6" w:rsidRPr="00642499" w:rsidRDefault="00BD07F6">
            <w:pPr>
              <w:spacing w:line="240" w:lineRule="auto"/>
              <w:ind w:right="227"/>
              <w:rPr>
                <w:rFonts w:ascii="Open Sans Semibold" w:eastAsia="Times New Roman" w:hAnsi="Open Sans Semibold" w:cs="Open Sans Semibold"/>
                <w:color w:val="000000"/>
                <w:sz w:val="16"/>
                <w:szCs w:val="20"/>
                <w:lang w:eastAsia="en-AU"/>
              </w:rPr>
            </w:pPr>
            <w:r>
              <w:rPr>
                <w:rFonts w:ascii="Open Sans Semibold" w:eastAsia="Times New Roman" w:hAnsi="Open Sans Semibold" w:cs="Open Sans Semibold"/>
                <w:color w:val="000000"/>
                <w:sz w:val="16"/>
                <w:szCs w:val="20"/>
                <w:lang w:eastAsia="en-AU"/>
              </w:rPr>
              <w:t>Affordable Housing</w:t>
            </w:r>
          </w:p>
        </w:tc>
      </w:tr>
      <w:tr w:rsidR="00BD07F6" w:rsidRPr="00C91117" w14:paraId="1D97279C" w14:textId="77777777">
        <w:trPr>
          <w:trHeight w:val="510"/>
        </w:trPr>
        <w:tc>
          <w:tcPr>
            <w:tcW w:w="2410" w:type="dxa"/>
            <w:tcBorders>
              <w:top w:val="single" w:sz="4" w:space="0" w:color="ADD6EA"/>
              <w:left w:val="nil"/>
              <w:bottom w:val="single" w:sz="4" w:space="0" w:color="ADD6EA"/>
              <w:right w:val="nil"/>
            </w:tcBorders>
          </w:tcPr>
          <w:p w14:paraId="423787F0" w14:textId="77777777" w:rsidR="00BD07F6" w:rsidRPr="00B930B3" w:rsidRDefault="00BD07F6">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Housing Australia Future Fund - Remote Indigenous Housing</w:t>
            </w:r>
          </w:p>
        </w:tc>
        <w:tc>
          <w:tcPr>
            <w:tcW w:w="4394" w:type="dxa"/>
            <w:tcBorders>
              <w:top w:val="single" w:sz="4" w:space="0" w:color="ADD6EA"/>
              <w:left w:val="nil"/>
              <w:bottom w:val="single" w:sz="4" w:space="0" w:color="ADD6EA"/>
              <w:right w:val="nil"/>
            </w:tcBorders>
          </w:tcPr>
          <w:p w14:paraId="6766E7A3" w14:textId="7241AD69" w:rsidR="00BD07F6" w:rsidRPr="00B930B3" w:rsidRDefault="00BD07F6">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 xml:space="preserve">Funding for repairs, maintenance and improvements to housing in remote </w:t>
            </w:r>
            <w:r w:rsidR="000C32D5">
              <w:rPr>
                <w:rFonts w:ascii="Open Sans Light" w:eastAsia="Times New Roman" w:hAnsi="Open Sans Light" w:cs="Open Sans Light"/>
                <w:color w:val="000000"/>
                <w:sz w:val="16"/>
                <w:szCs w:val="16"/>
                <w:lang w:eastAsia="en-AU"/>
              </w:rPr>
              <w:t xml:space="preserve">First Nations </w:t>
            </w:r>
            <w:r w:rsidRPr="00B930B3">
              <w:rPr>
                <w:rFonts w:ascii="Open Sans Light" w:eastAsia="Times New Roman" w:hAnsi="Open Sans Light" w:cs="Open Sans Light"/>
                <w:color w:val="000000"/>
                <w:sz w:val="16"/>
                <w:szCs w:val="16"/>
                <w:lang w:eastAsia="en-AU"/>
              </w:rPr>
              <w:t>communities in Q</w:t>
            </w:r>
            <w:r>
              <w:rPr>
                <w:rFonts w:ascii="Open Sans Light" w:eastAsia="Times New Roman" w:hAnsi="Open Sans Light" w:cs="Open Sans Light"/>
                <w:color w:val="000000"/>
                <w:sz w:val="16"/>
                <w:szCs w:val="16"/>
                <w:lang w:eastAsia="en-AU"/>
              </w:rPr>
              <w:t>ueensland,</w:t>
            </w:r>
            <w:r w:rsidRPr="00B930B3">
              <w:rPr>
                <w:rFonts w:ascii="Open Sans Light" w:eastAsia="Times New Roman" w:hAnsi="Open Sans Light" w:cs="Open Sans Light"/>
                <w:color w:val="000000"/>
                <w:sz w:val="16"/>
                <w:szCs w:val="16"/>
                <w:lang w:eastAsia="en-AU"/>
              </w:rPr>
              <w:t xml:space="preserve"> W</w:t>
            </w:r>
            <w:r>
              <w:rPr>
                <w:rFonts w:ascii="Open Sans Light" w:eastAsia="Times New Roman" w:hAnsi="Open Sans Light" w:cs="Open Sans Light"/>
                <w:color w:val="000000"/>
                <w:sz w:val="16"/>
                <w:szCs w:val="16"/>
                <w:lang w:eastAsia="en-AU"/>
              </w:rPr>
              <w:t xml:space="preserve">estern </w:t>
            </w:r>
            <w:r w:rsidRPr="00B930B3">
              <w:rPr>
                <w:rFonts w:ascii="Open Sans Light" w:eastAsia="Times New Roman" w:hAnsi="Open Sans Light" w:cs="Open Sans Light"/>
                <w:color w:val="000000"/>
                <w:sz w:val="16"/>
                <w:szCs w:val="16"/>
                <w:lang w:eastAsia="en-AU"/>
              </w:rPr>
              <w:t>A</w:t>
            </w:r>
            <w:r>
              <w:rPr>
                <w:rFonts w:ascii="Open Sans Light" w:eastAsia="Times New Roman" w:hAnsi="Open Sans Light" w:cs="Open Sans Light"/>
                <w:color w:val="000000"/>
                <w:sz w:val="16"/>
                <w:szCs w:val="16"/>
                <w:lang w:eastAsia="en-AU"/>
              </w:rPr>
              <w:t>ustralia</w:t>
            </w:r>
            <w:r w:rsidRPr="00B930B3">
              <w:rPr>
                <w:rFonts w:ascii="Open Sans Light" w:eastAsia="Times New Roman" w:hAnsi="Open Sans Light" w:cs="Open Sans Light"/>
                <w:color w:val="000000"/>
                <w:sz w:val="16"/>
                <w:szCs w:val="16"/>
                <w:lang w:eastAsia="en-AU"/>
              </w:rPr>
              <w:t>, S</w:t>
            </w:r>
            <w:r>
              <w:rPr>
                <w:rFonts w:ascii="Open Sans Light" w:eastAsia="Times New Roman" w:hAnsi="Open Sans Light" w:cs="Open Sans Light"/>
                <w:color w:val="000000"/>
                <w:sz w:val="16"/>
                <w:szCs w:val="16"/>
                <w:lang w:eastAsia="en-AU"/>
              </w:rPr>
              <w:t xml:space="preserve">outh </w:t>
            </w:r>
            <w:r w:rsidRPr="00B930B3">
              <w:rPr>
                <w:rFonts w:ascii="Open Sans Light" w:eastAsia="Times New Roman" w:hAnsi="Open Sans Light" w:cs="Open Sans Light"/>
                <w:color w:val="000000"/>
                <w:sz w:val="16"/>
                <w:szCs w:val="16"/>
                <w:lang w:eastAsia="en-AU"/>
              </w:rPr>
              <w:t>A</w:t>
            </w:r>
            <w:r>
              <w:rPr>
                <w:rFonts w:ascii="Open Sans Light" w:eastAsia="Times New Roman" w:hAnsi="Open Sans Light" w:cs="Open Sans Light"/>
                <w:color w:val="000000"/>
                <w:sz w:val="16"/>
                <w:szCs w:val="16"/>
                <w:lang w:eastAsia="en-AU"/>
              </w:rPr>
              <w:t>ustralia</w:t>
            </w:r>
            <w:r w:rsidRPr="00B930B3">
              <w:rPr>
                <w:rFonts w:ascii="Open Sans Light" w:eastAsia="Times New Roman" w:hAnsi="Open Sans Light" w:cs="Open Sans Light"/>
                <w:color w:val="000000"/>
                <w:sz w:val="16"/>
                <w:szCs w:val="16"/>
                <w:lang w:eastAsia="en-AU"/>
              </w:rPr>
              <w:t xml:space="preserve"> and the N</w:t>
            </w:r>
            <w:r>
              <w:rPr>
                <w:rFonts w:ascii="Open Sans Light" w:eastAsia="Times New Roman" w:hAnsi="Open Sans Light" w:cs="Open Sans Light"/>
                <w:color w:val="000000"/>
                <w:sz w:val="16"/>
                <w:szCs w:val="16"/>
                <w:lang w:eastAsia="en-AU"/>
              </w:rPr>
              <w:t>orthern</w:t>
            </w:r>
            <w:r w:rsidR="00EC57A2">
              <w:rPr>
                <w:rFonts w:ascii="Open Sans Light" w:eastAsia="Times New Roman" w:hAnsi="Open Sans Light" w:cs="Open Sans Light"/>
                <w:color w:val="000000"/>
                <w:sz w:val="16"/>
                <w:szCs w:val="16"/>
                <w:lang w:eastAsia="en-AU"/>
              </w:rPr>
              <w:t> </w:t>
            </w:r>
            <w:r w:rsidRPr="00B930B3">
              <w:rPr>
                <w:rFonts w:ascii="Open Sans Light" w:eastAsia="Times New Roman" w:hAnsi="Open Sans Light" w:cs="Open Sans Light"/>
                <w:color w:val="000000"/>
                <w:sz w:val="16"/>
                <w:szCs w:val="16"/>
                <w:lang w:eastAsia="en-AU"/>
              </w:rPr>
              <w:t>T</w:t>
            </w:r>
            <w:r>
              <w:rPr>
                <w:rFonts w:ascii="Open Sans Light" w:eastAsia="Times New Roman" w:hAnsi="Open Sans Light" w:cs="Open Sans Light"/>
                <w:color w:val="000000"/>
                <w:sz w:val="16"/>
                <w:szCs w:val="16"/>
                <w:lang w:eastAsia="en-AU"/>
              </w:rPr>
              <w:t>erritory</w:t>
            </w:r>
            <w:r w:rsidRPr="00B930B3">
              <w:rPr>
                <w:rFonts w:ascii="Open Sans Light" w:eastAsia="Times New Roman" w:hAnsi="Open Sans Light" w:cs="Open Sans Light"/>
                <w:color w:val="000000"/>
                <w:sz w:val="16"/>
                <w:szCs w:val="16"/>
                <w:lang w:eastAsia="en-AU"/>
              </w:rPr>
              <w:t>.</w:t>
            </w:r>
          </w:p>
        </w:tc>
        <w:tc>
          <w:tcPr>
            <w:tcW w:w="1134" w:type="dxa"/>
            <w:tcBorders>
              <w:top w:val="single" w:sz="4" w:space="0" w:color="ADD6EA"/>
              <w:left w:val="nil"/>
              <w:bottom w:val="single" w:sz="4" w:space="0" w:color="ADD6EA"/>
              <w:right w:val="nil"/>
            </w:tcBorders>
            <w:noWrap/>
            <w:tcMar>
              <w:right w:w="85" w:type="dxa"/>
            </w:tcMar>
          </w:tcPr>
          <w:p w14:paraId="71D1562B" w14:textId="77777777" w:rsidR="00BD07F6" w:rsidRPr="00B930B3"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75.0</w:t>
            </w:r>
          </w:p>
        </w:tc>
        <w:tc>
          <w:tcPr>
            <w:tcW w:w="1276" w:type="dxa"/>
            <w:tcBorders>
              <w:top w:val="single" w:sz="4" w:space="0" w:color="ADD6EA"/>
              <w:left w:val="nil"/>
              <w:bottom w:val="single" w:sz="4" w:space="0" w:color="ADD6EA"/>
              <w:right w:val="nil"/>
            </w:tcBorders>
            <w:noWrap/>
          </w:tcPr>
          <w:p w14:paraId="06E3966D" w14:textId="77777777" w:rsidR="00BD07F6" w:rsidRPr="00B930B3" w:rsidRDefault="00BD07F6">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640E8F2A" w14:textId="77777777" w:rsidR="00BD07F6" w:rsidRPr="00B930B3" w:rsidRDefault="00BD07F6">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The payment supports social housing maintenance. This is a state service, and needs are assessed.</w:t>
            </w:r>
          </w:p>
        </w:tc>
      </w:tr>
      <w:tr w:rsidR="00BD07F6" w:rsidRPr="00184475" w14:paraId="49ED12A9" w14:textId="77777777">
        <w:trPr>
          <w:trHeight w:val="284"/>
        </w:trPr>
        <w:tc>
          <w:tcPr>
            <w:tcW w:w="2410" w:type="dxa"/>
            <w:tcBorders>
              <w:top w:val="single" w:sz="4" w:space="0" w:color="ADD6EA"/>
              <w:left w:val="nil"/>
              <w:bottom w:val="nil"/>
              <w:right w:val="nil"/>
            </w:tcBorders>
            <w:shd w:val="clear" w:color="auto" w:fill="B6D5E4"/>
          </w:tcPr>
          <w:p w14:paraId="4AD74DFC" w14:textId="77777777" w:rsidR="00BD07F6" w:rsidRPr="481A7BDB" w:rsidRDefault="00BD07F6">
            <w:pPr>
              <w:spacing w:line="240" w:lineRule="auto"/>
              <w:rPr>
                <w:rFonts w:ascii="Open Sans Semibold" w:eastAsia="Times New Roman" w:hAnsi="Open Sans Semibold" w:cs="Open Sans Semibold"/>
                <w:color w:val="000000" w:themeColor="text1"/>
                <w:sz w:val="16"/>
                <w:szCs w:val="16"/>
                <w:lang w:eastAsia="en-AU"/>
              </w:rPr>
            </w:pPr>
            <w:r>
              <w:rPr>
                <w:rFonts w:ascii="Open Sans Semibold" w:eastAsia="Times New Roman" w:hAnsi="Open Sans Semibold" w:cs="Open Sans Semibold"/>
                <w:color w:val="000000" w:themeColor="text1"/>
                <w:sz w:val="16"/>
                <w:szCs w:val="16"/>
                <w:lang w:eastAsia="en-AU"/>
              </w:rPr>
              <w:t>Infrastructure</w:t>
            </w:r>
          </w:p>
        </w:tc>
        <w:tc>
          <w:tcPr>
            <w:tcW w:w="4394" w:type="dxa"/>
            <w:tcBorders>
              <w:top w:val="single" w:sz="4" w:space="0" w:color="ADD6EA"/>
              <w:left w:val="nil"/>
              <w:bottom w:val="nil"/>
              <w:right w:val="nil"/>
            </w:tcBorders>
            <w:shd w:val="clear" w:color="auto" w:fill="B6D5E4"/>
          </w:tcPr>
          <w:p w14:paraId="40D78CDF" w14:textId="77777777" w:rsidR="00BD07F6" w:rsidRPr="00184475" w:rsidRDefault="00BD07F6">
            <w:pPr>
              <w:spacing w:line="240" w:lineRule="auto"/>
              <w:rPr>
                <w:rFonts w:ascii="Open Sans Semibold" w:eastAsia="Times New Roman" w:hAnsi="Open Sans Semibold" w:cs="Open Sans Semibold"/>
                <w:color w:val="000000"/>
                <w:sz w:val="16"/>
                <w:szCs w:val="16"/>
                <w:lang w:eastAsia="en-AU"/>
              </w:rPr>
            </w:pPr>
          </w:p>
        </w:tc>
        <w:tc>
          <w:tcPr>
            <w:tcW w:w="1134" w:type="dxa"/>
            <w:tcBorders>
              <w:top w:val="single" w:sz="4" w:space="0" w:color="ADD6EA"/>
              <w:left w:val="nil"/>
              <w:bottom w:val="nil"/>
              <w:right w:val="nil"/>
            </w:tcBorders>
            <w:shd w:val="clear" w:color="auto" w:fill="B6D5E4"/>
            <w:noWrap/>
            <w:tcMar>
              <w:right w:w="85" w:type="dxa"/>
            </w:tcMar>
          </w:tcPr>
          <w:p w14:paraId="28441610" w14:textId="77777777" w:rsidR="00BD07F6" w:rsidRPr="00184475" w:rsidRDefault="00BD07F6">
            <w:pPr>
              <w:spacing w:line="240" w:lineRule="auto"/>
              <w:ind w:right="227"/>
              <w:rPr>
                <w:rFonts w:ascii="Open Sans Semibold" w:eastAsia="Times New Roman" w:hAnsi="Open Sans Semibold" w:cs="Open Sans Semibold"/>
                <w:color w:val="000000"/>
                <w:sz w:val="16"/>
                <w:szCs w:val="16"/>
                <w:lang w:eastAsia="en-AU"/>
              </w:rPr>
            </w:pPr>
          </w:p>
        </w:tc>
        <w:tc>
          <w:tcPr>
            <w:tcW w:w="1276" w:type="dxa"/>
            <w:tcBorders>
              <w:top w:val="single" w:sz="4" w:space="0" w:color="ADD6EA"/>
              <w:left w:val="nil"/>
              <w:bottom w:val="nil"/>
              <w:right w:val="nil"/>
            </w:tcBorders>
            <w:shd w:val="clear" w:color="auto" w:fill="B6D5E4"/>
            <w:noWrap/>
          </w:tcPr>
          <w:p w14:paraId="570F2F7D" w14:textId="77777777" w:rsidR="00BD07F6" w:rsidRPr="00184475" w:rsidRDefault="00BD07F6">
            <w:pPr>
              <w:spacing w:line="240" w:lineRule="auto"/>
              <w:rPr>
                <w:rFonts w:ascii="Open Sans Semibold" w:eastAsia="Times New Roman" w:hAnsi="Open Sans Semibold" w:cs="Open Sans Semibold"/>
                <w:color w:val="000000"/>
                <w:sz w:val="16"/>
                <w:szCs w:val="20"/>
                <w:lang w:eastAsia="en-AU"/>
              </w:rPr>
            </w:pPr>
          </w:p>
        </w:tc>
        <w:tc>
          <w:tcPr>
            <w:tcW w:w="4678" w:type="dxa"/>
            <w:tcBorders>
              <w:top w:val="single" w:sz="4" w:space="0" w:color="ADD6EA"/>
              <w:left w:val="nil"/>
              <w:bottom w:val="nil"/>
              <w:right w:val="nil"/>
            </w:tcBorders>
            <w:shd w:val="clear" w:color="auto" w:fill="B6D5E4"/>
            <w:noWrap/>
          </w:tcPr>
          <w:p w14:paraId="7C9DB9C7" w14:textId="77777777" w:rsidR="00BD07F6" w:rsidRPr="00B73F02" w:rsidRDefault="00BD07F6">
            <w:pPr>
              <w:spacing w:line="240" w:lineRule="auto"/>
              <w:rPr>
                <w:rFonts w:ascii="Open Sans Semibold" w:eastAsia="Times New Roman" w:hAnsi="Open Sans Semibold" w:cs="Open Sans Semibold"/>
                <w:color w:val="000000"/>
                <w:sz w:val="16"/>
                <w:szCs w:val="20"/>
                <w:lang w:eastAsia="en-AU"/>
              </w:rPr>
            </w:pPr>
          </w:p>
        </w:tc>
      </w:tr>
      <w:tr w:rsidR="00BD07F6" w:rsidRPr="00184475" w14:paraId="361EE1AA" w14:textId="77777777" w:rsidTr="00E50D45">
        <w:trPr>
          <w:trHeight w:val="284"/>
        </w:trPr>
        <w:tc>
          <w:tcPr>
            <w:tcW w:w="2410" w:type="dxa"/>
            <w:tcBorders>
              <w:top w:val="single" w:sz="4" w:space="0" w:color="ADD6EA"/>
              <w:left w:val="nil"/>
              <w:bottom w:val="single" w:sz="4" w:space="0" w:color="ADD6EA"/>
              <w:right w:val="nil"/>
            </w:tcBorders>
          </w:tcPr>
          <w:p w14:paraId="26F1B18A" w14:textId="77777777" w:rsidR="00BD07F6" w:rsidRPr="00330882" w:rsidRDefault="00BD07F6">
            <w:pPr>
              <w:spacing w:line="240" w:lineRule="auto"/>
              <w:rPr>
                <w:rFonts w:ascii="Open Sans Light" w:eastAsia="Times New Roman" w:hAnsi="Open Sans Light" w:cs="Open Sans Light"/>
                <w:color w:val="000000" w:themeColor="text1"/>
                <w:sz w:val="16"/>
                <w:szCs w:val="16"/>
                <w:lang w:eastAsia="en-AU"/>
              </w:rPr>
            </w:pPr>
            <w:r w:rsidRPr="00DE194B">
              <w:rPr>
                <w:rFonts w:ascii="Open Sans Light" w:eastAsia="Times New Roman" w:hAnsi="Open Sans Light" w:cs="Open Sans Light"/>
                <w:color w:val="000000" w:themeColor="text1"/>
                <w:sz w:val="16"/>
                <w:szCs w:val="16"/>
                <w:lang w:eastAsia="en-AU"/>
              </w:rPr>
              <w:t>Hunter region - supporting clean energy</w:t>
            </w:r>
          </w:p>
        </w:tc>
        <w:tc>
          <w:tcPr>
            <w:tcW w:w="4394" w:type="dxa"/>
            <w:tcBorders>
              <w:top w:val="single" w:sz="4" w:space="0" w:color="ADD6EA"/>
              <w:left w:val="nil"/>
              <w:bottom w:val="single" w:sz="4" w:space="0" w:color="ADD6EA"/>
              <w:right w:val="nil"/>
            </w:tcBorders>
          </w:tcPr>
          <w:p w14:paraId="2134D44D" w14:textId="77777777" w:rsidR="00BD07F6" w:rsidRPr="00330882"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1703AF">
              <w:rPr>
                <w:rFonts w:ascii="Open Sans Light" w:eastAsia="Times New Roman" w:hAnsi="Open Sans Light" w:cs="Open Sans Light"/>
                <w:color w:val="000000"/>
                <w:sz w:val="16"/>
                <w:szCs w:val="16"/>
                <w:lang w:eastAsia="en-AU"/>
              </w:rPr>
              <w:t>unding to support the Hunter region and the Port of Newcastle to become hydrogen ready.</w:t>
            </w:r>
          </w:p>
        </w:tc>
        <w:tc>
          <w:tcPr>
            <w:tcW w:w="1134" w:type="dxa"/>
            <w:tcBorders>
              <w:top w:val="single" w:sz="4" w:space="0" w:color="ADD6EA"/>
              <w:left w:val="nil"/>
              <w:bottom w:val="single" w:sz="4" w:space="0" w:color="ADD6EA"/>
              <w:right w:val="nil"/>
            </w:tcBorders>
            <w:noWrap/>
            <w:tcMar>
              <w:right w:w="85" w:type="dxa"/>
            </w:tcMar>
          </w:tcPr>
          <w:p w14:paraId="02C1474C" w14:textId="77777777" w:rsidR="00BD07F6" w:rsidRPr="00330882"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11.9</w:t>
            </w:r>
          </w:p>
        </w:tc>
        <w:tc>
          <w:tcPr>
            <w:tcW w:w="1276" w:type="dxa"/>
            <w:tcBorders>
              <w:top w:val="single" w:sz="4" w:space="0" w:color="ADD6EA"/>
              <w:left w:val="nil"/>
              <w:bottom w:val="single" w:sz="4" w:space="0" w:color="ADD6EA"/>
              <w:right w:val="nil"/>
            </w:tcBorders>
            <w:noWrap/>
          </w:tcPr>
          <w:p w14:paraId="4BD8E05D" w14:textId="77777777" w:rsidR="00BD07F6" w:rsidRPr="00330882" w:rsidRDefault="00BD07F6">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Impact</w:t>
            </w:r>
          </w:p>
        </w:tc>
        <w:tc>
          <w:tcPr>
            <w:tcW w:w="4678" w:type="dxa"/>
            <w:tcBorders>
              <w:top w:val="single" w:sz="4" w:space="0" w:color="ADD6EA"/>
              <w:left w:val="nil"/>
              <w:bottom w:val="single" w:sz="4" w:space="0" w:color="ADD6EA"/>
              <w:right w:val="nil"/>
            </w:tcBorders>
            <w:noWrap/>
          </w:tcPr>
          <w:p w14:paraId="5A241AA4" w14:textId="77777777" w:rsidR="00BD07F6" w:rsidRPr="00330882" w:rsidRDefault="00BD07F6">
            <w:pPr>
              <w:spacing w:line="240" w:lineRule="auto"/>
              <w:rPr>
                <w:rFonts w:ascii="Open Sans Light" w:eastAsia="Times New Roman" w:hAnsi="Open Sans Light" w:cs="Open Sans Light"/>
                <w:color w:val="000000"/>
                <w:sz w:val="16"/>
                <w:szCs w:val="20"/>
                <w:lang w:eastAsia="en-AU"/>
              </w:rPr>
            </w:pPr>
            <w:r w:rsidRPr="004F695B">
              <w:rPr>
                <w:rFonts w:ascii="Open Sans Light" w:eastAsia="Times New Roman" w:hAnsi="Open Sans Light" w:cs="Open Sans Light"/>
                <w:color w:val="000000"/>
                <w:sz w:val="16"/>
                <w:szCs w:val="20"/>
                <w:lang w:eastAsia="en-AU"/>
              </w:rPr>
              <w:t>Hydrogen business development is a form of business development</w:t>
            </w:r>
            <w:r>
              <w:rPr>
                <w:rFonts w:ascii="Open Sans Light" w:eastAsia="Times New Roman" w:hAnsi="Open Sans Light" w:cs="Open Sans Light"/>
                <w:color w:val="000000"/>
                <w:sz w:val="16"/>
                <w:szCs w:val="20"/>
                <w:lang w:eastAsia="en-AU"/>
              </w:rPr>
              <w:t>.</w:t>
            </w:r>
            <w:r w:rsidRPr="004F695B">
              <w:rPr>
                <w:rFonts w:ascii="Open Sans Light" w:eastAsia="Times New Roman" w:hAnsi="Open Sans Light" w:cs="Open Sans Light"/>
                <w:color w:val="000000"/>
                <w:sz w:val="16"/>
                <w:szCs w:val="20"/>
                <w:lang w:eastAsia="en-AU"/>
              </w:rPr>
              <w:t xml:space="preserve"> </w:t>
            </w:r>
            <w:r>
              <w:rPr>
                <w:rFonts w:ascii="Open Sans Light" w:eastAsia="Times New Roman" w:hAnsi="Open Sans Light" w:cs="Open Sans Light"/>
                <w:color w:val="000000"/>
                <w:sz w:val="16"/>
                <w:szCs w:val="20"/>
                <w:lang w:eastAsia="en-AU"/>
              </w:rPr>
              <w:t>This</w:t>
            </w:r>
            <w:r w:rsidRPr="004F695B">
              <w:rPr>
                <w:rFonts w:ascii="Open Sans Light" w:eastAsia="Times New Roman" w:hAnsi="Open Sans Light" w:cs="Open Sans Light"/>
                <w:color w:val="000000"/>
                <w:sz w:val="16"/>
                <w:szCs w:val="20"/>
                <w:lang w:eastAsia="en-AU"/>
              </w:rPr>
              <w:t xml:space="preserve"> is a state function</w:t>
            </w:r>
            <w:r>
              <w:rPr>
                <w:rFonts w:ascii="Open Sans Light" w:eastAsia="Times New Roman" w:hAnsi="Open Sans Light" w:cs="Open Sans Light"/>
                <w:color w:val="000000"/>
                <w:sz w:val="16"/>
                <w:szCs w:val="20"/>
                <w:lang w:eastAsia="en-AU"/>
              </w:rPr>
              <w:t>,</w:t>
            </w:r>
            <w:r w:rsidRPr="004F695B">
              <w:rPr>
                <w:rFonts w:ascii="Open Sans Light" w:eastAsia="Times New Roman" w:hAnsi="Open Sans Light" w:cs="Open Sans Light"/>
                <w:color w:val="000000"/>
                <w:sz w:val="16"/>
                <w:szCs w:val="20"/>
                <w:lang w:eastAsia="en-AU"/>
              </w:rPr>
              <w:t xml:space="preserve"> </w:t>
            </w:r>
            <w:r>
              <w:rPr>
                <w:rFonts w:ascii="Open Sans Light" w:eastAsia="Times New Roman" w:hAnsi="Open Sans Light" w:cs="Open Sans Light"/>
                <w:color w:val="000000"/>
                <w:sz w:val="16"/>
                <w:szCs w:val="20"/>
                <w:lang w:eastAsia="en-AU"/>
              </w:rPr>
              <w:t>and</w:t>
            </w:r>
            <w:r w:rsidRPr="004F695B">
              <w:rPr>
                <w:rFonts w:ascii="Open Sans Light" w:eastAsia="Times New Roman" w:hAnsi="Open Sans Light" w:cs="Open Sans Light"/>
                <w:color w:val="000000"/>
                <w:sz w:val="16"/>
                <w:szCs w:val="20"/>
                <w:lang w:eastAsia="en-AU"/>
              </w:rPr>
              <w:t xml:space="preserve"> needs are assessed.</w:t>
            </w:r>
          </w:p>
        </w:tc>
      </w:tr>
      <w:tr w:rsidR="00BD07F6" w:rsidRPr="00184475" w14:paraId="4D634E54" w14:textId="77777777" w:rsidTr="00E50D45">
        <w:trPr>
          <w:trHeight w:val="284"/>
        </w:trPr>
        <w:tc>
          <w:tcPr>
            <w:tcW w:w="2410" w:type="dxa"/>
            <w:tcBorders>
              <w:top w:val="single" w:sz="4" w:space="0" w:color="ADD6EA"/>
              <w:left w:val="nil"/>
              <w:bottom w:val="single" w:sz="4" w:space="0" w:color="ADD6EA"/>
              <w:right w:val="nil"/>
            </w:tcBorders>
          </w:tcPr>
          <w:p w14:paraId="59C419A9" w14:textId="77777777" w:rsidR="00BD07F6" w:rsidRPr="00330882" w:rsidRDefault="00BD07F6">
            <w:pPr>
              <w:spacing w:line="240" w:lineRule="auto"/>
              <w:rPr>
                <w:rFonts w:ascii="Open Sans Light" w:eastAsia="Times New Roman" w:hAnsi="Open Sans Light" w:cs="Open Sans Light"/>
                <w:color w:val="000000" w:themeColor="text1"/>
                <w:sz w:val="16"/>
                <w:szCs w:val="16"/>
                <w:lang w:eastAsia="en-AU"/>
              </w:rPr>
            </w:pPr>
            <w:r w:rsidRPr="00AA6EB2">
              <w:rPr>
                <w:rFonts w:ascii="Open Sans Light" w:eastAsia="Times New Roman" w:hAnsi="Open Sans Light" w:cs="Open Sans Light"/>
                <w:color w:val="000000" w:themeColor="text1"/>
                <w:sz w:val="16"/>
                <w:szCs w:val="16"/>
                <w:lang w:eastAsia="en-AU"/>
              </w:rPr>
              <w:t>Active Transport Fund</w:t>
            </w:r>
          </w:p>
        </w:tc>
        <w:tc>
          <w:tcPr>
            <w:tcW w:w="4394" w:type="dxa"/>
            <w:tcBorders>
              <w:top w:val="single" w:sz="4" w:space="0" w:color="ADD6EA"/>
              <w:left w:val="nil"/>
              <w:bottom w:val="single" w:sz="4" w:space="0" w:color="ADD6EA"/>
              <w:right w:val="nil"/>
            </w:tcBorders>
          </w:tcPr>
          <w:p w14:paraId="53195F9B" w14:textId="77777777" w:rsidR="00BD07F6" w:rsidRPr="00330882"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Funding</w:t>
            </w:r>
            <w:r w:rsidRPr="000A2483">
              <w:rPr>
                <w:rFonts w:ascii="Open Sans Light" w:eastAsia="Times New Roman" w:hAnsi="Open Sans Light" w:cs="Open Sans Light"/>
                <w:color w:val="000000"/>
                <w:sz w:val="16"/>
                <w:szCs w:val="16"/>
                <w:lang w:eastAsia="en-AU"/>
              </w:rPr>
              <w:t xml:space="preserve"> to encourage an increase in active transport through the upgrade of existing and construction of new bicycle and walking pathways.</w:t>
            </w:r>
          </w:p>
        </w:tc>
        <w:tc>
          <w:tcPr>
            <w:tcW w:w="1134" w:type="dxa"/>
            <w:tcBorders>
              <w:top w:val="single" w:sz="4" w:space="0" w:color="ADD6EA"/>
              <w:left w:val="nil"/>
              <w:bottom w:val="single" w:sz="4" w:space="0" w:color="ADD6EA"/>
              <w:right w:val="nil"/>
            </w:tcBorders>
            <w:noWrap/>
            <w:tcMar>
              <w:right w:w="85" w:type="dxa"/>
            </w:tcMar>
          </w:tcPr>
          <w:p w14:paraId="0F7596C7" w14:textId="77777777" w:rsidR="00BD07F6" w:rsidRPr="00330882"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0.1</w:t>
            </w:r>
          </w:p>
        </w:tc>
        <w:tc>
          <w:tcPr>
            <w:tcW w:w="1276" w:type="dxa"/>
            <w:tcBorders>
              <w:top w:val="single" w:sz="4" w:space="0" w:color="ADD6EA"/>
              <w:left w:val="nil"/>
              <w:bottom w:val="single" w:sz="4" w:space="0" w:color="ADD6EA"/>
              <w:right w:val="nil"/>
            </w:tcBorders>
            <w:noWrap/>
          </w:tcPr>
          <w:p w14:paraId="2D25FF20" w14:textId="77777777" w:rsidR="00BD07F6" w:rsidRPr="00330882" w:rsidRDefault="00BD07F6">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Impact</w:t>
            </w:r>
          </w:p>
        </w:tc>
        <w:tc>
          <w:tcPr>
            <w:tcW w:w="4678" w:type="dxa"/>
            <w:tcBorders>
              <w:top w:val="single" w:sz="4" w:space="0" w:color="ADD6EA"/>
              <w:left w:val="nil"/>
              <w:bottom w:val="single" w:sz="4" w:space="0" w:color="ADD6EA"/>
              <w:right w:val="nil"/>
            </w:tcBorders>
            <w:noWrap/>
          </w:tcPr>
          <w:p w14:paraId="25B93642" w14:textId="77777777" w:rsidR="00BD07F6" w:rsidRPr="00330882" w:rsidRDefault="00BD07F6">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Community infrastructure is a state service, and n</w:t>
            </w:r>
            <w:r w:rsidRPr="003F2AAA">
              <w:rPr>
                <w:rFonts w:ascii="Open Sans Light" w:eastAsia="Times New Roman" w:hAnsi="Open Sans Light" w:cs="Open Sans Light"/>
                <w:color w:val="000000"/>
                <w:sz w:val="16"/>
                <w:szCs w:val="20"/>
                <w:lang w:eastAsia="en-AU"/>
              </w:rPr>
              <w:t>eeds are assessed</w:t>
            </w:r>
            <w:r>
              <w:rPr>
                <w:rFonts w:ascii="Open Sans Light" w:eastAsia="Times New Roman" w:hAnsi="Open Sans Light" w:cs="Open Sans Light"/>
                <w:color w:val="000000"/>
                <w:sz w:val="16"/>
                <w:szCs w:val="20"/>
                <w:lang w:eastAsia="en-AU"/>
              </w:rPr>
              <w:t>.</w:t>
            </w:r>
          </w:p>
        </w:tc>
      </w:tr>
      <w:tr w:rsidR="00BD07F6" w:rsidRPr="00184475" w14:paraId="6396BDDC" w14:textId="77777777">
        <w:trPr>
          <w:trHeight w:val="284"/>
        </w:trPr>
        <w:tc>
          <w:tcPr>
            <w:tcW w:w="2410" w:type="dxa"/>
            <w:tcBorders>
              <w:top w:val="single" w:sz="4" w:space="0" w:color="ADD6EA"/>
              <w:left w:val="nil"/>
              <w:bottom w:val="nil"/>
              <w:right w:val="nil"/>
            </w:tcBorders>
          </w:tcPr>
          <w:p w14:paraId="75C0C9E0" w14:textId="77777777" w:rsidR="00BD07F6" w:rsidRPr="00330882" w:rsidRDefault="00BD07F6">
            <w:pPr>
              <w:spacing w:line="240" w:lineRule="auto"/>
              <w:rPr>
                <w:rFonts w:ascii="Open Sans Light" w:eastAsia="Times New Roman" w:hAnsi="Open Sans Light" w:cs="Open Sans Light"/>
                <w:color w:val="000000" w:themeColor="text1"/>
                <w:sz w:val="16"/>
                <w:szCs w:val="16"/>
                <w:lang w:eastAsia="en-AU"/>
              </w:rPr>
            </w:pPr>
            <w:r w:rsidRPr="00AA6EB2">
              <w:rPr>
                <w:rFonts w:ascii="Open Sans Light" w:eastAsia="Times New Roman" w:hAnsi="Open Sans Light" w:cs="Open Sans Light"/>
                <w:color w:val="000000" w:themeColor="text1"/>
                <w:sz w:val="16"/>
                <w:szCs w:val="16"/>
                <w:lang w:eastAsia="en-AU"/>
              </w:rPr>
              <w:lastRenderedPageBreak/>
              <w:t>Safer Local Roads and Infrastructure Program (SLRIP)</w:t>
            </w:r>
          </w:p>
        </w:tc>
        <w:tc>
          <w:tcPr>
            <w:tcW w:w="4394" w:type="dxa"/>
            <w:tcBorders>
              <w:top w:val="single" w:sz="4" w:space="0" w:color="ADD6EA"/>
              <w:left w:val="nil"/>
              <w:bottom w:val="nil"/>
              <w:right w:val="nil"/>
            </w:tcBorders>
          </w:tcPr>
          <w:p w14:paraId="000D7CA8" w14:textId="77777777" w:rsidR="00BD07F6" w:rsidRPr="002942AE" w:rsidRDefault="00BD07F6">
            <w:pPr>
              <w:spacing w:line="240" w:lineRule="auto"/>
              <w:rPr>
                <w:rFonts w:ascii="Open Sans Light" w:eastAsia="Times New Roman" w:hAnsi="Open Sans Light" w:cs="Open Sans Light"/>
                <w:color w:val="000000"/>
                <w:sz w:val="16"/>
                <w:szCs w:val="16"/>
                <w:lang w:eastAsia="en-AU"/>
              </w:rPr>
            </w:pPr>
            <w:r w:rsidRPr="002942AE">
              <w:rPr>
                <w:rFonts w:ascii="Open Sans Light" w:eastAsia="Times New Roman" w:hAnsi="Open Sans Light" w:cs="Open Sans Light"/>
                <w:color w:val="000000"/>
                <w:sz w:val="16"/>
                <w:szCs w:val="16"/>
                <w:lang w:eastAsia="en-AU"/>
              </w:rPr>
              <w:t xml:space="preserve">The SLRIP program aims to address current and emerging priorities in road infrastructure needs. </w:t>
            </w:r>
          </w:p>
          <w:p w14:paraId="2073EA43" w14:textId="77777777" w:rsidR="00BD07F6" w:rsidRPr="00330882" w:rsidRDefault="00BD07F6">
            <w:pPr>
              <w:spacing w:line="240" w:lineRule="auto"/>
              <w:rPr>
                <w:rFonts w:ascii="Open Sans Light" w:eastAsia="Times New Roman" w:hAnsi="Open Sans Light" w:cs="Open Sans Light"/>
                <w:color w:val="000000"/>
                <w:sz w:val="16"/>
                <w:szCs w:val="16"/>
                <w:lang w:eastAsia="en-AU"/>
              </w:rPr>
            </w:pPr>
            <w:r w:rsidRPr="002942AE">
              <w:rPr>
                <w:rFonts w:ascii="Open Sans Light" w:eastAsia="Times New Roman" w:hAnsi="Open Sans Light" w:cs="Open Sans Light"/>
                <w:color w:val="000000"/>
                <w:sz w:val="16"/>
                <w:szCs w:val="16"/>
                <w:lang w:eastAsia="en-AU"/>
              </w:rPr>
              <w:t>The SLRIP consolidated the previous Bridges Renewal Program and Heavy Vehicle Safety and Productivity Program into a single funding stream.</w:t>
            </w:r>
          </w:p>
        </w:tc>
        <w:tc>
          <w:tcPr>
            <w:tcW w:w="1134" w:type="dxa"/>
            <w:tcBorders>
              <w:top w:val="single" w:sz="4" w:space="0" w:color="ADD6EA"/>
              <w:left w:val="nil"/>
              <w:bottom w:val="nil"/>
              <w:right w:val="nil"/>
            </w:tcBorders>
            <w:noWrap/>
            <w:tcMar>
              <w:right w:w="85" w:type="dxa"/>
            </w:tcMar>
          </w:tcPr>
          <w:p w14:paraId="19EECCC8" w14:textId="77777777" w:rsidR="00BD07F6" w:rsidRPr="00330882"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147.6</w:t>
            </w:r>
          </w:p>
        </w:tc>
        <w:tc>
          <w:tcPr>
            <w:tcW w:w="1276" w:type="dxa"/>
            <w:tcBorders>
              <w:top w:val="single" w:sz="4" w:space="0" w:color="ADD6EA"/>
              <w:left w:val="nil"/>
              <w:bottom w:val="nil"/>
              <w:right w:val="nil"/>
            </w:tcBorders>
            <w:noWrap/>
          </w:tcPr>
          <w:p w14:paraId="7932DDDC" w14:textId="77777777" w:rsidR="00BD07F6" w:rsidRPr="00330882" w:rsidRDefault="00BD07F6">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Impact</w:t>
            </w:r>
          </w:p>
        </w:tc>
        <w:tc>
          <w:tcPr>
            <w:tcW w:w="4678" w:type="dxa"/>
            <w:tcBorders>
              <w:top w:val="single" w:sz="4" w:space="0" w:color="ADD6EA"/>
              <w:left w:val="nil"/>
              <w:bottom w:val="nil"/>
              <w:right w:val="nil"/>
            </w:tcBorders>
            <w:noWrap/>
          </w:tcPr>
          <w:p w14:paraId="2F762C85" w14:textId="5FA394CD" w:rsidR="00BD07F6" w:rsidRPr="009B3EC1" w:rsidRDefault="00BD07F6">
            <w:pPr>
              <w:spacing w:line="240" w:lineRule="auto"/>
              <w:rPr>
                <w:rFonts w:ascii="Open Sans Light" w:eastAsia="Times New Roman" w:hAnsi="Open Sans Light" w:cs="Open Sans Light"/>
                <w:color w:val="000000"/>
                <w:sz w:val="16"/>
                <w:szCs w:val="20"/>
                <w:highlight w:val="yellow"/>
                <w:lang w:eastAsia="en-AU"/>
              </w:rPr>
            </w:pPr>
            <w:r w:rsidRPr="00B75F9B">
              <w:rPr>
                <w:rFonts w:ascii="Open Sans Light" w:eastAsia="Times New Roman" w:hAnsi="Open Sans Light" w:cs="Open Sans Light"/>
                <w:color w:val="000000"/>
                <w:sz w:val="16"/>
                <w:szCs w:val="20"/>
                <w:lang w:eastAsia="en-AU"/>
              </w:rPr>
              <w:t xml:space="preserve">Investment in bridges and roads </w:t>
            </w:r>
            <w:r>
              <w:rPr>
                <w:rFonts w:ascii="Open Sans Light" w:eastAsia="Times New Roman" w:hAnsi="Open Sans Light" w:cs="Open Sans Light"/>
                <w:color w:val="000000"/>
                <w:sz w:val="16"/>
                <w:szCs w:val="20"/>
                <w:lang w:eastAsia="en-AU"/>
              </w:rPr>
              <w:t>is</w:t>
            </w:r>
            <w:r w:rsidRPr="00B75F9B">
              <w:rPr>
                <w:rFonts w:ascii="Open Sans Light" w:eastAsia="Times New Roman" w:hAnsi="Open Sans Light" w:cs="Open Sans Light"/>
                <w:color w:val="000000"/>
                <w:sz w:val="16"/>
                <w:szCs w:val="20"/>
                <w:lang w:eastAsia="en-AU"/>
              </w:rPr>
              <w:t xml:space="preserve"> a state service</w:t>
            </w:r>
            <w:r w:rsidR="000E494D">
              <w:rPr>
                <w:rFonts w:ascii="Open Sans Light" w:eastAsia="Times New Roman" w:hAnsi="Open Sans Light" w:cs="Open Sans Light"/>
                <w:color w:val="000000"/>
                <w:sz w:val="16"/>
                <w:szCs w:val="20"/>
                <w:lang w:eastAsia="en-AU"/>
              </w:rPr>
              <w:t>,</w:t>
            </w:r>
            <w:r w:rsidRPr="00B75F9B">
              <w:rPr>
                <w:rFonts w:ascii="Open Sans Light" w:eastAsia="Times New Roman" w:hAnsi="Open Sans Light" w:cs="Open Sans Light"/>
                <w:color w:val="000000"/>
                <w:sz w:val="16"/>
                <w:szCs w:val="20"/>
                <w:lang w:eastAsia="en-AU"/>
              </w:rPr>
              <w:t xml:space="preserve"> and needs are assessed.</w:t>
            </w:r>
            <w:r w:rsidRPr="009B3EC1">
              <w:rPr>
                <w:rFonts w:ascii="Open Sans Light" w:eastAsia="Times New Roman" w:hAnsi="Open Sans Light" w:cs="Open Sans Light"/>
                <w:color w:val="000000"/>
                <w:sz w:val="16"/>
                <w:szCs w:val="20"/>
                <w:highlight w:val="yellow"/>
                <w:lang w:eastAsia="en-AU"/>
              </w:rPr>
              <w:t xml:space="preserve"> </w:t>
            </w:r>
          </w:p>
        </w:tc>
      </w:tr>
      <w:tr w:rsidR="00BD07F6" w:rsidRPr="00184475" w14:paraId="4AE5A32D" w14:textId="77777777">
        <w:trPr>
          <w:trHeight w:val="284"/>
        </w:trPr>
        <w:tc>
          <w:tcPr>
            <w:tcW w:w="2410" w:type="dxa"/>
            <w:tcBorders>
              <w:top w:val="single" w:sz="4" w:space="0" w:color="ADD6EA"/>
              <w:left w:val="nil"/>
              <w:bottom w:val="nil"/>
              <w:right w:val="nil"/>
            </w:tcBorders>
          </w:tcPr>
          <w:p w14:paraId="28FE8F11"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Armstrong Creek Stadium</w:t>
            </w:r>
          </w:p>
        </w:tc>
        <w:tc>
          <w:tcPr>
            <w:tcW w:w="4394" w:type="dxa"/>
            <w:tcBorders>
              <w:top w:val="single" w:sz="4" w:space="0" w:color="ADD6EA"/>
              <w:left w:val="nil"/>
              <w:bottom w:val="nil"/>
              <w:right w:val="nil"/>
            </w:tcBorders>
          </w:tcPr>
          <w:p w14:paraId="48C35977" w14:textId="77777777" w:rsidR="00BD07F6" w:rsidRPr="004E3756"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 xml:space="preserve">Funding for </w:t>
            </w:r>
            <w:r w:rsidRPr="004E3756">
              <w:rPr>
                <w:rFonts w:ascii="Open Sans Light" w:hAnsi="Open Sans Light" w:cs="Open Sans Light"/>
                <w:color w:val="000000"/>
                <w:sz w:val="16"/>
                <w:szCs w:val="16"/>
              </w:rPr>
              <w:t xml:space="preserve">the Victorian Government’s Regional Sports Infrastructure Program, </w:t>
            </w:r>
            <w:r>
              <w:rPr>
                <w:rFonts w:ascii="Open Sans Light" w:hAnsi="Open Sans Light" w:cs="Open Sans Light"/>
                <w:color w:val="000000"/>
                <w:sz w:val="16"/>
                <w:szCs w:val="16"/>
              </w:rPr>
              <w:t xml:space="preserve">for a </w:t>
            </w:r>
            <w:r w:rsidRPr="004E3756">
              <w:rPr>
                <w:rFonts w:ascii="Open Sans Light" w:hAnsi="Open Sans Light" w:cs="Open Sans Light"/>
                <w:color w:val="000000"/>
                <w:sz w:val="16"/>
                <w:szCs w:val="16"/>
              </w:rPr>
              <w:t>new multi-sport facility in Armstrong Creek.</w:t>
            </w:r>
          </w:p>
        </w:tc>
        <w:tc>
          <w:tcPr>
            <w:tcW w:w="1134" w:type="dxa"/>
            <w:tcBorders>
              <w:top w:val="single" w:sz="4" w:space="0" w:color="ADD6EA"/>
              <w:left w:val="nil"/>
              <w:bottom w:val="nil"/>
              <w:right w:val="nil"/>
            </w:tcBorders>
            <w:noWrap/>
            <w:tcMar>
              <w:right w:w="85" w:type="dxa"/>
            </w:tcMar>
          </w:tcPr>
          <w:p w14:paraId="094BFF5A"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5.5</w:t>
            </w:r>
          </w:p>
        </w:tc>
        <w:tc>
          <w:tcPr>
            <w:tcW w:w="1276" w:type="dxa"/>
            <w:tcBorders>
              <w:top w:val="single" w:sz="4" w:space="0" w:color="ADD6EA"/>
              <w:left w:val="nil"/>
              <w:bottom w:val="nil"/>
              <w:right w:val="nil"/>
            </w:tcBorders>
            <w:noWrap/>
          </w:tcPr>
          <w:p w14:paraId="438FE05C"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019EF9E6"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Recreational infrastructure is a state service, and needs are assessed.</w:t>
            </w:r>
          </w:p>
        </w:tc>
      </w:tr>
      <w:tr w:rsidR="00BD07F6" w:rsidRPr="00184475" w14:paraId="39F6670C" w14:textId="77777777">
        <w:trPr>
          <w:trHeight w:val="284"/>
        </w:trPr>
        <w:tc>
          <w:tcPr>
            <w:tcW w:w="2410" w:type="dxa"/>
            <w:tcBorders>
              <w:top w:val="single" w:sz="4" w:space="0" w:color="ADD6EA"/>
              <w:left w:val="nil"/>
              <w:bottom w:val="nil"/>
              <w:right w:val="nil"/>
            </w:tcBorders>
          </w:tcPr>
          <w:p w14:paraId="66B1DF25"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Australian Opal Centre - Lightning Ridge</w:t>
            </w:r>
          </w:p>
        </w:tc>
        <w:tc>
          <w:tcPr>
            <w:tcW w:w="4394" w:type="dxa"/>
            <w:tcBorders>
              <w:top w:val="single" w:sz="4" w:space="0" w:color="ADD6EA"/>
              <w:left w:val="nil"/>
              <w:bottom w:val="nil"/>
              <w:right w:val="nil"/>
            </w:tcBorders>
          </w:tcPr>
          <w:p w14:paraId="50CA8607" w14:textId="77777777" w:rsidR="00BD07F6" w:rsidRPr="004E3756"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 xml:space="preserve">Funding for </w:t>
            </w:r>
            <w:r w:rsidRPr="004E3756">
              <w:rPr>
                <w:rFonts w:ascii="Open Sans Light" w:hAnsi="Open Sans Light" w:cs="Open Sans Light"/>
                <w:color w:val="000000"/>
                <w:sz w:val="16"/>
                <w:szCs w:val="16"/>
              </w:rPr>
              <w:t>a national museum being developed at the outback opal mining town of Lightning Ridge, Australia, to house the world’s greatest public collection of Australian opal and precious opalised fossils from the Age of Dinosaurs.</w:t>
            </w:r>
          </w:p>
        </w:tc>
        <w:tc>
          <w:tcPr>
            <w:tcW w:w="1134" w:type="dxa"/>
            <w:tcBorders>
              <w:top w:val="single" w:sz="4" w:space="0" w:color="ADD6EA"/>
              <w:left w:val="nil"/>
              <w:bottom w:val="nil"/>
              <w:right w:val="nil"/>
            </w:tcBorders>
            <w:noWrap/>
            <w:tcMar>
              <w:right w:w="85" w:type="dxa"/>
            </w:tcMar>
          </w:tcPr>
          <w:p w14:paraId="0484907D"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2.8</w:t>
            </w:r>
          </w:p>
        </w:tc>
        <w:tc>
          <w:tcPr>
            <w:tcW w:w="1276" w:type="dxa"/>
            <w:tcBorders>
              <w:top w:val="single" w:sz="4" w:space="0" w:color="ADD6EA"/>
              <w:left w:val="nil"/>
              <w:bottom w:val="nil"/>
              <w:right w:val="nil"/>
            </w:tcBorders>
            <w:noWrap/>
          </w:tcPr>
          <w:p w14:paraId="6CA7CBFF"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7C49E580"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Tourism</w:t>
            </w:r>
            <w:r>
              <w:rPr>
                <w:rFonts w:ascii="Open Sans Light" w:hAnsi="Open Sans Light" w:cs="Open Sans Light"/>
                <w:color w:val="000000"/>
                <w:sz w:val="16"/>
                <w:szCs w:val="16"/>
              </w:rPr>
              <w:t xml:space="preserve"> development is a state service, and </w:t>
            </w:r>
            <w:r w:rsidRPr="00744D67">
              <w:rPr>
                <w:rFonts w:ascii="Open Sans Light" w:hAnsi="Open Sans Light" w:cs="Open Sans Light"/>
                <w:color w:val="000000"/>
                <w:sz w:val="16"/>
                <w:szCs w:val="16"/>
              </w:rPr>
              <w:t>needs</w:t>
            </w:r>
            <w:r>
              <w:rPr>
                <w:rFonts w:ascii="Open Sans Light" w:hAnsi="Open Sans Light" w:cs="Open Sans Light"/>
                <w:color w:val="000000"/>
                <w:sz w:val="16"/>
                <w:szCs w:val="16"/>
              </w:rPr>
              <w:t xml:space="preserve"> are</w:t>
            </w:r>
            <w:r w:rsidRPr="00744D67">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BD07F6" w:rsidRPr="00184475" w14:paraId="1186329D" w14:textId="77777777">
        <w:trPr>
          <w:trHeight w:val="284"/>
        </w:trPr>
        <w:tc>
          <w:tcPr>
            <w:tcW w:w="2410" w:type="dxa"/>
            <w:tcBorders>
              <w:top w:val="single" w:sz="4" w:space="0" w:color="ADD6EA"/>
              <w:left w:val="nil"/>
              <w:bottom w:val="nil"/>
              <w:right w:val="nil"/>
            </w:tcBorders>
          </w:tcPr>
          <w:p w14:paraId="3CDC0177"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Busselton Jetty Village and Marine Discovery Centre</w:t>
            </w:r>
          </w:p>
        </w:tc>
        <w:tc>
          <w:tcPr>
            <w:tcW w:w="4394" w:type="dxa"/>
            <w:tcBorders>
              <w:top w:val="single" w:sz="4" w:space="0" w:color="ADD6EA"/>
              <w:left w:val="nil"/>
              <w:bottom w:val="nil"/>
              <w:right w:val="nil"/>
            </w:tcBorders>
          </w:tcPr>
          <w:p w14:paraId="5F30FE5B" w14:textId="77777777" w:rsidR="00BD07F6" w:rsidRPr="004E3756"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Funding for a</w:t>
            </w:r>
            <w:r w:rsidRPr="004E3756">
              <w:rPr>
                <w:rFonts w:ascii="Open Sans Light" w:hAnsi="Open Sans Light" w:cs="Open Sans Light"/>
                <w:color w:val="000000"/>
                <w:sz w:val="16"/>
                <w:szCs w:val="16"/>
              </w:rPr>
              <w:t xml:space="preserve"> marine discovery experience on the Busselton foreshore.</w:t>
            </w:r>
          </w:p>
        </w:tc>
        <w:tc>
          <w:tcPr>
            <w:tcW w:w="1134" w:type="dxa"/>
            <w:tcBorders>
              <w:top w:val="single" w:sz="4" w:space="0" w:color="ADD6EA"/>
              <w:left w:val="nil"/>
              <w:bottom w:val="nil"/>
              <w:right w:val="nil"/>
            </w:tcBorders>
            <w:noWrap/>
            <w:tcMar>
              <w:right w:w="85" w:type="dxa"/>
            </w:tcMar>
          </w:tcPr>
          <w:p w14:paraId="759AD7E0"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7.4</w:t>
            </w:r>
          </w:p>
        </w:tc>
        <w:tc>
          <w:tcPr>
            <w:tcW w:w="1276" w:type="dxa"/>
            <w:tcBorders>
              <w:top w:val="single" w:sz="4" w:space="0" w:color="ADD6EA"/>
              <w:left w:val="nil"/>
              <w:bottom w:val="nil"/>
              <w:right w:val="nil"/>
            </w:tcBorders>
            <w:noWrap/>
          </w:tcPr>
          <w:p w14:paraId="50589F04"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72D932FE"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Tourism</w:t>
            </w:r>
            <w:r>
              <w:rPr>
                <w:rFonts w:ascii="Open Sans Light" w:hAnsi="Open Sans Light" w:cs="Open Sans Light"/>
                <w:color w:val="000000"/>
                <w:sz w:val="16"/>
                <w:szCs w:val="16"/>
              </w:rPr>
              <w:t xml:space="preserve"> development is a state service, and </w:t>
            </w:r>
            <w:r w:rsidRPr="00744D67">
              <w:rPr>
                <w:rFonts w:ascii="Open Sans Light" w:hAnsi="Open Sans Light" w:cs="Open Sans Light"/>
                <w:color w:val="000000"/>
                <w:sz w:val="16"/>
                <w:szCs w:val="16"/>
              </w:rPr>
              <w:t>needs</w:t>
            </w:r>
            <w:r>
              <w:rPr>
                <w:rFonts w:ascii="Open Sans Light" w:hAnsi="Open Sans Light" w:cs="Open Sans Light"/>
                <w:color w:val="000000"/>
                <w:sz w:val="16"/>
                <w:szCs w:val="16"/>
              </w:rPr>
              <w:t xml:space="preserve"> are</w:t>
            </w:r>
            <w:r w:rsidRPr="00744D67">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BD07F6" w:rsidRPr="00184475" w14:paraId="0E66DD85" w14:textId="77777777">
        <w:trPr>
          <w:trHeight w:val="284"/>
        </w:trPr>
        <w:tc>
          <w:tcPr>
            <w:tcW w:w="2410" w:type="dxa"/>
            <w:tcBorders>
              <w:top w:val="single" w:sz="4" w:space="0" w:color="ADD6EA"/>
              <w:left w:val="nil"/>
              <w:bottom w:val="nil"/>
              <w:right w:val="nil"/>
            </w:tcBorders>
          </w:tcPr>
          <w:p w14:paraId="645059B8"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Darwin Cyclone Tracy Memorial</w:t>
            </w:r>
          </w:p>
        </w:tc>
        <w:tc>
          <w:tcPr>
            <w:tcW w:w="4394" w:type="dxa"/>
            <w:tcBorders>
              <w:top w:val="single" w:sz="4" w:space="0" w:color="ADD6EA"/>
              <w:left w:val="nil"/>
              <w:bottom w:val="nil"/>
              <w:right w:val="nil"/>
            </w:tcBorders>
          </w:tcPr>
          <w:p w14:paraId="798ED9E2" w14:textId="77777777" w:rsidR="00BD07F6" w:rsidRPr="004E3756"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Funding for the</w:t>
            </w:r>
            <w:r w:rsidRPr="004E3756">
              <w:rPr>
                <w:rFonts w:ascii="Open Sans Light" w:hAnsi="Open Sans Light" w:cs="Open Sans Light"/>
                <w:color w:val="000000"/>
                <w:sz w:val="16"/>
                <w:szCs w:val="16"/>
              </w:rPr>
              <w:t xml:space="preserve"> construction of a permanent sculpture and a separate permanent memorial in Darwin to honour those who died and those whose lives were irrevocably changed by Cyclone Tracy impacting Darwin in December 1974.</w:t>
            </w:r>
          </w:p>
        </w:tc>
        <w:tc>
          <w:tcPr>
            <w:tcW w:w="1134" w:type="dxa"/>
            <w:tcBorders>
              <w:top w:val="single" w:sz="4" w:space="0" w:color="ADD6EA"/>
              <w:left w:val="nil"/>
              <w:bottom w:val="nil"/>
              <w:right w:val="nil"/>
            </w:tcBorders>
            <w:noWrap/>
            <w:tcMar>
              <w:right w:w="85" w:type="dxa"/>
            </w:tcMar>
          </w:tcPr>
          <w:p w14:paraId="78499E78"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0.6</w:t>
            </w:r>
          </w:p>
        </w:tc>
        <w:tc>
          <w:tcPr>
            <w:tcW w:w="1276" w:type="dxa"/>
            <w:tcBorders>
              <w:top w:val="single" w:sz="4" w:space="0" w:color="ADD6EA"/>
              <w:left w:val="nil"/>
              <w:bottom w:val="nil"/>
              <w:right w:val="nil"/>
            </w:tcBorders>
            <w:noWrap/>
          </w:tcPr>
          <w:p w14:paraId="3B516D09"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3DD0CD75"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R</w:t>
            </w:r>
            <w:r w:rsidRPr="00882EAC">
              <w:rPr>
                <w:rFonts w:ascii="Open Sans Light" w:hAnsi="Open Sans Light" w:cs="Open Sans Light"/>
                <w:color w:val="000000"/>
                <w:sz w:val="16"/>
                <w:szCs w:val="16"/>
              </w:rPr>
              <w:t>ecreation</w:t>
            </w:r>
            <w:r>
              <w:rPr>
                <w:rFonts w:ascii="Open Sans Light" w:hAnsi="Open Sans Light" w:cs="Open Sans Light"/>
                <w:color w:val="000000"/>
                <w:sz w:val="16"/>
                <w:szCs w:val="16"/>
              </w:rPr>
              <w:t>al and</w:t>
            </w:r>
            <w:r w:rsidRPr="00882EAC">
              <w:rPr>
                <w:rFonts w:ascii="Open Sans Light" w:hAnsi="Open Sans Light" w:cs="Open Sans Light"/>
                <w:color w:val="000000"/>
                <w:sz w:val="16"/>
                <w:szCs w:val="16"/>
              </w:rPr>
              <w:t xml:space="preserve"> cultu</w:t>
            </w:r>
            <w:r>
              <w:rPr>
                <w:rFonts w:ascii="Open Sans Light" w:hAnsi="Open Sans Light" w:cs="Open Sans Light"/>
                <w:color w:val="000000"/>
                <w:sz w:val="16"/>
                <w:szCs w:val="16"/>
              </w:rPr>
              <w:t>ral services</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is a state function</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and needs are assessed.</w:t>
            </w:r>
          </w:p>
        </w:tc>
      </w:tr>
      <w:tr w:rsidR="00BD07F6" w:rsidRPr="00184475" w14:paraId="1A6E2236" w14:textId="77777777" w:rsidTr="00AA2EEF">
        <w:trPr>
          <w:trHeight w:val="284"/>
        </w:trPr>
        <w:tc>
          <w:tcPr>
            <w:tcW w:w="2410" w:type="dxa"/>
            <w:tcBorders>
              <w:top w:val="single" w:sz="4" w:space="0" w:color="ADD6EA"/>
              <w:left w:val="nil"/>
              <w:bottom w:val="single" w:sz="4" w:space="0" w:color="ADD6EA"/>
              <w:right w:val="nil"/>
            </w:tcBorders>
          </w:tcPr>
          <w:p w14:paraId="1B4CECE5"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National Capital Functions Program</w:t>
            </w:r>
          </w:p>
        </w:tc>
        <w:tc>
          <w:tcPr>
            <w:tcW w:w="4394" w:type="dxa"/>
            <w:tcBorders>
              <w:top w:val="single" w:sz="4" w:space="0" w:color="ADD6EA"/>
              <w:left w:val="nil"/>
              <w:bottom w:val="single" w:sz="4" w:space="0" w:color="ADD6EA"/>
              <w:right w:val="nil"/>
            </w:tcBorders>
          </w:tcPr>
          <w:p w14:paraId="7128BBCB" w14:textId="77777777" w:rsidR="00BD07F6" w:rsidRPr="004E3756" w:rsidRDefault="00BD07F6">
            <w:pPr>
              <w:spacing w:line="240" w:lineRule="auto"/>
              <w:rPr>
                <w:rFonts w:ascii="Open Sans Light" w:eastAsia="Times New Roman" w:hAnsi="Open Sans Light" w:cs="Open Sans Light"/>
                <w:color w:val="000000"/>
                <w:sz w:val="16"/>
                <w:szCs w:val="16"/>
                <w:lang w:eastAsia="en-AU"/>
              </w:rPr>
            </w:pPr>
            <w:r w:rsidRPr="004E3756">
              <w:rPr>
                <w:rFonts w:ascii="Open Sans Light" w:hAnsi="Open Sans Light" w:cs="Open Sans Light"/>
                <w:color w:val="000000"/>
                <w:sz w:val="16"/>
                <w:szCs w:val="16"/>
              </w:rPr>
              <w:t xml:space="preserve">The Australian Government is providing funding to the </w:t>
            </w:r>
            <w:r>
              <w:rPr>
                <w:rFonts w:ascii="Open Sans Light" w:hAnsi="Open Sans Light" w:cs="Open Sans Light"/>
                <w:color w:val="000000"/>
                <w:sz w:val="16"/>
                <w:szCs w:val="16"/>
              </w:rPr>
              <w:t>ACT </w:t>
            </w:r>
            <w:r w:rsidRPr="004E3756">
              <w:rPr>
                <w:rFonts w:ascii="Open Sans Light" w:hAnsi="Open Sans Light" w:cs="Open Sans Light"/>
                <w:color w:val="000000"/>
                <w:sz w:val="16"/>
                <w:szCs w:val="16"/>
              </w:rPr>
              <w:t xml:space="preserve">Government for delivery of services that fulfil Commonwealth responsibilities of diplomatic and treaty obligations and relevant legislative provisions. This includes registration of diplomatic vehicles and licences, electronic registration of certain deaths abroad, French teaching under the </w:t>
            </w:r>
            <w:proofErr w:type="gramStart"/>
            <w:r w:rsidRPr="004E3756">
              <w:rPr>
                <w:rFonts w:ascii="Open Sans Light" w:hAnsi="Open Sans Light" w:cs="Open Sans Light"/>
                <w:color w:val="000000"/>
                <w:sz w:val="16"/>
                <w:szCs w:val="16"/>
              </w:rPr>
              <w:t>French-Australian</w:t>
            </w:r>
            <w:proofErr w:type="gramEnd"/>
            <w:r w:rsidRPr="004E3756">
              <w:rPr>
                <w:rFonts w:ascii="Open Sans Light" w:hAnsi="Open Sans Light" w:cs="Open Sans Light"/>
                <w:color w:val="000000"/>
                <w:sz w:val="16"/>
                <w:szCs w:val="16"/>
              </w:rPr>
              <w:t xml:space="preserve"> program for the purpose of meeting the Commonwealth's obligations and facilitating International Baccalaureate membership at Narrabundah College</w:t>
            </w:r>
            <w:r>
              <w:rPr>
                <w:rFonts w:ascii="Open Sans Light" w:hAnsi="Open Sans Light" w:cs="Open Sans Light"/>
                <w:color w:val="000000"/>
                <w:sz w:val="16"/>
                <w:szCs w:val="16"/>
              </w:rPr>
              <w:t>.</w:t>
            </w:r>
          </w:p>
        </w:tc>
        <w:tc>
          <w:tcPr>
            <w:tcW w:w="1134" w:type="dxa"/>
            <w:tcBorders>
              <w:top w:val="single" w:sz="4" w:space="0" w:color="ADD6EA"/>
              <w:left w:val="nil"/>
              <w:bottom w:val="single" w:sz="4" w:space="0" w:color="ADD6EA"/>
              <w:right w:val="nil"/>
            </w:tcBorders>
            <w:noWrap/>
            <w:tcMar>
              <w:right w:w="85" w:type="dxa"/>
            </w:tcMar>
          </w:tcPr>
          <w:p w14:paraId="42B95A33"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1.6</w:t>
            </w:r>
          </w:p>
        </w:tc>
        <w:tc>
          <w:tcPr>
            <w:tcW w:w="1276" w:type="dxa"/>
            <w:tcBorders>
              <w:top w:val="single" w:sz="4" w:space="0" w:color="ADD6EA"/>
              <w:left w:val="nil"/>
              <w:bottom w:val="single" w:sz="4" w:space="0" w:color="ADD6EA"/>
              <w:right w:val="nil"/>
            </w:tcBorders>
            <w:noWrap/>
          </w:tcPr>
          <w:p w14:paraId="5BC62F51"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5D1219A1"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Fulfilling diplomatic and treaty obligations is a responsibility of the Commonwealth.</w:t>
            </w:r>
          </w:p>
        </w:tc>
      </w:tr>
      <w:tr w:rsidR="00BD07F6" w:rsidRPr="00184475" w14:paraId="3C17EE86" w14:textId="77777777" w:rsidTr="00AA2EEF">
        <w:trPr>
          <w:trHeight w:val="648"/>
        </w:trPr>
        <w:tc>
          <w:tcPr>
            <w:tcW w:w="2410" w:type="dxa"/>
            <w:tcBorders>
              <w:top w:val="single" w:sz="4" w:space="0" w:color="ADD6EA"/>
              <w:left w:val="nil"/>
              <w:bottom w:val="single" w:sz="4" w:space="0" w:color="ADD6EA"/>
              <w:right w:val="nil"/>
            </w:tcBorders>
          </w:tcPr>
          <w:p w14:paraId="0E233A9A"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Regional Roads Australian Mobile Program - Pilot Program</w:t>
            </w:r>
          </w:p>
        </w:tc>
        <w:tc>
          <w:tcPr>
            <w:tcW w:w="4394" w:type="dxa"/>
            <w:tcBorders>
              <w:top w:val="single" w:sz="4" w:space="0" w:color="ADD6EA"/>
              <w:left w:val="nil"/>
              <w:bottom w:val="single" w:sz="4" w:space="0" w:color="ADD6EA"/>
              <w:right w:val="nil"/>
            </w:tcBorders>
          </w:tcPr>
          <w:p w14:paraId="788BD645"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6D4924">
              <w:rPr>
                <w:rFonts w:ascii="Open Sans Light" w:eastAsia="Times New Roman" w:hAnsi="Open Sans Light" w:cs="Open Sans Light"/>
                <w:color w:val="000000"/>
                <w:sz w:val="16"/>
                <w:szCs w:val="16"/>
                <w:lang w:eastAsia="en-AU"/>
              </w:rPr>
              <w:t>unding to improve multi-carrier mobile coverage on highways and major roads in regional and remote Australia.</w:t>
            </w:r>
          </w:p>
        </w:tc>
        <w:tc>
          <w:tcPr>
            <w:tcW w:w="1134" w:type="dxa"/>
            <w:tcBorders>
              <w:top w:val="single" w:sz="4" w:space="0" w:color="ADD6EA"/>
              <w:left w:val="nil"/>
              <w:bottom w:val="single" w:sz="4" w:space="0" w:color="ADD6EA"/>
              <w:right w:val="nil"/>
            </w:tcBorders>
            <w:noWrap/>
            <w:tcMar>
              <w:right w:w="85" w:type="dxa"/>
            </w:tcMar>
          </w:tcPr>
          <w:p w14:paraId="27A81B57" w14:textId="77777777" w:rsidR="00BD07F6" w:rsidRPr="00CB1CE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18.5</w:t>
            </w:r>
          </w:p>
        </w:tc>
        <w:tc>
          <w:tcPr>
            <w:tcW w:w="1276" w:type="dxa"/>
            <w:tcBorders>
              <w:top w:val="single" w:sz="4" w:space="0" w:color="ADD6EA"/>
              <w:left w:val="nil"/>
              <w:bottom w:val="single" w:sz="4" w:space="0" w:color="ADD6EA"/>
              <w:right w:val="nil"/>
            </w:tcBorders>
            <w:noWrap/>
          </w:tcPr>
          <w:p w14:paraId="772D9F43"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2C43B232"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Telecommunications is a Commonwealth responsibility.</w:t>
            </w:r>
          </w:p>
        </w:tc>
      </w:tr>
      <w:tr w:rsidR="00BD07F6" w:rsidRPr="00184475" w14:paraId="648A3276" w14:textId="77777777">
        <w:trPr>
          <w:trHeight w:val="284"/>
        </w:trPr>
        <w:tc>
          <w:tcPr>
            <w:tcW w:w="2410" w:type="dxa"/>
            <w:tcBorders>
              <w:top w:val="single" w:sz="4" w:space="0" w:color="ADD6EA"/>
              <w:left w:val="nil"/>
              <w:bottom w:val="nil"/>
              <w:right w:val="nil"/>
            </w:tcBorders>
          </w:tcPr>
          <w:p w14:paraId="7D2653A8"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lastRenderedPageBreak/>
              <w:t xml:space="preserve">Upgrades to the </w:t>
            </w:r>
            <w:proofErr w:type="spellStart"/>
            <w:r>
              <w:rPr>
                <w:rFonts w:ascii="Open Sans Light" w:eastAsia="Times New Roman" w:hAnsi="Open Sans Light" w:cs="Open Sans Light"/>
                <w:color w:val="000000" w:themeColor="text1"/>
                <w:sz w:val="16"/>
                <w:szCs w:val="16"/>
                <w:lang w:eastAsia="en-AU"/>
              </w:rPr>
              <w:t>Q</w:t>
            </w:r>
            <w:r w:rsidRPr="00744D67">
              <w:rPr>
                <w:rFonts w:ascii="Open Sans Light" w:eastAsia="Times New Roman" w:hAnsi="Open Sans Light" w:cs="Open Sans Light"/>
                <w:color w:val="000000" w:themeColor="text1"/>
                <w:sz w:val="16"/>
                <w:szCs w:val="16"/>
                <w:lang w:eastAsia="en-AU"/>
              </w:rPr>
              <w:t>topia</w:t>
            </w:r>
            <w:proofErr w:type="spellEnd"/>
            <w:r w:rsidRPr="00744D67">
              <w:rPr>
                <w:rFonts w:ascii="Open Sans Light" w:eastAsia="Times New Roman" w:hAnsi="Open Sans Light" w:cs="Open Sans Light"/>
                <w:color w:val="000000" w:themeColor="text1"/>
                <w:sz w:val="16"/>
                <w:szCs w:val="16"/>
                <w:lang w:eastAsia="en-AU"/>
              </w:rPr>
              <w:t xml:space="preserve"> Sydney Museum</w:t>
            </w:r>
          </w:p>
        </w:tc>
        <w:tc>
          <w:tcPr>
            <w:tcW w:w="4394" w:type="dxa"/>
            <w:tcBorders>
              <w:top w:val="single" w:sz="4" w:space="0" w:color="ADD6EA"/>
              <w:left w:val="nil"/>
              <w:bottom w:val="nil"/>
              <w:right w:val="nil"/>
            </w:tcBorders>
          </w:tcPr>
          <w:p w14:paraId="42645116"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Funding for </w:t>
            </w:r>
            <w:r w:rsidRPr="004E349B">
              <w:rPr>
                <w:rFonts w:ascii="Open Sans Light" w:eastAsia="Times New Roman" w:hAnsi="Open Sans Light" w:cs="Open Sans Light"/>
                <w:color w:val="000000"/>
                <w:sz w:val="16"/>
                <w:szCs w:val="16"/>
                <w:lang w:eastAsia="en-AU"/>
              </w:rPr>
              <w:t xml:space="preserve">the delivery of capital works to upgrade the first of the former Darlinghurst Police Station and expand </w:t>
            </w:r>
            <w:proofErr w:type="spellStart"/>
            <w:r w:rsidRPr="004E349B">
              <w:rPr>
                <w:rFonts w:ascii="Open Sans Light" w:eastAsia="Times New Roman" w:hAnsi="Open Sans Light" w:cs="Open Sans Light"/>
                <w:color w:val="000000"/>
                <w:sz w:val="16"/>
                <w:szCs w:val="16"/>
                <w:lang w:eastAsia="en-AU"/>
              </w:rPr>
              <w:t>Qtopia</w:t>
            </w:r>
            <w:proofErr w:type="spellEnd"/>
            <w:r w:rsidRPr="004E349B">
              <w:rPr>
                <w:rFonts w:ascii="Open Sans Light" w:eastAsia="Times New Roman" w:hAnsi="Open Sans Light" w:cs="Open Sans Light"/>
                <w:color w:val="000000"/>
                <w:sz w:val="16"/>
                <w:szCs w:val="16"/>
                <w:lang w:eastAsia="en-AU"/>
              </w:rPr>
              <w:t xml:space="preserve"> Sydney.</w:t>
            </w:r>
          </w:p>
        </w:tc>
        <w:tc>
          <w:tcPr>
            <w:tcW w:w="1134" w:type="dxa"/>
            <w:tcBorders>
              <w:top w:val="single" w:sz="4" w:space="0" w:color="ADD6EA"/>
              <w:left w:val="nil"/>
              <w:bottom w:val="nil"/>
              <w:right w:val="nil"/>
            </w:tcBorders>
            <w:noWrap/>
            <w:tcMar>
              <w:right w:w="85" w:type="dxa"/>
            </w:tcMar>
          </w:tcPr>
          <w:p w14:paraId="1D8798FA"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1.5</w:t>
            </w:r>
          </w:p>
        </w:tc>
        <w:tc>
          <w:tcPr>
            <w:tcW w:w="1276" w:type="dxa"/>
            <w:tcBorders>
              <w:top w:val="single" w:sz="4" w:space="0" w:color="ADD6EA"/>
              <w:left w:val="nil"/>
              <w:bottom w:val="nil"/>
              <w:right w:val="nil"/>
            </w:tcBorders>
            <w:noWrap/>
          </w:tcPr>
          <w:p w14:paraId="76047C71"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25270226"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r</w:t>
            </w:r>
            <w:r w:rsidRPr="00882EAC">
              <w:rPr>
                <w:rFonts w:ascii="Open Sans Light" w:hAnsi="Open Sans Light" w:cs="Open Sans Light"/>
                <w:color w:val="000000"/>
                <w:sz w:val="16"/>
                <w:szCs w:val="16"/>
              </w:rPr>
              <w:t>ecreation</w:t>
            </w:r>
            <w:r>
              <w:rPr>
                <w:rFonts w:ascii="Open Sans Light" w:hAnsi="Open Sans Light" w:cs="Open Sans Light"/>
                <w:color w:val="000000"/>
                <w:sz w:val="16"/>
                <w:szCs w:val="16"/>
              </w:rPr>
              <w:t>al and</w:t>
            </w:r>
            <w:r w:rsidRPr="00882EAC">
              <w:rPr>
                <w:rFonts w:ascii="Open Sans Light" w:hAnsi="Open Sans Light" w:cs="Open Sans Light"/>
                <w:color w:val="000000"/>
                <w:sz w:val="16"/>
                <w:szCs w:val="16"/>
              </w:rPr>
              <w:t xml:space="preserve"> cultu</w:t>
            </w:r>
            <w:r>
              <w:rPr>
                <w:rFonts w:ascii="Open Sans Light" w:hAnsi="Open Sans Light" w:cs="Open Sans Light"/>
                <w:color w:val="000000"/>
                <w:sz w:val="16"/>
                <w:szCs w:val="16"/>
              </w:rPr>
              <w:t>ral services</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is a state function</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and needs are assessed.</w:t>
            </w:r>
          </w:p>
        </w:tc>
      </w:tr>
      <w:tr w:rsidR="00BD07F6" w:rsidRPr="00184475" w14:paraId="6BE2BDD1" w14:textId="77777777">
        <w:trPr>
          <w:trHeight w:val="284"/>
        </w:trPr>
        <w:tc>
          <w:tcPr>
            <w:tcW w:w="2410" w:type="dxa"/>
            <w:tcBorders>
              <w:top w:val="single" w:sz="4" w:space="0" w:color="ADD6EA"/>
              <w:left w:val="nil"/>
              <w:bottom w:val="nil"/>
              <w:right w:val="nil"/>
            </w:tcBorders>
          </w:tcPr>
          <w:p w14:paraId="24BEBDB9"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Warburton Mountain Bike Destination Project</w:t>
            </w:r>
          </w:p>
        </w:tc>
        <w:tc>
          <w:tcPr>
            <w:tcW w:w="4394" w:type="dxa"/>
            <w:tcBorders>
              <w:top w:val="single" w:sz="4" w:space="0" w:color="ADD6EA"/>
              <w:left w:val="nil"/>
              <w:bottom w:val="nil"/>
              <w:right w:val="nil"/>
            </w:tcBorders>
          </w:tcPr>
          <w:p w14:paraId="4481286A"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Funding for a world-class mountain bike destination.</w:t>
            </w:r>
          </w:p>
        </w:tc>
        <w:tc>
          <w:tcPr>
            <w:tcW w:w="1134" w:type="dxa"/>
            <w:tcBorders>
              <w:top w:val="single" w:sz="4" w:space="0" w:color="ADD6EA"/>
              <w:left w:val="nil"/>
              <w:bottom w:val="nil"/>
              <w:right w:val="nil"/>
            </w:tcBorders>
            <w:noWrap/>
            <w:tcMar>
              <w:right w:w="85" w:type="dxa"/>
            </w:tcMar>
          </w:tcPr>
          <w:p w14:paraId="29F84BEB"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3.0</w:t>
            </w:r>
          </w:p>
        </w:tc>
        <w:tc>
          <w:tcPr>
            <w:tcW w:w="1276" w:type="dxa"/>
            <w:tcBorders>
              <w:top w:val="single" w:sz="4" w:space="0" w:color="ADD6EA"/>
              <w:left w:val="nil"/>
              <w:bottom w:val="nil"/>
              <w:right w:val="nil"/>
            </w:tcBorders>
            <w:noWrap/>
          </w:tcPr>
          <w:p w14:paraId="35852EF1"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5166B2B5"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Tourism and recreational infrastructure are a state service, and needs are assessed.</w:t>
            </w:r>
          </w:p>
        </w:tc>
      </w:tr>
      <w:tr w:rsidR="00BD07F6" w:rsidRPr="00184475" w14:paraId="4189482B" w14:textId="77777777">
        <w:trPr>
          <w:trHeight w:val="284"/>
        </w:trPr>
        <w:tc>
          <w:tcPr>
            <w:tcW w:w="2410" w:type="dxa"/>
            <w:tcBorders>
              <w:top w:val="single" w:sz="4" w:space="0" w:color="ADD6EA"/>
              <w:left w:val="nil"/>
              <w:bottom w:val="nil"/>
              <w:right w:val="nil"/>
            </w:tcBorders>
          </w:tcPr>
          <w:p w14:paraId="7498E2A0"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WA Telecommunication Resilience Program Pilot</w:t>
            </w:r>
          </w:p>
        </w:tc>
        <w:tc>
          <w:tcPr>
            <w:tcW w:w="4394" w:type="dxa"/>
            <w:tcBorders>
              <w:top w:val="single" w:sz="4" w:space="0" w:color="ADD6EA"/>
              <w:left w:val="nil"/>
              <w:bottom w:val="nil"/>
              <w:right w:val="nil"/>
            </w:tcBorders>
          </w:tcPr>
          <w:p w14:paraId="283AFCF4"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Funding for urgent upgrades to telecommunication infrastructure during the bushfire season in priority locations.</w:t>
            </w:r>
          </w:p>
        </w:tc>
        <w:tc>
          <w:tcPr>
            <w:tcW w:w="1134" w:type="dxa"/>
            <w:tcBorders>
              <w:top w:val="single" w:sz="4" w:space="0" w:color="ADD6EA"/>
              <w:left w:val="nil"/>
              <w:bottom w:val="nil"/>
              <w:right w:val="nil"/>
            </w:tcBorders>
            <w:noWrap/>
            <w:tcMar>
              <w:right w:w="85" w:type="dxa"/>
            </w:tcMar>
          </w:tcPr>
          <w:p w14:paraId="7A06D49C"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nil"/>
              <w:right w:val="nil"/>
            </w:tcBorders>
            <w:noWrap/>
          </w:tcPr>
          <w:p w14:paraId="731758CF"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No Impact</w:t>
            </w:r>
          </w:p>
        </w:tc>
        <w:tc>
          <w:tcPr>
            <w:tcW w:w="4678" w:type="dxa"/>
            <w:tcBorders>
              <w:top w:val="single" w:sz="4" w:space="0" w:color="ADD6EA"/>
              <w:left w:val="nil"/>
              <w:bottom w:val="nil"/>
              <w:right w:val="nil"/>
            </w:tcBorders>
            <w:noWrap/>
          </w:tcPr>
          <w:p w14:paraId="61B6EC04"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 xml:space="preserve">Telecommunications is a Commonwealth </w:t>
            </w:r>
            <w:r>
              <w:rPr>
                <w:rFonts w:ascii="Open Sans Light" w:hAnsi="Open Sans Light" w:cs="Open Sans Light"/>
                <w:color w:val="000000"/>
                <w:sz w:val="16"/>
                <w:szCs w:val="16"/>
              </w:rPr>
              <w:t>r</w:t>
            </w:r>
            <w:r w:rsidRPr="00744D67">
              <w:rPr>
                <w:rFonts w:ascii="Open Sans Light" w:hAnsi="Open Sans Light" w:cs="Open Sans Light"/>
                <w:color w:val="000000"/>
                <w:sz w:val="16"/>
                <w:szCs w:val="16"/>
              </w:rPr>
              <w:t>esponsibility</w:t>
            </w:r>
            <w:r>
              <w:rPr>
                <w:rFonts w:ascii="Open Sans Light" w:hAnsi="Open Sans Light" w:cs="Open Sans Light"/>
                <w:color w:val="000000"/>
                <w:sz w:val="16"/>
                <w:szCs w:val="16"/>
              </w:rPr>
              <w:t>.</w:t>
            </w:r>
          </w:p>
        </w:tc>
      </w:tr>
      <w:tr w:rsidR="00BD07F6" w:rsidRPr="00184475" w14:paraId="7D85C9D9" w14:textId="77777777">
        <w:trPr>
          <w:trHeight w:val="284"/>
        </w:trPr>
        <w:tc>
          <w:tcPr>
            <w:tcW w:w="2410" w:type="dxa"/>
            <w:tcBorders>
              <w:top w:val="single" w:sz="4" w:space="0" w:color="ADD6EA"/>
              <w:left w:val="nil"/>
              <w:bottom w:val="nil"/>
              <w:right w:val="nil"/>
            </w:tcBorders>
          </w:tcPr>
          <w:p w14:paraId="4AA276FB" w14:textId="77777777" w:rsidR="00BD07F6" w:rsidRPr="00744D67" w:rsidRDefault="00BD07F6">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Whyalla Airport Upgrades</w:t>
            </w:r>
          </w:p>
        </w:tc>
        <w:tc>
          <w:tcPr>
            <w:tcW w:w="4394" w:type="dxa"/>
            <w:tcBorders>
              <w:top w:val="single" w:sz="4" w:space="0" w:color="ADD6EA"/>
              <w:left w:val="nil"/>
              <w:bottom w:val="nil"/>
              <w:right w:val="nil"/>
            </w:tcBorders>
          </w:tcPr>
          <w:p w14:paraId="55BB6176"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0F494E">
              <w:rPr>
                <w:rFonts w:ascii="Open Sans Light" w:eastAsia="Times New Roman" w:hAnsi="Open Sans Light" w:cs="Open Sans Light"/>
                <w:color w:val="000000"/>
                <w:sz w:val="16"/>
                <w:szCs w:val="16"/>
                <w:lang w:eastAsia="en-AU"/>
              </w:rPr>
              <w:t>unding to support delivery of upgrades to strengthen the Whyalla Airport runway to enable larger, heavier aircraft to land safely.</w:t>
            </w:r>
          </w:p>
        </w:tc>
        <w:tc>
          <w:tcPr>
            <w:tcW w:w="1134" w:type="dxa"/>
            <w:tcBorders>
              <w:top w:val="single" w:sz="4" w:space="0" w:color="ADD6EA"/>
              <w:left w:val="nil"/>
              <w:bottom w:val="nil"/>
              <w:right w:val="nil"/>
            </w:tcBorders>
            <w:noWrap/>
            <w:tcMar>
              <w:right w:w="85" w:type="dxa"/>
            </w:tcMar>
          </w:tcPr>
          <w:p w14:paraId="1096C363" w14:textId="77777777" w:rsidR="00BD07F6" w:rsidRPr="00744D6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10.0</w:t>
            </w:r>
          </w:p>
        </w:tc>
        <w:tc>
          <w:tcPr>
            <w:tcW w:w="1276" w:type="dxa"/>
            <w:tcBorders>
              <w:top w:val="single" w:sz="4" w:space="0" w:color="ADD6EA"/>
              <w:left w:val="nil"/>
              <w:bottom w:val="nil"/>
              <w:right w:val="nil"/>
            </w:tcBorders>
            <w:noWrap/>
          </w:tcPr>
          <w:p w14:paraId="02D26670"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No impact</w:t>
            </w:r>
          </w:p>
        </w:tc>
        <w:tc>
          <w:tcPr>
            <w:tcW w:w="4678" w:type="dxa"/>
            <w:tcBorders>
              <w:top w:val="single" w:sz="4" w:space="0" w:color="ADD6EA"/>
              <w:left w:val="nil"/>
              <w:bottom w:val="nil"/>
              <w:right w:val="nil"/>
            </w:tcBorders>
            <w:noWrap/>
          </w:tcPr>
          <w:p w14:paraId="5CB09660" w14:textId="77777777" w:rsidR="00BD07F6" w:rsidRPr="00744D67" w:rsidRDefault="00BD07F6">
            <w:pPr>
              <w:spacing w:line="240" w:lineRule="auto"/>
              <w:rPr>
                <w:rFonts w:ascii="Open Sans Light" w:eastAsia="Times New Roman" w:hAnsi="Open Sans Light" w:cs="Open Sans Light"/>
                <w:color w:val="000000"/>
                <w:sz w:val="16"/>
                <w:szCs w:val="16"/>
                <w:lang w:eastAsia="en-AU"/>
              </w:rPr>
            </w:pPr>
            <w:r w:rsidRPr="00FB7F9C">
              <w:rPr>
                <w:rFonts w:ascii="Open Sans Light" w:eastAsia="Times New Roman" w:hAnsi="Open Sans Light" w:cs="Open Sans Light"/>
                <w:color w:val="000000"/>
                <w:sz w:val="16"/>
                <w:szCs w:val="16"/>
                <w:lang w:eastAsia="en-AU"/>
              </w:rPr>
              <w:t>While investment in airport infrastructure is a normal state service, the Commission does not assess needs related to airport infrastructure in its non-urban transport assessment.</w:t>
            </w:r>
          </w:p>
        </w:tc>
      </w:tr>
      <w:tr w:rsidR="00BD07F6" w:rsidRPr="00184475" w14:paraId="624CA6F6" w14:textId="77777777">
        <w:trPr>
          <w:trHeight w:val="284"/>
        </w:trPr>
        <w:tc>
          <w:tcPr>
            <w:tcW w:w="2410" w:type="dxa"/>
            <w:tcBorders>
              <w:top w:val="single" w:sz="4" w:space="0" w:color="ADD6EA"/>
              <w:left w:val="nil"/>
              <w:bottom w:val="nil"/>
              <w:right w:val="nil"/>
            </w:tcBorders>
            <w:shd w:val="clear" w:color="auto" w:fill="B6D5E4"/>
          </w:tcPr>
          <w:p w14:paraId="109D8D09" w14:textId="77777777" w:rsidR="00BD07F6" w:rsidRPr="00184475" w:rsidRDefault="00BD07F6">
            <w:pPr>
              <w:spacing w:line="240" w:lineRule="auto"/>
              <w:rPr>
                <w:rFonts w:ascii="Open Sans Semibold" w:eastAsia="Times New Roman" w:hAnsi="Open Sans Semibold" w:cs="Open Sans Semibold"/>
                <w:color w:val="000000"/>
                <w:sz w:val="16"/>
                <w:szCs w:val="16"/>
                <w:lang w:eastAsia="en-AU"/>
              </w:rPr>
            </w:pPr>
            <w:r w:rsidRPr="481A7BDB">
              <w:rPr>
                <w:rFonts w:ascii="Open Sans Semibold" w:eastAsia="Times New Roman" w:hAnsi="Open Sans Semibold" w:cs="Open Sans Semibold"/>
                <w:color w:val="000000" w:themeColor="text1"/>
                <w:sz w:val="16"/>
                <w:szCs w:val="16"/>
                <w:lang w:eastAsia="en-AU"/>
              </w:rPr>
              <w:t>Environment,</w:t>
            </w:r>
            <w:r w:rsidRPr="2BC756B2">
              <w:rPr>
                <w:rFonts w:ascii="Open Sans Semibold" w:eastAsia="Times New Roman" w:hAnsi="Open Sans Semibold" w:cs="Open Sans Semibold"/>
                <w:color w:val="000000" w:themeColor="text1"/>
                <w:sz w:val="16"/>
                <w:szCs w:val="16"/>
                <w:lang w:eastAsia="en-AU"/>
              </w:rPr>
              <w:t xml:space="preserve"> </w:t>
            </w:r>
            <w:r w:rsidRPr="16D864F0">
              <w:rPr>
                <w:rFonts w:ascii="Open Sans Semibold" w:eastAsia="Times New Roman" w:hAnsi="Open Sans Semibold" w:cs="Open Sans Semibold"/>
                <w:color w:val="000000" w:themeColor="text1"/>
                <w:sz w:val="16"/>
                <w:szCs w:val="16"/>
                <w:lang w:eastAsia="en-AU"/>
              </w:rPr>
              <w:t>energy and water</w:t>
            </w:r>
          </w:p>
        </w:tc>
        <w:tc>
          <w:tcPr>
            <w:tcW w:w="4394" w:type="dxa"/>
            <w:tcBorders>
              <w:top w:val="single" w:sz="4" w:space="0" w:color="ADD6EA"/>
              <w:left w:val="nil"/>
              <w:bottom w:val="nil"/>
              <w:right w:val="nil"/>
            </w:tcBorders>
            <w:shd w:val="clear" w:color="auto" w:fill="B6D5E4"/>
          </w:tcPr>
          <w:p w14:paraId="073847D9" w14:textId="77777777" w:rsidR="00BD07F6" w:rsidRPr="00184475" w:rsidRDefault="00BD07F6">
            <w:pPr>
              <w:spacing w:line="240" w:lineRule="auto"/>
              <w:rPr>
                <w:rFonts w:ascii="Open Sans Semibold" w:eastAsia="Times New Roman" w:hAnsi="Open Sans Semibold" w:cs="Open Sans Semibold"/>
                <w:color w:val="000000"/>
                <w:sz w:val="16"/>
                <w:szCs w:val="16"/>
                <w:lang w:eastAsia="en-AU"/>
              </w:rPr>
            </w:pPr>
          </w:p>
        </w:tc>
        <w:tc>
          <w:tcPr>
            <w:tcW w:w="1134" w:type="dxa"/>
            <w:tcBorders>
              <w:top w:val="single" w:sz="4" w:space="0" w:color="ADD6EA"/>
              <w:left w:val="nil"/>
              <w:bottom w:val="nil"/>
              <w:right w:val="nil"/>
            </w:tcBorders>
            <w:shd w:val="clear" w:color="auto" w:fill="B6D5E4"/>
            <w:noWrap/>
            <w:tcMar>
              <w:right w:w="85" w:type="dxa"/>
            </w:tcMar>
          </w:tcPr>
          <w:p w14:paraId="1528FE71" w14:textId="77777777" w:rsidR="00BD07F6" w:rsidRPr="00184475" w:rsidRDefault="00BD07F6">
            <w:pPr>
              <w:spacing w:line="240" w:lineRule="auto"/>
              <w:ind w:right="227"/>
              <w:rPr>
                <w:rFonts w:ascii="Open Sans Semibold" w:eastAsia="Times New Roman" w:hAnsi="Open Sans Semibold" w:cs="Open Sans Semibold"/>
                <w:color w:val="000000"/>
                <w:sz w:val="16"/>
                <w:szCs w:val="16"/>
                <w:lang w:eastAsia="en-AU"/>
              </w:rPr>
            </w:pPr>
          </w:p>
        </w:tc>
        <w:tc>
          <w:tcPr>
            <w:tcW w:w="1276" w:type="dxa"/>
            <w:tcBorders>
              <w:top w:val="single" w:sz="4" w:space="0" w:color="ADD6EA"/>
              <w:left w:val="nil"/>
              <w:bottom w:val="nil"/>
              <w:right w:val="nil"/>
            </w:tcBorders>
            <w:shd w:val="clear" w:color="auto" w:fill="B6D5E4"/>
            <w:noWrap/>
          </w:tcPr>
          <w:p w14:paraId="60B5E7C7" w14:textId="77777777" w:rsidR="00BD07F6" w:rsidRPr="00184475" w:rsidRDefault="00BD07F6">
            <w:pPr>
              <w:spacing w:line="240" w:lineRule="auto"/>
              <w:rPr>
                <w:rFonts w:ascii="Open Sans Semibold" w:eastAsia="Times New Roman" w:hAnsi="Open Sans Semibold" w:cs="Open Sans Semibold"/>
                <w:color w:val="000000"/>
                <w:sz w:val="16"/>
                <w:szCs w:val="20"/>
                <w:lang w:eastAsia="en-AU"/>
              </w:rPr>
            </w:pPr>
          </w:p>
        </w:tc>
        <w:tc>
          <w:tcPr>
            <w:tcW w:w="4678" w:type="dxa"/>
            <w:tcBorders>
              <w:top w:val="single" w:sz="4" w:space="0" w:color="ADD6EA"/>
              <w:left w:val="nil"/>
              <w:bottom w:val="nil"/>
              <w:right w:val="nil"/>
            </w:tcBorders>
            <w:shd w:val="clear" w:color="auto" w:fill="B6D5E4"/>
            <w:noWrap/>
          </w:tcPr>
          <w:p w14:paraId="3D899602" w14:textId="77777777" w:rsidR="00BD07F6" w:rsidRPr="00184475" w:rsidRDefault="00BD07F6">
            <w:pPr>
              <w:spacing w:line="240" w:lineRule="auto"/>
              <w:rPr>
                <w:rFonts w:ascii="Open Sans Semibold" w:eastAsia="Times New Roman" w:hAnsi="Open Sans Semibold" w:cs="Open Sans Semibold"/>
                <w:color w:val="000000"/>
                <w:sz w:val="16"/>
                <w:szCs w:val="20"/>
                <w:lang w:eastAsia="en-AU"/>
              </w:rPr>
            </w:pPr>
          </w:p>
        </w:tc>
      </w:tr>
      <w:tr w:rsidR="00BD07F6" w:rsidRPr="00C91117" w14:paraId="78F4CF4A" w14:textId="77777777">
        <w:trPr>
          <w:trHeight w:val="665"/>
        </w:trPr>
        <w:tc>
          <w:tcPr>
            <w:tcW w:w="2410" w:type="dxa"/>
            <w:tcBorders>
              <w:top w:val="single" w:sz="4" w:space="0" w:color="ADD6EA"/>
              <w:left w:val="nil"/>
              <w:bottom w:val="single" w:sz="4" w:space="0" w:color="ADD6EA"/>
              <w:right w:val="nil"/>
            </w:tcBorders>
          </w:tcPr>
          <w:p w14:paraId="31AE1C36" w14:textId="77777777" w:rsidR="00BD07F6" w:rsidRPr="00E06561" w:rsidRDefault="00BD07F6">
            <w:pPr>
              <w:spacing w:line="240" w:lineRule="auto"/>
              <w:rPr>
                <w:rFonts w:ascii="Open Sans Light" w:hAnsi="Open Sans Light" w:cs="Open Sans Light"/>
                <w:sz w:val="16"/>
                <w:szCs w:val="16"/>
              </w:rPr>
            </w:pPr>
            <w:r w:rsidRPr="00E06561">
              <w:rPr>
                <w:rFonts w:ascii="Open Sans Light" w:hAnsi="Open Sans Light" w:cs="Open Sans Light"/>
                <w:color w:val="212529"/>
                <w:sz w:val="16"/>
                <w:szCs w:val="16"/>
              </w:rPr>
              <w:t>Recycling modernisation fund - plastics technology stream</w:t>
            </w:r>
          </w:p>
        </w:tc>
        <w:tc>
          <w:tcPr>
            <w:tcW w:w="4394" w:type="dxa"/>
            <w:tcBorders>
              <w:top w:val="single" w:sz="4" w:space="0" w:color="ADD6EA"/>
              <w:left w:val="nil"/>
              <w:bottom w:val="single" w:sz="4" w:space="0" w:color="ADD6EA"/>
              <w:right w:val="nil"/>
            </w:tcBorders>
          </w:tcPr>
          <w:p w14:paraId="7F7D0C38"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for improved recycling outcomes by addressing critical infrastructure and technology gaps in Australia’s waste management and resource recovery system.</w:t>
            </w:r>
          </w:p>
        </w:tc>
        <w:tc>
          <w:tcPr>
            <w:tcW w:w="1134" w:type="dxa"/>
            <w:tcBorders>
              <w:top w:val="single" w:sz="4" w:space="0" w:color="ADD6EA"/>
              <w:left w:val="nil"/>
              <w:bottom w:val="single" w:sz="4" w:space="0" w:color="ADD6EA"/>
              <w:right w:val="nil"/>
            </w:tcBorders>
            <w:noWrap/>
            <w:tcMar>
              <w:right w:w="85" w:type="dxa"/>
            </w:tcMar>
          </w:tcPr>
          <w:p w14:paraId="7B4AC0EB"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23.7</w:t>
            </w:r>
          </w:p>
        </w:tc>
        <w:tc>
          <w:tcPr>
            <w:tcW w:w="1276" w:type="dxa"/>
            <w:tcBorders>
              <w:top w:val="single" w:sz="4" w:space="0" w:color="ADD6EA"/>
              <w:left w:val="nil"/>
              <w:bottom w:val="single" w:sz="4" w:space="0" w:color="ADD6EA"/>
              <w:right w:val="nil"/>
            </w:tcBorders>
            <w:noWrap/>
          </w:tcPr>
          <w:p w14:paraId="7DD7EBE2"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5F812853"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Business development is a state function, and needs are assessed. </w:t>
            </w:r>
          </w:p>
        </w:tc>
      </w:tr>
      <w:tr w:rsidR="00BD07F6" w:rsidRPr="00C91117" w14:paraId="25A9731A" w14:textId="77777777">
        <w:trPr>
          <w:trHeight w:val="605"/>
        </w:trPr>
        <w:tc>
          <w:tcPr>
            <w:tcW w:w="2410" w:type="dxa"/>
            <w:tcBorders>
              <w:top w:val="single" w:sz="4" w:space="0" w:color="ADD6EA"/>
              <w:left w:val="nil"/>
              <w:bottom w:val="single" w:sz="4" w:space="0" w:color="ADD6EA"/>
              <w:right w:val="nil"/>
            </w:tcBorders>
          </w:tcPr>
          <w:p w14:paraId="62C15399"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Reef 2050 Plan - Sustainable Fisheries</w:t>
            </w:r>
          </w:p>
        </w:tc>
        <w:tc>
          <w:tcPr>
            <w:tcW w:w="4394" w:type="dxa"/>
            <w:tcBorders>
              <w:top w:val="single" w:sz="4" w:space="0" w:color="ADD6EA"/>
              <w:left w:val="nil"/>
              <w:bottom w:val="single" w:sz="4" w:space="0" w:color="ADD6EA"/>
              <w:right w:val="nil"/>
            </w:tcBorders>
          </w:tcPr>
          <w:p w14:paraId="2DB10F64"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Funding to decrease risks to threatened and protected species and position reef fisheries at the forefront of best practice and sustainability.</w:t>
            </w:r>
          </w:p>
        </w:tc>
        <w:tc>
          <w:tcPr>
            <w:tcW w:w="1134" w:type="dxa"/>
            <w:tcBorders>
              <w:top w:val="single" w:sz="4" w:space="0" w:color="ADD6EA"/>
              <w:left w:val="nil"/>
              <w:bottom w:val="single" w:sz="4" w:space="0" w:color="ADD6EA"/>
              <w:right w:val="nil"/>
            </w:tcBorders>
            <w:noWrap/>
            <w:tcMar>
              <w:right w:w="85" w:type="dxa"/>
            </w:tcMar>
          </w:tcPr>
          <w:p w14:paraId="7CA83E00"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9.0</w:t>
            </w:r>
          </w:p>
        </w:tc>
        <w:tc>
          <w:tcPr>
            <w:tcW w:w="1276" w:type="dxa"/>
            <w:tcBorders>
              <w:top w:val="single" w:sz="4" w:space="0" w:color="ADD6EA"/>
              <w:left w:val="nil"/>
              <w:bottom w:val="single" w:sz="4" w:space="0" w:color="ADD6EA"/>
              <w:right w:val="nil"/>
            </w:tcBorders>
            <w:noWrap/>
          </w:tcPr>
          <w:p w14:paraId="5D5F7B90"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33141D01"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Management of </w:t>
            </w:r>
            <w:r>
              <w:rPr>
                <w:rFonts w:ascii="Open Sans Light" w:hAnsi="Open Sans Light" w:cs="Open Sans Light"/>
                <w:color w:val="000000"/>
                <w:sz w:val="16"/>
                <w:szCs w:val="16"/>
              </w:rPr>
              <w:t>the fishing industry is a</w:t>
            </w:r>
            <w:r w:rsidRPr="00E06561">
              <w:rPr>
                <w:rFonts w:ascii="Open Sans Light" w:hAnsi="Open Sans Light" w:cs="Open Sans Light"/>
                <w:color w:val="000000"/>
                <w:sz w:val="16"/>
                <w:szCs w:val="16"/>
              </w:rPr>
              <w:t xml:space="preserve"> state service, and needs are assessed.</w:t>
            </w:r>
          </w:p>
        </w:tc>
      </w:tr>
      <w:tr w:rsidR="00BD07F6" w:rsidRPr="00C91117" w14:paraId="028EE12B" w14:textId="77777777">
        <w:trPr>
          <w:trHeight w:val="545"/>
        </w:trPr>
        <w:tc>
          <w:tcPr>
            <w:tcW w:w="2410" w:type="dxa"/>
            <w:tcBorders>
              <w:top w:val="single" w:sz="4" w:space="0" w:color="ADD6EA"/>
              <w:left w:val="nil"/>
              <w:bottom w:val="single" w:sz="4" w:space="0" w:color="ADD6EA"/>
              <w:right w:val="nil"/>
            </w:tcBorders>
          </w:tcPr>
          <w:p w14:paraId="70B167B6" w14:textId="6059BF28"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Water for the environment special account - Resilient Rivers Water Infrastructure Program</w:t>
            </w:r>
          </w:p>
        </w:tc>
        <w:tc>
          <w:tcPr>
            <w:tcW w:w="4394" w:type="dxa"/>
            <w:tcBorders>
              <w:top w:val="single" w:sz="4" w:space="0" w:color="ADD6EA"/>
              <w:left w:val="nil"/>
              <w:bottom w:val="single" w:sz="4" w:space="0" w:color="ADD6EA"/>
              <w:right w:val="nil"/>
            </w:tcBorders>
          </w:tcPr>
          <w:p w14:paraId="60E4A4F4"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for projects that contribute to enhancing the environmental outcomes of the Basin Plan. Includes improving the water efficiency of irrigation infrastructure, purchasing water for the environment and addressing detrimental impacts.</w:t>
            </w:r>
          </w:p>
        </w:tc>
        <w:tc>
          <w:tcPr>
            <w:tcW w:w="1134" w:type="dxa"/>
            <w:tcBorders>
              <w:top w:val="single" w:sz="4" w:space="0" w:color="ADD6EA"/>
              <w:left w:val="nil"/>
              <w:bottom w:val="single" w:sz="4" w:space="0" w:color="ADD6EA"/>
              <w:right w:val="nil"/>
            </w:tcBorders>
            <w:noWrap/>
            <w:tcMar>
              <w:right w:w="85" w:type="dxa"/>
            </w:tcMar>
          </w:tcPr>
          <w:p w14:paraId="3E991DF3"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40.8</w:t>
            </w:r>
          </w:p>
        </w:tc>
        <w:tc>
          <w:tcPr>
            <w:tcW w:w="1276" w:type="dxa"/>
            <w:tcBorders>
              <w:top w:val="single" w:sz="4" w:space="0" w:color="ADD6EA"/>
              <w:left w:val="nil"/>
              <w:bottom w:val="single" w:sz="4" w:space="0" w:color="ADD6EA"/>
              <w:right w:val="nil"/>
            </w:tcBorders>
            <w:noWrap/>
          </w:tcPr>
          <w:p w14:paraId="131ED00B"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201FE487"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Environmental protection is a state service, but needs are not assessed. </w:t>
            </w:r>
          </w:p>
        </w:tc>
      </w:tr>
      <w:tr w:rsidR="00BD07F6" w:rsidRPr="00C91117" w14:paraId="0D9444A9" w14:textId="77777777">
        <w:trPr>
          <w:trHeight w:val="545"/>
        </w:trPr>
        <w:tc>
          <w:tcPr>
            <w:tcW w:w="2410" w:type="dxa"/>
            <w:tcBorders>
              <w:top w:val="single" w:sz="4" w:space="0" w:color="ADD6EA"/>
              <w:left w:val="nil"/>
              <w:bottom w:val="single" w:sz="4" w:space="0" w:color="ADD6EA"/>
              <w:right w:val="nil"/>
            </w:tcBorders>
          </w:tcPr>
          <w:p w14:paraId="3E60E518"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Boosting HPAI biosecurity responses capability</w:t>
            </w:r>
          </w:p>
        </w:tc>
        <w:tc>
          <w:tcPr>
            <w:tcW w:w="4394" w:type="dxa"/>
            <w:tcBorders>
              <w:top w:val="single" w:sz="4" w:space="0" w:color="ADD6EA"/>
              <w:left w:val="nil"/>
              <w:bottom w:val="single" w:sz="4" w:space="0" w:color="ADD6EA"/>
              <w:right w:val="nil"/>
            </w:tcBorders>
          </w:tcPr>
          <w:p w14:paraId="2641A596"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Financial contributions based on </w:t>
            </w:r>
            <w:r>
              <w:rPr>
                <w:rFonts w:ascii="Open Sans Light" w:hAnsi="Open Sans Light" w:cs="Open Sans Light"/>
                <w:color w:val="000000"/>
                <w:sz w:val="16"/>
                <w:szCs w:val="16"/>
              </w:rPr>
              <w:t>s</w:t>
            </w:r>
            <w:r w:rsidRPr="00E06561">
              <w:rPr>
                <w:rFonts w:ascii="Open Sans Light" w:hAnsi="Open Sans Light" w:cs="Open Sans Light"/>
                <w:color w:val="000000"/>
                <w:sz w:val="16"/>
                <w:szCs w:val="16"/>
              </w:rPr>
              <w:t>tates</w:t>
            </w:r>
            <w:r>
              <w:rPr>
                <w:rFonts w:ascii="Open Sans Light" w:hAnsi="Open Sans Light" w:cs="Open Sans Light"/>
                <w:color w:val="000000"/>
                <w:sz w:val="16"/>
                <w:szCs w:val="16"/>
              </w:rPr>
              <w:t>’</w:t>
            </w:r>
            <w:r w:rsidRPr="00E06561">
              <w:rPr>
                <w:rFonts w:ascii="Open Sans Light" w:hAnsi="Open Sans Light" w:cs="Open Sans Light"/>
                <w:color w:val="000000"/>
                <w:sz w:val="16"/>
                <w:szCs w:val="16"/>
              </w:rPr>
              <w:t xml:space="preserve"> co-investment to prepare for an incursion of high pathogenicity avian influenza (HPAI) through development of </w:t>
            </w:r>
            <w:r>
              <w:rPr>
                <w:rFonts w:ascii="Open Sans Light" w:hAnsi="Open Sans Light" w:cs="Open Sans Light"/>
                <w:color w:val="000000"/>
                <w:sz w:val="16"/>
                <w:szCs w:val="16"/>
              </w:rPr>
              <w:t>s</w:t>
            </w:r>
            <w:r w:rsidRPr="00E06561">
              <w:rPr>
                <w:rFonts w:ascii="Open Sans Light" w:hAnsi="Open Sans Light" w:cs="Open Sans Light"/>
                <w:color w:val="000000"/>
                <w:sz w:val="16"/>
                <w:szCs w:val="16"/>
              </w:rPr>
              <w:t>tate response plans.</w:t>
            </w:r>
          </w:p>
        </w:tc>
        <w:tc>
          <w:tcPr>
            <w:tcW w:w="1134" w:type="dxa"/>
            <w:tcBorders>
              <w:top w:val="single" w:sz="4" w:space="0" w:color="ADD6EA"/>
              <w:left w:val="nil"/>
              <w:bottom w:val="single" w:sz="4" w:space="0" w:color="ADD6EA"/>
              <w:right w:val="nil"/>
            </w:tcBorders>
            <w:noWrap/>
            <w:tcMar>
              <w:right w:w="85" w:type="dxa"/>
            </w:tcMar>
          </w:tcPr>
          <w:p w14:paraId="3F7A2A22"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7.4</w:t>
            </w:r>
          </w:p>
        </w:tc>
        <w:tc>
          <w:tcPr>
            <w:tcW w:w="1276" w:type="dxa"/>
            <w:tcBorders>
              <w:top w:val="single" w:sz="4" w:space="0" w:color="ADD6EA"/>
              <w:left w:val="nil"/>
              <w:bottom w:val="single" w:sz="4" w:space="0" w:color="ADD6EA"/>
              <w:right w:val="nil"/>
            </w:tcBorders>
            <w:noWrap/>
          </w:tcPr>
          <w:p w14:paraId="4CAF2E7F"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7797974C"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Internal </w:t>
            </w:r>
            <w:r>
              <w:rPr>
                <w:rFonts w:ascii="Open Sans Light" w:hAnsi="Open Sans Light" w:cs="Open Sans Light"/>
                <w:color w:val="000000"/>
                <w:sz w:val="16"/>
                <w:szCs w:val="16"/>
              </w:rPr>
              <w:t>b</w:t>
            </w:r>
            <w:r w:rsidRPr="00E06561">
              <w:rPr>
                <w:rFonts w:ascii="Open Sans Light" w:hAnsi="Open Sans Light" w:cs="Open Sans Light"/>
                <w:color w:val="000000"/>
                <w:sz w:val="16"/>
                <w:szCs w:val="16"/>
              </w:rPr>
              <w:t>iosecurity monitoring is a state service, and needs are assessed.</w:t>
            </w:r>
          </w:p>
        </w:tc>
      </w:tr>
      <w:tr w:rsidR="00BD07F6" w:rsidRPr="00C91117" w14:paraId="0B656368" w14:textId="77777777">
        <w:trPr>
          <w:trHeight w:val="546"/>
        </w:trPr>
        <w:tc>
          <w:tcPr>
            <w:tcW w:w="2410" w:type="dxa"/>
            <w:tcBorders>
              <w:top w:val="single" w:sz="4" w:space="0" w:color="ADD6EA"/>
              <w:left w:val="nil"/>
              <w:bottom w:val="single" w:sz="4" w:space="0" w:color="ADD6EA"/>
              <w:right w:val="nil"/>
            </w:tcBorders>
          </w:tcPr>
          <w:p w14:paraId="0C1AB93A"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Critical Minerals National Productivity Initiative</w:t>
            </w:r>
          </w:p>
        </w:tc>
        <w:tc>
          <w:tcPr>
            <w:tcW w:w="4394" w:type="dxa"/>
            <w:tcBorders>
              <w:top w:val="single" w:sz="4" w:space="0" w:color="ADD6EA"/>
              <w:left w:val="nil"/>
              <w:bottom w:val="single" w:sz="4" w:space="0" w:color="ADD6EA"/>
              <w:right w:val="nil"/>
            </w:tcBorders>
          </w:tcPr>
          <w:p w14:paraId="78409187"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Support for a detailed feasibility study for a common user minerals processing facility to enhance Australia’s capacity to process critical minerals and strategic materials.</w:t>
            </w:r>
          </w:p>
        </w:tc>
        <w:tc>
          <w:tcPr>
            <w:tcW w:w="1134" w:type="dxa"/>
            <w:tcBorders>
              <w:top w:val="single" w:sz="4" w:space="0" w:color="ADD6EA"/>
              <w:left w:val="nil"/>
              <w:bottom w:val="single" w:sz="4" w:space="0" w:color="ADD6EA"/>
              <w:right w:val="nil"/>
            </w:tcBorders>
            <w:noWrap/>
            <w:tcMar>
              <w:right w:w="85" w:type="dxa"/>
            </w:tcMar>
          </w:tcPr>
          <w:p w14:paraId="601BCF5E"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0.2</w:t>
            </w:r>
          </w:p>
        </w:tc>
        <w:tc>
          <w:tcPr>
            <w:tcW w:w="1276" w:type="dxa"/>
            <w:tcBorders>
              <w:top w:val="single" w:sz="4" w:space="0" w:color="ADD6EA"/>
              <w:left w:val="nil"/>
              <w:bottom w:val="single" w:sz="4" w:space="0" w:color="ADD6EA"/>
              <w:right w:val="nil"/>
            </w:tcBorders>
            <w:noWrap/>
          </w:tcPr>
          <w:p w14:paraId="25EF3592"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4E6F582" w14:textId="77777777" w:rsidR="00BD07F6" w:rsidRPr="00E06561" w:rsidRDefault="00BD07F6">
            <w:pPr>
              <w:spacing w:line="240" w:lineRule="auto"/>
              <w:rPr>
                <w:rFonts w:ascii="Open Sans Light" w:eastAsia="Times New Roman" w:hAnsi="Open Sans Light" w:cs="Open Sans Light"/>
                <w:color w:val="000000"/>
                <w:sz w:val="16"/>
                <w:szCs w:val="16"/>
                <w:highlight w:val="yellow"/>
                <w:lang w:eastAsia="en-AU"/>
              </w:rPr>
            </w:pPr>
            <w:r w:rsidRPr="00E06561">
              <w:rPr>
                <w:rFonts w:ascii="Open Sans Light" w:hAnsi="Open Sans Light" w:cs="Open Sans Light"/>
                <w:color w:val="000000"/>
                <w:sz w:val="16"/>
                <w:szCs w:val="16"/>
              </w:rPr>
              <w:t>Business development is a state function, and needs are assessed.</w:t>
            </w:r>
          </w:p>
        </w:tc>
      </w:tr>
      <w:tr w:rsidR="00BD07F6" w:rsidRPr="00C91117" w14:paraId="0135B831" w14:textId="77777777">
        <w:trPr>
          <w:trHeight w:val="546"/>
        </w:trPr>
        <w:tc>
          <w:tcPr>
            <w:tcW w:w="2410" w:type="dxa"/>
            <w:tcBorders>
              <w:top w:val="single" w:sz="4" w:space="0" w:color="ADD6EA"/>
              <w:left w:val="nil"/>
              <w:bottom w:val="single" w:sz="4" w:space="0" w:color="ADD6EA"/>
              <w:right w:val="nil"/>
            </w:tcBorders>
          </w:tcPr>
          <w:p w14:paraId="4BA344D4" w14:textId="63452ED9"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lastRenderedPageBreak/>
              <w:t>Implementation of the live sheep exports by sea phase out</w:t>
            </w:r>
          </w:p>
        </w:tc>
        <w:tc>
          <w:tcPr>
            <w:tcW w:w="4394" w:type="dxa"/>
            <w:tcBorders>
              <w:top w:val="single" w:sz="4" w:space="0" w:color="ADD6EA"/>
              <w:left w:val="nil"/>
              <w:bottom w:val="single" w:sz="4" w:space="0" w:color="ADD6EA"/>
              <w:right w:val="nil"/>
            </w:tcBorders>
          </w:tcPr>
          <w:p w14:paraId="51944DC2"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Support to implement the Commonwealth's Phase Out of Live Sheep Exports by Sea</w:t>
            </w:r>
            <w:r>
              <w:rPr>
                <w:rFonts w:ascii="Open Sans Light" w:eastAsia="Times New Roman" w:hAnsi="Open Sans Light" w:cs="Open Sans Light"/>
                <w:color w:val="000000"/>
                <w:sz w:val="16"/>
                <w:szCs w:val="16"/>
                <w:lang w:eastAsia="en-AU"/>
              </w:rPr>
              <w:t xml:space="preserve"> </w:t>
            </w:r>
            <w:r w:rsidRPr="00E06561">
              <w:rPr>
                <w:rFonts w:ascii="Open Sans Light" w:eastAsia="Times New Roman" w:hAnsi="Open Sans Light" w:cs="Open Sans Light"/>
                <w:color w:val="000000"/>
                <w:sz w:val="16"/>
                <w:szCs w:val="16"/>
                <w:lang w:eastAsia="en-AU"/>
              </w:rPr>
              <w:t>transition assistance in Western Australia.</w:t>
            </w:r>
          </w:p>
        </w:tc>
        <w:tc>
          <w:tcPr>
            <w:tcW w:w="1134" w:type="dxa"/>
            <w:tcBorders>
              <w:top w:val="single" w:sz="4" w:space="0" w:color="ADD6EA"/>
              <w:left w:val="nil"/>
              <w:bottom w:val="single" w:sz="4" w:space="0" w:color="ADD6EA"/>
              <w:right w:val="nil"/>
            </w:tcBorders>
            <w:noWrap/>
            <w:tcMar>
              <w:right w:w="85" w:type="dxa"/>
            </w:tcMar>
          </w:tcPr>
          <w:p w14:paraId="4177F606"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tcPr>
          <w:p w14:paraId="32262942"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Impact</w:t>
            </w:r>
          </w:p>
          <w:p w14:paraId="7D09A416"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p>
        </w:tc>
        <w:tc>
          <w:tcPr>
            <w:tcW w:w="4678" w:type="dxa"/>
            <w:tcBorders>
              <w:top w:val="single" w:sz="4" w:space="0" w:color="ADD6EA"/>
              <w:left w:val="nil"/>
              <w:bottom w:val="single" w:sz="4" w:space="0" w:color="ADD6EA"/>
              <w:right w:val="nil"/>
            </w:tcBorders>
            <w:noWrap/>
          </w:tcPr>
          <w:p w14:paraId="75E8DB65"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Business development is a state function, and needs are assessed.</w:t>
            </w:r>
          </w:p>
        </w:tc>
      </w:tr>
      <w:tr w:rsidR="00BD07F6" w:rsidRPr="00C91117" w14:paraId="724D1AB1" w14:textId="77777777">
        <w:trPr>
          <w:trHeight w:val="807"/>
        </w:trPr>
        <w:tc>
          <w:tcPr>
            <w:tcW w:w="2410" w:type="dxa"/>
            <w:tcBorders>
              <w:top w:val="single" w:sz="4" w:space="0" w:color="ADD6EA"/>
              <w:left w:val="nil"/>
              <w:bottom w:val="single" w:sz="4" w:space="0" w:color="ADD6EA"/>
              <w:right w:val="nil"/>
            </w:tcBorders>
          </w:tcPr>
          <w:p w14:paraId="04E7E514" w14:textId="77777777" w:rsidR="00BD07F6" w:rsidRPr="00E06561" w:rsidRDefault="00BD07F6">
            <w:pPr>
              <w:spacing w:line="240" w:lineRule="auto"/>
              <w:rPr>
                <w:rFonts w:ascii="Open Sans Light" w:hAnsi="Open Sans Light" w:cs="Open Sans Light"/>
                <w:sz w:val="16"/>
                <w:szCs w:val="16"/>
              </w:rPr>
            </w:pPr>
            <w:r w:rsidRPr="00E06561">
              <w:rPr>
                <w:rFonts w:ascii="Open Sans Light" w:hAnsi="Open Sans Light" w:cs="Open Sans Light"/>
                <w:color w:val="000000"/>
                <w:sz w:val="16"/>
                <w:szCs w:val="16"/>
              </w:rPr>
              <w:t>Investing in Australia's First</w:t>
            </w:r>
            <w:r>
              <w:rPr>
                <w:rFonts w:ascii="Open Sans Light" w:hAnsi="Open Sans Light" w:cs="Open Sans Light"/>
                <w:color w:val="000000"/>
                <w:sz w:val="16"/>
                <w:szCs w:val="16"/>
              </w:rPr>
              <w:t> </w:t>
            </w:r>
            <w:r w:rsidRPr="00E06561">
              <w:rPr>
                <w:rFonts w:ascii="Open Sans Light" w:hAnsi="Open Sans Light" w:cs="Open Sans Light"/>
                <w:color w:val="000000"/>
                <w:sz w:val="16"/>
                <w:szCs w:val="16"/>
              </w:rPr>
              <w:t>Nations Culture and World Heritage</w:t>
            </w:r>
          </w:p>
        </w:tc>
        <w:tc>
          <w:tcPr>
            <w:tcW w:w="4394" w:type="dxa"/>
            <w:tcBorders>
              <w:top w:val="single" w:sz="4" w:space="0" w:color="ADD6EA"/>
              <w:left w:val="nil"/>
              <w:bottom w:val="single" w:sz="4" w:space="0" w:color="ADD6EA"/>
              <w:right w:val="nil"/>
            </w:tcBorders>
          </w:tcPr>
          <w:p w14:paraId="4F4BE95D" w14:textId="77777777" w:rsidR="00BD07F6" w:rsidRPr="00E06561" w:rsidRDefault="00BD07F6">
            <w:pPr>
              <w:rPr>
                <w:rFonts w:ascii="Open Sans Light" w:hAnsi="Open Sans Light" w:cs="Open Sans Light"/>
                <w:sz w:val="16"/>
                <w:szCs w:val="16"/>
              </w:rPr>
            </w:pPr>
            <w:r w:rsidRPr="00E06561">
              <w:rPr>
                <w:rFonts w:ascii="Open Sans Light" w:hAnsi="Open Sans Light" w:cs="Open Sans Light"/>
                <w:color w:val="000000"/>
                <w:sz w:val="16"/>
                <w:szCs w:val="16"/>
              </w:rPr>
              <w:t>Support towards the potential World Heritage listing of Parramatta Female Factory, Trades Hall transnational listing and Flinders Ranges.</w:t>
            </w:r>
          </w:p>
        </w:tc>
        <w:tc>
          <w:tcPr>
            <w:tcW w:w="1134" w:type="dxa"/>
            <w:tcBorders>
              <w:top w:val="single" w:sz="4" w:space="0" w:color="ADD6EA"/>
              <w:left w:val="nil"/>
              <w:bottom w:val="single" w:sz="4" w:space="0" w:color="ADD6EA"/>
              <w:right w:val="nil"/>
            </w:tcBorders>
            <w:noWrap/>
            <w:tcMar>
              <w:right w:w="85" w:type="dxa"/>
            </w:tcMar>
          </w:tcPr>
          <w:p w14:paraId="2E44637E" w14:textId="77777777" w:rsidR="00BD07F6" w:rsidRPr="00E06561" w:rsidRDefault="00BD07F6">
            <w:pPr>
              <w:spacing w:line="240" w:lineRule="auto"/>
              <w:ind w:right="227"/>
              <w:jc w:val="right"/>
              <w:rPr>
                <w:rFonts w:ascii="Open Sans Light" w:hAnsi="Open Sans Light" w:cs="Open Sans Light"/>
                <w:color w:val="000000"/>
                <w:sz w:val="16"/>
                <w:szCs w:val="16"/>
              </w:rPr>
            </w:pPr>
            <w:r w:rsidRPr="00E23345">
              <w:rPr>
                <w:rFonts w:ascii="Open Sans Light" w:hAnsi="Open Sans Light" w:cs="Open Sans Light"/>
                <w:color w:val="000000"/>
                <w:sz w:val="16"/>
                <w:szCs w:val="16"/>
              </w:rPr>
              <w:t>0.1</w:t>
            </w:r>
          </w:p>
        </w:tc>
        <w:tc>
          <w:tcPr>
            <w:tcW w:w="1276" w:type="dxa"/>
            <w:tcBorders>
              <w:top w:val="single" w:sz="4" w:space="0" w:color="ADD6EA"/>
              <w:left w:val="nil"/>
              <w:bottom w:val="single" w:sz="4" w:space="0" w:color="ADD6EA"/>
              <w:right w:val="nil"/>
            </w:tcBorders>
            <w:noWrap/>
          </w:tcPr>
          <w:p w14:paraId="10A9B709"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59DF9B13"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Needs are assessed for deliberative EPC assessment for service expenses</w:t>
            </w:r>
            <w:r>
              <w:rPr>
                <w:rFonts w:ascii="Open Sans Light" w:hAnsi="Open Sans Light" w:cs="Open Sans Light"/>
                <w:color w:val="000000"/>
                <w:sz w:val="16"/>
                <w:szCs w:val="16"/>
              </w:rPr>
              <w:t>.</w:t>
            </w:r>
            <w:r w:rsidRPr="00E06561">
              <w:rPr>
                <w:rFonts w:ascii="Open Sans Light" w:hAnsi="Open Sans Light" w:cs="Open Sans Light"/>
                <w:color w:val="000000"/>
                <w:sz w:val="16"/>
                <w:szCs w:val="16"/>
              </w:rPr>
              <w:t xml:space="preserve"> </w:t>
            </w:r>
          </w:p>
        </w:tc>
      </w:tr>
      <w:tr w:rsidR="00BD07F6" w:rsidRPr="00C91117" w14:paraId="57175E9A" w14:textId="77777777">
        <w:trPr>
          <w:trHeight w:val="765"/>
        </w:trPr>
        <w:tc>
          <w:tcPr>
            <w:tcW w:w="2410" w:type="dxa"/>
            <w:tcBorders>
              <w:top w:val="single" w:sz="4" w:space="0" w:color="ADD6EA"/>
              <w:left w:val="nil"/>
              <w:bottom w:val="single" w:sz="4" w:space="0" w:color="ADD6EA"/>
              <w:right w:val="nil"/>
            </w:tcBorders>
          </w:tcPr>
          <w:p w14:paraId="1305DCA2" w14:textId="1F84EAD1" w:rsidR="00BD07F6" w:rsidRPr="00E06561" w:rsidRDefault="00BD07F6">
            <w:pPr>
              <w:spacing w:line="240" w:lineRule="auto"/>
              <w:rPr>
                <w:rFonts w:ascii="Open Sans Light" w:hAnsi="Open Sans Light" w:cs="Open Sans Light"/>
                <w:sz w:val="16"/>
                <w:szCs w:val="16"/>
              </w:rPr>
            </w:pPr>
            <w:r w:rsidRPr="00E06561">
              <w:rPr>
                <w:rFonts w:ascii="Open Sans Light" w:hAnsi="Open Sans Light" w:cs="Open Sans Light"/>
                <w:color w:val="000000"/>
                <w:sz w:val="16"/>
                <w:szCs w:val="16"/>
              </w:rPr>
              <w:t xml:space="preserve">Partnering to </w:t>
            </w:r>
            <w:r w:rsidR="00BD6AB7">
              <w:rPr>
                <w:rFonts w:ascii="Open Sans Light" w:hAnsi="Open Sans Light" w:cs="Open Sans Light"/>
                <w:color w:val="000000"/>
                <w:sz w:val="16"/>
                <w:szCs w:val="16"/>
              </w:rPr>
              <w:t>i</w:t>
            </w:r>
            <w:r w:rsidRPr="00E06561">
              <w:rPr>
                <w:rFonts w:ascii="Open Sans Light" w:hAnsi="Open Sans Light" w:cs="Open Sans Light"/>
                <w:color w:val="000000"/>
                <w:sz w:val="16"/>
                <w:szCs w:val="16"/>
              </w:rPr>
              <w:t>mplement the National Soil Action Plan</w:t>
            </w:r>
          </w:p>
        </w:tc>
        <w:tc>
          <w:tcPr>
            <w:tcW w:w="4394" w:type="dxa"/>
            <w:tcBorders>
              <w:top w:val="single" w:sz="4" w:space="0" w:color="ADD6EA"/>
              <w:left w:val="nil"/>
              <w:bottom w:val="single" w:sz="4" w:space="0" w:color="ADD6EA"/>
              <w:right w:val="nil"/>
            </w:tcBorders>
          </w:tcPr>
          <w:p w14:paraId="62EDEEB8"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to deliver on-ground activities that help advance the protection and improvement of Australia’s soil health.</w:t>
            </w:r>
          </w:p>
        </w:tc>
        <w:tc>
          <w:tcPr>
            <w:tcW w:w="1134" w:type="dxa"/>
            <w:tcBorders>
              <w:top w:val="single" w:sz="4" w:space="0" w:color="ADD6EA"/>
              <w:left w:val="nil"/>
              <w:bottom w:val="single" w:sz="4" w:space="0" w:color="ADD6EA"/>
              <w:right w:val="nil"/>
            </w:tcBorders>
            <w:noWrap/>
            <w:tcMar>
              <w:right w:w="85" w:type="dxa"/>
            </w:tcMar>
          </w:tcPr>
          <w:p w14:paraId="5CEBE7B4" w14:textId="77777777" w:rsidR="00BD07F6" w:rsidRPr="00E06561" w:rsidRDefault="00BD07F6">
            <w:pPr>
              <w:spacing w:line="240" w:lineRule="auto"/>
              <w:ind w:right="227"/>
              <w:jc w:val="right"/>
              <w:rPr>
                <w:rFonts w:ascii="Open Sans Light" w:hAnsi="Open Sans Light" w:cs="Open Sans Light"/>
                <w:color w:val="000000"/>
                <w:sz w:val="16"/>
                <w:szCs w:val="16"/>
              </w:rPr>
            </w:pPr>
            <w:r w:rsidRPr="00E23345">
              <w:rPr>
                <w:rFonts w:ascii="Open Sans Light" w:hAnsi="Open Sans Light" w:cs="Open Sans Light"/>
                <w:color w:val="000000"/>
                <w:sz w:val="16"/>
                <w:szCs w:val="16"/>
              </w:rPr>
              <w:t>7.1</w:t>
            </w:r>
          </w:p>
        </w:tc>
        <w:tc>
          <w:tcPr>
            <w:tcW w:w="1276" w:type="dxa"/>
            <w:tcBorders>
              <w:top w:val="single" w:sz="4" w:space="0" w:color="ADD6EA"/>
              <w:left w:val="nil"/>
              <w:bottom w:val="single" w:sz="4" w:space="0" w:color="ADD6EA"/>
              <w:right w:val="nil"/>
            </w:tcBorders>
            <w:noWrap/>
          </w:tcPr>
          <w:p w14:paraId="6124BC94"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596371F3"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Business development is a state function, and needs are assessed.</w:t>
            </w:r>
          </w:p>
        </w:tc>
      </w:tr>
      <w:tr w:rsidR="00BD07F6" w:rsidRPr="00C91117" w14:paraId="54E7AD06" w14:textId="77777777">
        <w:trPr>
          <w:trHeight w:val="523"/>
        </w:trPr>
        <w:tc>
          <w:tcPr>
            <w:tcW w:w="2410" w:type="dxa"/>
            <w:tcBorders>
              <w:top w:val="single" w:sz="4" w:space="0" w:color="ADD6EA"/>
              <w:left w:val="nil"/>
              <w:bottom w:val="single" w:sz="4" w:space="0" w:color="ADD6EA"/>
              <w:right w:val="nil"/>
            </w:tcBorders>
          </w:tcPr>
          <w:p w14:paraId="3695264B"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Restoring the upper Murrumbidgee River program</w:t>
            </w:r>
          </w:p>
        </w:tc>
        <w:tc>
          <w:tcPr>
            <w:tcW w:w="4394" w:type="dxa"/>
            <w:tcBorders>
              <w:top w:val="single" w:sz="4" w:space="0" w:color="ADD6EA"/>
              <w:left w:val="nil"/>
              <w:bottom w:val="single" w:sz="4" w:space="0" w:color="ADD6EA"/>
              <w:right w:val="nil"/>
            </w:tcBorders>
            <w:vAlign w:val="bottom"/>
          </w:tcPr>
          <w:p w14:paraId="12EAD7C0"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to improve the health of the upper Murrumbidgee River. This includes projects that will address the decline in river health, and science and monitoring activities.</w:t>
            </w:r>
          </w:p>
        </w:tc>
        <w:tc>
          <w:tcPr>
            <w:tcW w:w="1134" w:type="dxa"/>
            <w:tcBorders>
              <w:top w:val="single" w:sz="4" w:space="0" w:color="ADD6EA"/>
              <w:left w:val="nil"/>
              <w:bottom w:val="single" w:sz="4" w:space="0" w:color="ADD6EA"/>
              <w:right w:val="nil"/>
            </w:tcBorders>
            <w:noWrap/>
            <w:tcMar>
              <w:right w:w="85" w:type="dxa"/>
            </w:tcMar>
          </w:tcPr>
          <w:p w14:paraId="5663A5AF"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5.0</w:t>
            </w:r>
          </w:p>
        </w:tc>
        <w:tc>
          <w:tcPr>
            <w:tcW w:w="1276" w:type="dxa"/>
            <w:tcBorders>
              <w:top w:val="single" w:sz="4" w:space="0" w:color="ADD6EA"/>
              <w:left w:val="nil"/>
              <w:bottom w:val="single" w:sz="4" w:space="0" w:color="ADD6EA"/>
              <w:right w:val="nil"/>
            </w:tcBorders>
            <w:noWrap/>
          </w:tcPr>
          <w:p w14:paraId="47D8089C"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No impact</w:t>
            </w:r>
          </w:p>
          <w:p w14:paraId="45CF20F0"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p>
        </w:tc>
        <w:tc>
          <w:tcPr>
            <w:tcW w:w="4678" w:type="dxa"/>
            <w:tcBorders>
              <w:top w:val="single" w:sz="4" w:space="0" w:color="ADD6EA"/>
              <w:left w:val="nil"/>
              <w:bottom w:val="single" w:sz="4" w:space="0" w:color="ADD6EA"/>
              <w:right w:val="nil"/>
            </w:tcBorders>
            <w:noWrap/>
          </w:tcPr>
          <w:p w14:paraId="362F6FFA"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Environmental protection is a state service, but needs are not assessed.</w:t>
            </w:r>
          </w:p>
        </w:tc>
      </w:tr>
      <w:tr w:rsidR="00BD07F6" w:rsidRPr="00C91117" w14:paraId="775A270E" w14:textId="77777777">
        <w:trPr>
          <w:trHeight w:val="765"/>
        </w:trPr>
        <w:tc>
          <w:tcPr>
            <w:tcW w:w="2410" w:type="dxa"/>
            <w:tcBorders>
              <w:top w:val="single" w:sz="4" w:space="0" w:color="ADD6EA"/>
              <w:left w:val="nil"/>
              <w:bottom w:val="single" w:sz="4" w:space="0" w:color="ADD6EA"/>
              <w:right w:val="nil"/>
            </w:tcBorders>
          </w:tcPr>
          <w:p w14:paraId="56E5ABE6"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Water for the environment special account - Sustainable Communities Program</w:t>
            </w:r>
          </w:p>
        </w:tc>
        <w:tc>
          <w:tcPr>
            <w:tcW w:w="4394" w:type="dxa"/>
            <w:tcBorders>
              <w:top w:val="single" w:sz="4" w:space="0" w:color="ADD6EA"/>
              <w:left w:val="nil"/>
              <w:bottom w:val="single" w:sz="4" w:space="0" w:color="ADD6EA"/>
              <w:right w:val="nil"/>
            </w:tcBorders>
            <w:vAlign w:val="bottom"/>
          </w:tcPr>
          <w:p w14:paraId="440085E6" w14:textId="77777777" w:rsidR="00BD07F6" w:rsidRPr="00E06561" w:rsidRDefault="00BD07F6">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for community adjustment assistance to minimise socio-economic impacts of water purchase towards the Murray–Darling Basin Plan recovery target of 450 gigalitres per year of additional environmental water.</w:t>
            </w:r>
          </w:p>
        </w:tc>
        <w:tc>
          <w:tcPr>
            <w:tcW w:w="1134" w:type="dxa"/>
            <w:tcBorders>
              <w:top w:val="single" w:sz="4" w:space="0" w:color="ADD6EA"/>
              <w:left w:val="nil"/>
              <w:bottom w:val="single" w:sz="4" w:space="0" w:color="ADD6EA"/>
              <w:right w:val="nil"/>
            </w:tcBorders>
            <w:noWrap/>
            <w:tcMar>
              <w:right w:w="85" w:type="dxa"/>
            </w:tcMar>
          </w:tcPr>
          <w:p w14:paraId="631D9F3F" w14:textId="77777777" w:rsidR="00BD07F6" w:rsidRPr="00E06561"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9.1</w:t>
            </w:r>
          </w:p>
        </w:tc>
        <w:tc>
          <w:tcPr>
            <w:tcW w:w="1276" w:type="dxa"/>
            <w:tcBorders>
              <w:top w:val="single" w:sz="4" w:space="0" w:color="ADD6EA"/>
              <w:left w:val="nil"/>
              <w:bottom w:val="single" w:sz="4" w:space="0" w:color="ADD6EA"/>
              <w:right w:val="nil"/>
            </w:tcBorders>
            <w:noWrap/>
          </w:tcPr>
          <w:p w14:paraId="027313CD"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13CB3FC5" w14:textId="77777777" w:rsidR="00BD07F6" w:rsidRPr="00E06561"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 xml:space="preserve">This payment is primarily to support basin communities. Community development and planning is a state function, and needs are assessed. </w:t>
            </w:r>
          </w:p>
        </w:tc>
      </w:tr>
      <w:tr w:rsidR="00BD07F6" w:rsidRPr="00C91117" w14:paraId="0B5EF6BD" w14:textId="77777777">
        <w:trPr>
          <w:trHeight w:val="284"/>
        </w:trPr>
        <w:tc>
          <w:tcPr>
            <w:tcW w:w="13892" w:type="dxa"/>
            <w:gridSpan w:val="5"/>
            <w:tcBorders>
              <w:top w:val="single" w:sz="4" w:space="0" w:color="ADD6EA"/>
              <w:left w:val="nil"/>
              <w:bottom w:val="single" w:sz="4" w:space="0" w:color="ADD6EA"/>
              <w:right w:val="nil"/>
            </w:tcBorders>
            <w:shd w:val="clear" w:color="auto" w:fill="B6D5E4"/>
            <w:tcMar>
              <w:right w:w="85" w:type="dxa"/>
            </w:tcMar>
          </w:tcPr>
          <w:p w14:paraId="589947A9" w14:textId="77777777" w:rsidR="00BD07F6" w:rsidRPr="006220C1" w:rsidRDefault="00BD07F6">
            <w:pPr>
              <w:spacing w:line="240" w:lineRule="auto"/>
              <w:ind w:right="227"/>
              <w:rPr>
                <w:rFonts w:ascii="Open Sans Semibold" w:eastAsia="Times New Roman" w:hAnsi="Open Sans Semibold" w:cs="Open Sans Semibold"/>
                <w:color w:val="000000"/>
                <w:sz w:val="16"/>
                <w:szCs w:val="16"/>
                <w:lang w:eastAsia="en-AU"/>
              </w:rPr>
            </w:pPr>
            <w:r w:rsidRPr="006220C1">
              <w:rPr>
                <w:rFonts w:ascii="Open Sans Semibold" w:eastAsia="Times New Roman" w:hAnsi="Open Sans Semibold" w:cs="Open Sans Semibold"/>
                <w:color w:val="000000"/>
                <w:sz w:val="16"/>
                <w:szCs w:val="16"/>
                <w:lang w:eastAsia="en-AU"/>
              </w:rPr>
              <w:t>Other purposes</w:t>
            </w:r>
          </w:p>
        </w:tc>
      </w:tr>
      <w:tr w:rsidR="00BD07F6" w:rsidRPr="006F208E" w14:paraId="1B570305" w14:textId="77777777">
        <w:trPr>
          <w:trHeight w:val="524"/>
        </w:trPr>
        <w:tc>
          <w:tcPr>
            <w:tcW w:w="2410" w:type="dxa"/>
            <w:tcBorders>
              <w:top w:val="single" w:sz="4" w:space="0" w:color="ADD6EA"/>
              <w:left w:val="nil"/>
              <w:bottom w:val="single" w:sz="4" w:space="0" w:color="ADD6EA"/>
              <w:right w:val="nil"/>
            </w:tcBorders>
          </w:tcPr>
          <w:p w14:paraId="552C6A0E" w14:textId="77777777" w:rsidR="00BD07F6" w:rsidRPr="00882EAC" w:rsidRDefault="00BD07F6">
            <w:pPr>
              <w:spacing w:line="240" w:lineRule="auto"/>
              <w:rPr>
                <w:rFonts w:ascii="Open Sans Light" w:eastAsia="Times New Roman" w:hAnsi="Open Sans Light" w:cs="Open Sans Light"/>
                <w:color w:val="000000" w:themeColor="text1"/>
                <w:sz w:val="16"/>
                <w:szCs w:val="16"/>
                <w:lang w:eastAsia="en-AU"/>
              </w:rPr>
            </w:pPr>
            <w:r w:rsidRPr="00882EAC">
              <w:rPr>
                <w:rFonts w:ascii="Open Sans Light" w:hAnsi="Open Sans Light" w:cs="Open Sans Light"/>
                <w:color w:val="000000"/>
                <w:sz w:val="16"/>
                <w:szCs w:val="16"/>
              </w:rPr>
              <w:t>Indigenous tourism fund</w:t>
            </w:r>
          </w:p>
        </w:tc>
        <w:tc>
          <w:tcPr>
            <w:tcW w:w="4394" w:type="dxa"/>
            <w:tcBorders>
              <w:top w:val="single" w:sz="4" w:space="0" w:color="ADD6EA"/>
              <w:left w:val="nil"/>
              <w:bottom w:val="single" w:sz="4" w:space="0" w:color="ADD6EA"/>
              <w:right w:val="nil"/>
            </w:tcBorders>
          </w:tcPr>
          <w:p w14:paraId="23ED7A2C" w14:textId="7C0385BC" w:rsidR="00BD07F6" w:rsidRPr="00882EAC" w:rsidRDefault="00BD07F6">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 xml:space="preserve">Funding to co-invest with the </w:t>
            </w:r>
            <w:r>
              <w:rPr>
                <w:rFonts w:ascii="Open Sans Light" w:hAnsi="Open Sans Light" w:cs="Open Sans Light"/>
                <w:color w:val="000000"/>
                <w:sz w:val="16"/>
                <w:szCs w:val="16"/>
              </w:rPr>
              <w:t>s</w:t>
            </w:r>
            <w:r w:rsidRPr="00882EAC">
              <w:rPr>
                <w:rFonts w:ascii="Open Sans Light" w:hAnsi="Open Sans Light" w:cs="Open Sans Light"/>
                <w:color w:val="000000"/>
                <w:sz w:val="16"/>
                <w:szCs w:val="16"/>
              </w:rPr>
              <w:t xml:space="preserve">tates on strategic projects that increase the supply of </w:t>
            </w:r>
            <w:r w:rsidR="001537D3">
              <w:rPr>
                <w:rFonts w:ascii="Open Sans Light" w:hAnsi="Open Sans Light" w:cs="Open Sans Light"/>
                <w:color w:val="000000"/>
                <w:sz w:val="16"/>
                <w:szCs w:val="16"/>
              </w:rPr>
              <w:t>First Nations</w:t>
            </w:r>
            <w:r w:rsidR="001537D3" w:rsidRPr="00882EAC">
              <w:rPr>
                <w:rFonts w:ascii="Open Sans Light" w:hAnsi="Open Sans Light" w:cs="Open Sans Light"/>
                <w:color w:val="000000"/>
                <w:sz w:val="16"/>
                <w:szCs w:val="16"/>
              </w:rPr>
              <w:t xml:space="preserve"> </w:t>
            </w:r>
            <w:r w:rsidRPr="00882EAC">
              <w:rPr>
                <w:rFonts w:ascii="Open Sans Light" w:hAnsi="Open Sans Light" w:cs="Open Sans Light"/>
                <w:color w:val="000000"/>
                <w:sz w:val="16"/>
                <w:szCs w:val="16"/>
              </w:rPr>
              <w:t xml:space="preserve">tourism experiences and/or create supply chain opportunities for </w:t>
            </w:r>
            <w:r w:rsidR="001537D3">
              <w:rPr>
                <w:rFonts w:ascii="Open Sans Light" w:hAnsi="Open Sans Light" w:cs="Open Sans Light"/>
                <w:color w:val="000000"/>
                <w:sz w:val="16"/>
                <w:szCs w:val="16"/>
              </w:rPr>
              <w:t>First Nations</w:t>
            </w:r>
            <w:r w:rsidRPr="00882EAC">
              <w:rPr>
                <w:rFonts w:ascii="Open Sans Light" w:hAnsi="Open Sans Light" w:cs="Open Sans Light"/>
                <w:color w:val="000000"/>
                <w:sz w:val="16"/>
                <w:szCs w:val="16"/>
              </w:rPr>
              <w:t xml:space="preserve"> tourism businesses.</w:t>
            </w:r>
          </w:p>
        </w:tc>
        <w:tc>
          <w:tcPr>
            <w:tcW w:w="1134" w:type="dxa"/>
            <w:tcBorders>
              <w:top w:val="single" w:sz="4" w:space="0" w:color="ADD6EA"/>
              <w:left w:val="nil"/>
              <w:bottom w:val="single" w:sz="4" w:space="0" w:color="ADD6EA"/>
              <w:right w:val="nil"/>
            </w:tcBorders>
            <w:noWrap/>
            <w:tcMar>
              <w:right w:w="85" w:type="dxa"/>
            </w:tcMar>
          </w:tcPr>
          <w:p w14:paraId="6874B0B7" w14:textId="77777777" w:rsidR="00BD07F6" w:rsidRPr="00882EAC"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5.8</w:t>
            </w:r>
          </w:p>
        </w:tc>
        <w:tc>
          <w:tcPr>
            <w:tcW w:w="1276" w:type="dxa"/>
            <w:tcBorders>
              <w:top w:val="nil"/>
              <w:left w:val="nil"/>
              <w:bottom w:val="single" w:sz="4" w:space="0" w:color="ADD6EA"/>
              <w:right w:val="nil"/>
            </w:tcBorders>
            <w:noWrap/>
          </w:tcPr>
          <w:p w14:paraId="5FAC484D" w14:textId="77777777" w:rsidR="00BD07F6" w:rsidRPr="00882EAC" w:rsidRDefault="00BD07F6">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Impact</w:t>
            </w:r>
          </w:p>
        </w:tc>
        <w:tc>
          <w:tcPr>
            <w:tcW w:w="4678" w:type="dxa"/>
            <w:tcBorders>
              <w:top w:val="nil"/>
              <w:left w:val="nil"/>
              <w:bottom w:val="single" w:sz="4" w:space="0" w:color="ADD6EA"/>
              <w:right w:val="nil"/>
            </w:tcBorders>
            <w:noWrap/>
          </w:tcPr>
          <w:p w14:paraId="6F5E9A6C" w14:textId="77777777" w:rsidR="00BD07F6" w:rsidRPr="00882EAC" w:rsidRDefault="00BD07F6">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Business development is a state function, and needs are assessed.</w:t>
            </w:r>
          </w:p>
        </w:tc>
      </w:tr>
      <w:tr w:rsidR="00BD07F6" w:rsidRPr="00C91117" w14:paraId="38D9E02F" w14:textId="77777777">
        <w:trPr>
          <w:trHeight w:val="703"/>
        </w:trPr>
        <w:tc>
          <w:tcPr>
            <w:tcW w:w="2410" w:type="dxa"/>
            <w:tcBorders>
              <w:top w:val="single" w:sz="4" w:space="0" w:color="ADD6EA"/>
              <w:left w:val="nil"/>
              <w:bottom w:val="single" w:sz="4" w:space="0" w:color="ADD6EA"/>
              <w:right w:val="nil"/>
            </w:tcBorders>
          </w:tcPr>
          <w:p w14:paraId="702CD0BF" w14:textId="77777777" w:rsidR="00BD07F6" w:rsidRPr="00882EAC" w:rsidRDefault="00BD07F6">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Commonwealth Community Safety Order Scheme (CSO)</w:t>
            </w:r>
          </w:p>
        </w:tc>
        <w:tc>
          <w:tcPr>
            <w:tcW w:w="4394" w:type="dxa"/>
            <w:tcBorders>
              <w:top w:val="single" w:sz="4" w:space="0" w:color="ADD6EA"/>
              <w:left w:val="nil"/>
              <w:bottom w:val="single" w:sz="4" w:space="0" w:color="ADD6EA"/>
              <w:right w:val="nil"/>
            </w:tcBorders>
          </w:tcPr>
          <w:p w14:paraId="02512747" w14:textId="77777777" w:rsidR="00BD07F6" w:rsidRPr="00882EAC" w:rsidRDefault="00BD07F6">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 xml:space="preserve">This Schedule will support the delivery of services for the Community Safety Order Scheme, which involves Community Safety Detention Orders and Community Safety Supervision Orders. </w:t>
            </w:r>
          </w:p>
        </w:tc>
        <w:tc>
          <w:tcPr>
            <w:tcW w:w="1134" w:type="dxa"/>
            <w:tcBorders>
              <w:top w:val="single" w:sz="4" w:space="0" w:color="ADD6EA"/>
              <w:left w:val="nil"/>
              <w:bottom w:val="single" w:sz="4" w:space="0" w:color="ADD6EA"/>
              <w:right w:val="nil"/>
            </w:tcBorders>
            <w:noWrap/>
            <w:tcMar>
              <w:right w:w="85" w:type="dxa"/>
            </w:tcMar>
          </w:tcPr>
          <w:p w14:paraId="7E5C73E1" w14:textId="77777777" w:rsidR="00BD07F6" w:rsidRPr="00CB1CE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2.8</w:t>
            </w:r>
          </w:p>
        </w:tc>
        <w:tc>
          <w:tcPr>
            <w:tcW w:w="1276" w:type="dxa"/>
            <w:tcBorders>
              <w:top w:val="single" w:sz="4" w:space="0" w:color="ADD6EA"/>
              <w:left w:val="nil"/>
              <w:bottom w:val="single" w:sz="4" w:space="0" w:color="ADD6EA"/>
              <w:right w:val="nil"/>
            </w:tcBorders>
            <w:noWrap/>
          </w:tcPr>
          <w:p w14:paraId="3BD67B92" w14:textId="6477FDAF"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themeColor="text1"/>
                <w:sz w:val="16"/>
                <w:szCs w:val="16"/>
              </w:rPr>
              <w:t>No impact</w:t>
            </w:r>
          </w:p>
        </w:tc>
        <w:tc>
          <w:tcPr>
            <w:tcW w:w="4678" w:type="dxa"/>
            <w:tcBorders>
              <w:top w:val="single" w:sz="4" w:space="0" w:color="ADD6EA"/>
              <w:left w:val="nil"/>
              <w:bottom w:val="single" w:sz="4" w:space="0" w:color="ADD6EA"/>
              <w:right w:val="nil"/>
            </w:tcBorders>
            <w:noWrap/>
          </w:tcPr>
          <w:p w14:paraId="2E4F721F" w14:textId="77777777" w:rsidR="00BD07F6" w:rsidRPr="00CB1CE7" w:rsidRDefault="00BD07F6">
            <w:pPr>
              <w:spacing w:line="240" w:lineRule="auto"/>
              <w:rPr>
                <w:rFonts w:ascii="Open Sans Light" w:hAnsi="Open Sans Light" w:cs="Open Sans Light"/>
                <w:color w:val="000000"/>
                <w:sz w:val="16"/>
                <w:szCs w:val="16"/>
                <w:lang w:eastAsia="en-AU"/>
              </w:rPr>
            </w:pPr>
            <w:r w:rsidRPr="00CB1CE7">
              <w:rPr>
                <w:rFonts w:ascii="Open Sans Light" w:hAnsi="Open Sans Light" w:cs="Open Sans Light"/>
                <w:color w:val="000000" w:themeColor="text1"/>
                <w:sz w:val="16"/>
                <w:szCs w:val="16"/>
              </w:rPr>
              <w:t xml:space="preserve">This payment is related to the provision of Continuing Detention Orders and Extended Supervision Orders under the Community Safety Order scheme administered by the Commonwealth. This represents a Commonwealth function and is not a state service. </w:t>
            </w:r>
          </w:p>
        </w:tc>
      </w:tr>
      <w:tr w:rsidR="00BD07F6" w:rsidRPr="00C91117" w14:paraId="625CA4DE" w14:textId="77777777">
        <w:trPr>
          <w:trHeight w:val="703"/>
        </w:trPr>
        <w:tc>
          <w:tcPr>
            <w:tcW w:w="2410" w:type="dxa"/>
            <w:tcBorders>
              <w:top w:val="single" w:sz="4" w:space="0" w:color="ADD6EA"/>
              <w:left w:val="nil"/>
              <w:bottom w:val="single" w:sz="4" w:space="0" w:color="ADD6EA"/>
              <w:right w:val="nil"/>
            </w:tcBorders>
          </w:tcPr>
          <w:p w14:paraId="197A4B82" w14:textId="77777777" w:rsidR="00BD07F6" w:rsidRPr="00882EAC" w:rsidRDefault="00BD07F6">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Delivering high priority RFIs under CSO scheme</w:t>
            </w:r>
          </w:p>
        </w:tc>
        <w:tc>
          <w:tcPr>
            <w:tcW w:w="4394" w:type="dxa"/>
            <w:tcBorders>
              <w:top w:val="single" w:sz="4" w:space="0" w:color="ADD6EA"/>
              <w:left w:val="nil"/>
              <w:bottom w:val="single" w:sz="4" w:space="0" w:color="ADD6EA"/>
              <w:right w:val="nil"/>
            </w:tcBorders>
          </w:tcPr>
          <w:p w14:paraId="03AF8B4E" w14:textId="77777777" w:rsidR="00BD07F6" w:rsidRPr="00882EAC" w:rsidRDefault="00BD07F6">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This Schedule will support states to respond to the high</w:t>
            </w:r>
            <w:r>
              <w:rPr>
                <w:rFonts w:ascii="Open Sans Light" w:hAnsi="Open Sans Light" w:cs="Open Sans Light"/>
                <w:color w:val="000000"/>
                <w:sz w:val="16"/>
                <w:szCs w:val="16"/>
              </w:rPr>
              <w:noBreakHyphen/>
            </w:r>
            <w:r w:rsidRPr="00882EAC">
              <w:rPr>
                <w:rFonts w:ascii="Open Sans Light" w:hAnsi="Open Sans Light" w:cs="Open Sans Light"/>
                <w:color w:val="000000"/>
                <w:sz w:val="16"/>
                <w:szCs w:val="16"/>
              </w:rPr>
              <w:t xml:space="preserve">priority Requests for Information (RFIs) from the Commonwealth by the </w:t>
            </w:r>
            <w:proofErr w:type="gramStart"/>
            <w:r w:rsidRPr="00882EAC">
              <w:rPr>
                <w:rFonts w:ascii="Open Sans Light" w:hAnsi="Open Sans Light" w:cs="Open Sans Light"/>
                <w:color w:val="000000"/>
                <w:sz w:val="16"/>
                <w:szCs w:val="16"/>
              </w:rPr>
              <w:t>Immigration Minister</w:t>
            </w:r>
            <w:proofErr w:type="gramEnd"/>
            <w:r w:rsidRPr="00882EAC">
              <w:rPr>
                <w:rFonts w:ascii="Open Sans Light" w:hAnsi="Open Sans Light" w:cs="Open Sans Light"/>
                <w:color w:val="000000"/>
                <w:sz w:val="16"/>
                <w:szCs w:val="16"/>
              </w:rPr>
              <w:t xml:space="preserve"> and the Department of Home Affairs. </w:t>
            </w:r>
          </w:p>
        </w:tc>
        <w:tc>
          <w:tcPr>
            <w:tcW w:w="1134" w:type="dxa"/>
            <w:tcBorders>
              <w:top w:val="single" w:sz="4" w:space="0" w:color="ADD6EA"/>
              <w:left w:val="nil"/>
              <w:bottom w:val="single" w:sz="4" w:space="0" w:color="ADD6EA"/>
              <w:right w:val="nil"/>
            </w:tcBorders>
            <w:noWrap/>
            <w:tcMar>
              <w:right w:w="85" w:type="dxa"/>
            </w:tcMar>
          </w:tcPr>
          <w:p w14:paraId="007FD0FC" w14:textId="77777777" w:rsidR="00BD07F6" w:rsidRPr="00CB1CE7"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0.6</w:t>
            </w:r>
          </w:p>
        </w:tc>
        <w:tc>
          <w:tcPr>
            <w:tcW w:w="1276" w:type="dxa"/>
            <w:tcBorders>
              <w:top w:val="single" w:sz="4" w:space="0" w:color="ADD6EA"/>
              <w:left w:val="nil"/>
              <w:bottom w:val="single" w:sz="4" w:space="0" w:color="ADD6EA"/>
              <w:right w:val="nil"/>
            </w:tcBorders>
            <w:noWrap/>
          </w:tcPr>
          <w:p w14:paraId="4280F604" w14:textId="77777777" w:rsidR="00BD07F6" w:rsidRPr="00CB1CE7" w:rsidRDefault="00BD07F6">
            <w:pPr>
              <w:spacing w:line="240" w:lineRule="auto"/>
              <w:rPr>
                <w:rFonts w:ascii="Open Sans Light" w:eastAsia="Times New Roman" w:hAnsi="Open Sans Light" w:cs="Open Sans Light"/>
                <w:color w:val="000000" w:themeColor="text1"/>
                <w:sz w:val="16"/>
                <w:szCs w:val="16"/>
                <w:lang w:eastAsia="en-AU"/>
              </w:rPr>
            </w:pPr>
            <w:r w:rsidRPr="00CB1CE7">
              <w:rPr>
                <w:rFonts w:ascii="Open Sans Light" w:hAnsi="Open Sans Light" w:cs="Open Sans Light"/>
                <w:color w:val="000000" w:themeColor="text1"/>
                <w:sz w:val="16"/>
                <w:szCs w:val="16"/>
              </w:rPr>
              <w:t>No impact</w:t>
            </w:r>
          </w:p>
        </w:tc>
        <w:tc>
          <w:tcPr>
            <w:tcW w:w="4678" w:type="dxa"/>
            <w:tcBorders>
              <w:top w:val="single" w:sz="4" w:space="0" w:color="ADD6EA"/>
              <w:left w:val="nil"/>
              <w:bottom w:val="single" w:sz="4" w:space="0" w:color="ADD6EA"/>
              <w:right w:val="nil"/>
            </w:tcBorders>
            <w:noWrap/>
          </w:tcPr>
          <w:p w14:paraId="686AC035"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themeColor="text1"/>
                <w:sz w:val="16"/>
                <w:szCs w:val="16"/>
              </w:rPr>
              <w:t>This payment relates to information requested by the Commonwealth under the Community Safety Order scheme administered by the Commonwealth. This represents a Commonwealth function and is not a state service.</w:t>
            </w:r>
          </w:p>
        </w:tc>
      </w:tr>
      <w:tr w:rsidR="00BD07F6" w:rsidRPr="00C91117" w14:paraId="3F3A52B9" w14:textId="77777777">
        <w:trPr>
          <w:trHeight w:val="703"/>
        </w:trPr>
        <w:tc>
          <w:tcPr>
            <w:tcW w:w="2410" w:type="dxa"/>
            <w:tcBorders>
              <w:top w:val="single" w:sz="4" w:space="0" w:color="ADD6EA"/>
              <w:left w:val="nil"/>
              <w:bottom w:val="single" w:sz="4" w:space="0" w:color="ADD6EA"/>
              <w:right w:val="nil"/>
            </w:tcBorders>
          </w:tcPr>
          <w:p w14:paraId="172DBCE8"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National Labour Hire</w:t>
            </w:r>
          </w:p>
        </w:tc>
        <w:tc>
          <w:tcPr>
            <w:tcW w:w="4394" w:type="dxa"/>
            <w:tcBorders>
              <w:top w:val="single" w:sz="4" w:space="0" w:color="ADD6EA"/>
              <w:left w:val="nil"/>
              <w:bottom w:val="single" w:sz="4" w:space="0" w:color="ADD6EA"/>
              <w:right w:val="nil"/>
            </w:tcBorders>
          </w:tcPr>
          <w:p w14:paraId="50B4C51B"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 xml:space="preserve">Funding to progress a harmonised approach to </w:t>
            </w:r>
            <w:r w:rsidRPr="001B7802">
              <w:rPr>
                <w:rFonts w:ascii="Open Sans Light" w:hAnsi="Open Sans Light" w:cs="Open Sans Light"/>
                <w:color w:val="000000"/>
                <w:sz w:val="16"/>
                <w:szCs w:val="16"/>
              </w:rPr>
              <w:br/>
              <w:t xml:space="preserve">national labour hire reform. </w:t>
            </w:r>
          </w:p>
        </w:tc>
        <w:tc>
          <w:tcPr>
            <w:tcW w:w="1134" w:type="dxa"/>
            <w:tcBorders>
              <w:top w:val="single" w:sz="4" w:space="0" w:color="ADD6EA"/>
              <w:left w:val="nil"/>
              <w:bottom w:val="single" w:sz="4" w:space="0" w:color="ADD6EA"/>
              <w:right w:val="nil"/>
            </w:tcBorders>
            <w:noWrap/>
            <w:tcMar>
              <w:right w:w="85" w:type="dxa"/>
            </w:tcMar>
          </w:tcPr>
          <w:p w14:paraId="41FA78D2" w14:textId="77777777" w:rsidR="00BD07F6" w:rsidRPr="001B7802"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2.6</w:t>
            </w:r>
          </w:p>
        </w:tc>
        <w:tc>
          <w:tcPr>
            <w:tcW w:w="1276" w:type="dxa"/>
            <w:tcBorders>
              <w:top w:val="single" w:sz="4" w:space="0" w:color="ADD6EA"/>
              <w:left w:val="nil"/>
              <w:bottom w:val="single" w:sz="4" w:space="0" w:color="ADD6EA"/>
              <w:right w:val="nil"/>
            </w:tcBorders>
            <w:noWrap/>
          </w:tcPr>
          <w:p w14:paraId="40F9EC3A"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4EE8420A"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Industry regulation is a state function, and need are assessed.</w:t>
            </w:r>
          </w:p>
        </w:tc>
      </w:tr>
      <w:tr w:rsidR="00BD07F6" w:rsidRPr="00C91117" w14:paraId="3767DD77" w14:textId="77777777">
        <w:trPr>
          <w:trHeight w:val="703"/>
        </w:trPr>
        <w:tc>
          <w:tcPr>
            <w:tcW w:w="2410" w:type="dxa"/>
            <w:tcBorders>
              <w:top w:val="single" w:sz="4" w:space="0" w:color="ADD6EA"/>
              <w:left w:val="nil"/>
              <w:bottom w:val="single" w:sz="4" w:space="0" w:color="ADD6EA"/>
              <w:right w:val="nil"/>
            </w:tcBorders>
          </w:tcPr>
          <w:p w14:paraId="3B845BEC"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lastRenderedPageBreak/>
              <w:t>Support to Host Giant Pandas in South Australia</w:t>
            </w:r>
          </w:p>
        </w:tc>
        <w:tc>
          <w:tcPr>
            <w:tcW w:w="4394" w:type="dxa"/>
            <w:tcBorders>
              <w:top w:val="single" w:sz="4" w:space="0" w:color="ADD6EA"/>
              <w:left w:val="nil"/>
              <w:bottom w:val="single" w:sz="4" w:space="0" w:color="ADD6EA"/>
              <w:right w:val="nil"/>
            </w:tcBorders>
          </w:tcPr>
          <w:p w14:paraId="5FC748F8"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 xml:space="preserve">Funding to host </w:t>
            </w:r>
            <w:r>
              <w:rPr>
                <w:rFonts w:ascii="Open Sans Light" w:hAnsi="Open Sans Light" w:cs="Open Sans Light"/>
                <w:color w:val="000000"/>
                <w:sz w:val="16"/>
                <w:szCs w:val="16"/>
              </w:rPr>
              <w:t>2</w:t>
            </w:r>
            <w:r w:rsidRPr="001B7802">
              <w:rPr>
                <w:rFonts w:ascii="Open Sans Light" w:hAnsi="Open Sans Light" w:cs="Open Sans Light"/>
                <w:color w:val="000000"/>
                <w:sz w:val="16"/>
                <w:szCs w:val="16"/>
              </w:rPr>
              <w:t xml:space="preserve"> giant pandas in the Adelaide Zoo.</w:t>
            </w:r>
          </w:p>
        </w:tc>
        <w:tc>
          <w:tcPr>
            <w:tcW w:w="1134" w:type="dxa"/>
            <w:tcBorders>
              <w:top w:val="single" w:sz="4" w:space="0" w:color="ADD6EA"/>
              <w:left w:val="nil"/>
              <w:bottom w:val="single" w:sz="4" w:space="0" w:color="ADD6EA"/>
              <w:right w:val="nil"/>
            </w:tcBorders>
            <w:noWrap/>
            <w:tcMar>
              <w:right w:w="85" w:type="dxa"/>
            </w:tcMar>
          </w:tcPr>
          <w:p w14:paraId="7B4742EF" w14:textId="77777777" w:rsidR="00BD07F6" w:rsidRPr="001B7802" w:rsidRDefault="00BD07F6">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0.8</w:t>
            </w:r>
          </w:p>
        </w:tc>
        <w:tc>
          <w:tcPr>
            <w:tcW w:w="1276" w:type="dxa"/>
            <w:tcBorders>
              <w:top w:val="single" w:sz="4" w:space="0" w:color="ADD6EA"/>
              <w:left w:val="nil"/>
              <w:bottom w:val="single" w:sz="4" w:space="0" w:color="ADD6EA"/>
              <w:right w:val="nil"/>
            </w:tcBorders>
            <w:noWrap/>
          </w:tcPr>
          <w:p w14:paraId="77DFB9CA"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5CE77B09" w14:textId="77777777" w:rsidR="00BD07F6" w:rsidRPr="001B7802"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R</w:t>
            </w:r>
            <w:r w:rsidRPr="00882EAC">
              <w:rPr>
                <w:rFonts w:ascii="Open Sans Light" w:hAnsi="Open Sans Light" w:cs="Open Sans Light"/>
                <w:color w:val="000000"/>
                <w:sz w:val="16"/>
                <w:szCs w:val="16"/>
              </w:rPr>
              <w:t>ecreation</w:t>
            </w:r>
            <w:r>
              <w:rPr>
                <w:rFonts w:ascii="Open Sans Light" w:hAnsi="Open Sans Light" w:cs="Open Sans Light"/>
                <w:color w:val="000000"/>
                <w:sz w:val="16"/>
                <w:szCs w:val="16"/>
              </w:rPr>
              <w:t>al and</w:t>
            </w:r>
            <w:r w:rsidRPr="00882EAC">
              <w:rPr>
                <w:rFonts w:ascii="Open Sans Light" w:hAnsi="Open Sans Light" w:cs="Open Sans Light"/>
                <w:color w:val="000000"/>
                <w:sz w:val="16"/>
                <w:szCs w:val="16"/>
              </w:rPr>
              <w:t xml:space="preserve"> cultu</w:t>
            </w:r>
            <w:r>
              <w:rPr>
                <w:rFonts w:ascii="Open Sans Light" w:hAnsi="Open Sans Light" w:cs="Open Sans Light"/>
                <w:color w:val="000000"/>
                <w:sz w:val="16"/>
                <w:szCs w:val="16"/>
              </w:rPr>
              <w:t>ral services</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is a state function</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and needs are assessed.</w:t>
            </w:r>
          </w:p>
        </w:tc>
      </w:tr>
    </w:tbl>
    <w:p w14:paraId="26A7E5DD" w14:textId="77777777" w:rsidR="00BD07F6" w:rsidRDefault="00BD07F6" w:rsidP="00BD07F6">
      <w:pPr>
        <w:pStyle w:val="Tableheading"/>
      </w:pPr>
      <w:bookmarkStart w:id="6" w:name="_Ref174626745"/>
      <w:bookmarkStart w:id="7" w:name="_Ref174546443"/>
    </w:p>
    <w:p w14:paraId="122A1BA4" w14:textId="77777777" w:rsidR="00BD07F6" w:rsidRPr="00F57D5F" w:rsidRDefault="00BD07F6" w:rsidP="00BD07F6">
      <w:pPr>
        <w:rPr>
          <w:lang w:eastAsia="en-AU"/>
        </w:rPr>
      </w:pPr>
    </w:p>
    <w:p w14:paraId="74731993" w14:textId="77777777" w:rsidR="00BD07F6" w:rsidRPr="00F57D5F" w:rsidRDefault="00BD07F6" w:rsidP="00BD07F6">
      <w:pPr>
        <w:rPr>
          <w:lang w:eastAsia="en-AU"/>
        </w:rPr>
      </w:pPr>
    </w:p>
    <w:p w14:paraId="7EA902AD" w14:textId="77777777" w:rsidR="00BD07F6" w:rsidRPr="00F57D5F" w:rsidRDefault="00BD07F6" w:rsidP="00BD07F6">
      <w:pPr>
        <w:rPr>
          <w:lang w:eastAsia="en-AU"/>
        </w:rPr>
      </w:pPr>
    </w:p>
    <w:p w14:paraId="34D8A4CE" w14:textId="77777777" w:rsidR="00BD07F6" w:rsidRPr="00F57D5F" w:rsidRDefault="00BD07F6" w:rsidP="00BD07F6">
      <w:pPr>
        <w:rPr>
          <w:lang w:eastAsia="en-AU"/>
        </w:rPr>
      </w:pPr>
    </w:p>
    <w:p w14:paraId="76373359" w14:textId="77777777" w:rsidR="00BD07F6" w:rsidRPr="00F57D5F" w:rsidRDefault="00BD07F6" w:rsidP="00BD07F6">
      <w:pPr>
        <w:rPr>
          <w:lang w:eastAsia="en-AU"/>
        </w:rPr>
      </w:pPr>
    </w:p>
    <w:p w14:paraId="3EB9C63B" w14:textId="77777777" w:rsidR="00BD07F6" w:rsidRPr="00F57D5F" w:rsidRDefault="00BD07F6" w:rsidP="00BD07F6">
      <w:pPr>
        <w:rPr>
          <w:lang w:eastAsia="en-AU"/>
        </w:rPr>
      </w:pPr>
    </w:p>
    <w:p w14:paraId="77F6AAA9" w14:textId="77777777" w:rsidR="00BD07F6" w:rsidRDefault="00BD07F6" w:rsidP="00BD07F6">
      <w:pPr>
        <w:rPr>
          <w:rFonts w:ascii="Work Sans SemiBold" w:eastAsia="Times New Roman" w:hAnsi="Work Sans SemiBold" w:cs="Times New Roman"/>
          <w:szCs w:val="20"/>
          <w:lang w:eastAsia="en-AU"/>
        </w:rPr>
      </w:pPr>
    </w:p>
    <w:p w14:paraId="4CFDFE72" w14:textId="77777777" w:rsidR="00BD07F6" w:rsidRDefault="00BD07F6" w:rsidP="00BD07F6">
      <w:pPr>
        <w:rPr>
          <w:rFonts w:ascii="Work Sans SemiBold" w:eastAsia="Times New Roman" w:hAnsi="Work Sans SemiBold" w:cs="Times New Roman"/>
          <w:szCs w:val="20"/>
          <w:lang w:eastAsia="en-AU"/>
        </w:rPr>
      </w:pPr>
    </w:p>
    <w:p w14:paraId="4717285E" w14:textId="77777777" w:rsidR="00BD07F6" w:rsidRPr="00F57D5F" w:rsidRDefault="00BD07F6" w:rsidP="00BD07F6">
      <w:pPr>
        <w:rPr>
          <w:lang w:eastAsia="en-AU"/>
        </w:rPr>
        <w:sectPr w:rsidR="00BD07F6" w:rsidRPr="00F57D5F" w:rsidSect="00D9195B">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6840" w:h="11907" w:orient="landscape" w:code="9"/>
          <w:pgMar w:top="1474" w:right="1418" w:bottom="1474" w:left="1418" w:header="454" w:footer="567" w:gutter="0"/>
          <w:cols w:space="720"/>
          <w:titlePg/>
          <w:docGrid w:linePitch="360"/>
        </w:sectPr>
      </w:pPr>
    </w:p>
    <w:p w14:paraId="5E746687" w14:textId="7F304813" w:rsidR="00BD07F6" w:rsidRPr="00DF230F" w:rsidRDefault="00BD07F6" w:rsidP="00BD07F6">
      <w:pPr>
        <w:pStyle w:val="Tableheading"/>
        <w:tabs>
          <w:tab w:val="left" w:pos="1134"/>
        </w:tabs>
        <w:rPr>
          <w:rFonts w:ascii="Work Sans" w:hAnsi="Work Sans"/>
          <w:b/>
          <w:bCs/>
        </w:rPr>
      </w:pPr>
      <w:r w:rsidRPr="00DF230F">
        <w:rPr>
          <w:rFonts w:ascii="Work Sans" w:hAnsi="Work Sans"/>
          <w:b/>
          <w:bCs/>
        </w:rPr>
        <w:lastRenderedPageBreak/>
        <w:t>Table</w:t>
      </w:r>
      <w:bookmarkEnd w:id="6"/>
      <w:r w:rsidRPr="00DF230F">
        <w:rPr>
          <w:rFonts w:ascii="Work Sans" w:hAnsi="Work Sans"/>
          <w:b/>
          <w:bCs/>
        </w:rPr>
        <w:t xml:space="preserve"> A-2</w:t>
      </w:r>
      <w:r w:rsidRPr="00DF230F">
        <w:rPr>
          <w:rFonts w:ascii="Work Sans" w:hAnsi="Work Sans"/>
          <w:b/>
          <w:bCs/>
        </w:rPr>
        <w:tab/>
      </w:r>
      <w:r w:rsidR="003D3EA6">
        <w:rPr>
          <w:rFonts w:ascii="Work Sans" w:hAnsi="Work Sans"/>
          <w:b/>
          <w:bCs/>
        </w:rPr>
        <w:t>T</w:t>
      </w:r>
      <w:r w:rsidRPr="00DF230F">
        <w:rPr>
          <w:rFonts w:ascii="Work Sans" w:hAnsi="Work Sans"/>
          <w:b/>
          <w:bCs/>
        </w:rPr>
        <w:t>reatment of city and regional deals commenced in 2024–2</w:t>
      </w:r>
      <w:bookmarkEnd w:id="7"/>
      <w:r w:rsidRPr="00DF230F">
        <w:rPr>
          <w:rFonts w:ascii="Work Sans" w:hAnsi="Work Sans"/>
          <w:b/>
          <w:bCs/>
        </w:rPr>
        <w:t>5</w:t>
      </w:r>
    </w:p>
    <w:tbl>
      <w:tblPr>
        <w:tblW w:w="13892" w:type="dxa"/>
        <w:tblLayout w:type="fixed"/>
        <w:tblCellMar>
          <w:left w:w="28" w:type="dxa"/>
          <w:right w:w="28" w:type="dxa"/>
        </w:tblCellMar>
        <w:tblLook w:val="04A0" w:firstRow="1" w:lastRow="0" w:firstColumn="1" w:lastColumn="0" w:noHBand="0" w:noVBand="1"/>
      </w:tblPr>
      <w:tblGrid>
        <w:gridCol w:w="2552"/>
        <w:gridCol w:w="4678"/>
        <w:gridCol w:w="992"/>
        <w:gridCol w:w="1276"/>
        <w:gridCol w:w="4394"/>
      </w:tblGrid>
      <w:tr w:rsidR="00BD07F6" w:rsidRPr="00C91117" w14:paraId="73442BB4" w14:textId="77777777">
        <w:trPr>
          <w:trHeight w:val="567"/>
          <w:tblHeader/>
        </w:trPr>
        <w:tc>
          <w:tcPr>
            <w:tcW w:w="2552" w:type="dxa"/>
            <w:tcBorders>
              <w:top w:val="single" w:sz="4" w:space="0" w:color="ADD6EA"/>
              <w:left w:val="nil"/>
              <w:bottom w:val="single" w:sz="4" w:space="0" w:color="ADD6EA"/>
              <w:right w:val="nil"/>
            </w:tcBorders>
            <w:shd w:val="clear" w:color="auto" w:fill="006991"/>
            <w:hideMark/>
          </w:tcPr>
          <w:p w14:paraId="328E34B7" w14:textId="77777777" w:rsidR="00BD07F6" w:rsidRPr="00C91117" w:rsidRDefault="00BD07F6">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Commonwealth payment</w:t>
            </w:r>
          </w:p>
        </w:tc>
        <w:tc>
          <w:tcPr>
            <w:tcW w:w="4678" w:type="dxa"/>
            <w:tcBorders>
              <w:top w:val="single" w:sz="4" w:space="0" w:color="ADD6EA"/>
              <w:left w:val="nil"/>
              <w:bottom w:val="single" w:sz="4" w:space="0" w:color="ADD6EA"/>
              <w:right w:val="nil"/>
            </w:tcBorders>
            <w:shd w:val="clear" w:color="auto" w:fill="006991"/>
            <w:hideMark/>
          </w:tcPr>
          <w:p w14:paraId="14892AFF" w14:textId="77777777" w:rsidR="00BD07F6" w:rsidRPr="00C91117" w:rsidRDefault="00BD07F6">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Description</w:t>
            </w:r>
          </w:p>
        </w:tc>
        <w:tc>
          <w:tcPr>
            <w:tcW w:w="992" w:type="dxa"/>
            <w:tcBorders>
              <w:top w:val="single" w:sz="4" w:space="0" w:color="ADD6EA"/>
              <w:left w:val="nil"/>
              <w:bottom w:val="single" w:sz="4" w:space="0" w:color="ADD6EA"/>
              <w:right w:val="nil"/>
            </w:tcBorders>
            <w:shd w:val="clear" w:color="auto" w:fill="006991"/>
            <w:tcMar>
              <w:right w:w="85" w:type="dxa"/>
            </w:tcMar>
            <w:hideMark/>
          </w:tcPr>
          <w:p w14:paraId="6D433C4B" w14:textId="77777777" w:rsidR="00BD07F6" w:rsidRPr="00C91117" w:rsidRDefault="00BD07F6">
            <w:pPr>
              <w:spacing w:line="240" w:lineRule="auto"/>
              <w:ind w:right="227"/>
              <w:jc w:val="right"/>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20</w:t>
            </w:r>
            <w:r>
              <w:rPr>
                <w:rFonts w:ascii="Open Sans Semibold" w:eastAsia="Times New Roman" w:hAnsi="Open Sans Semibold" w:cs="Open Sans Light"/>
                <w:color w:val="FFFFFF"/>
                <w:sz w:val="16"/>
                <w:szCs w:val="20"/>
                <w:lang w:eastAsia="en-AU"/>
              </w:rPr>
              <w:t>24–25</w:t>
            </w:r>
            <w:r w:rsidRPr="00C91117">
              <w:rPr>
                <w:rFonts w:ascii="Open Sans Semibold" w:eastAsia="Times New Roman" w:hAnsi="Open Sans Semibold" w:cs="Open Sans Light"/>
                <w:color w:val="FFFFFF"/>
                <w:sz w:val="16"/>
                <w:szCs w:val="20"/>
                <w:lang w:eastAsia="en-AU"/>
              </w:rPr>
              <w:t xml:space="preserve"> $m</w:t>
            </w:r>
          </w:p>
        </w:tc>
        <w:tc>
          <w:tcPr>
            <w:tcW w:w="1276" w:type="dxa"/>
            <w:tcBorders>
              <w:top w:val="single" w:sz="4" w:space="0" w:color="ADD6EA"/>
              <w:left w:val="nil"/>
              <w:bottom w:val="single" w:sz="4" w:space="0" w:color="ADD6EA"/>
              <w:right w:val="nil"/>
            </w:tcBorders>
            <w:shd w:val="clear" w:color="auto" w:fill="006991"/>
            <w:hideMark/>
          </w:tcPr>
          <w:p w14:paraId="476D0A46" w14:textId="221A55A4" w:rsidR="00BD07F6" w:rsidRPr="00C91117" w:rsidRDefault="00074911">
            <w:pPr>
              <w:spacing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Light"/>
                <w:color w:val="FFFFFF"/>
                <w:sz w:val="16"/>
                <w:szCs w:val="20"/>
                <w:lang w:eastAsia="en-AU"/>
              </w:rPr>
              <w:t>Treatment</w:t>
            </w:r>
          </w:p>
        </w:tc>
        <w:tc>
          <w:tcPr>
            <w:tcW w:w="4394" w:type="dxa"/>
            <w:tcBorders>
              <w:top w:val="single" w:sz="4" w:space="0" w:color="ADD6EA"/>
              <w:left w:val="nil"/>
              <w:bottom w:val="single" w:sz="4" w:space="0" w:color="ADD6EA"/>
              <w:right w:val="nil"/>
            </w:tcBorders>
            <w:shd w:val="clear" w:color="auto" w:fill="006991"/>
            <w:hideMark/>
          </w:tcPr>
          <w:p w14:paraId="3D2FF12D" w14:textId="77777777" w:rsidR="00BD07F6" w:rsidRPr="00C91117" w:rsidRDefault="00BD07F6">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Reason for treatment</w:t>
            </w:r>
          </w:p>
        </w:tc>
      </w:tr>
      <w:tr w:rsidR="00BD07F6" w:rsidRPr="00C91117" w14:paraId="384FCEBE" w14:textId="77777777">
        <w:trPr>
          <w:trHeight w:val="302"/>
        </w:trPr>
        <w:tc>
          <w:tcPr>
            <w:tcW w:w="2552" w:type="dxa"/>
            <w:tcBorders>
              <w:top w:val="single" w:sz="4" w:space="0" w:color="ADD6EA"/>
              <w:left w:val="nil"/>
              <w:bottom w:val="single" w:sz="4" w:space="0" w:color="ADD6EA"/>
              <w:right w:val="nil"/>
            </w:tcBorders>
            <w:shd w:val="clear" w:color="auto" w:fill="B6D5E4"/>
            <w:hideMark/>
          </w:tcPr>
          <w:p w14:paraId="194D88DC" w14:textId="77777777" w:rsidR="00BD07F6" w:rsidRPr="00C91117" w:rsidRDefault="00BD07F6">
            <w:pPr>
              <w:spacing w:line="240" w:lineRule="auto"/>
              <w:rPr>
                <w:rFonts w:ascii="Open Sans Semibold" w:eastAsia="Times New Roman" w:hAnsi="Open Sans Semibold" w:cs="Open Sans Semibold"/>
                <w:color w:val="000000"/>
                <w:sz w:val="16"/>
                <w:szCs w:val="16"/>
                <w:lang w:eastAsia="en-AU"/>
              </w:rPr>
            </w:pPr>
            <w:bookmarkStart w:id="8" w:name="_Hlk80869744"/>
            <w:r>
              <w:rPr>
                <w:rFonts w:ascii="Open Sans Semibold" w:eastAsia="Times New Roman" w:hAnsi="Open Sans Semibold" w:cs="Open Sans Semibold"/>
                <w:color w:val="000000"/>
                <w:sz w:val="16"/>
                <w:szCs w:val="16"/>
                <w:lang w:eastAsia="en-AU"/>
              </w:rPr>
              <w:t>Adelaide</w:t>
            </w:r>
          </w:p>
        </w:tc>
        <w:tc>
          <w:tcPr>
            <w:tcW w:w="4678" w:type="dxa"/>
            <w:tcBorders>
              <w:top w:val="single" w:sz="4" w:space="0" w:color="ADD6EA"/>
              <w:left w:val="nil"/>
              <w:bottom w:val="single" w:sz="4" w:space="0" w:color="ADD6EA"/>
              <w:right w:val="nil"/>
            </w:tcBorders>
            <w:shd w:val="clear" w:color="auto" w:fill="B6D5E4"/>
            <w:noWrap/>
            <w:hideMark/>
          </w:tcPr>
          <w:p w14:paraId="4E882C20" w14:textId="77777777" w:rsidR="00BD07F6" w:rsidRPr="00C91117" w:rsidRDefault="00BD07F6">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992" w:type="dxa"/>
            <w:tcBorders>
              <w:top w:val="single" w:sz="4" w:space="0" w:color="ADD6EA"/>
              <w:left w:val="nil"/>
              <w:bottom w:val="single" w:sz="4" w:space="0" w:color="ADD6EA"/>
              <w:right w:val="nil"/>
            </w:tcBorders>
            <w:shd w:val="clear" w:color="auto" w:fill="B6D5E4"/>
            <w:noWrap/>
            <w:tcMar>
              <w:right w:w="85" w:type="dxa"/>
            </w:tcMar>
            <w:hideMark/>
          </w:tcPr>
          <w:p w14:paraId="5911970C" w14:textId="77777777" w:rsidR="00BD07F6" w:rsidRPr="00C91117" w:rsidRDefault="00BD07F6">
            <w:pPr>
              <w:spacing w:line="240" w:lineRule="auto"/>
              <w:ind w:right="227"/>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1276" w:type="dxa"/>
            <w:tcBorders>
              <w:top w:val="single" w:sz="4" w:space="0" w:color="ADD6EA"/>
              <w:left w:val="nil"/>
              <w:bottom w:val="single" w:sz="4" w:space="0" w:color="ADD6EA"/>
              <w:right w:val="nil"/>
            </w:tcBorders>
            <w:shd w:val="clear" w:color="auto" w:fill="B6D5E4"/>
            <w:noWrap/>
            <w:hideMark/>
          </w:tcPr>
          <w:p w14:paraId="12DC95E2" w14:textId="77777777" w:rsidR="00BD07F6" w:rsidRPr="00C91117" w:rsidRDefault="00BD07F6">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4394" w:type="dxa"/>
            <w:tcBorders>
              <w:top w:val="single" w:sz="4" w:space="0" w:color="ADD6EA"/>
              <w:left w:val="nil"/>
              <w:bottom w:val="single" w:sz="4" w:space="0" w:color="ADD6EA"/>
              <w:right w:val="nil"/>
            </w:tcBorders>
            <w:shd w:val="clear" w:color="auto" w:fill="B6D5E4"/>
            <w:noWrap/>
            <w:hideMark/>
          </w:tcPr>
          <w:p w14:paraId="336EAF82" w14:textId="77777777" w:rsidR="00BD07F6" w:rsidRPr="00C91117" w:rsidRDefault="00BD07F6">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r>
      <w:tr w:rsidR="00BD07F6" w:rsidRPr="00954A46" w14:paraId="102AA17C" w14:textId="77777777">
        <w:trPr>
          <w:trHeight w:val="765"/>
        </w:trPr>
        <w:tc>
          <w:tcPr>
            <w:tcW w:w="2552" w:type="dxa"/>
            <w:tcBorders>
              <w:top w:val="single" w:sz="4" w:space="0" w:color="ADD6EA"/>
              <w:left w:val="nil"/>
              <w:bottom w:val="single" w:sz="4" w:space="0" w:color="ADD6EA"/>
              <w:right w:val="nil"/>
            </w:tcBorders>
          </w:tcPr>
          <w:p w14:paraId="68BB118F" w14:textId="77777777" w:rsidR="00BD07F6" w:rsidRPr="00CE3F7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Australian Defence Technologies Academy</w:t>
            </w:r>
          </w:p>
        </w:tc>
        <w:tc>
          <w:tcPr>
            <w:tcW w:w="4678" w:type="dxa"/>
            <w:tcBorders>
              <w:top w:val="single" w:sz="4" w:space="0" w:color="ADD6EA"/>
              <w:left w:val="nil"/>
              <w:bottom w:val="single" w:sz="4" w:space="0" w:color="ADD6EA"/>
              <w:right w:val="nil"/>
            </w:tcBorders>
          </w:tcPr>
          <w:p w14:paraId="6B9D802D" w14:textId="77777777" w:rsidR="00BD07F6" w:rsidRPr="00CE3F7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Contribution to a</w:t>
            </w:r>
            <w:r w:rsidRPr="00FF02FE">
              <w:rPr>
                <w:rFonts w:ascii="Open Sans Light" w:eastAsia="Times New Roman" w:hAnsi="Open Sans Light" w:cs="Open Sans Light"/>
                <w:color w:val="000000"/>
                <w:sz w:val="16"/>
                <w:szCs w:val="16"/>
                <w:lang w:eastAsia="en-AU"/>
              </w:rPr>
              <w:t xml:space="preserve"> $60 million Australian Defence Technologies Academy </w:t>
            </w:r>
            <w:r>
              <w:rPr>
                <w:rFonts w:ascii="Open Sans Light" w:eastAsia="Times New Roman" w:hAnsi="Open Sans Light" w:cs="Open Sans Light"/>
                <w:color w:val="000000"/>
                <w:sz w:val="16"/>
                <w:szCs w:val="16"/>
                <w:lang w:eastAsia="en-AU"/>
              </w:rPr>
              <w:t>to</w:t>
            </w:r>
            <w:r w:rsidRPr="00FF02FE">
              <w:rPr>
                <w:rFonts w:ascii="Open Sans Light" w:eastAsia="Times New Roman" w:hAnsi="Open Sans Light" w:cs="Open Sans Light"/>
                <w:color w:val="000000"/>
                <w:sz w:val="16"/>
                <w:szCs w:val="16"/>
                <w:lang w:eastAsia="en-AU"/>
              </w:rPr>
              <w:t xml:space="preserve"> drive sovereign research and development of defence capabilities in South Australia.</w:t>
            </w:r>
            <w:r>
              <w:rPr>
                <w:rFonts w:ascii="Open Sans Light" w:eastAsia="Times New Roman" w:hAnsi="Open Sans Light" w:cs="Open Sans Light"/>
                <w:color w:val="000000"/>
                <w:sz w:val="16"/>
                <w:szCs w:val="16"/>
                <w:lang w:eastAsia="en-AU"/>
              </w:rPr>
              <w:t xml:space="preserve"> </w:t>
            </w:r>
          </w:p>
        </w:tc>
        <w:tc>
          <w:tcPr>
            <w:tcW w:w="992" w:type="dxa"/>
            <w:tcBorders>
              <w:top w:val="single" w:sz="4" w:space="0" w:color="ADD6EA"/>
              <w:left w:val="nil"/>
              <w:bottom w:val="single" w:sz="4" w:space="0" w:color="ADD6EA"/>
            </w:tcBorders>
            <w:noWrap/>
            <w:tcMar>
              <w:right w:w="85" w:type="dxa"/>
            </w:tcMar>
            <w:vAlign w:val="center"/>
          </w:tcPr>
          <w:p w14:paraId="144B2766"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22334102" w14:textId="77777777" w:rsidR="00BD07F6" w:rsidRPr="00CE3F7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394" w:type="dxa"/>
            <w:tcBorders>
              <w:top w:val="single" w:sz="4" w:space="0" w:color="ADD6EA"/>
              <w:left w:val="nil"/>
              <w:bottom w:val="single" w:sz="4" w:space="0" w:color="ADD6EA"/>
              <w:right w:val="nil"/>
            </w:tcBorders>
            <w:noWrap/>
          </w:tcPr>
          <w:p w14:paraId="2351B21C" w14:textId="77777777" w:rsidR="00BD07F6" w:rsidRPr="00CE3F77" w:rsidRDefault="00BD07F6">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Universities and defence are a Commonwealth responsibility.</w:t>
            </w:r>
          </w:p>
        </w:tc>
      </w:tr>
      <w:bookmarkEnd w:id="8"/>
      <w:tr w:rsidR="00BD07F6" w:rsidRPr="00C91117" w14:paraId="2B3A9438" w14:textId="77777777">
        <w:trPr>
          <w:trHeight w:val="259"/>
        </w:trPr>
        <w:tc>
          <w:tcPr>
            <w:tcW w:w="2552" w:type="dxa"/>
            <w:tcBorders>
              <w:top w:val="single" w:sz="4" w:space="0" w:color="ADD6EA"/>
              <w:left w:val="nil"/>
              <w:bottom w:val="single" w:sz="4" w:space="0" w:color="ADD6EA"/>
              <w:right w:val="nil"/>
            </w:tcBorders>
            <w:shd w:val="clear" w:color="auto" w:fill="B6D5E4"/>
          </w:tcPr>
          <w:p w14:paraId="4E81C632" w14:textId="77777777" w:rsidR="00BD07F6" w:rsidRPr="006220C1" w:rsidRDefault="00BD07F6">
            <w:pPr>
              <w:spacing w:line="240" w:lineRule="auto"/>
              <w:rPr>
                <w:rFonts w:ascii="Open Sans Semibold" w:eastAsia="Times New Roman" w:hAnsi="Open Sans Semibold" w:cs="Open Sans Semibold"/>
                <w:color w:val="000000"/>
                <w:sz w:val="16"/>
                <w:szCs w:val="16"/>
                <w:lang w:eastAsia="en-AU"/>
              </w:rPr>
            </w:pPr>
            <w:r w:rsidRPr="006220C1">
              <w:rPr>
                <w:rFonts w:ascii="Open Sans Semibold" w:eastAsia="Times New Roman" w:hAnsi="Open Sans Semibold" w:cs="Open Sans Semibold"/>
                <w:color w:val="000000"/>
                <w:sz w:val="16"/>
                <w:szCs w:val="16"/>
                <w:lang w:eastAsia="en-AU"/>
              </w:rPr>
              <w:t>Albury-Wodonga</w:t>
            </w:r>
          </w:p>
        </w:tc>
        <w:tc>
          <w:tcPr>
            <w:tcW w:w="4678" w:type="dxa"/>
            <w:tcBorders>
              <w:top w:val="single" w:sz="4" w:space="0" w:color="ADD6EA"/>
              <w:left w:val="nil"/>
              <w:bottom w:val="single" w:sz="4" w:space="0" w:color="ADD6EA"/>
              <w:right w:val="nil"/>
            </w:tcBorders>
            <w:shd w:val="clear" w:color="auto" w:fill="B6D5E4"/>
            <w:noWrap/>
          </w:tcPr>
          <w:p w14:paraId="639D5630" w14:textId="77777777" w:rsidR="00BD07F6" w:rsidRPr="00934245" w:rsidRDefault="00BD07F6">
            <w:pPr>
              <w:spacing w:line="240" w:lineRule="auto"/>
              <w:jc w:val="right"/>
              <w:rPr>
                <w:rFonts w:ascii="Open Sans Light" w:eastAsia="Times New Roman" w:hAnsi="Open Sans Light" w:cs="Open Sans Light"/>
                <w:color w:val="000000"/>
                <w:sz w:val="16"/>
                <w:szCs w:val="16"/>
                <w:lang w:eastAsia="en-AU"/>
              </w:rPr>
            </w:pPr>
          </w:p>
        </w:tc>
        <w:tc>
          <w:tcPr>
            <w:tcW w:w="992" w:type="dxa"/>
            <w:tcBorders>
              <w:top w:val="single" w:sz="4" w:space="0" w:color="ADD6EA"/>
              <w:left w:val="nil"/>
              <w:bottom w:val="single" w:sz="4" w:space="0" w:color="ADD6EA"/>
              <w:right w:val="nil"/>
            </w:tcBorders>
            <w:shd w:val="clear" w:color="auto" w:fill="B6D5E4"/>
            <w:noWrap/>
            <w:tcMar>
              <w:right w:w="85" w:type="dxa"/>
            </w:tcMar>
            <w:vAlign w:val="center"/>
          </w:tcPr>
          <w:p w14:paraId="26004A1A" w14:textId="77777777" w:rsidR="00BD07F6" w:rsidRPr="002B0919" w:rsidRDefault="00BD07F6">
            <w:pPr>
              <w:spacing w:line="240" w:lineRule="auto"/>
              <w:ind w:right="192"/>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vAlign w:val="center"/>
          </w:tcPr>
          <w:p w14:paraId="7427990A"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2E270D6B" w14:textId="77777777" w:rsidR="00BD07F6" w:rsidRPr="00934245" w:rsidRDefault="00BD07F6">
            <w:pPr>
              <w:spacing w:line="240" w:lineRule="auto"/>
              <w:jc w:val="right"/>
              <w:rPr>
                <w:rFonts w:ascii="Open Sans Light" w:eastAsia="Times New Roman" w:hAnsi="Open Sans Light" w:cs="Open Sans Light"/>
                <w:color w:val="000000"/>
                <w:sz w:val="16"/>
                <w:szCs w:val="16"/>
                <w:lang w:eastAsia="en-AU"/>
              </w:rPr>
            </w:pPr>
          </w:p>
        </w:tc>
      </w:tr>
      <w:tr w:rsidR="00BD07F6" w:rsidRPr="00954A46" w14:paraId="7BBB8BC0" w14:textId="77777777">
        <w:trPr>
          <w:trHeight w:val="465"/>
        </w:trPr>
        <w:tc>
          <w:tcPr>
            <w:tcW w:w="2552" w:type="dxa"/>
            <w:tcBorders>
              <w:top w:val="single" w:sz="4" w:space="0" w:color="ADD6EA"/>
              <w:left w:val="nil"/>
              <w:bottom w:val="single" w:sz="4" w:space="0" w:color="ADD6EA"/>
              <w:right w:val="nil"/>
            </w:tcBorders>
            <w:vAlign w:val="center"/>
          </w:tcPr>
          <w:p w14:paraId="0154F3BA"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Stage 3 Splash Park development. Oddies Creek</w:t>
            </w:r>
          </w:p>
        </w:tc>
        <w:tc>
          <w:tcPr>
            <w:tcW w:w="4678" w:type="dxa"/>
            <w:tcBorders>
              <w:top w:val="single" w:sz="4" w:space="0" w:color="ADD6EA"/>
              <w:left w:val="nil"/>
              <w:bottom w:val="single" w:sz="4" w:space="0" w:color="ADD6EA"/>
              <w:right w:val="nil"/>
            </w:tcBorders>
            <w:vAlign w:val="bottom"/>
          </w:tcPr>
          <w:p w14:paraId="3316CFB5" w14:textId="77777777" w:rsidR="00BD07F6" w:rsidRPr="00934245" w:rsidRDefault="00BD07F6">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Funding for a splash park that will offer families an alternative to risky river activities and meet community aspirations for accessible and vibrant recreational spaces.</w:t>
            </w:r>
          </w:p>
        </w:tc>
        <w:tc>
          <w:tcPr>
            <w:tcW w:w="992" w:type="dxa"/>
            <w:tcBorders>
              <w:top w:val="single" w:sz="4" w:space="0" w:color="ADD6EA"/>
              <w:left w:val="nil"/>
              <w:bottom w:val="single" w:sz="4" w:space="0" w:color="ADD6EA"/>
              <w:right w:val="nil"/>
            </w:tcBorders>
            <w:noWrap/>
            <w:tcMar>
              <w:right w:w="85" w:type="dxa"/>
            </w:tcMar>
            <w:vAlign w:val="center"/>
          </w:tcPr>
          <w:p w14:paraId="0D2B21E2"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4ABF92E3"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3272DE01"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Investment in recreational and cultural services is a state function, and needs are assessed.</w:t>
            </w:r>
          </w:p>
        </w:tc>
      </w:tr>
      <w:tr w:rsidR="00BD07F6" w:rsidRPr="00954A46" w14:paraId="5038642B" w14:textId="77777777">
        <w:trPr>
          <w:trHeight w:val="465"/>
        </w:trPr>
        <w:tc>
          <w:tcPr>
            <w:tcW w:w="2552" w:type="dxa"/>
            <w:tcBorders>
              <w:top w:val="single" w:sz="4" w:space="0" w:color="ADD6EA"/>
              <w:left w:val="nil"/>
              <w:bottom w:val="single" w:sz="4" w:space="0" w:color="ADD6EA"/>
              <w:right w:val="nil"/>
            </w:tcBorders>
            <w:vAlign w:val="center"/>
          </w:tcPr>
          <w:p w14:paraId="64ED3836"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Detailed design for an Aboriginal Aged Care Facility</w:t>
            </w:r>
          </w:p>
        </w:tc>
        <w:tc>
          <w:tcPr>
            <w:tcW w:w="4678" w:type="dxa"/>
            <w:tcBorders>
              <w:top w:val="single" w:sz="4" w:space="0" w:color="ADD6EA"/>
              <w:left w:val="nil"/>
              <w:bottom w:val="single" w:sz="4" w:space="0" w:color="ADD6EA"/>
              <w:right w:val="nil"/>
            </w:tcBorders>
          </w:tcPr>
          <w:p w14:paraId="7B926C5F" w14:textId="1AF46A3A" w:rsidR="00BD07F6" w:rsidRPr="00934245" w:rsidRDefault="00BD07F6">
            <w:pPr>
              <w:spacing w:line="240" w:lineRule="auto"/>
              <w:rPr>
                <w:rFonts w:ascii="Open Sans Light" w:eastAsia="Times New Roman" w:hAnsi="Open Sans Light" w:cs="Open Sans Light"/>
                <w:color w:val="000000"/>
                <w:sz w:val="16"/>
                <w:szCs w:val="16"/>
                <w:highlight w:val="yellow"/>
                <w:lang w:eastAsia="en-AU"/>
              </w:rPr>
            </w:pPr>
            <w:r w:rsidRPr="003447F8">
              <w:rPr>
                <w:rFonts w:ascii="Open Sans Light" w:eastAsia="Times New Roman" w:hAnsi="Open Sans Light" w:cs="Open Sans Light"/>
                <w:color w:val="000000"/>
                <w:sz w:val="16"/>
                <w:szCs w:val="16"/>
                <w:lang w:eastAsia="en-AU"/>
              </w:rPr>
              <w:t>Detailed design for proposed facility to include low</w:t>
            </w:r>
            <w:r w:rsidR="00353541">
              <w:rPr>
                <w:rFonts w:ascii="Open Sans Light" w:eastAsia="Times New Roman" w:hAnsi="Open Sans Light" w:cs="Open Sans Light"/>
                <w:color w:val="000000"/>
                <w:sz w:val="16"/>
                <w:szCs w:val="16"/>
                <w:lang w:eastAsia="en-AU"/>
              </w:rPr>
              <w:t>,</w:t>
            </w:r>
            <w:r w:rsidRPr="003447F8">
              <w:rPr>
                <w:rFonts w:ascii="Open Sans Light" w:eastAsia="Times New Roman" w:hAnsi="Open Sans Light" w:cs="Open Sans Light"/>
                <w:color w:val="000000"/>
                <w:sz w:val="16"/>
                <w:szCs w:val="16"/>
                <w:lang w:eastAsia="en-AU"/>
              </w:rPr>
              <w:t xml:space="preserve"> medium and high care option for First Nation</w:t>
            </w:r>
            <w:r>
              <w:rPr>
                <w:rFonts w:ascii="Open Sans Light" w:eastAsia="Times New Roman" w:hAnsi="Open Sans Light" w:cs="Open Sans Light"/>
                <w:color w:val="000000"/>
                <w:sz w:val="16"/>
                <w:szCs w:val="16"/>
                <w:lang w:eastAsia="en-AU"/>
              </w:rPr>
              <w:t>s</w:t>
            </w:r>
            <w:r w:rsidRPr="003447F8">
              <w:rPr>
                <w:rFonts w:ascii="Open Sans Light" w:eastAsia="Times New Roman" w:hAnsi="Open Sans Light" w:cs="Open Sans Light"/>
                <w:color w:val="000000"/>
                <w:sz w:val="16"/>
                <w:szCs w:val="16"/>
                <w:lang w:eastAsia="en-AU"/>
              </w:rPr>
              <w:t xml:space="preserve"> community members with a focus on holistic and culturally safe care.</w:t>
            </w:r>
          </w:p>
        </w:tc>
        <w:tc>
          <w:tcPr>
            <w:tcW w:w="992" w:type="dxa"/>
            <w:tcBorders>
              <w:top w:val="single" w:sz="4" w:space="0" w:color="ADD6EA"/>
              <w:left w:val="nil"/>
              <w:bottom w:val="single" w:sz="4" w:space="0" w:color="ADD6EA"/>
              <w:right w:val="nil"/>
            </w:tcBorders>
            <w:noWrap/>
            <w:tcMar>
              <w:right w:w="85" w:type="dxa"/>
            </w:tcMar>
            <w:vAlign w:val="center"/>
          </w:tcPr>
          <w:p w14:paraId="3B5462E9"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0.5</w:t>
            </w:r>
          </w:p>
        </w:tc>
        <w:tc>
          <w:tcPr>
            <w:tcW w:w="1276" w:type="dxa"/>
            <w:tcBorders>
              <w:top w:val="single" w:sz="4" w:space="0" w:color="ADD6EA"/>
              <w:left w:val="nil"/>
              <w:bottom w:val="single" w:sz="4" w:space="0" w:color="ADD6EA"/>
              <w:right w:val="nil"/>
            </w:tcBorders>
            <w:noWrap/>
            <w:vAlign w:val="center"/>
          </w:tcPr>
          <w:p w14:paraId="2F635BCA"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vAlign w:val="center"/>
          </w:tcPr>
          <w:p w14:paraId="11C51161"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eastAsia="Times New Roman" w:hAnsi="Open Sans Light" w:cs="Open Sans Light"/>
                <w:color w:val="000000"/>
                <w:sz w:val="16"/>
                <w:szCs w:val="16"/>
                <w:lang w:eastAsia="en-AU"/>
              </w:rPr>
              <w:t>Aged care, including residential aged care, is a Commonwealth responsibility.</w:t>
            </w:r>
          </w:p>
        </w:tc>
      </w:tr>
      <w:tr w:rsidR="00BD07F6" w:rsidRPr="00954A46" w14:paraId="034D7FB1" w14:textId="77777777">
        <w:trPr>
          <w:trHeight w:val="465"/>
        </w:trPr>
        <w:tc>
          <w:tcPr>
            <w:tcW w:w="2552" w:type="dxa"/>
            <w:tcBorders>
              <w:top w:val="single" w:sz="4" w:space="0" w:color="ADD6EA"/>
              <w:left w:val="nil"/>
              <w:bottom w:val="single" w:sz="4" w:space="0" w:color="ADD6EA"/>
              <w:right w:val="nil"/>
            </w:tcBorders>
            <w:vAlign w:val="center"/>
          </w:tcPr>
          <w:p w14:paraId="1E67ACBA"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Enabling &amp; other infrastructure to support the Albury Wodonga Regional Hospital Development</w:t>
            </w:r>
          </w:p>
        </w:tc>
        <w:tc>
          <w:tcPr>
            <w:tcW w:w="4678" w:type="dxa"/>
            <w:tcBorders>
              <w:top w:val="single" w:sz="4" w:space="0" w:color="ADD6EA"/>
              <w:left w:val="nil"/>
              <w:bottom w:val="single" w:sz="4" w:space="0" w:color="ADD6EA"/>
              <w:right w:val="nil"/>
            </w:tcBorders>
          </w:tcPr>
          <w:p w14:paraId="0A5A0CA7" w14:textId="77777777" w:rsidR="00BD07F6" w:rsidRPr="00934245" w:rsidRDefault="00BD07F6">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 xml:space="preserve">Funding for a major new regional hospital and improved health services for the Albury, Wodonga and border communities. </w:t>
            </w:r>
          </w:p>
        </w:tc>
        <w:tc>
          <w:tcPr>
            <w:tcW w:w="992" w:type="dxa"/>
            <w:tcBorders>
              <w:top w:val="single" w:sz="4" w:space="0" w:color="ADD6EA"/>
              <w:left w:val="nil"/>
              <w:bottom w:val="single" w:sz="4" w:space="0" w:color="ADD6EA"/>
              <w:right w:val="nil"/>
            </w:tcBorders>
            <w:noWrap/>
            <w:tcMar>
              <w:right w:w="85" w:type="dxa"/>
            </w:tcMar>
            <w:vAlign w:val="center"/>
          </w:tcPr>
          <w:p w14:paraId="3BA4152C"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6.5</w:t>
            </w:r>
          </w:p>
        </w:tc>
        <w:tc>
          <w:tcPr>
            <w:tcW w:w="1276" w:type="dxa"/>
            <w:tcBorders>
              <w:top w:val="single" w:sz="4" w:space="0" w:color="ADD6EA"/>
              <w:left w:val="nil"/>
              <w:bottom w:val="single" w:sz="4" w:space="0" w:color="ADD6EA"/>
              <w:right w:val="nil"/>
            </w:tcBorders>
            <w:noWrap/>
            <w:vAlign w:val="center"/>
          </w:tcPr>
          <w:p w14:paraId="20CCFCCC"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730AE058"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h</w:t>
            </w:r>
            <w:r w:rsidRPr="00934245">
              <w:rPr>
                <w:rFonts w:ascii="Open Sans Light" w:hAnsi="Open Sans Light" w:cs="Open Sans Light"/>
                <w:color w:val="000000"/>
                <w:sz w:val="16"/>
                <w:szCs w:val="16"/>
              </w:rPr>
              <w:t>ospital</w:t>
            </w:r>
            <w:r>
              <w:rPr>
                <w:rFonts w:ascii="Open Sans Light" w:hAnsi="Open Sans Light" w:cs="Open Sans Light"/>
                <w:color w:val="000000"/>
                <w:sz w:val="16"/>
                <w:szCs w:val="16"/>
              </w:rPr>
              <w:t xml:space="preserve"> infrastructure and health services are a state function, and needs are</w:t>
            </w:r>
            <w:r w:rsidRPr="00934245">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BD07F6" w:rsidRPr="00954A46" w14:paraId="717E0B96" w14:textId="77777777">
        <w:trPr>
          <w:trHeight w:val="465"/>
        </w:trPr>
        <w:tc>
          <w:tcPr>
            <w:tcW w:w="2552" w:type="dxa"/>
            <w:tcBorders>
              <w:top w:val="single" w:sz="4" w:space="0" w:color="ADD6EA"/>
              <w:left w:val="nil"/>
              <w:bottom w:val="single" w:sz="4" w:space="0" w:color="ADD6EA"/>
              <w:right w:val="nil"/>
            </w:tcBorders>
            <w:vAlign w:val="center"/>
          </w:tcPr>
          <w:p w14:paraId="4F28562F"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Wodonga Creek Precinct development</w:t>
            </w:r>
          </w:p>
        </w:tc>
        <w:tc>
          <w:tcPr>
            <w:tcW w:w="4678" w:type="dxa"/>
            <w:tcBorders>
              <w:top w:val="single" w:sz="4" w:space="0" w:color="ADD6EA"/>
              <w:left w:val="nil"/>
              <w:bottom w:val="single" w:sz="4" w:space="0" w:color="ADD6EA"/>
              <w:right w:val="nil"/>
            </w:tcBorders>
          </w:tcPr>
          <w:p w14:paraId="597F1B59" w14:textId="77777777" w:rsidR="00BD07F6" w:rsidRPr="00934245" w:rsidRDefault="00BD07F6">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 xml:space="preserve">Funding for the Wodonga Creek precinct development, linking the Wodonga central business area, Belvoir Park and Gateway Island through to Albury by connecting to the existing Wodonga pathways network. </w:t>
            </w:r>
          </w:p>
        </w:tc>
        <w:tc>
          <w:tcPr>
            <w:tcW w:w="992" w:type="dxa"/>
            <w:tcBorders>
              <w:top w:val="single" w:sz="4" w:space="0" w:color="ADD6EA"/>
              <w:left w:val="nil"/>
              <w:bottom w:val="single" w:sz="4" w:space="0" w:color="ADD6EA"/>
              <w:right w:val="nil"/>
            </w:tcBorders>
            <w:noWrap/>
            <w:tcMar>
              <w:right w:w="85" w:type="dxa"/>
            </w:tcMar>
            <w:vAlign w:val="center"/>
          </w:tcPr>
          <w:p w14:paraId="7C4900BE"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17AE69F1"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19231234" w14:textId="77777777" w:rsidR="00BD07F6" w:rsidRPr="00214718" w:rsidRDefault="00BD07F6">
            <w:pPr>
              <w:spacing w:line="240" w:lineRule="auto"/>
              <w:rPr>
                <w:rFonts w:ascii="Open Sans Light" w:eastAsia="Times New Roman" w:hAnsi="Open Sans Light" w:cs="Open Sans Light"/>
                <w:color w:val="000000"/>
                <w:sz w:val="16"/>
                <w:szCs w:val="16"/>
                <w:highlight w:val="yellow"/>
                <w:lang w:eastAsia="en-AU"/>
              </w:rPr>
            </w:pPr>
            <w:r w:rsidRPr="00CD2A58">
              <w:rPr>
                <w:rFonts w:ascii="Open Sans Light" w:hAnsi="Open Sans Light" w:cs="Open Sans Light"/>
                <w:color w:val="000000"/>
                <w:sz w:val="16"/>
                <w:szCs w:val="16"/>
              </w:rPr>
              <w:t>Investment in recreational and cultural services (cycle track) is a state function, and needs are assessed.</w:t>
            </w:r>
          </w:p>
        </w:tc>
      </w:tr>
      <w:tr w:rsidR="00BD07F6" w:rsidRPr="00CB1CE7" w14:paraId="1BE15770" w14:textId="77777777">
        <w:trPr>
          <w:trHeight w:val="465"/>
        </w:trPr>
        <w:tc>
          <w:tcPr>
            <w:tcW w:w="2552" w:type="dxa"/>
            <w:tcBorders>
              <w:top w:val="single" w:sz="4" w:space="0" w:color="ADD6EA"/>
              <w:left w:val="nil"/>
              <w:bottom w:val="single" w:sz="4" w:space="0" w:color="ADD6EA"/>
              <w:right w:val="nil"/>
            </w:tcBorders>
            <w:vAlign w:val="center"/>
          </w:tcPr>
          <w:p w14:paraId="0B8F6A43" w14:textId="77777777" w:rsidR="00BD07F6" w:rsidRPr="00934245" w:rsidRDefault="00BD07F6">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Essential health worker housing</w:t>
            </w:r>
          </w:p>
        </w:tc>
        <w:tc>
          <w:tcPr>
            <w:tcW w:w="4678" w:type="dxa"/>
            <w:tcBorders>
              <w:top w:val="single" w:sz="4" w:space="0" w:color="ADD6EA"/>
              <w:left w:val="nil"/>
              <w:bottom w:val="single" w:sz="4" w:space="0" w:color="ADD6EA"/>
              <w:right w:val="nil"/>
            </w:tcBorders>
            <w:vAlign w:val="bottom"/>
          </w:tcPr>
          <w:p w14:paraId="17EC4E0E" w14:textId="77777777" w:rsidR="00BD07F6" w:rsidRPr="00934245" w:rsidRDefault="00BD07F6">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The funding will secure approximately 120 dwellings across regional N</w:t>
            </w:r>
            <w:r>
              <w:rPr>
                <w:rFonts w:ascii="Open Sans Light" w:hAnsi="Open Sans Light" w:cs="Open Sans Light"/>
                <w:color w:val="000000"/>
                <w:sz w:val="16"/>
                <w:szCs w:val="16"/>
              </w:rPr>
              <w:t>ew South Wales to</w:t>
            </w:r>
            <w:r w:rsidRPr="00934245">
              <w:rPr>
                <w:rFonts w:ascii="Open Sans Light" w:hAnsi="Open Sans Light" w:cs="Open Sans Light"/>
                <w:color w:val="000000"/>
                <w:sz w:val="16"/>
                <w:szCs w:val="16"/>
              </w:rPr>
              <w:t xml:space="preserve"> support the recruitment and retention of more than 500 health workers and their families by providing a range of accommodation options.</w:t>
            </w:r>
          </w:p>
        </w:tc>
        <w:tc>
          <w:tcPr>
            <w:tcW w:w="992" w:type="dxa"/>
            <w:tcBorders>
              <w:top w:val="single" w:sz="4" w:space="0" w:color="ADD6EA"/>
              <w:left w:val="nil"/>
              <w:bottom w:val="single" w:sz="4" w:space="0" w:color="ADD6EA"/>
              <w:right w:val="nil"/>
            </w:tcBorders>
            <w:noWrap/>
            <w:tcMar>
              <w:right w:w="85" w:type="dxa"/>
            </w:tcMar>
            <w:vAlign w:val="center"/>
          </w:tcPr>
          <w:p w14:paraId="5F7B2E06"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3.5</w:t>
            </w:r>
          </w:p>
        </w:tc>
        <w:tc>
          <w:tcPr>
            <w:tcW w:w="1276" w:type="dxa"/>
            <w:tcBorders>
              <w:top w:val="single" w:sz="4" w:space="0" w:color="ADD6EA"/>
              <w:left w:val="nil"/>
              <w:bottom w:val="single" w:sz="4" w:space="0" w:color="ADD6EA"/>
              <w:right w:val="nil"/>
            </w:tcBorders>
            <w:noWrap/>
            <w:vAlign w:val="center"/>
          </w:tcPr>
          <w:p w14:paraId="13A18C33"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378C4935"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The recruitment and retention of health-related staff is a function of state health services, and needs are assessed.</w:t>
            </w:r>
          </w:p>
        </w:tc>
      </w:tr>
      <w:tr w:rsidR="00BD07F6" w:rsidRPr="00954A46" w14:paraId="53C36206" w14:textId="77777777">
        <w:trPr>
          <w:trHeight w:val="465"/>
        </w:trPr>
        <w:tc>
          <w:tcPr>
            <w:tcW w:w="2552" w:type="dxa"/>
            <w:tcBorders>
              <w:top w:val="single" w:sz="4" w:space="0" w:color="ADD6EA"/>
              <w:left w:val="nil"/>
              <w:bottom w:val="single" w:sz="4" w:space="0" w:color="ADD6EA"/>
              <w:right w:val="nil"/>
            </w:tcBorders>
            <w:shd w:val="clear" w:color="auto" w:fill="B6D5E4"/>
          </w:tcPr>
          <w:p w14:paraId="2EE42DB8" w14:textId="77777777" w:rsidR="00BD07F6" w:rsidRPr="007651C5" w:rsidRDefault="00BD07F6">
            <w:pPr>
              <w:spacing w:line="240" w:lineRule="auto"/>
              <w:rPr>
                <w:rFonts w:ascii="Open Sans Light" w:eastAsia="Times New Roman" w:hAnsi="Open Sans Light" w:cs="Open Sans Light"/>
                <w:color w:val="000000"/>
                <w:sz w:val="16"/>
                <w:szCs w:val="16"/>
                <w:lang w:eastAsia="en-AU"/>
              </w:rPr>
            </w:pPr>
            <w:r>
              <w:rPr>
                <w:rFonts w:ascii="Open Sans Semibold" w:eastAsia="Times New Roman" w:hAnsi="Open Sans Semibold" w:cs="Open Sans Semibold"/>
                <w:color w:val="000000"/>
                <w:sz w:val="16"/>
                <w:szCs w:val="16"/>
                <w:lang w:eastAsia="en-AU"/>
              </w:rPr>
              <w:t>Barkly</w:t>
            </w:r>
          </w:p>
        </w:tc>
        <w:tc>
          <w:tcPr>
            <w:tcW w:w="4678" w:type="dxa"/>
            <w:tcBorders>
              <w:top w:val="single" w:sz="4" w:space="0" w:color="ADD6EA"/>
              <w:left w:val="nil"/>
              <w:bottom w:val="single" w:sz="4" w:space="0" w:color="ADD6EA"/>
              <w:right w:val="nil"/>
            </w:tcBorders>
            <w:shd w:val="clear" w:color="auto" w:fill="B6D5E4"/>
          </w:tcPr>
          <w:p w14:paraId="02BAB102" w14:textId="77777777" w:rsidR="00BD07F6" w:rsidRPr="007651C5" w:rsidRDefault="00BD07F6">
            <w:pPr>
              <w:spacing w:line="240" w:lineRule="auto"/>
              <w:rPr>
                <w:rFonts w:ascii="Open Sans Light" w:eastAsia="Times New Roman" w:hAnsi="Open Sans Light" w:cs="Open Sans Light"/>
                <w:color w:val="000000"/>
                <w:sz w:val="16"/>
                <w:szCs w:val="16"/>
                <w:highlight w:val="yellow"/>
                <w:lang w:eastAsia="en-AU"/>
              </w:rPr>
            </w:pPr>
          </w:p>
        </w:tc>
        <w:tc>
          <w:tcPr>
            <w:tcW w:w="992" w:type="dxa"/>
            <w:tcBorders>
              <w:top w:val="single" w:sz="4" w:space="0" w:color="ADD6EA"/>
              <w:left w:val="nil"/>
              <w:bottom w:val="single" w:sz="4" w:space="0" w:color="ADD6EA"/>
              <w:right w:val="nil"/>
            </w:tcBorders>
            <w:shd w:val="clear" w:color="auto" w:fill="B6D5E4"/>
            <w:noWrap/>
            <w:tcMar>
              <w:right w:w="85" w:type="dxa"/>
            </w:tcMar>
            <w:vAlign w:val="center"/>
          </w:tcPr>
          <w:p w14:paraId="4F253FF0" w14:textId="77777777" w:rsidR="00BD07F6" w:rsidRPr="007651C5" w:rsidRDefault="00BD07F6">
            <w:pPr>
              <w:spacing w:line="240" w:lineRule="auto"/>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tcPr>
          <w:p w14:paraId="6312CC74" w14:textId="77777777" w:rsidR="00BD07F6" w:rsidRPr="007952D8" w:rsidRDefault="00BD07F6">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633A6F0E" w14:textId="77777777" w:rsidR="00BD07F6" w:rsidRPr="007952D8" w:rsidRDefault="00BD07F6">
            <w:pPr>
              <w:spacing w:line="240" w:lineRule="auto"/>
              <w:rPr>
                <w:rFonts w:ascii="Open Sans Light" w:eastAsia="Times New Roman" w:hAnsi="Open Sans Light" w:cs="Open Sans Light"/>
                <w:color w:val="000000"/>
                <w:sz w:val="16"/>
                <w:szCs w:val="16"/>
                <w:lang w:eastAsia="en-AU"/>
              </w:rPr>
            </w:pPr>
          </w:p>
        </w:tc>
      </w:tr>
      <w:tr w:rsidR="00BD07F6" w:rsidRPr="00954A46" w14:paraId="7E3BE64F" w14:textId="77777777">
        <w:trPr>
          <w:trHeight w:val="465"/>
        </w:trPr>
        <w:tc>
          <w:tcPr>
            <w:tcW w:w="2552" w:type="dxa"/>
            <w:tcBorders>
              <w:top w:val="single" w:sz="4" w:space="0" w:color="ADD6EA"/>
              <w:left w:val="nil"/>
              <w:bottom w:val="single" w:sz="4" w:space="0" w:color="ADD6EA"/>
              <w:right w:val="nil"/>
            </w:tcBorders>
            <w:vAlign w:val="center"/>
          </w:tcPr>
          <w:p w14:paraId="09945647" w14:textId="77777777" w:rsidR="00BD07F6" w:rsidRPr="008C7CDD" w:rsidRDefault="00BD07F6">
            <w:pPr>
              <w:spacing w:line="240" w:lineRule="auto"/>
              <w:rPr>
                <w:rFonts w:ascii="Open Sans Light" w:eastAsia="Times New Roman" w:hAnsi="Open Sans Light" w:cs="Open Sans Light"/>
                <w:color w:val="000000"/>
                <w:sz w:val="16"/>
                <w:szCs w:val="16"/>
                <w:lang w:eastAsia="en-AU"/>
              </w:rPr>
            </w:pPr>
            <w:r w:rsidRPr="008C7CDD">
              <w:rPr>
                <w:rFonts w:ascii="Open Sans Light" w:eastAsia="Times New Roman" w:hAnsi="Open Sans Light" w:cs="Open Sans Light"/>
                <w:color w:val="000000"/>
                <w:sz w:val="16"/>
                <w:szCs w:val="16"/>
                <w:lang w:eastAsia="en-AU"/>
              </w:rPr>
              <w:t>Social and Affordable Housing Private-Public Partnership</w:t>
            </w:r>
          </w:p>
        </w:tc>
        <w:tc>
          <w:tcPr>
            <w:tcW w:w="4678" w:type="dxa"/>
            <w:tcBorders>
              <w:top w:val="single" w:sz="4" w:space="0" w:color="ADD6EA"/>
              <w:left w:val="nil"/>
              <w:bottom w:val="single" w:sz="4" w:space="0" w:color="ADD6EA"/>
              <w:right w:val="nil"/>
            </w:tcBorders>
          </w:tcPr>
          <w:p w14:paraId="1ABE89F5" w14:textId="70283F41" w:rsidR="00BD07F6" w:rsidRPr="008C7CDD" w:rsidRDefault="00BD07F6">
            <w:pPr>
              <w:spacing w:line="240" w:lineRule="auto"/>
              <w:rPr>
                <w:rFonts w:ascii="Open Sans Light" w:eastAsia="Times New Roman" w:hAnsi="Open Sans Light" w:cs="Open Sans Light"/>
                <w:color w:val="000000"/>
                <w:sz w:val="16"/>
                <w:szCs w:val="16"/>
                <w:lang w:eastAsia="en-AU"/>
              </w:rPr>
            </w:pPr>
            <w:r w:rsidRPr="008C7CDD">
              <w:rPr>
                <w:rFonts w:ascii="Open Sans Light" w:eastAsia="Times New Roman" w:hAnsi="Open Sans Light" w:cs="Open Sans Light"/>
                <w:color w:val="000000"/>
                <w:sz w:val="16"/>
                <w:szCs w:val="16"/>
                <w:lang w:eastAsia="en-AU"/>
              </w:rPr>
              <w:t xml:space="preserve">This project will deliver new dwellings in Tennant Creek, a portion of which </w:t>
            </w:r>
            <w:r w:rsidR="00681889">
              <w:rPr>
                <w:rFonts w:ascii="Open Sans Light" w:eastAsia="Times New Roman" w:hAnsi="Open Sans Light" w:cs="Open Sans Light"/>
                <w:color w:val="000000"/>
                <w:sz w:val="16"/>
                <w:szCs w:val="16"/>
                <w:lang w:eastAsia="en-AU"/>
              </w:rPr>
              <w:t xml:space="preserve">will be </w:t>
            </w:r>
            <w:r w:rsidRPr="008C7CDD">
              <w:rPr>
                <w:rFonts w:ascii="Open Sans Light" w:eastAsia="Times New Roman" w:hAnsi="Open Sans Light" w:cs="Open Sans Light"/>
                <w:color w:val="000000"/>
                <w:sz w:val="16"/>
                <w:szCs w:val="16"/>
                <w:lang w:eastAsia="en-AU"/>
              </w:rPr>
              <w:t>available as affordable rental prioritised for eligible local people. The remaining dwellings will be provided as social housing aimed at women and children fleeing family violence and older women experiencing homelessness.</w:t>
            </w:r>
          </w:p>
        </w:tc>
        <w:tc>
          <w:tcPr>
            <w:tcW w:w="992" w:type="dxa"/>
            <w:tcBorders>
              <w:top w:val="single" w:sz="4" w:space="0" w:color="ADD6EA"/>
              <w:left w:val="nil"/>
              <w:bottom w:val="single" w:sz="4" w:space="0" w:color="ADD6EA"/>
              <w:right w:val="nil"/>
            </w:tcBorders>
            <w:noWrap/>
            <w:tcMar>
              <w:right w:w="85" w:type="dxa"/>
            </w:tcMar>
            <w:vAlign w:val="center"/>
          </w:tcPr>
          <w:p w14:paraId="1ABF3D45" w14:textId="77777777" w:rsidR="00BD07F6" w:rsidRPr="00A8117F" w:rsidRDefault="00BD07F6">
            <w:pPr>
              <w:spacing w:line="240" w:lineRule="auto"/>
              <w:ind w:right="227"/>
              <w:jc w:val="right"/>
              <w:rPr>
                <w:rFonts w:ascii="Open Sans Light" w:eastAsia="Times New Roman" w:hAnsi="Open Sans Light" w:cs="Open Sans Light"/>
                <w:color w:val="000000"/>
                <w:sz w:val="16"/>
                <w:szCs w:val="16"/>
                <w:highlight w:val="yellow"/>
                <w:lang w:eastAsia="en-AU"/>
              </w:rPr>
            </w:pPr>
            <w:r w:rsidRPr="002B0919">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vAlign w:val="center"/>
          </w:tcPr>
          <w:p w14:paraId="359E3B8F" w14:textId="77777777" w:rsidR="00BD07F6" w:rsidRPr="008C7CDD" w:rsidRDefault="00BD07F6">
            <w:pPr>
              <w:spacing w:line="240" w:lineRule="auto"/>
              <w:rPr>
                <w:rFonts w:ascii="Open Sans Light" w:eastAsia="Times New Roman" w:hAnsi="Open Sans Light" w:cs="Open Sans Light"/>
                <w:color w:val="000000"/>
                <w:sz w:val="16"/>
                <w:szCs w:val="16"/>
                <w:lang w:eastAsia="en-AU"/>
              </w:rPr>
            </w:pPr>
            <w:r w:rsidRPr="008C7CDD">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125FBF55" w14:textId="77777777" w:rsidR="00BD07F6" w:rsidRPr="008C7CDD" w:rsidRDefault="00BD07F6">
            <w:pPr>
              <w:spacing w:line="240" w:lineRule="auto"/>
              <w:rPr>
                <w:rFonts w:ascii="Open Sans Light" w:eastAsia="Times New Roman" w:hAnsi="Open Sans Light" w:cs="Open Sans Light"/>
                <w:color w:val="000000"/>
                <w:sz w:val="16"/>
                <w:szCs w:val="16"/>
                <w:lang w:eastAsia="en-AU"/>
              </w:rPr>
            </w:pPr>
            <w:r w:rsidRPr="008C7CDD">
              <w:rPr>
                <w:rFonts w:ascii="Open Sans Light" w:hAnsi="Open Sans Light" w:cs="Open Sans Light"/>
                <w:color w:val="000000"/>
                <w:sz w:val="16"/>
                <w:szCs w:val="16"/>
              </w:rPr>
              <w:t>Social housing</w:t>
            </w:r>
            <w:r>
              <w:rPr>
                <w:rFonts w:ascii="Open Sans Light" w:hAnsi="Open Sans Light" w:cs="Open Sans Light"/>
                <w:color w:val="000000"/>
                <w:sz w:val="16"/>
                <w:szCs w:val="16"/>
              </w:rPr>
              <w:t xml:space="preserve"> provision is a state function, and </w:t>
            </w:r>
            <w:r w:rsidRPr="008C7CDD">
              <w:rPr>
                <w:rFonts w:ascii="Open Sans Light" w:hAnsi="Open Sans Light" w:cs="Open Sans Light"/>
                <w:color w:val="000000"/>
                <w:sz w:val="16"/>
                <w:szCs w:val="16"/>
              </w:rPr>
              <w:t xml:space="preserve">needs </w:t>
            </w:r>
            <w:r>
              <w:rPr>
                <w:rFonts w:ascii="Open Sans Light" w:hAnsi="Open Sans Light" w:cs="Open Sans Light"/>
                <w:color w:val="000000"/>
                <w:sz w:val="16"/>
                <w:szCs w:val="16"/>
              </w:rPr>
              <w:t xml:space="preserve">are </w:t>
            </w:r>
            <w:r w:rsidRPr="008C7CDD">
              <w:rPr>
                <w:rFonts w:ascii="Open Sans Light" w:hAnsi="Open Sans Light" w:cs="Open Sans Light"/>
                <w:color w:val="000000"/>
                <w:sz w:val="16"/>
                <w:szCs w:val="16"/>
              </w:rPr>
              <w:t>assessed</w:t>
            </w:r>
            <w:r>
              <w:rPr>
                <w:rFonts w:ascii="Open Sans Light" w:hAnsi="Open Sans Light" w:cs="Open Sans Light"/>
                <w:color w:val="000000"/>
                <w:sz w:val="16"/>
                <w:szCs w:val="16"/>
              </w:rPr>
              <w:t>.</w:t>
            </w:r>
          </w:p>
        </w:tc>
      </w:tr>
      <w:tr w:rsidR="005C43BF" w:rsidRPr="00954A46" w14:paraId="5C544DE7" w14:textId="77777777" w:rsidTr="005C43BF">
        <w:trPr>
          <w:trHeight w:val="70"/>
        </w:trPr>
        <w:tc>
          <w:tcPr>
            <w:tcW w:w="2552" w:type="dxa"/>
            <w:tcBorders>
              <w:top w:val="single" w:sz="4" w:space="0" w:color="ADD6EA"/>
              <w:left w:val="nil"/>
              <w:right w:val="nil"/>
            </w:tcBorders>
            <w:vAlign w:val="center"/>
          </w:tcPr>
          <w:p w14:paraId="4B6CF926" w14:textId="77777777" w:rsidR="005C43BF" w:rsidRPr="008C7CDD" w:rsidRDefault="005C43BF">
            <w:pPr>
              <w:spacing w:line="240" w:lineRule="auto"/>
              <w:rPr>
                <w:rFonts w:ascii="Open Sans Light" w:eastAsia="Times New Roman" w:hAnsi="Open Sans Light" w:cs="Open Sans Light"/>
                <w:color w:val="000000"/>
                <w:sz w:val="16"/>
                <w:szCs w:val="16"/>
                <w:lang w:eastAsia="en-AU"/>
              </w:rPr>
            </w:pPr>
          </w:p>
        </w:tc>
        <w:tc>
          <w:tcPr>
            <w:tcW w:w="4678" w:type="dxa"/>
            <w:tcBorders>
              <w:top w:val="single" w:sz="4" w:space="0" w:color="ADD6EA"/>
              <w:left w:val="nil"/>
              <w:right w:val="nil"/>
            </w:tcBorders>
          </w:tcPr>
          <w:p w14:paraId="2E9F15DA" w14:textId="77777777" w:rsidR="005C43BF" w:rsidRPr="008C7CDD" w:rsidRDefault="005C43BF">
            <w:pPr>
              <w:spacing w:line="240" w:lineRule="auto"/>
              <w:rPr>
                <w:rFonts w:ascii="Open Sans Light" w:eastAsia="Times New Roman" w:hAnsi="Open Sans Light" w:cs="Open Sans Light"/>
                <w:color w:val="000000"/>
                <w:sz w:val="16"/>
                <w:szCs w:val="16"/>
                <w:lang w:eastAsia="en-AU"/>
              </w:rPr>
            </w:pPr>
          </w:p>
        </w:tc>
        <w:tc>
          <w:tcPr>
            <w:tcW w:w="992" w:type="dxa"/>
            <w:tcBorders>
              <w:top w:val="single" w:sz="4" w:space="0" w:color="ADD6EA"/>
              <w:left w:val="nil"/>
              <w:right w:val="nil"/>
            </w:tcBorders>
            <w:noWrap/>
            <w:tcMar>
              <w:right w:w="85" w:type="dxa"/>
            </w:tcMar>
            <w:vAlign w:val="center"/>
          </w:tcPr>
          <w:p w14:paraId="28160704" w14:textId="77777777" w:rsidR="005C43BF" w:rsidRPr="002B0919" w:rsidRDefault="005C43BF">
            <w:pPr>
              <w:spacing w:line="240" w:lineRule="auto"/>
              <w:ind w:right="227"/>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right w:val="nil"/>
            </w:tcBorders>
            <w:noWrap/>
            <w:vAlign w:val="center"/>
          </w:tcPr>
          <w:p w14:paraId="7017EE7B" w14:textId="77777777" w:rsidR="005C43BF" w:rsidRPr="008C7CDD" w:rsidRDefault="005C43BF">
            <w:pPr>
              <w:spacing w:line="240" w:lineRule="auto"/>
              <w:rPr>
                <w:rFonts w:ascii="Open Sans Light" w:hAnsi="Open Sans Light" w:cs="Open Sans Light"/>
                <w:color w:val="000000"/>
                <w:sz w:val="16"/>
                <w:szCs w:val="16"/>
              </w:rPr>
            </w:pPr>
          </w:p>
        </w:tc>
        <w:tc>
          <w:tcPr>
            <w:tcW w:w="4394" w:type="dxa"/>
            <w:tcBorders>
              <w:top w:val="single" w:sz="4" w:space="0" w:color="ADD6EA"/>
              <w:left w:val="nil"/>
              <w:right w:val="nil"/>
            </w:tcBorders>
            <w:noWrap/>
            <w:vAlign w:val="center"/>
          </w:tcPr>
          <w:p w14:paraId="6124D034" w14:textId="77777777" w:rsidR="005C43BF" w:rsidRPr="008C7CDD" w:rsidRDefault="005C43BF">
            <w:pPr>
              <w:spacing w:line="240" w:lineRule="auto"/>
              <w:rPr>
                <w:rFonts w:ascii="Open Sans Light" w:hAnsi="Open Sans Light" w:cs="Open Sans Light"/>
                <w:color w:val="000000"/>
                <w:sz w:val="16"/>
                <w:szCs w:val="16"/>
              </w:rPr>
            </w:pPr>
          </w:p>
        </w:tc>
      </w:tr>
      <w:tr w:rsidR="00BD07F6" w:rsidRPr="00954A46" w14:paraId="7D2BE3C8" w14:textId="77777777" w:rsidTr="005C43BF">
        <w:trPr>
          <w:trHeight w:val="253"/>
        </w:trPr>
        <w:tc>
          <w:tcPr>
            <w:tcW w:w="7230" w:type="dxa"/>
            <w:gridSpan w:val="2"/>
            <w:tcBorders>
              <w:left w:val="nil"/>
              <w:bottom w:val="single" w:sz="4" w:space="0" w:color="ADD6EA"/>
              <w:right w:val="nil"/>
            </w:tcBorders>
            <w:shd w:val="clear" w:color="auto" w:fill="B6D5E4"/>
          </w:tcPr>
          <w:p w14:paraId="5AFF5B02" w14:textId="77777777" w:rsidR="00BD07F6" w:rsidRPr="00B30766" w:rsidRDefault="00BD07F6">
            <w:pPr>
              <w:spacing w:line="240" w:lineRule="auto"/>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lastRenderedPageBreak/>
              <w:t>Geelong</w:t>
            </w:r>
          </w:p>
        </w:tc>
        <w:tc>
          <w:tcPr>
            <w:tcW w:w="992" w:type="dxa"/>
            <w:tcBorders>
              <w:left w:val="nil"/>
              <w:bottom w:val="single" w:sz="4" w:space="0" w:color="ADD6EA"/>
              <w:right w:val="nil"/>
            </w:tcBorders>
            <w:shd w:val="clear" w:color="auto" w:fill="B6D5E4"/>
            <w:noWrap/>
            <w:tcMar>
              <w:right w:w="85" w:type="dxa"/>
            </w:tcMar>
            <w:vAlign w:val="center"/>
          </w:tcPr>
          <w:p w14:paraId="115354BD" w14:textId="77777777" w:rsidR="00BD07F6" w:rsidRPr="007651C5" w:rsidRDefault="00BD07F6">
            <w:pPr>
              <w:spacing w:line="240" w:lineRule="auto"/>
              <w:jc w:val="right"/>
              <w:rPr>
                <w:rFonts w:ascii="Open Sans Light" w:eastAsia="Times New Roman" w:hAnsi="Open Sans Light" w:cs="Open Sans Light"/>
                <w:color w:val="000000"/>
                <w:sz w:val="16"/>
                <w:szCs w:val="16"/>
                <w:lang w:eastAsia="en-AU"/>
              </w:rPr>
            </w:pPr>
          </w:p>
        </w:tc>
        <w:tc>
          <w:tcPr>
            <w:tcW w:w="1276" w:type="dxa"/>
            <w:tcBorders>
              <w:left w:val="nil"/>
              <w:bottom w:val="single" w:sz="4" w:space="0" w:color="ADD6EA"/>
              <w:right w:val="nil"/>
            </w:tcBorders>
            <w:shd w:val="clear" w:color="auto" w:fill="B6D5E4"/>
            <w:noWrap/>
            <w:vAlign w:val="center"/>
          </w:tcPr>
          <w:p w14:paraId="44E6978C" w14:textId="77777777" w:rsidR="00BD07F6" w:rsidRPr="007651C5" w:rsidRDefault="00BD07F6">
            <w:pPr>
              <w:spacing w:line="240" w:lineRule="auto"/>
              <w:rPr>
                <w:rFonts w:ascii="Open Sans Light" w:eastAsia="Times New Roman" w:hAnsi="Open Sans Light" w:cs="Open Sans Light"/>
                <w:color w:val="000000"/>
                <w:sz w:val="16"/>
                <w:szCs w:val="16"/>
                <w:lang w:eastAsia="en-AU"/>
              </w:rPr>
            </w:pPr>
          </w:p>
        </w:tc>
        <w:tc>
          <w:tcPr>
            <w:tcW w:w="4394" w:type="dxa"/>
            <w:tcBorders>
              <w:left w:val="nil"/>
              <w:bottom w:val="single" w:sz="4" w:space="0" w:color="ADD6EA"/>
              <w:right w:val="nil"/>
            </w:tcBorders>
            <w:shd w:val="clear" w:color="auto" w:fill="B6D5E4"/>
            <w:noWrap/>
          </w:tcPr>
          <w:p w14:paraId="5D50BB3C" w14:textId="77777777" w:rsidR="00BD07F6" w:rsidRPr="00306662" w:rsidRDefault="00BD07F6">
            <w:pPr>
              <w:spacing w:line="240" w:lineRule="auto"/>
              <w:rPr>
                <w:rFonts w:ascii="Open Sans Light" w:eastAsia="Times New Roman" w:hAnsi="Open Sans Light" w:cs="Open Sans Light"/>
                <w:color w:val="000000"/>
                <w:sz w:val="16"/>
                <w:szCs w:val="16"/>
                <w:highlight w:val="yellow"/>
                <w:lang w:eastAsia="en-AU"/>
              </w:rPr>
            </w:pPr>
          </w:p>
        </w:tc>
      </w:tr>
      <w:tr w:rsidR="00BD07F6" w:rsidRPr="00954A46" w14:paraId="1A55B19E" w14:textId="77777777">
        <w:trPr>
          <w:trHeight w:val="465"/>
        </w:trPr>
        <w:tc>
          <w:tcPr>
            <w:tcW w:w="2552" w:type="dxa"/>
            <w:tcBorders>
              <w:top w:val="single" w:sz="4" w:space="0" w:color="ADD6EA"/>
              <w:left w:val="nil"/>
              <w:bottom w:val="single" w:sz="4" w:space="0" w:color="ADD6EA"/>
              <w:right w:val="nil"/>
            </w:tcBorders>
            <w:vAlign w:val="center"/>
          </w:tcPr>
          <w:p w14:paraId="17CE5A95"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City Arrivals</w:t>
            </w:r>
          </w:p>
        </w:tc>
        <w:tc>
          <w:tcPr>
            <w:tcW w:w="4678" w:type="dxa"/>
            <w:tcBorders>
              <w:top w:val="single" w:sz="4" w:space="0" w:color="ADD6EA"/>
              <w:left w:val="nil"/>
              <w:bottom w:val="single" w:sz="4" w:space="0" w:color="ADD6EA"/>
              <w:right w:val="nil"/>
            </w:tcBorders>
          </w:tcPr>
          <w:p w14:paraId="6275C165"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This project aims to make Geelong a greener, more pedestrian an</w:t>
            </w:r>
            <w:r>
              <w:rPr>
                <w:rFonts w:ascii="Open Sans Light" w:hAnsi="Open Sans Light" w:cs="Open Sans Light"/>
                <w:color w:val="000000"/>
                <w:sz w:val="16"/>
                <w:szCs w:val="16"/>
              </w:rPr>
              <w:t>d</w:t>
            </w:r>
            <w:r w:rsidRPr="00C07C8A">
              <w:rPr>
                <w:rFonts w:ascii="Open Sans Light" w:hAnsi="Open Sans Light" w:cs="Open Sans Light"/>
                <w:color w:val="000000"/>
                <w:sz w:val="16"/>
                <w:szCs w:val="16"/>
              </w:rPr>
              <w:t xml:space="preserve"> bike</w:t>
            </w:r>
            <w:r>
              <w:rPr>
                <w:rFonts w:ascii="Open Sans Light" w:hAnsi="Open Sans Light" w:cs="Open Sans Light"/>
                <w:color w:val="000000"/>
                <w:sz w:val="16"/>
                <w:szCs w:val="16"/>
              </w:rPr>
              <w:t>-</w:t>
            </w:r>
            <w:r w:rsidRPr="00C07C8A">
              <w:rPr>
                <w:rFonts w:ascii="Open Sans Light" w:hAnsi="Open Sans Light" w:cs="Open Sans Light"/>
                <w:color w:val="000000"/>
                <w:sz w:val="16"/>
                <w:szCs w:val="16"/>
              </w:rPr>
              <w:t>oriented city with new facilities and improved access.</w:t>
            </w:r>
          </w:p>
        </w:tc>
        <w:tc>
          <w:tcPr>
            <w:tcW w:w="992" w:type="dxa"/>
            <w:tcBorders>
              <w:top w:val="single" w:sz="4" w:space="0" w:color="ADD6EA"/>
              <w:left w:val="nil"/>
              <w:bottom w:val="single" w:sz="4" w:space="0" w:color="ADD6EA"/>
              <w:right w:val="nil"/>
            </w:tcBorders>
            <w:noWrap/>
            <w:tcMar>
              <w:right w:w="85" w:type="dxa"/>
            </w:tcMar>
            <w:vAlign w:val="center"/>
          </w:tcPr>
          <w:p w14:paraId="5A893387"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0.2</w:t>
            </w:r>
          </w:p>
        </w:tc>
        <w:tc>
          <w:tcPr>
            <w:tcW w:w="1276" w:type="dxa"/>
            <w:tcBorders>
              <w:top w:val="single" w:sz="4" w:space="0" w:color="ADD6EA"/>
              <w:left w:val="nil"/>
              <w:bottom w:val="single" w:sz="4" w:space="0" w:color="ADD6EA"/>
              <w:right w:val="nil"/>
            </w:tcBorders>
            <w:noWrap/>
            <w:vAlign w:val="center"/>
          </w:tcPr>
          <w:p w14:paraId="5C8ABB33"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513C88B7"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Investment in recreational and cultural services is a state function, and needs are assessed.</w:t>
            </w:r>
          </w:p>
        </w:tc>
      </w:tr>
      <w:tr w:rsidR="00BD07F6" w:rsidRPr="00954A46" w14:paraId="6BFEB50C" w14:textId="77777777">
        <w:trPr>
          <w:trHeight w:val="465"/>
        </w:trPr>
        <w:tc>
          <w:tcPr>
            <w:tcW w:w="2552" w:type="dxa"/>
            <w:tcBorders>
              <w:top w:val="single" w:sz="4" w:space="0" w:color="ADD6EA"/>
              <w:left w:val="nil"/>
              <w:bottom w:val="single" w:sz="4" w:space="0" w:color="ADD6EA"/>
              <w:right w:val="nil"/>
            </w:tcBorders>
            <w:vAlign w:val="center"/>
          </w:tcPr>
          <w:p w14:paraId="648BCBC5"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Twelve Apostles</w:t>
            </w:r>
          </w:p>
        </w:tc>
        <w:tc>
          <w:tcPr>
            <w:tcW w:w="4678" w:type="dxa"/>
            <w:tcBorders>
              <w:top w:val="single" w:sz="4" w:space="0" w:color="ADD6EA"/>
              <w:left w:val="nil"/>
              <w:bottom w:val="single" w:sz="4" w:space="0" w:color="ADD6EA"/>
              <w:right w:val="nil"/>
            </w:tcBorders>
          </w:tcPr>
          <w:p w14:paraId="62152872"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 xml:space="preserve">Investment in improved infrastructure, services </w:t>
            </w:r>
            <w:r w:rsidRPr="00C07C8A">
              <w:rPr>
                <w:rFonts w:ascii="Open Sans Light" w:hAnsi="Open Sans Light" w:cs="Open Sans Light"/>
                <w:color w:val="000000"/>
                <w:sz w:val="16"/>
                <w:szCs w:val="16"/>
              </w:rPr>
              <w:br/>
              <w:t xml:space="preserve">and amenities to provide a better, safer and more connected visitor experience on the Shipwreck Coast. </w:t>
            </w:r>
          </w:p>
        </w:tc>
        <w:tc>
          <w:tcPr>
            <w:tcW w:w="992" w:type="dxa"/>
            <w:tcBorders>
              <w:top w:val="single" w:sz="4" w:space="0" w:color="ADD6EA"/>
              <w:left w:val="nil"/>
              <w:bottom w:val="single" w:sz="4" w:space="0" w:color="ADD6EA"/>
              <w:right w:val="nil"/>
            </w:tcBorders>
            <w:noWrap/>
            <w:tcMar>
              <w:right w:w="85" w:type="dxa"/>
            </w:tcMar>
            <w:vAlign w:val="center"/>
          </w:tcPr>
          <w:p w14:paraId="60BD7C1F"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29.3</w:t>
            </w:r>
          </w:p>
        </w:tc>
        <w:tc>
          <w:tcPr>
            <w:tcW w:w="1276" w:type="dxa"/>
            <w:tcBorders>
              <w:top w:val="single" w:sz="4" w:space="0" w:color="ADD6EA"/>
              <w:left w:val="nil"/>
              <w:bottom w:val="single" w:sz="4" w:space="0" w:color="ADD6EA"/>
              <w:right w:val="nil"/>
            </w:tcBorders>
            <w:noWrap/>
            <w:vAlign w:val="center"/>
          </w:tcPr>
          <w:p w14:paraId="604FA1E1" w14:textId="77777777" w:rsidR="00BD07F6" w:rsidRPr="00C07C8A"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6A020ECD" w14:textId="07F2E9C9" w:rsidR="00BD07F6" w:rsidRPr="00C07C8A"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the t</w:t>
            </w:r>
            <w:r w:rsidRPr="00C07C8A">
              <w:rPr>
                <w:rFonts w:ascii="Open Sans Light" w:hAnsi="Open Sans Light" w:cs="Open Sans Light"/>
                <w:color w:val="000000"/>
                <w:sz w:val="16"/>
                <w:szCs w:val="16"/>
              </w:rPr>
              <w:t>ourism industry</w:t>
            </w:r>
            <w:r>
              <w:rPr>
                <w:rFonts w:ascii="Open Sans Light" w:hAnsi="Open Sans Light" w:cs="Open Sans Light"/>
                <w:color w:val="000000"/>
                <w:sz w:val="16"/>
                <w:szCs w:val="16"/>
              </w:rPr>
              <w:t xml:space="preserve"> is a state function, and</w:t>
            </w:r>
            <w:r w:rsidRPr="00C07C8A">
              <w:rPr>
                <w:rFonts w:ascii="Open Sans Light" w:hAnsi="Open Sans Light" w:cs="Open Sans Light"/>
                <w:color w:val="000000"/>
                <w:sz w:val="16"/>
                <w:szCs w:val="16"/>
              </w:rPr>
              <w:t xml:space="preserve"> needs </w:t>
            </w:r>
            <w:r w:rsidR="00157FBF">
              <w:rPr>
                <w:rFonts w:ascii="Open Sans Light" w:hAnsi="Open Sans Light" w:cs="Open Sans Light"/>
                <w:color w:val="000000"/>
                <w:sz w:val="16"/>
                <w:szCs w:val="16"/>
              </w:rPr>
              <w:t>are</w:t>
            </w:r>
            <w:r w:rsidRPr="00C07C8A">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BD07F6" w:rsidRPr="00954A46" w14:paraId="0F834E6E" w14:textId="77777777">
        <w:trPr>
          <w:trHeight w:val="367"/>
        </w:trPr>
        <w:tc>
          <w:tcPr>
            <w:tcW w:w="2552" w:type="dxa"/>
            <w:tcBorders>
              <w:top w:val="single" w:sz="4" w:space="0" w:color="ADD6EA"/>
              <w:left w:val="nil"/>
              <w:bottom w:val="single" w:sz="4" w:space="0" w:color="ADD6EA"/>
              <w:right w:val="nil"/>
            </w:tcBorders>
            <w:shd w:val="clear" w:color="auto" w:fill="B6D5E4"/>
          </w:tcPr>
          <w:p w14:paraId="257480C0" w14:textId="77777777" w:rsidR="00BD07F6" w:rsidRPr="00F86909" w:rsidRDefault="00BD07F6">
            <w:pPr>
              <w:spacing w:line="240" w:lineRule="auto"/>
              <w:rPr>
                <w:rFonts w:ascii="Open Sans Semibold" w:eastAsia="Times New Roman" w:hAnsi="Open Sans Semibold" w:cs="Open Sans Semibold"/>
                <w:color w:val="000000"/>
                <w:sz w:val="16"/>
                <w:szCs w:val="16"/>
                <w:lang w:eastAsia="en-AU"/>
              </w:rPr>
            </w:pPr>
            <w:proofErr w:type="gramStart"/>
            <w:r w:rsidRPr="00F86909">
              <w:rPr>
                <w:rFonts w:ascii="Open Sans Semibold" w:eastAsia="Times New Roman" w:hAnsi="Open Sans Semibold" w:cs="Open Sans Semibold"/>
                <w:color w:val="000000"/>
                <w:sz w:val="16"/>
                <w:szCs w:val="16"/>
                <w:lang w:eastAsia="en-AU"/>
              </w:rPr>
              <w:t>South East</w:t>
            </w:r>
            <w:proofErr w:type="gramEnd"/>
            <w:r w:rsidRPr="00F86909">
              <w:rPr>
                <w:rFonts w:ascii="Open Sans Semibold" w:eastAsia="Times New Roman" w:hAnsi="Open Sans Semibold" w:cs="Open Sans Semibold"/>
                <w:color w:val="000000"/>
                <w:sz w:val="16"/>
                <w:szCs w:val="16"/>
                <w:lang w:eastAsia="en-AU"/>
              </w:rPr>
              <w:t xml:space="preserve"> Queensland</w:t>
            </w:r>
            <w:r>
              <w:rPr>
                <w:rFonts w:ascii="Open Sans Semibold" w:eastAsia="Times New Roman" w:hAnsi="Open Sans Semibold" w:cs="Open Sans Semibold"/>
                <w:color w:val="000000"/>
                <w:sz w:val="16"/>
                <w:szCs w:val="16"/>
                <w:lang w:eastAsia="en-AU"/>
              </w:rPr>
              <w:t xml:space="preserve"> (SEQ)</w:t>
            </w:r>
          </w:p>
        </w:tc>
        <w:tc>
          <w:tcPr>
            <w:tcW w:w="4678" w:type="dxa"/>
            <w:tcBorders>
              <w:top w:val="single" w:sz="4" w:space="0" w:color="ADD6EA"/>
              <w:left w:val="nil"/>
              <w:bottom w:val="single" w:sz="4" w:space="0" w:color="ADD6EA"/>
              <w:right w:val="nil"/>
            </w:tcBorders>
            <w:shd w:val="clear" w:color="auto" w:fill="B6D5E4"/>
          </w:tcPr>
          <w:p w14:paraId="017C151A" w14:textId="77777777" w:rsidR="00BD07F6" w:rsidRPr="00541C88" w:rsidRDefault="00BD07F6">
            <w:pPr>
              <w:spacing w:line="240" w:lineRule="auto"/>
              <w:rPr>
                <w:rFonts w:ascii="Open Sans Light" w:eastAsia="Times New Roman" w:hAnsi="Open Sans Light" w:cs="Open Sans Light"/>
                <w:color w:val="000000"/>
                <w:sz w:val="16"/>
                <w:szCs w:val="16"/>
                <w:lang w:eastAsia="en-AU"/>
              </w:rPr>
            </w:pPr>
          </w:p>
        </w:tc>
        <w:tc>
          <w:tcPr>
            <w:tcW w:w="992" w:type="dxa"/>
            <w:tcBorders>
              <w:top w:val="single" w:sz="4" w:space="0" w:color="ADD6EA"/>
              <w:left w:val="nil"/>
              <w:bottom w:val="single" w:sz="4" w:space="0" w:color="ADD6EA"/>
              <w:right w:val="nil"/>
            </w:tcBorders>
            <w:shd w:val="clear" w:color="auto" w:fill="B6D5E4"/>
            <w:noWrap/>
            <w:tcMar>
              <w:right w:w="85" w:type="dxa"/>
            </w:tcMar>
          </w:tcPr>
          <w:p w14:paraId="104247A3" w14:textId="77777777" w:rsidR="00BD07F6" w:rsidRPr="002B0919" w:rsidRDefault="00BD07F6">
            <w:pPr>
              <w:spacing w:line="240" w:lineRule="auto"/>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vAlign w:val="center"/>
          </w:tcPr>
          <w:p w14:paraId="59C2ECBD" w14:textId="77777777" w:rsidR="00BD07F6" w:rsidRPr="007651C5" w:rsidRDefault="00BD07F6">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260100AA" w14:textId="77777777" w:rsidR="00BD07F6" w:rsidRPr="007651C5" w:rsidRDefault="00BD07F6">
            <w:pPr>
              <w:spacing w:line="240" w:lineRule="auto"/>
              <w:rPr>
                <w:rFonts w:ascii="Open Sans Light" w:eastAsia="Times New Roman" w:hAnsi="Open Sans Light" w:cs="Open Sans Light"/>
                <w:color w:val="000000"/>
                <w:sz w:val="16"/>
                <w:szCs w:val="16"/>
                <w:lang w:eastAsia="en-AU"/>
              </w:rPr>
            </w:pPr>
          </w:p>
        </w:tc>
      </w:tr>
      <w:tr w:rsidR="00BD07F6" w:rsidRPr="00954A46" w14:paraId="117D7759" w14:textId="77777777">
        <w:trPr>
          <w:trHeight w:val="465"/>
        </w:trPr>
        <w:tc>
          <w:tcPr>
            <w:tcW w:w="2552" w:type="dxa"/>
            <w:tcBorders>
              <w:top w:val="single" w:sz="4" w:space="0" w:color="ADD6EA"/>
              <w:left w:val="nil"/>
              <w:bottom w:val="single" w:sz="4" w:space="0" w:color="ADD6EA"/>
              <w:right w:val="nil"/>
            </w:tcBorders>
          </w:tcPr>
          <w:p w14:paraId="3B648F2E"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SEQ Innovation Economy Fund</w:t>
            </w:r>
          </w:p>
        </w:tc>
        <w:tc>
          <w:tcPr>
            <w:tcW w:w="4678" w:type="dxa"/>
            <w:tcBorders>
              <w:top w:val="single" w:sz="4" w:space="0" w:color="ADD6EA"/>
              <w:left w:val="nil"/>
              <w:bottom w:val="single" w:sz="4" w:space="0" w:color="ADD6EA"/>
              <w:right w:val="nil"/>
            </w:tcBorders>
          </w:tcPr>
          <w:p w14:paraId="1BD59A8D"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Investment in capital projects that promote and grow SEQ’s innovation economy with the aim to deliver more high value, knowledge-intensive jobs.</w:t>
            </w:r>
          </w:p>
        </w:tc>
        <w:tc>
          <w:tcPr>
            <w:tcW w:w="992" w:type="dxa"/>
            <w:tcBorders>
              <w:top w:val="single" w:sz="4" w:space="0" w:color="ADD6EA"/>
              <w:left w:val="nil"/>
              <w:bottom w:val="single" w:sz="4" w:space="0" w:color="ADD6EA"/>
              <w:right w:val="nil"/>
            </w:tcBorders>
            <w:noWrap/>
            <w:tcMar>
              <w:right w:w="85" w:type="dxa"/>
            </w:tcMar>
            <w:vAlign w:val="center"/>
          </w:tcPr>
          <w:p w14:paraId="6C96C798"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10.0</w:t>
            </w:r>
          </w:p>
        </w:tc>
        <w:tc>
          <w:tcPr>
            <w:tcW w:w="1276" w:type="dxa"/>
            <w:tcBorders>
              <w:top w:val="single" w:sz="4" w:space="0" w:color="ADD6EA"/>
              <w:left w:val="nil"/>
              <w:bottom w:val="single" w:sz="4" w:space="0" w:color="ADD6EA"/>
              <w:right w:val="nil"/>
            </w:tcBorders>
            <w:noWrap/>
            <w:vAlign w:val="center"/>
          </w:tcPr>
          <w:p w14:paraId="6F741125"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52C2AD41"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b</w:t>
            </w:r>
            <w:r w:rsidRPr="00E06561">
              <w:rPr>
                <w:rFonts w:ascii="Open Sans Light" w:hAnsi="Open Sans Light" w:cs="Open Sans Light"/>
                <w:color w:val="000000"/>
                <w:sz w:val="16"/>
                <w:szCs w:val="16"/>
              </w:rPr>
              <w:t>usiness development is a state function, and needs are assessed.</w:t>
            </w:r>
          </w:p>
        </w:tc>
      </w:tr>
      <w:tr w:rsidR="00BD07F6" w:rsidRPr="00954A46" w14:paraId="642D31A7" w14:textId="77777777">
        <w:trPr>
          <w:trHeight w:val="465"/>
        </w:trPr>
        <w:tc>
          <w:tcPr>
            <w:tcW w:w="2552" w:type="dxa"/>
            <w:tcBorders>
              <w:top w:val="single" w:sz="4" w:space="0" w:color="ADD6EA"/>
              <w:left w:val="nil"/>
              <w:bottom w:val="single" w:sz="4" w:space="0" w:color="ADD6EA"/>
              <w:right w:val="nil"/>
            </w:tcBorders>
          </w:tcPr>
          <w:p w14:paraId="155857EB"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SEQ Rail Corridor Digital Connectivity</w:t>
            </w:r>
          </w:p>
        </w:tc>
        <w:tc>
          <w:tcPr>
            <w:tcW w:w="4678" w:type="dxa"/>
            <w:tcBorders>
              <w:top w:val="single" w:sz="4" w:space="0" w:color="ADD6EA"/>
              <w:left w:val="nil"/>
              <w:bottom w:val="single" w:sz="4" w:space="0" w:color="ADD6EA"/>
              <w:right w:val="nil"/>
            </w:tcBorders>
          </w:tcPr>
          <w:p w14:paraId="793189E4"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Delivering improved digital connectivity on selected commuter rail corridors</w:t>
            </w:r>
            <w:r>
              <w:rPr>
                <w:rFonts w:ascii="Open Sans Light" w:hAnsi="Open Sans Light" w:cs="Open Sans Light"/>
                <w:color w:val="000000"/>
                <w:sz w:val="16"/>
                <w:szCs w:val="16"/>
              </w:rPr>
              <w:t>.</w:t>
            </w:r>
          </w:p>
        </w:tc>
        <w:tc>
          <w:tcPr>
            <w:tcW w:w="992" w:type="dxa"/>
            <w:tcBorders>
              <w:top w:val="single" w:sz="4" w:space="0" w:color="ADD6EA"/>
              <w:left w:val="nil"/>
              <w:bottom w:val="single" w:sz="4" w:space="0" w:color="ADD6EA"/>
              <w:right w:val="nil"/>
            </w:tcBorders>
            <w:noWrap/>
            <w:tcMar>
              <w:right w:w="85" w:type="dxa"/>
            </w:tcMar>
            <w:vAlign w:val="center"/>
          </w:tcPr>
          <w:p w14:paraId="7C83E084"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2.5</w:t>
            </w:r>
          </w:p>
        </w:tc>
        <w:tc>
          <w:tcPr>
            <w:tcW w:w="1276" w:type="dxa"/>
            <w:tcBorders>
              <w:top w:val="single" w:sz="4" w:space="0" w:color="ADD6EA"/>
              <w:left w:val="nil"/>
              <w:bottom w:val="single" w:sz="4" w:space="0" w:color="ADD6EA"/>
              <w:right w:val="nil"/>
            </w:tcBorders>
            <w:noWrap/>
            <w:vAlign w:val="center"/>
          </w:tcPr>
          <w:p w14:paraId="6A492F59"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14AA4BDE"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Urban transport investment</w:t>
            </w:r>
            <w:r>
              <w:rPr>
                <w:rFonts w:ascii="Open Sans Light" w:hAnsi="Open Sans Light" w:cs="Open Sans Light"/>
                <w:color w:val="000000"/>
                <w:sz w:val="16"/>
                <w:szCs w:val="16"/>
              </w:rPr>
              <w:t xml:space="preserve"> is a state function, and </w:t>
            </w:r>
            <w:r w:rsidRPr="00251F91">
              <w:rPr>
                <w:rFonts w:ascii="Open Sans Light" w:hAnsi="Open Sans Light" w:cs="Open Sans Light"/>
                <w:color w:val="000000"/>
                <w:sz w:val="16"/>
                <w:szCs w:val="16"/>
              </w:rPr>
              <w:t xml:space="preserve">needs </w:t>
            </w:r>
            <w:r>
              <w:rPr>
                <w:rFonts w:ascii="Open Sans Light" w:hAnsi="Open Sans Light" w:cs="Open Sans Light"/>
                <w:color w:val="000000"/>
                <w:sz w:val="16"/>
                <w:szCs w:val="16"/>
              </w:rPr>
              <w:t xml:space="preserve">are </w:t>
            </w:r>
            <w:r w:rsidRPr="00251F91">
              <w:rPr>
                <w:rFonts w:ascii="Open Sans Light" w:hAnsi="Open Sans Light" w:cs="Open Sans Light"/>
                <w:color w:val="000000"/>
                <w:sz w:val="16"/>
                <w:szCs w:val="16"/>
              </w:rPr>
              <w:t>assessed</w:t>
            </w:r>
            <w:r>
              <w:rPr>
                <w:rFonts w:ascii="Open Sans Light" w:hAnsi="Open Sans Light" w:cs="Open Sans Light"/>
                <w:color w:val="000000"/>
                <w:sz w:val="16"/>
                <w:szCs w:val="16"/>
              </w:rPr>
              <w:t>.</w:t>
            </w:r>
          </w:p>
        </w:tc>
      </w:tr>
      <w:tr w:rsidR="00BD07F6" w:rsidRPr="00954A46" w14:paraId="3BBC9F19" w14:textId="77777777">
        <w:trPr>
          <w:trHeight w:val="465"/>
        </w:trPr>
        <w:tc>
          <w:tcPr>
            <w:tcW w:w="2552" w:type="dxa"/>
            <w:tcBorders>
              <w:top w:val="single" w:sz="4" w:space="0" w:color="ADD6EA"/>
              <w:left w:val="nil"/>
              <w:bottom w:val="single" w:sz="4" w:space="0" w:color="ADD6EA"/>
              <w:right w:val="nil"/>
            </w:tcBorders>
          </w:tcPr>
          <w:p w14:paraId="34D6C1BD"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Dunwich Ferry Terminal Upgrade</w:t>
            </w:r>
          </w:p>
        </w:tc>
        <w:tc>
          <w:tcPr>
            <w:tcW w:w="4678" w:type="dxa"/>
            <w:tcBorders>
              <w:top w:val="single" w:sz="4" w:space="0" w:color="ADD6EA"/>
              <w:left w:val="nil"/>
              <w:bottom w:val="single" w:sz="4" w:space="0" w:color="ADD6EA"/>
              <w:right w:val="nil"/>
            </w:tcBorders>
          </w:tcPr>
          <w:p w14:paraId="2DD342FB"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6819DC36">
              <w:rPr>
                <w:rFonts w:ascii="Open Sans Light" w:hAnsi="Open Sans Light" w:cs="Open Sans Light"/>
                <w:color w:val="000000" w:themeColor="text1"/>
                <w:sz w:val="16"/>
                <w:szCs w:val="16"/>
              </w:rPr>
              <w:t xml:space="preserve">Upgrade of the Ferry Terminal at </w:t>
            </w:r>
            <w:proofErr w:type="spellStart"/>
            <w:r w:rsidRPr="6819DC36">
              <w:rPr>
                <w:rFonts w:ascii="Open Sans Light" w:hAnsi="Open Sans Light" w:cs="Open Sans Light"/>
                <w:color w:val="000000" w:themeColor="text1"/>
                <w:sz w:val="16"/>
                <w:szCs w:val="16"/>
              </w:rPr>
              <w:t>Junner</w:t>
            </w:r>
            <w:proofErr w:type="spellEnd"/>
            <w:r w:rsidRPr="6819DC36">
              <w:rPr>
                <w:rFonts w:ascii="Open Sans Light" w:hAnsi="Open Sans Light" w:cs="Open Sans Light"/>
                <w:color w:val="000000" w:themeColor="text1"/>
                <w:sz w:val="16"/>
                <w:szCs w:val="16"/>
              </w:rPr>
              <w:t xml:space="preserve"> Street, Dunwich</w:t>
            </w:r>
            <w:r>
              <w:rPr>
                <w:rFonts w:ascii="Open Sans Light" w:hAnsi="Open Sans Light" w:cs="Open Sans Light"/>
                <w:color w:val="000000" w:themeColor="text1"/>
                <w:sz w:val="16"/>
                <w:szCs w:val="16"/>
              </w:rPr>
              <w:t>.</w:t>
            </w:r>
          </w:p>
        </w:tc>
        <w:tc>
          <w:tcPr>
            <w:tcW w:w="992" w:type="dxa"/>
            <w:tcBorders>
              <w:top w:val="single" w:sz="4" w:space="0" w:color="ADD6EA"/>
              <w:left w:val="nil"/>
              <w:bottom w:val="single" w:sz="4" w:space="0" w:color="ADD6EA"/>
              <w:right w:val="nil"/>
            </w:tcBorders>
            <w:noWrap/>
            <w:tcMar>
              <w:right w:w="85" w:type="dxa"/>
            </w:tcMar>
            <w:vAlign w:val="center"/>
          </w:tcPr>
          <w:p w14:paraId="1CBD706D"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vAlign w:val="center"/>
          </w:tcPr>
          <w:p w14:paraId="2A8EC5E3"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 xml:space="preserve">No </w:t>
            </w: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424A6976"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Non-u</w:t>
            </w:r>
            <w:r w:rsidRPr="00251F91">
              <w:rPr>
                <w:rFonts w:ascii="Open Sans Light" w:hAnsi="Open Sans Light" w:cs="Open Sans Light"/>
                <w:color w:val="000000"/>
                <w:sz w:val="16"/>
                <w:szCs w:val="16"/>
              </w:rPr>
              <w:t>rban transport investment</w:t>
            </w:r>
            <w:r>
              <w:rPr>
                <w:rFonts w:ascii="Open Sans Light" w:hAnsi="Open Sans Light" w:cs="Open Sans Light"/>
                <w:color w:val="000000"/>
                <w:sz w:val="16"/>
                <w:szCs w:val="16"/>
              </w:rPr>
              <w:t xml:space="preserve"> is a state function, but </w:t>
            </w:r>
            <w:r w:rsidRPr="00251F91">
              <w:rPr>
                <w:rFonts w:ascii="Open Sans Light" w:hAnsi="Open Sans Light" w:cs="Open Sans Light"/>
                <w:color w:val="000000"/>
                <w:sz w:val="16"/>
                <w:szCs w:val="16"/>
              </w:rPr>
              <w:t xml:space="preserve">needs </w:t>
            </w:r>
            <w:r>
              <w:rPr>
                <w:rFonts w:ascii="Open Sans Light" w:hAnsi="Open Sans Light" w:cs="Open Sans Light"/>
                <w:color w:val="000000"/>
                <w:sz w:val="16"/>
                <w:szCs w:val="16"/>
              </w:rPr>
              <w:t xml:space="preserve">are not </w:t>
            </w:r>
            <w:r w:rsidRPr="00251F91">
              <w:rPr>
                <w:rFonts w:ascii="Open Sans Light" w:hAnsi="Open Sans Light" w:cs="Open Sans Light"/>
                <w:color w:val="000000"/>
                <w:sz w:val="16"/>
                <w:szCs w:val="16"/>
              </w:rPr>
              <w:t>assessed</w:t>
            </w:r>
            <w:r>
              <w:rPr>
                <w:rFonts w:ascii="Open Sans Light" w:hAnsi="Open Sans Light" w:cs="Open Sans Light"/>
                <w:color w:val="000000"/>
                <w:sz w:val="16"/>
                <w:szCs w:val="16"/>
              </w:rPr>
              <w:t>.</w:t>
            </w:r>
          </w:p>
        </w:tc>
      </w:tr>
      <w:tr w:rsidR="00BD07F6" w:rsidRPr="00954A46" w14:paraId="089DB0CE" w14:textId="77777777">
        <w:trPr>
          <w:trHeight w:val="465"/>
        </w:trPr>
        <w:tc>
          <w:tcPr>
            <w:tcW w:w="2552" w:type="dxa"/>
            <w:tcBorders>
              <w:top w:val="single" w:sz="4" w:space="0" w:color="ADD6EA"/>
              <w:left w:val="nil"/>
              <w:bottom w:val="single" w:sz="4" w:space="0" w:color="ADD6EA"/>
              <w:right w:val="nil"/>
            </w:tcBorders>
          </w:tcPr>
          <w:p w14:paraId="4E3043A5"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SEQ Liveability Fund</w:t>
            </w:r>
          </w:p>
        </w:tc>
        <w:tc>
          <w:tcPr>
            <w:tcW w:w="4678" w:type="dxa"/>
            <w:tcBorders>
              <w:top w:val="single" w:sz="4" w:space="0" w:color="ADD6EA"/>
              <w:left w:val="nil"/>
              <w:bottom w:val="single" w:sz="4" w:space="0" w:color="ADD6EA"/>
              <w:right w:val="nil"/>
            </w:tcBorders>
          </w:tcPr>
          <w:p w14:paraId="2C9FE84F"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Projects to improve community facilities including playgrounds, community amenities, sports fields, aquatic centre and open space recreation.</w:t>
            </w:r>
          </w:p>
        </w:tc>
        <w:tc>
          <w:tcPr>
            <w:tcW w:w="992" w:type="dxa"/>
            <w:tcBorders>
              <w:top w:val="single" w:sz="4" w:space="0" w:color="ADD6EA"/>
              <w:left w:val="nil"/>
              <w:bottom w:val="single" w:sz="4" w:space="0" w:color="ADD6EA"/>
              <w:right w:val="nil"/>
            </w:tcBorders>
            <w:noWrap/>
            <w:tcMar>
              <w:right w:w="85" w:type="dxa"/>
            </w:tcMar>
            <w:vAlign w:val="center"/>
          </w:tcPr>
          <w:p w14:paraId="0D9FF099"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35.0</w:t>
            </w:r>
          </w:p>
        </w:tc>
        <w:tc>
          <w:tcPr>
            <w:tcW w:w="1276" w:type="dxa"/>
            <w:tcBorders>
              <w:top w:val="single" w:sz="4" w:space="0" w:color="ADD6EA"/>
              <w:left w:val="nil"/>
              <w:bottom w:val="single" w:sz="4" w:space="0" w:color="ADD6EA"/>
              <w:right w:val="nil"/>
            </w:tcBorders>
            <w:noWrap/>
            <w:vAlign w:val="center"/>
          </w:tcPr>
          <w:p w14:paraId="4BDDE583"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1ABABAD1"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Investment in recreational and cultural services is a state function, and needs are assessed.</w:t>
            </w:r>
          </w:p>
        </w:tc>
      </w:tr>
      <w:tr w:rsidR="00BD07F6" w:rsidRPr="00954A46" w14:paraId="357E5F8F" w14:textId="77777777">
        <w:trPr>
          <w:trHeight w:val="465"/>
        </w:trPr>
        <w:tc>
          <w:tcPr>
            <w:tcW w:w="2552" w:type="dxa"/>
            <w:tcBorders>
              <w:top w:val="single" w:sz="4" w:space="0" w:color="ADD6EA"/>
              <w:left w:val="nil"/>
              <w:bottom w:val="single" w:sz="4" w:space="0" w:color="ADD6EA"/>
              <w:right w:val="nil"/>
            </w:tcBorders>
          </w:tcPr>
          <w:p w14:paraId="24949040"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Resource Recovery Infrastructure</w:t>
            </w:r>
          </w:p>
        </w:tc>
        <w:tc>
          <w:tcPr>
            <w:tcW w:w="4678" w:type="dxa"/>
            <w:tcBorders>
              <w:top w:val="single" w:sz="4" w:space="0" w:color="ADD6EA"/>
              <w:left w:val="nil"/>
              <w:bottom w:val="single" w:sz="4" w:space="0" w:color="ADD6EA"/>
              <w:right w:val="nil"/>
            </w:tcBorders>
          </w:tcPr>
          <w:p w14:paraId="726EB0AD"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Developing waste processing infrastructure in SEQ that will increase resource recovery rates, facilitate organics recycling and progress the region towards a circular economy.</w:t>
            </w:r>
          </w:p>
        </w:tc>
        <w:tc>
          <w:tcPr>
            <w:tcW w:w="992" w:type="dxa"/>
            <w:tcBorders>
              <w:top w:val="single" w:sz="4" w:space="0" w:color="ADD6EA"/>
              <w:left w:val="nil"/>
              <w:bottom w:val="single" w:sz="4" w:space="0" w:color="ADD6EA"/>
              <w:right w:val="nil"/>
            </w:tcBorders>
            <w:noWrap/>
            <w:tcMar>
              <w:right w:w="85" w:type="dxa"/>
            </w:tcMar>
            <w:vAlign w:val="center"/>
          </w:tcPr>
          <w:p w14:paraId="1B7CDD5A"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7.0</w:t>
            </w:r>
          </w:p>
        </w:tc>
        <w:tc>
          <w:tcPr>
            <w:tcW w:w="1276" w:type="dxa"/>
            <w:tcBorders>
              <w:top w:val="single" w:sz="4" w:space="0" w:color="ADD6EA"/>
              <w:left w:val="nil"/>
              <w:bottom w:val="single" w:sz="4" w:space="0" w:color="ADD6EA"/>
              <w:right w:val="nil"/>
            </w:tcBorders>
            <w:noWrap/>
            <w:vAlign w:val="center"/>
          </w:tcPr>
          <w:p w14:paraId="20448CF4"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tcPr>
          <w:p w14:paraId="00E03C85"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 xml:space="preserve">Sanitation is </w:t>
            </w:r>
            <w:r>
              <w:rPr>
                <w:rFonts w:ascii="Open Sans Light" w:hAnsi="Open Sans Light" w:cs="Open Sans Light"/>
                <w:color w:val="000000"/>
                <w:sz w:val="16"/>
                <w:szCs w:val="16"/>
              </w:rPr>
              <w:t xml:space="preserve">a </w:t>
            </w:r>
            <w:r w:rsidRPr="00251F91">
              <w:rPr>
                <w:rFonts w:ascii="Open Sans Light" w:hAnsi="Open Sans Light" w:cs="Open Sans Light"/>
                <w:color w:val="000000"/>
                <w:sz w:val="16"/>
                <w:szCs w:val="16"/>
              </w:rPr>
              <w:t>local government</w:t>
            </w:r>
            <w:r>
              <w:rPr>
                <w:rFonts w:ascii="Open Sans Light" w:hAnsi="Open Sans Light" w:cs="Open Sans Light"/>
                <w:color w:val="000000"/>
                <w:sz w:val="16"/>
                <w:szCs w:val="16"/>
              </w:rPr>
              <w:t xml:space="preserve"> responsibility.</w:t>
            </w:r>
          </w:p>
        </w:tc>
      </w:tr>
      <w:tr w:rsidR="00BD07F6" w:rsidRPr="00954A46" w14:paraId="0991CB2F" w14:textId="77777777">
        <w:trPr>
          <w:trHeight w:val="465"/>
        </w:trPr>
        <w:tc>
          <w:tcPr>
            <w:tcW w:w="2552" w:type="dxa"/>
            <w:tcBorders>
              <w:top w:val="single" w:sz="4" w:space="0" w:color="ADD6EA"/>
              <w:left w:val="nil"/>
              <w:bottom w:val="single" w:sz="4" w:space="0" w:color="ADD6EA"/>
              <w:right w:val="nil"/>
            </w:tcBorders>
          </w:tcPr>
          <w:p w14:paraId="4C24AEFE"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Resilient Rivers Initiative</w:t>
            </w:r>
          </w:p>
        </w:tc>
        <w:tc>
          <w:tcPr>
            <w:tcW w:w="4678" w:type="dxa"/>
            <w:tcBorders>
              <w:top w:val="single" w:sz="4" w:space="0" w:color="ADD6EA"/>
              <w:left w:val="nil"/>
              <w:bottom w:val="single" w:sz="4" w:space="0" w:color="ADD6EA"/>
              <w:right w:val="nil"/>
            </w:tcBorders>
          </w:tcPr>
          <w:p w14:paraId="365A1480"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 xml:space="preserve">This partnership-based project will invest in capital works to improve the health of the region’s rivers and waterways. </w:t>
            </w:r>
          </w:p>
        </w:tc>
        <w:tc>
          <w:tcPr>
            <w:tcW w:w="992" w:type="dxa"/>
            <w:tcBorders>
              <w:top w:val="single" w:sz="4" w:space="0" w:color="ADD6EA"/>
              <w:left w:val="nil"/>
              <w:bottom w:val="single" w:sz="4" w:space="0" w:color="ADD6EA"/>
              <w:right w:val="nil"/>
            </w:tcBorders>
            <w:noWrap/>
            <w:tcMar>
              <w:right w:w="85" w:type="dxa"/>
            </w:tcMar>
            <w:vAlign w:val="center"/>
          </w:tcPr>
          <w:p w14:paraId="38D13E41"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2.5</w:t>
            </w:r>
          </w:p>
        </w:tc>
        <w:tc>
          <w:tcPr>
            <w:tcW w:w="1276" w:type="dxa"/>
            <w:tcBorders>
              <w:top w:val="single" w:sz="4" w:space="0" w:color="ADD6EA"/>
              <w:left w:val="nil"/>
              <w:bottom w:val="single" w:sz="4" w:space="0" w:color="ADD6EA"/>
              <w:right w:val="nil"/>
            </w:tcBorders>
            <w:noWrap/>
            <w:vAlign w:val="center"/>
          </w:tcPr>
          <w:p w14:paraId="4E4E0F97"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tcPr>
          <w:p w14:paraId="23B8F4BD" w14:textId="77777777" w:rsidR="00BD07F6" w:rsidRPr="00CB1CE7" w:rsidRDefault="00BD07F6">
            <w:pPr>
              <w:spacing w:line="240" w:lineRule="auto"/>
              <w:rPr>
                <w:rFonts w:ascii="Open Sans Light" w:hAnsi="Open Sans Light" w:cs="Open Sans Light"/>
                <w:color w:val="000000"/>
                <w:sz w:val="16"/>
                <w:szCs w:val="16"/>
              </w:rPr>
            </w:pPr>
            <w:r w:rsidRPr="00CB1CE7">
              <w:rPr>
                <w:rFonts w:ascii="Open Sans Light" w:hAnsi="Open Sans Light" w:cs="Open Sans Light"/>
                <w:color w:val="000000"/>
                <w:sz w:val="16"/>
                <w:szCs w:val="16"/>
              </w:rPr>
              <w:t>Environmental protection is a state service, but needs are not assessed.</w:t>
            </w:r>
          </w:p>
        </w:tc>
      </w:tr>
      <w:tr w:rsidR="00BD07F6" w:rsidRPr="00954A46" w14:paraId="327D83AC" w14:textId="77777777">
        <w:trPr>
          <w:trHeight w:val="465"/>
        </w:trPr>
        <w:tc>
          <w:tcPr>
            <w:tcW w:w="2552" w:type="dxa"/>
            <w:tcBorders>
              <w:top w:val="single" w:sz="4" w:space="0" w:color="ADD6EA"/>
              <w:left w:val="nil"/>
              <w:bottom w:val="single" w:sz="4" w:space="0" w:color="ADD6EA"/>
              <w:right w:val="nil"/>
            </w:tcBorders>
            <w:vAlign w:val="center"/>
          </w:tcPr>
          <w:p w14:paraId="392C795B"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Blue Heart Sunshine Coast</w:t>
            </w:r>
          </w:p>
        </w:tc>
        <w:tc>
          <w:tcPr>
            <w:tcW w:w="4678" w:type="dxa"/>
            <w:tcBorders>
              <w:top w:val="single" w:sz="4" w:space="0" w:color="ADD6EA"/>
              <w:left w:val="nil"/>
              <w:bottom w:val="single" w:sz="4" w:space="0" w:color="ADD6EA"/>
              <w:right w:val="nil"/>
            </w:tcBorders>
          </w:tcPr>
          <w:p w14:paraId="7A386322"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This partnership-based project is committed to sustainable and adaptive floodplain management in the Maroochy River catchment.</w:t>
            </w:r>
          </w:p>
        </w:tc>
        <w:tc>
          <w:tcPr>
            <w:tcW w:w="992" w:type="dxa"/>
            <w:tcBorders>
              <w:top w:val="single" w:sz="4" w:space="0" w:color="ADD6EA"/>
              <w:left w:val="nil"/>
              <w:bottom w:val="single" w:sz="4" w:space="0" w:color="ADD6EA"/>
              <w:right w:val="nil"/>
            </w:tcBorders>
            <w:noWrap/>
            <w:tcMar>
              <w:right w:w="85" w:type="dxa"/>
            </w:tcMar>
            <w:vAlign w:val="center"/>
          </w:tcPr>
          <w:p w14:paraId="60400FB4"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14A74C14"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tcPr>
          <w:p w14:paraId="711E4D04" w14:textId="77777777" w:rsidR="00BD07F6" w:rsidRPr="00CB1CE7" w:rsidRDefault="00BD07F6">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Environmental protection is a state service, but needs are not assessed.</w:t>
            </w:r>
          </w:p>
        </w:tc>
      </w:tr>
      <w:tr w:rsidR="00BD07F6" w:rsidRPr="00954A46" w14:paraId="52B6FEAB" w14:textId="77777777">
        <w:trPr>
          <w:trHeight w:val="465"/>
        </w:trPr>
        <w:tc>
          <w:tcPr>
            <w:tcW w:w="2552" w:type="dxa"/>
            <w:tcBorders>
              <w:top w:val="single" w:sz="4" w:space="0" w:color="ADD6EA"/>
              <w:left w:val="nil"/>
              <w:bottom w:val="single" w:sz="4" w:space="0" w:color="ADD6EA"/>
              <w:right w:val="nil"/>
            </w:tcBorders>
            <w:vAlign w:val="center"/>
          </w:tcPr>
          <w:p w14:paraId="143122A5"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proofErr w:type="spellStart"/>
            <w:r w:rsidRPr="00251F91">
              <w:rPr>
                <w:rFonts w:ascii="Open Sans Light" w:hAnsi="Open Sans Light" w:cs="Open Sans Light"/>
                <w:color w:val="000000"/>
                <w:sz w:val="16"/>
                <w:szCs w:val="16"/>
              </w:rPr>
              <w:t>Bromelton</w:t>
            </w:r>
            <w:proofErr w:type="spellEnd"/>
            <w:r w:rsidRPr="00251F91">
              <w:rPr>
                <w:rFonts w:ascii="Open Sans Light" w:hAnsi="Open Sans Light" w:cs="Open Sans Light"/>
                <w:color w:val="000000"/>
                <w:sz w:val="16"/>
                <w:szCs w:val="16"/>
              </w:rPr>
              <w:t xml:space="preserve"> State Development Area Business Case</w:t>
            </w:r>
          </w:p>
        </w:tc>
        <w:tc>
          <w:tcPr>
            <w:tcW w:w="4678" w:type="dxa"/>
            <w:tcBorders>
              <w:top w:val="single" w:sz="4" w:space="0" w:color="ADD6EA"/>
              <w:left w:val="nil"/>
              <w:bottom w:val="single" w:sz="4" w:space="0" w:color="ADD6EA"/>
              <w:right w:val="nil"/>
            </w:tcBorders>
          </w:tcPr>
          <w:p w14:paraId="3C0AE085" w14:textId="5B67CFD0"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 xml:space="preserve">Developing a </w:t>
            </w:r>
            <w:r w:rsidR="00C75CCF">
              <w:rPr>
                <w:rFonts w:ascii="Open Sans Light" w:hAnsi="Open Sans Light" w:cs="Open Sans Light"/>
                <w:color w:val="000000"/>
                <w:sz w:val="16"/>
                <w:szCs w:val="16"/>
              </w:rPr>
              <w:t>b</w:t>
            </w:r>
            <w:r w:rsidRPr="00251F91">
              <w:rPr>
                <w:rFonts w:ascii="Open Sans Light" w:hAnsi="Open Sans Light" w:cs="Open Sans Light"/>
                <w:color w:val="000000"/>
                <w:sz w:val="16"/>
                <w:szCs w:val="16"/>
              </w:rPr>
              <w:t xml:space="preserve">usiness </w:t>
            </w:r>
            <w:r w:rsidR="00C75CCF">
              <w:rPr>
                <w:rFonts w:ascii="Open Sans Light" w:hAnsi="Open Sans Light" w:cs="Open Sans Light"/>
                <w:color w:val="000000"/>
                <w:sz w:val="16"/>
                <w:szCs w:val="16"/>
              </w:rPr>
              <w:t>c</w:t>
            </w:r>
            <w:r w:rsidRPr="00251F91">
              <w:rPr>
                <w:rFonts w:ascii="Open Sans Light" w:hAnsi="Open Sans Light" w:cs="Open Sans Light"/>
                <w:color w:val="000000"/>
                <w:sz w:val="16"/>
                <w:szCs w:val="16"/>
              </w:rPr>
              <w:t>ase to determine what infrastructure planning, sequencing, prioritisation and capital investment is required to activate the 15,610</w:t>
            </w:r>
            <w:r w:rsidR="00843D17">
              <w:rPr>
                <w:rFonts w:ascii="Open Sans Light" w:hAnsi="Open Sans Light" w:cs="Open Sans Light"/>
                <w:color w:val="000000"/>
                <w:sz w:val="16"/>
                <w:szCs w:val="16"/>
              </w:rPr>
              <w:t xml:space="preserve"> </w:t>
            </w:r>
            <w:r w:rsidRPr="00251F91">
              <w:rPr>
                <w:rFonts w:ascii="Open Sans Light" w:hAnsi="Open Sans Light" w:cs="Open Sans Light"/>
                <w:color w:val="000000"/>
                <w:sz w:val="16"/>
                <w:szCs w:val="16"/>
              </w:rPr>
              <w:t>ha State Development Area.</w:t>
            </w:r>
          </w:p>
        </w:tc>
        <w:tc>
          <w:tcPr>
            <w:tcW w:w="992" w:type="dxa"/>
            <w:tcBorders>
              <w:top w:val="single" w:sz="4" w:space="0" w:color="ADD6EA"/>
              <w:left w:val="nil"/>
              <w:bottom w:val="single" w:sz="4" w:space="0" w:color="ADD6EA"/>
              <w:right w:val="nil"/>
            </w:tcBorders>
            <w:noWrap/>
            <w:tcMar>
              <w:right w:w="85" w:type="dxa"/>
            </w:tcMar>
            <w:vAlign w:val="center"/>
          </w:tcPr>
          <w:p w14:paraId="08541A39" w14:textId="77777777" w:rsidR="00BD07F6" w:rsidRPr="002B0919" w:rsidRDefault="00BD07F6">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0.8</w:t>
            </w:r>
          </w:p>
        </w:tc>
        <w:tc>
          <w:tcPr>
            <w:tcW w:w="1276" w:type="dxa"/>
            <w:tcBorders>
              <w:top w:val="single" w:sz="4" w:space="0" w:color="ADD6EA"/>
              <w:left w:val="nil"/>
              <w:bottom w:val="single" w:sz="4" w:space="0" w:color="ADD6EA"/>
              <w:right w:val="nil"/>
            </w:tcBorders>
            <w:noWrap/>
            <w:vAlign w:val="center"/>
          </w:tcPr>
          <w:p w14:paraId="1D7EB043"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203CAC9E" w14:textId="77777777" w:rsidR="00BD07F6" w:rsidRPr="00251F91" w:rsidRDefault="00BD07F6">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b</w:t>
            </w:r>
            <w:r w:rsidRPr="00E06561">
              <w:rPr>
                <w:rFonts w:ascii="Open Sans Light" w:hAnsi="Open Sans Light" w:cs="Open Sans Light"/>
                <w:color w:val="000000"/>
                <w:sz w:val="16"/>
                <w:szCs w:val="16"/>
              </w:rPr>
              <w:t>usiness development is a state function, and needs are assessed.</w:t>
            </w:r>
          </w:p>
        </w:tc>
      </w:tr>
    </w:tbl>
    <w:p w14:paraId="789AB58F" w14:textId="394412EA" w:rsidR="009A4460" w:rsidRPr="00FE2B0F" w:rsidRDefault="00BD07F6" w:rsidP="00ED7BB8">
      <w:pPr>
        <w:pStyle w:val="CGCTablenote"/>
      </w:pPr>
      <w:r w:rsidRPr="006C2FC5">
        <w:t>Source: Department of Infrastructure</w:t>
      </w:r>
      <w:r w:rsidR="000340DE">
        <w:t>.</w:t>
      </w:r>
    </w:p>
    <w:sectPr w:rsidR="009A4460" w:rsidRPr="00FE2B0F" w:rsidSect="002B078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34533" w14:textId="77777777" w:rsidR="00FD7636" w:rsidRDefault="00FD7636" w:rsidP="00CF2841">
      <w:pPr>
        <w:spacing w:line="240" w:lineRule="auto"/>
      </w:pPr>
      <w:r>
        <w:separator/>
      </w:r>
    </w:p>
  </w:endnote>
  <w:endnote w:type="continuationSeparator" w:id="0">
    <w:p w14:paraId="189E7B6A" w14:textId="77777777" w:rsidR="00FD7636" w:rsidRDefault="00FD7636" w:rsidP="00CF2841">
      <w:pPr>
        <w:spacing w:line="240" w:lineRule="auto"/>
      </w:pPr>
      <w:r>
        <w:continuationSeparator/>
      </w:r>
    </w:p>
  </w:endnote>
  <w:endnote w:type="continuationNotice" w:id="1">
    <w:p w14:paraId="4D468557" w14:textId="77777777" w:rsidR="00FD7636" w:rsidRDefault="00FD76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altName w:val="Calibri"/>
    <w:charset w:val="00"/>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ork Sans Bold">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ork Sans SemiBold">
    <w:charset w:val="00"/>
    <w:family w:val="auto"/>
    <w:pitch w:val="variable"/>
    <w:sig w:usb0="A00000FF" w:usb1="5000E07B" w:usb2="00000000" w:usb3="00000000" w:csb0="00000193" w:csb1="00000000"/>
  </w:font>
  <w:font w:name="Open Sans Semibold">
    <w:altName w:val="Segoe UI"/>
    <w:panose1 w:val="020B07060308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163181"/>
      <w:docPartObj>
        <w:docPartGallery w:val="Page Numbers (Bottom of Page)"/>
        <w:docPartUnique/>
      </w:docPartObj>
    </w:sdtPr>
    <w:sdtEndPr>
      <w:rPr>
        <w:noProof/>
      </w:rPr>
    </w:sdtEndPr>
    <w:sdtContent>
      <w:p w14:paraId="79D522B1" w14:textId="1F367A8B" w:rsidR="009904DA" w:rsidRDefault="009D3D43" w:rsidP="00830676">
        <w:pPr>
          <w:pStyle w:val="Footer"/>
          <w:jc w:val="right"/>
        </w:pPr>
        <w:r w:rsidRPr="00E415B1">
          <w:rPr>
            <w:rFonts w:ascii="Open Sans" w:hAnsi="Open Sans" w:cs="Open Sans"/>
            <w:sz w:val="14"/>
            <w:szCs w:val="14"/>
          </w:rPr>
          <w:fldChar w:fldCharType="begin"/>
        </w:r>
        <w:r w:rsidRPr="00E415B1">
          <w:rPr>
            <w:rFonts w:ascii="Open Sans" w:hAnsi="Open Sans" w:cs="Open Sans"/>
            <w:sz w:val="14"/>
            <w:szCs w:val="14"/>
          </w:rPr>
          <w:instrText xml:space="preserve"> PAGE   \* MERGEFORMAT </w:instrText>
        </w:r>
        <w:r w:rsidRPr="00E415B1">
          <w:rPr>
            <w:rFonts w:ascii="Open Sans" w:hAnsi="Open Sans" w:cs="Open Sans"/>
            <w:sz w:val="14"/>
            <w:szCs w:val="14"/>
          </w:rPr>
          <w:fldChar w:fldCharType="separate"/>
        </w:r>
        <w:r w:rsidRPr="00E415B1">
          <w:rPr>
            <w:rFonts w:ascii="Open Sans" w:hAnsi="Open Sans" w:cs="Open Sans"/>
            <w:noProof/>
            <w:sz w:val="14"/>
            <w:szCs w:val="14"/>
          </w:rPr>
          <w:t>2</w:t>
        </w:r>
        <w:r w:rsidRPr="00E415B1">
          <w:rPr>
            <w:rFonts w:ascii="Open Sans" w:hAnsi="Open Sans" w:cs="Open Sans"/>
            <w:noProof/>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DDAE" w14:textId="77777777" w:rsidR="00BD07F6" w:rsidRDefault="00BD07F6">
    <w:pPr>
      <w:pStyle w:val="Footer"/>
    </w:pPr>
    <w:r>
      <w:rPr>
        <w:noProof/>
      </w:rPr>
      <mc:AlternateContent>
        <mc:Choice Requires="wps">
          <w:drawing>
            <wp:anchor distT="0" distB="0" distL="0" distR="0" simplePos="0" relativeHeight="251658243" behindDoc="0" locked="0" layoutInCell="1" allowOverlap="1" wp14:anchorId="4745978D" wp14:editId="53D3D922">
              <wp:simplePos x="635" y="635"/>
              <wp:positionH relativeFrom="page">
                <wp:align>center</wp:align>
              </wp:positionH>
              <wp:positionV relativeFrom="page">
                <wp:align>bottom</wp:align>
              </wp:positionV>
              <wp:extent cx="551815" cy="391160"/>
              <wp:effectExtent l="0" t="0" r="635" b="0"/>
              <wp:wrapNone/>
              <wp:docPr id="9505102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86327DA" w14:textId="77777777" w:rsidR="00BD07F6" w:rsidRPr="005F1984" w:rsidRDefault="00BD07F6">
                          <w:pPr>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5978D" id="_x0000_t202" coordsize="21600,21600" o:spt="202" path="m,l,21600r21600,l21600,xe">
              <v:stroke joinstyle="miter"/>
              <v:path gradientshapeok="t" o:connecttype="rect"/>
            </v:shapetype>
            <v:shape id="Text Box 5" o:spid="_x0000_s1031"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386327DA" w14:textId="77777777" w:rsidR="00BD07F6" w:rsidRPr="005F1984" w:rsidRDefault="00BD07F6">
                    <w:pPr>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p>
  <w:p w14:paraId="27E03A06" w14:textId="77777777" w:rsidR="00BD07F6" w:rsidRDefault="00BD07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233109"/>
      <w:docPartObj>
        <w:docPartGallery w:val="Page Numbers (Bottom of Page)"/>
        <w:docPartUnique/>
      </w:docPartObj>
    </w:sdtPr>
    <w:sdtEndPr>
      <w:rPr>
        <w:noProof/>
      </w:rPr>
    </w:sdtEndPr>
    <w:sdtContent>
      <w:p w14:paraId="160D824A" w14:textId="77777777" w:rsidR="00BD07F6" w:rsidRDefault="00BD07F6">
        <w:pPr>
          <w:pStyle w:val="Footer"/>
          <w:jc w:val="right"/>
        </w:pPr>
        <w:r w:rsidRPr="005E54C4">
          <w:rPr>
            <w:sz w:val="14"/>
            <w:szCs w:val="14"/>
          </w:rPr>
          <w:fldChar w:fldCharType="begin"/>
        </w:r>
        <w:r w:rsidRPr="005E54C4">
          <w:rPr>
            <w:sz w:val="14"/>
            <w:szCs w:val="14"/>
          </w:rPr>
          <w:instrText xml:space="preserve"> PAGE   \* MERGEFORMAT </w:instrText>
        </w:r>
        <w:r w:rsidRPr="005E54C4">
          <w:rPr>
            <w:sz w:val="14"/>
            <w:szCs w:val="14"/>
          </w:rPr>
          <w:fldChar w:fldCharType="separate"/>
        </w:r>
        <w:r w:rsidRPr="005E54C4">
          <w:rPr>
            <w:noProof/>
            <w:sz w:val="14"/>
            <w:szCs w:val="14"/>
          </w:rPr>
          <w:t>2</w:t>
        </w:r>
        <w:r w:rsidRPr="005E54C4">
          <w:rPr>
            <w:noProof/>
            <w:sz w:val="14"/>
            <w:szCs w:val="14"/>
          </w:rPr>
          <w:fldChar w:fldCharType="end"/>
        </w:r>
      </w:p>
    </w:sdtContent>
  </w:sdt>
  <w:p w14:paraId="1F4C0C9A" w14:textId="77777777" w:rsidR="00BD07F6" w:rsidRDefault="00BD07F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0DA1" w14:textId="567D6EF2" w:rsidR="00BD07F6" w:rsidRPr="005E54C4" w:rsidRDefault="00BD07F6">
    <w:pPr>
      <w:pStyle w:val="Footer"/>
      <w:tabs>
        <w:tab w:val="right" w:pos="8931"/>
      </w:tabs>
      <w:jc w:val="right"/>
      <w:rPr>
        <w:sz w:val="14"/>
        <w:szCs w:val="14"/>
      </w:rPr>
    </w:pPr>
    <w:r>
      <w:rPr>
        <w:szCs w:val="20"/>
      </w:rPr>
      <w:tab/>
    </w:r>
    <w:r>
      <w:rPr>
        <w:szCs w:val="20"/>
      </w:rPr>
      <w:tab/>
    </w:r>
    <w:r w:rsidRPr="005E54C4">
      <w:rPr>
        <w:sz w:val="14"/>
        <w:szCs w:val="14"/>
      </w:rPr>
      <w:fldChar w:fldCharType="begin"/>
    </w:r>
    <w:r w:rsidRPr="005E54C4">
      <w:rPr>
        <w:sz w:val="14"/>
        <w:szCs w:val="14"/>
      </w:rPr>
      <w:instrText xml:space="preserve"> PAGE   \* MERGEFORMAT </w:instrText>
    </w:r>
    <w:r w:rsidRPr="005E54C4">
      <w:rPr>
        <w:sz w:val="14"/>
        <w:szCs w:val="14"/>
      </w:rPr>
      <w:fldChar w:fldCharType="separate"/>
    </w:r>
    <w:r w:rsidRPr="005E54C4">
      <w:rPr>
        <w:noProof/>
        <w:sz w:val="14"/>
        <w:szCs w:val="14"/>
      </w:rPr>
      <w:t>4</w:t>
    </w:r>
    <w:r w:rsidRPr="005E54C4">
      <w:rPr>
        <w:noProof/>
        <w:sz w:val="14"/>
        <w:szCs w:val="14"/>
      </w:rPr>
      <w:fldChar w:fldCharType="end"/>
    </w:r>
  </w:p>
  <w:p w14:paraId="510D9A27" w14:textId="77777777" w:rsidR="00BD07F6" w:rsidRDefault="00BD07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26CC4" w14:textId="77777777" w:rsidR="00FD7636" w:rsidRDefault="00FD7636" w:rsidP="00CF2841">
      <w:pPr>
        <w:spacing w:line="240" w:lineRule="auto"/>
      </w:pPr>
      <w:r>
        <w:separator/>
      </w:r>
    </w:p>
  </w:footnote>
  <w:footnote w:type="continuationSeparator" w:id="0">
    <w:p w14:paraId="0043A7DC" w14:textId="77777777" w:rsidR="00FD7636" w:rsidRDefault="00FD7636" w:rsidP="00CF2841">
      <w:pPr>
        <w:spacing w:line="240" w:lineRule="auto"/>
      </w:pPr>
      <w:r>
        <w:continuationSeparator/>
      </w:r>
    </w:p>
  </w:footnote>
  <w:footnote w:type="continuationNotice" w:id="1">
    <w:p w14:paraId="02A0D72E" w14:textId="77777777" w:rsidR="00FD7636" w:rsidRDefault="00FD7636">
      <w:pPr>
        <w:spacing w:line="240" w:lineRule="auto"/>
      </w:pPr>
    </w:p>
  </w:footnote>
  <w:footnote w:id="2">
    <w:p w14:paraId="6F0B26CD" w14:textId="493FBA40" w:rsidR="00E44B13" w:rsidRPr="002F777D" w:rsidRDefault="00E44B13" w:rsidP="00E44B13">
      <w:pPr>
        <w:pStyle w:val="FootnoteText"/>
        <w:rPr>
          <w:sz w:val="14"/>
          <w:szCs w:val="14"/>
          <w:lang w:val="en-US"/>
        </w:rPr>
      </w:pPr>
      <w:r w:rsidRPr="008107A3">
        <w:rPr>
          <w:rStyle w:val="FootnoteReference"/>
          <w:szCs w:val="20"/>
        </w:rPr>
        <w:footnoteRef/>
      </w:r>
      <w:r>
        <w:t xml:space="preserve"> </w:t>
      </w:r>
      <w:r w:rsidRPr="002F777D">
        <w:rPr>
          <w:sz w:val="14"/>
          <w:szCs w:val="14"/>
        </w:rPr>
        <w:t xml:space="preserve">For the list of non-admitted patient services </w:t>
      </w:r>
      <w:r>
        <w:rPr>
          <w:sz w:val="14"/>
          <w:szCs w:val="14"/>
        </w:rPr>
        <w:t xml:space="preserve">included in the proxy </w:t>
      </w:r>
      <w:r w:rsidRPr="002F777D">
        <w:rPr>
          <w:sz w:val="14"/>
          <w:szCs w:val="14"/>
        </w:rPr>
        <w:t xml:space="preserve">see Commonwealth Grants Commission, </w:t>
      </w:r>
      <w:hyperlink r:id="rId1" w:history="1">
        <w:r w:rsidRPr="006A4F2C">
          <w:rPr>
            <w:rStyle w:val="Hyperlink"/>
            <w:sz w:val="14"/>
            <w:szCs w:val="14"/>
          </w:rPr>
          <w:t>2025 Methodology Review</w:t>
        </w:r>
      </w:hyperlink>
      <w:r w:rsidRPr="002F777D">
        <w:rPr>
          <w:sz w:val="14"/>
          <w:szCs w:val="14"/>
        </w:rPr>
        <w:t>, Review Outcomes, Health chapter, Attachment A, 2025, accessed 5 August 2025.</w:t>
      </w:r>
    </w:p>
  </w:footnote>
  <w:footnote w:id="3">
    <w:p w14:paraId="44B6AF41" w14:textId="4860FD75" w:rsidR="006A1D5E" w:rsidRDefault="006A1D5E">
      <w:pPr>
        <w:pStyle w:val="FootnoteText"/>
      </w:pPr>
      <w:r w:rsidRPr="008107A3">
        <w:rPr>
          <w:rStyle w:val="FootnoteReference"/>
          <w:szCs w:val="20"/>
        </w:rPr>
        <w:footnoteRef/>
      </w:r>
      <w:r>
        <w:t xml:space="preserve"> </w:t>
      </w:r>
      <w:r w:rsidRPr="007D73A9">
        <w:rPr>
          <w:sz w:val="14"/>
          <w:szCs w:val="14"/>
        </w:rPr>
        <w:t xml:space="preserve">A </w:t>
      </w:r>
      <w:r w:rsidR="0057500B" w:rsidRPr="007D73A9">
        <w:rPr>
          <w:sz w:val="14"/>
          <w:szCs w:val="14"/>
        </w:rPr>
        <w:t>low-</w:t>
      </w:r>
      <w:r w:rsidRPr="007D73A9">
        <w:rPr>
          <w:sz w:val="14"/>
          <w:szCs w:val="14"/>
        </w:rPr>
        <w:t>level discount (12.5%) is also applied</w:t>
      </w:r>
      <w:r w:rsidR="007D73A9">
        <w:rPr>
          <w:sz w:val="14"/>
          <w:szCs w:val="14"/>
        </w:rPr>
        <w:t xml:space="preserve"> to the </w:t>
      </w:r>
      <w:r w:rsidR="00BA462A">
        <w:rPr>
          <w:sz w:val="14"/>
          <w:szCs w:val="14"/>
        </w:rPr>
        <w:t>c</w:t>
      </w:r>
      <w:r w:rsidR="007D73A9">
        <w:rPr>
          <w:sz w:val="14"/>
          <w:szCs w:val="14"/>
        </w:rPr>
        <w:t xml:space="preserve">ommunity </w:t>
      </w:r>
      <w:r w:rsidR="00BA462A">
        <w:rPr>
          <w:sz w:val="14"/>
          <w:szCs w:val="14"/>
        </w:rPr>
        <w:t>and public health assessment (excluding the ambulatory mental health</w:t>
      </w:r>
      <w:r w:rsidR="00EE0799">
        <w:rPr>
          <w:sz w:val="14"/>
          <w:szCs w:val="14"/>
        </w:rPr>
        <w:t xml:space="preserve"> part</w:t>
      </w:r>
      <w:r w:rsidR="00BA462A">
        <w:rPr>
          <w:sz w:val="14"/>
          <w:szCs w:val="14"/>
        </w:rPr>
        <w:t>).</w:t>
      </w:r>
      <w:r>
        <w:t xml:space="preserve"> </w:t>
      </w:r>
    </w:p>
  </w:footnote>
  <w:footnote w:id="4">
    <w:p w14:paraId="08F65996" w14:textId="06A6EA61" w:rsidR="003A198D" w:rsidRDefault="003A198D" w:rsidP="003A198D">
      <w:pPr>
        <w:pStyle w:val="FootnoteText"/>
      </w:pPr>
      <w:r w:rsidRPr="008107A3">
        <w:rPr>
          <w:rStyle w:val="FootnoteReference"/>
          <w:szCs w:val="20"/>
        </w:rPr>
        <w:footnoteRef/>
      </w:r>
      <w:r w:rsidRPr="009544F9" w:rsidDel="00595322">
        <w:rPr>
          <w:rStyle w:val="FootnoteReference"/>
          <w:vertAlign w:val="baseline"/>
        </w:rPr>
        <w:t xml:space="preserve"> </w:t>
      </w:r>
      <w:r w:rsidRPr="007D73A9">
        <w:rPr>
          <w:sz w:val="14"/>
          <w:szCs w:val="14"/>
        </w:rPr>
        <w:t>IHACPA activity data are lagged by one year, since data for the final assessment year arrive too late to be incorporated in an update. 2023–24 activity data will be first used in the assessment in the 2026 Update.</w:t>
      </w:r>
    </w:p>
  </w:footnote>
  <w:footnote w:id="5">
    <w:p w14:paraId="62B9042C" w14:textId="005DA88D" w:rsidR="002D45D7" w:rsidRPr="00252905" w:rsidRDefault="002D45D7" w:rsidP="00030584">
      <w:pPr>
        <w:pStyle w:val="FootnoteText"/>
        <w:rPr>
          <w:sz w:val="14"/>
          <w:szCs w:val="14"/>
        </w:rPr>
      </w:pPr>
      <w:r w:rsidRPr="00EA6507">
        <w:rPr>
          <w:rStyle w:val="FootnoteReference"/>
          <w:szCs w:val="20"/>
        </w:rPr>
        <w:footnoteRef/>
      </w:r>
      <w:r w:rsidRPr="00252905">
        <w:rPr>
          <w:sz w:val="14"/>
          <w:szCs w:val="14"/>
        </w:rPr>
        <w:t xml:space="preserve"> </w:t>
      </w:r>
      <w:r w:rsidR="00252905" w:rsidRPr="00EA6507">
        <w:rPr>
          <w:sz w:val="14"/>
          <w:szCs w:val="14"/>
        </w:rPr>
        <w:t xml:space="preserve">The Commission </w:t>
      </w:r>
      <w:r w:rsidR="00252905" w:rsidRPr="00252905">
        <w:rPr>
          <w:sz w:val="14"/>
          <w:szCs w:val="14"/>
        </w:rPr>
        <w:t xml:space="preserve">did not change </w:t>
      </w:r>
      <w:r w:rsidR="00252905" w:rsidRPr="00EA6507">
        <w:rPr>
          <w:sz w:val="14"/>
          <w:szCs w:val="14"/>
        </w:rPr>
        <w:t xml:space="preserve">the blending ratio </w:t>
      </w:r>
      <w:r w:rsidR="00BA1053" w:rsidRPr="00EA6507">
        <w:rPr>
          <w:sz w:val="14"/>
          <w:szCs w:val="14"/>
        </w:rPr>
        <w:t>f</w:t>
      </w:r>
      <w:r w:rsidR="00BA1053">
        <w:rPr>
          <w:sz w:val="14"/>
          <w:szCs w:val="14"/>
        </w:rPr>
        <w:t>or</w:t>
      </w:r>
      <w:r w:rsidR="00252905" w:rsidRPr="00EA6507" w:rsidDel="00BA1053">
        <w:rPr>
          <w:sz w:val="14"/>
          <w:szCs w:val="14"/>
        </w:rPr>
        <w:t xml:space="preserve"> </w:t>
      </w:r>
      <w:r w:rsidR="00252905" w:rsidRPr="00EA6507">
        <w:rPr>
          <w:sz w:val="14"/>
          <w:szCs w:val="14"/>
        </w:rPr>
        <w:t xml:space="preserve">urban transport investment </w:t>
      </w:r>
      <w:r w:rsidR="00252905" w:rsidRPr="00252905">
        <w:rPr>
          <w:sz w:val="14"/>
          <w:szCs w:val="14"/>
        </w:rPr>
        <w:t>(</w:t>
      </w:r>
      <w:r w:rsidR="00252905" w:rsidRPr="00EA6507">
        <w:rPr>
          <w:sz w:val="14"/>
          <w:szCs w:val="14"/>
        </w:rPr>
        <w:t>25% urban population squared and 75% regression model</w:t>
      </w:r>
      <w:r w:rsidR="00252905" w:rsidRPr="00252905">
        <w:rPr>
          <w:sz w:val="14"/>
          <w:szCs w:val="14"/>
        </w:rPr>
        <w:t>).</w:t>
      </w:r>
      <w:r w:rsidR="00252905" w:rsidRPr="00EA6507">
        <w:rPr>
          <w:sz w:val="14"/>
          <w:szCs w:val="14"/>
        </w:rPr>
        <w:t xml:space="preserve"> This i</w:t>
      </w:r>
      <w:r w:rsidR="00252905" w:rsidRPr="00252905">
        <w:rPr>
          <w:sz w:val="14"/>
          <w:szCs w:val="14"/>
        </w:rPr>
        <w:t>s</w:t>
      </w:r>
      <w:r w:rsidR="00252905" w:rsidRPr="00EA6507">
        <w:rPr>
          <w:sz w:val="14"/>
          <w:szCs w:val="14"/>
        </w:rPr>
        <w:t xml:space="preserve"> because investment expenditure is less </w:t>
      </w:r>
      <w:r w:rsidR="00FE2615">
        <w:rPr>
          <w:sz w:val="14"/>
          <w:szCs w:val="14"/>
        </w:rPr>
        <w:t>a</w:t>
      </w:r>
      <w:r w:rsidR="00252905" w:rsidRPr="00EA6507">
        <w:rPr>
          <w:sz w:val="14"/>
          <w:szCs w:val="14"/>
        </w:rPr>
        <w:t>ffected by short term disruptions to passenger numbers than recurrent expenses</w:t>
      </w:r>
      <w:r w:rsidR="00252905" w:rsidRPr="00EA6507">
        <w:t>.</w:t>
      </w:r>
    </w:p>
  </w:footnote>
  <w:footnote w:id="6">
    <w:p w14:paraId="3646AAC1" w14:textId="77777777" w:rsidR="00F05916" w:rsidRPr="007D73A9" w:rsidRDefault="00F05916" w:rsidP="00F05916">
      <w:pPr>
        <w:pStyle w:val="FootnoteText"/>
        <w:rPr>
          <w:sz w:val="14"/>
          <w:szCs w:val="14"/>
        </w:rPr>
      </w:pPr>
      <w:r w:rsidRPr="000D6245">
        <w:rPr>
          <w:rStyle w:val="FootnoteReference"/>
        </w:rPr>
        <w:footnoteRef/>
      </w:r>
      <w:r>
        <w:t xml:space="preserve"> </w:t>
      </w:r>
      <w:r w:rsidRPr="007D73A9">
        <w:rPr>
          <w:sz w:val="14"/>
          <w:szCs w:val="14"/>
        </w:rPr>
        <w:t xml:space="preserve">By not unwinding the differential funding proportions, no state can receive a windfall gain through non-participation. The Commission will continue to not unwind the recognition of educational disadvantage. </w:t>
      </w:r>
    </w:p>
  </w:footnote>
  <w:footnote w:id="7">
    <w:p w14:paraId="25C0D37B" w14:textId="47FCFBA0" w:rsidR="00AC1826" w:rsidRDefault="00AC1826">
      <w:pPr>
        <w:pStyle w:val="FootnoteText"/>
      </w:pPr>
      <w:r>
        <w:rPr>
          <w:rStyle w:val="FootnoteReference"/>
        </w:rPr>
        <w:footnoteRef/>
      </w:r>
      <w:r>
        <w:t xml:space="preserve"> </w:t>
      </w:r>
      <w:r w:rsidR="00270A94" w:rsidRPr="008E60B7">
        <w:rPr>
          <w:sz w:val="14"/>
          <w:szCs w:val="14"/>
        </w:rPr>
        <w:t xml:space="preserve">Department of the Treasury, </w:t>
      </w:r>
      <w:hyperlink r:id="rId2" w:history="1">
        <w:r w:rsidR="00B067B8" w:rsidRPr="008E60B7">
          <w:rPr>
            <w:rStyle w:val="Hyperlink"/>
            <w:sz w:val="14"/>
            <w:szCs w:val="14"/>
          </w:rPr>
          <w:t xml:space="preserve">2026 Update </w:t>
        </w:r>
        <w:r w:rsidR="00844572" w:rsidRPr="008E60B7">
          <w:rPr>
            <w:rStyle w:val="Hyperlink"/>
            <w:sz w:val="14"/>
            <w:szCs w:val="14"/>
          </w:rPr>
          <w:t>of GST Revenue Sharing Relativities</w:t>
        </w:r>
        <w:r w:rsidR="00B32FA8" w:rsidRPr="008E60B7">
          <w:rPr>
            <w:rStyle w:val="Hyperlink"/>
            <w:sz w:val="14"/>
            <w:szCs w:val="14"/>
          </w:rPr>
          <w:t xml:space="preserve"> </w:t>
        </w:r>
        <w:r w:rsidR="009A5218" w:rsidRPr="008E60B7">
          <w:rPr>
            <w:rStyle w:val="Hyperlink"/>
            <w:sz w:val="14"/>
            <w:szCs w:val="14"/>
          </w:rPr>
          <w:t>-</w:t>
        </w:r>
        <w:r w:rsidR="00844572" w:rsidRPr="008E60B7">
          <w:rPr>
            <w:rStyle w:val="Hyperlink"/>
            <w:sz w:val="14"/>
            <w:szCs w:val="14"/>
          </w:rPr>
          <w:t xml:space="preserve"> </w:t>
        </w:r>
        <w:r w:rsidR="00B067B8" w:rsidRPr="008E60B7">
          <w:rPr>
            <w:rStyle w:val="Hyperlink"/>
            <w:sz w:val="14"/>
            <w:szCs w:val="14"/>
          </w:rPr>
          <w:t>Terms of Reference</w:t>
        </w:r>
      </w:hyperlink>
      <w:r w:rsidR="00B067B8" w:rsidRPr="008E60B7">
        <w:rPr>
          <w:sz w:val="14"/>
          <w:szCs w:val="14"/>
        </w:rPr>
        <w:t xml:space="preserve">, </w:t>
      </w:r>
      <w:r w:rsidR="00026CCC" w:rsidRPr="008E60B7">
        <w:rPr>
          <w:sz w:val="14"/>
          <w:szCs w:val="14"/>
        </w:rPr>
        <w:t>Australian Government</w:t>
      </w:r>
      <w:r w:rsidR="00B067B8" w:rsidRPr="008E60B7">
        <w:rPr>
          <w:sz w:val="14"/>
          <w:szCs w:val="14"/>
        </w:rPr>
        <w:t>, 2026</w:t>
      </w:r>
      <w:r w:rsidR="006544B4">
        <w:rPr>
          <w:sz w:val="14"/>
          <w:szCs w:val="14"/>
        </w:rPr>
        <w:t>.</w:t>
      </w:r>
    </w:p>
  </w:footnote>
  <w:footnote w:id="8">
    <w:p w14:paraId="150E89C1" w14:textId="213437D6" w:rsidR="005D7DBB" w:rsidRDefault="005D7DBB">
      <w:pPr>
        <w:pStyle w:val="FootnoteText"/>
      </w:pPr>
      <w:r w:rsidRPr="008107A3">
        <w:rPr>
          <w:rStyle w:val="FootnoteReference"/>
          <w:szCs w:val="20"/>
        </w:rPr>
        <w:footnoteRef/>
      </w:r>
      <w:r>
        <w:t xml:space="preserve"> </w:t>
      </w:r>
      <w:r w:rsidR="00697396" w:rsidRPr="00DE60D8">
        <w:rPr>
          <w:sz w:val="14"/>
          <w:szCs w:val="14"/>
        </w:rPr>
        <w:t>Where this occurs, the Commonwealth will provide equivalent Commonwealth funding for that clinic through alternat</w:t>
      </w:r>
      <w:r w:rsidR="005155F5">
        <w:rPr>
          <w:sz w:val="14"/>
          <w:szCs w:val="14"/>
        </w:rPr>
        <w:t>iv</w:t>
      </w:r>
      <w:r w:rsidR="00697396" w:rsidRPr="00DE60D8">
        <w:rPr>
          <w:sz w:val="14"/>
          <w:szCs w:val="14"/>
        </w:rPr>
        <w:t>e means</w:t>
      </w:r>
      <w:r w:rsidR="00D9388C">
        <w:rPr>
          <w:sz w:val="14"/>
          <w:szCs w:val="14"/>
        </w:rPr>
        <w:t>.</w:t>
      </w:r>
      <w:r w:rsidR="00697396" w:rsidRPr="00DE60D8">
        <w:rPr>
          <w:sz w:val="14"/>
          <w:szCs w:val="14"/>
        </w:rPr>
        <w:t xml:space="preserve"> </w:t>
      </w:r>
      <w:r w:rsidR="009B28F8">
        <w:rPr>
          <w:sz w:val="14"/>
          <w:szCs w:val="14"/>
        </w:rPr>
        <w:t>See</w:t>
      </w:r>
      <w:r w:rsidR="001E2947">
        <w:rPr>
          <w:sz w:val="14"/>
          <w:szCs w:val="14"/>
        </w:rPr>
        <w:t xml:space="preserve"> The Council o</w:t>
      </w:r>
      <w:r w:rsidR="00672814">
        <w:rPr>
          <w:sz w:val="14"/>
          <w:szCs w:val="14"/>
        </w:rPr>
        <w:t>n</w:t>
      </w:r>
      <w:r w:rsidR="001E2947">
        <w:rPr>
          <w:sz w:val="14"/>
          <w:szCs w:val="14"/>
        </w:rPr>
        <w:t xml:space="preserve"> </w:t>
      </w:r>
      <w:r w:rsidR="0029064B">
        <w:rPr>
          <w:sz w:val="14"/>
          <w:szCs w:val="14"/>
        </w:rPr>
        <w:t>Federal Financ</w:t>
      </w:r>
      <w:r w:rsidR="00B96C9D">
        <w:rPr>
          <w:sz w:val="14"/>
          <w:szCs w:val="14"/>
        </w:rPr>
        <w:t>ial Relations,</w:t>
      </w:r>
      <w:r w:rsidR="009B28F8">
        <w:rPr>
          <w:sz w:val="14"/>
          <w:szCs w:val="14"/>
        </w:rPr>
        <w:t xml:space="preserve"> </w:t>
      </w:r>
      <w:hyperlink r:id="rId3" w:history="1">
        <w:r w:rsidR="00DD1099">
          <w:rPr>
            <w:rStyle w:val="Hyperlink"/>
            <w:sz w:val="14"/>
            <w:szCs w:val="14"/>
          </w:rPr>
          <w:t>Comprehensive Primary Health Care Delivery - NT Health</w:t>
        </w:r>
      </w:hyperlink>
      <w:r w:rsidR="009B28F8" w:rsidRPr="00DE60D8">
        <w:rPr>
          <w:sz w:val="14"/>
          <w:szCs w:val="14"/>
        </w:rPr>
        <w:t>,</w:t>
      </w:r>
      <w:r w:rsidR="006544B4">
        <w:rPr>
          <w:sz w:val="14"/>
          <w:szCs w:val="14"/>
        </w:rPr>
        <w:t xml:space="preserve"> Australian Government</w:t>
      </w:r>
      <w:r w:rsidR="00A639D0">
        <w:rPr>
          <w:sz w:val="14"/>
          <w:szCs w:val="14"/>
        </w:rPr>
        <w:t>, 2024,</w:t>
      </w:r>
      <w:r w:rsidR="009B28F8" w:rsidRPr="00DE60D8">
        <w:rPr>
          <w:sz w:val="14"/>
          <w:szCs w:val="14"/>
        </w:rPr>
        <w:t xml:space="preserve"> p</w:t>
      </w:r>
      <w:r w:rsidR="00A639D0">
        <w:rPr>
          <w:sz w:val="14"/>
          <w:szCs w:val="14"/>
        </w:rPr>
        <w:t xml:space="preserve"> </w:t>
      </w:r>
      <w:r w:rsidR="009B28F8" w:rsidRPr="00DE60D8">
        <w:rPr>
          <w:sz w:val="14"/>
          <w:szCs w:val="14"/>
        </w:rPr>
        <w:t>3</w:t>
      </w:r>
      <w:r w:rsidR="009B28F8">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68AE0" w14:textId="73FE0786" w:rsidR="00732D20" w:rsidRPr="002E20E7" w:rsidRDefault="00732D20" w:rsidP="00732D20">
    <w:pPr>
      <w:pStyle w:val="Header"/>
      <w:jc w:val="right"/>
      <w:rPr>
        <w:b/>
        <w:bCs/>
        <w:sz w:val="28"/>
        <w:szCs w:val="28"/>
      </w:rPr>
    </w:pPr>
    <w:r w:rsidRPr="002E20E7">
      <w:rPr>
        <w:b/>
        <w:bCs/>
        <w:noProof/>
      </w:rPr>
      <w:drawing>
        <wp:anchor distT="0" distB="0" distL="114300" distR="114300" simplePos="0" relativeHeight="251658246" behindDoc="1" locked="0" layoutInCell="1" allowOverlap="1" wp14:anchorId="42954EE0" wp14:editId="0E2F69B7">
          <wp:simplePos x="0" y="0"/>
          <wp:positionH relativeFrom="page">
            <wp:posOffset>-54157</wp:posOffset>
          </wp:positionH>
          <wp:positionV relativeFrom="paragraph">
            <wp:posOffset>-507164</wp:posOffset>
          </wp:positionV>
          <wp:extent cx="7725600" cy="10922400"/>
          <wp:effectExtent l="0" t="0" r="8890" b="0"/>
          <wp:wrapNone/>
          <wp:docPr id="857052587" name="Picture 857052587"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58709" name="Picture 2050158709" descr="A picture containing fish&#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Pr="002E20E7">
      <w:rPr>
        <w:b/>
        <w:bCs/>
        <w:noProof/>
        <w:color w:val="FF0000"/>
        <w:sz w:val="28"/>
        <w:szCs w:val="28"/>
      </w:rPr>
      <w:drawing>
        <wp:anchor distT="0" distB="0" distL="114300" distR="114300" simplePos="0" relativeHeight="251662342" behindDoc="1" locked="0" layoutInCell="1" allowOverlap="1" wp14:anchorId="0624D6DC" wp14:editId="14F39274">
          <wp:simplePos x="0" y="0"/>
          <wp:positionH relativeFrom="column">
            <wp:posOffset>-923290</wp:posOffset>
          </wp:positionH>
          <wp:positionV relativeFrom="paragraph">
            <wp:posOffset>10351135</wp:posOffset>
          </wp:positionV>
          <wp:extent cx="7580630" cy="10691495"/>
          <wp:effectExtent l="0" t="0" r="1270" b="1905"/>
          <wp:wrapNone/>
          <wp:docPr id="1068329689" name="Picture 1068329689" descr="A black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4623" name="Picture 1515864623" descr="A black and blue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Pr="002E20E7">
      <w:rPr>
        <w:b/>
        <w:bCs/>
        <w:noProof/>
        <w:color w:val="FF0000"/>
        <w:sz w:val="28"/>
        <w:szCs w:val="28"/>
      </w:rPr>
      <w:drawing>
        <wp:anchor distT="0" distB="0" distL="114300" distR="114300" simplePos="0" relativeHeight="251661318" behindDoc="1" locked="0" layoutInCell="1" allowOverlap="1" wp14:anchorId="72696F6E" wp14:editId="0C67695C">
          <wp:simplePos x="0" y="0"/>
          <wp:positionH relativeFrom="column">
            <wp:posOffset>-900430</wp:posOffset>
          </wp:positionH>
          <wp:positionV relativeFrom="paragraph">
            <wp:posOffset>10362565</wp:posOffset>
          </wp:positionV>
          <wp:extent cx="7580630" cy="10691495"/>
          <wp:effectExtent l="0" t="0" r="1270" b="1905"/>
          <wp:wrapNone/>
          <wp:docPr id="155945620" name="Picture 155945620" descr="A black and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35387" name="Picture 1039835387" descr="A black and blue screen&#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Pr="002E20E7">
      <w:rPr>
        <w:rFonts w:cs="Open Sans Semibold"/>
        <w:b/>
        <w:bCs/>
        <w:noProof/>
        <w:color w:val="FF0000"/>
        <w:sz w:val="28"/>
        <w:szCs w:val="28"/>
        <w:lang w:val="en-US"/>
      </w:rPr>
      <w:drawing>
        <wp:anchor distT="0" distB="0" distL="114300" distR="114300" simplePos="0" relativeHeight="251660294" behindDoc="1" locked="0" layoutInCell="1" allowOverlap="1" wp14:anchorId="4EC77437" wp14:editId="50A5DC7F">
          <wp:simplePos x="0" y="0"/>
          <wp:positionH relativeFrom="column">
            <wp:posOffset>-1037590</wp:posOffset>
          </wp:positionH>
          <wp:positionV relativeFrom="paragraph">
            <wp:posOffset>10328275</wp:posOffset>
          </wp:positionV>
          <wp:extent cx="7683500" cy="10836275"/>
          <wp:effectExtent l="38100" t="38100" r="63500" b="34925"/>
          <wp:wrapNone/>
          <wp:docPr id="1790103636" name="Picture 1790103636" descr="A black and blu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8523" name="Picture 1250068523" descr="A black and blue corner&#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E20E7">
      <w:rPr>
        <w:b/>
        <w:bCs/>
        <w:color w:val="FF0000"/>
        <w:sz w:val="28"/>
        <w:szCs w:val="28"/>
      </w:rPr>
      <w:t xml:space="preserve"> </w:t>
    </w:r>
  </w:p>
  <w:p w14:paraId="3EC910C6" w14:textId="7896FBEE" w:rsidR="00FF35E8" w:rsidRDefault="00FF35E8" w:rsidP="00CF28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9816" w14:textId="04A74312" w:rsidR="005A6D5B" w:rsidRDefault="005A6D5B">
    <w:pPr>
      <w:pStyle w:val="Header"/>
    </w:pPr>
  </w:p>
  <w:p w14:paraId="48AACADB" w14:textId="77777777" w:rsidR="009904DA" w:rsidRDefault="009904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D0F6" w14:textId="687650A4" w:rsidR="0033168C" w:rsidRDefault="002E20E7" w:rsidP="002E20E7">
    <w:pPr>
      <w:pStyle w:val="Header"/>
      <w:jc w:val="right"/>
    </w:pPr>
    <w:r w:rsidRPr="009D2E84">
      <w:rPr>
        <w:noProof/>
      </w:rPr>
      <w:t xml:space="preserve"> </w:t>
    </w:r>
    <w:r w:rsidR="005567A9" w:rsidRPr="009D2E84">
      <w:rPr>
        <w:noProof/>
      </w:rPr>
      <w:drawing>
        <wp:anchor distT="0" distB="0" distL="114300" distR="114300" simplePos="0" relativeHeight="251658240" behindDoc="1" locked="1" layoutInCell="1" allowOverlap="1" wp14:anchorId="5484FAA1" wp14:editId="1E695737">
          <wp:simplePos x="0" y="0"/>
          <wp:positionH relativeFrom="page">
            <wp:align>left</wp:align>
          </wp:positionH>
          <wp:positionV relativeFrom="page">
            <wp:align>top</wp:align>
          </wp:positionV>
          <wp:extent cx="10677525" cy="10691495"/>
          <wp:effectExtent l="0" t="0" r="9525" b="0"/>
          <wp:wrapNone/>
          <wp:docPr id="802193294" name="Picture 80219329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77525" cy="10691495"/>
                  </a:xfrm>
                  <a:prstGeom prst="rect">
                    <a:avLst/>
                  </a:prstGeom>
                </pic:spPr>
              </pic:pic>
            </a:graphicData>
          </a:graphic>
          <wp14:sizeRelH relativeFrom="margin">
            <wp14:pctWidth>0</wp14:pctWidth>
          </wp14:sizeRelH>
          <wp14:sizeRelV relativeFrom="margin">
            <wp14:pctHeight>0</wp14:pctHeight>
          </wp14:sizeRelV>
        </wp:anchor>
      </w:drawing>
    </w:r>
  </w:p>
  <w:p w14:paraId="0A3CC88C" w14:textId="668EB355" w:rsidR="009904DA" w:rsidRDefault="009904D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CD259" w14:textId="2AA2EFAA" w:rsidR="009904DA" w:rsidRDefault="0027555D">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3CB9" w14:textId="77777777" w:rsidR="00BD07F6" w:rsidRDefault="00BD07F6">
    <w:pPr>
      <w:pStyle w:val="Header"/>
    </w:pPr>
    <w:r>
      <w:rPr>
        <w:noProof/>
      </w:rPr>
      <mc:AlternateContent>
        <mc:Choice Requires="wps">
          <w:drawing>
            <wp:anchor distT="0" distB="0" distL="0" distR="0" simplePos="0" relativeHeight="251658241" behindDoc="0" locked="0" layoutInCell="1" allowOverlap="1" wp14:anchorId="4A3C6290" wp14:editId="099E181D">
              <wp:simplePos x="635" y="635"/>
              <wp:positionH relativeFrom="page">
                <wp:align>center</wp:align>
              </wp:positionH>
              <wp:positionV relativeFrom="page">
                <wp:align>top</wp:align>
              </wp:positionV>
              <wp:extent cx="551815" cy="391160"/>
              <wp:effectExtent l="0" t="0" r="635" b="8890"/>
              <wp:wrapNone/>
              <wp:docPr id="4495789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137EE04" w14:textId="77777777" w:rsidR="00BD07F6" w:rsidRPr="005F1984" w:rsidRDefault="00BD07F6">
                          <w:pPr>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C6290" id="_x0000_t202" coordsize="21600,21600" o:spt="202" path="m,l,21600r21600,l21600,xe">
              <v:stroke joinstyle="miter"/>
              <v:path gradientshapeok="t" o:connecttype="rect"/>
            </v:shapetype>
            <v:shape id="Text Box 2" o:spid="_x0000_s1029"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137EE04" w14:textId="77777777" w:rsidR="00BD07F6" w:rsidRPr="005F1984" w:rsidRDefault="00BD07F6">
                    <w:pPr>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p>
  <w:p w14:paraId="54A7542E" w14:textId="77777777" w:rsidR="00BD07F6" w:rsidRDefault="00BD07F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0F27" w14:textId="5FE67D35" w:rsidR="00BD07F6" w:rsidRDefault="00BD07F6" w:rsidP="00D9195B">
    <w:pPr>
      <w:pStyle w:val="Header"/>
      <w:jc w:val="right"/>
    </w:pPr>
  </w:p>
  <w:p w14:paraId="485E096F" w14:textId="77777777" w:rsidR="00BD07F6" w:rsidRDefault="00BD07F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6514" w14:textId="7FF8DEF4" w:rsidR="00BD07F6" w:rsidRDefault="00BD07F6" w:rsidP="00D9195B">
    <w:pPr>
      <w:pStyle w:val="Header"/>
      <w:jc w:val="right"/>
    </w:pPr>
  </w:p>
  <w:p w14:paraId="28AFA7B4" w14:textId="77777777" w:rsidR="00BD07F6" w:rsidRDefault="00BD07F6"/>
</w:hdr>
</file>

<file path=word/intelligence2.xml><?xml version="1.0" encoding="utf-8"?>
<int2:intelligence xmlns:int2="http://schemas.microsoft.com/office/intelligence/2020/intelligence" xmlns:oel="http://schemas.microsoft.com/office/2019/extlst">
  <int2:observations>
    <int2:textHash int2:hashCode="iuS5sqF91GStF2" int2:id="5081kpnD">
      <int2:state int2:value="Rejected" int2:type="AugLoop_Text_Critique"/>
    </int2:textHash>
    <int2:textHash int2:hashCode="X74gMYMjJJjSdT" int2:id="mTR6ibay">
      <int2:state int2:value="Rejected" int2:type="AugLoop_Text_Critique"/>
    </int2:textHash>
    <int2:textHash int2:hashCode="a6aMzXkH4L3Yu/" int2:id="vehnYh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97618"/>
    <w:multiLevelType w:val="hybridMultilevel"/>
    <w:tmpl w:val="3FBC7816"/>
    <w:lvl w:ilvl="0" w:tplc="6002B20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E0450E"/>
    <w:multiLevelType w:val="hybridMultilevel"/>
    <w:tmpl w:val="2E7CB974"/>
    <w:lvl w:ilvl="0" w:tplc="0B66A1EE">
      <w:start w:val="7"/>
      <w:numFmt w:val="bullet"/>
      <w:lvlText w:val="-"/>
      <w:lvlJc w:val="left"/>
      <w:pPr>
        <w:ind w:left="720" w:hanging="360"/>
      </w:pPr>
      <w:rPr>
        <w:rFonts w:ascii="Work Sans" w:eastAsia="Times New Roman" w:hAnsi="Work San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5D1DBB"/>
    <w:multiLevelType w:val="hybridMultilevel"/>
    <w:tmpl w:val="A922E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F76C9D"/>
    <w:multiLevelType w:val="hybridMultilevel"/>
    <w:tmpl w:val="3E407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7745BA"/>
    <w:multiLevelType w:val="hybridMultilevel"/>
    <w:tmpl w:val="77F0A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903AC0"/>
    <w:multiLevelType w:val="hybridMultilevel"/>
    <w:tmpl w:val="14CEA936"/>
    <w:lvl w:ilvl="0" w:tplc="F4482D44">
      <w:numFmt w:val="bullet"/>
      <w:lvlText w:val="-"/>
      <w:lvlJc w:val="left"/>
      <w:pPr>
        <w:ind w:left="720" w:hanging="360"/>
      </w:pPr>
      <w:rPr>
        <w:rFonts w:ascii="Open Sans Light" w:eastAsia="Open Sans Light" w:hAnsi="Open Sans Light" w:cs="Open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F67CC6"/>
    <w:multiLevelType w:val="multilevel"/>
    <w:tmpl w:val="EB06D882"/>
    <w:name w:val="StandardNumberedList"/>
    <w:lvl w:ilvl="0">
      <w:start w:val="1"/>
      <w:numFmt w:val="decimal"/>
      <w:pStyle w:val="OutlineNumbered1"/>
      <w:lvlText w:val="%1"/>
      <w:lvlJc w:val="left"/>
      <w:pPr>
        <w:ind w:left="360" w:hanging="360"/>
      </w:pPr>
      <w:rPr>
        <w:rFonts w:ascii="Open Sans Light" w:hAnsi="Open Sans Light" w:hint="default"/>
        <w:b w:val="0"/>
        <w:i w:val="0"/>
        <w:caps w:val="0"/>
        <w:strike w:val="0"/>
        <w:dstrike w:val="0"/>
        <w:vanish w:val="0"/>
        <w:color w:val="000000" w:themeColor="text1"/>
        <w:sz w:val="20"/>
        <w:vertAlign w:val="baseline"/>
      </w:r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16332F"/>
    <w:multiLevelType w:val="hybridMultilevel"/>
    <w:tmpl w:val="84761058"/>
    <w:lvl w:ilvl="0" w:tplc="9468E334">
      <w:start w:val="1"/>
      <w:numFmt w:val="bullet"/>
      <w:pStyle w:val="Bulletpointsublevel"/>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EA4165B"/>
    <w:multiLevelType w:val="hybridMultilevel"/>
    <w:tmpl w:val="CC6264F2"/>
    <w:lvl w:ilvl="0" w:tplc="0C090001">
      <w:start w:val="1"/>
      <w:numFmt w:val="bullet"/>
      <w:lvlText w:val=""/>
      <w:lvlJc w:val="left"/>
      <w:pPr>
        <w:ind w:left="720" w:hanging="360"/>
      </w:pPr>
      <w:rPr>
        <w:rFonts w:ascii="Symbol" w:hAnsi="Symbol" w:hint="default"/>
      </w:rPr>
    </w:lvl>
    <w:lvl w:ilvl="1" w:tplc="50A081D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4618FF"/>
    <w:multiLevelType w:val="hybridMultilevel"/>
    <w:tmpl w:val="1FBE1C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CE5936"/>
    <w:multiLevelType w:val="hybridMultilevel"/>
    <w:tmpl w:val="6FC0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511CFA"/>
    <w:multiLevelType w:val="hybridMultilevel"/>
    <w:tmpl w:val="5F245DC8"/>
    <w:lvl w:ilvl="0" w:tplc="305A407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6E299B"/>
    <w:multiLevelType w:val="multilevel"/>
    <w:tmpl w:val="957C2ED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34F250"/>
    <w:multiLevelType w:val="hybridMultilevel"/>
    <w:tmpl w:val="37EA8F86"/>
    <w:lvl w:ilvl="0" w:tplc="7040E422">
      <w:start w:val="1"/>
      <w:numFmt w:val="bullet"/>
      <w:lvlText w:val=""/>
      <w:lvlJc w:val="left"/>
      <w:pPr>
        <w:ind w:left="720" w:hanging="360"/>
      </w:pPr>
      <w:rPr>
        <w:rFonts w:ascii="Symbol" w:hAnsi="Symbol" w:hint="default"/>
      </w:rPr>
    </w:lvl>
    <w:lvl w:ilvl="1" w:tplc="A8647FE4">
      <w:start w:val="1"/>
      <w:numFmt w:val="bullet"/>
      <w:lvlText w:val="o"/>
      <w:lvlJc w:val="left"/>
      <w:pPr>
        <w:ind w:left="1440" w:hanging="360"/>
      </w:pPr>
      <w:rPr>
        <w:rFonts w:ascii="Courier New" w:hAnsi="Courier New" w:hint="default"/>
      </w:rPr>
    </w:lvl>
    <w:lvl w:ilvl="2" w:tplc="BA8E8754">
      <w:start w:val="1"/>
      <w:numFmt w:val="bullet"/>
      <w:lvlText w:val=""/>
      <w:lvlJc w:val="left"/>
      <w:pPr>
        <w:ind w:left="2160" w:hanging="360"/>
      </w:pPr>
      <w:rPr>
        <w:rFonts w:ascii="Wingdings" w:hAnsi="Wingdings" w:hint="default"/>
      </w:rPr>
    </w:lvl>
    <w:lvl w:ilvl="3" w:tplc="4208B59A">
      <w:start w:val="1"/>
      <w:numFmt w:val="bullet"/>
      <w:lvlText w:val=""/>
      <w:lvlJc w:val="left"/>
      <w:pPr>
        <w:ind w:left="2880" w:hanging="360"/>
      </w:pPr>
      <w:rPr>
        <w:rFonts w:ascii="Symbol" w:hAnsi="Symbol" w:hint="default"/>
      </w:rPr>
    </w:lvl>
    <w:lvl w:ilvl="4" w:tplc="726E4762">
      <w:start w:val="1"/>
      <w:numFmt w:val="bullet"/>
      <w:lvlText w:val="o"/>
      <w:lvlJc w:val="left"/>
      <w:pPr>
        <w:ind w:left="3600" w:hanging="360"/>
      </w:pPr>
      <w:rPr>
        <w:rFonts w:ascii="Courier New" w:hAnsi="Courier New" w:hint="default"/>
      </w:rPr>
    </w:lvl>
    <w:lvl w:ilvl="5" w:tplc="E3E429CE">
      <w:start w:val="1"/>
      <w:numFmt w:val="bullet"/>
      <w:lvlText w:val=""/>
      <w:lvlJc w:val="left"/>
      <w:pPr>
        <w:ind w:left="4320" w:hanging="360"/>
      </w:pPr>
      <w:rPr>
        <w:rFonts w:ascii="Wingdings" w:hAnsi="Wingdings" w:hint="default"/>
      </w:rPr>
    </w:lvl>
    <w:lvl w:ilvl="6" w:tplc="40E03476">
      <w:start w:val="1"/>
      <w:numFmt w:val="bullet"/>
      <w:lvlText w:val=""/>
      <w:lvlJc w:val="left"/>
      <w:pPr>
        <w:ind w:left="5040" w:hanging="360"/>
      </w:pPr>
      <w:rPr>
        <w:rFonts w:ascii="Symbol" w:hAnsi="Symbol" w:hint="default"/>
      </w:rPr>
    </w:lvl>
    <w:lvl w:ilvl="7" w:tplc="1A8CD2A6">
      <w:start w:val="1"/>
      <w:numFmt w:val="bullet"/>
      <w:lvlText w:val="o"/>
      <w:lvlJc w:val="left"/>
      <w:pPr>
        <w:ind w:left="5760" w:hanging="360"/>
      </w:pPr>
      <w:rPr>
        <w:rFonts w:ascii="Courier New" w:hAnsi="Courier New" w:hint="default"/>
      </w:rPr>
    </w:lvl>
    <w:lvl w:ilvl="8" w:tplc="A90CD132">
      <w:start w:val="1"/>
      <w:numFmt w:val="bullet"/>
      <w:lvlText w:val=""/>
      <w:lvlJc w:val="left"/>
      <w:pPr>
        <w:ind w:left="6480" w:hanging="360"/>
      </w:pPr>
      <w:rPr>
        <w:rFonts w:ascii="Wingdings" w:hAnsi="Wingdings" w:hint="default"/>
      </w:rPr>
    </w:lvl>
  </w:abstractNum>
  <w:abstractNum w:abstractNumId="14" w15:restartNumberingAfterBreak="0">
    <w:nsid w:val="4DBA2B53"/>
    <w:multiLevelType w:val="hybridMultilevel"/>
    <w:tmpl w:val="9DDEF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C4403D"/>
    <w:multiLevelType w:val="multilevel"/>
    <w:tmpl w:val="AAA639D6"/>
    <w:name w:val="StandardBulletedList"/>
    <w:lvl w:ilvl="0">
      <w:start w:val="1"/>
      <w:numFmt w:val="bullet"/>
      <w:pStyle w:val="Bulletagendapaper"/>
      <w:lvlText w:val=""/>
      <w:lvlJc w:val="left"/>
      <w:pPr>
        <w:ind w:left="927" w:hanging="360"/>
      </w:pPr>
      <w:rPr>
        <w:rFonts w:ascii="Symbol" w:hAnsi="Symbol" w:hint="default"/>
        <w:color w:val="636466"/>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0003647"/>
    <w:multiLevelType w:val="hybridMultilevel"/>
    <w:tmpl w:val="48B0E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5C6229"/>
    <w:multiLevelType w:val="hybridMultilevel"/>
    <w:tmpl w:val="3838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6D4E5E"/>
    <w:multiLevelType w:val="hybridMultilevel"/>
    <w:tmpl w:val="7CD6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5C441C"/>
    <w:multiLevelType w:val="hybridMultilevel"/>
    <w:tmpl w:val="42226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3105C5"/>
    <w:multiLevelType w:val="hybridMultilevel"/>
    <w:tmpl w:val="3260D5DC"/>
    <w:lvl w:ilvl="0" w:tplc="926802FC">
      <w:start w:val="1"/>
      <w:numFmt w:val="decimal"/>
      <w:pStyle w:val="CGCParaNumb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C0442A0"/>
    <w:multiLevelType w:val="hybridMultilevel"/>
    <w:tmpl w:val="FFFFFFFF"/>
    <w:lvl w:ilvl="0" w:tplc="AA4E2258">
      <w:start w:val="1"/>
      <w:numFmt w:val="bullet"/>
      <w:lvlText w:val="-"/>
      <w:lvlJc w:val="left"/>
      <w:pPr>
        <w:ind w:left="720" w:hanging="360"/>
      </w:pPr>
      <w:rPr>
        <w:rFonts w:ascii="Calibri" w:hAnsi="Calibri" w:hint="default"/>
      </w:rPr>
    </w:lvl>
    <w:lvl w:ilvl="1" w:tplc="DB46B160">
      <w:start w:val="1"/>
      <w:numFmt w:val="bullet"/>
      <w:lvlText w:val="o"/>
      <w:lvlJc w:val="left"/>
      <w:pPr>
        <w:ind w:left="1440" w:hanging="360"/>
      </w:pPr>
      <w:rPr>
        <w:rFonts w:ascii="Courier New" w:hAnsi="Courier New" w:hint="default"/>
      </w:rPr>
    </w:lvl>
    <w:lvl w:ilvl="2" w:tplc="425065E8">
      <w:start w:val="1"/>
      <w:numFmt w:val="bullet"/>
      <w:lvlText w:val=""/>
      <w:lvlJc w:val="left"/>
      <w:pPr>
        <w:ind w:left="2160" w:hanging="360"/>
      </w:pPr>
      <w:rPr>
        <w:rFonts w:ascii="Wingdings" w:hAnsi="Wingdings" w:hint="default"/>
      </w:rPr>
    </w:lvl>
    <w:lvl w:ilvl="3" w:tplc="0EF070E2">
      <w:start w:val="1"/>
      <w:numFmt w:val="bullet"/>
      <w:lvlText w:val=""/>
      <w:lvlJc w:val="left"/>
      <w:pPr>
        <w:ind w:left="2880" w:hanging="360"/>
      </w:pPr>
      <w:rPr>
        <w:rFonts w:ascii="Symbol" w:hAnsi="Symbol" w:hint="default"/>
      </w:rPr>
    </w:lvl>
    <w:lvl w:ilvl="4" w:tplc="E8EEAF08">
      <w:start w:val="1"/>
      <w:numFmt w:val="bullet"/>
      <w:lvlText w:val="o"/>
      <w:lvlJc w:val="left"/>
      <w:pPr>
        <w:ind w:left="3600" w:hanging="360"/>
      </w:pPr>
      <w:rPr>
        <w:rFonts w:ascii="Courier New" w:hAnsi="Courier New" w:hint="default"/>
      </w:rPr>
    </w:lvl>
    <w:lvl w:ilvl="5" w:tplc="7D30F6F8">
      <w:start w:val="1"/>
      <w:numFmt w:val="bullet"/>
      <w:lvlText w:val=""/>
      <w:lvlJc w:val="left"/>
      <w:pPr>
        <w:ind w:left="4320" w:hanging="360"/>
      </w:pPr>
      <w:rPr>
        <w:rFonts w:ascii="Wingdings" w:hAnsi="Wingdings" w:hint="default"/>
      </w:rPr>
    </w:lvl>
    <w:lvl w:ilvl="6" w:tplc="5128025C">
      <w:start w:val="1"/>
      <w:numFmt w:val="bullet"/>
      <w:lvlText w:val=""/>
      <w:lvlJc w:val="left"/>
      <w:pPr>
        <w:ind w:left="5040" w:hanging="360"/>
      </w:pPr>
      <w:rPr>
        <w:rFonts w:ascii="Symbol" w:hAnsi="Symbol" w:hint="default"/>
      </w:rPr>
    </w:lvl>
    <w:lvl w:ilvl="7" w:tplc="056C3E94">
      <w:start w:val="1"/>
      <w:numFmt w:val="bullet"/>
      <w:lvlText w:val="o"/>
      <w:lvlJc w:val="left"/>
      <w:pPr>
        <w:ind w:left="5760" w:hanging="360"/>
      </w:pPr>
      <w:rPr>
        <w:rFonts w:ascii="Courier New" w:hAnsi="Courier New" w:hint="default"/>
      </w:rPr>
    </w:lvl>
    <w:lvl w:ilvl="8" w:tplc="2402DDC4">
      <w:start w:val="1"/>
      <w:numFmt w:val="bullet"/>
      <w:lvlText w:val=""/>
      <w:lvlJc w:val="left"/>
      <w:pPr>
        <w:ind w:left="6480" w:hanging="360"/>
      </w:pPr>
      <w:rPr>
        <w:rFonts w:ascii="Wingdings" w:hAnsi="Wingdings" w:hint="default"/>
      </w:rPr>
    </w:lvl>
  </w:abstractNum>
  <w:num w:numId="1" w16cid:durableId="1177840774">
    <w:abstractNumId w:val="11"/>
  </w:num>
  <w:num w:numId="2" w16cid:durableId="914707077">
    <w:abstractNumId w:val="0"/>
  </w:num>
  <w:num w:numId="3" w16cid:durableId="1701784839">
    <w:abstractNumId w:val="7"/>
  </w:num>
  <w:num w:numId="4" w16cid:durableId="1829009630">
    <w:abstractNumId w:val="15"/>
  </w:num>
  <w:num w:numId="5" w16cid:durableId="1239092046">
    <w:abstractNumId w:val="1"/>
  </w:num>
  <w:num w:numId="6" w16cid:durableId="782384864">
    <w:abstractNumId w:val="13"/>
  </w:num>
  <w:num w:numId="7" w16cid:durableId="872227964">
    <w:abstractNumId w:val="16"/>
  </w:num>
  <w:num w:numId="8" w16cid:durableId="1256741263">
    <w:abstractNumId w:val="19"/>
  </w:num>
  <w:num w:numId="9" w16cid:durableId="2131850708">
    <w:abstractNumId w:val="18"/>
  </w:num>
  <w:num w:numId="10" w16cid:durableId="725491789">
    <w:abstractNumId w:val="17"/>
  </w:num>
  <w:num w:numId="11" w16cid:durableId="709955795">
    <w:abstractNumId w:val="14"/>
  </w:num>
  <w:num w:numId="12" w16cid:durableId="667442585">
    <w:abstractNumId w:val="9"/>
  </w:num>
  <w:num w:numId="13" w16cid:durableId="1697609810">
    <w:abstractNumId w:val="10"/>
  </w:num>
  <w:num w:numId="14" w16cid:durableId="1382512411">
    <w:abstractNumId w:val="3"/>
  </w:num>
  <w:num w:numId="15" w16cid:durableId="733703272">
    <w:abstractNumId w:val="8"/>
  </w:num>
  <w:num w:numId="16" w16cid:durableId="844366090">
    <w:abstractNumId w:val="2"/>
  </w:num>
  <w:num w:numId="17" w16cid:durableId="1382174846">
    <w:abstractNumId w:val="4"/>
  </w:num>
  <w:num w:numId="18" w16cid:durableId="20397206">
    <w:abstractNumId w:val="5"/>
  </w:num>
  <w:num w:numId="19" w16cid:durableId="587539260">
    <w:abstractNumId w:val="21"/>
  </w:num>
  <w:num w:numId="20" w16cid:durableId="2040079065">
    <w:abstractNumId w:val="12"/>
  </w:num>
  <w:num w:numId="21" w16cid:durableId="1873229391">
    <w:abstractNumId w:val="0"/>
    <w:lvlOverride w:ilvl="0">
      <w:startOverride w:val="1"/>
    </w:lvlOverride>
  </w:num>
  <w:num w:numId="22" w16cid:durableId="1558320942">
    <w:abstractNumId w:val="20"/>
  </w:num>
  <w:num w:numId="23" w16cid:durableId="98867798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841"/>
    <w:rsid w:val="0000075A"/>
    <w:rsid w:val="0000096E"/>
    <w:rsid w:val="00000A2E"/>
    <w:rsid w:val="00000E28"/>
    <w:rsid w:val="00000E7F"/>
    <w:rsid w:val="00000F1E"/>
    <w:rsid w:val="00000FA7"/>
    <w:rsid w:val="0000107A"/>
    <w:rsid w:val="00001871"/>
    <w:rsid w:val="00001AE8"/>
    <w:rsid w:val="00001B32"/>
    <w:rsid w:val="00001E30"/>
    <w:rsid w:val="00001FC0"/>
    <w:rsid w:val="000020E7"/>
    <w:rsid w:val="00002524"/>
    <w:rsid w:val="0000295D"/>
    <w:rsid w:val="00002B94"/>
    <w:rsid w:val="00003167"/>
    <w:rsid w:val="00003332"/>
    <w:rsid w:val="000035E0"/>
    <w:rsid w:val="0000361B"/>
    <w:rsid w:val="000036D4"/>
    <w:rsid w:val="0000375A"/>
    <w:rsid w:val="00003CFC"/>
    <w:rsid w:val="0000407E"/>
    <w:rsid w:val="000043ED"/>
    <w:rsid w:val="00004D80"/>
    <w:rsid w:val="00004DFE"/>
    <w:rsid w:val="00004E5A"/>
    <w:rsid w:val="0000526D"/>
    <w:rsid w:val="0000527D"/>
    <w:rsid w:val="00005295"/>
    <w:rsid w:val="00005416"/>
    <w:rsid w:val="00005497"/>
    <w:rsid w:val="00005595"/>
    <w:rsid w:val="0000580E"/>
    <w:rsid w:val="000058A7"/>
    <w:rsid w:val="00005954"/>
    <w:rsid w:val="00005BDC"/>
    <w:rsid w:val="00005DA5"/>
    <w:rsid w:val="00005F6F"/>
    <w:rsid w:val="000060AE"/>
    <w:rsid w:val="00006311"/>
    <w:rsid w:val="0000634C"/>
    <w:rsid w:val="0000638A"/>
    <w:rsid w:val="00006406"/>
    <w:rsid w:val="00006438"/>
    <w:rsid w:val="000065A8"/>
    <w:rsid w:val="000066F6"/>
    <w:rsid w:val="00006806"/>
    <w:rsid w:val="00006813"/>
    <w:rsid w:val="00006823"/>
    <w:rsid w:val="00006C6E"/>
    <w:rsid w:val="00006E10"/>
    <w:rsid w:val="00006EFC"/>
    <w:rsid w:val="000070FC"/>
    <w:rsid w:val="00007143"/>
    <w:rsid w:val="0000715E"/>
    <w:rsid w:val="000073CB"/>
    <w:rsid w:val="0000740F"/>
    <w:rsid w:val="0000788D"/>
    <w:rsid w:val="00007F41"/>
    <w:rsid w:val="000103F3"/>
    <w:rsid w:val="000104EF"/>
    <w:rsid w:val="000107E3"/>
    <w:rsid w:val="00010E26"/>
    <w:rsid w:val="00010F1E"/>
    <w:rsid w:val="00011257"/>
    <w:rsid w:val="00011352"/>
    <w:rsid w:val="00011471"/>
    <w:rsid w:val="00011493"/>
    <w:rsid w:val="00011590"/>
    <w:rsid w:val="00011682"/>
    <w:rsid w:val="000119EB"/>
    <w:rsid w:val="00011B18"/>
    <w:rsid w:val="00011B19"/>
    <w:rsid w:val="00011B5D"/>
    <w:rsid w:val="00011D91"/>
    <w:rsid w:val="00011F0F"/>
    <w:rsid w:val="00011F22"/>
    <w:rsid w:val="00011FFE"/>
    <w:rsid w:val="00012137"/>
    <w:rsid w:val="00012437"/>
    <w:rsid w:val="00012488"/>
    <w:rsid w:val="00012556"/>
    <w:rsid w:val="00012968"/>
    <w:rsid w:val="00012A4E"/>
    <w:rsid w:val="00012ACD"/>
    <w:rsid w:val="00012C59"/>
    <w:rsid w:val="00012DF2"/>
    <w:rsid w:val="00012DF6"/>
    <w:rsid w:val="00012F49"/>
    <w:rsid w:val="00013071"/>
    <w:rsid w:val="00013093"/>
    <w:rsid w:val="00013180"/>
    <w:rsid w:val="000131F7"/>
    <w:rsid w:val="000132B1"/>
    <w:rsid w:val="000134C6"/>
    <w:rsid w:val="000135F1"/>
    <w:rsid w:val="000139B5"/>
    <w:rsid w:val="00013A61"/>
    <w:rsid w:val="00013E89"/>
    <w:rsid w:val="00013F43"/>
    <w:rsid w:val="0001414D"/>
    <w:rsid w:val="00014205"/>
    <w:rsid w:val="0001452E"/>
    <w:rsid w:val="00014628"/>
    <w:rsid w:val="0001465C"/>
    <w:rsid w:val="00014690"/>
    <w:rsid w:val="000146C8"/>
    <w:rsid w:val="00014740"/>
    <w:rsid w:val="00014789"/>
    <w:rsid w:val="00014DA6"/>
    <w:rsid w:val="00015308"/>
    <w:rsid w:val="00015858"/>
    <w:rsid w:val="00015AC6"/>
    <w:rsid w:val="00015C29"/>
    <w:rsid w:val="00015FC7"/>
    <w:rsid w:val="000162B3"/>
    <w:rsid w:val="0001659F"/>
    <w:rsid w:val="00016984"/>
    <w:rsid w:val="00016A0C"/>
    <w:rsid w:val="00016D8B"/>
    <w:rsid w:val="00016F50"/>
    <w:rsid w:val="00017295"/>
    <w:rsid w:val="00017BB8"/>
    <w:rsid w:val="00017E7C"/>
    <w:rsid w:val="00020224"/>
    <w:rsid w:val="000204DD"/>
    <w:rsid w:val="0002058E"/>
    <w:rsid w:val="000207F2"/>
    <w:rsid w:val="000208D5"/>
    <w:rsid w:val="0002096E"/>
    <w:rsid w:val="000209A4"/>
    <w:rsid w:val="00021117"/>
    <w:rsid w:val="000211B0"/>
    <w:rsid w:val="000211E8"/>
    <w:rsid w:val="0002132B"/>
    <w:rsid w:val="000213B8"/>
    <w:rsid w:val="000213D0"/>
    <w:rsid w:val="0002151A"/>
    <w:rsid w:val="0002153F"/>
    <w:rsid w:val="00021606"/>
    <w:rsid w:val="00021704"/>
    <w:rsid w:val="00021781"/>
    <w:rsid w:val="00021C03"/>
    <w:rsid w:val="00021FFE"/>
    <w:rsid w:val="000226B7"/>
    <w:rsid w:val="00022917"/>
    <w:rsid w:val="00022B3E"/>
    <w:rsid w:val="00022C0B"/>
    <w:rsid w:val="00022F6D"/>
    <w:rsid w:val="00022F6E"/>
    <w:rsid w:val="00023388"/>
    <w:rsid w:val="0002356B"/>
    <w:rsid w:val="000236D4"/>
    <w:rsid w:val="00023797"/>
    <w:rsid w:val="00023998"/>
    <w:rsid w:val="00023A05"/>
    <w:rsid w:val="00023B36"/>
    <w:rsid w:val="00023C36"/>
    <w:rsid w:val="00023E31"/>
    <w:rsid w:val="00023EDC"/>
    <w:rsid w:val="00024224"/>
    <w:rsid w:val="000246AD"/>
    <w:rsid w:val="00024804"/>
    <w:rsid w:val="00024956"/>
    <w:rsid w:val="00024AF8"/>
    <w:rsid w:val="00024B56"/>
    <w:rsid w:val="00024BE1"/>
    <w:rsid w:val="00024D30"/>
    <w:rsid w:val="00025485"/>
    <w:rsid w:val="000256A9"/>
    <w:rsid w:val="00025768"/>
    <w:rsid w:val="00025A6B"/>
    <w:rsid w:val="00025A7A"/>
    <w:rsid w:val="00025E88"/>
    <w:rsid w:val="00025EE9"/>
    <w:rsid w:val="00025F9D"/>
    <w:rsid w:val="00025FE2"/>
    <w:rsid w:val="0002617A"/>
    <w:rsid w:val="000265B2"/>
    <w:rsid w:val="00026ADF"/>
    <w:rsid w:val="00026B22"/>
    <w:rsid w:val="00026B38"/>
    <w:rsid w:val="00026CCC"/>
    <w:rsid w:val="00026F5A"/>
    <w:rsid w:val="000274A1"/>
    <w:rsid w:val="000277A6"/>
    <w:rsid w:val="00027891"/>
    <w:rsid w:val="0002789B"/>
    <w:rsid w:val="00027BF9"/>
    <w:rsid w:val="00027DE4"/>
    <w:rsid w:val="0003021D"/>
    <w:rsid w:val="0003031B"/>
    <w:rsid w:val="00030584"/>
    <w:rsid w:val="0003060C"/>
    <w:rsid w:val="0003072F"/>
    <w:rsid w:val="00030D32"/>
    <w:rsid w:val="00030EFC"/>
    <w:rsid w:val="0003145F"/>
    <w:rsid w:val="00031B13"/>
    <w:rsid w:val="00031D57"/>
    <w:rsid w:val="00031E1A"/>
    <w:rsid w:val="00031EE3"/>
    <w:rsid w:val="000323A4"/>
    <w:rsid w:val="000326C6"/>
    <w:rsid w:val="000327EF"/>
    <w:rsid w:val="0003288B"/>
    <w:rsid w:val="00032940"/>
    <w:rsid w:val="00032A2D"/>
    <w:rsid w:val="000330F1"/>
    <w:rsid w:val="000333E6"/>
    <w:rsid w:val="00033417"/>
    <w:rsid w:val="0003344A"/>
    <w:rsid w:val="00033696"/>
    <w:rsid w:val="000337B6"/>
    <w:rsid w:val="00033ACF"/>
    <w:rsid w:val="00033C03"/>
    <w:rsid w:val="000340DE"/>
    <w:rsid w:val="00034101"/>
    <w:rsid w:val="00034133"/>
    <w:rsid w:val="0003419B"/>
    <w:rsid w:val="0003425D"/>
    <w:rsid w:val="000345A1"/>
    <w:rsid w:val="0003463B"/>
    <w:rsid w:val="000348EB"/>
    <w:rsid w:val="00034C41"/>
    <w:rsid w:val="00034CA2"/>
    <w:rsid w:val="00034DBB"/>
    <w:rsid w:val="00035231"/>
    <w:rsid w:val="0003597B"/>
    <w:rsid w:val="000359E3"/>
    <w:rsid w:val="00035A95"/>
    <w:rsid w:val="000360D0"/>
    <w:rsid w:val="000362E0"/>
    <w:rsid w:val="0003638A"/>
    <w:rsid w:val="000364FB"/>
    <w:rsid w:val="00036C7D"/>
    <w:rsid w:val="00036F2C"/>
    <w:rsid w:val="000370FC"/>
    <w:rsid w:val="00037959"/>
    <w:rsid w:val="0003797E"/>
    <w:rsid w:val="00037AB7"/>
    <w:rsid w:val="0004016A"/>
    <w:rsid w:val="00040514"/>
    <w:rsid w:val="00040606"/>
    <w:rsid w:val="000407EA"/>
    <w:rsid w:val="00040ABA"/>
    <w:rsid w:val="00040BB4"/>
    <w:rsid w:val="00040DE7"/>
    <w:rsid w:val="00040F5D"/>
    <w:rsid w:val="000410FD"/>
    <w:rsid w:val="0004120D"/>
    <w:rsid w:val="00041303"/>
    <w:rsid w:val="000414EB"/>
    <w:rsid w:val="00041668"/>
    <w:rsid w:val="000417D2"/>
    <w:rsid w:val="0004184E"/>
    <w:rsid w:val="00041B06"/>
    <w:rsid w:val="00041B91"/>
    <w:rsid w:val="000424F7"/>
    <w:rsid w:val="00042506"/>
    <w:rsid w:val="00042699"/>
    <w:rsid w:val="00042770"/>
    <w:rsid w:val="000428F0"/>
    <w:rsid w:val="000429FC"/>
    <w:rsid w:val="00042C40"/>
    <w:rsid w:val="00042C81"/>
    <w:rsid w:val="00042F27"/>
    <w:rsid w:val="0004322C"/>
    <w:rsid w:val="0004348C"/>
    <w:rsid w:val="00043592"/>
    <w:rsid w:val="000435E3"/>
    <w:rsid w:val="000436BE"/>
    <w:rsid w:val="000436F7"/>
    <w:rsid w:val="0004371F"/>
    <w:rsid w:val="00043B5B"/>
    <w:rsid w:val="00043B80"/>
    <w:rsid w:val="00043C23"/>
    <w:rsid w:val="00043C6D"/>
    <w:rsid w:val="00043F30"/>
    <w:rsid w:val="00043F7C"/>
    <w:rsid w:val="00044536"/>
    <w:rsid w:val="00044630"/>
    <w:rsid w:val="000447F3"/>
    <w:rsid w:val="000448C0"/>
    <w:rsid w:val="00044CDC"/>
    <w:rsid w:val="000451B6"/>
    <w:rsid w:val="000453AE"/>
    <w:rsid w:val="0004566C"/>
    <w:rsid w:val="00045AD7"/>
    <w:rsid w:val="00045B69"/>
    <w:rsid w:val="00045B9C"/>
    <w:rsid w:val="00045CDA"/>
    <w:rsid w:val="00045DA7"/>
    <w:rsid w:val="00045E87"/>
    <w:rsid w:val="00045F49"/>
    <w:rsid w:val="0004644F"/>
    <w:rsid w:val="0004653B"/>
    <w:rsid w:val="000467BD"/>
    <w:rsid w:val="00046910"/>
    <w:rsid w:val="00046A0A"/>
    <w:rsid w:val="00046ACA"/>
    <w:rsid w:val="00046CE0"/>
    <w:rsid w:val="00046F49"/>
    <w:rsid w:val="0004734A"/>
    <w:rsid w:val="000475A2"/>
    <w:rsid w:val="000477AC"/>
    <w:rsid w:val="000478CF"/>
    <w:rsid w:val="00047911"/>
    <w:rsid w:val="0004799D"/>
    <w:rsid w:val="00047D60"/>
    <w:rsid w:val="00047DCE"/>
    <w:rsid w:val="00047E52"/>
    <w:rsid w:val="00047FFB"/>
    <w:rsid w:val="000501A6"/>
    <w:rsid w:val="0005048A"/>
    <w:rsid w:val="00050608"/>
    <w:rsid w:val="0005068B"/>
    <w:rsid w:val="0005080B"/>
    <w:rsid w:val="0005104E"/>
    <w:rsid w:val="000510AF"/>
    <w:rsid w:val="000511C0"/>
    <w:rsid w:val="000511C1"/>
    <w:rsid w:val="0005132C"/>
    <w:rsid w:val="000514F0"/>
    <w:rsid w:val="00051860"/>
    <w:rsid w:val="00051887"/>
    <w:rsid w:val="00051DEC"/>
    <w:rsid w:val="00051E38"/>
    <w:rsid w:val="00051E85"/>
    <w:rsid w:val="00051F8F"/>
    <w:rsid w:val="00052125"/>
    <w:rsid w:val="000526BB"/>
    <w:rsid w:val="0005274B"/>
    <w:rsid w:val="00052864"/>
    <w:rsid w:val="00052F17"/>
    <w:rsid w:val="00052F62"/>
    <w:rsid w:val="00053028"/>
    <w:rsid w:val="0005310D"/>
    <w:rsid w:val="00053144"/>
    <w:rsid w:val="000534EE"/>
    <w:rsid w:val="000537B5"/>
    <w:rsid w:val="00053DCB"/>
    <w:rsid w:val="00053F97"/>
    <w:rsid w:val="00054408"/>
    <w:rsid w:val="00054454"/>
    <w:rsid w:val="000544DF"/>
    <w:rsid w:val="00054772"/>
    <w:rsid w:val="000547E7"/>
    <w:rsid w:val="00054926"/>
    <w:rsid w:val="00054A14"/>
    <w:rsid w:val="00054B5A"/>
    <w:rsid w:val="00054D23"/>
    <w:rsid w:val="00054D5D"/>
    <w:rsid w:val="00054EE9"/>
    <w:rsid w:val="00054EFF"/>
    <w:rsid w:val="000553F4"/>
    <w:rsid w:val="000554B0"/>
    <w:rsid w:val="0005570D"/>
    <w:rsid w:val="00055746"/>
    <w:rsid w:val="0005579C"/>
    <w:rsid w:val="000558E0"/>
    <w:rsid w:val="00055A59"/>
    <w:rsid w:val="00055C7C"/>
    <w:rsid w:val="00055EB9"/>
    <w:rsid w:val="0005613C"/>
    <w:rsid w:val="0005616C"/>
    <w:rsid w:val="0005638B"/>
    <w:rsid w:val="00056426"/>
    <w:rsid w:val="000567AA"/>
    <w:rsid w:val="0005696E"/>
    <w:rsid w:val="000569BA"/>
    <w:rsid w:val="00056A26"/>
    <w:rsid w:val="00056C20"/>
    <w:rsid w:val="00056CE0"/>
    <w:rsid w:val="00056D73"/>
    <w:rsid w:val="000570AC"/>
    <w:rsid w:val="000572A5"/>
    <w:rsid w:val="000572DE"/>
    <w:rsid w:val="000574FF"/>
    <w:rsid w:val="00057507"/>
    <w:rsid w:val="0005760F"/>
    <w:rsid w:val="000576E1"/>
    <w:rsid w:val="00057731"/>
    <w:rsid w:val="00057940"/>
    <w:rsid w:val="00057A77"/>
    <w:rsid w:val="00057C0C"/>
    <w:rsid w:val="00057ECB"/>
    <w:rsid w:val="000600F9"/>
    <w:rsid w:val="000603B3"/>
    <w:rsid w:val="00060734"/>
    <w:rsid w:val="000607F9"/>
    <w:rsid w:val="00060845"/>
    <w:rsid w:val="00060A26"/>
    <w:rsid w:val="00060CAA"/>
    <w:rsid w:val="00060F42"/>
    <w:rsid w:val="00060FF5"/>
    <w:rsid w:val="0006144F"/>
    <w:rsid w:val="000614C4"/>
    <w:rsid w:val="0006160D"/>
    <w:rsid w:val="00061693"/>
    <w:rsid w:val="0006184F"/>
    <w:rsid w:val="000618FA"/>
    <w:rsid w:val="000618FE"/>
    <w:rsid w:val="0006192A"/>
    <w:rsid w:val="00061B82"/>
    <w:rsid w:val="00061FF4"/>
    <w:rsid w:val="000622C1"/>
    <w:rsid w:val="0006230F"/>
    <w:rsid w:val="0006233D"/>
    <w:rsid w:val="0006240A"/>
    <w:rsid w:val="0006248E"/>
    <w:rsid w:val="000628AD"/>
    <w:rsid w:val="00062A16"/>
    <w:rsid w:val="00062AF7"/>
    <w:rsid w:val="00062D1A"/>
    <w:rsid w:val="00062D75"/>
    <w:rsid w:val="00062E72"/>
    <w:rsid w:val="00063003"/>
    <w:rsid w:val="000631E2"/>
    <w:rsid w:val="000637A1"/>
    <w:rsid w:val="000637A7"/>
    <w:rsid w:val="00063854"/>
    <w:rsid w:val="00063937"/>
    <w:rsid w:val="00063989"/>
    <w:rsid w:val="00063AB3"/>
    <w:rsid w:val="00063DB5"/>
    <w:rsid w:val="00063DCE"/>
    <w:rsid w:val="00063F1A"/>
    <w:rsid w:val="00063FD0"/>
    <w:rsid w:val="00064057"/>
    <w:rsid w:val="0006410E"/>
    <w:rsid w:val="000643DC"/>
    <w:rsid w:val="000646EE"/>
    <w:rsid w:val="00064776"/>
    <w:rsid w:val="00064D08"/>
    <w:rsid w:val="00065142"/>
    <w:rsid w:val="00065260"/>
    <w:rsid w:val="000654B7"/>
    <w:rsid w:val="00065D34"/>
    <w:rsid w:val="00065DA9"/>
    <w:rsid w:val="00065DDE"/>
    <w:rsid w:val="00065F21"/>
    <w:rsid w:val="00065F23"/>
    <w:rsid w:val="00066425"/>
    <w:rsid w:val="000666B9"/>
    <w:rsid w:val="000666FB"/>
    <w:rsid w:val="000667CE"/>
    <w:rsid w:val="000669B1"/>
    <w:rsid w:val="00066AA3"/>
    <w:rsid w:val="00066C0E"/>
    <w:rsid w:val="00066EBC"/>
    <w:rsid w:val="00066F67"/>
    <w:rsid w:val="00066FB5"/>
    <w:rsid w:val="00066FDE"/>
    <w:rsid w:val="0006707D"/>
    <w:rsid w:val="000676C4"/>
    <w:rsid w:val="00067744"/>
    <w:rsid w:val="00067C1B"/>
    <w:rsid w:val="00067C60"/>
    <w:rsid w:val="00070249"/>
    <w:rsid w:val="00070957"/>
    <w:rsid w:val="00070BF1"/>
    <w:rsid w:val="00070C71"/>
    <w:rsid w:val="000710A0"/>
    <w:rsid w:val="000714A7"/>
    <w:rsid w:val="000715F4"/>
    <w:rsid w:val="0007180F"/>
    <w:rsid w:val="00071814"/>
    <w:rsid w:val="00072297"/>
    <w:rsid w:val="00072532"/>
    <w:rsid w:val="000726C5"/>
    <w:rsid w:val="0007287D"/>
    <w:rsid w:val="00072904"/>
    <w:rsid w:val="00072944"/>
    <w:rsid w:val="00072B02"/>
    <w:rsid w:val="00072FA1"/>
    <w:rsid w:val="0007311B"/>
    <w:rsid w:val="00073529"/>
    <w:rsid w:val="000736F5"/>
    <w:rsid w:val="00073704"/>
    <w:rsid w:val="0007374C"/>
    <w:rsid w:val="0007391C"/>
    <w:rsid w:val="00073BBB"/>
    <w:rsid w:val="00073BCB"/>
    <w:rsid w:val="00073CF0"/>
    <w:rsid w:val="00073DAE"/>
    <w:rsid w:val="000740F0"/>
    <w:rsid w:val="000741FB"/>
    <w:rsid w:val="00074486"/>
    <w:rsid w:val="00074572"/>
    <w:rsid w:val="0007465D"/>
    <w:rsid w:val="00074855"/>
    <w:rsid w:val="000748D7"/>
    <w:rsid w:val="00074911"/>
    <w:rsid w:val="000750F7"/>
    <w:rsid w:val="0007516D"/>
    <w:rsid w:val="00075388"/>
    <w:rsid w:val="00075827"/>
    <w:rsid w:val="00075A56"/>
    <w:rsid w:val="00075A93"/>
    <w:rsid w:val="00075DD7"/>
    <w:rsid w:val="00075ECA"/>
    <w:rsid w:val="00075EEC"/>
    <w:rsid w:val="00076058"/>
    <w:rsid w:val="00076103"/>
    <w:rsid w:val="0007617F"/>
    <w:rsid w:val="00076310"/>
    <w:rsid w:val="00076311"/>
    <w:rsid w:val="000763CA"/>
    <w:rsid w:val="0007640B"/>
    <w:rsid w:val="00076554"/>
    <w:rsid w:val="000765F0"/>
    <w:rsid w:val="000765FA"/>
    <w:rsid w:val="00076866"/>
    <w:rsid w:val="00076879"/>
    <w:rsid w:val="00076B37"/>
    <w:rsid w:val="00076D88"/>
    <w:rsid w:val="00076E77"/>
    <w:rsid w:val="00076EFA"/>
    <w:rsid w:val="00077257"/>
    <w:rsid w:val="000773BC"/>
    <w:rsid w:val="00077472"/>
    <w:rsid w:val="00077560"/>
    <w:rsid w:val="000776A2"/>
    <w:rsid w:val="00077B72"/>
    <w:rsid w:val="00077C7F"/>
    <w:rsid w:val="00077DD6"/>
    <w:rsid w:val="00077EC5"/>
    <w:rsid w:val="00080038"/>
    <w:rsid w:val="00080094"/>
    <w:rsid w:val="000803D2"/>
    <w:rsid w:val="000806FE"/>
    <w:rsid w:val="000808B1"/>
    <w:rsid w:val="00080B5C"/>
    <w:rsid w:val="00080B81"/>
    <w:rsid w:val="00080C48"/>
    <w:rsid w:val="00080EDA"/>
    <w:rsid w:val="00080F5F"/>
    <w:rsid w:val="00081032"/>
    <w:rsid w:val="0008109F"/>
    <w:rsid w:val="00081159"/>
    <w:rsid w:val="000814BB"/>
    <w:rsid w:val="00081550"/>
    <w:rsid w:val="0008165D"/>
    <w:rsid w:val="000816E6"/>
    <w:rsid w:val="000817A3"/>
    <w:rsid w:val="000819E7"/>
    <w:rsid w:val="00081B92"/>
    <w:rsid w:val="00081CD5"/>
    <w:rsid w:val="00081FF2"/>
    <w:rsid w:val="000820B3"/>
    <w:rsid w:val="00082177"/>
    <w:rsid w:val="00082186"/>
    <w:rsid w:val="000821BE"/>
    <w:rsid w:val="00082A44"/>
    <w:rsid w:val="00082A92"/>
    <w:rsid w:val="00082AB8"/>
    <w:rsid w:val="00082ABB"/>
    <w:rsid w:val="00082ADB"/>
    <w:rsid w:val="00082C6D"/>
    <w:rsid w:val="00082D7D"/>
    <w:rsid w:val="00082DEE"/>
    <w:rsid w:val="00083377"/>
    <w:rsid w:val="000837F7"/>
    <w:rsid w:val="00083E62"/>
    <w:rsid w:val="000843EE"/>
    <w:rsid w:val="00084418"/>
    <w:rsid w:val="000845D2"/>
    <w:rsid w:val="00084941"/>
    <w:rsid w:val="000849DA"/>
    <w:rsid w:val="00084DB7"/>
    <w:rsid w:val="00084EB4"/>
    <w:rsid w:val="00084F54"/>
    <w:rsid w:val="000850A7"/>
    <w:rsid w:val="00085186"/>
    <w:rsid w:val="00085269"/>
    <w:rsid w:val="00085464"/>
    <w:rsid w:val="0008570A"/>
    <w:rsid w:val="0008571A"/>
    <w:rsid w:val="00085794"/>
    <w:rsid w:val="00085A58"/>
    <w:rsid w:val="00085E72"/>
    <w:rsid w:val="000860A8"/>
    <w:rsid w:val="00086107"/>
    <w:rsid w:val="00086348"/>
    <w:rsid w:val="000863CF"/>
    <w:rsid w:val="00086695"/>
    <w:rsid w:val="000866E5"/>
    <w:rsid w:val="0008684F"/>
    <w:rsid w:val="00086CB7"/>
    <w:rsid w:val="00086CEE"/>
    <w:rsid w:val="00086D4A"/>
    <w:rsid w:val="00086E64"/>
    <w:rsid w:val="00086F1C"/>
    <w:rsid w:val="00087350"/>
    <w:rsid w:val="0008744F"/>
    <w:rsid w:val="0008781C"/>
    <w:rsid w:val="00087901"/>
    <w:rsid w:val="00087C6F"/>
    <w:rsid w:val="0009029E"/>
    <w:rsid w:val="000902B6"/>
    <w:rsid w:val="000904F5"/>
    <w:rsid w:val="0009082A"/>
    <w:rsid w:val="00090956"/>
    <w:rsid w:val="00090AF6"/>
    <w:rsid w:val="00090CCC"/>
    <w:rsid w:val="00090D5A"/>
    <w:rsid w:val="00090EA3"/>
    <w:rsid w:val="00090F38"/>
    <w:rsid w:val="000916AD"/>
    <w:rsid w:val="00091817"/>
    <w:rsid w:val="0009183F"/>
    <w:rsid w:val="00091958"/>
    <w:rsid w:val="00091BFD"/>
    <w:rsid w:val="00091C51"/>
    <w:rsid w:val="00091E0B"/>
    <w:rsid w:val="00091FCD"/>
    <w:rsid w:val="0009222E"/>
    <w:rsid w:val="0009296A"/>
    <w:rsid w:val="00092A1E"/>
    <w:rsid w:val="00092CBF"/>
    <w:rsid w:val="000930EF"/>
    <w:rsid w:val="0009339D"/>
    <w:rsid w:val="00093565"/>
    <w:rsid w:val="000935B6"/>
    <w:rsid w:val="00093659"/>
    <w:rsid w:val="00093903"/>
    <w:rsid w:val="00093905"/>
    <w:rsid w:val="00093A7F"/>
    <w:rsid w:val="00093AC1"/>
    <w:rsid w:val="00093BAD"/>
    <w:rsid w:val="00093BB9"/>
    <w:rsid w:val="00093ED0"/>
    <w:rsid w:val="00093F3C"/>
    <w:rsid w:val="00093FFA"/>
    <w:rsid w:val="0009409D"/>
    <w:rsid w:val="000943AF"/>
    <w:rsid w:val="000947F2"/>
    <w:rsid w:val="00094915"/>
    <w:rsid w:val="00094B53"/>
    <w:rsid w:val="0009512F"/>
    <w:rsid w:val="000952A5"/>
    <w:rsid w:val="00095433"/>
    <w:rsid w:val="000954D2"/>
    <w:rsid w:val="00095563"/>
    <w:rsid w:val="0009557C"/>
    <w:rsid w:val="000957FC"/>
    <w:rsid w:val="0009587F"/>
    <w:rsid w:val="0009592E"/>
    <w:rsid w:val="00095BA1"/>
    <w:rsid w:val="00095F1D"/>
    <w:rsid w:val="00095FFC"/>
    <w:rsid w:val="00096A2B"/>
    <w:rsid w:val="00096D9C"/>
    <w:rsid w:val="00096DCA"/>
    <w:rsid w:val="0009716B"/>
    <w:rsid w:val="00097205"/>
    <w:rsid w:val="00097450"/>
    <w:rsid w:val="000976F1"/>
    <w:rsid w:val="00097E23"/>
    <w:rsid w:val="00097F49"/>
    <w:rsid w:val="00097FA7"/>
    <w:rsid w:val="000A0060"/>
    <w:rsid w:val="000A04E6"/>
    <w:rsid w:val="000A0595"/>
    <w:rsid w:val="000A0609"/>
    <w:rsid w:val="000A066B"/>
    <w:rsid w:val="000A074A"/>
    <w:rsid w:val="000A0AA9"/>
    <w:rsid w:val="000A0C67"/>
    <w:rsid w:val="000A0D22"/>
    <w:rsid w:val="000A124A"/>
    <w:rsid w:val="000A1282"/>
    <w:rsid w:val="000A13A7"/>
    <w:rsid w:val="000A1414"/>
    <w:rsid w:val="000A1A4B"/>
    <w:rsid w:val="000A1BD6"/>
    <w:rsid w:val="000A215E"/>
    <w:rsid w:val="000A229A"/>
    <w:rsid w:val="000A2381"/>
    <w:rsid w:val="000A23F1"/>
    <w:rsid w:val="000A2454"/>
    <w:rsid w:val="000A248C"/>
    <w:rsid w:val="000A27B2"/>
    <w:rsid w:val="000A2A67"/>
    <w:rsid w:val="000A2C1A"/>
    <w:rsid w:val="000A2EB6"/>
    <w:rsid w:val="000A2EF5"/>
    <w:rsid w:val="000A2F9D"/>
    <w:rsid w:val="000A3285"/>
    <w:rsid w:val="000A35E1"/>
    <w:rsid w:val="000A36EC"/>
    <w:rsid w:val="000A379A"/>
    <w:rsid w:val="000A3A75"/>
    <w:rsid w:val="000A3B52"/>
    <w:rsid w:val="000A3D63"/>
    <w:rsid w:val="000A4157"/>
    <w:rsid w:val="000A426A"/>
    <w:rsid w:val="000A42FF"/>
    <w:rsid w:val="000A4302"/>
    <w:rsid w:val="000A438D"/>
    <w:rsid w:val="000A45B8"/>
    <w:rsid w:val="000A4AAB"/>
    <w:rsid w:val="000A4CAD"/>
    <w:rsid w:val="000A4CC9"/>
    <w:rsid w:val="000A4D58"/>
    <w:rsid w:val="000A4E7E"/>
    <w:rsid w:val="000A527A"/>
    <w:rsid w:val="000A545C"/>
    <w:rsid w:val="000A54EF"/>
    <w:rsid w:val="000A55EC"/>
    <w:rsid w:val="000A56D7"/>
    <w:rsid w:val="000A58E3"/>
    <w:rsid w:val="000A5A75"/>
    <w:rsid w:val="000A5B71"/>
    <w:rsid w:val="000A606B"/>
    <w:rsid w:val="000A615F"/>
    <w:rsid w:val="000A6173"/>
    <w:rsid w:val="000A6A9B"/>
    <w:rsid w:val="000A6D94"/>
    <w:rsid w:val="000A6FB3"/>
    <w:rsid w:val="000A709B"/>
    <w:rsid w:val="000A716D"/>
    <w:rsid w:val="000A726A"/>
    <w:rsid w:val="000A770E"/>
    <w:rsid w:val="000A77BE"/>
    <w:rsid w:val="000A783D"/>
    <w:rsid w:val="000A78C5"/>
    <w:rsid w:val="000A7941"/>
    <w:rsid w:val="000A799E"/>
    <w:rsid w:val="000A7A08"/>
    <w:rsid w:val="000A7B13"/>
    <w:rsid w:val="000A7DA3"/>
    <w:rsid w:val="000A7DBE"/>
    <w:rsid w:val="000B034C"/>
    <w:rsid w:val="000B03F5"/>
    <w:rsid w:val="000B05E6"/>
    <w:rsid w:val="000B0A86"/>
    <w:rsid w:val="000B0C2B"/>
    <w:rsid w:val="000B1241"/>
    <w:rsid w:val="000B14C5"/>
    <w:rsid w:val="000B152F"/>
    <w:rsid w:val="000B15AA"/>
    <w:rsid w:val="000B168E"/>
    <w:rsid w:val="000B18BB"/>
    <w:rsid w:val="000B1AB5"/>
    <w:rsid w:val="000B1B54"/>
    <w:rsid w:val="000B1C8A"/>
    <w:rsid w:val="000B1E7B"/>
    <w:rsid w:val="000B1ED7"/>
    <w:rsid w:val="000B1EED"/>
    <w:rsid w:val="000B2067"/>
    <w:rsid w:val="000B20C6"/>
    <w:rsid w:val="000B26E0"/>
    <w:rsid w:val="000B26F4"/>
    <w:rsid w:val="000B271E"/>
    <w:rsid w:val="000B28C5"/>
    <w:rsid w:val="000B2D00"/>
    <w:rsid w:val="000B2FEB"/>
    <w:rsid w:val="000B3088"/>
    <w:rsid w:val="000B340F"/>
    <w:rsid w:val="000B37FD"/>
    <w:rsid w:val="000B3A9A"/>
    <w:rsid w:val="000B3C38"/>
    <w:rsid w:val="000B3D93"/>
    <w:rsid w:val="000B3E66"/>
    <w:rsid w:val="000B3F6A"/>
    <w:rsid w:val="000B409B"/>
    <w:rsid w:val="000B40FE"/>
    <w:rsid w:val="000B418A"/>
    <w:rsid w:val="000B4278"/>
    <w:rsid w:val="000B4368"/>
    <w:rsid w:val="000B43A8"/>
    <w:rsid w:val="000B43EB"/>
    <w:rsid w:val="000B45FB"/>
    <w:rsid w:val="000B4D7A"/>
    <w:rsid w:val="000B4D95"/>
    <w:rsid w:val="000B5426"/>
    <w:rsid w:val="000B554F"/>
    <w:rsid w:val="000B5610"/>
    <w:rsid w:val="000B57DF"/>
    <w:rsid w:val="000B5D7C"/>
    <w:rsid w:val="000B5E79"/>
    <w:rsid w:val="000B6274"/>
    <w:rsid w:val="000B63D6"/>
    <w:rsid w:val="000B6536"/>
    <w:rsid w:val="000B66BD"/>
    <w:rsid w:val="000B691C"/>
    <w:rsid w:val="000B69B9"/>
    <w:rsid w:val="000B6C4E"/>
    <w:rsid w:val="000B72C6"/>
    <w:rsid w:val="000B73CB"/>
    <w:rsid w:val="000B7495"/>
    <w:rsid w:val="000B7578"/>
    <w:rsid w:val="000B771D"/>
    <w:rsid w:val="000B77FF"/>
    <w:rsid w:val="000B7800"/>
    <w:rsid w:val="000B79BB"/>
    <w:rsid w:val="000B7A2F"/>
    <w:rsid w:val="000B7C07"/>
    <w:rsid w:val="000B7C6B"/>
    <w:rsid w:val="000B7D15"/>
    <w:rsid w:val="000B7D86"/>
    <w:rsid w:val="000B7F1D"/>
    <w:rsid w:val="000B7FA9"/>
    <w:rsid w:val="000C0240"/>
    <w:rsid w:val="000C069D"/>
    <w:rsid w:val="000C071A"/>
    <w:rsid w:val="000C08C3"/>
    <w:rsid w:val="000C0943"/>
    <w:rsid w:val="000C0BDF"/>
    <w:rsid w:val="000C1243"/>
    <w:rsid w:val="000C12C0"/>
    <w:rsid w:val="000C1515"/>
    <w:rsid w:val="000C1807"/>
    <w:rsid w:val="000C1A6A"/>
    <w:rsid w:val="000C1AAA"/>
    <w:rsid w:val="000C1CDA"/>
    <w:rsid w:val="000C1D2D"/>
    <w:rsid w:val="000C1ECD"/>
    <w:rsid w:val="000C21DD"/>
    <w:rsid w:val="000C23F1"/>
    <w:rsid w:val="000C264E"/>
    <w:rsid w:val="000C28DF"/>
    <w:rsid w:val="000C2A6B"/>
    <w:rsid w:val="000C2B04"/>
    <w:rsid w:val="000C2D93"/>
    <w:rsid w:val="000C2DA3"/>
    <w:rsid w:val="000C2F2C"/>
    <w:rsid w:val="000C31EB"/>
    <w:rsid w:val="000C32D5"/>
    <w:rsid w:val="000C332F"/>
    <w:rsid w:val="000C36B3"/>
    <w:rsid w:val="000C3BA8"/>
    <w:rsid w:val="000C3BC3"/>
    <w:rsid w:val="000C3CCE"/>
    <w:rsid w:val="000C3D87"/>
    <w:rsid w:val="000C3ECF"/>
    <w:rsid w:val="000C4132"/>
    <w:rsid w:val="000C42C3"/>
    <w:rsid w:val="000C43C0"/>
    <w:rsid w:val="000C458D"/>
    <w:rsid w:val="000C46FE"/>
    <w:rsid w:val="000C483C"/>
    <w:rsid w:val="000C4A5A"/>
    <w:rsid w:val="000C4B35"/>
    <w:rsid w:val="000C509D"/>
    <w:rsid w:val="000C553D"/>
    <w:rsid w:val="000C59AA"/>
    <w:rsid w:val="000C5B03"/>
    <w:rsid w:val="000C5D2A"/>
    <w:rsid w:val="000C5F85"/>
    <w:rsid w:val="000C6009"/>
    <w:rsid w:val="000C6073"/>
    <w:rsid w:val="000C63B0"/>
    <w:rsid w:val="000C6679"/>
    <w:rsid w:val="000C67F7"/>
    <w:rsid w:val="000C69FA"/>
    <w:rsid w:val="000C6B08"/>
    <w:rsid w:val="000C6B9E"/>
    <w:rsid w:val="000C7183"/>
    <w:rsid w:val="000C791E"/>
    <w:rsid w:val="000C7F8B"/>
    <w:rsid w:val="000D003B"/>
    <w:rsid w:val="000D0087"/>
    <w:rsid w:val="000D00B8"/>
    <w:rsid w:val="000D00BC"/>
    <w:rsid w:val="000D03A4"/>
    <w:rsid w:val="000D0520"/>
    <w:rsid w:val="000D068D"/>
    <w:rsid w:val="000D08C9"/>
    <w:rsid w:val="000D0966"/>
    <w:rsid w:val="000D0A39"/>
    <w:rsid w:val="000D0A7C"/>
    <w:rsid w:val="000D1037"/>
    <w:rsid w:val="000D13A6"/>
    <w:rsid w:val="000D16E5"/>
    <w:rsid w:val="000D1A3B"/>
    <w:rsid w:val="000D1B3A"/>
    <w:rsid w:val="000D1ECD"/>
    <w:rsid w:val="000D1F6E"/>
    <w:rsid w:val="000D225B"/>
    <w:rsid w:val="000D2288"/>
    <w:rsid w:val="000D2487"/>
    <w:rsid w:val="000D2597"/>
    <w:rsid w:val="000D25B6"/>
    <w:rsid w:val="000D2616"/>
    <w:rsid w:val="000D273C"/>
    <w:rsid w:val="000D2D48"/>
    <w:rsid w:val="000D3298"/>
    <w:rsid w:val="000D394F"/>
    <w:rsid w:val="000D418B"/>
    <w:rsid w:val="000D4342"/>
    <w:rsid w:val="000D45BC"/>
    <w:rsid w:val="000D48EC"/>
    <w:rsid w:val="000D4CB6"/>
    <w:rsid w:val="000D4DBE"/>
    <w:rsid w:val="000D5294"/>
    <w:rsid w:val="000D55D2"/>
    <w:rsid w:val="000D5662"/>
    <w:rsid w:val="000D583F"/>
    <w:rsid w:val="000D59B1"/>
    <w:rsid w:val="000D59C3"/>
    <w:rsid w:val="000D5AF7"/>
    <w:rsid w:val="000D5B32"/>
    <w:rsid w:val="000D5C6F"/>
    <w:rsid w:val="000D5D6C"/>
    <w:rsid w:val="000D5D73"/>
    <w:rsid w:val="000D5F9C"/>
    <w:rsid w:val="000D6247"/>
    <w:rsid w:val="000D6448"/>
    <w:rsid w:val="000D6463"/>
    <w:rsid w:val="000D6475"/>
    <w:rsid w:val="000D66B6"/>
    <w:rsid w:val="000D6DB5"/>
    <w:rsid w:val="000D7222"/>
    <w:rsid w:val="000D7242"/>
    <w:rsid w:val="000D775A"/>
    <w:rsid w:val="000D7B05"/>
    <w:rsid w:val="000D7D84"/>
    <w:rsid w:val="000D7E35"/>
    <w:rsid w:val="000E0012"/>
    <w:rsid w:val="000E031C"/>
    <w:rsid w:val="000E03A7"/>
    <w:rsid w:val="000E054A"/>
    <w:rsid w:val="000E05D6"/>
    <w:rsid w:val="000E060E"/>
    <w:rsid w:val="000E06D7"/>
    <w:rsid w:val="000E077E"/>
    <w:rsid w:val="000E09A6"/>
    <w:rsid w:val="000E0ABE"/>
    <w:rsid w:val="000E0EFE"/>
    <w:rsid w:val="000E0FAC"/>
    <w:rsid w:val="000E1500"/>
    <w:rsid w:val="000E16AD"/>
    <w:rsid w:val="000E16C5"/>
    <w:rsid w:val="000E1B3D"/>
    <w:rsid w:val="000E1B5C"/>
    <w:rsid w:val="000E1E58"/>
    <w:rsid w:val="000E1E9F"/>
    <w:rsid w:val="000E2050"/>
    <w:rsid w:val="000E21A0"/>
    <w:rsid w:val="000E2221"/>
    <w:rsid w:val="000E277F"/>
    <w:rsid w:val="000E285D"/>
    <w:rsid w:val="000E2889"/>
    <w:rsid w:val="000E29D3"/>
    <w:rsid w:val="000E2A55"/>
    <w:rsid w:val="000E2DC8"/>
    <w:rsid w:val="000E2E70"/>
    <w:rsid w:val="000E2F8A"/>
    <w:rsid w:val="000E320B"/>
    <w:rsid w:val="000E3277"/>
    <w:rsid w:val="000E36E1"/>
    <w:rsid w:val="000E3937"/>
    <w:rsid w:val="000E3BBD"/>
    <w:rsid w:val="000E3CC7"/>
    <w:rsid w:val="000E3D0E"/>
    <w:rsid w:val="000E3EA5"/>
    <w:rsid w:val="000E4013"/>
    <w:rsid w:val="000E41C4"/>
    <w:rsid w:val="000E42CE"/>
    <w:rsid w:val="000E4369"/>
    <w:rsid w:val="000E4534"/>
    <w:rsid w:val="000E494D"/>
    <w:rsid w:val="000E4E02"/>
    <w:rsid w:val="000E4F30"/>
    <w:rsid w:val="000E504C"/>
    <w:rsid w:val="000E506D"/>
    <w:rsid w:val="000E510A"/>
    <w:rsid w:val="000E5174"/>
    <w:rsid w:val="000E51B5"/>
    <w:rsid w:val="000E5601"/>
    <w:rsid w:val="000E5690"/>
    <w:rsid w:val="000E57DF"/>
    <w:rsid w:val="000E5911"/>
    <w:rsid w:val="000E5957"/>
    <w:rsid w:val="000E647C"/>
    <w:rsid w:val="000E6516"/>
    <w:rsid w:val="000E653D"/>
    <w:rsid w:val="000E66EE"/>
    <w:rsid w:val="000E6783"/>
    <w:rsid w:val="000E6806"/>
    <w:rsid w:val="000E687E"/>
    <w:rsid w:val="000E69B2"/>
    <w:rsid w:val="000E6A7D"/>
    <w:rsid w:val="000E6D8F"/>
    <w:rsid w:val="000E6E52"/>
    <w:rsid w:val="000E6F1F"/>
    <w:rsid w:val="000E6FD4"/>
    <w:rsid w:val="000E7057"/>
    <w:rsid w:val="000E7240"/>
    <w:rsid w:val="000E7546"/>
    <w:rsid w:val="000E7A8A"/>
    <w:rsid w:val="000E7B86"/>
    <w:rsid w:val="000E7D02"/>
    <w:rsid w:val="000E7D81"/>
    <w:rsid w:val="000E7E86"/>
    <w:rsid w:val="000E7F8F"/>
    <w:rsid w:val="000E7FF8"/>
    <w:rsid w:val="000F0014"/>
    <w:rsid w:val="000F0052"/>
    <w:rsid w:val="000F0272"/>
    <w:rsid w:val="000F0328"/>
    <w:rsid w:val="000F034A"/>
    <w:rsid w:val="000F048D"/>
    <w:rsid w:val="000F049D"/>
    <w:rsid w:val="000F0987"/>
    <w:rsid w:val="000F0B2A"/>
    <w:rsid w:val="000F1027"/>
    <w:rsid w:val="000F103C"/>
    <w:rsid w:val="000F1920"/>
    <w:rsid w:val="000F1A30"/>
    <w:rsid w:val="000F1ADA"/>
    <w:rsid w:val="000F1BDF"/>
    <w:rsid w:val="000F1C28"/>
    <w:rsid w:val="000F1D14"/>
    <w:rsid w:val="000F1E32"/>
    <w:rsid w:val="000F22D0"/>
    <w:rsid w:val="000F237C"/>
    <w:rsid w:val="000F251F"/>
    <w:rsid w:val="000F261D"/>
    <w:rsid w:val="000F273A"/>
    <w:rsid w:val="000F2949"/>
    <w:rsid w:val="000F2A10"/>
    <w:rsid w:val="000F3086"/>
    <w:rsid w:val="000F346E"/>
    <w:rsid w:val="000F36A2"/>
    <w:rsid w:val="000F390E"/>
    <w:rsid w:val="000F3D8A"/>
    <w:rsid w:val="000F3F0B"/>
    <w:rsid w:val="000F3FC0"/>
    <w:rsid w:val="000F410B"/>
    <w:rsid w:val="000F42CC"/>
    <w:rsid w:val="000F4343"/>
    <w:rsid w:val="000F4497"/>
    <w:rsid w:val="000F45F9"/>
    <w:rsid w:val="000F4612"/>
    <w:rsid w:val="000F481C"/>
    <w:rsid w:val="000F4B5D"/>
    <w:rsid w:val="000F4CB7"/>
    <w:rsid w:val="000F4CF7"/>
    <w:rsid w:val="000F5077"/>
    <w:rsid w:val="000F5C33"/>
    <w:rsid w:val="000F5C92"/>
    <w:rsid w:val="000F5D90"/>
    <w:rsid w:val="000F5F3A"/>
    <w:rsid w:val="000F6176"/>
    <w:rsid w:val="000F646D"/>
    <w:rsid w:val="000F6711"/>
    <w:rsid w:val="000F699B"/>
    <w:rsid w:val="000F69C9"/>
    <w:rsid w:val="000F6A6D"/>
    <w:rsid w:val="000F6E49"/>
    <w:rsid w:val="000F7012"/>
    <w:rsid w:val="000F72AD"/>
    <w:rsid w:val="000F75DE"/>
    <w:rsid w:val="000F7711"/>
    <w:rsid w:val="000F7849"/>
    <w:rsid w:val="000F7B3A"/>
    <w:rsid w:val="000F7BB2"/>
    <w:rsid w:val="000F7C7E"/>
    <w:rsid w:val="000F7DC7"/>
    <w:rsid w:val="0010076C"/>
    <w:rsid w:val="0010082B"/>
    <w:rsid w:val="001008CC"/>
    <w:rsid w:val="00100949"/>
    <w:rsid w:val="00100AAD"/>
    <w:rsid w:val="00100B1A"/>
    <w:rsid w:val="00100BE8"/>
    <w:rsid w:val="001010B2"/>
    <w:rsid w:val="00101257"/>
    <w:rsid w:val="001012C8"/>
    <w:rsid w:val="00101342"/>
    <w:rsid w:val="00101524"/>
    <w:rsid w:val="00101F2A"/>
    <w:rsid w:val="0010207C"/>
    <w:rsid w:val="00102302"/>
    <w:rsid w:val="001026BD"/>
    <w:rsid w:val="001026C2"/>
    <w:rsid w:val="0010278C"/>
    <w:rsid w:val="00102B8A"/>
    <w:rsid w:val="00102BFA"/>
    <w:rsid w:val="00102C47"/>
    <w:rsid w:val="00102F8E"/>
    <w:rsid w:val="00103138"/>
    <w:rsid w:val="0010337E"/>
    <w:rsid w:val="0010364C"/>
    <w:rsid w:val="00103A58"/>
    <w:rsid w:val="00103D67"/>
    <w:rsid w:val="00103E6A"/>
    <w:rsid w:val="00103E7E"/>
    <w:rsid w:val="001040DB"/>
    <w:rsid w:val="00104164"/>
    <w:rsid w:val="00104391"/>
    <w:rsid w:val="001045D3"/>
    <w:rsid w:val="001046EB"/>
    <w:rsid w:val="001047AB"/>
    <w:rsid w:val="00104945"/>
    <w:rsid w:val="00104DBD"/>
    <w:rsid w:val="00104E1A"/>
    <w:rsid w:val="0010500F"/>
    <w:rsid w:val="00105164"/>
    <w:rsid w:val="00105528"/>
    <w:rsid w:val="00105531"/>
    <w:rsid w:val="00105855"/>
    <w:rsid w:val="001059F3"/>
    <w:rsid w:val="00105B32"/>
    <w:rsid w:val="00105B99"/>
    <w:rsid w:val="00105FDA"/>
    <w:rsid w:val="00106146"/>
    <w:rsid w:val="001066F4"/>
    <w:rsid w:val="0010699D"/>
    <w:rsid w:val="00106A33"/>
    <w:rsid w:val="00106A35"/>
    <w:rsid w:val="00106A96"/>
    <w:rsid w:val="00106BB2"/>
    <w:rsid w:val="00106E20"/>
    <w:rsid w:val="0010700C"/>
    <w:rsid w:val="001071DD"/>
    <w:rsid w:val="001074A0"/>
    <w:rsid w:val="001074D8"/>
    <w:rsid w:val="001074FD"/>
    <w:rsid w:val="0010793C"/>
    <w:rsid w:val="00107D09"/>
    <w:rsid w:val="00107D66"/>
    <w:rsid w:val="00110219"/>
    <w:rsid w:val="001106BF"/>
    <w:rsid w:val="0011086F"/>
    <w:rsid w:val="00110990"/>
    <w:rsid w:val="00110E1B"/>
    <w:rsid w:val="00110E73"/>
    <w:rsid w:val="0011123B"/>
    <w:rsid w:val="00111268"/>
    <w:rsid w:val="00111464"/>
    <w:rsid w:val="0011157C"/>
    <w:rsid w:val="00111856"/>
    <w:rsid w:val="00111AEC"/>
    <w:rsid w:val="00111C59"/>
    <w:rsid w:val="001120B3"/>
    <w:rsid w:val="0011213C"/>
    <w:rsid w:val="0011223A"/>
    <w:rsid w:val="00112333"/>
    <w:rsid w:val="00112B03"/>
    <w:rsid w:val="00112F89"/>
    <w:rsid w:val="001131F5"/>
    <w:rsid w:val="0011323F"/>
    <w:rsid w:val="00113397"/>
    <w:rsid w:val="00113549"/>
    <w:rsid w:val="0011362C"/>
    <w:rsid w:val="00113759"/>
    <w:rsid w:val="00113761"/>
    <w:rsid w:val="0011390E"/>
    <w:rsid w:val="00113A49"/>
    <w:rsid w:val="00113C57"/>
    <w:rsid w:val="00113CA6"/>
    <w:rsid w:val="00113D0B"/>
    <w:rsid w:val="00113D4D"/>
    <w:rsid w:val="0011405A"/>
    <w:rsid w:val="00114239"/>
    <w:rsid w:val="001144A3"/>
    <w:rsid w:val="001145B7"/>
    <w:rsid w:val="001146AE"/>
    <w:rsid w:val="001147FF"/>
    <w:rsid w:val="00115049"/>
    <w:rsid w:val="00115104"/>
    <w:rsid w:val="00115260"/>
    <w:rsid w:val="0011530A"/>
    <w:rsid w:val="00115345"/>
    <w:rsid w:val="00115387"/>
    <w:rsid w:val="00115396"/>
    <w:rsid w:val="00115470"/>
    <w:rsid w:val="00115479"/>
    <w:rsid w:val="0011567F"/>
    <w:rsid w:val="0011580C"/>
    <w:rsid w:val="001158E4"/>
    <w:rsid w:val="00116200"/>
    <w:rsid w:val="001164C2"/>
    <w:rsid w:val="001166DA"/>
    <w:rsid w:val="0011684C"/>
    <w:rsid w:val="00116A99"/>
    <w:rsid w:val="00116B62"/>
    <w:rsid w:val="00116BA7"/>
    <w:rsid w:val="00116C2B"/>
    <w:rsid w:val="00116C68"/>
    <w:rsid w:val="00116C99"/>
    <w:rsid w:val="001170CB"/>
    <w:rsid w:val="001171C4"/>
    <w:rsid w:val="00117988"/>
    <w:rsid w:val="00117B1E"/>
    <w:rsid w:val="00117B5B"/>
    <w:rsid w:val="001201E5"/>
    <w:rsid w:val="00120519"/>
    <w:rsid w:val="00120732"/>
    <w:rsid w:val="001207C2"/>
    <w:rsid w:val="00120A65"/>
    <w:rsid w:val="00120A72"/>
    <w:rsid w:val="00120A8E"/>
    <w:rsid w:val="00120AEC"/>
    <w:rsid w:val="00120AF9"/>
    <w:rsid w:val="00121610"/>
    <w:rsid w:val="00121727"/>
    <w:rsid w:val="0012187C"/>
    <w:rsid w:val="001223DB"/>
    <w:rsid w:val="00122575"/>
    <w:rsid w:val="0012269D"/>
    <w:rsid w:val="0012279E"/>
    <w:rsid w:val="00122957"/>
    <w:rsid w:val="00122966"/>
    <w:rsid w:val="00122C45"/>
    <w:rsid w:val="00122D10"/>
    <w:rsid w:val="00122E91"/>
    <w:rsid w:val="00122EEE"/>
    <w:rsid w:val="0012307D"/>
    <w:rsid w:val="001230C2"/>
    <w:rsid w:val="00123100"/>
    <w:rsid w:val="001232C1"/>
    <w:rsid w:val="00123902"/>
    <w:rsid w:val="00123A11"/>
    <w:rsid w:val="00123BE4"/>
    <w:rsid w:val="00123C1E"/>
    <w:rsid w:val="00123D99"/>
    <w:rsid w:val="00123E1B"/>
    <w:rsid w:val="001241F6"/>
    <w:rsid w:val="00124429"/>
    <w:rsid w:val="001247F7"/>
    <w:rsid w:val="001248BE"/>
    <w:rsid w:val="001248DF"/>
    <w:rsid w:val="0012490C"/>
    <w:rsid w:val="00124ECC"/>
    <w:rsid w:val="00124EDE"/>
    <w:rsid w:val="00124FEA"/>
    <w:rsid w:val="001251AD"/>
    <w:rsid w:val="0012561A"/>
    <w:rsid w:val="001259A2"/>
    <w:rsid w:val="00125E02"/>
    <w:rsid w:val="00125E7D"/>
    <w:rsid w:val="00125FDF"/>
    <w:rsid w:val="00126218"/>
    <w:rsid w:val="00126337"/>
    <w:rsid w:val="00126455"/>
    <w:rsid w:val="00126503"/>
    <w:rsid w:val="00126D3D"/>
    <w:rsid w:val="0012717F"/>
    <w:rsid w:val="0012741B"/>
    <w:rsid w:val="001274F3"/>
    <w:rsid w:val="00127631"/>
    <w:rsid w:val="00127844"/>
    <w:rsid w:val="00127AC3"/>
    <w:rsid w:val="00127C49"/>
    <w:rsid w:val="00127C83"/>
    <w:rsid w:val="00127F97"/>
    <w:rsid w:val="00127FB9"/>
    <w:rsid w:val="001300D2"/>
    <w:rsid w:val="001303BE"/>
    <w:rsid w:val="00130625"/>
    <w:rsid w:val="001309A3"/>
    <w:rsid w:val="00130CF7"/>
    <w:rsid w:val="00130D24"/>
    <w:rsid w:val="00130D48"/>
    <w:rsid w:val="001312AF"/>
    <w:rsid w:val="00131A34"/>
    <w:rsid w:val="00131AA7"/>
    <w:rsid w:val="00131DD9"/>
    <w:rsid w:val="00131E02"/>
    <w:rsid w:val="00132242"/>
    <w:rsid w:val="00132414"/>
    <w:rsid w:val="00132600"/>
    <w:rsid w:val="0013277F"/>
    <w:rsid w:val="001327E1"/>
    <w:rsid w:val="00132C77"/>
    <w:rsid w:val="00132CDC"/>
    <w:rsid w:val="00132DD3"/>
    <w:rsid w:val="00133122"/>
    <w:rsid w:val="001333A0"/>
    <w:rsid w:val="0013346C"/>
    <w:rsid w:val="00133696"/>
    <w:rsid w:val="0013373D"/>
    <w:rsid w:val="0013386C"/>
    <w:rsid w:val="00133925"/>
    <w:rsid w:val="00133999"/>
    <w:rsid w:val="00133AA6"/>
    <w:rsid w:val="00133C8D"/>
    <w:rsid w:val="00133E1E"/>
    <w:rsid w:val="00133E24"/>
    <w:rsid w:val="00133E99"/>
    <w:rsid w:val="00133F6E"/>
    <w:rsid w:val="0013407C"/>
    <w:rsid w:val="00134704"/>
    <w:rsid w:val="001347D3"/>
    <w:rsid w:val="00134832"/>
    <w:rsid w:val="00134ACC"/>
    <w:rsid w:val="00134B22"/>
    <w:rsid w:val="00134C5C"/>
    <w:rsid w:val="00134E47"/>
    <w:rsid w:val="001351AA"/>
    <w:rsid w:val="00135252"/>
    <w:rsid w:val="00135456"/>
    <w:rsid w:val="001356E3"/>
    <w:rsid w:val="001356F5"/>
    <w:rsid w:val="0013598B"/>
    <w:rsid w:val="00135A74"/>
    <w:rsid w:val="00135B81"/>
    <w:rsid w:val="00135BE5"/>
    <w:rsid w:val="00135E7B"/>
    <w:rsid w:val="0013639C"/>
    <w:rsid w:val="001364EF"/>
    <w:rsid w:val="00136679"/>
    <w:rsid w:val="00137022"/>
    <w:rsid w:val="001370A9"/>
    <w:rsid w:val="00137602"/>
    <w:rsid w:val="0013769F"/>
    <w:rsid w:val="00137914"/>
    <w:rsid w:val="0013795D"/>
    <w:rsid w:val="001379F8"/>
    <w:rsid w:val="00137B8A"/>
    <w:rsid w:val="00137C70"/>
    <w:rsid w:val="00137EFD"/>
    <w:rsid w:val="0014001C"/>
    <w:rsid w:val="0014010A"/>
    <w:rsid w:val="001405FE"/>
    <w:rsid w:val="001407D8"/>
    <w:rsid w:val="00140933"/>
    <w:rsid w:val="001409D1"/>
    <w:rsid w:val="00140C9E"/>
    <w:rsid w:val="00140F40"/>
    <w:rsid w:val="00141257"/>
    <w:rsid w:val="001412BF"/>
    <w:rsid w:val="001413D4"/>
    <w:rsid w:val="00141865"/>
    <w:rsid w:val="00141AFB"/>
    <w:rsid w:val="00141B64"/>
    <w:rsid w:val="00141C66"/>
    <w:rsid w:val="001421F8"/>
    <w:rsid w:val="001422C3"/>
    <w:rsid w:val="001424C9"/>
    <w:rsid w:val="0014278F"/>
    <w:rsid w:val="0014282D"/>
    <w:rsid w:val="0014291A"/>
    <w:rsid w:val="001429B4"/>
    <w:rsid w:val="00142AE7"/>
    <w:rsid w:val="00142F70"/>
    <w:rsid w:val="00143A28"/>
    <w:rsid w:val="00143A2D"/>
    <w:rsid w:val="00143EC9"/>
    <w:rsid w:val="001442E8"/>
    <w:rsid w:val="0014453A"/>
    <w:rsid w:val="00144583"/>
    <w:rsid w:val="00144708"/>
    <w:rsid w:val="00144758"/>
    <w:rsid w:val="00144790"/>
    <w:rsid w:val="001447DB"/>
    <w:rsid w:val="0014488B"/>
    <w:rsid w:val="00144E09"/>
    <w:rsid w:val="00144F2F"/>
    <w:rsid w:val="00144F7C"/>
    <w:rsid w:val="0014520D"/>
    <w:rsid w:val="00145457"/>
    <w:rsid w:val="00145503"/>
    <w:rsid w:val="0014568B"/>
    <w:rsid w:val="001460B1"/>
    <w:rsid w:val="0014623A"/>
    <w:rsid w:val="001465B4"/>
    <w:rsid w:val="001465B8"/>
    <w:rsid w:val="001469AF"/>
    <w:rsid w:val="00146A3F"/>
    <w:rsid w:val="00146B7E"/>
    <w:rsid w:val="00146BBF"/>
    <w:rsid w:val="00146CA1"/>
    <w:rsid w:val="00146DA5"/>
    <w:rsid w:val="00146F9C"/>
    <w:rsid w:val="00147887"/>
    <w:rsid w:val="00147BD6"/>
    <w:rsid w:val="00147F9E"/>
    <w:rsid w:val="00150597"/>
    <w:rsid w:val="00150BF1"/>
    <w:rsid w:val="00150F50"/>
    <w:rsid w:val="00150F9A"/>
    <w:rsid w:val="00151210"/>
    <w:rsid w:val="0015138A"/>
    <w:rsid w:val="001513A8"/>
    <w:rsid w:val="00151B81"/>
    <w:rsid w:val="00151D73"/>
    <w:rsid w:val="00151F38"/>
    <w:rsid w:val="00152006"/>
    <w:rsid w:val="00152069"/>
    <w:rsid w:val="001520F6"/>
    <w:rsid w:val="001522A7"/>
    <w:rsid w:val="00152354"/>
    <w:rsid w:val="0015238B"/>
    <w:rsid w:val="00152796"/>
    <w:rsid w:val="001529F2"/>
    <w:rsid w:val="001529F8"/>
    <w:rsid w:val="00152AED"/>
    <w:rsid w:val="00152B7A"/>
    <w:rsid w:val="00152D7B"/>
    <w:rsid w:val="00152DF2"/>
    <w:rsid w:val="00152E40"/>
    <w:rsid w:val="001530CB"/>
    <w:rsid w:val="001531C2"/>
    <w:rsid w:val="001531EF"/>
    <w:rsid w:val="0015326B"/>
    <w:rsid w:val="001533E0"/>
    <w:rsid w:val="00153697"/>
    <w:rsid w:val="00153735"/>
    <w:rsid w:val="001537D3"/>
    <w:rsid w:val="00153958"/>
    <w:rsid w:val="001539B0"/>
    <w:rsid w:val="00153CAF"/>
    <w:rsid w:val="001544B2"/>
    <w:rsid w:val="0015470C"/>
    <w:rsid w:val="00154756"/>
    <w:rsid w:val="00154795"/>
    <w:rsid w:val="00154837"/>
    <w:rsid w:val="001548AD"/>
    <w:rsid w:val="001549B9"/>
    <w:rsid w:val="00154A11"/>
    <w:rsid w:val="00154CA5"/>
    <w:rsid w:val="00154D55"/>
    <w:rsid w:val="00154FE0"/>
    <w:rsid w:val="0015509E"/>
    <w:rsid w:val="00155170"/>
    <w:rsid w:val="0015546F"/>
    <w:rsid w:val="001556F7"/>
    <w:rsid w:val="00155B32"/>
    <w:rsid w:val="00155CD3"/>
    <w:rsid w:val="00155D1E"/>
    <w:rsid w:val="00155DA4"/>
    <w:rsid w:val="00155DB8"/>
    <w:rsid w:val="00156240"/>
    <w:rsid w:val="00156288"/>
    <w:rsid w:val="0015643D"/>
    <w:rsid w:val="001564AC"/>
    <w:rsid w:val="00156696"/>
    <w:rsid w:val="001567F8"/>
    <w:rsid w:val="0015693F"/>
    <w:rsid w:val="001569DB"/>
    <w:rsid w:val="00156B28"/>
    <w:rsid w:val="00156C67"/>
    <w:rsid w:val="00156CD8"/>
    <w:rsid w:val="00156EF9"/>
    <w:rsid w:val="00157029"/>
    <w:rsid w:val="001572FB"/>
    <w:rsid w:val="0015745E"/>
    <w:rsid w:val="00157B64"/>
    <w:rsid w:val="00157FBF"/>
    <w:rsid w:val="0016003D"/>
    <w:rsid w:val="00160096"/>
    <w:rsid w:val="001602BF"/>
    <w:rsid w:val="001602CF"/>
    <w:rsid w:val="0016044C"/>
    <w:rsid w:val="0016062E"/>
    <w:rsid w:val="0016093F"/>
    <w:rsid w:val="00160AC6"/>
    <w:rsid w:val="00160D0C"/>
    <w:rsid w:val="00160EE2"/>
    <w:rsid w:val="00161068"/>
    <w:rsid w:val="00161522"/>
    <w:rsid w:val="0016169B"/>
    <w:rsid w:val="001618FF"/>
    <w:rsid w:val="00161988"/>
    <w:rsid w:val="00161A29"/>
    <w:rsid w:val="00161A69"/>
    <w:rsid w:val="00161B8D"/>
    <w:rsid w:val="00161DB2"/>
    <w:rsid w:val="00161E76"/>
    <w:rsid w:val="001624C2"/>
    <w:rsid w:val="00162B44"/>
    <w:rsid w:val="00162CF0"/>
    <w:rsid w:val="00162D0C"/>
    <w:rsid w:val="00162E12"/>
    <w:rsid w:val="00162EC8"/>
    <w:rsid w:val="00163060"/>
    <w:rsid w:val="0016307F"/>
    <w:rsid w:val="00163206"/>
    <w:rsid w:val="00163280"/>
    <w:rsid w:val="001632BD"/>
    <w:rsid w:val="00163312"/>
    <w:rsid w:val="00163554"/>
    <w:rsid w:val="001635CC"/>
    <w:rsid w:val="00163731"/>
    <w:rsid w:val="0016374C"/>
    <w:rsid w:val="0016390A"/>
    <w:rsid w:val="00163AFD"/>
    <w:rsid w:val="00163E59"/>
    <w:rsid w:val="00163F71"/>
    <w:rsid w:val="00163F77"/>
    <w:rsid w:val="00164088"/>
    <w:rsid w:val="001641A6"/>
    <w:rsid w:val="00164276"/>
    <w:rsid w:val="001643DB"/>
    <w:rsid w:val="001645BB"/>
    <w:rsid w:val="00164672"/>
    <w:rsid w:val="0016480F"/>
    <w:rsid w:val="00164887"/>
    <w:rsid w:val="001649C0"/>
    <w:rsid w:val="00164D96"/>
    <w:rsid w:val="001650B4"/>
    <w:rsid w:val="001651F7"/>
    <w:rsid w:val="001651F8"/>
    <w:rsid w:val="001654D0"/>
    <w:rsid w:val="001654DF"/>
    <w:rsid w:val="001655A7"/>
    <w:rsid w:val="00165695"/>
    <w:rsid w:val="0016588C"/>
    <w:rsid w:val="00165EC3"/>
    <w:rsid w:val="00165F7D"/>
    <w:rsid w:val="00165FF8"/>
    <w:rsid w:val="00166188"/>
    <w:rsid w:val="00166396"/>
    <w:rsid w:val="00166614"/>
    <w:rsid w:val="00166619"/>
    <w:rsid w:val="00166A34"/>
    <w:rsid w:val="00166B23"/>
    <w:rsid w:val="00166BA5"/>
    <w:rsid w:val="00166C26"/>
    <w:rsid w:val="00166E8B"/>
    <w:rsid w:val="00166F0E"/>
    <w:rsid w:val="00167221"/>
    <w:rsid w:val="0016757F"/>
    <w:rsid w:val="00167E9A"/>
    <w:rsid w:val="00167F28"/>
    <w:rsid w:val="0017011A"/>
    <w:rsid w:val="001702D1"/>
    <w:rsid w:val="0017047C"/>
    <w:rsid w:val="0017079E"/>
    <w:rsid w:val="00170B32"/>
    <w:rsid w:val="00170C59"/>
    <w:rsid w:val="00170C9C"/>
    <w:rsid w:val="00170E7E"/>
    <w:rsid w:val="0017111D"/>
    <w:rsid w:val="001712F6"/>
    <w:rsid w:val="00171335"/>
    <w:rsid w:val="00171393"/>
    <w:rsid w:val="001716D9"/>
    <w:rsid w:val="001719F9"/>
    <w:rsid w:val="00171C41"/>
    <w:rsid w:val="00171FE8"/>
    <w:rsid w:val="001723CE"/>
    <w:rsid w:val="0017248F"/>
    <w:rsid w:val="001725AD"/>
    <w:rsid w:val="00172744"/>
    <w:rsid w:val="001728AC"/>
    <w:rsid w:val="00172CAB"/>
    <w:rsid w:val="00172D1F"/>
    <w:rsid w:val="001731B7"/>
    <w:rsid w:val="001731D7"/>
    <w:rsid w:val="001738EB"/>
    <w:rsid w:val="00173F30"/>
    <w:rsid w:val="0017426F"/>
    <w:rsid w:val="001743F8"/>
    <w:rsid w:val="001746F4"/>
    <w:rsid w:val="00174BF4"/>
    <w:rsid w:val="00174F19"/>
    <w:rsid w:val="00174FDF"/>
    <w:rsid w:val="0017502A"/>
    <w:rsid w:val="00175047"/>
    <w:rsid w:val="00175240"/>
    <w:rsid w:val="001755C4"/>
    <w:rsid w:val="001756D8"/>
    <w:rsid w:val="0017572E"/>
    <w:rsid w:val="00175A27"/>
    <w:rsid w:val="00175AA0"/>
    <w:rsid w:val="00176087"/>
    <w:rsid w:val="0017640D"/>
    <w:rsid w:val="001764CC"/>
    <w:rsid w:val="00176AE4"/>
    <w:rsid w:val="00176BE5"/>
    <w:rsid w:val="00176BFD"/>
    <w:rsid w:val="00177023"/>
    <w:rsid w:val="00177420"/>
    <w:rsid w:val="00177781"/>
    <w:rsid w:val="001778AC"/>
    <w:rsid w:val="00177C43"/>
    <w:rsid w:val="00177DEA"/>
    <w:rsid w:val="00177E65"/>
    <w:rsid w:val="0018002F"/>
    <w:rsid w:val="001801C0"/>
    <w:rsid w:val="00180296"/>
    <w:rsid w:val="00180316"/>
    <w:rsid w:val="0018054B"/>
    <w:rsid w:val="001807DC"/>
    <w:rsid w:val="001808D9"/>
    <w:rsid w:val="00180964"/>
    <w:rsid w:val="00180B79"/>
    <w:rsid w:val="00180E34"/>
    <w:rsid w:val="00180F23"/>
    <w:rsid w:val="001813EE"/>
    <w:rsid w:val="00181462"/>
    <w:rsid w:val="001818DC"/>
    <w:rsid w:val="001818F3"/>
    <w:rsid w:val="00181AD2"/>
    <w:rsid w:val="00181BC9"/>
    <w:rsid w:val="00181CEA"/>
    <w:rsid w:val="00181D30"/>
    <w:rsid w:val="00181E25"/>
    <w:rsid w:val="00181E41"/>
    <w:rsid w:val="00182155"/>
    <w:rsid w:val="00182320"/>
    <w:rsid w:val="00182622"/>
    <w:rsid w:val="00182778"/>
    <w:rsid w:val="00182829"/>
    <w:rsid w:val="001829EE"/>
    <w:rsid w:val="00182A69"/>
    <w:rsid w:val="00182A6C"/>
    <w:rsid w:val="00182ABE"/>
    <w:rsid w:val="00182C1D"/>
    <w:rsid w:val="0018319F"/>
    <w:rsid w:val="0018351D"/>
    <w:rsid w:val="00183605"/>
    <w:rsid w:val="0018372F"/>
    <w:rsid w:val="0018375E"/>
    <w:rsid w:val="00183788"/>
    <w:rsid w:val="001839F7"/>
    <w:rsid w:val="00183B86"/>
    <w:rsid w:val="00183BBD"/>
    <w:rsid w:val="00183DAB"/>
    <w:rsid w:val="0018421E"/>
    <w:rsid w:val="001845CD"/>
    <w:rsid w:val="00184749"/>
    <w:rsid w:val="00184784"/>
    <w:rsid w:val="001848A3"/>
    <w:rsid w:val="001850BB"/>
    <w:rsid w:val="001851CC"/>
    <w:rsid w:val="0018573B"/>
    <w:rsid w:val="00185920"/>
    <w:rsid w:val="00185933"/>
    <w:rsid w:val="00186106"/>
    <w:rsid w:val="0018621D"/>
    <w:rsid w:val="001862FB"/>
    <w:rsid w:val="0018642C"/>
    <w:rsid w:val="0018650B"/>
    <w:rsid w:val="001867EA"/>
    <w:rsid w:val="001868CC"/>
    <w:rsid w:val="001868F7"/>
    <w:rsid w:val="001869F0"/>
    <w:rsid w:val="00186BB7"/>
    <w:rsid w:val="00186CAA"/>
    <w:rsid w:val="00186D16"/>
    <w:rsid w:val="00186F0A"/>
    <w:rsid w:val="00186F6B"/>
    <w:rsid w:val="00187267"/>
    <w:rsid w:val="00187380"/>
    <w:rsid w:val="00187452"/>
    <w:rsid w:val="00187716"/>
    <w:rsid w:val="001879D1"/>
    <w:rsid w:val="00187D40"/>
    <w:rsid w:val="00187D8D"/>
    <w:rsid w:val="00187DF0"/>
    <w:rsid w:val="00187F6D"/>
    <w:rsid w:val="0019019F"/>
    <w:rsid w:val="00190276"/>
    <w:rsid w:val="001902AC"/>
    <w:rsid w:val="001906D5"/>
    <w:rsid w:val="001907AC"/>
    <w:rsid w:val="001907C1"/>
    <w:rsid w:val="001907D4"/>
    <w:rsid w:val="00190875"/>
    <w:rsid w:val="00190A61"/>
    <w:rsid w:val="001912E7"/>
    <w:rsid w:val="00191379"/>
    <w:rsid w:val="001913A1"/>
    <w:rsid w:val="001913EE"/>
    <w:rsid w:val="001915FA"/>
    <w:rsid w:val="00191927"/>
    <w:rsid w:val="00191A02"/>
    <w:rsid w:val="00191A3A"/>
    <w:rsid w:val="00191DC8"/>
    <w:rsid w:val="00191E13"/>
    <w:rsid w:val="00191F22"/>
    <w:rsid w:val="00192596"/>
    <w:rsid w:val="0019279C"/>
    <w:rsid w:val="0019288C"/>
    <w:rsid w:val="00192890"/>
    <w:rsid w:val="00192C1A"/>
    <w:rsid w:val="00192E26"/>
    <w:rsid w:val="00192EA5"/>
    <w:rsid w:val="00192F6D"/>
    <w:rsid w:val="00192F87"/>
    <w:rsid w:val="00193490"/>
    <w:rsid w:val="0019353A"/>
    <w:rsid w:val="00193636"/>
    <w:rsid w:val="00193680"/>
    <w:rsid w:val="00193854"/>
    <w:rsid w:val="00193E79"/>
    <w:rsid w:val="00193E8C"/>
    <w:rsid w:val="00193EF3"/>
    <w:rsid w:val="00194053"/>
    <w:rsid w:val="00194271"/>
    <w:rsid w:val="001945A0"/>
    <w:rsid w:val="001946BE"/>
    <w:rsid w:val="001946CC"/>
    <w:rsid w:val="00194CA4"/>
    <w:rsid w:val="0019522C"/>
    <w:rsid w:val="0019522E"/>
    <w:rsid w:val="00195356"/>
    <w:rsid w:val="00195492"/>
    <w:rsid w:val="001954FD"/>
    <w:rsid w:val="00195734"/>
    <w:rsid w:val="001957E1"/>
    <w:rsid w:val="00195862"/>
    <w:rsid w:val="00195964"/>
    <w:rsid w:val="00195CBD"/>
    <w:rsid w:val="00196065"/>
    <w:rsid w:val="001960AE"/>
    <w:rsid w:val="001960E4"/>
    <w:rsid w:val="0019614C"/>
    <w:rsid w:val="001961B2"/>
    <w:rsid w:val="001964B1"/>
    <w:rsid w:val="0019654F"/>
    <w:rsid w:val="00196F8E"/>
    <w:rsid w:val="001970AA"/>
    <w:rsid w:val="00197403"/>
    <w:rsid w:val="001977A9"/>
    <w:rsid w:val="001977F9"/>
    <w:rsid w:val="00197959"/>
    <w:rsid w:val="00197C90"/>
    <w:rsid w:val="00197CBE"/>
    <w:rsid w:val="00197CC2"/>
    <w:rsid w:val="00197F26"/>
    <w:rsid w:val="001A029F"/>
    <w:rsid w:val="001A097D"/>
    <w:rsid w:val="001A0F29"/>
    <w:rsid w:val="001A0F30"/>
    <w:rsid w:val="001A0F9A"/>
    <w:rsid w:val="001A104F"/>
    <w:rsid w:val="001A114C"/>
    <w:rsid w:val="001A1164"/>
    <w:rsid w:val="001A1447"/>
    <w:rsid w:val="001A15F3"/>
    <w:rsid w:val="001A17D2"/>
    <w:rsid w:val="001A1843"/>
    <w:rsid w:val="001A18F0"/>
    <w:rsid w:val="001A1F52"/>
    <w:rsid w:val="001A20FE"/>
    <w:rsid w:val="001A22AC"/>
    <w:rsid w:val="001A28EA"/>
    <w:rsid w:val="001A2EF4"/>
    <w:rsid w:val="001A2F7D"/>
    <w:rsid w:val="001A3032"/>
    <w:rsid w:val="001A3116"/>
    <w:rsid w:val="001A320E"/>
    <w:rsid w:val="001A33E0"/>
    <w:rsid w:val="001A368B"/>
    <w:rsid w:val="001A370A"/>
    <w:rsid w:val="001A37CE"/>
    <w:rsid w:val="001A39D8"/>
    <w:rsid w:val="001A3C11"/>
    <w:rsid w:val="001A3D3F"/>
    <w:rsid w:val="001A4112"/>
    <w:rsid w:val="001A421C"/>
    <w:rsid w:val="001A4330"/>
    <w:rsid w:val="001A4421"/>
    <w:rsid w:val="001A4600"/>
    <w:rsid w:val="001A4758"/>
    <w:rsid w:val="001A49B4"/>
    <w:rsid w:val="001A49E2"/>
    <w:rsid w:val="001A4A98"/>
    <w:rsid w:val="001A4B25"/>
    <w:rsid w:val="001A4D4B"/>
    <w:rsid w:val="001A5044"/>
    <w:rsid w:val="001A51C3"/>
    <w:rsid w:val="001A5404"/>
    <w:rsid w:val="001A546A"/>
    <w:rsid w:val="001A55EF"/>
    <w:rsid w:val="001A57B0"/>
    <w:rsid w:val="001A58FC"/>
    <w:rsid w:val="001A5909"/>
    <w:rsid w:val="001A598D"/>
    <w:rsid w:val="001A5A5A"/>
    <w:rsid w:val="001A5AFD"/>
    <w:rsid w:val="001A5B1D"/>
    <w:rsid w:val="001A5C7A"/>
    <w:rsid w:val="001A5CC3"/>
    <w:rsid w:val="001A5DAD"/>
    <w:rsid w:val="001A5ED1"/>
    <w:rsid w:val="001A6122"/>
    <w:rsid w:val="001A6364"/>
    <w:rsid w:val="001A65CB"/>
    <w:rsid w:val="001A6630"/>
    <w:rsid w:val="001A67B0"/>
    <w:rsid w:val="001A683E"/>
    <w:rsid w:val="001A6849"/>
    <w:rsid w:val="001A6872"/>
    <w:rsid w:val="001A6914"/>
    <w:rsid w:val="001A6AFE"/>
    <w:rsid w:val="001A6B06"/>
    <w:rsid w:val="001A6C6E"/>
    <w:rsid w:val="001A6CA8"/>
    <w:rsid w:val="001A740C"/>
    <w:rsid w:val="001A7821"/>
    <w:rsid w:val="001A7862"/>
    <w:rsid w:val="001A7C92"/>
    <w:rsid w:val="001A7CAC"/>
    <w:rsid w:val="001B0119"/>
    <w:rsid w:val="001B0257"/>
    <w:rsid w:val="001B03E2"/>
    <w:rsid w:val="001B055D"/>
    <w:rsid w:val="001B05B7"/>
    <w:rsid w:val="001B0601"/>
    <w:rsid w:val="001B06F2"/>
    <w:rsid w:val="001B0845"/>
    <w:rsid w:val="001B0884"/>
    <w:rsid w:val="001B0B52"/>
    <w:rsid w:val="001B0B8B"/>
    <w:rsid w:val="001B0CBE"/>
    <w:rsid w:val="001B11CF"/>
    <w:rsid w:val="001B199A"/>
    <w:rsid w:val="001B19B9"/>
    <w:rsid w:val="001B1ACF"/>
    <w:rsid w:val="001B1CE5"/>
    <w:rsid w:val="001B1D36"/>
    <w:rsid w:val="001B1EFF"/>
    <w:rsid w:val="001B1F34"/>
    <w:rsid w:val="001B1F9E"/>
    <w:rsid w:val="001B2165"/>
    <w:rsid w:val="001B216B"/>
    <w:rsid w:val="001B22E9"/>
    <w:rsid w:val="001B25F7"/>
    <w:rsid w:val="001B2694"/>
    <w:rsid w:val="001B26AC"/>
    <w:rsid w:val="001B26CA"/>
    <w:rsid w:val="001B26FF"/>
    <w:rsid w:val="001B2897"/>
    <w:rsid w:val="001B2921"/>
    <w:rsid w:val="001B2AAE"/>
    <w:rsid w:val="001B2B79"/>
    <w:rsid w:val="001B2C66"/>
    <w:rsid w:val="001B2D1A"/>
    <w:rsid w:val="001B2EAE"/>
    <w:rsid w:val="001B2F1C"/>
    <w:rsid w:val="001B2F96"/>
    <w:rsid w:val="001B3147"/>
    <w:rsid w:val="001B3416"/>
    <w:rsid w:val="001B34C0"/>
    <w:rsid w:val="001B3510"/>
    <w:rsid w:val="001B3654"/>
    <w:rsid w:val="001B37F5"/>
    <w:rsid w:val="001B3811"/>
    <w:rsid w:val="001B3C91"/>
    <w:rsid w:val="001B3D26"/>
    <w:rsid w:val="001B42BA"/>
    <w:rsid w:val="001B4376"/>
    <w:rsid w:val="001B445E"/>
    <w:rsid w:val="001B4929"/>
    <w:rsid w:val="001B4ECA"/>
    <w:rsid w:val="001B510B"/>
    <w:rsid w:val="001B511A"/>
    <w:rsid w:val="001B5169"/>
    <w:rsid w:val="001B518B"/>
    <w:rsid w:val="001B520D"/>
    <w:rsid w:val="001B5542"/>
    <w:rsid w:val="001B5A61"/>
    <w:rsid w:val="001B5E77"/>
    <w:rsid w:val="001B5EF6"/>
    <w:rsid w:val="001B5F0D"/>
    <w:rsid w:val="001B60CA"/>
    <w:rsid w:val="001B60EA"/>
    <w:rsid w:val="001B6228"/>
    <w:rsid w:val="001B633E"/>
    <w:rsid w:val="001B641E"/>
    <w:rsid w:val="001B6452"/>
    <w:rsid w:val="001B6711"/>
    <w:rsid w:val="001B6B99"/>
    <w:rsid w:val="001B6F4B"/>
    <w:rsid w:val="001B7153"/>
    <w:rsid w:val="001B7160"/>
    <w:rsid w:val="001B746B"/>
    <w:rsid w:val="001B7500"/>
    <w:rsid w:val="001B75E8"/>
    <w:rsid w:val="001B75FB"/>
    <w:rsid w:val="001B7660"/>
    <w:rsid w:val="001B789F"/>
    <w:rsid w:val="001B7A2A"/>
    <w:rsid w:val="001B7D6A"/>
    <w:rsid w:val="001B7DAB"/>
    <w:rsid w:val="001C06B0"/>
    <w:rsid w:val="001C06CE"/>
    <w:rsid w:val="001C097E"/>
    <w:rsid w:val="001C0F31"/>
    <w:rsid w:val="001C12F0"/>
    <w:rsid w:val="001C13EB"/>
    <w:rsid w:val="001C1628"/>
    <w:rsid w:val="001C17F8"/>
    <w:rsid w:val="001C1828"/>
    <w:rsid w:val="001C1A4C"/>
    <w:rsid w:val="001C227F"/>
    <w:rsid w:val="001C25CF"/>
    <w:rsid w:val="001C2778"/>
    <w:rsid w:val="001C2D24"/>
    <w:rsid w:val="001C2DFB"/>
    <w:rsid w:val="001C3266"/>
    <w:rsid w:val="001C32E1"/>
    <w:rsid w:val="001C33C4"/>
    <w:rsid w:val="001C34CC"/>
    <w:rsid w:val="001C353A"/>
    <w:rsid w:val="001C3A0E"/>
    <w:rsid w:val="001C3AF0"/>
    <w:rsid w:val="001C42CA"/>
    <w:rsid w:val="001C43DB"/>
    <w:rsid w:val="001C44A8"/>
    <w:rsid w:val="001C4541"/>
    <w:rsid w:val="001C45FB"/>
    <w:rsid w:val="001C4703"/>
    <w:rsid w:val="001C4A0E"/>
    <w:rsid w:val="001C4B18"/>
    <w:rsid w:val="001C4D0D"/>
    <w:rsid w:val="001C51AD"/>
    <w:rsid w:val="001C56F5"/>
    <w:rsid w:val="001C6042"/>
    <w:rsid w:val="001C60AD"/>
    <w:rsid w:val="001C62B8"/>
    <w:rsid w:val="001C63B2"/>
    <w:rsid w:val="001C641F"/>
    <w:rsid w:val="001C6736"/>
    <w:rsid w:val="001C6778"/>
    <w:rsid w:val="001C6B08"/>
    <w:rsid w:val="001C6CA1"/>
    <w:rsid w:val="001C7151"/>
    <w:rsid w:val="001C7269"/>
    <w:rsid w:val="001C7274"/>
    <w:rsid w:val="001C75FE"/>
    <w:rsid w:val="001C795F"/>
    <w:rsid w:val="001C7B13"/>
    <w:rsid w:val="001C7EA7"/>
    <w:rsid w:val="001D00C2"/>
    <w:rsid w:val="001D00F2"/>
    <w:rsid w:val="001D056B"/>
    <w:rsid w:val="001D05A1"/>
    <w:rsid w:val="001D062E"/>
    <w:rsid w:val="001D0649"/>
    <w:rsid w:val="001D0681"/>
    <w:rsid w:val="001D0696"/>
    <w:rsid w:val="001D06D9"/>
    <w:rsid w:val="001D0C45"/>
    <w:rsid w:val="001D0FD5"/>
    <w:rsid w:val="001D13FB"/>
    <w:rsid w:val="001D14D5"/>
    <w:rsid w:val="001D1685"/>
    <w:rsid w:val="001D1A5A"/>
    <w:rsid w:val="001D1A62"/>
    <w:rsid w:val="001D1A74"/>
    <w:rsid w:val="001D1E58"/>
    <w:rsid w:val="001D1F5B"/>
    <w:rsid w:val="001D2596"/>
    <w:rsid w:val="001D25AF"/>
    <w:rsid w:val="001D2785"/>
    <w:rsid w:val="001D293F"/>
    <w:rsid w:val="001D296D"/>
    <w:rsid w:val="001D2980"/>
    <w:rsid w:val="001D2A33"/>
    <w:rsid w:val="001D2AF7"/>
    <w:rsid w:val="001D2E72"/>
    <w:rsid w:val="001D2F4A"/>
    <w:rsid w:val="001D32EA"/>
    <w:rsid w:val="001D33E2"/>
    <w:rsid w:val="001D3543"/>
    <w:rsid w:val="001D38A0"/>
    <w:rsid w:val="001D3913"/>
    <w:rsid w:val="001D3955"/>
    <w:rsid w:val="001D3A63"/>
    <w:rsid w:val="001D3A88"/>
    <w:rsid w:val="001D3CE1"/>
    <w:rsid w:val="001D3D77"/>
    <w:rsid w:val="001D3E42"/>
    <w:rsid w:val="001D3F57"/>
    <w:rsid w:val="001D4156"/>
    <w:rsid w:val="001D42B9"/>
    <w:rsid w:val="001D438F"/>
    <w:rsid w:val="001D43CC"/>
    <w:rsid w:val="001D43EA"/>
    <w:rsid w:val="001D4558"/>
    <w:rsid w:val="001D4595"/>
    <w:rsid w:val="001D4696"/>
    <w:rsid w:val="001D46DC"/>
    <w:rsid w:val="001D47E6"/>
    <w:rsid w:val="001D481A"/>
    <w:rsid w:val="001D493C"/>
    <w:rsid w:val="001D4A1A"/>
    <w:rsid w:val="001D4B1D"/>
    <w:rsid w:val="001D4B30"/>
    <w:rsid w:val="001D4D2A"/>
    <w:rsid w:val="001D4D32"/>
    <w:rsid w:val="001D4F2C"/>
    <w:rsid w:val="001D5135"/>
    <w:rsid w:val="001D531D"/>
    <w:rsid w:val="001D5471"/>
    <w:rsid w:val="001D5713"/>
    <w:rsid w:val="001D5817"/>
    <w:rsid w:val="001D5B20"/>
    <w:rsid w:val="001D5E22"/>
    <w:rsid w:val="001D5E9D"/>
    <w:rsid w:val="001D5F8D"/>
    <w:rsid w:val="001D6588"/>
    <w:rsid w:val="001D65F8"/>
    <w:rsid w:val="001D68D3"/>
    <w:rsid w:val="001D6D19"/>
    <w:rsid w:val="001D7165"/>
    <w:rsid w:val="001D76BF"/>
    <w:rsid w:val="001D797D"/>
    <w:rsid w:val="001D7DCE"/>
    <w:rsid w:val="001D7E47"/>
    <w:rsid w:val="001E012B"/>
    <w:rsid w:val="001E012D"/>
    <w:rsid w:val="001E0155"/>
    <w:rsid w:val="001E01AE"/>
    <w:rsid w:val="001E06AA"/>
    <w:rsid w:val="001E0A06"/>
    <w:rsid w:val="001E0AEB"/>
    <w:rsid w:val="001E13C3"/>
    <w:rsid w:val="001E15E0"/>
    <w:rsid w:val="001E1AF8"/>
    <w:rsid w:val="001E1FED"/>
    <w:rsid w:val="001E2038"/>
    <w:rsid w:val="001E2394"/>
    <w:rsid w:val="001E241B"/>
    <w:rsid w:val="001E2561"/>
    <w:rsid w:val="001E26FD"/>
    <w:rsid w:val="001E27F6"/>
    <w:rsid w:val="001E2840"/>
    <w:rsid w:val="001E2947"/>
    <w:rsid w:val="001E295B"/>
    <w:rsid w:val="001E29FF"/>
    <w:rsid w:val="001E2AA4"/>
    <w:rsid w:val="001E2CBA"/>
    <w:rsid w:val="001E2D6C"/>
    <w:rsid w:val="001E30F8"/>
    <w:rsid w:val="001E3155"/>
    <w:rsid w:val="001E333E"/>
    <w:rsid w:val="001E3399"/>
    <w:rsid w:val="001E3506"/>
    <w:rsid w:val="001E3583"/>
    <w:rsid w:val="001E3668"/>
    <w:rsid w:val="001E36B2"/>
    <w:rsid w:val="001E37E2"/>
    <w:rsid w:val="001E38CA"/>
    <w:rsid w:val="001E3A72"/>
    <w:rsid w:val="001E3E85"/>
    <w:rsid w:val="001E3FEF"/>
    <w:rsid w:val="001E40AC"/>
    <w:rsid w:val="001E48BF"/>
    <w:rsid w:val="001E48CE"/>
    <w:rsid w:val="001E4F6D"/>
    <w:rsid w:val="001E5220"/>
    <w:rsid w:val="001E5281"/>
    <w:rsid w:val="001E5299"/>
    <w:rsid w:val="001E53A3"/>
    <w:rsid w:val="001E571C"/>
    <w:rsid w:val="001E5A44"/>
    <w:rsid w:val="001E5A94"/>
    <w:rsid w:val="001E5AFA"/>
    <w:rsid w:val="001E5D60"/>
    <w:rsid w:val="001E5DA1"/>
    <w:rsid w:val="001E60AF"/>
    <w:rsid w:val="001E6416"/>
    <w:rsid w:val="001E6426"/>
    <w:rsid w:val="001E6606"/>
    <w:rsid w:val="001E67A5"/>
    <w:rsid w:val="001E6A2D"/>
    <w:rsid w:val="001E6BF0"/>
    <w:rsid w:val="001E6DC3"/>
    <w:rsid w:val="001E6FCC"/>
    <w:rsid w:val="001E7322"/>
    <w:rsid w:val="001E7453"/>
    <w:rsid w:val="001E79A4"/>
    <w:rsid w:val="001E7CAA"/>
    <w:rsid w:val="001E7EB1"/>
    <w:rsid w:val="001F0033"/>
    <w:rsid w:val="001F00A4"/>
    <w:rsid w:val="001F09AA"/>
    <w:rsid w:val="001F0C0E"/>
    <w:rsid w:val="001F0DA7"/>
    <w:rsid w:val="001F10E8"/>
    <w:rsid w:val="001F158E"/>
    <w:rsid w:val="001F17CE"/>
    <w:rsid w:val="001F2104"/>
    <w:rsid w:val="001F21E1"/>
    <w:rsid w:val="001F2277"/>
    <w:rsid w:val="001F22E2"/>
    <w:rsid w:val="001F2308"/>
    <w:rsid w:val="001F24D3"/>
    <w:rsid w:val="001F26D5"/>
    <w:rsid w:val="001F2795"/>
    <w:rsid w:val="001F28A2"/>
    <w:rsid w:val="001F2A02"/>
    <w:rsid w:val="001F2C0C"/>
    <w:rsid w:val="001F2E9E"/>
    <w:rsid w:val="001F329E"/>
    <w:rsid w:val="001F3353"/>
    <w:rsid w:val="001F33DC"/>
    <w:rsid w:val="001F3518"/>
    <w:rsid w:val="001F3615"/>
    <w:rsid w:val="001F3940"/>
    <w:rsid w:val="001F3956"/>
    <w:rsid w:val="001F3A58"/>
    <w:rsid w:val="001F3F14"/>
    <w:rsid w:val="001F3FCF"/>
    <w:rsid w:val="001F407B"/>
    <w:rsid w:val="001F44D9"/>
    <w:rsid w:val="001F46F2"/>
    <w:rsid w:val="001F4ACA"/>
    <w:rsid w:val="001F4CC5"/>
    <w:rsid w:val="001F56CB"/>
    <w:rsid w:val="001F5C06"/>
    <w:rsid w:val="001F5CA1"/>
    <w:rsid w:val="001F5EB2"/>
    <w:rsid w:val="001F60B0"/>
    <w:rsid w:val="001F61D4"/>
    <w:rsid w:val="001F6461"/>
    <w:rsid w:val="001F6813"/>
    <w:rsid w:val="001F6997"/>
    <w:rsid w:val="001F6A2C"/>
    <w:rsid w:val="001F6AB1"/>
    <w:rsid w:val="001F6AD0"/>
    <w:rsid w:val="001F6C39"/>
    <w:rsid w:val="001F6E06"/>
    <w:rsid w:val="001F7063"/>
    <w:rsid w:val="001F72E9"/>
    <w:rsid w:val="001F730C"/>
    <w:rsid w:val="001F762E"/>
    <w:rsid w:val="001F7704"/>
    <w:rsid w:val="001F7B74"/>
    <w:rsid w:val="001F7BCE"/>
    <w:rsid w:val="001F7D03"/>
    <w:rsid w:val="00200283"/>
    <w:rsid w:val="0020050B"/>
    <w:rsid w:val="002005C8"/>
    <w:rsid w:val="00200677"/>
    <w:rsid w:val="002008EC"/>
    <w:rsid w:val="00200920"/>
    <w:rsid w:val="002009EC"/>
    <w:rsid w:val="00200A8A"/>
    <w:rsid w:val="00200D5C"/>
    <w:rsid w:val="00200EF4"/>
    <w:rsid w:val="00201207"/>
    <w:rsid w:val="00201605"/>
    <w:rsid w:val="0020164B"/>
    <w:rsid w:val="002016DB"/>
    <w:rsid w:val="00201716"/>
    <w:rsid w:val="00201BAF"/>
    <w:rsid w:val="00201C44"/>
    <w:rsid w:val="00201EF6"/>
    <w:rsid w:val="00201F32"/>
    <w:rsid w:val="002020D6"/>
    <w:rsid w:val="00202106"/>
    <w:rsid w:val="00202162"/>
    <w:rsid w:val="002021AE"/>
    <w:rsid w:val="00202233"/>
    <w:rsid w:val="002022A6"/>
    <w:rsid w:val="00202891"/>
    <w:rsid w:val="00202BE6"/>
    <w:rsid w:val="00202E05"/>
    <w:rsid w:val="00202EF5"/>
    <w:rsid w:val="00202F83"/>
    <w:rsid w:val="002038B8"/>
    <w:rsid w:val="00203AEE"/>
    <w:rsid w:val="00203EB1"/>
    <w:rsid w:val="00203EB4"/>
    <w:rsid w:val="0020474D"/>
    <w:rsid w:val="002047C5"/>
    <w:rsid w:val="00204950"/>
    <w:rsid w:val="002049A7"/>
    <w:rsid w:val="00204CE6"/>
    <w:rsid w:val="00204E90"/>
    <w:rsid w:val="00205000"/>
    <w:rsid w:val="0020527E"/>
    <w:rsid w:val="00205616"/>
    <w:rsid w:val="00205797"/>
    <w:rsid w:val="00205C8A"/>
    <w:rsid w:val="00205CCF"/>
    <w:rsid w:val="00205F90"/>
    <w:rsid w:val="002061BB"/>
    <w:rsid w:val="002061C1"/>
    <w:rsid w:val="002062B1"/>
    <w:rsid w:val="002064E9"/>
    <w:rsid w:val="0020682F"/>
    <w:rsid w:val="00206C75"/>
    <w:rsid w:val="00206EC4"/>
    <w:rsid w:val="00206F4E"/>
    <w:rsid w:val="00207135"/>
    <w:rsid w:val="00207613"/>
    <w:rsid w:val="00207774"/>
    <w:rsid w:val="0020794C"/>
    <w:rsid w:val="00207DF8"/>
    <w:rsid w:val="00210112"/>
    <w:rsid w:val="00210293"/>
    <w:rsid w:val="00210297"/>
    <w:rsid w:val="00210698"/>
    <w:rsid w:val="00210776"/>
    <w:rsid w:val="0021082D"/>
    <w:rsid w:val="00210BA7"/>
    <w:rsid w:val="00210BF6"/>
    <w:rsid w:val="0021120A"/>
    <w:rsid w:val="002112A3"/>
    <w:rsid w:val="002112B0"/>
    <w:rsid w:val="00211502"/>
    <w:rsid w:val="00211551"/>
    <w:rsid w:val="00211878"/>
    <w:rsid w:val="00211907"/>
    <w:rsid w:val="002119A9"/>
    <w:rsid w:val="00211A62"/>
    <w:rsid w:val="00211E3A"/>
    <w:rsid w:val="00211E46"/>
    <w:rsid w:val="00212003"/>
    <w:rsid w:val="00212204"/>
    <w:rsid w:val="00212541"/>
    <w:rsid w:val="002125DD"/>
    <w:rsid w:val="002128CA"/>
    <w:rsid w:val="002128E4"/>
    <w:rsid w:val="00212A24"/>
    <w:rsid w:val="00212B1D"/>
    <w:rsid w:val="00212B78"/>
    <w:rsid w:val="00212D1F"/>
    <w:rsid w:val="00212D21"/>
    <w:rsid w:val="00212F8B"/>
    <w:rsid w:val="002132AF"/>
    <w:rsid w:val="002132D6"/>
    <w:rsid w:val="00213406"/>
    <w:rsid w:val="002136F6"/>
    <w:rsid w:val="00213959"/>
    <w:rsid w:val="00213A01"/>
    <w:rsid w:val="00213DBB"/>
    <w:rsid w:val="00213EA0"/>
    <w:rsid w:val="00213FE0"/>
    <w:rsid w:val="0021402A"/>
    <w:rsid w:val="00214173"/>
    <w:rsid w:val="0021430A"/>
    <w:rsid w:val="00214709"/>
    <w:rsid w:val="00214957"/>
    <w:rsid w:val="00214989"/>
    <w:rsid w:val="002149D5"/>
    <w:rsid w:val="00214DB3"/>
    <w:rsid w:val="00214DF0"/>
    <w:rsid w:val="00214F5C"/>
    <w:rsid w:val="002152B3"/>
    <w:rsid w:val="002153F8"/>
    <w:rsid w:val="00215691"/>
    <w:rsid w:val="0021580A"/>
    <w:rsid w:val="002158C3"/>
    <w:rsid w:val="00215C33"/>
    <w:rsid w:val="00215D35"/>
    <w:rsid w:val="00215D8C"/>
    <w:rsid w:val="00215EBE"/>
    <w:rsid w:val="00216337"/>
    <w:rsid w:val="002166A7"/>
    <w:rsid w:val="00216970"/>
    <w:rsid w:val="00216B41"/>
    <w:rsid w:val="00216B97"/>
    <w:rsid w:val="00216C63"/>
    <w:rsid w:val="00216E40"/>
    <w:rsid w:val="00216E7B"/>
    <w:rsid w:val="00216E8E"/>
    <w:rsid w:val="002171BA"/>
    <w:rsid w:val="00217276"/>
    <w:rsid w:val="002179D2"/>
    <w:rsid w:val="00217DF4"/>
    <w:rsid w:val="00217E95"/>
    <w:rsid w:val="00217F33"/>
    <w:rsid w:val="0022022A"/>
    <w:rsid w:val="0022027E"/>
    <w:rsid w:val="002205AF"/>
    <w:rsid w:val="00220670"/>
    <w:rsid w:val="00220DD1"/>
    <w:rsid w:val="00221481"/>
    <w:rsid w:val="002214C2"/>
    <w:rsid w:val="002215ED"/>
    <w:rsid w:val="002216BF"/>
    <w:rsid w:val="0022173A"/>
    <w:rsid w:val="00221811"/>
    <w:rsid w:val="00221AF2"/>
    <w:rsid w:val="00221C08"/>
    <w:rsid w:val="00221C3E"/>
    <w:rsid w:val="00221D37"/>
    <w:rsid w:val="00221D70"/>
    <w:rsid w:val="00222037"/>
    <w:rsid w:val="002220E0"/>
    <w:rsid w:val="0022242D"/>
    <w:rsid w:val="0022271E"/>
    <w:rsid w:val="00222C0B"/>
    <w:rsid w:val="00222C79"/>
    <w:rsid w:val="00222CA6"/>
    <w:rsid w:val="00222D43"/>
    <w:rsid w:val="00222D94"/>
    <w:rsid w:val="002231BC"/>
    <w:rsid w:val="00223609"/>
    <w:rsid w:val="002236BE"/>
    <w:rsid w:val="002237FE"/>
    <w:rsid w:val="00223901"/>
    <w:rsid w:val="00223D91"/>
    <w:rsid w:val="00223E22"/>
    <w:rsid w:val="0022431E"/>
    <w:rsid w:val="0022457C"/>
    <w:rsid w:val="00224635"/>
    <w:rsid w:val="00224E15"/>
    <w:rsid w:val="0022574D"/>
    <w:rsid w:val="002257E5"/>
    <w:rsid w:val="00225AFE"/>
    <w:rsid w:val="00225B18"/>
    <w:rsid w:val="00225B6B"/>
    <w:rsid w:val="00225EF1"/>
    <w:rsid w:val="00225FBA"/>
    <w:rsid w:val="002260B9"/>
    <w:rsid w:val="0022623A"/>
    <w:rsid w:val="00226308"/>
    <w:rsid w:val="00226501"/>
    <w:rsid w:val="0022683A"/>
    <w:rsid w:val="00226880"/>
    <w:rsid w:val="0022697D"/>
    <w:rsid w:val="00227045"/>
    <w:rsid w:val="002270EF"/>
    <w:rsid w:val="0022717E"/>
    <w:rsid w:val="0022724A"/>
    <w:rsid w:val="002275EC"/>
    <w:rsid w:val="00227743"/>
    <w:rsid w:val="002277E3"/>
    <w:rsid w:val="002279CB"/>
    <w:rsid w:val="00227B08"/>
    <w:rsid w:val="00227D02"/>
    <w:rsid w:val="002301CC"/>
    <w:rsid w:val="00230423"/>
    <w:rsid w:val="0023054B"/>
    <w:rsid w:val="002305B7"/>
    <w:rsid w:val="00231326"/>
    <w:rsid w:val="00231549"/>
    <w:rsid w:val="0023175A"/>
    <w:rsid w:val="00231796"/>
    <w:rsid w:val="00231A2F"/>
    <w:rsid w:val="00231A64"/>
    <w:rsid w:val="00231A8D"/>
    <w:rsid w:val="0023224E"/>
    <w:rsid w:val="002322F3"/>
    <w:rsid w:val="002323F3"/>
    <w:rsid w:val="002324C1"/>
    <w:rsid w:val="00232810"/>
    <w:rsid w:val="00232928"/>
    <w:rsid w:val="00232A93"/>
    <w:rsid w:val="00232CEC"/>
    <w:rsid w:val="00232E1A"/>
    <w:rsid w:val="002330C7"/>
    <w:rsid w:val="0023314E"/>
    <w:rsid w:val="002331DF"/>
    <w:rsid w:val="002333A3"/>
    <w:rsid w:val="0023381F"/>
    <w:rsid w:val="00233C2B"/>
    <w:rsid w:val="00233C48"/>
    <w:rsid w:val="00233D24"/>
    <w:rsid w:val="00233EC8"/>
    <w:rsid w:val="0023424F"/>
    <w:rsid w:val="00234257"/>
    <w:rsid w:val="00234337"/>
    <w:rsid w:val="002343A4"/>
    <w:rsid w:val="002344A8"/>
    <w:rsid w:val="0023466C"/>
    <w:rsid w:val="00234746"/>
    <w:rsid w:val="0023489A"/>
    <w:rsid w:val="002349B4"/>
    <w:rsid w:val="00234BC7"/>
    <w:rsid w:val="00234C97"/>
    <w:rsid w:val="00234CFE"/>
    <w:rsid w:val="00234EAF"/>
    <w:rsid w:val="00234F08"/>
    <w:rsid w:val="0023505F"/>
    <w:rsid w:val="0023523E"/>
    <w:rsid w:val="002354B3"/>
    <w:rsid w:val="00235656"/>
    <w:rsid w:val="00235795"/>
    <w:rsid w:val="002357E4"/>
    <w:rsid w:val="00235959"/>
    <w:rsid w:val="00235CD4"/>
    <w:rsid w:val="0023608B"/>
    <w:rsid w:val="002360D1"/>
    <w:rsid w:val="002361BC"/>
    <w:rsid w:val="002361CB"/>
    <w:rsid w:val="00236785"/>
    <w:rsid w:val="00236F14"/>
    <w:rsid w:val="002370C6"/>
    <w:rsid w:val="0023716F"/>
    <w:rsid w:val="002373F3"/>
    <w:rsid w:val="00237453"/>
    <w:rsid w:val="0023766D"/>
    <w:rsid w:val="002376B3"/>
    <w:rsid w:val="00237702"/>
    <w:rsid w:val="00237995"/>
    <w:rsid w:val="002379D6"/>
    <w:rsid w:val="00237A54"/>
    <w:rsid w:val="00237C16"/>
    <w:rsid w:val="00237FA8"/>
    <w:rsid w:val="0024003D"/>
    <w:rsid w:val="00240137"/>
    <w:rsid w:val="0024020A"/>
    <w:rsid w:val="002402FE"/>
    <w:rsid w:val="00240584"/>
    <w:rsid w:val="00240685"/>
    <w:rsid w:val="00240B6C"/>
    <w:rsid w:val="00241155"/>
    <w:rsid w:val="002411FD"/>
    <w:rsid w:val="002412AA"/>
    <w:rsid w:val="002412AC"/>
    <w:rsid w:val="0024130A"/>
    <w:rsid w:val="0024141F"/>
    <w:rsid w:val="0024146F"/>
    <w:rsid w:val="00241673"/>
    <w:rsid w:val="00241C43"/>
    <w:rsid w:val="00241F5D"/>
    <w:rsid w:val="00242048"/>
    <w:rsid w:val="002421A9"/>
    <w:rsid w:val="00242563"/>
    <w:rsid w:val="00242716"/>
    <w:rsid w:val="0024293C"/>
    <w:rsid w:val="00243252"/>
    <w:rsid w:val="00243572"/>
    <w:rsid w:val="002436DD"/>
    <w:rsid w:val="002436DF"/>
    <w:rsid w:val="00243724"/>
    <w:rsid w:val="00243818"/>
    <w:rsid w:val="002438B7"/>
    <w:rsid w:val="00243CCF"/>
    <w:rsid w:val="00243DC4"/>
    <w:rsid w:val="002441EC"/>
    <w:rsid w:val="002443BD"/>
    <w:rsid w:val="00244562"/>
    <w:rsid w:val="002448BD"/>
    <w:rsid w:val="00244F42"/>
    <w:rsid w:val="002450A4"/>
    <w:rsid w:val="00245275"/>
    <w:rsid w:val="00245796"/>
    <w:rsid w:val="002458BD"/>
    <w:rsid w:val="00245A03"/>
    <w:rsid w:val="00245DB6"/>
    <w:rsid w:val="00246265"/>
    <w:rsid w:val="0024659F"/>
    <w:rsid w:val="0024691D"/>
    <w:rsid w:val="00246B82"/>
    <w:rsid w:val="00246D06"/>
    <w:rsid w:val="00246E64"/>
    <w:rsid w:val="00246FB1"/>
    <w:rsid w:val="0024714E"/>
    <w:rsid w:val="002474B2"/>
    <w:rsid w:val="00247531"/>
    <w:rsid w:val="00250311"/>
    <w:rsid w:val="002505E0"/>
    <w:rsid w:val="0025089A"/>
    <w:rsid w:val="00250EDE"/>
    <w:rsid w:val="00250F82"/>
    <w:rsid w:val="0025118F"/>
    <w:rsid w:val="0025124F"/>
    <w:rsid w:val="0025129B"/>
    <w:rsid w:val="002512C0"/>
    <w:rsid w:val="00251421"/>
    <w:rsid w:val="002514E0"/>
    <w:rsid w:val="002516D0"/>
    <w:rsid w:val="00251718"/>
    <w:rsid w:val="0025173B"/>
    <w:rsid w:val="002518AB"/>
    <w:rsid w:val="00251A50"/>
    <w:rsid w:val="00251B48"/>
    <w:rsid w:val="00251BA7"/>
    <w:rsid w:val="002520C4"/>
    <w:rsid w:val="00252225"/>
    <w:rsid w:val="002522AC"/>
    <w:rsid w:val="0025267F"/>
    <w:rsid w:val="00252905"/>
    <w:rsid w:val="002530D1"/>
    <w:rsid w:val="002534E6"/>
    <w:rsid w:val="00253A40"/>
    <w:rsid w:val="00253B3C"/>
    <w:rsid w:val="00253BB9"/>
    <w:rsid w:val="00253D82"/>
    <w:rsid w:val="00253DAC"/>
    <w:rsid w:val="00253E7C"/>
    <w:rsid w:val="00253F27"/>
    <w:rsid w:val="00253F3E"/>
    <w:rsid w:val="002542A8"/>
    <w:rsid w:val="00254770"/>
    <w:rsid w:val="00254F8C"/>
    <w:rsid w:val="00254F9E"/>
    <w:rsid w:val="00254FDC"/>
    <w:rsid w:val="00255116"/>
    <w:rsid w:val="0025538E"/>
    <w:rsid w:val="00255485"/>
    <w:rsid w:val="0025563B"/>
    <w:rsid w:val="002556C7"/>
    <w:rsid w:val="0025606E"/>
    <w:rsid w:val="002567FC"/>
    <w:rsid w:val="00256852"/>
    <w:rsid w:val="00256964"/>
    <w:rsid w:val="0025696E"/>
    <w:rsid w:val="00256FD7"/>
    <w:rsid w:val="0025707C"/>
    <w:rsid w:val="002578C0"/>
    <w:rsid w:val="002578CB"/>
    <w:rsid w:val="00257A81"/>
    <w:rsid w:val="00257A95"/>
    <w:rsid w:val="00257C2B"/>
    <w:rsid w:val="00257C4A"/>
    <w:rsid w:val="00257D4F"/>
    <w:rsid w:val="00257E57"/>
    <w:rsid w:val="00257FDA"/>
    <w:rsid w:val="0026000D"/>
    <w:rsid w:val="0026006B"/>
    <w:rsid w:val="002601F1"/>
    <w:rsid w:val="002601FF"/>
    <w:rsid w:val="002605E5"/>
    <w:rsid w:val="00260B19"/>
    <w:rsid w:val="00260D31"/>
    <w:rsid w:val="00260DFF"/>
    <w:rsid w:val="00260EFE"/>
    <w:rsid w:val="0026117E"/>
    <w:rsid w:val="002612D0"/>
    <w:rsid w:val="0026135A"/>
    <w:rsid w:val="002614BA"/>
    <w:rsid w:val="002614FB"/>
    <w:rsid w:val="00261526"/>
    <w:rsid w:val="00261595"/>
    <w:rsid w:val="002615E0"/>
    <w:rsid w:val="00261B64"/>
    <w:rsid w:val="00261BA1"/>
    <w:rsid w:val="00261C86"/>
    <w:rsid w:val="0026277E"/>
    <w:rsid w:val="0026281C"/>
    <w:rsid w:val="00262ACC"/>
    <w:rsid w:val="00262AE0"/>
    <w:rsid w:val="00262DFF"/>
    <w:rsid w:val="00262E66"/>
    <w:rsid w:val="00262ECB"/>
    <w:rsid w:val="0026302F"/>
    <w:rsid w:val="00263235"/>
    <w:rsid w:val="00263270"/>
    <w:rsid w:val="00263453"/>
    <w:rsid w:val="00263458"/>
    <w:rsid w:val="00263572"/>
    <w:rsid w:val="0026395C"/>
    <w:rsid w:val="00263BD9"/>
    <w:rsid w:val="00263E29"/>
    <w:rsid w:val="0026402E"/>
    <w:rsid w:val="002641EE"/>
    <w:rsid w:val="0026426C"/>
    <w:rsid w:val="002642E3"/>
    <w:rsid w:val="0026462A"/>
    <w:rsid w:val="00265114"/>
    <w:rsid w:val="002651C8"/>
    <w:rsid w:val="00265426"/>
    <w:rsid w:val="0026550D"/>
    <w:rsid w:val="0026589E"/>
    <w:rsid w:val="002658AD"/>
    <w:rsid w:val="00265C63"/>
    <w:rsid w:val="00265CBF"/>
    <w:rsid w:val="00265E5F"/>
    <w:rsid w:val="00265F6D"/>
    <w:rsid w:val="0026614F"/>
    <w:rsid w:val="002662EA"/>
    <w:rsid w:val="002664B9"/>
    <w:rsid w:val="0026660E"/>
    <w:rsid w:val="00266651"/>
    <w:rsid w:val="002666E2"/>
    <w:rsid w:val="00266829"/>
    <w:rsid w:val="00266A4F"/>
    <w:rsid w:val="00266B13"/>
    <w:rsid w:val="00266BE2"/>
    <w:rsid w:val="002671BA"/>
    <w:rsid w:val="002673D7"/>
    <w:rsid w:val="00267A6A"/>
    <w:rsid w:val="00267AA0"/>
    <w:rsid w:val="00267AB8"/>
    <w:rsid w:val="00267B8B"/>
    <w:rsid w:val="00267E54"/>
    <w:rsid w:val="00267EDF"/>
    <w:rsid w:val="0027034A"/>
    <w:rsid w:val="00270381"/>
    <w:rsid w:val="0027058D"/>
    <w:rsid w:val="0027060A"/>
    <w:rsid w:val="002707C1"/>
    <w:rsid w:val="00270823"/>
    <w:rsid w:val="00270A94"/>
    <w:rsid w:val="00270ABC"/>
    <w:rsid w:val="00270D63"/>
    <w:rsid w:val="00270F0E"/>
    <w:rsid w:val="00270F90"/>
    <w:rsid w:val="00270FCC"/>
    <w:rsid w:val="00271119"/>
    <w:rsid w:val="0027131A"/>
    <w:rsid w:val="00271767"/>
    <w:rsid w:val="00271886"/>
    <w:rsid w:val="002719B7"/>
    <w:rsid w:val="00271A6A"/>
    <w:rsid w:val="00271E01"/>
    <w:rsid w:val="00271E20"/>
    <w:rsid w:val="00271E8F"/>
    <w:rsid w:val="002720D3"/>
    <w:rsid w:val="00272252"/>
    <w:rsid w:val="0027238B"/>
    <w:rsid w:val="00272590"/>
    <w:rsid w:val="0027285A"/>
    <w:rsid w:val="00272A25"/>
    <w:rsid w:val="00272A64"/>
    <w:rsid w:val="00272B07"/>
    <w:rsid w:val="00272B23"/>
    <w:rsid w:val="00272C9A"/>
    <w:rsid w:val="00272FDE"/>
    <w:rsid w:val="0027308B"/>
    <w:rsid w:val="002731E9"/>
    <w:rsid w:val="002732F5"/>
    <w:rsid w:val="002734C8"/>
    <w:rsid w:val="00273538"/>
    <w:rsid w:val="00273558"/>
    <w:rsid w:val="00273569"/>
    <w:rsid w:val="002736A2"/>
    <w:rsid w:val="00273A39"/>
    <w:rsid w:val="00273FF5"/>
    <w:rsid w:val="002740E7"/>
    <w:rsid w:val="0027412B"/>
    <w:rsid w:val="002742B2"/>
    <w:rsid w:val="0027443B"/>
    <w:rsid w:val="002746DA"/>
    <w:rsid w:val="00274860"/>
    <w:rsid w:val="00274CEE"/>
    <w:rsid w:val="00274DC4"/>
    <w:rsid w:val="002750FA"/>
    <w:rsid w:val="002753E2"/>
    <w:rsid w:val="0027555D"/>
    <w:rsid w:val="0027564A"/>
    <w:rsid w:val="0027565A"/>
    <w:rsid w:val="002757D1"/>
    <w:rsid w:val="00275A7F"/>
    <w:rsid w:val="00275C6F"/>
    <w:rsid w:val="00275D99"/>
    <w:rsid w:val="00275DC4"/>
    <w:rsid w:val="002765B8"/>
    <w:rsid w:val="002768FE"/>
    <w:rsid w:val="0027691C"/>
    <w:rsid w:val="00276D01"/>
    <w:rsid w:val="00276DA7"/>
    <w:rsid w:val="00276EF4"/>
    <w:rsid w:val="00277243"/>
    <w:rsid w:val="002772F1"/>
    <w:rsid w:val="002774A4"/>
    <w:rsid w:val="002774E9"/>
    <w:rsid w:val="00277A8B"/>
    <w:rsid w:val="00277BA0"/>
    <w:rsid w:val="00277CC7"/>
    <w:rsid w:val="00277E01"/>
    <w:rsid w:val="002801A2"/>
    <w:rsid w:val="00280319"/>
    <w:rsid w:val="002808D0"/>
    <w:rsid w:val="00280AE7"/>
    <w:rsid w:val="00280AEF"/>
    <w:rsid w:val="00280CE4"/>
    <w:rsid w:val="00281331"/>
    <w:rsid w:val="002813A0"/>
    <w:rsid w:val="0028148F"/>
    <w:rsid w:val="002815CA"/>
    <w:rsid w:val="002815F7"/>
    <w:rsid w:val="00281608"/>
    <w:rsid w:val="0028165B"/>
    <w:rsid w:val="002818B6"/>
    <w:rsid w:val="00281A37"/>
    <w:rsid w:val="00281A43"/>
    <w:rsid w:val="00281B3F"/>
    <w:rsid w:val="00281B4E"/>
    <w:rsid w:val="00281B6B"/>
    <w:rsid w:val="00281B7A"/>
    <w:rsid w:val="00281CB1"/>
    <w:rsid w:val="00281D52"/>
    <w:rsid w:val="00282382"/>
    <w:rsid w:val="00282559"/>
    <w:rsid w:val="002826E2"/>
    <w:rsid w:val="00282A0E"/>
    <w:rsid w:val="00282AAB"/>
    <w:rsid w:val="00282B26"/>
    <w:rsid w:val="00282B50"/>
    <w:rsid w:val="00282BDD"/>
    <w:rsid w:val="002832C4"/>
    <w:rsid w:val="00283DD8"/>
    <w:rsid w:val="00283ED2"/>
    <w:rsid w:val="002840A5"/>
    <w:rsid w:val="002840E6"/>
    <w:rsid w:val="00284145"/>
    <w:rsid w:val="00284658"/>
    <w:rsid w:val="002848A8"/>
    <w:rsid w:val="00284BEE"/>
    <w:rsid w:val="00284E33"/>
    <w:rsid w:val="00284F5E"/>
    <w:rsid w:val="00284FA6"/>
    <w:rsid w:val="002850F5"/>
    <w:rsid w:val="002851AE"/>
    <w:rsid w:val="0028522F"/>
    <w:rsid w:val="002852DF"/>
    <w:rsid w:val="002855AE"/>
    <w:rsid w:val="00285A1A"/>
    <w:rsid w:val="00285AEF"/>
    <w:rsid w:val="00285B7B"/>
    <w:rsid w:val="00285C1D"/>
    <w:rsid w:val="00285F71"/>
    <w:rsid w:val="0028605C"/>
    <w:rsid w:val="002861B4"/>
    <w:rsid w:val="00286324"/>
    <w:rsid w:val="00286591"/>
    <w:rsid w:val="002867A5"/>
    <w:rsid w:val="00286AD1"/>
    <w:rsid w:val="00286C0A"/>
    <w:rsid w:val="00286D52"/>
    <w:rsid w:val="00287072"/>
    <w:rsid w:val="00287080"/>
    <w:rsid w:val="00287120"/>
    <w:rsid w:val="00287198"/>
    <w:rsid w:val="00287B37"/>
    <w:rsid w:val="00287DB7"/>
    <w:rsid w:val="00287FB1"/>
    <w:rsid w:val="0029032E"/>
    <w:rsid w:val="0029044C"/>
    <w:rsid w:val="00290456"/>
    <w:rsid w:val="0029064B"/>
    <w:rsid w:val="00290872"/>
    <w:rsid w:val="00290A74"/>
    <w:rsid w:val="00290DFD"/>
    <w:rsid w:val="00291136"/>
    <w:rsid w:val="002911F3"/>
    <w:rsid w:val="002912AE"/>
    <w:rsid w:val="0029130B"/>
    <w:rsid w:val="0029159A"/>
    <w:rsid w:val="0029166D"/>
    <w:rsid w:val="00291760"/>
    <w:rsid w:val="002917DC"/>
    <w:rsid w:val="00291AF8"/>
    <w:rsid w:val="00291BC8"/>
    <w:rsid w:val="00291D3E"/>
    <w:rsid w:val="00291E7D"/>
    <w:rsid w:val="00291F69"/>
    <w:rsid w:val="002926C2"/>
    <w:rsid w:val="00292890"/>
    <w:rsid w:val="002929D1"/>
    <w:rsid w:val="00292A8D"/>
    <w:rsid w:val="00292D6A"/>
    <w:rsid w:val="00292DED"/>
    <w:rsid w:val="00292E38"/>
    <w:rsid w:val="00292F7D"/>
    <w:rsid w:val="00292FB7"/>
    <w:rsid w:val="00293103"/>
    <w:rsid w:val="00293167"/>
    <w:rsid w:val="002931B5"/>
    <w:rsid w:val="002931C0"/>
    <w:rsid w:val="00293AE9"/>
    <w:rsid w:val="002944F4"/>
    <w:rsid w:val="0029451F"/>
    <w:rsid w:val="00294A4A"/>
    <w:rsid w:val="00294AED"/>
    <w:rsid w:val="00294BE1"/>
    <w:rsid w:val="00294F07"/>
    <w:rsid w:val="0029549E"/>
    <w:rsid w:val="002954B6"/>
    <w:rsid w:val="002954BD"/>
    <w:rsid w:val="00295992"/>
    <w:rsid w:val="002959E6"/>
    <w:rsid w:val="00295B12"/>
    <w:rsid w:val="0029626D"/>
    <w:rsid w:val="0029633D"/>
    <w:rsid w:val="002965F9"/>
    <w:rsid w:val="00296878"/>
    <w:rsid w:val="00296A66"/>
    <w:rsid w:val="00297364"/>
    <w:rsid w:val="0029741E"/>
    <w:rsid w:val="0029753B"/>
    <w:rsid w:val="00297653"/>
    <w:rsid w:val="0029797A"/>
    <w:rsid w:val="002A017F"/>
    <w:rsid w:val="002A018F"/>
    <w:rsid w:val="002A01DB"/>
    <w:rsid w:val="002A02CD"/>
    <w:rsid w:val="002A0B83"/>
    <w:rsid w:val="002A0E23"/>
    <w:rsid w:val="002A0E55"/>
    <w:rsid w:val="002A0E80"/>
    <w:rsid w:val="002A0F59"/>
    <w:rsid w:val="002A0FC5"/>
    <w:rsid w:val="002A123C"/>
    <w:rsid w:val="002A166D"/>
    <w:rsid w:val="002A1B54"/>
    <w:rsid w:val="002A1BB6"/>
    <w:rsid w:val="002A1BD2"/>
    <w:rsid w:val="002A1C1A"/>
    <w:rsid w:val="002A1E66"/>
    <w:rsid w:val="002A2105"/>
    <w:rsid w:val="002A2216"/>
    <w:rsid w:val="002A2292"/>
    <w:rsid w:val="002A2305"/>
    <w:rsid w:val="002A2347"/>
    <w:rsid w:val="002A255E"/>
    <w:rsid w:val="002A257E"/>
    <w:rsid w:val="002A25ED"/>
    <w:rsid w:val="002A2895"/>
    <w:rsid w:val="002A2E56"/>
    <w:rsid w:val="002A2F19"/>
    <w:rsid w:val="002A3200"/>
    <w:rsid w:val="002A33BD"/>
    <w:rsid w:val="002A3561"/>
    <w:rsid w:val="002A3693"/>
    <w:rsid w:val="002A37EB"/>
    <w:rsid w:val="002A37FB"/>
    <w:rsid w:val="002A3AFA"/>
    <w:rsid w:val="002A3CB5"/>
    <w:rsid w:val="002A3D8F"/>
    <w:rsid w:val="002A3DFB"/>
    <w:rsid w:val="002A3E72"/>
    <w:rsid w:val="002A3E92"/>
    <w:rsid w:val="002A4096"/>
    <w:rsid w:val="002A46EF"/>
    <w:rsid w:val="002A4F81"/>
    <w:rsid w:val="002A5094"/>
    <w:rsid w:val="002A52D4"/>
    <w:rsid w:val="002A5486"/>
    <w:rsid w:val="002A54FD"/>
    <w:rsid w:val="002A5508"/>
    <w:rsid w:val="002A561C"/>
    <w:rsid w:val="002A57CD"/>
    <w:rsid w:val="002A58D9"/>
    <w:rsid w:val="002A5A1D"/>
    <w:rsid w:val="002A5B5D"/>
    <w:rsid w:val="002A5BC6"/>
    <w:rsid w:val="002A5F32"/>
    <w:rsid w:val="002A5F4F"/>
    <w:rsid w:val="002A62F1"/>
    <w:rsid w:val="002A6368"/>
    <w:rsid w:val="002A660D"/>
    <w:rsid w:val="002A6868"/>
    <w:rsid w:val="002A6C96"/>
    <w:rsid w:val="002A6CB9"/>
    <w:rsid w:val="002A6DDC"/>
    <w:rsid w:val="002A6F47"/>
    <w:rsid w:val="002A718F"/>
    <w:rsid w:val="002A71B5"/>
    <w:rsid w:val="002A71CD"/>
    <w:rsid w:val="002A7257"/>
    <w:rsid w:val="002A737C"/>
    <w:rsid w:val="002A7440"/>
    <w:rsid w:val="002A74DA"/>
    <w:rsid w:val="002A7BA4"/>
    <w:rsid w:val="002A7C88"/>
    <w:rsid w:val="002A7E5E"/>
    <w:rsid w:val="002B0080"/>
    <w:rsid w:val="002B03D0"/>
    <w:rsid w:val="002B0467"/>
    <w:rsid w:val="002B0750"/>
    <w:rsid w:val="002B078E"/>
    <w:rsid w:val="002B0883"/>
    <w:rsid w:val="002B08E4"/>
    <w:rsid w:val="002B0A80"/>
    <w:rsid w:val="002B0AC4"/>
    <w:rsid w:val="002B0BE2"/>
    <w:rsid w:val="002B0E53"/>
    <w:rsid w:val="002B11B6"/>
    <w:rsid w:val="002B132A"/>
    <w:rsid w:val="002B144A"/>
    <w:rsid w:val="002B158E"/>
    <w:rsid w:val="002B169E"/>
    <w:rsid w:val="002B186D"/>
    <w:rsid w:val="002B1998"/>
    <w:rsid w:val="002B1A9D"/>
    <w:rsid w:val="002B1B17"/>
    <w:rsid w:val="002B1B35"/>
    <w:rsid w:val="002B1CA3"/>
    <w:rsid w:val="002B1FF3"/>
    <w:rsid w:val="002B237F"/>
    <w:rsid w:val="002B23D2"/>
    <w:rsid w:val="002B2814"/>
    <w:rsid w:val="002B28A7"/>
    <w:rsid w:val="002B2F21"/>
    <w:rsid w:val="002B3063"/>
    <w:rsid w:val="002B35C7"/>
    <w:rsid w:val="002B3C02"/>
    <w:rsid w:val="002B3D1B"/>
    <w:rsid w:val="002B3E94"/>
    <w:rsid w:val="002B40A9"/>
    <w:rsid w:val="002B4108"/>
    <w:rsid w:val="002B4482"/>
    <w:rsid w:val="002B4861"/>
    <w:rsid w:val="002B48EF"/>
    <w:rsid w:val="002B4B7F"/>
    <w:rsid w:val="002B4D06"/>
    <w:rsid w:val="002B5390"/>
    <w:rsid w:val="002B541C"/>
    <w:rsid w:val="002B5A46"/>
    <w:rsid w:val="002B5AB7"/>
    <w:rsid w:val="002B5DFB"/>
    <w:rsid w:val="002B5E28"/>
    <w:rsid w:val="002B6550"/>
    <w:rsid w:val="002B6645"/>
    <w:rsid w:val="002B68D7"/>
    <w:rsid w:val="002B6D1D"/>
    <w:rsid w:val="002B700C"/>
    <w:rsid w:val="002B75C7"/>
    <w:rsid w:val="002B789F"/>
    <w:rsid w:val="002B7B5F"/>
    <w:rsid w:val="002B7C3B"/>
    <w:rsid w:val="002B7F36"/>
    <w:rsid w:val="002B7F55"/>
    <w:rsid w:val="002C02FE"/>
    <w:rsid w:val="002C03C9"/>
    <w:rsid w:val="002C0507"/>
    <w:rsid w:val="002C062A"/>
    <w:rsid w:val="002C085D"/>
    <w:rsid w:val="002C0864"/>
    <w:rsid w:val="002C0888"/>
    <w:rsid w:val="002C0CDF"/>
    <w:rsid w:val="002C0D8D"/>
    <w:rsid w:val="002C120C"/>
    <w:rsid w:val="002C1373"/>
    <w:rsid w:val="002C160F"/>
    <w:rsid w:val="002C17DC"/>
    <w:rsid w:val="002C1B4F"/>
    <w:rsid w:val="002C1BFB"/>
    <w:rsid w:val="002C1C65"/>
    <w:rsid w:val="002C1C7B"/>
    <w:rsid w:val="002C1D0B"/>
    <w:rsid w:val="002C1D82"/>
    <w:rsid w:val="002C1DE4"/>
    <w:rsid w:val="002C20B3"/>
    <w:rsid w:val="002C2265"/>
    <w:rsid w:val="002C2688"/>
    <w:rsid w:val="002C2850"/>
    <w:rsid w:val="002C2FFE"/>
    <w:rsid w:val="002C3194"/>
    <w:rsid w:val="002C3266"/>
    <w:rsid w:val="002C35D1"/>
    <w:rsid w:val="002C36DB"/>
    <w:rsid w:val="002C3845"/>
    <w:rsid w:val="002C38D0"/>
    <w:rsid w:val="002C38E1"/>
    <w:rsid w:val="002C3988"/>
    <w:rsid w:val="002C3D04"/>
    <w:rsid w:val="002C3D25"/>
    <w:rsid w:val="002C4124"/>
    <w:rsid w:val="002C421F"/>
    <w:rsid w:val="002C46A7"/>
    <w:rsid w:val="002C47F6"/>
    <w:rsid w:val="002C4C1B"/>
    <w:rsid w:val="002C4C35"/>
    <w:rsid w:val="002C4DD8"/>
    <w:rsid w:val="002C4DEE"/>
    <w:rsid w:val="002C50EB"/>
    <w:rsid w:val="002C5104"/>
    <w:rsid w:val="002C5399"/>
    <w:rsid w:val="002C56C7"/>
    <w:rsid w:val="002C57B5"/>
    <w:rsid w:val="002C5869"/>
    <w:rsid w:val="002C587D"/>
    <w:rsid w:val="002C58A2"/>
    <w:rsid w:val="002C5BCB"/>
    <w:rsid w:val="002C5C5E"/>
    <w:rsid w:val="002C5D9B"/>
    <w:rsid w:val="002C6155"/>
    <w:rsid w:val="002C62A7"/>
    <w:rsid w:val="002C62B1"/>
    <w:rsid w:val="002C6531"/>
    <w:rsid w:val="002C6564"/>
    <w:rsid w:val="002C6888"/>
    <w:rsid w:val="002C6AE6"/>
    <w:rsid w:val="002C6AFA"/>
    <w:rsid w:val="002C6DBE"/>
    <w:rsid w:val="002C704F"/>
    <w:rsid w:val="002C7426"/>
    <w:rsid w:val="002C75AC"/>
    <w:rsid w:val="002C765B"/>
    <w:rsid w:val="002C7861"/>
    <w:rsid w:val="002C78C6"/>
    <w:rsid w:val="002C7BCE"/>
    <w:rsid w:val="002C7FEB"/>
    <w:rsid w:val="002D0428"/>
    <w:rsid w:val="002D061F"/>
    <w:rsid w:val="002D07B6"/>
    <w:rsid w:val="002D0BEA"/>
    <w:rsid w:val="002D0D51"/>
    <w:rsid w:val="002D0EC4"/>
    <w:rsid w:val="002D1063"/>
    <w:rsid w:val="002D10AA"/>
    <w:rsid w:val="002D14B6"/>
    <w:rsid w:val="002D154C"/>
    <w:rsid w:val="002D175A"/>
    <w:rsid w:val="002D17F0"/>
    <w:rsid w:val="002D1802"/>
    <w:rsid w:val="002D183A"/>
    <w:rsid w:val="002D18AF"/>
    <w:rsid w:val="002D1957"/>
    <w:rsid w:val="002D1B07"/>
    <w:rsid w:val="002D1F17"/>
    <w:rsid w:val="002D20D3"/>
    <w:rsid w:val="002D216F"/>
    <w:rsid w:val="002D2495"/>
    <w:rsid w:val="002D26A6"/>
    <w:rsid w:val="002D2B15"/>
    <w:rsid w:val="002D2F75"/>
    <w:rsid w:val="002D2F97"/>
    <w:rsid w:val="002D3193"/>
    <w:rsid w:val="002D3281"/>
    <w:rsid w:val="002D3317"/>
    <w:rsid w:val="002D33AB"/>
    <w:rsid w:val="002D34B3"/>
    <w:rsid w:val="002D3578"/>
    <w:rsid w:val="002D3CC7"/>
    <w:rsid w:val="002D3FAA"/>
    <w:rsid w:val="002D4043"/>
    <w:rsid w:val="002D4197"/>
    <w:rsid w:val="002D45D7"/>
    <w:rsid w:val="002D4758"/>
    <w:rsid w:val="002D480B"/>
    <w:rsid w:val="002D4BAA"/>
    <w:rsid w:val="002D4D31"/>
    <w:rsid w:val="002D5047"/>
    <w:rsid w:val="002D5194"/>
    <w:rsid w:val="002D51E4"/>
    <w:rsid w:val="002D53AA"/>
    <w:rsid w:val="002D54FB"/>
    <w:rsid w:val="002D570E"/>
    <w:rsid w:val="002D5731"/>
    <w:rsid w:val="002D575F"/>
    <w:rsid w:val="002D578F"/>
    <w:rsid w:val="002D58BC"/>
    <w:rsid w:val="002D59DB"/>
    <w:rsid w:val="002D5A57"/>
    <w:rsid w:val="002D5AF2"/>
    <w:rsid w:val="002D5B01"/>
    <w:rsid w:val="002D5D0C"/>
    <w:rsid w:val="002D5DBB"/>
    <w:rsid w:val="002D604F"/>
    <w:rsid w:val="002D610A"/>
    <w:rsid w:val="002D617F"/>
    <w:rsid w:val="002D61E5"/>
    <w:rsid w:val="002D62C6"/>
    <w:rsid w:val="002D62EB"/>
    <w:rsid w:val="002D65DA"/>
    <w:rsid w:val="002D6671"/>
    <w:rsid w:val="002D67FD"/>
    <w:rsid w:val="002D6EC9"/>
    <w:rsid w:val="002D722F"/>
    <w:rsid w:val="002D73D7"/>
    <w:rsid w:val="002D7604"/>
    <w:rsid w:val="002D762E"/>
    <w:rsid w:val="002D7A55"/>
    <w:rsid w:val="002D7AA4"/>
    <w:rsid w:val="002D7D6C"/>
    <w:rsid w:val="002E01FB"/>
    <w:rsid w:val="002E07F3"/>
    <w:rsid w:val="002E0D7E"/>
    <w:rsid w:val="002E0DD6"/>
    <w:rsid w:val="002E10C3"/>
    <w:rsid w:val="002E1172"/>
    <w:rsid w:val="002E124D"/>
    <w:rsid w:val="002E159F"/>
    <w:rsid w:val="002E17D4"/>
    <w:rsid w:val="002E1A5C"/>
    <w:rsid w:val="002E1B21"/>
    <w:rsid w:val="002E1D5E"/>
    <w:rsid w:val="002E1E87"/>
    <w:rsid w:val="002E20E7"/>
    <w:rsid w:val="002E2262"/>
    <w:rsid w:val="002E242C"/>
    <w:rsid w:val="002E24F5"/>
    <w:rsid w:val="002E2720"/>
    <w:rsid w:val="002E2846"/>
    <w:rsid w:val="002E2A0E"/>
    <w:rsid w:val="002E2A7C"/>
    <w:rsid w:val="002E2ACF"/>
    <w:rsid w:val="002E2F39"/>
    <w:rsid w:val="002E30F2"/>
    <w:rsid w:val="002E3154"/>
    <w:rsid w:val="002E32BB"/>
    <w:rsid w:val="002E3308"/>
    <w:rsid w:val="002E37B7"/>
    <w:rsid w:val="002E3939"/>
    <w:rsid w:val="002E3A8B"/>
    <w:rsid w:val="002E3BF7"/>
    <w:rsid w:val="002E3E83"/>
    <w:rsid w:val="002E3F2E"/>
    <w:rsid w:val="002E423B"/>
    <w:rsid w:val="002E439B"/>
    <w:rsid w:val="002E45EE"/>
    <w:rsid w:val="002E4822"/>
    <w:rsid w:val="002E4952"/>
    <w:rsid w:val="002E4BC6"/>
    <w:rsid w:val="002E4D11"/>
    <w:rsid w:val="002E4D7F"/>
    <w:rsid w:val="002E5374"/>
    <w:rsid w:val="002E5696"/>
    <w:rsid w:val="002E5AC9"/>
    <w:rsid w:val="002E5FFE"/>
    <w:rsid w:val="002E60F5"/>
    <w:rsid w:val="002E6223"/>
    <w:rsid w:val="002E6244"/>
    <w:rsid w:val="002E6359"/>
    <w:rsid w:val="002E63F6"/>
    <w:rsid w:val="002E656C"/>
    <w:rsid w:val="002E6585"/>
    <w:rsid w:val="002E662B"/>
    <w:rsid w:val="002E6702"/>
    <w:rsid w:val="002E69BB"/>
    <w:rsid w:val="002E6ACF"/>
    <w:rsid w:val="002E6C08"/>
    <w:rsid w:val="002E6E9B"/>
    <w:rsid w:val="002E6ECA"/>
    <w:rsid w:val="002E705B"/>
    <w:rsid w:val="002E73BD"/>
    <w:rsid w:val="002E74EC"/>
    <w:rsid w:val="002E7604"/>
    <w:rsid w:val="002E76C2"/>
    <w:rsid w:val="002E777E"/>
    <w:rsid w:val="002E7838"/>
    <w:rsid w:val="002E7A9D"/>
    <w:rsid w:val="002E7C40"/>
    <w:rsid w:val="002E7E0B"/>
    <w:rsid w:val="002E7F54"/>
    <w:rsid w:val="002F04ED"/>
    <w:rsid w:val="002F0993"/>
    <w:rsid w:val="002F0D5E"/>
    <w:rsid w:val="002F0FEA"/>
    <w:rsid w:val="002F125B"/>
    <w:rsid w:val="002F127C"/>
    <w:rsid w:val="002F12A1"/>
    <w:rsid w:val="002F1303"/>
    <w:rsid w:val="002F13B7"/>
    <w:rsid w:val="002F15DA"/>
    <w:rsid w:val="002F163E"/>
    <w:rsid w:val="002F182D"/>
    <w:rsid w:val="002F196D"/>
    <w:rsid w:val="002F1975"/>
    <w:rsid w:val="002F1BCE"/>
    <w:rsid w:val="002F1C28"/>
    <w:rsid w:val="002F1CAE"/>
    <w:rsid w:val="002F1E58"/>
    <w:rsid w:val="002F1FDC"/>
    <w:rsid w:val="002F22C5"/>
    <w:rsid w:val="002F233E"/>
    <w:rsid w:val="002F2891"/>
    <w:rsid w:val="002F289E"/>
    <w:rsid w:val="002F2A8D"/>
    <w:rsid w:val="002F2B0C"/>
    <w:rsid w:val="002F2E38"/>
    <w:rsid w:val="002F2FF0"/>
    <w:rsid w:val="002F33D1"/>
    <w:rsid w:val="002F377E"/>
    <w:rsid w:val="002F3A9E"/>
    <w:rsid w:val="002F429C"/>
    <w:rsid w:val="002F4637"/>
    <w:rsid w:val="002F490E"/>
    <w:rsid w:val="002F4CEC"/>
    <w:rsid w:val="002F4E77"/>
    <w:rsid w:val="002F501E"/>
    <w:rsid w:val="002F5140"/>
    <w:rsid w:val="002F555C"/>
    <w:rsid w:val="002F55EB"/>
    <w:rsid w:val="002F5654"/>
    <w:rsid w:val="002F58C3"/>
    <w:rsid w:val="002F5B90"/>
    <w:rsid w:val="002F5C93"/>
    <w:rsid w:val="002F5EA8"/>
    <w:rsid w:val="002F5F08"/>
    <w:rsid w:val="002F6045"/>
    <w:rsid w:val="002F60BD"/>
    <w:rsid w:val="002F622C"/>
    <w:rsid w:val="002F6658"/>
    <w:rsid w:val="002F66DC"/>
    <w:rsid w:val="002F676C"/>
    <w:rsid w:val="002F6B4D"/>
    <w:rsid w:val="002F6C40"/>
    <w:rsid w:val="002F73D1"/>
    <w:rsid w:val="002F777D"/>
    <w:rsid w:val="002F782E"/>
    <w:rsid w:val="002F79B5"/>
    <w:rsid w:val="002F7A63"/>
    <w:rsid w:val="002F7BF5"/>
    <w:rsid w:val="002F7F0C"/>
    <w:rsid w:val="00300148"/>
    <w:rsid w:val="00300684"/>
    <w:rsid w:val="003009B2"/>
    <w:rsid w:val="00300AD1"/>
    <w:rsid w:val="003010F4"/>
    <w:rsid w:val="003012C0"/>
    <w:rsid w:val="00301914"/>
    <w:rsid w:val="00301925"/>
    <w:rsid w:val="0030199B"/>
    <w:rsid w:val="00301A96"/>
    <w:rsid w:val="00301ABF"/>
    <w:rsid w:val="00301EAC"/>
    <w:rsid w:val="00301F17"/>
    <w:rsid w:val="00301FDB"/>
    <w:rsid w:val="003020C7"/>
    <w:rsid w:val="0030210C"/>
    <w:rsid w:val="0030214A"/>
    <w:rsid w:val="00302496"/>
    <w:rsid w:val="003024D3"/>
    <w:rsid w:val="00302719"/>
    <w:rsid w:val="003027A8"/>
    <w:rsid w:val="00302E3B"/>
    <w:rsid w:val="00302F16"/>
    <w:rsid w:val="00302FBC"/>
    <w:rsid w:val="00303350"/>
    <w:rsid w:val="00303381"/>
    <w:rsid w:val="0030347F"/>
    <w:rsid w:val="00303601"/>
    <w:rsid w:val="003037A0"/>
    <w:rsid w:val="00303AC9"/>
    <w:rsid w:val="00303BED"/>
    <w:rsid w:val="00303C41"/>
    <w:rsid w:val="00303C97"/>
    <w:rsid w:val="00303DF2"/>
    <w:rsid w:val="00303F9A"/>
    <w:rsid w:val="003041F9"/>
    <w:rsid w:val="003041FA"/>
    <w:rsid w:val="00304422"/>
    <w:rsid w:val="00304441"/>
    <w:rsid w:val="00304726"/>
    <w:rsid w:val="00304819"/>
    <w:rsid w:val="003048D1"/>
    <w:rsid w:val="003049C7"/>
    <w:rsid w:val="003049D0"/>
    <w:rsid w:val="00304BB8"/>
    <w:rsid w:val="00304C95"/>
    <w:rsid w:val="00304F45"/>
    <w:rsid w:val="00305356"/>
    <w:rsid w:val="00305505"/>
    <w:rsid w:val="00305514"/>
    <w:rsid w:val="0030561C"/>
    <w:rsid w:val="00305915"/>
    <w:rsid w:val="003059D1"/>
    <w:rsid w:val="00305B90"/>
    <w:rsid w:val="00305BFA"/>
    <w:rsid w:val="00305FDA"/>
    <w:rsid w:val="0030630D"/>
    <w:rsid w:val="00306410"/>
    <w:rsid w:val="00306442"/>
    <w:rsid w:val="003065C9"/>
    <w:rsid w:val="003066C1"/>
    <w:rsid w:val="0030685C"/>
    <w:rsid w:val="00306C59"/>
    <w:rsid w:val="00306DD3"/>
    <w:rsid w:val="003070DC"/>
    <w:rsid w:val="003071F7"/>
    <w:rsid w:val="003072C4"/>
    <w:rsid w:val="003075DA"/>
    <w:rsid w:val="00307A14"/>
    <w:rsid w:val="00307D99"/>
    <w:rsid w:val="00307EE0"/>
    <w:rsid w:val="00307F37"/>
    <w:rsid w:val="0030B5FC"/>
    <w:rsid w:val="003100C4"/>
    <w:rsid w:val="00310185"/>
    <w:rsid w:val="00310208"/>
    <w:rsid w:val="003104FD"/>
    <w:rsid w:val="00310708"/>
    <w:rsid w:val="00310FB8"/>
    <w:rsid w:val="003111B6"/>
    <w:rsid w:val="00311626"/>
    <w:rsid w:val="00311712"/>
    <w:rsid w:val="0031181C"/>
    <w:rsid w:val="003118BD"/>
    <w:rsid w:val="00311D96"/>
    <w:rsid w:val="003126DA"/>
    <w:rsid w:val="00312876"/>
    <w:rsid w:val="00312A2E"/>
    <w:rsid w:val="00312A7E"/>
    <w:rsid w:val="00312E61"/>
    <w:rsid w:val="00313063"/>
    <w:rsid w:val="00313264"/>
    <w:rsid w:val="003133B4"/>
    <w:rsid w:val="003136F3"/>
    <w:rsid w:val="00313841"/>
    <w:rsid w:val="00313BB7"/>
    <w:rsid w:val="00313EBB"/>
    <w:rsid w:val="00313FDB"/>
    <w:rsid w:val="00313FF9"/>
    <w:rsid w:val="00314059"/>
    <w:rsid w:val="0031411E"/>
    <w:rsid w:val="00314289"/>
    <w:rsid w:val="0031456E"/>
    <w:rsid w:val="0031465D"/>
    <w:rsid w:val="00314673"/>
    <w:rsid w:val="003146AC"/>
    <w:rsid w:val="0031488B"/>
    <w:rsid w:val="003148B7"/>
    <w:rsid w:val="00314C63"/>
    <w:rsid w:val="00314C8C"/>
    <w:rsid w:val="00315148"/>
    <w:rsid w:val="0031537E"/>
    <w:rsid w:val="00315639"/>
    <w:rsid w:val="00315641"/>
    <w:rsid w:val="003156B5"/>
    <w:rsid w:val="00315A38"/>
    <w:rsid w:val="00315BFE"/>
    <w:rsid w:val="00315C42"/>
    <w:rsid w:val="00315E09"/>
    <w:rsid w:val="00315FDA"/>
    <w:rsid w:val="00316188"/>
    <w:rsid w:val="00316334"/>
    <w:rsid w:val="00316504"/>
    <w:rsid w:val="0031650E"/>
    <w:rsid w:val="00316790"/>
    <w:rsid w:val="003169DD"/>
    <w:rsid w:val="00316A7B"/>
    <w:rsid w:val="00316AB9"/>
    <w:rsid w:val="00316B61"/>
    <w:rsid w:val="003170E8"/>
    <w:rsid w:val="003171BC"/>
    <w:rsid w:val="00317348"/>
    <w:rsid w:val="00317689"/>
    <w:rsid w:val="0031773F"/>
    <w:rsid w:val="00317B83"/>
    <w:rsid w:val="00317D67"/>
    <w:rsid w:val="00317FA3"/>
    <w:rsid w:val="00317FD8"/>
    <w:rsid w:val="00320105"/>
    <w:rsid w:val="00320335"/>
    <w:rsid w:val="00320491"/>
    <w:rsid w:val="003204AA"/>
    <w:rsid w:val="003207AB"/>
    <w:rsid w:val="003211A9"/>
    <w:rsid w:val="003215DB"/>
    <w:rsid w:val="0032192D"/>
    <w:rsid w:val="00321C96"/>
    <w:rsid w:val="00321D49"/>
    <w:rsid w:val="00321DFB"/>
    <w:rsid w:val="00321EBD"/>
    <w:rsid w:val="0032226C"/>
    <w:rsid w:val="0032231D"/>
    <w:rsid w:val="003226D1"/>
    <w:rsid w:val="00322DDF"/>
    <w:rsid w:val="003232B4"/>
    <w:rsid w:val="0032346B"/>
    <w:rsid w:val="003234FE"/>
    <w:rsid w:val="00323767"/>
    <w:rsid w:val="00323775"/>
    <w:rsid w:val="0032388E"/>
    <w:rsid w:val="00323BCD"/>
    <w:rsid w:val="00324086"/>
    <w:rsid w:val="0032422E"/>
    <w:rsid w:val="003242AE"/>
    <w:rsid w:val="003244AA"/>
    <w:rsid w:val="003245D3"/>
    <w:rsid w:val="003246FB"/>
    <w:rsid w:val="003248A3"/>
    <w:rsid w:val="00324934"/>
    <w:rsid w:val="00324A3A"/>
    <w:rsid w:val="00324B63"/>
    <w:rsid w:val="0032501A"/>
    <w:rsid w:val="003251C3"/>
    <w:rsid w:val="00325657"/>
    <w:rsid w:val="0032575C"/>
    <w:rsid w:val="003258A9"/>
    <w:rsid w:val="00325D55"/>
    <w:rsid w:val="00325DBE"/>
    <w:rsid w:val="00325F17"/>
    <w:rsid w:val="00326010"/>
    <w:rsid w:val="003260CF"/>
    <w:rsid w:val="003262C8"/>
    <w:rsid w:val="00326623"/>
    <w:rsid w:val="00326692"/>
    <w:rsid w:val="00326841"/>
    <w:rsid w:val="00326943"/>
    <w:rsid w:val="0032697A"/>
    <w:rsid w:val="00326B0C"/>
    <w:rsid w:val="00326B63"/>
    <w:rsid w:val="00326D44"/>
    <w:rsid w:val="00326E36"/>
    <w:rsid w:val="00326ED1"/>
    <w:rsid w:val="0032712A"/>
    <w:rsid w:val="003273CA"/>
    <w:rsid w:val="0032740B"/>
    <w:rsid w:val="00327477"/>
    <w:rsid w:val="003275C4"/>
    <w:rsid w:val="003278F9"/>
    <w:rsid w:val="003279A0"/>
    <w:rsid w:val="003279AA"/>
    <w:rsid w:val="00327C2A"/>
    <w:rsid w:val="00327C55"/>
    <w:rsid w:val="00327C60"/>
    <w:rsid w:val="00327C69"/>
    <w:rsid w:val="00327D75"/>
    <w:rsid w:val="0033019E"/>
    <w:rsid w:val="003304A2"/>
    <w:rsid w:val="0033056F"/>
    <w:rsid w:val="0033063D"/>
    <w:rsid w:val="003307B2"/>
    <w:rsid w:val="003307F4"/>
    <w:rsid w:val="00330A9D"/>
    <w:rsid w:val="00330CEF"/>
    <w:rsid w:val="00331060"/>
    <w:rsid w:val="00331265"/>
    <w:rsid w:val="003313E0"/>
    <w:rsid w:val="0033144B"/>
    <w:rsid w:val="0033168C"/>
    <w:rsid w:val="003316E5"/>
    <w:rsid w:val="00331A8D"/>
    <w:rsid w:val="00331BD9"/>
    <w:rsid w:val="00331C3B"/>
    <w:rsid w:val="00331CDC"/>
    <w:rsid w:val="00331D83"/>
    <w:rsid w:val="00332831"/>
    <w:rsid w:val="00332B9F"/>
    <w:rsid w:val="00332E09"/>
    <w:rsid w:val="00332F3B"/>
    <w:rsid w:val="00332FA5"/>
    <w:rsid w:val="00332FC7"/>
    <w:rsid w:val="0033324A"/>
    <w:rsid w:val="00333463"/>
    <w:rsid w:val="003338EE"/>
    <w:rsid w:val="00333B24"/>
    <w:rsid w:val="00333C79"/>
    <w:rsid w:val="00333C82"/>
    <w:rsid w:val="00333D85"/>
    <w:rsid w:val="00333D94"/>
    <w:rsid w:val="00333F0F"/>
    <w:rsid w:val="00333F25"/>
    <w:rsid w:val="00333F61"/>
    <w:rsid w:val="00334007"/>
    <w:rsid w:val="003343CF"/>
    <w:rsid w:val="00334BC7"/>
    <w:rsid w:val="00334CD9"/>
    <w:rsid w:val="00334CDC"/>
    <w:rsid w:val="00334FDB"/>
    <w:rsid w:val="0033510A"/>
    <w:rsid w:val="003351F4"/>
    <w:rsid w:val="00335589"/>
    <w:rsid w:val="0033569B"/>
    <w:rsid w:val="0033577E"/>
    <w:rsid w:val="0033578C"/>
    <w:rsid w:val="00335A8B"/>
    <w:rsid w:val="00335ABB"/>
    <w:rsid w:val="00335BC0"/>
    <w:rsid w:val="0033615C"/>
    <w:rsid w:val="00336376"/>
    <w:rsid w:val="003363DB"/>
    <w:rsid w:val="00336528"/>
    <w:rsid w:val="0033669C"/>
    <w:rsid w:val="003367F9"/>
    <w:rsid w:val="0033683F"/>
    <w:rsid w:val="00336C51"/>
    <w:rsid w:val="00336CC0"/>
    <w:rsid w:val="00336D64"/>
    <w:rsid w:val="00336E1E"/>
    <w:rsid w:val="0033700A"/>
    <w:rsid w:val="003370E3"/>
    <w:rsid w:val="003370E6"/>
    <w:rsid w:val="00337223"/>
    <w:rsid w:val="0033737C"/>
    <w:rsid w:val="003374C3"/>
    <w:rsid w:val="00337768"/>
    <w:rsid w:val="00337AFF"/>
    <w:rsid w:val="003400E8"/>
    <w:rsid w:val="003404AA"/>
    <w:rsid w:val="0034067F"/>
    <w:rsid w:val="00340E58"/>
    <w:rsid w:val="00340FC2"/>
    <w:rsid w:val="00341287"/>
    <w:rsid w:val="00341420"/>
    <w:rsid w:val="00341601"/>
    <w:rsid w:val="0034172F"/>
    <w:rsid w:val="00341960"/>
    <w:rsid w:val="00341AED"/>
    <w:rsid w:val="00341B38"/>
    <w:rsid w:val="00341CAD"/>
    <w:rsid w:val="00341D33"/>
    <w:rsid w:val="00342120"/>
    <w:rsid w:val="0034240E"/>
    <w:rsid w:val="00342426"/>
    <w:rsid w:val="003424BD"/>
    <w:rsid w:val="003425A2"/>
    <w:rsid w:val="0034261E"/>
    <w:rsid w:val="003426FF"/>
    <w:rsid w:val="0034272A"/>
    <w:rsid w:val="00342845"/>
    <w:rsid w:val="003429CC"/>
    <w:rsid w:val="00342AB0"/>
    <w:rsid w:val="003436C5"/>
    <w:rsid w:val="003436F1"/>
    <w:rsid w:val="003437EA"/>
    <w:rsid w:val="00343CF4"/>
    <w:rsid w:val="00343D33"/>
    <w:rsid w:val="00343D42"/>
    <w:rsid w:val="00343EE5"/>
    <w:rsid w:val="00343F06"/>
    <w:rsid w:val="00344159"/>
    <w:rsid w:val="003443B0"/>
    <w:rsid w:val="00344821"/>
    <w:rsid w:val="00344927"/>
    <w:rsid w:val="00344DB5"/>
    <w:rsid w:val="00344E64"/>
    <w:rsid w:val="00345112"/>
    <w:rsid w:val="00345285"/>
    <w:rsid w:val="00345315"/>
    <w:rsid w:val="00345422"/>
    <w:rsid w:val="00345555"/>
    <w:rsid w:val="00345B8C"/>
    <w:rsid w:val="00345EC5"/>
    <w:rsid w:val="00346458"/>
    <w:rsid w:val="00346C52"/>
    <w:rsid w:val="00346D42"/>
    <w:rsid w:val="00346E90"/>
    <w:rsid w:val="0034724D"/>
    <w:rsid w:val="0034725B"/>
    <w:rsid w:val="0034735B"/>
    <w:rsid w:val="003473E1"/>
    <w:rsid w:val="00347484"/>
    <w:rsid w:val="00347558"/>
    <w:rsid w:val="003475BB"/>
    <w:rsid w:val="003475E6"/>
    <w:rsid w:val="003477B3"/>
    <w:rsid w:val="00347959"/>
    <w:rsid w:val="0034795C"/>
    <w:rsid w:val="00347C6E"/>
    <w:rsid w:val="00347D15"/>
    <w:rsid w:val="00350191"/>
    <w:rsid w:val="0035019D"/>
    <w:rsid w:val="00350272"/>
    <w:rsid w:val="00350372"/>
    <w:rsid w:val="003503B4"/>
    <w:rsid w:val="0035044C"/>
    <w:rsid w:val="00350560"/>
    <w:rsid w:val="003506FF"/>
    <w:rsid w:val="0035083D"/>
    <w:rsid w:val="00350952"/>
    <w:rsid w:val="00350C8C"/>
    <w:rsid w:val="00350CD9"/>
    <w:rsid w:val="00350DC2"/>
    <w:rsid w:val="00350DD4"/>
    <w:rsid w:val="00351076"/>
    <w:rsid w:val="0035115F"/>
    <w:rsid w:val="00351421"/>
    <w:rsid w:val="003516AE"/>
    <w:rsid w:val="00351A8A"/>
    <w:rsid w:val="00351D56"/>
    <w:rsid w:val="00351E44"/>
    <w:rsid w:val="00351EFB"/>
    <w:rsid w:val="00352123"/>
    <w:rsid w:val="0035219F"/>
    <w:rsid w:val="00352285"/>
    <w:rsid w:val="003522D7"/>
    <w:rsid w:val="0035268F"/>
    <w:rsid w:val="00352C72"/>
    <w:rsid w:val="00352DE2"/>
    <w:rsid w:val="003530AD"/>
    <w:rsid w:val="0035312D"/>
    <w:rsid w:val="00353308"/>
    <w:rsid w:val="0035349C"/>
    <w:rsid w:val="00353541"/>
    <w:rsid w:val="00353BA6"/>
    <w:rsid w:val="00353BF5"/>
    <w:rsid w:val="00353C0A"/>
    <w:rsid w:val="00353C8B"/>
    <w:rsid w:val="00353DC5"/>
    <w:rsid w:val="0035411D"/>
    <w:rsid w:val="00354215"/>
    <w:rsid w:val="0035476A"/>
    <w:rsid w:val="003548C0"/>
    <w:rsid w:val="003549C0"/>
    <w:rsid w:val="00354A33"/>
    <w:rsid w:val="00354F7B"/>
    <w:rsid w:val="00355300"/>
    <w:rsid w:val="0035544F"/>
    <w:rsid w:val="0035559E"/>
    <w:rsid w:val="0035567D"/>
    <w:rsid w:val="00355975"/>
    <w:rsid w:val="00355BB6"/>
    <w:rsid w:val="00355E1E"/>
    <w:rsid w:val="00356014"/>
    <w:rsid w:val="003560B3"/>
    <w:rsid w:val="0035613F"/>
    <w:rsid w:val="003561C6"/>
    <w:rsid w:val="0035625B"/>
    <w:rsid w:val="00356383"/>
    <w:rsid w:val="00356526"/>
    <w:rsid w:val="0035655C"/>
    <w:rsid w:val="00356728"/>
    <w:rsid w:val="0035687F"/>
    <w:rsid w:val="00356C44"/>
    <w:rsid w:val="00356CB3"/>
    <w:rsid w:val="00356DF6"/>
    <w:rsid w:val="00357011"/>
    <w:rsid w:val="003572C5"/>
    <w:rsid w:val="00357386"/>
    <w:rsid w:val="003573E6"/>
    <w:rsid w:val="003574BB"/>
    <w:rsid w:val="00357842"/>
    <w:rsid w:val="00357891"/>
    <w:rsid w:val="00357EDD"/>
    <w:rsid w:val="00357EFC"/>
    <w:rsid w:val="00357F39"/>
    <w:rsid w:val="003601E8"/>
    <w:rsid w:val="00360599"/>
    <w:rsid w:val="003605FB"/>
    <w:rsid w:val="003607A3"/>
    <w:rsid w:val="00360802"/>
    <w:rsid w:val="00360942"/>
    <w:rsid w:val="00361042"/>
    <w:rsid w:val="0036106C"/>
    <w:rsid w:val="00361577"/>
    <w:rsid w:val="003618F8"/>
    <w:rsid w:val="00361982"/>
    <w:rsid w:val="00361B64"/>
    <w:rsid w:val="00361B9E"/>
    <w:rsid w:val="00361F00"/>
    <w:rsid w:val="00361F29"/>
    <w:rsid w:val="00361FA2"/>
    <w:rsid w:val="00362676"/>
    <w:rsid w:val="003626C3"/>
    <w:rsid w:val="00362824"/>
    <w:rsid w:val="00362C39"/>
    <w:rsid w:val="0036319E"/>
    <w:rsid w:val="003631AF"/>
    <w:rsid w:val="0036333D"/>
    <w:rsid w:val="00363529"/>
    <w:rsid w:val="003635A9"/>
    <w:rsid w:val="00363653"/>
    <w:rsid w:val="00363BED"/>
    <w:rsid w:val="00363CB7"/>
    <w:rsid w:val="00363D2E"/>
    <w:rsid w:val="00363D72"/>
    <w:rsid w:val="0036409C"/>
    <w:rsid w:val="00364258"/>
    <w:rsid w:val="003645CD"/>
    <w:rsid w:val="003645FD"/>
    <w:rsid w:val="00364746"/>
    <w:rsid w:val="00364A59"/>
    <w:rsid w:val="00364BB6"/>
    <w:rsid w:val="00364C87"/>
    <w:rsid w:val="00364E14"/>
    <w:rsid w:val="003650F9"/>
    <w:rsid w:val="0036512B"/>
    <w:rsid w:val="003654C1"/>
    <w:rsid w:val="00365B5C"/>
    <w:rsid w:val="00365C52"/>
    <w:rsid w:val="00365D4C"/>
    <w:rsid w:val="00365F5D"/>
    <w:rsid w:val="003660CC"/>
    <w:rsid w:val="003660CF"/>
    <w:rsid w:val="00366675"/>
    <w:rsid w:val="003667BF"/>
    <w:rsid w:val="00366806"/>
    <w:rsid w:val="00366A76"/>
    <w:rsid w:val="00366F29"/>
    <w:rsid w:val="003672C2"/>
    <w:rsid w:val="003674CF"/>
    <w:rsid w:val="00367543"/>
    <w:rsid w:val="00367565"/>
    <w:rsid w:val="003677F3"/>
    <w:rsid w:val="0036780F"/>
    <w:rsid w:val="0036787C"/>
    <w:rsid w:val="00367887"/>
    <w:rsid w:val="0036788B"/>
    <w:rsid w:val="003678B2"/>
    <w:rsid w:val="00367F27"/>
    <w:rsid w:val="00367FAE"/>
    <w:rsid w:val="00370088"/>
    <w:rsid w:val="003701AF"/>
    <w:rsid w:val="003707D8"/>
    <w:rsid w:val="003707E0"/>
    <w:rsid w:val="00370802"/>
    <w:rsid w:val="0037081C"/>
    <w:rsid w:val="00370A29"/>
    <w:rsid w:val="00370B13"/>
    <w:rsid w:val="00370D87"/>
    <w:rsid w:val="00370DED"/>
    <w:rsid w:val="00370E85"/>
    <w:rsid w:val="00370EF8"/>
    <w:rsid w:val="00370F0A"/>
    <w:rsid w:val="003712A2"/>
    <w:rsid w:val="0037166C"/>
    <w:rsid w:val="0037173C"/>
    <w:rsid w:val="00371E4A"/>
    <w:rsid w:val="00371F35"/>
    <w:rsid w:val="00372007"/>
    <w:rsid w:val="00372AAB"/>
    <w:rsid w:val="00372D20"/>
    <w:rsid w:val="00372DF4"/>
    <w:rsid w:val="00372E3A"/>
    <w:rsid w:val="0037332F"/>
    <w:rsid w:val="003735E2"/>
    <w:rsid w:val="00373603"/>
    <w:rsid w:val="00373764"/>
    <w:rsid w:val="0037381A"/>
    <w:rsid w:val="00373BF8"/>
    <w:rsid w:val="00373CA2"/>
    <w:rsid w:val="00373CDD"/>
    <w:rsid w:val="00373E5D"/>
    <w:rsid w:val="003740F0"/>
    <w:rsid w:val="0037421E"/>
    <w:rsid w:val="0037448C"/>
    <w:rsid w:val="00374494"/>
    <w:rsid w:val="00374AE1"/>
    <w:rsid w:val="00374B57"/>
    <w:rsid w:val="00374E7F"/>
    <w:rsid w:val="00374EA8"/>
    <w:rsid w:val="00374ED0"/>
    <w:rsid w:val="0037517C"/>
    <w:rsid w:val="003754DD"/>
    <w:rsid w:val="00375754"/>
    <w:rsid w:val="00375A16"/>
    <w:rsid w:val="00375A82"/>
    <w:rsid w:val="00375BC1"/>
    <w:rsid w:val="00375C3B"/>
    <w:rsid w:val="00375C42"/>
    <w:rsid w:val="00376061"/>
    <w:rsid w:val="0037648E"/>
    <w:rsid w:val="00376747"/>
    <w:rsid w:val="00376A55"/>
    <w:rsid w:val="00376C85"/>
    <w:rsid w:val="00376E89"/>
    <w:rsid w:val="003770F7"/>
    <w:rsid w:val="00377529"/>
    <w:rsid w:val="00377561"/>
    <w:rsid w:val="003778C7"/>
    <w:rsid w:val="00377B6B"/>
    <w:rsid w:val="00377C03"/>
    <w:rsid w:val="00377C27"/>
    <w:rsid w:val="00377C3E"/>
    <w:rsid w:val="0038047B"/>
    <w:rsid w:val="003804E1"/>
    <w:rsid w:val="00380DF0"/>
    <w:rsid w:val="00380E17"/>
    <w:rsid w:val="00380EB0"/>
    <w:rsid w:val="00380FAF"/>
    <w:rsid w:val="003810BE"/>
    <w:rsid w:val="00381300"/>
    <w:rsid w:val="003815B8"/>
    <w:rsid w:val="0038194D"/>
    <w:rsid w:val="0038197E"/>
    <w:rsid w:val="00381AAE"/>
    <w:rsid w:val="00381D29"/>
    <w:rsid w:val="00381EBD"/>
    <w:rsid w:val="00382257"/>
    <w:rsid w:val="003824C8"/>
    <w:rsid w:val="00382617"/>
    <w:rsid w:val="00382669"/>
    <w:rsid w:val="003826B5"/>
    <w:rsid w:val="00382B40"/>
    <w:rsid w:val="00382CC0"/>
    <w:rsid w:val="00382CFB"/>
    <w:rsid w:val="00382D6B"/>
    <w:rsid w:val="00382F81"/>
    <w:rsid w:val="003832E4"/>
    <w:rsid w:val="003833B7"/>
    <w:rsid w:val="00383667"/>
    <w:rsid w:val="003839DB"/>
    <w:rsid w:val="00383A5C"/>
    <w:rsid w:val="00383A92"/>
    <w:rsid w:val="00383AC2"/>
    <w:rsid w:val="00383DF8"/>
    <w:rsid w:val="00384126"/>
    <w:rsid w:val="003842A3"/>
    <w:rsid w:val="00384300"/>
    <w:rsid w:val="00384327"/>
    <w:rsid w:val="00384C87"/>
    <w:rsid w:val="00384DE9"/>
    <w:rsid w:val="00384F85"/>
    <w:rsid w:val="00385113"/>
    <w:rsid w:val="0038515C"/>
    <w:rsid w:val="0038555B"/>
    <w:rsid w:val="003855A1"/>
    <w:rsid w:val="00385C23"/>
    <w:rsid w:val="00385C2D"/>
    <w:rsid w:val="00385C33"/>
    <w:rsid w:val="00385D42"/>
    <w:rsid w:val="0038616C"/>
    <w:rsid w:val="003861C8"/>
    <w:rsid w:val="003862EB"/>
    <w:rsid w:val="00386338"/>
    <w:rsid w:val="0038635F"/>
    <w:rsid w:val="0038643F"/>
    <w:rsid w:val="003867E2"/>
    <w:rsid w:val="00386C56"/>
    <w:rsid w:val="00387237"/>
    <w:rsid w:val="00387349"/>
    <w:rsid w:val="00387633"/>
    <w:rsid w:val="00387664"/>
    <w:rsid w:val="0038787F"/>
    <w:rsid w:val="00387A75"/>
    <w:rsid w:val="00387D37"/>
    <w:rsid w:val="00387F54"/>
    <w:rsid w:val="0039044D"/>
    <w:rsid w:val="00390D43"/>
    <w:rsid w:val="00390F25"/>
    <w:rsid w:val="0039118D"/>
    <w:rsid w:val="00391202"/>
    <w:rsid w:val="00391237"/>
    <w:rsid w:val="003919CE"/>
    <w:rsid w:val="003919D8"/>
    <w:rsid w:val="00391AF1"/>
    <w:rsid w:val="00391C3F"/>
    <w:rsid w:val="00391D5B"/>
    <w:rsid w:val="00391D99"/>
    <w:rsid w:val="00391E1B"/>
    <w:rsid w:val="003922CF"/>
    <w:rsid w:val="00392404"/>
    <w:rsid w:val="0039290F"/>
    <w:rsid w:val="00392A15"/>
    <w:rsid w:val="00392A9E"/>
    <w:rsid w:val="00392BAD"/>
    <w:rsid w:val="00392E5E"/>
    <w:rsid w:val="00392EB5"/>
    <w:rsid w:val="003930E4"/>
    <w:rsid w:val="0039328B"/>
    <w:rsid w:val="003933A7"/>
    <w:rsid w:val="003933EC"/>
    <w:rsid w:val="00393521"/>
    <w:rsid w:val="003935C7"/>
    <w:rsid w:val="0039389E"/>
    <w:rsid w:val="00393A1E"/>
    <w:rsid w:val="00393BDD"/>
    <w:rsid w:val="00393C3E"/>
    <w:rsid w:val="00393F3D"/>
    <w:rsid w:val="003943CE"/>
    <w:rsid w:val="0039440E"/>
    <w:rsid w:val="0039442E"/>
    <w:rsid w:val="0039457E"/>
    <w:rsid w:val="003945ED"/>
    <w:rsid w:val="00394821"/>
    <w:rsid w:val="00394903"/>
    <w:rsid w:val="00394A0B"/>
    <w:rsid w:val="00394ACF"/>
    <w:rsid w:val="00394C14"/>
    <w:rsid w:val="00394EEF"/>
    <w:rsid w:val="00395180"/>
    <w:rsid w:val="00395360"/>
    <w:rsid w:val="003955D2"/>
    <w:rsid w:val="00395797"/>
    <w:rsid w:val="0039584C"/>
    <w:rsid w:val="003958E4"/>
    <w:rsid w:val="00395944"/>
    <w:rsid w:val="00395C29"/>
    <w:rsid w:val="00395D7E"/>
    <w:rsid w:val="00395E71"/>
    <w:rsid w:val="00395E75"/>
    <w:rsid w:val="00395FAC"/>
    <w:rsid w:val="00396330"/>
    <w:rsid w:val="003963D2"/>
    <w:rsid w:val="00396660"/>
    <w:rsid w:val="00396C13"/>
    <w:rsid w:val="00397128"/>
    <w:rsid w:val="003979B4"/>
    <w:rsid w:val="00397B7C"/>
    <w:rsid w:val="00397BA1"/>
    <w:rsid w:val="00397F5D"/>
    <w:rsid w:val="00397F6D"/>
    <w:rsid w:val="003A0070"/>
    <w:rsid w:val="003A0355"/>
    <w:rsid w:val="003A0389"/>
    <w:rsid w:val="003A04C2"/>
    <w:rsid w:val="003A05C0"/>
    <w:rsid w:val="003A061E"/>
    <w:rsid w:val="003A0B32"/>
    <w:rsid w:val="003A0B4F"/>
    <w:rsid w:val="003A0D39"/>
    <w:rsid w:val="003A0D50"/>
    <w:rsid w:val="003A1256"/>
    <w:rsid w:val="003A198D"/>
    <w:rsid w:val="003A1AA3"/>
    <w:rsid w:val="003A1C1F"/>
    <w:rsid w:val="003A1FF0"/>
    <w:rsid w:val="003A21B6"/>
    <w:rsid w:val="003A2530"/>
    <w:rsid w:val="003A273E"/>
    <w:rsid w:val="003A2745"/>
    <w:rsid w:val="003A28D2"/>
    <w:rsid w:val="003A2B3F"/>
    <w:rsid w:val="003A2D3E"/>
    <w:rsid w:val="003A2E8B"/>
    <w:rsid w:val="003A2ECC"/>
    <w:rsid w:val="003A2ED6"/>
    <w:rsid w:val="003A2F48"/>
    <w:rsid w:val="003A3086"/>
    <w:rsid w:val="003A3264"/>
    <w:rsid w:val="003A329E"/>
    <w:rsid w:val="003A3588"/>
    <w:rsid w:val="003A364D"/>
    <w:rsid w:val="003A38B8"/>
    <w:rsid w:val="003A391B"/>
    <w:rsid w:val="003A3CBF"/>
    <w:rsid w:val="003A3DAD"/>
    <w:rsid w:val="003A3F51"/>
    <w:rsid w:val="003A3F96"/>
    <w:rsid w:val="003A3FEC"/>
    <w:rsid w:val="003A449B"/>
    <w:rsid w:val="003A44CF"/>
    <w:rsid w:val="003A4ABE"/>
    <w:rsid w:val="003A4D3F"/>
    <w:rsid w:val="003A4DBC"/>
    <w:rsid w:val="003A4FEE"/>
    <w:rsid w:val="003A5235"/>
    <w:rsid w:val="003A529E"/>
    <w:rsid w:val="003A5525"/>
    <w:rsid w:val="003A5B1E"/>
    <w:rsid w:val="003A5F03"/>
    <w:rsid w:val="003A5F4C"/>
    <w:rsid w:val="003A5F81"/>
    <w:rsid w:val="003A610D"/>
    <w:rsid w:val="003A6480"/>
    <w:rsid w:val="003A66B7"/>
    <w:rsid w:val="003A6787"/>
    <w:rsid w:val="003A68DB"/>
    <w:rsid w:val="003A6E7F"/>
    <w:rsid w:val="003A6EB4"/>
    <w:rsid w:val="003A6F02"/>
    <w:rsid w:val="003A70FF"/>
    <w:rsid w:val="003A7160"/>
    <w:rsid w:val="003A723C"/>
    <w:rsid w:val="003A73DD"/>
    <w:rsid w:val="003A73FD"/>
    <w:rsid w:val="003A76B1"/>
    <w:rsid w:val="003A7C91"/>
    <w:rsid w:val="003A7D64"/>
    <w:rsid w:val="003B002C"/>
    <w:rsid w:val="003B027B"/>
    <w:rsid w:val="003B0338"/>
    <w:rsid w:val="003B0670"/>
    <w:rsid w:val="003B0759"/>
    <w:rsid w:val="003B08D2"/>
    <w:rsid w:val="003B0A71"/>
    <w:rsid w:val="003B10A2"/>
    <w:rsid w:val="003B1168"/>
    <w:rsid w:val="003B1191"/>
    <w:rsid w:val="003B1252"/>
    <w:rsid w:val="003B12A0"/>
    <w:rsid w:val="003B14CD"/>
    <w:rsid w:val="003B16FB"/>
    <w:rsid w:val="003B1704"/>
    <w:rsid w:val="003B1841"/>
    <w:rsid w:val="003B1AF3"/>
    <w:rsid w:val="003B1B8A"/>
    <w:rsid w:val="003B1E00"/>
    <w:rsid w:val="003B20E8"/>
    <w:rsid w:val="003B2340"/>
    <w:rsid w:val="003B2562"/>
    <w:rsid w:val="003B276C"/>
    <w:rsid w:val="003B291B"/>
    <w:rsid w:val="003B2C28"/>
    <w:rsid w:val="003B2F44"/>
    <w:rsid w:val="003B309D"/>
    <w:rsid w:val="003B3303"/>
    <w:rsid w:val="003B3392"/>
    <w:rsid w:val="003B33B4"/>
    <w:rsid w:val="003B33BC"/>
    <w:rsid w:val="003B347A"/>
    <w:rsid w:val="003B347D"/>
    <w:rsid w:val="003B34D8"/>
    <w:rsid w:val="003B3516"/>
    <w:rsid w:val="003B353D"/>
    <w:rsid w:val="003B3A27"/>
    <w:rsid w:val="003B3CDC"/>
    <w:rsid w:val="003B4313"/>
    <w:rsid w:val="003B4314"/>
    <w:rsid w:val="003B4779"/>
    <w:rsid w:val="003B48FB"/>
    <w:rsid w:val="003B49B0"/>
    <w:rsid w:val="003B4BCB"/>
    <w:rsid w:val="003B4C51"/>
    <w:rsid w:val="003B4CBF"/>
    <w:rsid w:val="003B4E7B"/>
    <w:rsid w:val="003B55C0"/>
    <w:rsid w:val="003B57C1"/>
    <w:rsid w:val="003B57E8"/>
    <w:rsid w:val="003B583D"/>
    <w:rsid w:val="003B58B9"/>
    <w:rsid w:val="003B5989"/>
    <w:rsid w:val="003B5B1C"/>
    <w:rsid w:val="003B5DE8"/>
    <w:rsid w:val="003B5E52"/>
    <w:rsid w:val="003B5EEC"/>
    <w:rsid w:val="003B605E"/>
    <w:rsid w:val="003B61C0"/>
    <w:rsid w:val="003B6430"/>
    <w:rsid w:val="003B65CD"/>
    <w:rsid w:val="003B6639"/>
    <w:rsid w:val="003B6E72"/>
    <w:rsid w:val="003B6EE1"/>
    <w:rsid w:val="003B7013"/>
    <w:rsid w:val="003B74A5"/>
    <w:rsid w:val="003B76D5"/>
    <w:rsid w:val="003B77F3"/>
    <w:rsid w:val="003B7C99"/>
    <w:rsid w:val="003B7EF6"/>
    <w:rsid w:val="003B7F12"/>
    <w:rsid w:val="003B7F8C"/>
    <w:rsid w:val="003C0016"/>
    <w:rsid w:val="003C032F"/>
    <w:rsid w:val="003C03E2"/>
    <w:rsid w:val="003C04DE"/>
    <w:rsid w:val="003C05A3"/>
    <w:rsid w:val="003C06DD"/>
    <w:rsid w:val="003C08A0"/>
    <w:rsid w:val="003C0DBD"/>
    <w:rsid w:val="003C1142"/>
    <w:rsid w:val="003C1199"/>
    <w:rsid w:val="003C11BB"/>
    <w:rsid w:val="003C12A7"/>
    <w:rsid w:val="003C135F"/>
    <w:rsid w:val="003C1719"/>
    <w:rsid w:val="003C1BE1"/>
    <w:rsid w:val="003C1DF3"/>
    <w:rsid w:val="003C1E5D"/>
    <w:rsid w:val="003C1EDD"/>
    <w:rsid w:val="003C1FE2"/>
    <w:rsid w:val="003C25B2"/>
    <w:rsid w:val="003C2646"/>
    <w:rsid w:val="003C2679"/>
    <w:rsid w:val="003C2A47"/>
    <w:rsid w:val="003C2B36"/>
    <w:rsid w:val="003C3143"/>
    <w:rsid w:val="003C31A0"/>
    <w:rsid w:val="003C360A"/>
    <w:rsid w:val="003C382E"/>
    <w:rsid w:val="003C38B9"/>
    <w:rsid w:val="003C3AA2"/>
    <w:rsid w:val="003C40CC"/>
    <w:rsid w:val="003C41DB"/>
    <w:rsid w:val="003C426D"/>
    <w:rsid w:val="003C42C7"/>
    <w:rsid w:val="003C46A6"/>
    <w:rsid w:val="003C46FD"/>
    <w:rsid w:val="003C4AA6"/>
    <w:rsid w:val="003C4B21"/>
    <w:rsid w:val="003C4C2E"/>
    <w:rsid w:val="003C57B1"/>
    <w:rsid w:val="003C5958"/>
    <w:rsid w:val="003C59A5"/>
    <w:rsid w:val="003C5A12"/>
    <w:rsid w:val="003C5BF4"/>
    <w:rsid w:val="003C5C9B"/>
    <w:rsid w:val="003C5DA0"/>
    <w:rsid w:val="003C5E81"/>
    <w:rsid w:val="003C61A2"/>
    <w:rsid w:val="003C62C9"/>
    <w:rsid w:val="003C654A"/>
    <w:rsid w:val="003C666D"/>
    <w:rsid w:val="003C66F9"/>
    <w:rsid w:val="003C6BA1"/>
    <w:rsid w:val="003C6C45"/>
    <w:rsid w:val="003C6D65"/>
    <w:rsid w:val="003C6EE2"/>
    <w:rsid w:val="003C6FDE"/>
    <w:rsid w:val="003C6FFB"/>
    <w:rsid w:val="003C7135"/>
    <w:rsid w:val="003C73C0"/>
    <w:rsid w:val="003C78BF"/>
    <w:rsid w:val="003C7954"/>
    <w:rsid w:val="003C7969"/>
    <w:rsid w:val="003C7C65"/>
    <w:rsid w:val="003D02F8"/>
    <w:rsid w:val="003D07BD"/>
    <w:rsid w:val="003D08F3"/>
    <w:rsid w:val="003D0A9A"/>
    <w:rsid w:val="003D0BCD"/>
    <w:rsid w:val="003D0BD0"/>
    <w:rsid w:val="003D0BE0"/>
    <w:rsid w:val="003D0D16"/>
    <w:rsid w:val="003D0E2A"/>
    <w:rsid w:val="003D0E39"/>
    <w:rsid w:val="003D0E5E"/>
    <w:rsid w:val="003D0F53"/>
    <w:rsid w:val="003D1111"/>
    <w:rsid w:val="003D1EC3"/>
    <w:rsid w:val="003D1FA1"/>
    <w:rsid w:val="003D2196"/>
    <w:rsid w:val="003D22E5"/>
    <w:rsid w:val="003D253C"/>
    <w:rsid w:val="003D2820"/>
    <w:rsid w:val="003D284C"/>
    <w:rsid w:val="003D289B"/>
    <w:rsid w:val="003D2CE9"/>
    <w:rsid w:val="003D2D70"/>
    <w:rsid w:val="003D2D9B"/>
    <w:rsid w:val="003D303F"/>
    <w:rsid w:val="003D317C"/>
    <w:rsid w:val="003D3422"/>
    <w:rsid w:val="003D385B"/>
    <w:rsid w:val="003D3A19"/>
    <w:rsid w:val="003D3B3A"/>
    <w:rsid w:val="003D3C08"/>
    <w:rsid w:val="003D3EA6"/>
    <w:rsid w:val="003D40F2"/>
    <w:rsid w:val="003D4232"/>
    <w:rsid w:val="003D42E2"/>
    <w:rsid w:val="003D42E9"/>
    <w:rsid w:val="003D46F4"/>
    <w:rsid w:val="003D4A43"/>
    <w:rsid w:val="003D4B67"/>
    <w:rsid w:val="003D4DFC"/>
    <w:rsid w:val="003D501E"/>
    <w:rsid w:val="003D518F"/>
    <w:rsid w:val="003D51A0"/>
    <w:rsid w:val="003D560D"/>
    <w:rsid w:val="003D5C5D"/>
    <w:rsid w:val="003D5E7B"/>
    <w:rsid w:val="003D5F67"/>
    <w:rsid w:val="003D609B"/>
    <w:rsid w:val="003D6162"/>
    <w:rsid w:val="003D652D"/>
    <w:rsid w:val="003D697D"/>
    <w:rsid w:val="003D6C97"/>
    <w:rsid w:val="003D713D"/>
    <w:rsid w:val="003D715E"/>
    <w:rsid w:val="003D7272"/>
    <w:rsid w:val="003D75F9"/>
    <w:rsid w:val="003D76D9"/>
    <w:rsid w:val="003D773B"/>
    <w:rsid w:val="003D77EA"/>
    <w:rsid w:val="003D7896"/>
    <w:rsid w:val="003D7D59"/>
    <w:rsid w:val="003D7ED8"/>
    <w:rsid w:val="003D7EDD"/>
    <w:rsid w:val="003E03B8"/>
    <w:rsid w:val="003E0617"/>
    <w:rsid w:val="003E0877"/>
    <w:rsid w:val="003E0D48"/>
    <w:rsid w:val="003E10D7"/>
    <w:rsid w:val="003E129C"/>
    <w:rsid w:val="003E1315"/>
    <w:rsid w:val="003E14AC"/>
    <w:rsid w:val="003E15C0"/>
    <w:rsid w:val="003E1740"/>
    <w:rsid w:val="003E188F"/>
    <w:rsid w:val="003E1959"/>
    <w:rsid w:val="003E1A25"/>
    <w:rsid w:val="003E1AE5"/>
    <w:rsid w:val="003E1F7C"/>
    <w:rsid w:val="003E20DD"/>
    <w:rsid w:val="003E299D"/>
    <w:rsid w:val="003E2B73"/>
    <w:rsid w:val="003E311D"/>
    <w:rsid w:val="003E3213"/>
    <w:rsid w:val="003E360F"/>
    <w:rsid w:val="003E375E"/>
    <w:rsid w:val="003E3F04"/>
    <w:rsid w:val="003E40EF"/>
    <w:rsid w:val="003E457B"/>
    <w:rsid w:val="003E45A3"/>
    <w:rsid w:val="003E466F"/>
    <w:rsid w:val="003E4705"/>
    <w:rsid w:val="003E4814"/>
    <w:rsid w:val="003E4922"/>
    <w:rsid w:val="003E4B39"/>
    <w:rsid w:val="003E4BDE"/>
    <w:rsid w:val="003E4D6E"/>
    <w:rsid w:val="003E4DFB"/>
    <w:rsid w:val="003E4E17"/>
    <w:rsid w:val="003E5172"/>
    <w:rsid w:val="003E517B"/>
    <w:rsid w:val="003E51FA"/>
    <w:rsid w:val="003E52EC"/>
    <w:rsid w:val="003E5485"/>
    <w:rsid w:val="003E5701"/>
    <w:rsid w:val="003E595D"/>
    <w:rsid w:val="003E5B15"/>
    <w:rsid w:val="003E5B6C"/>
    <w:rsid w:val="003E60E3"/>
    <w:rsid w:val="003E646C"/>
    <w:rsid w:val="003E655C"/>
    <w:rsid w:val="003E663C"/>
    <w:rsid w:val="003E6711"/>
    <w:rsid w:val="003E6784"/>
    <w:rsid w:val="003E6873"/>
    <w:rsid w:val="003E6F3B"/>
    <w:rsid w:val="003E6F91"/>
    <w:rsid w:val="003E7061"/>
    <w:rsid w:val="003E70CD"/>
    <w:rsid w:val="003E712E"/>
    <w:rsid w:val="003E74C5"/>
    <w:rsid w:val="003E7550"/>
    <w:rsid w:val="003E76A2"/>
    <w:rsid w:val="003E793A"/>
    <w:rsid w:val="003E7998"/>
    <w:rsid w:val="003E7FAB"/>
    <w:rsid w:val="003F04BA"/>
    <w:rsid w:val="003F0666"/>
    <w:rsid w:val="003F071D"/>
    <w:rsid w:val="003F099C"/>
    <w:rsid w:val="003F0A3F"/>
    <w:rsid w:val="003F0F6D"/>
    <w:rsid w:val="003F15DB"/>
    <w:rsid w:val="003F16D6"/>
    <w:rsid w:val="003F173B"/>
    <w:rsid w:val="003F17C2"/>
    <w:rsid w:val="003F189E"/>
    <w:rsid w:val="003F1A3C"/>
    <w:rsid w:val="003F1CCF"/>
    <w:rsid w:val="003F23D7"/>
    <w:rsid w:val="003F2423"/>
    <w:rsid w:val="003F2481"/>
    <w:rsid w:val="003F24F7"/>
    <w:rsid w:val="003F26F1"/>
    <w:rsid w:val="003F2ADF"/>
    <w:rsid w:val="003F2CEA"/>
    <w:rsid w:val="003F2CEE"/>
    <w:rsid w:val="003F2F86"/>
    <w:rsid w:val="003F31B2"/>
    <w:rsid w:val="003F3316"/>
    <w:rsid w:val="003F3407"/>
    <w:rsid w:val="003F35D4"/>
    <w:rsid w:val="003F3623"/>
    <w:rsid w:val="003F3B9D"/>
    <w:rsid w:val="003F4255"/>
    <w:rsid w:val="003F4402"/>
    <w:rsid w:val="003F474A"/>
    <w:rsid w:val="003F48A8"/>
    <w:rsid w:val="003F48B5"/>
    <w:rsid w:val="003F56CF"/>
    <w:rsid w:val="003F5717"/>
    <w:rsid w:val="003F57CB"/>
    <w:rsid w:val="003F586A"/>
    <w:rsid w:val="003F5ABE"/>
    <w:rsid w:val="003F5B5C"/>
    <w:rsid w:val="003F5C9F"/>
    <w:rsid w:val="003F5E29"/>
    <w:rsid w:val="003F5EF4"/>
    <w:rsid w:val="003F6097"/>
    <w:rsid w:val="003F644D"/>
    <w:rsid w:val="003F6612"/>
    <w:rsid w:val="003F6A05"/>
    <w:rsid w:val="003F6A32"/>
    <w:rsid w:val="003F6A61"/>
    <w:rsid w:val="003F6AD1"/>
    <w:rsid w:val="003F6B43"/>
    <w:rsid w:val="003F6BF4"/>
    <w:rsid w:val="003F6C7A"/>
    <w:rsid w:val="003F702C"/>
    <w:rsid w:val="003F7124"/>
    <w:rsid w:val="003F7268"/>
    <w:rsid w:val="003F73B5"/>
    <w:rsid w:val="003F74EB"/>
    <w:rsid w:val="003F783C"/>
    <w:rsid w:val="003F79B8"/>
    <w:rsid w:val="003F7A01"/>
    <w:rsid w:val="003F7DEA"/>
    <w:rsid w:val="003F7E8F"/>
    <w:rsid w:val="00400250"/>
    <w:rsid w:val="0040029C"/>
    <w:rsid w:val="004003DD"/>
    <w:rsid w:val="004005B9"/>
    <w:rsid w:val="004006E9"/>
    <w:rsid w:val="004008A2"/>
    <w:rsid w:val="00400A9C"/>
    <w:rsid w:val="00400BD6"/>
    <w:rsid w:val="00400C60"/>
    <w:rsid w:val="00400CC2"/>
    <w:rsid w:val="00400E31"/>
    <w:rsid w:val="00401186"/>
    <w:rsid w:val="00401194"/>
    <w:rsid w:val="0040124E"/>
    <w:rsid w:val="00401391"/>
    <w:rsid w:val="00401395"/>
    <w:rsid w:val="004013E4"/>
    <w:rsid w:val="0040142B"/>
    <w:rsid w:val="004015AF"/>
    <w:rsid w:val="00401B65"/>
    <w:rsid w:val="00401C1B"/>
    <w:rsid w:val="00401F26"/>
    <w:rsid w:val="0040224E"/>
    <w:rsid w:val="00402313"/>
    <w:rsid w:val="00402533"/>
    <w:rsid w:val="00402887"/>
    <w:rsid w:val="004028D5"/>
    <w:rsid w:val="0040294B"/>
    <w:rsid w:val="004033F3"/>
    <w:rsid w:val="00403502"/>
    <w:rsid w:val="0040379F"/>
    <w:rsid w:val="00403801"/>
    <w:rsid w:val="00403840"/>
    <w:rsid w:val="00403A30"/>
    <w:rsid w:val="00403C2E"/>
    <w:rsid w:val="00403CEB"/>
    <w:rsid w:val="00403D25"/>
    <w:rsid w:val="00403DB6"/>
    <w:rsid w:val="00404154"/>
    <w:rsid w:val="00404213"/>
    <w:rsid w:val="004043AB"/>
    <w:rsid w:val="0040445E"/>
    <w:rsid w:val="00404496"/>
    <w:rsid w:val="00404B9F"/>
    <w:rsid w:val="00404BE2"/>
    <w:rsid w:val="00404D0E"/>
    <w:rsid w:val="00404D6E"/>
    <w:rsid w:val="00404DAE"/>
    <w:rsid w:val="00404E0F"/>
    <w:rsid w:val="00404F5C"/>
    <w:rsid w:val="00404FC6"/>
    <w:rsid w:val="00405044"/>
    <w:rsid w:val="0040513D"/>
    <w:rsid w:val="00405255"/>
    <w:rsid w:val="00405271"/>
    <w:rsid w:val="004053CF"/>
    <w:rsid w:val="00405710"/>
    <w:rsid w:val="00405949"/>
    <w:rsid w:val="00405AC5"/>
    <w:rsid w:val="00405E73"/>
    <w:rsid w:val="00406174"/>
    <w:rsid w:val="004062E8"/>
    <w:rsid w:val="0040642C"/>
    <w:rsid w:val="00406461"/>
    <w:rsid w:val="004064F9"/>
    <w:rsid w:val="004065AA"/>
    <w:rsid w:val="00406780"/>
    <w:rsid w:val="004068FE"/>
    <w:rsid w:val="0040694B"/>
    <w:rsid w:val="00406DB6"/>
    <w:rsid w:val="0040701A"/>
    <w:rsid w:val="00407240"/>
    <w:rsid w:val="00407374"/>
    <w:rsid w:val="0040755B"/>
    <w:rsid w:val="004076B7"/>
    <w:rsid w:val="004078F1"/>
    <w:rsid w:val="00407956"/>
    <w:rsid w:val="00407C7B"/>
    <w:rsid w:val="00407D77"/>
    <w:rsid w:val="004104C5"/>
    <w:rsid w:val="004107CA"/>
    <w:rsid w:val="00410A6D"/>
    <w:rsid w:val="00410BAA"/>
    <w:rsid w:val="00410BF7"/>
    <w:rsid w:val="00410C1F"/>
    <w:rsid w:val="00410C37"/>
    <w:rsid w:val="00410DFD"/>
    <w:rsid w:val="00410E07"/>
    <w:rsid w:val="00411617"/>
    <w:rsid w:val="00411674"/>
    <w:rsid w:val="004119CC"/>
    <w:rsid w:val="00411B8E"/>
    <w:rsid w:val="00412229"/>
    <w:rsid w:val="004122C5"/>
    <w:rsid w:val="004128B1"/>
    <w:rsid w:val="00412BDA"/>
    <w:rsid w:val="00412CF5"/>
    <w:rsid w:val="00412DBC"/>
    <w:rsid w:val="00413068"/>
    <w:rsid w:val="00413305"/>
    <w:rsid w:val="0041346F"/>
    <w:rsid w:val="00413F51"/>
    <w:rsid w:val="004145FF"/>
    <w:rsid w:val="004146CF"/>
    <w:rsid w:val="00414792"/>
    <w:rsid w:val="004148F8"/>
    <w:rsid w:val="004149AB"/>
    <w:rsid w:val="00414EBD"/>
    <w:rsid w:val="00414FFF"/>
    <w:rsid w:val="004152CE"/>
    <w:rsid w:val="004154D6"/>
    <w:rsid w:val="0041557D"/>
    <w:rsid w:val="004156CA"/>
    <w:rsid w:val="004157A2"/>
    <w:rsid w:val="00415813"/>
    <w:rsid w:val="004158B5"/>
    <w:rsid w:val="00415C74"/>
    <w:rsid w:val="00415E3B"/>
    <w:rsid w:val="00415E9D"/>
    <w:rsid w:val="00415F1F"/>
    <w:rsid w:val="00416477"/>
    <w:rsid w:val="0041663F"/>
    <w:rsid w:val="00416754"/>
    <w:rsid w:val="00416893"/>
    <w:rsid w:val="00416D47"/>
    <w:rsid w:val="0041711F"/>
    <w:rsid w:val="00417152"/>
    <w:rsid w:val="004175B8"/>
    <w:rsid w:val="00417855"/>
    <w:rsid w:val="0041787C"/>
    <w:rsid w:val="004178C1"/>
    <w:rsid w:val="004179ED"/>
    <w:rsid w:val="00417FD3"/>
    <w:rsid w:val="00420192"/>
    <w:rsid w:val="00420194"/>
    <w:rsid w:val="00420210"/>
    <w:rsid w:val="00420235"/>
    <w:rsid w:val="00420284"/>
    <w:rsid w:val="00420333"/>
    <w:rsid w:val="00420536"/>
    <w:rsid w:val="0042067E"/>
    <w:rsid w:val="00420680"/>
    <w:rsid w:val="00420704"/>
    <w:rsid w:val="0042082A"/>
    <w:rsid w:val="00420847"/>
    <w:rsid w:val="004208FB"/>
    <w:rsid w:val="00420D09"/>
    <w:rsid w:val="00420DEA"/>
    <w:rsid w:val="00420F4F"/>
    <w:rsid w:val="00420FA0"/>
    <w:rsid w:val="004212CC"/>
    <w:rsid w:val="0042149D"/>
    <w:rsid w:val="00421544"/>
    <w:rsid w:val="00421858"/>
    <w:rsid w:val="004219CF"/>
    <w:rsid w:val="00421B02"/>
    <w:rsid w:val="00421B22"/>
    <w:rsid w:val="00421CAF"/>
    <w:rsid w:val="004222C2"/>
    <w:rsid w:val="004224F6"/>
    <w:rsid w:val="0042266F"/>
    <w:rsid w:val="00422753"/>
    <w:rsid w:val="004227F1"/>
    <w:rsid w:val="004228F5"/>
    <w:rsid w:val="00422ACF"/>
    <w:rsid w:val="00422BD8"/>
    <w:rsid w:val="00422BEA"/>
    <w:rsid w:val="00423215"/>
    <w:rsid w:val="004238B1"/>
    <w:rsid w:val="00423B79"/>
    <w:rsid w:val="00423BD8"/>
    <w:rsid w:val="00423C22"/>
    <w:rsid w:val="0042425D"/>
    <w:rsid w:val="00424291"/>
    <w:rsid w:val="00424442"/>
    <w:rsid w:val="004244DC"/>
    <w:rsid w:val="00424628"/>
    <w:rsid w:val="00424A6E"/>
    <w:rsid w:val="00424AC1"/>
    <w:rsid w:val="00424AD5"/>
    <w:rsid w:val="0042529E"/>
    <w:rsid w:val="00425526"/>
    <w:rsid w:val="0042555D"/>
    <w:rsid w:val="00425697"/>
    <w:rsid w:val="00425863"/>
    <w:rsid w:val="0042593E"/>
    <w:rsid w:val="00425CB2"/>
    <w:rsid w:val="00425CEC"/>
    <w:rsid w:val="0042630C"/>
    <w:rsid w:val="00426352"/>
    <w:rsid w:val="004267CE"/>
    <w:rsid w:val="00426A8C"/>
    <w:rsid w:val="00426C4B"/>
    <w:rsid w:val="00426DBF"/>
    <w:rsid w:val="00426E00"/>
    <w:rsid w:val="00426FC0"/>
    <w:rsid w:val="00426FCA"/>
    <w:rsid w:val="00427025"/>
    <w:rsid w:val="0042720F"/>
    <w:rsid w:val="00427390"/>
    <w:rsid w:val="004273D0"/>
    <w:rsid w:val="004274E8"/>
    <w:rsid w:val="004275B3"/>
    <w:rsid w:val="004276F0"/>
    <w:rsid w:val="00427B56"/>
    <w:rsid w:val="00430017"/>
    <w:rsid w:val="004300AC"/>
    <w:rsid w:val="00430608"/>
    <w:rsid w:val="004307EE"/>
    <w:rsid w:val="004308B7"/>
    <w:rsid w:val="00430989"/>
    <w:rsid w:val="00430A32"/>
    <w:rsid w:val="00430A6D"/>
    <w:rsid w:val="00430BAB"/>
    <w:rsid w:val="00430BE0"/>
    <w:rsid w:val="00430C41"/>
    <w:rsid w:val="00430CDE"/>
    <w:rsid w:val="00430E65"/>
    <w:rsid w:val="00430E83"/>
    <w:rsid w:val="00431019"/>
    <w:rsid w:val="00431541"/>
    <w:rsid w:val="0043173B"/>
    <w:rsid w:val="0043175A"/>
    <w:rsid w:val="004318CC"/>
    <w:rsid w:val="004319C4"/>
    <w:rsid w:val="00431A13"/>
    <w:rsid w:val="00431C13"/>
    <w:rsid w:val="00431CE0"/>
    <w:rsid w:val="00431E6E"/>
    <w:rsid w:val="00431FCB"/>
    <w:rsid w:val="004322E0"/>
    <w:rsid w:val="00432305"/>
    <w:rsid w:val="00432902"/>
    <w:rsid w:val="00432AB4"/>
    <w:rsid w:val="00432CE5"/>
    <w:rsid w:val="00432D93"/>
    <w:rsid w:val="00433143"/>
    <w:rsid w:val="004332EB"/>
    <w:rsid w:val="00433419"/>
    <w:rsid w:val="00433487"/>
    <w:rsid w:val="00433555"/>
    <w:rsid w:val="00433642"/>
    <w:rsid w:val="00433A81"/>
    <w:rsid w:val="00433B78"/>
    <w:rsid w:val="00433F2C"/>
    <w:rsid w:val="00433F75"/>
    <w:rsid w:val="00433F7C"/>
    <w:rsid w:val="00434206"/>
    <w:rsid w:val="0043432D"/>
    <w:rsid w:val="00434534"/>
    <w:rsid w:val="004345A0"/>
    <w:rsid w:val="0043467F"/>
    <w:rsid w:val="00434840"/>
    <w:rsid w:val="004348B7"/>
    <w:rsid w:val="004348F4"/>
    <w:rsid w:val="0043491C"/>
    <w:rsid w:val="004349F3"/>
    <w:rsid w:val="00434AB1"/>
    <w:rsid w:val="00434BA4"/>
    <w:rsid w:val="00434BD2"/>
    <w:rsid w:val="00434EA1"/>
    <w:rsid w:val="00434EC0"/>
    <w:rsid w:val="00434ED9"/>
    <w:rsid w:val="00434FDB"/>
    <w:rsid w:val="0043536C"/>
    <w:rsid w:val="004357A6"/>
    <w:rsid w:val="00435A32"/>
    <w:rsid w:val="00435A92"/>
    <w:rsid w:val="00435B7C"/>
    <w:rsid w:val="00435BAF"/>
    <w:rsid w:val="00435FF8"/>
    <w:rsid w:val="004362E0"/>
    <w:rsid w:val="00436422"/>
    <w:rsid w:val="0043651D"/>
    <w:rsid w:val="004365D2"/>
    <w:rsid w:val="00436981"/>
    <w:rsid w:val="00436C74"/>
    <w:rsid w:val="00436E8E"/>
    <w:rsid w:val="00436ECB"/>
    <w:rsid w:val="00436F11"/>
    <w:rsid w:val="00436FDB"/>
    <w:rsid w:val="0043700F"/>
    <w:rsid w:val="004371C2"/>
    <w:rsid w:val="004371D7"/>
    <w:rsid w:val="004372EE"/>
    <w:rsid w:val="00437571"/>
    <w:rsid w:val="00437754"/>
    <w:rsid w:val="004378A5"/>
    <w:rsid w:val="00437A0B"/>
    <w:rsid w:val="00437B47"/>
    <w:rsid w:val="00437BCF"/>
    <w:rsid w:val="00437D67"/>
    <w:rsid w:val="00437E63"/>
    <w:rsid w:val="00437F50"/>
    <w:rsid w:val="00440146"/>
    <w:rsid w:val="004402F7"/>
    <w:rsid w:val="00440571"/>
    <w:rsid w:val="0044071F"/>
    <w:rsid w:val="00440A1F"/>
    <w:rsid w:val="00440B02"/>
    <w:rsid w:val="00440C1B"/>
    <w:rsid w:val="00440CFC"/>
    <w:rsid w:val="00440D82"/>
    <w:rsid w:val="00440F8D"/>
    <w:rsid w:val="00441059"/>
    <w:rsid w:val="004410EA"/>
    <w:rsid w:val="0044125D"/>
    <w:rsid w:val="0044151C"/>
    <w:rsid w:val="00441640"/>
    <w:rsid w:val="00441A7B"/>
    <w:rsid w:val="00441EEE"/>
    <w:rsid w:val="004422AD"/>
    <w:rsid w:val="00442398"/>
    <w:rsid w:val="0044240F"/>
    <w:rsid w:val="004429AF"/>
    <w:rsid w:val="00443152"/>
    <w:rsid w:val="004432C2"/>
    <w:rsid w:val="004432E1"/>
    <w:rsid w:val="004435E1"/>
    <w:rsid w:val="00443925"/>
    <w:rsid w:val="00443B5B"/>
    <w:rsid w:val="00443E06"/>
    <w:rsid w:val="00443FFF"/>
    <w:rsid w:val="004440CC"/>
    <w:rsid w:val="004441AE"/>
    <w:rsid w:val="00444272"/>
    <w:rsid w:val="00444349"/>
    <w:rsid w:val="00444AA1"/>
    <w:rsid w:val="00444B30"/>
    <w:rsid w:val="00444BA3"/>
    <w:rsid w:val="00444C25"/>
    <w:rsid w:val="00444D8C"/>
    <w:rsid w:val="00444EE8"/>
    <w:rsid w:val="00444F3F"/>
    <w:rsid w:val="004450FA"/>
    <w:rsid w:val="00445449"/>
    <w:rsid w:val="00445816"/>
    <w:rsid w:val="00445894"/>
    <w:rsid w:val="00445979"/>
    <w:rsid w:val="00445AE2"/>
    <w:rsid w:val="00445B3E"/>
    <w:rsid w:val="00445DDD"/>
    <w:rsid w:val="004461FA"/>
    <w:rsid w:val="00446699"/>
    <w:rsid w:val="0044690E"/>
    <w:rsid w:val="004469EF"/>
    <w:rsid w:val="00446A15"/>
    <w:rsid w:val="00446CC5"/>
    <w:rsid w:val="00446FAD"/>
    <w:rsid w:val="004470B6"/>
    <w:rsid w:val="00447362"/>
    <w:rsid w:val="00447429"/>
    <w:rsid w:val="00447505"/>
    <w:rsid w:val="00447580"/>
    <w:rsid w:val="004476FF"/>
    <w:rsid w:val="0044770C"/>
    <w:rsid w:val="00447852"/>
    <w:rsid w:val="00447ADE"/>
    <w:rsid w:val="00447B07"/>
    <w:rsid w:val="00447D9B"/>
    <w:rsid w:val="00450090"/>
    <w:rsid w:val="00450234"/>
    <w:rsid w:val="00450371"/>
    <w:rsid w:val="004504DD"/>
    <w:rsid w:val="004504E4"/>
    <w:rsid w:val="004505A6"/>
    <w:rsid w:val="004507C4"/>
    <w:rsid w:val="004508D1"/>
    <w:rsid w:val="00450BDB"/>
    <w:rsid w:val="00450D64"/>
    <w:rsid w:val="00450D77"/>
    <w:rsid w:val="00450EFA"/>
    <w:rsid w:val="00450F6A"/>
    <w:rsid w:val="00451023"/>
    <w:rsid w:val="004512C8"/>
    <w:rsid w:val="0045161C"/>
    <w:rsid w:val="004516A5"/>
    <w:rsid w:val="004518BE"/>
    <w:rsid w:val="004518C0"/>
    <w:rsid w:val="00451C7C"/>
    <w:rsid w:val="00451F8A"/>
    <w:rsid w:val="00451F97"/>
    <w:rsid w:val="004523AB"/>
    <w:rsid w:val="004523B8"/>
    <w:rsid w:val="004523DC"/>
    <w:rsid w:val="00452777"/>
    <w:rsid w:val="004529E8"/>
    <w:rsid w:val="00452A20"/>
    <w:rsid w:val="00452E66"/>
    <w:rsid w:val="004530E2"/>
    <w:rsid w:val="0045388F"/>
    <w:rsid w:val="00453903"/>
    <w:rsid w:val="00453927"/>
    <w:rsid w:val="00453B0F"/>
    <w:rsid w:val="00453BD0"/>
    <w:rsid w:val="00453C8D"/>
    <w:rsid w:val="004541A8"/>
    <w:rsid w:val="00454660"/>
    <w:rsid w:val="00454798"/>
    <w:rsid w:val="00454DFC"/>
    <w:rsid w:val="00454FEE"/>
    <w:rsid w:val="0045505F"/>
    <w:rsid w:val="00455A63"/>
    <w:rsid w:val="00455CE3"/>
    <w:rsid w:val="00456097"/>
    <w:rsid w:val="00456347"/>
    <w:rsid w:val="004569D2"/>
    <w:rsid w:val="0045720F"/>
    <w:rsid w:val="00457407"/>
    <w:rsid w:val="004577F6"/>
    <w:rsid w:val="00457CB1"/>
    <w:rsid w:val="00460181"/>
    <w:rsid w:val="004601DE"/>
    <w:rsid w:val="0046027A"/>
    <w:rsid w:val="00460569"/>
    <w:rsid w:val="0046078D"/>
    <w:rsid w:val="00460AAA"/>
    <w:rsid w:val="00460CC0"/>
    <w:rsid w:val="00460CE3"/>
    <w:rsid w:val="00460D20"/>
    <w:rsid w:val="00460E57"/>
    <w:rsid w:val="0046114F"/>
    <w:rsid w:val="0046118C"/>
    <w:rsid w:val="00461521"/>
    <w:rsid w:val="00461549"/>
    <w:rsid w:val="0046190F"/>
    <w:rsid w:val="004619B1"/>
    <w:rsid w:val="00461C10"/>
    <w:rsid w:val="00461E8F"/>
    <w:rsid w:val="004622EE"/>
    <w:rsid w:val="00462392"/>
    <w:rsid w:val="00462440"/>
    <w:rsid w:val="00462445"/>
    <w:rsid w:val="00462640"/>
    <w:rsid w:val="004626AD"/>
    <w:rsid w:val="0046270A"/>
    <w:rsid w:val="004629D1"/>
    <w:rsid w:val="00462C1D"/>
    <w:rsid w:val="00462D4F"/>
    <w:rsid w:val="004636AF"/>
    <w:rsid w:val="0046370F"/>
    <w:rsid w:val="004638BB"/>
    <w:rsid w:val="00464333"/>
    <w:rsid w:val="0046447A"/>
    <w:rsid w:val="00464522"/>
    <w:rsid w:val="004645D9"/>
    <w:rsid w:val="00464B03"/>
    <w:rsid w:val="00464BD7"/>
    <w:rsid w:val="00464C36"/>
    <w:rsid w:val="00464F20"/>
    <w:rsid w:val="00464F34"/>
    <w:rsid w:val="00465185"/>
    <w:rsid w:val="00465278"/>
    <w:rsid w:val="004653C7"/>
    <w:rsid w:val="004655E8"/>
    <w:rsid w:val="0046567D"/>
    <w:rsid w:val="004656F0"/>
    <w:rsid w:val="004659B0"/>
    <w:rsid w:val="00465BE7"/>
    <w:rsid w:val="00465C92"/>
    <w:rsid w:val="00465D5D"/>
    <w:rsid w:val="00465D61"/>
    <w:rsid w:val="00465DB9"/>
    <w:rsid w:val="00465F8B"/>
    <w:rsid w:val="004665F2"/>
    <w:rsid w:val="004666D8"/>
    <w:rsid w:val="00466885"/>
    <w:rsid w:val="004668F8"/>
    <w:rsid w:val="00466D10"/>
    <w:rsid w:val="004670AC"/>
    <w:rsid w:val="004672B6"/>
    <w:rsid w:val="0046734D"/>
    <w:rsid w:val="0046739A"/>
    <w:rsid w:val="00467420"/>
    <w:rsid w:val="0046760E"/>
    <w:rsid w:val="00467669"/>
    <w:rsid w:val="00467997"/>
    <w:rsid w:val="00467AF3"/>
    <w:rsid w:val="00467AF9"/>
    <w:rsid w:val="00467CEE"/>
    <w:rsid w:val="00470122"/>
    <w:rsid w:val="0047019C"/>
    <w:rsid w:val="004701C5"/>
    <w:rsid w:val="0047055F"/>
    <w:rsid w:val="004705B1"/>
    <w:rsid w:val="0047063D"/>
    <w:rsid w:val="00470681"/>
    <w:rsid w:val="00470824"/>
    <w:rsid w:val="00470C41"/>
    <w:rsid w:val="00470D9E"/>
    <w:rsid w:val="00470F4F"/>
    <w:rsid w:val="00470FB8"/>
    <w:rsid w:val="004717BE"/>
    <w:rsid w:val="00471A87"/>
    <w:rsid w:val="00471BCB"/>
    <w:rsid w:val="00471BF2"/>
    <w:rsid w:val="00471C07"/>
    <w:rsid w:val="00471F49"/>
    <w:rsid w:val="004720F5"/>
    <w:rsid w:val="004721FD"/>
    <w:rsid w:val="004721FE"/>
    <w:rsid w:val="00472608"/>
    <w:rsid w:val="00472C65"/>
    <w:rsid w:val="00472F16"/>
    <w:rsid w:val="00472FEB"/>
    <w:rsid w:val="0047309C"/>
    <w:rsid w:val="004730D9"/>
    <w:rsid w:val="00473318"/>
    <w:rsid w:val="004734DC"/>
    <w:rsid w:val="0047370F"/>
    <w:rsid w:val="00473BDE"/>
    <w:rsid w:val="00473CBA"/>
    <w:rsid w:val="00473FF1"/>
    <w:rsid w:val="004741AD"/>
    <w:rsid w:val="00474313"/>
    <w:rsid w:val="00474780"/>
    <w:rsid w:val="0047479B"/>
    <w:rsid w:val="00475421"/>
    <w:rsid w:val="004755A6"/>
    <w:rsid w:val="00475837"/>
    <w:rsid w:val="00475A5E"/>
    <w:rsid w:val="00475AD2"/>
    <w:rsid w:val="00475B5D"/>
    <w:rsid w:val="00475C3B"/>
    <w:rsid w:val="00475D17"/>
    <w:rsid w:val="00475D74"/>
    <w:rsid w:val="00475DA6"/>
    <w:rsid w:val="00475F0F"/>
    <w:rsid w:val="00476101"/>
    <w:rsid w:val="004761CB"/>
    <w:rsid w:val="004761DF"/>
    <w:rsid w:val="00476288"/>
    <w:rsid w:val="0047628B"/>
    <w:rsid w:val="004763B4"/>
    <w:rsid w:val="004767BE"/>
    <w:rsid w:val="00476970"/>
    <w:rsid w:val="00476AE6"/>
    <w:rsid w:val="00476DC7"/>
    <w:rsid w:val="00476E33"/>
    <w:rsid w:val="00477108"/>
    <w:rsid w:val="00477262"/>
    <w:rsid w:val="0047734E"/>
    <w:rsid w:val="004778F7"/>
    <w:rsid w:val="004779D4"/>
    <w:rsid w:val="00477ABE"/>
    <w:rsid w:val="00477B3E"/>
    <w:rsid w:val="00477F8A"/>
    <w:rsid w:val="00480168"/>
    <w:rsid w:val="00480185"/>
    <w:rsid w:val="00480687"/>
    <w:rsid w:val="004809CB"/>
    <w:rsid w:val="00480E24"/>
    <w:rsid w:val="004812F0"/>
    <w:rsid w:val="00481376"/>
    <w:rsid w:val="00481643"/>
    <w:rsid w:val="004817EC"/>
    <w:rsid w:val="00481A6F"/>
    <w:rsid w:val="00482344"/>
    <w:rsid w:val="004826CF"/>
    <w:rsid w:val="00482BF6"/>
    <w:rsid w:val="00482C87"/>
    <w:rsid w:val="00482EDF"/>
    <w:rsid w:val="00482FA4"/>
    <w:rsid w:val="00483075"/>
    <w:rsid w:val="0048313E"/>
    <w:rsid w:val="0048314B"/>
    <w:rsid w:val="004834A9"/>
    <w:rsid w:val="00483684"/>
    <w:rsid w:val="0048377B"/>
    <w:rsid w:val="00483795"/>
    <w:rsid w:val="00483862"/>
    <w:rsid w:val="00483929"/>
    <w:rsid w:val="0048399B"/>
    <w:rsid w:val="00483A08"/>
    <w:rsid w:val="00483BBE"/>
    <w:rsid w:val="00483BE5"/>
    <w:rsid w:val="00483CC6"/>
    <w:rsid w:val="00483DCD"/>
    <w:rsid w:val="00483E3B"/>
    <w:rsid w:val="00484140"/>
    <w:rsid w:val="004842FF"/>
    <w:rsid w:val="004843B9"/>
    <w:rsid w:val="004843C3"/>
    <w:rsid w:val="004847A0"/>
    <w:rsid w:val="004848B0"/>
    <w:rsid w:val="00484B2E"/>
    <w:rsid w:val="00484B7C"/>
    <w:rsid w:val="00484BB1"/>
    <w:rsid w:val="00484CD9"/>
    <w:rsid w:val="00484D2F"/>
    <w:rsid w:val="00484F77"/>
    <w:rsid w:val="00484FB8"/>
    <w:rsid w:val="004850B5"/>
    <w:rsid w:val="004852D4"/>
    <w:rsid w:val="00485432"/>
    <w:rsid w:val="00485588"/>
    <w:rsid w:val="0048592A"/>
    <w:rsid w:val="0048592D"/>
    <w:rsid w:val="004859E4"/>
    <w:rsid w:val="00485BAD"/>
    <w:rsid w:val="00485D56"/>
    <w:rsid w:val="00485DF3"/>
    <w:rsid w:val="0048610F"/>
    <w:rsid w:val="004861D1"/>
    <w:rsid w:val="0048620A"/>
    <w:rsid w:val="0048629E"/>
    <w:rsid w:val="004863B4"/>
    <w:rsid w:val="004865F9"/>
    <w:rsid w:val="00486C09"/>
    <w:rsid w:val="00486C2A"/>
    <w:rsid w:val="00486E02"/>
    <w:rsid w:val="00486FDB"/>
    <w:rsid w:val="00487141"/>
    <w:rsid w:val="004871CE"/>
    <w:rsid w:val="0048742B"/>
    <w:rsid w:val="00487607"/>
    <w:rsid w:val="00487619"/>
    <w:rsid w:val="00487647"/>
    <w:rsid w:val="00487698"/>
    <w:rsid w:val="004876C5"/>
    <w:rsid w:val="00490001"/>
    <w:rsid w:val="00490143"/>
    <w:rsid w:val="0049023F"/>
    <w:rsid w:val="00490333"/>
    <w:rsid w:val="00490452"/>
    <w:rsid w:val="004907DD"/>
    <w:rsid w:val="00490911"/>
    <w:rsid w:val="004909A6"/>
    <w:rsid w:val="00490C8D"/>
    <w:rsid w:val="00490C90"/>
    <w:rsid w:val="00490CD0"/>
    <w:rsid w:val="00490D8A"/>
    <w:rsid w:val="00491277"/>
    <w:rsid w:val="00491710"/>
    <w:rsid w:val="004919C8"/>
    <w:rsid w:val="00491A25"/>
    <w:rsid w:val="00491C07"/>
    <w:rsid w:val="00491C71"/>
    <w:rsid w:val="00491D2D"/>
    <w:rsid w:val="0049206A"/>
    <w:rsid w:val="0049224C"/>
    <w:rsid w:val="00492334"/>
    <w:rsid w:val="00492541"/>
    <w:rsid w:val="0049293B"/>
    <w:rsid w:val="00492AF1"/>
    <w:rsid w:val="00492C86"/>
    <w:rsid w:val="00492D1E"/>
    <w:rsid w:val="00493012"/>
    <w:rsid w:val="00493075"/>
    <w:rsid w:val="004930A9"/>
    <w:rsid w:val="004931B6"/>
    <w:rsid w:val="0049326D"/>
    <w:rsid w:val="00493408"/>
    <w:rsid w:val="004936F8"/>
    <w:rsid w:val="004939F5"/>
    <w:rsid w:val="00493D0C"/>
    <w:rsid w:val="00493E02"/>
    <w:rsid w:val="00493F16"/>
    <w:rsid w:val="004940C3"/>
    <w:rsid w:val="0049431D"/>
    <w:rsid w:val="00494390"/>
    <w:rsid w:val="0049479C"/>
    <w:rsid w:val="00494A4A"/>
    <w:rsid w:val="00494B2D"/>
    <w:rsid w:val="00494BD1"/>
    <w:rsid w:val="00494DB4"/>
    <w:rsid w:val="00494FF7"/>
    <w:rsid w:val="0049522A"/>
    <w:rsid w:val="0049539B"/>
    <w:rsid w:val="004954E5"/>
    <w:rsid w:val="0049553E"/>
    <w:rsid w:val="0049563D"/>
    <w:rsid w:val="00495766"/>
    <w:rsid w:val="004958B9"/>
    <w:rsid w:val="00495B70"/>
    <w:rsid w:val="00495B9F"/>
    <w:rsid w:val="00496091"/>
    <w:rsid w:val="0049618E"/>
    <w:rsid w:val="004964AF"/>
    <w:rsid w:val="00496690"/>
    <w:rsid w:val="00496790"/>
    <w:rsid w:val="00496B81"/>
    <w:rsid w:val="00496BE8"/>
    <w:rsid w:val="00496F59"/>
    <w:rsid w:val="004975F2"/>
    <w:rsid w:val="004976B8"/>
    <w:rsid w:val="00497787"/>
    <w:rsid w:val="00497909"/>
    <w:rsid w:val="00497963"/>
    <w:rsid w:val="004979E1"/>
    <w:rsid w:val="00497A1E"/>
    <w:rsid w:val="00497CA2"/>
    <w:rsid w:val="00497EDF"/>
    <w:rsid w:val="004A02D5"/>
    <w:rsid w:val="004A04BE"/>
    <w:rsid w:val="004A0630"/>
    <w:rsid w:val="004A0870"/>
    <w:rsid w:val="004A0949"/>
    <w:rsid w:val="004A0972"/>
    <w:rsid w:val="004A0F7D"/>
    <w:rsid w:val="004A0FBC"/>
    <w:rsid w:val="004A1006"/>
    <w:rsid w:val="004A120A"/>
    <w:rsid w:val="004A1227"/>
    <w:rsid w:val="004A12A6"/>
    <w:rsid w:val="004A15B5"/>
    <w:rsid w:val="004A1633"/>
    <w:rsid w:val="004A172B"/>
    <w:rsid w:val="004A1826"/>
    <w:rsid w:val="004A182F"/>
    <w:rsid w:val="004A1978"/>
    <w:rsid w:val="004A1BB2"/>
    <w:rsid w:val="004A1C36"/>
    <w:rsid w:val="004A1F02"/>
    <w:rsid w:val="004A20C5"/>
    <w:rsid w:val="004A2279"/>
    <w:rsid w:val="004A25D1"/>
    <w:rsid w:val="004A27AE"/>
    <w:rsid w:val="004A297F"/>
    <w:rsid w:val="004A2DD1"/>
    <w:rsid w:val="004A2E09"/>
    <w:rsid w:val="004A340F"/>
    <w:rsid w:val="004A345D"/>
    <w:rsid w:val="004A3513"/>
    <w:rsid w:val="004A3532"/>
    <w:rsid w:val="004A38C0"/>
    <w:rsid w:val="004A3A67"/>
    <w:rsid w:val="004A3F21"/>
    <w:rsid w:val="004A4050"/>
    <w:rsid w:val="004A4403"/>
    <w:rsid w:val="004A4537"/>
    <w:rsid w:val="004A4614"/>
    <w:rsid w:val="004A46DE"/>
    <w:rsid w:val="004A46F5"/>
    <w:rsid w:val="004A473D"/>
    <w:rsid w:val="004A4795"/>
    <w:rsid w:val="004A49FE"/>
    <w:rsid w:val="004A4E10"/>
    <w:rsid w:val="004A4E49"/>
    <w:rsid w:val="004A4EAA"/>
    <w:rsid w:val="004A4EDC"/>
    <w:rsid w:val="004A5108"/>
    <w:rsid w:val="004A5189"/>
    <w:rsid w:val="004A51C2"/>
    <w:rsid w:val="004A5306"/>
    <w:rsid w:val="004A58DC"/>
    <w:rsid w:val="004A5996"/>
    <w:rsid w:val="004A5B87"/>
    <w:rsid w:val="004A5DF8"/>
    <w:rsid w:val="004A6446"/>
    <w:rsid w:val="004A654D"/>
    <w:rsid w:val="004A66D6"/>
    <w:rsid w:val="004A680C"/>
    <w:rsid w:val="004A6F7B"/>
    <w:rsid w:val="004A6FE6"/>
    <w:rsid w:val="004A74A2"/>
    <w:rsid w:val="004A7529"/>
    <w:rsid w:val="004A7866"/>
    <w:rsid w:val="004A78FA"/>
    <w:rsid w:val="004A7F27"/>
    <w:rsid w:val="004A7F69"/>
    <w:rsid w:val="004B0059"/>
    <w:rsid w:val="004B00C9"/>
    <w:rsid w:val="004B016A"/>
    <w:rsid w:val="004B0177"/>
    <w:rsid w:val="004B0233"/>
    <w:rsid w:val="004B02CA"/>
    <w:rsid w:val="004B0391"/>
    <w:rsid w:val="004B050E"/>
    <w:rsid w:val="004B080A"/>
    <w:rsid w:val="004B09AD"/>
    <w:rsid w:val="004B0FBD"/>
    <w:rsid w:val="004B101E"/>
    <w:rsid w:val="004B1087"/>
    <w:rsid w:val="004B1132"/>
    <w:rsid w:val="004B1979"/>
    <w:rsid w:val="004B1B87"/>
    <w:rsid w:val="004B1B8B"/>
    <w:rsid w:val="004B1EB0"/>
    <w:rsid w:val="004B1F78"/>
    <w:rsid w:val="004B221B"/>
    <w:rsid w:val="004B244B"/>
    <w:rsid w:val="004B2588"/>
    <w:rsid w:val="004B2767"/>
    <w:rsid w:val="004B287D"/>
    <w:rsid w:val="004B289E"/>
    <w:rsid w:val="004B29EB"/>
    <w:rsid w:val="004B2B3B"/>
    <w:rsid w:val="004B2EB8"/>
    <w:rsid w:val="004B31C0"/>
    <w:rsid w:val="004B349C"/>
    <w:rsid w:val="004B37A8"/>
    <w:rsid w:val="004B3A89"/>
    <w:rsid w:val="004B3BCD"/>
    <w:rsid w:val="004B3C02"/>
    <w:rsid w:val="004B3C24"/>
    <w:rsid w:val="004B3D5A"/>
    <w:rsid w:val="004B3F3D"/>
    <w:rsid w:val="004B4084"/>
    <w:rsid w:val="004B40FD"/>
    <w:rsid w:val="004B4117"/>
    <w:rsid w:val="004B4133"/>
    <w:rsid w:val="004B4270"/>
    <w:rsid w:val="004B4283"/>
    <w:rsid w:val="004B42F2"/>
    <w:rsid w:val="004B43A3"/>
    <w:rsid w:val="004B440B"/>
    <w:rsid w:val="004B473D"/>
    <w:rsid w:val="004B4853"/>
    <w:rsid w:val="004B494B"/>
    <w:rsid w:val="004B4951"/>
    <w:rsid w:val="004B4AFE"/>
    <w:rsid w:val="004B4BE8"/>
    <w:rsid w:val="004B4C43"/>
    <w:rsid w:val="004B4CD7"/>
    <w:rsid w:val="004B4D91"/>
    <w:rsid w:val="004B5673"/>
    <w:rsid w:val="004B5A24"/>
    <w:rsid w:val="004B5A3F"/>
    <w:rsid w:val="004B5E3B"/>
    <w:rsid w:val="004B6018"/>
    <w:rsid w:val="004B6276"/>
    <w:rsid w:val="004B62DB"/>
    <w:rsid w:val="004B6425"/>
    <w:rsid w:val="004B669F"/>
    <w:rsid w:val="004B67B2"/>
    <w:rsid w:val="004B6857"/>
    <w:rsid w:val="004B6AD5"/>
    <w:rsid w:val="004B6D8E"/>
    <w:rsid w:val="004B6FC8"/>
    <w:rsid w:val="004B72DF"/>
    <w:rsid w:val="004B735E"/>
    <w:rsid w:val="004B756C"/>
    <w:rsid w:val="004B770B"/>
    <w:rsid w:val="004B77E8"/>
    <w:rsid w:val="004B78D2"/>
    <w:rsid w:val="004B798D"/>
    <w:rsid w:val="004B799A"/>
    <w:rsid w:val="004B7D93"/>
    <w:rsid w:val="004C00E7"/>
    <w:rsid w:val="004C0218"/>
    <w:rsid w:val="004C0550"/>
    <w:rsid w:val="004C0E5C"/>
    <w:rsid w:val="004C0EB9"/>
    <w:rsid w:val="004C1157"/>
    <w:rsid w:val="004C1235"/>
    <w:rsid w:val="004C189B"/>
    <w:rsid w:val="004C18F6"/>
    <w:rsid w:val="004C1999"/>
    <w:rsid w:val="004C1CEF"/>
    <w:rsid w:val="004C1D1A"/>
    <w:rsid w:val="004C1D90"/>
    <w:rsid w:val="004C1FDB"/>
    <w:rsid w:val="004C22E0"/>
    <w:rsid w:val="004C236A"/>
    <w:rsid w:val="004C288E"/>
    <w:rsid w:val="004C28F8"/>
    <w:rsid w:val="004C29AF"/>
    <w:rsid w:val="004C2C43"/>
    <w:rsid w:val="004C2C4A"/>
    <w:rsid w:val="004C3216"/>
    <w:rsid w:val="004C329E"/>
    <w:rsid w:val="004C34B0"/>
    <w:rsid w:val="004C3938"/>
    <w:rsid w:val="004C39C3"/>
    <w:rsid w:val="004C39EC"/>
    <w:rsid w:val="004C3A19"/>
    <w:rsid w:val="004C4163"/>
    <w:rsid w:val="004C417F"/>
    <w:rsid w:val="004C4199"/>
    <w:rsid w:val="004C41A6"/>
    <w:rsid w:val="004C4369"/>
    <w:rsid w:val="004C4424"/>
    <w:rsid w:val="004C4515"/>
    <w:rsid w:val="004C45F0"/>
    <w:rsid w:val="004C47A3"/>
    <w:rsid w:val="004C4A20"/>
    <w:rsid w:val="004C4C45"/>
    <w:rsid w:val="004C4EA7"/>
    <w:rsid w:val="004C5162"/>
    <w:rsid w:val="004C5B3D"/>
    <w:rsid w:val="004C5D8E"/>
    <w:rsid w:val="004C60C9"/>
    <w:rsid w:val="004C6196"/>
    <w:rsid w:val="004C622A"/>
    <w:rsid w:val="004C62A2"/>
    <w:rsid w:val="004C62F0"/>
    <w:rsid w:val="004C6A77"/>
    <w:rsid w:val="004C6B20"/>
    <w:rsid w:val="004C6C8B"/>
    <w:rsid w:val="004C6D21"/>
    <w:rsid w:val="004C6E1E"/>
    <w:rsid w:val="004C6EAC"/>
    <w:rsid w:val="004C6F0F"/>
    <w:rsid w:val="004C7065"/>
    <w:rsid w:val="004C70DC"/>
    <w:rsid w:val="004C70FB"/>
    <w:rsid w:val="004C7134"/>
    <w:rsid w:val="004C71A8"/>
    <w:rsid w:val="004C7233"/>
    <w:rsid w:val="004C7275"/>
    <w:rsid w:val="004C72CE"/>
    <w:rsid w:val="004C73AE"/>
    <w:rsid w:val="004C7463"/>
    <w:rsid w:val="004C758B"/>
    <w:rsid w:val="004C7698"/>
    <w:rsid w:val="004C7952"/>
    <w:rsid w:val="004C7A44"/>
    <w:rsid w:val="004C7D9D"/>
    <w:rsid w:val="004C7FA3"/>
    <w:rsid w:val="004C7FF6"/>
    <w:rsid w:val="004D085F"/>
    <w:rsid w:val="004D0EB8"/>
    <w:rsid w:val="004D0F6E"/>
    <w:rsid w:val="004D0FB2"/>
    <w:rsid w:val="004D1137"/>
    <w:rsid w:val="004D134D"/>
    <w:rsid w:val="004D135C"/>
    <w:rsid w:val="004D146B"/>
    <w:rsid w:val="004D180E"/>
    <w:rsid w:val="004D1AF8"/>
    <w:rsid w:val="004D1E56"/>
    <w:rsid w:val="004D1FC7"/>
    <w:rsid w:val="004D252B"/>
    <w:rsid w:val="004D2578"/>
    <w:rsid w:val="004D264B"/>
    <w:rsid w:val="004D26CD"/>
    <w:rsid w:val="004D2783"/>
    <w:rsid w:val="004D27CB"/>
    <w:rsid w:val="004D28CF"/>
    <w:rsid w:val="004D29EF"/>
    <w:rsid w:val="004D2D91"/>
    <w:rsid w:val="004D3050"/>
    <w:rsid w:val="004D329E"/>
    <w:rsid w:val="004D33E5"/>
    <w:rsid w:val="004D36F5"/>
    <w:rsid w:val="004D3994"/>
    <w:rsid w:val="004D3A37"/>
    <w:rsid w:val="004D3AD5"/>
    <w:rsid w:val="004D3B18"/>
    <w:rsid w:val="004D411E"/>
    <w:rsid w:val="004D420C"/>
    <w:rsid w:val="004D4508"/>
    <w:rsid w:val="004D49AB"/>
    <w:rsid w:val="004D4B47"/>
    <w:rsid w:val="004D4EF5"/>
    <w:rsid w:val="004D5270"/>
    <w:rsid w:val="004D5461"/>
    <w:rsid w:val="004D548B"/>
    <w:rsid w:val="004D54A1"/>
    <w:rsid w:val="004D560F"/>
    <w:rsid w:val="004D5648"/>
    <w:rsid w:val="004D57EB"/>
    <w:rsid w:val="004D58DB"/>
    <w:rsid w:val="004D5AFF"/>
    <w:rsid w:val="004D5B13"/>
    <w:rsid w:val="004D5C94"/>
    <w:rsid w:val="004D5DA2"/>
    <w:rsid w:val="004D5EF0"/>
    <w:rsid w:val="004D613D"/>
    <w:rsid w:val="004D628E"/>
    <w:rsid w:val="004D62B1"/>
    <w:rsid w:val="004D6541"/>
    <w:rsid w:val="004D671E"/>
    <w:rsid w:val="004D679A"/>
    <w:rsid w:val="004D6907"/>
    <w:rsid w:val="004D6F6C"/>
    <w:rsid w:val="004D6FEE"/>
    <w:rsid w:val="004D7174"/>
    <w:rsid w:val="004D74E3"/>
    <w:rsid w:val="004D75BB"/>
    <w:rsid w:val="004D781B"/>
    <w:rsid w:val="004D7907"/>
    <w:rsid w:val="004D7964"/>
    <w:rsid w:val="004D7CC7"/>
    <w:rsid w:val="004D7D87"/>
    <w:rsid w:val="004E0025"/>
    <w:rsid w:val="004E00B5"/>
    <w:rsid w:val="004E00D4"/>
    <w:rsid w:val="004E0292"/>
    <w:rsid w:val="004E0315"/>
    <w:rsid w:val="004E0641"/>
    <w:rsid w:val="004E08E9"/>
    <w:rsid w:val="004E099A"/>
    <w:rsid w:val="004E0A49"/>
    <w:rsid w:val="004E0BC0"/>
    <w:rsid w:val="004E0C88"/>
    <w:rsid w:val="004E0FD6"/>
    <w:rsid w:val="004E10F6"/>
    <w:rsid w:val="004E11BA"/>
    <w:rsid w:val="004E11C4"/>
    <w:rsid w:val="004E146F"/>
    <w:rsid w:val="004E1887"/>
    <w:rsid w:val="004E203F"/>
    <w:rsid w:val="004E2070"/>
    <w:rsid w:val="004E2137"/>
    <w:rsid w:val="004E227D"/>
    <w:rsid w:val="004E22FC"/>
    <w:rsid w:val="004E2372"/>
    <w:rsid w:val="004E252B"/>
    <w:rsid w:val="004E2579"/>
    <w:rsid w:val="004E2609"/>
    <w:rsid w:val="004E2A71"/>
    <w:rsid w:val="004E2A8A"/>
    <w:rsid w:val="004E2AB5"/>
    <w:rsid w:val="004E2D5A"/>
    <w:rsid w:val="004E2DD9"/>
    <w:rsid w:val="004E2F20"/>
    <w:rsid w:val="004E31D0"/>
    <w:rsid w:val="004E35F7"/>
    <w:rsid w:val="004E3734"/>
    <w:rsid w:val="004E377F"/>
    <w:rsid w:val="004E37D1"/>
    <w:rsid w:val="004E3F69"/>
    <w:rsid w:val="004E408B"/>
    <w:rsid w:val="004E40A9"/>
    <w:rsid w:val="004E42A0"/>
    <w:rsid w:val="004E432A"/>
    <w:rsid w:val="004E456E"/>
    <w:rsid w:val="004E4823"/>
    <w:rsid w:val="004E4A97"/>
    <w:rsid w:val="004E4AC9"/>
    <w:rsid w:val="004E4C93"/>
    <w:rsid w:val="004E4C99"/>
    <w:rsid w:val="004E53AE"/>
    <w:rsid w:val="004E5433"/>
    <w:rsid w:val="004E54BD"/>
    <w:rsid w:val="004E591F"/>
    <w:rsid w:val="004E5E14"/>
    <w:rsid w:val="004E5E6C"/>
    <w:rsid w:val="004E644D"/>
    <w:rsid w:val="004E6687"/>
    <w:rsid w:val="004E6897"/>
    <w:rsid w:val="004E690A"/>
    <w:rsid w:val="004E69CB"/>
    <w:rsid w:val="004E6B55"/>
    <w:rsid w:val="004E6C3A"/>
    <w:rsid w:val="004E6E64"/>
    <w:rsid w:val="004E7128"/>
    <w:rsid w:val="004E721A"/>
    <w:rsid w:val="004E7461"/>
    <w:rsid w:val="004E75C1"/>
    <w:rsid w:val="004E7953"/>
    <w:rsid w:val="004E7959"/>
    <w:rsid w:val="004E79EE"/>
    <w:rsid w:val="004E7A93"/>
    <w:rsid w:val="004E7CA3"/>
    <w:rsid w:val="004E7F50"/>
    <w:rsid w:val="004F04E7"/>
    <w:rsid w:val="004F0707"/>
    <w:rsid w:val="004F076E"/>
    <w:rsid w:val="004F0E46"/>
    <w:rsid w:val="004F10FF"/>
    <w:rsid w:val="004F15E2"/>
    <w:rsid w:val="004F1639"/>
    <w:rsid w:val="004F179B"/>
    <w:rsid w:val="004F1838"/>
    <w:rsid w:val="004F1A76"/>
    <w:rsid w:val="004F1C14"/>
    <w:rsid w:val="004F1C91"/>
    <w:rsid w:val="004F1E73"/>
    <w:rsid w:val="004F24A4"/>
    <w:rsid w:val="004F298B"/>
    <w:rsid w:val="004F2CFE"/>
    <w:rsid w:val="004F2D94"/>
    <w:rsid w:val="004F32FD"/>
    <w:rsid w:val="004F34C2"/>
    <w:rsid w:val="004F3599"/>
    <w:rsid w:val="004F401E"/>
    <w:rsid w:val="004F410E"/>
    <w:rsid w:val="004F41B6"/>
    <w:rsid w:val="004F475C"/>
    <w:rsid w:val="004F47AB"/>
    <w:rsid w:val="004F47BD"/>
    <w:rsid w:val="004F4FDA"/>
    <w:rsid w:val="004F53EF"/>
    <w:rsid w:val="004F54CA"/>
    <w:rsid w:val="004F5708"/>
    <w:rsid w:val="004F5E3C"/>
    <w:rsid w:val="004F5E6F"/>
    <w:rsid w:val="004F6100"/>
    <w:rsid w:val="004F61C5"/>
    <w:rsid w:val="004F64EA"/>
    <w:rsid w:val="004F6547"/>
    <w:rsid w:val="004F674C"/>
    <w:rsid w:val="004F685C"/>
    <w:rsid w:val="004F6913"/>
    <w:rsid w:val="004F69F6"/>
    <w:rsid w:val="004F6A70"/>
    <w:rsid w:val="004F6CA8"/>
    <w:rsid w:val="004F6CCE"/>
    <w:rsid w:val="004F6E10"/>
    <w:rsid w:val="004F6E37"/>
    <w:rsid w:val="004F702B"/>
    <w:rsid w:val="004F7110"/>
    <w:rsid w:val="004F71F9"/>
    <w:rsid w:val="004F72A2"/>
    <w:rsid w:val="004F73ED"/>
    <w:rsid w:val="004F75DF"/>
    <w:rsid w:val="004F76FF"/>
    <w:rsid w:val="004F78A3"/>
    <w:rsid w:val="004F78A9"/>
    <w:rsid w:val="004F79C8"/>
    <w:rsid w:val="004F7C43"/>
    <w:rsid w:val="004F7C7C"/>
    <w:rsid w:val="004F7F4E"/>
    <w:rsid w:val="005004C5"/>
    <w:rsid w:val="00500705"/>
    <w:rsid w:val="00500CFC"/>
    <w:rsid w:val="00500E6D"/>
    <w:rsid w:val="00500F15"/>
    <w:rsid w:val="005011EF"/>
    <w:rsid w:val="005011F3"/>
    <w:rsid w:val="005014DE"/>
    <w:rsid w:val="005016AF"/>
    <w:rsid w:val="00501776"/>
    <w:rsid w:val="0050178A"/>
    <w:rsid w:val="00501818"/>
    <w:rsid w:val="00501919"/>
    <w:rsid w:val="00501A20"/>
    <w:rsid w:val="00501D67"/>
    <w:rsid w:val="00501E20"/>
    <w:rsid w:val="00501F59"/>
    <w:rsid w:val="00502791"/>
    <w:rsid w:val="0050285E"/>
    <w:rsid w:val="00502864"/>
    <w:rsid w:val="00503040"/>
    <w:rsid w:val="005031C0"/>
    <w:rsid w:val="00503301"/>
    <w:rsid w:val="005036CC"/>
    <w:rsid w:val="0050397A"/>
    <w:rsid w:val="00503AAD"/>
    <w:rsid w:val="00503DAF"/>
    <w:rsid w:val="00503EF1"/>
    <w:rsid w:val="0050428C"/>
    <w:rsid w:val="005045AF"/>
    <w:rsid w:val="00504739"/>
    <w:rsid w:val="00504BBF"/>
    <w:rsid w:val="005053A5"/>
    <w:rsid w:val="00505458"/>
    <w:rsid w:val="00505790"/>
    <w:rsid w:val="005057EC"/>
    <w:rsid w:val="00505982"/>
    <w:rsid w:val="00505BC5"/>
    <w:rsid w:val="00505FA4"/>
    <w:rsid w:val="00506000"/>
    <w:rsid w:val="0050615C"/>
    <w:rsid w:val="005062E9"/>
    <w:rsid w:val="00506311"/>
    <w:rsid w:val="005068C9"/>
    <w:rsid w:val="00506B7C"/>
    <w:rsid w:val="00506E79"/>
    <w:rsid w:val="00506F6B"/>
    <w:rsid w:val="0050718D"/>
    <w:rsid w:val="00507234"/>
    <w:rsid w:val="005072C7"/>
    <w:rsid w:val="0050760F"/>
    <w:rsid w:val="0050784D"/>
    <w:rsid w:val="00507925"/>
    <w:rsid w:val="005079D4"/>
    <w:rsid w:val="00507B04"/>
    <w:rsid w:val="00507CA2"/>
    <w:rsid w:val="00510031"/>
    <w:rsid w:val="0051005C"/>
    <w:rsid w:val="00510799"/>
    <w:rsid w:val="0051154D"/>
    <w:rsid w:val="005115F2"/>
    <w:rsid w:val="005117EE"/>
    <w:rsid w:val="005118A6"/>
    <w:rsid w:val="005118C5"/>
    <w:rsid w:val="00511C9B"/>
    <w:rsid w:val="00511D23"/>
    <w:rsid w:val="00511F2C"/>
    <w:rsid w:val="00512021"/>
    <w:rsid w:val="0051203A"/>
    <w:rsid w:val="00512120"/>
    <w:rsid w:val="0051217A"/>
    <w:rsid w:val="0051241E"/>
    <w:rsid w:val="005125A8"/>
    <w:rsid w:val="005125AA"/>
    <w:rsid w:val="0051261C"/>
    <w:rsid w:val="00512BAC"/>
    <w:rsid w:val="00512E82"/>
    <w:rsid w:val="00512F95"/>
    <w:rsid w:val="00513278"/>
    <w:rsid w:val="00513635"/>
    <w:rsid w:val="0051371C"/>
    <w:rsid w:val="0051380B"/>
    <w:rsid w:val="005138A6"/>
    <w:rsid w:val="00513E40"/>
    <w:rsid w:val="00514107"/>
    <w:rsid w:val="00514139"/>
    <w:rsid w:val="005141DE"/>
    <w:rsid w:val="005144DA"/>
    <w:rsid w:val="0051465A"/>
    <w:rsid w:val="00514BAB"/>
    <w:rsid w:val="00514D8A"/>
    <w:rsid w:val="00514D93"/>
    <w:rsid w:val="00514DBB"/>
    <w:rsid w:val="00515012"/>
    <w:rsid w:val="0051528E"/>
    <w:rsid w:val="005153AA"/>
    <w:rsid w:val="0051547F"/>
    <w:rsid w:val="005155AE"/>
    <w:rsid w:val="005155F5"/>
    <w:rsid w:val="00515743"/>
    <w:rsid w:val="0051581B"/>
    <w:rsid w:val="005159C3"/>
    <w:rsid w:val="00515A0B"/>
    <w:rsid w:val="00515AE8"/>
    <w:rsid w:val="00515C31"/>
    <w:rsid w:val="00515D6B"/>
    <w:rsid w:val="00515E5E"/>
    <w:rsid w:val="005160DA"/>
    <w:rsid w:val="005165E7"/>
    <w:rsid w:val="005166EA"/>
    <w:rsid w:val="0051688C"/>
    <w:rsid w:val="00516966"/>
    <w:rsid w:val="00516FA3"/>
    <w:rsid w:val="00517035"/>
    <w:rsid w:val="0051719D"/>
    <w:rsid w:val="005172A4"/>
    <w:rsid w:val="005172F6"/>
    <w:rsid w:val="005174B2"/>
    <w:rsid w:val="0052054A"/>
    <w:rsid w:val="00520866"/>
    <w:rsid w:val="00520B0C"/>
    <w:rsid w:val="0052108E"/>
    <w:rsid w:val="00521156"/>
    <w:rsid w:val="005214E1"/>
    <w:rsid w:val="00521719"/>
    <w:rsid w:val="00521A31"/>
    <w:rsid w:val="00521AF3"/>
    <w:rsid w:val="00521C2C"/>
    <w:rsid w:val="00521D20"/>
    <w:rsid w:val="005220EE"/>
    <w:rsid w:val="005224CB"/>
    <w:rsid w:val="005226BD"/>
    <w:rsid w:val="00522DC0"/>
    <w:rsid w:val="005231AE"/>
    <w:rsid w:val="005235C6"/>
    <w:rsid w:val="00523805"/>
    <w:rsid w:val="00523911"/>
    <w:rsid w:val="00523E30"/>
    <w:rsid w:val="00523EAE"/>
    <w:rsid w:val="00523ED5"/>
    <w:rsid w:val="00524915"/>
    <w:rsid w:val="0052494B"/>
    <w:rsid w:val="00524985"/>
    <w:rsid w:val="005249A6"/>
    <w:rsid w:val="00524D9E"/>
    <w:rsid w:val="005250D4"/>
    <w:rsid w:val="00525440"/>
    <w:rsid w:val="0052554D"/>
    <w:rsid w:val="00525674"/>
    <w:rsid w:val="00525716"/>
    <w:rsid w:val="00525755"/>
    <w:rsid w:val="005260FD"/>
    <w:rsid w:val="00526343"/>
    <w:rsid w:val="00526392"/>
    <w:rsid w:val="00526A21"/>
    <w:rsid w:val="00526D53"/>
    <w:rsid w:val="00526E5B"/>
    <w:rsid w:val="00526ED1"/>
    <w:rsid w:val="0052700C"/>
    <w:rsid w:val="005270B5"/>
    <w:rsid w:val="0052712D"/>
    <w:rsid w:val="00527926"/>
    <w:rsid w:val="0052796E"/>
    <w:rsid w:val="00527B16"/>
    <w:rsid w:val="00527B30"/>
    <w:rsid w:val="00527C94"/>
    <w:rsid w:val="00527DEB"/>
    <w:rsid w:val="00527FAD"/>
    <w:rsid w:val="0053011F"/>
    <w:rsid w:val="005302EC"/>
    <w:rsid w:val="005307B7"/>
    <w:rsid w:val="005309A5"/>
    <w:rsid w:val="00530C22"/>
    <w:rsid w:val="00530C5B"/>
    <w:rsid w:val="00530CC5"/>
    <w:rsid w:val="00530D60"/>
    <w:rsid w:val="005310CE"/>
    <w:rsid w:val="00531276"/>
    <w:rsid w:val="005312B2"/>
    <w:rsid w:val="005316AF"/>
    <w:rsid w:val="0053191B"/>
    <w:rsid w:val="00531B50"/>
    <w:rsid w:val="00531B73"/>
    <w:rsid w:val="00531BCF"/>
    <w:rsid w:val="00531D13"/>
    <w:rsid w:val="00531DE9"/>
    <w:rsid w:val="005326DC"/>
    <w:rsid w:val="0053288E"/>
    <w:rsid w:val="0053290C"/>
    <w:rsid w:val="00532D91"/>
    <w:rsid w:val="0053320A"/>
    <w:rsid w:val="00533258"/>
    <w:rsid w:val="005334E3"/>
    <w:rsid w:val="0053360A"/>
    <w:rsid w:val="00533919"/>
    <w:rsid w:val="0053392D"/>
    <w:rsid w:val="00533F5D"/>
    <w:rsid w:val="0053428D"/>
    <w:rsid w:val="00534505"/>
    <w:rsid w:val="00534542"/>
    <w:rsid w:val="005348AB"/>
    <w:rsid w:val="00534B9C"/>
    <w:rsid w:val="00534BFF"/>
    <w:rsid w:val="00534DBD"/>
    <w:rsid w:val="00534DFD"/>
    <w:rsid w:val="0053531F"/>
    <w:rsid w:val="00535527"/>
    <w:rsid w:val="00535821"/>
    <w:rsid w:val="00535A33"/>
    <w:rsid w:val="00535B47"/>
    <w:rsid w:val="00535D4A"/>
    <w:rsid w:val="00535E51"/>
    <w:rsid w:val="00535E85"/>
    <w:rsid w:val="00535F07"/>
    <w:rsid w:val="00535F7E"/>
    <w:rsid w:val="0053603E"/>
    <w:rsid w:val="005360E8"/>
    <w:rsid w:val="005360F8"/>
    <w:rsid w:val="0053636A"/>
    <w:rsid w:val="005364C9"/>
    <w:rsid w:val="00536935"/>
    <w:rsid w:val="00536AE1"/>
    <w:rsid w:val="00536B78"/>
    <w:rsid w:val="00536BE7"/>
    <w:rsid w:val="00536FBE"/>
    <w:rsid w:val="0053717E"/>
    <w:rsid w:val="00537205"/>
    <w:rsid w:val="005372D7"/>
    <w:rsid w:val="0053754C"/>
    <w:rsid w:val="005376BD"/>
    <w:rsid w:val="005377F7"/>
    <w:rsid w:val="005378F4"/>
    <w:rsid w:val="00537914"/>
    <w:rsid w:val="00537A94"/>
    <w:rsid w:val="00537B41"/>
    <w:rsid w:val="00537D71"/>
    <w:rsid w:val="00537E99"/>
    <w:rsid w:val="00540326"/>
    <w:rsid w:val="005404A5"/>
    <w:rsid w:val="005404EA"/>
    <w:rsid w:val="00540542"/>
    <w:rsid w:val="005407B8"/>
    <w:rsid w:val="0054082B"/>
    <w:rsid w:val="00540B4C"/>
    <w:rsid w:val="00540C43"/>
    <w:rsid w:val="00540C68"/>
    <w:rsid w:val="00540ECB"/>
    <w:rsid w:val="00540F04"/>
    <w:rsid w:val="0054127E"/>
    <w:rsid w:val="0054138B"/>
    <w:rsid w:val="0054149D"/>
    <w:rsid w:val="005415F2"/>
    <w:rsid w:val="00541797"/>
    <w:rsid w:val="00541878"/>
    <w:rsid w:val="00541A1F"/>
    <w:rsid w:val="00541B77"/>
    <w:rsid w:val="00541BC4"/>
    <w:rsid w:val="00541F39"/>
    <w:rsid w:val="00541FDA"/>
    <w:rsid w:val="0054206F"/>
    <w:rsid w:val="00542444"/>
    <w:rsid w:val="005427FC"/>
    <w:rsid w:val="0054289D"/>
    <w:rsid w:val="005428D8"/>
    <w:rsid w:val="00542993"/>
    <w:rsid w:val="00542A6D"/>
    <w:rsid w:val="0054326E"/>
    <w:rsid w:val="0054327D"/>
    <w:rsid w:val="0054339E"/>
    <w:rsid w:val="00543543"/>
    <w:rsid w:val="0054361D"/>
    <w:rsid w:val="00543764"/>
    <w:rsid w:val="0054392A"/>
    <w:rsid w:val="00543A80"/>
    <w:rsid w:val="00543B98"/>
    <w:rsid w:val="00543C87"/>
    <w:rsid w:val="00543E23"/>
    <w:rsid w:val="0054419B"/>
    <w:rsid w:val="0054456B"/>
    <w:rsid w:val="00544E29"/>
    <w:rsid w:val="00545252"/>
    <w:rsid w:val="005453A6"/>
    <w:rsid w:val="0054543E"/>
    <w:rsid w:val="005457FF"/>
    <w:rsid w:val="0054589D"/>
    <w:rsid w:val="00545CC4"/>
    <w:rsid w:val="00545CF3"/>
    <w:rsid w:val="00545F5A"/>
    <w:rsid w:val="005463B4"/>
    <w:rsid w:val="005464B5"/>
    <w:rsid w:val="0054659A"/>
    <w:rsid w:val="0054668C"/>
    <w:rsid w:val="005468C8"/>
    <w:rsid w:val="0054696E"/>
    <w:rsid w:val="005469AC"/>
    <w:rsid w:val="005469C6"/>
    <w:rsid w:val="005469EC"/>
    <w:rsid w:val="00546AE9"/>
    <w:rsid w:val="00546DD0"/>
    <w:rsid w:val="00546E8B"/>
    <w:rsid w:val="00546F1A"/>
    <w:rsid w:val="00547202"/>
    <w:rsid w:val="005474DB"/>
    <w:rsid w:val="005474DC"/>
    <w:rsid w:val="00547701"/>
    <w:rsid w:val="0054798F"/>
    <w:rsid w:val="00547990"/>
    <w:rsid w:val="00547B77"/>
    <w:rsid w:val="00547B7C"/>
    <w:rsid w:val="00547D56"/>
    <w:rsid w:val="00550014"/>
    <w:rsid w:val="00550310"/>
    <w:rsid w:val="00550666"/>
    <w:rsid w:val="00550AB7"/>
    <w:rsid w:val="00550BDF"/>
    <w:rsid w:val="00550DFF"/>
    <w:rsid w:val="00550EF5"/>
    <w:rsid w:val="00550F96"/>
    <w:rsid w:val="0055128E"/>
    <w:rsid w:val="00551303"/>
    <w:rsid w:val="005515F5"/>
    <w:rsid w:val="005517AF"/>
    <w:rsid w:val="00551A8D"/>
    <w:rsid w:val="00551B6F"/>
    <w:rsid w:val="00551BAA"/>
    <w:rsid w:val="00551C06"/>
    <w:rsid w:val="00551D28"/>
    <w:rsid w:val="00551DC0"/>
    <w:rsid w:val="00551E78"/>
    <w:rsid w:val="00552207"/>
    <w:rsid w:val="00552567"/>
    <w:rsid w:val="005526EE"/>
    <w:rsid w:val="0055275D"/>
    <w:rsid w:val="00552949"/>
    <w:rsid w:val="00552A37"/>
    <w:rsid w:val="00552BD8"/>
    <w:rsid w:val="00552D7F"/>
    <w:rsid w:val="005530D9"/>
    <w:rsid w:val="00553188"/>
    <w:rsid w:val="005539CF"/>
    <w:rsid w:val="00553D14"/>
    <w:rsid w:val="00554319"/>
    <w:rsid w:val="005543A8"/>
    <w:rsid w:val="005544AF"/>
    <w:rsid w:val="00554660"/>
    <w:rsid w:val="005546A6"/>
    <w:rsid w:val="00554747"/>
    <w:rsid w:val="00554B73"/>
    <w:rsid w:val="00554C29"/>
    <w:rsid w:val="00554CEA"/>
    <w:rsid w:val="005554EA"/>
    <w:rsid w:val="005555FE"/>
    <w:rsid w:val="005556D4"/>
    <w:rsid w:val="00555749"/>
    <w:rsid w:val="00555A23"/>
    <w:rsid w:val="00555A7C"/>
    <w:rsid w:val="00555B5E"/>
    <w:rsid w:val="00555E31"/>
    <w:rsid w:val="00555E54"/>
    <w:rsid w:val="00555FA6"/>
    <w:rsid w:val="005561C3"/>
    <w:rsid w:val="00556283"/>
    <w:rsid w:val="005567A9"/>
    <w:rsid w:val="00556A06"/>
    <w:rsid w:val="005571B8"/>
    <w:rsid w:val="00557203"/>
    <w:rsid w:val="00557348"/>
    <w:rsid w:val="00557481"/>
    <w:rsid w:val="00557AC4"/>
    <w:rsid w:val="00557C42"/>
    <w:rsid w:val="00557DBA"/>
    <w:rsid w:val="00557DD5"/>
    <w:rsid w:val="00557E50"/>
    <w:rsid w:val="00560213"/>
    <w:rsid w:val="00560367"/>
    <w:rsid w:val="005604FD"/>
    <w:rsid w:val="005607C7"/>
    <w:rsid w:val="005608BA"/>
    <w:rsid w:val="005608FF"/>
    <w:rsid w:val="00560A03"/>
    <w:rsid w:val="00560C94"/>
    <w:rsid w:val="00560E63"/>
    <w:rsid w:val="00561091"/>
    <w:rsid w:val="00561096"/>
    <w:rsid w:val="005611BF"/>
    <w:rsid w:val="005618DE"/>
    <w:rsid w:val="00561970"/>
    <w:rsid w:val="00561AB9"/>
    <w:rsid w:val="00561D8F"/>
    <w:rsid w:val="00561F39"/>
    <w:rsid w:val="00562199"/>
    <w:rsid w:val="0056220C"/>
    <w:rsid w:val="00562235"/>
    <w:rsid w:val="005625F9"/>
    <w:rsid w:val="005626BE"/>
    <w:rsid w:val="0056272A"/>
    <w:rsid w:val="00562870"/>
    <w:rsid w:val="00562AC1"/>
    <w:rsid w:val="00562B90"/>
    <w:rsid w:val="005630AB"/>
    <w:rsid w:val="005630F5"/>
    <w:rsid w:val="00563216"/>
    <w:rsid w:val="00563432"/>
    <w:rsid w:val="00563435"/>
    <w:rsid w:val="005634C1"/>
    <w:rsid w:val="00563895"/>
    <w:rsid w:val="0056393A"/>
    <w:rsid w:val="00563FE8"/>
    <w:rsid w:val="00564027"/>
    <w:rsid w:val="0056421E"/>
    <w:rsid w:val="00564437"/>
    <w:rsid w:val="005645D3"/>
    <w:rsid w:val="00564A3B"/>
    <w:rsid w:val="00564B64"/>
    <w:rsid w:val="00564C28"/>
    <w:rsid w:val="00564C4B"/>
    <w:rsid w:val="00564C7B"/>
    <w:rsid w:val="00564D48"/>
    <w:rsid w:val="00564F2F"/>
    <w:rsid w:val="0056506C"/>
    <w:rsid w:val="00565176"/>
    <w:rsid w:val="0056566A"/>
    <w:rsid w:val="0056573D"/>
    <w:rsid w:val="005658D8"/>
    <w:rsid w:val="005659C5"/>
    <w:rsid w:val="00565B45"/>
    <w:rsid w:val="00565C98"/>
    <w:rsid w:val="00565DB3"/>
    <w:rsid w:val="005663AF"/>
    <w:rsid w:val="005663E6"/>
    <w:rsid w:val="005664F3"/>
    <w:rsid w:val="00566A46"/>
    <w:rsid w:val="00566C73"/>
    <w:rsid w:val="00566D74"/>
    <w:rsid w:val="005670DC"/>
    <w:rsid w:val="00567138"/>
    <w:rsid w:val="005672F7"/>
    <w:rsid w:val="005674A2"/>
    <w:rsid w:val="005677B9"/>
    <w:rsid w:val="00567920"/>
    <w:rsid w:val="00567973"/>
    <w:rsid w:val="00567A48"/>
    <w:rsid w:val="00567B57"/>
    <w:rsid w:val="00567C08"/>
    <w:rsid w:val="00567C9E"/>
    <w:rsid w:val="00567CE3"/>
    <w:rsid w:val="00567D6C"/>
    <w:rsid w:val="00567E6B"/>
    <w:rsid w:val="0057026B"/>
    <w:rsid w:val="00570304"/>
    <w:rsid w:val="00570426"/>
    <w:rsid w:val="0057050D"/>
    <w:rsid w:val="00570527"/>
    <w:rsid w:val="005706E0"/>
    <w:rsid w:val="0057079E"/>
    <w:rsid w:val="00570B65"/>
    <w:rsid w:val="00570CDB"/>
    <w:rsid w:val="00570DDC"/>
    <w:rsid w:val="00570FD6"/>
    <w:rsid w:val="005711FB"/>
    <w:rsid w:val="00571817"/>
    <w:rsid w:val="00571A1F"/>
    <w:rsid w:val="00571AFD"/>
    <w:rsid w:val="00571BDD"/>
    <w:rsid w:val="00571BF4"/>
    <w:rsid w:val="00571C3C"/>
    <w:rsid w:val="00571CF0"/>
    <w:rsid w:val="00571FC8"/>
    <w:rsid w:val="0057205E"/>
    <w:rsid w:val="00572633"/>
    <w:rsid w:val="005728A4"/>
    <w:rsid w:val="005728A8"/>
    <w:rsid w:val="005729F7"/>
    <w:rsid w:val="00572B8E"/>
    <w:rsid w:val="00572BB9"/>
    <w:rsid w:val="0057303B"/>
    <w:rsid w:val="00573044"/>
    <w:rsid w:val="0057397A"/>
    <w:rsid w:val="005739B4"/>
    <w:rsid w:val="00573AB7"/>
    <w:rsid w:val="00573CE0"/>
    <w:rsid w:val="00573E36"/>
    <w:rsid w:val="00573EF9"/>
    <w:rsid w:val="0057402D"/>
    <w:rsid w:val="00574302"/>
    <w:rsid w:val="0057451E"/>
    <w:rsid w:val="005745DD"/>
    <w:rsid w:val="00574766"/>
    <w:rsid w:val="00574A87"/>
    <w:rsid w:val="00574B5E"/>
    <w:rsid w:val="00574C84"/>
    <w:rsid w:val="0057500B"/>
    <w:rsid w:val="00575065"/>
    <w:rsid w:val="005750B4"/>
    <w:rsid w:val="005751A6"/>
    <w:rsid w:val="00575219"/>
    <w:rsid w:val="00575232"/>
    <w:rsid w:val="005753CF"/>
    <w:rsid w:val="005753E9"/>
    <w:rsid w:val="005759AE"/>
    <w:rsid w:val="00575B89"/>
    <w:rsid w:val="00575C19"/>
    <w:rsid w:val="00575D59"/>
    <w:rsid w:val="00575E08"/>
    <w:rsid w:val="00575F9B"/>
    <w:rsid w:val="005760CC"/>
    <w:rsid w:val="0057650A"/>
    <w:rsid w:val="0057667D"/>
    <w:rsid w:val="0057686F"/>
    <w:rsid w:val="00576A12"/>
    <w:rsid w:val="00576B21"/>
    <w:rsid w:val="00577258"/>
    <w:rsid w:val="00577343"/>
    <w:rsid w:val="0057743C"/>
    <w:rsid w:val="005775C2"/>
    <w:rsid w:val="005775DE"/>
    <w:rsid w:val="005776D6"/>
    <w:rsid w:val="005777C1"/>
    <w:rsid w:val="005777F9"/>
    <w:rsid w:val="0057790B"/>
    <w:rsid w:val="00577AF0"/>
    <w:rsid w:val="00577B78"/>
    <w:rsid w:val="00577C19"/>
    <w:rsid w:val="00577C2B"/>
    <w:rsid w:val="00580113"/>
    <w:rsid w:val="00580121"/>
    <w:rsid w:val="005801DB"/>
    <w:rsid w:val="0058059B"/>
    <w:rsid w:val="00580A74"/>
    <w:rsid w:val="00581230"/>
    <w:rsid w:val="00581365"/>
    <w:rsid w:val="00581457"/>
    <w:rsid w:val="00581809"/>
    <w:rsid w:val="00581CCA"/>
    <w:rsid w:val="00581DD2"/>
    <w:rsid w:val="00582018"/>
    <w:rsid w:val="0058216F"/>
    <w:rsid w:val="0058217C"/>
    <w:rsid w:val="005821E7"/>
    <w:rsid w:val="005824D9"/>
    <w:rsid w:val="0058255F"/>
    <w:rsid w:val="005827A1"/>
    <w:rsid w:val="00582A95"/>
    <w:rsid w:val="00582BF3"/>
    <w:rsid w:val="00582DC5"/>
    <w:rsid w:val="00582DEA"/>
    <w:rsid w:val="00583224"/>
    <w:rsid w:val="005832D4"/>
    <w:rsid w:val="0058353B"/>
    <w:rsid w:val="0058392C"/>
    <w:rsid w:val="00583DF5"/>
    <w:rsid w:val="0058404B"/>
    <w:rsid w:val="005845E2"/>
    <w:rsid w:val="00584610"/>
    <w:rsid w:val="005847D4"/>
    <w:rsid w:val="00584E8B"/>
    <w:rsid w:val="00584F5A"/>
    <w:rsid w:val="005853AA"/>
    <w:rsid w:val="005854BF"/>
    <w:rsid w:val="0058555C"/>
    <w:rsid w:val="005855B7"/>
    <w:rsid w:val="00585685"/>
    <w:rsid w:val="00585CD2"/>
    <w:rsid w:val="00585CD5"/>
    <w:rsid w:val="00585E42"/>
    <w:rsid w:val="005865D7"/>
    <w:rsid w:val="00586633"/>
    <w:rsid w:val="005866A2"/>
    <w:rsid w:val="005867A7"/>
    <w:rsid w:val="005870CB"/>
    <w:rsid w:val="0058743C"/>
    <w:rsid w:val="0058776A"/>
    <w:rsid w:val="00587862"/>
    <w:rsid w:val="005879BD"/>
    <w:rsid w:val="00587ABE"/>
    <w:rsid w:val="0059007E"/>
    <w:rsid w:val="005900F4"/>
    <w:rsid w:val="00590336"/>
    <w:rsid w:val="00590658"/>
    <w:rsid w:val="0059093E"/>
    <w:rsid w:val="005909D8"/>
    <w:rsid w:val="00590EE7"/>
    <w:rsid w:val="00590F32"/>
    <w:rsid w:val="00590F75"/>
    <w:rsid w:val="005910A7"/>
    <w:rsid w:val="0059114E"/>
    <w:rsid w:val="005911B4"/>
    <w:rsid w:val="00591276"/>
    <w:rsid w:val="005913EA"/>
    <w:rsid w:val="005915EF"/>
    <w:rsid w:val="00591835"/>
    <w:rsid w:val="0059186E"/>
    <w:rsid w:val="00591934"/>
    <w:rsid w:val="005919DE"/>
    <w:rsid w:val="00591AF1"/>
    <w:rsid w:val="00591C06"/>
    <w:rsid w:val="00591D0A"/>
    <w:rsid w:val="00591E64"/>
    <w:rsid w:val="00591F11"/>
    <w:rsid w:val="00591F50"/>
    <w:rsid w:val="00591FD1"/>
    <w:rsid w:val="00592061"/>
    <w:rsid w:val="005921B0"/>
    <w:rsid w:val="005925A0"/>
    <w:rsid w:val="005925B1"/>
    <w:rsid w:val="005925CB"/>
    <w:rsid w:val="00592668"/>
    <w:rsid w:val="005928AA"/>
    <w:rsid w:val="00592F46"/>
    <w:rsid w:val="00593023"/>
    <w:rsid w:val="00593078"/>
    <w:rsid w:val="00593210"/>
    <w:rsid w:val="00593275"/>
    <w:rsid w:val="00593479"/>
    <w:rsid w:val="005934EF"/>
    <w:rsid w:val="00593774"/>
    <w:rsid w:val="0059392D"/>
    <w:rsid w:val="00593A1C"/>
    <w:rsid w:val="00593DA8"/>
    <w:rsid w:val="0059404F"/>
    <w:rsid w:val="00594615"/>
    <w:rsid w:val="005946C5"/>
    <w:rsid w:val="00594720"/>
    <w:rsid w:val="0059480F"/>
    <w:rsid w:val="005948AF"/>
    <w:rsid w:val="00594975"/>
    <w:rsid w:val="005949C5"/>
    <w:rsid w:val="00594BED"/>
    <w:rsid w:val="00594F12"/>
    <w:rsid w:val="0059508F"/>
    <w:rsid w:val="00595322"/>
    <w:rsid w:val="00595490"/>
    <w:rsid w:val="00595497"/>
    <w:rsid w:val="00595720"/>
    <w:rsid w:val="0059582F"/>
    <w:rsid w:val="00595A84"/>
    <w:rsid w:val="00595C2B"/>
    <w:rsid w:val="00595EE9"/>
    <w:rsid w:val="00596336"/>
    <w:rsid w:val="0059639E"/>
    <w:rsid w:val="005963F3"/>
    <w:rsid w:val="005966D4"/>
    <w:rsid w:val="00596AB6"/>
    <w:rsid w:val="00596E44"/>
    <w:rsid w:val="00596FD9"/>
    <w:rsid w:val="005970FD"/>
    <w:rsid w:val="00597233"/>
    <w:rsid w:val="005973B3"/>
    <w:rsid w:val="005973C4"/>
    <w:rsid w:val="00597433"/>
    <w:rsid w:val="00597C55"/>
    <w:rsid w:val="00597EE7"/>
    <w:rsid w:val="005A006A"/>
    <w:rsid w:val="005A0674"/>
    <w:rsid w:val="005A08EC"/>
    <w:rsid w:val="005A0976"/>
    <w:rsid w:val="005A09E0"/>
    <w:rsid w:val="005A0AF9"/>
    <w:rsid w:val="005A0B00"/>
    <w:rsid w:val="005A0C97"/>
    <w:rsid w:val="005A0DF6"/>
    <w:rsid w:val="005A0EAE"/>
    <w:rsid w:val="005A0F80"/>
    <w:rsid w:val="005A1001"/>
    <w:rsid w:val="005A1602"/>
    <w:rsid w:val="005A165E"/>
    <w:rsid w:val="005A16D6"/>
    <w:rsid w:val="005A16E2"/>
    <w:rsid w:val="005A16F7"/>
    <w:rsid w:val="005A183F"/>
    <w:rsid w:val="005A18B5"/>
    <w:rsid w:val="005A18D7"/>
    <w:rsid w:val="005A1DCF"/>
    <w:rsid w:val="005A1E1C"/>
    <w:rsid w:val="005A1EE2"/>
    <w:rsid w:val="005A2213"/>
    <w:rsid w:val="005A2320"/>
    <w:rsid w:val="005A23F3"/>
    <w:rsid w:val="005A2411"/>
    <w:rsid w:val="005A25E4"/>
    <w:rsid w:val="005A2754"/>
    <w:rsid w:val="005A28BB"/>
    <w:rsid w:val="005A2ADD"/>
    <w:rsid w:val="005A2B3C"/>
    <w:rsid w:val="005A2C11"/>
    <w:rsid w:val="005A2E33"/>
    <w:rsid w:val="005A2F08"/>
    <w:rsid w:val="005A3820"/>
    <w:rsid w:val="005A3B27"/>
    <w:rsid w:val="005A3BC7"/>
    <w:rsid w:val="005A3F5C"/>
    <w:rsid w:val="005A42B4"/>
    <w:rsid w:val="005A433E"/>
    <w:rsid w:val="005A4840"/>
    <w:rsid w:val="005A493B"/>
    <w:rsid w:val="005A4C88"/>
    <w:rsid w:val="005A4F45"/>
    <w:rsid w:val="005A5452"/>
    <w:rsid w:val="005A56DA"/>
    <w:rsid w:val="005A572E"/>
    <w:rsid w:val="005A58E5"/>
    <w:rsid w:val="005A5979"/>
    <w:rsid w:val="005A5B30"/>
    <w:rsid w:val="005A5C25"/>
    <w:rsid w:val="005A5C37"/>
    <w:rsid w:val="005A5E32"/>
    <w:rsid w:val="005A5FE7"/>
    <w:rsid w:val="005A5FEB"/>
    <w:rsid w:val="005A61F4"/>
    <w:rsid w:val="005A65AB"/>
    <w:rsid w:val="005A6B29"/>
    <w:rsid w:val="005A6B85"/>
    <w:rsid w:val="005A6CD4"/>
    <w:rsid w:val="005A6D5B"/>
    <w:rsid w:val="005A71B7"/>
    <w:rsid w:val="005A720D"/>
    <w:rsid w:val="005A7255"/>
    <w:rsid w:val="005A7327"/>
    <w:rsid w:val="005A7509"/>
    <w:rsid w:val="005A787C"/>
    <w:rsid w:val="005A7996"/>
    <w:rsid w:val="005A7AA5"/>
    <w:rsid w:val="005A7B05"/>
    <w:rsid w:val="005A7B7E"/>
    <w:rsid w:val="005A7C26"/>
    <w:rsid w:val="005A7D7F"/>
    <w:rsid w:val="005A7DC7"/>
    <w:rsid w:val="005A7F1E"/>
    <w:rsid w:val="005B01F4"/>
    <w:rsid w:val="005B0371"/>
    <w:rsid w:val="005B0372"/>
    <w:rsid w:val="005B045C"/>
    <w:rsid w:val="005B07C9"/>
    <w:rsid w:val="005B088E"/>
    <w:rsid w:val="005B08DD"/>
    <w:rsid w:val="005B0A25"/>
    <w:rsid w:val="005B0A6D"/>
    <w:rsid w:val="005B0C3E"/>
    <w:rsid w:val="005B0FB8"/>
    <w:rsid w:val="005B0FC6"/>
    <w:rsid w:val="005B119F"/>
    <w:rsid w:val="005B14DE"/>
    <w:rsid w:val="005B186A"/>
    <w:rsid w:val="005B1D11"/>
    <w:rsid w:val="005B1FD1"/>
    <w:rsid w:val="005B213D"/>
    <w:rsid w:val="005B2268"/>
    <w:rsid w:val="005B24EE"/>
    <w:rsid w:val="005B257B"/>
    <w:rsid w:val="005B2C1B"/>
    <w:rsid w:val="005B2DA2"/>
    <w:rsid w:val="005B2F33"/>
    <w:rsid w:val="005B3090"/>
    <w:rsid w:val="005B318E"/>
    <w:rsid w:val="005B32C4"/>
    <w:rsid w:val="005B3354"/>
    <w:rsid w:val="005B358D"/>
    <w:rsid w:val="005B3BEB"/>
    <w:rsid w:val="005B3D02"/>
    <w:rsid w:val="005B3D37"/>
    <w:rsid w:val="005B3F3D"/>
    <w:rsid w:val="005B3F80"/>
    <w:rsid w:val="005B3FDA"/>
    <w:rsid w:val="005B404A"/>
    <w:rsid w:val="005B416A"/>
    <w:rsid w:val="005B43DF"/>
    <w:rsid w:val="005B473A"/>
    <w:rsid w:val="005B4879"/>
    <w:rsid w:val="005B48C1"/>
    <w:rsid w:val="005B4E46"/>
    <w:rsid w:val="005B4ECB"/>
    <w:rsid w:val="005B5018"/>
    <w:rsid w:val="005B5277"/>
    <w:rsid w:val="005B5287"/>
    <w:rsid w:val="005B54D8"/>
    <w:rsid w:val="005B5589"/>
    <w:rsid w:val="005B56A0"/>
    <w:rsid w:val="005B57C3"/>
    <w:rsid w:val="005B5B7E"/>
    <w:rsid w:val="005B5EB6"/>
    <w:rsid w:val="005B5EDB"/>
    <w:rsid w:val="005B6093"/>
    <w:rsid w:val="005B6171"/>
    <w:rsid w:val="005B625D"/>
    <w:rsid w:val="005B6379"/>
    <w:rsid w:val="005B675A"/>
    <w:rsid w:val="005B67BE"/>
    <w:rsid w:val="005B68DF"/>
    <w:rsid w:val="005B6B97"/>
    <w:rsid w:val="005B7266"/>
    <w:rsid w:val="005B72EF"/>
    <w:rsid w:val="005B747D"/>
    <w:rsid w:val="005B77F8"/>
    <w:rsid w:val="005B7862"/>
    <w:rsid w:val="005B7875"/>
    <w:rsid w:val="005B788E"/>
    <w:rsid w:val="005B7986"/>
    <w:rsid w:val="005B79E9"/>
    <w:rsid w:val="005B7BFD"/>
    <w:rsid w:val="005C0416"/>
    <w:rsid w:val="005C0447"/>
    <w:rsid w:val="005C05EE"/>
    <w:rsid w:val="005C07BD"/>
    <w:rsid w:val="005C083E"/>
    <w:rsid w:val="005C0D4C"/>
    <w:rsid w:val="005C10C2"/>
    <w:rsid w:val="005C1470"/>
    <w:rsid w:val="005C14AD"/>
    <w:rsid w:val="005C18C3"/>
    <w:rsid w:val="005C1CEE"/>
    <w:rsid w:val="005C1EBE"/>
    <w:rsid w:val="005C261D"/>
    <w:rsid w:val="005C264F"/>
    <w:rsid w:val="005C277B"/>
    <w:rsid w:val="005C2783"/>
    <w:rsid w:val="005C28BF"/>
    <w:rsid w:val="005C2B0F"/>
    <w:rsid w:val="005C2CF9"/>
    <w:rsid w:val="005C2D7A"/>
    <w:rsid w:val="005C2E05"/>
    <w:rsid w:val="005C2F4A"/>
    <w:rsid w:val="005C32D0"/>
    <w:rsid w:val="005C38B0"/>
    <w:rsid w:val="005C3CFD"/>
    <w:rsid w:val="005C3D72"/>
    <w:rsid w:val="005C41FD"/>
    <w:rsid w:val="005C43BF"/>
    <w:rsid w:val="005C46FE"/>
    <w:rsid w:val="005C4839"/>
    <w:rsid w:val="005C48FD"/>
    <w:rsid w:val="005C492F"/>
    <w:rsid w:val="005C4A4D"/>
    <w:rsid w:val="005C4B22"/>
    <w:rsid w:val="005C4C7E"/>
    <w:rsid w:val="005C4D91"/>
    <w:rsid w:val="005C50F5"/>
    <w:rsid w:val="005C525A"/>
    <w:rsid w:val="005C52FB"/>
    <w:rsid w:val="005C5378"/>
    <w:rsid w:val="005C5638"/>
    <w:rsid w:val="005C5881"/>
    <w:rsid w:val="005C591B"/>
    <w:rsid w:val="005C5C82"/>
    <w:rsid w:val="005C6102"/>
    <w:rsid w:val="005C6110"/>
    <w:rsid w:val="005C614D"/>
    <w:rsid w:val="005C61CC"/>
    <w:rsid w:val="005C63D7"/>
    <w:rsid w:val="005C65ED"/>
    <w:rsid w:val="005C683A"/>
    <w:rsid w:val="005C68ED"/>
    <w:rsid w:val="005C6ABA"/>
    <w:rsid w:val="005C6C84"/>
    <w:rsid w:val="005C6DDA"/>
    <w:rsid w:val="005C6DDC"/>
    <w:rsid w:val="005C6E0C"/>
    <w:rsid w:val="005C6E30"/>
    <w:rsid w:val="005C6F93"/>
    <w:rsid w:val="005C734E"/>
    <w:rsid w:val="005C7670"/>
    <w:rsid w:val="005C76B2"/>
    <w:rsid w:val="005D0027"/>
    <w:rsid w:val="005D004A"/>
    <w:rsid w:val="005D0309"/>
    <w:rsid w:val="005D070E"/>
    <w:rsid w:val="005D07D9"/>
    <w:rsid w:val="005D088D"/>
    <w:rsid w:val="005D0FA4"/>
    <w:rsid w:val="005D1081"/>
    <w:rsid w:val="005D10FD"/>
    <w:rsid w:val="005D11BE"/>
    <w:rsid w:val="005D13DA"/>
    <w:rsid w:val="005D15AE"/>
    <w:rsid w:val="005D178C"/>
    <w:rsid w:val="005D1D53"/>
    <w:rsid w:val="005D20F0"/>
    <w:rsid w:val="005D229F"/>
    <w:rsid w:val="005D22C3"/>
    <w:rsid w:val="005D23FE"/>
    <w:rsid w:val="005D260A"/>
    <w:rsid w:val="005D2644"/>
    <w:rsid w:val="005D266A"/>
    <w:rsid w:val="005D3027"/>
    <w:rsid w:val="005D3079"/>
    <w:rsid w:val="005D399B"/>
    <w:rsid w:val="005D4320"/>
    <w:rsid w:val="005D4668"/>
    <w:rsid w:val="005D46D2"/>
    <w:rsid w:val="005D479E"/>
    <w:rsid w:val="005D4895"/>
    <w:rsid w:val="005D49E0"/>
    <w:rsid w:val="005D4A7B"/>
    <w:rsid w:val="005D4AA8"/>
    <w:rsid w:val="005D4AFB"/>
    <w:rsid w:val="005D4C46"/>
    <w:rsid w:val="005D4C8F"/>
    <w:rsid w:val="005D4D36"/>
    <w:rsid w:val="005D4FDE"/>
    <w:rsid w:val="005D503F"/>
    <w:rsid w:val="005D5101"/>
    <w:rsid w:val="005D5377"/>
    <w:rsid w:val="005D5378"/>
    <w:rsid w:val="005D53C3"/>
    <w:rsid w:val="005D5456"/>
    <w:rsid w:val="005D5539"/>
    <w:rsid w:val="005D5730"/>
    <w:rsid w:val="005D594F"/>
    <w:rsid w:val="005D5A45"/>
    <w:rsid w:val="005D5ADB"/>
    <w:rsid w:val="005D5C56"/>
    <w:rsid w:val="005D5D4B"/>
    <w:rsid w:val="005D615F"/>
    <w:rsid w:val="005D6259"/>
    <w:rsid w:val="005D62A4"/>
    <w:rsid w:val="005D62B8"/>
    <w:rsid w:val="005D6321"/>
    <w:rsid w:val="005D63AE"/>
    <w:rsid w:val="005D6583"/>
    <w:rsid w:val="005D6635"/>
    <w:rsid w:val="005D6666"/>
    <w:rsid w:val="005D6A3A"/>
    <w:rsid w:val="005D6A9F"/>
    <w:rsid w:val="005D6D66"/>
    <w:rsid w:val="005D6D67"/>
    <w:rsid w:val="005D6E68"/>
    <w:rsid w:val="005D6FD5"/>
    <w:rsid w:val="005D6FDA"/>
    <w:rsid w:val="005D70D5"/>
    <w:rsid w:val="005D7179"/>
    <w:rsid w:val="005D7512"/>
    <w:rsid w:val="005D7552"/>
    <w:rsid w:val="005D75D3"/>
    <w:rsid w:val="005D7B76"/>
    <w:rsid w:val="005D7C88"/>
    <w:rsid w:val="005D7DBB"/>
    <w:rsid w:val="005D7E6C"/>
    <w:rsid w:val="005E00FE"/>
    <w:rsid w:val="005E0306"/>
    <w:rsid w:val="005E03A5"/>
    <w:rsid w:val="005E041A"/>
    <w:rsid w:val="005E042A"/>
    <w:rsid w:val="005E049C"/>
    <w:rsid w:val="005E04C2"/>
    <w:rsid w:val="005E0769"/>
    <w:rsid w:val="005E0A8D"/>
    <w:rsid w:val="005E0CEC"/>
    <w:rsid w:val="005E0DE4"/>
    <w:rsid w:val="005E0F09"/>
    <w:rsid w:val="005E1351"/>
    <w:rsid w:val="005E1ABD"/>
    <w:rsid w:val="005E1AED"/>
    <w:rsid w:val="005E1B14"/>
    <w:rsid w:val="005E214B"/>
    <w:rsid w:val="005E2412"/>
    <w:rsid w:val="005E2799"/>
    <w:rsid w:val="005E29F3"/>
    <w:rsid w:val="005E2E32"/>
    <w:rsid w:val="005E3491"/>
    <w:rsid w:val="005E3A57"/>
    <w:rsid w:val="005E3B17"/>
    <w:rsid w:val="005E3B4E"/>
    <w:rsid w:val="005E3CCE"/>
    <w:rsid w:val="005E40E1"/>
    <w:rsid w:val="005E422B"/>
    <w:rsid w:val="005E43FB"/>
    <w:rsid w:val="005E452E"/>
    <w:rsid w:val="005E46A1"/>
    <w:rsid w:val="005E47B3"/>
    <w:rsid w:val="005E497E"/>
    <w:rsid w:val="005E4A9E"/>
    <w:rsid w:val="005E4B1C"/>
    <w:rsid w:val="005E4BD0"/>
    <w:rsid w:val="005E4F6E"/>
    <w:rsid w:val="005E54E6"/>
    <w:rsid w:val="005E5AD1"/>
    <w:rsid w:val="005E5B8E"/>
    <w:rsid w:val="005E5C08"/>
    <w:rsid w:val="005E5C4C"/>
    <w:rsid w:val="005E5CB5"/>
    <w:rsid w:val="005E5D31"/>
    <w:rsid w:val="005E5D6D"/>
    <w:rsid w:val="005E5E33"/>
    <w:rsid w:val="005E5EA7"/>
    <w:rsid w:val="005E62D6"/>
    <w:rsid w:val="005E653B"/>
    <w:rsid w:val="005E6599"/>
    <w:rsid w:val="005E65DE"/>
    <w:rsid w:val="005E660D"/>
    <w:rsid w:val="005E66EA"/>
    <w:rsid w:val="005E6A0C"/>
    <w:rsid w:val="005E703E"/>
    <w:rsid w:val="005E7464"/>
    <w:rsid w:val="005E7572"/>
    <w:rsid w:val="005E7881"/>
    <w:rsid w:val="005E7966"/>
    <w:rsid w:val="005E7A3B"/>
    <w:rsid w:val="005E7A4F"/>
    <w:rsid w:val="005E7A55"/>
    <w:rsid w:val="005E7E2C"/>
    <w:rsid w:val="005E7E33"/>
    <w:rsid w:val="005E7F53"/>
    <w:rsid w:val="005E7F9D"/>
    <w:rsid w:val="005F031F"/>
    <w:rsid w:val="005F043D"/>
    <w:rsid w:val="005F07B9"/>
    <w:rsid w:val="005F07CB"/>
    <w:rsid w:val="005F088D"/>
    <w:rsid w:val="005F0AE8"/>
    <w:rsid w:val="005F0C1F"/>
    <w:rsid w:val="005F0EBE"/>
    <w:rsid w:val="005F110A"/>
    <w:rsid w:val="005F125B"/>
    <w:rsid w:val="005F128A"/>
    <w:rsid w:val="005F1379"/>
    <w:rsid w:val="005F14DA"/>
    <w:rsid w:val="005F158F"/>
    <w:rsid w:val="005F15EA"/>
    <w:rsid w:val="005F1867"/>
    <w:rsid w:val="005F188B"/>
    <w:rsid w:val="005F1BB9"/>
    <w:rsid w:val="005F1EC2"/>
    <w:rsid w:val="005F2599"/>
    <w:rsid w:val="005F26BA"/>
    <w:rsid w:val="005F278C"/>
    <w:rsid w:val="005F2B93"/>
    <w:rsid w:val="005F2E04"/>
    <w:rsid w:val="005F2E26"/>
    <w:rsid w:val="005F2ED9"/>
    <w:rsid w:val="005F31E8"/>
    <w:rsid w:val="005F31FD"/>
    <w:rsid w:val="005F3372"/>
    <w:rsid w:val="005F3811"/>
    <w:rsid w:val="005F3F3A"/>
    <w:rsid w:val="005F3FB1"/>
    <w:rsid w:val="005F42D4"/>
    <w:rsid w:val="005F459B"/>
    <w:rsid w:val="005F474F"/>
    <w:rsid w:val="005F477D"/>
    <w:rsid w:val="005F4807"/>
    <w:rsid w:val="005F48A4"/>
    <w:rsid w:val="005F516C"/>
    <w:rsid w:val="005F51F9"/>
    <w:rsid w:val="005F5940"/>
    <w:rsid w:val="005F5A04"/>
    <w:rsid w:val="005F5A07"/>
    <w:rsid w:val="005F5B33"/>
    <w:rsid w:val="005F5B37"/>
    <w:rsid w:val="005F5B65"/>
    <w:rsid w:val="005F5C0B"/>
    <w:rsid w:val="005F5F9D"/>
    <w:rsid w:val="005F6151"/>
    <w:rsid w:val="005F63E3"/>
    <w:rsid w:val="005F63FB"/>
    <w:rsid w:val="005F6544"/>
    <w:rsid w:val="005F6821"/>
    <w:rsid w:val="005F6937"/>
    <w:rsid w:val="005F6961"/>
    <w:rsid w:val="005F6ABF"/>
    <w:rsid w:val="005F7171"/>
    <w:rsid w:val="005F7299"/>
    <w:rsid w:val="005F7463"/>
    <w:rsid w:val="005F7478"/>
    <w:rsid w:val="005F77D3"/>
    <w:rsid w:val="005F7CB6"/>
    <w:rsid w:val="005F7EFE"/>
    <w:rsid w:val="0060006F"/>
    <w:rsid w:val="00600161"/>
    <w:rsid w:val="0060022D"/>
    <w:rsid w:val="00600275"/>
    <w:rsid w:val="006005B4"/>
    <w:rsid w:val="006006E4"/>
    <w:rsid w:val="006008B7"/>
    <w:rsid w:val="00600E97"/>
    <w:rsid w:val="00601072"/>
    <w:rsid w:val="0060114B"/>
    <w:rsid w:val="00601307"/>
    <w:rsid w:val="0060165A"/>
    <w:rsid w:val="00601A09"/>
    <w:rsid w:val="00601A67"/>
    <w:rsid w:val="00601AC1"/>
    <w:rsid w:val="00601BC1"/>
    <w:rsid w:val="00601D1E"/>
    <w:rsid w:val="00601FA2"/>
    <w:rsid w:val="00602012"/>
    <w:rsid w:val="0060202B"/>
    <w:rsid w:val="0060211E"/>
    <w:rsid w:val="006023AB"/>
    <w:rsid w:val="00602521"/>
    <w:rsid w:val="00602737"/>
    <w:rsid w:val="0060276F"/>
    <w:rsid w:val="006028C3"/>
    <w:rsid w:val="00602D88"/>
    <w:rsid w:val="006035D6"/>
    <w:rsid w:val="00603731"/>
    <w:rsid w:val="00603A47"/>
    <w:rsid w:val="00603E7C"/>
    <w:rsid w:val="00604099"/>
    <w:rsid w:val="006040AB"/>
    <w:rsid w:val="0060447C"/>
    <w:rsid w:val="00604548"/>
    <w:rsid w:val="00604909"/>
    <w:rsid w:val="00604A7D"/>
    <w:rsid w:val="00604B37"/>
    <w:rsid w:val="00604B47"/>
    <w:rsid w:val="00604B5C"/>
    <w:rsid w:val="00604E11"/>
    <w:rsid w:val="00604F70"/>
    <w:rsid w:val="00604F81"/>
    <w:rsid w:val="0060505F"/>
    <w:rsid w:val="006053EF"/>
    <w:rsid w:val="0060540E"/>
    <w:rsid w:val="00605528"/>
    <w:rsid w:val="006056B4"/>
    <w:rsid w:val="00605739"/>
    <w:rsid w:val="0060592B"/>
    <w:rsid w:val="00605962"/>
    <w:rsid w:val="00605DDB"/>
    <w:rsid w:val="00605DDF"/>
    <w:rsid w:val="00605F03"/>
    <w:rsid w:val="0060626E"/>
    <w:rsid w:val="00606403"/>
    <w:rsid w:val="0060686E"/>
    <w:rsid w:val="00606F59"/>
    <w:rsid w:val="006070B1"/>
    <w:rsid w:val="006072F1"/>
    <w:rsid w:val="00607332"/>
    <w:rsid w:val="0060768F"/>
    <w:rsid w:val="00607C4D"/>
    <w:rsid w:val="00607CAC"/>
    <w:rsid w:val="00607D18"/>
    <w:rsid w:val="00607E27"/>
    <w:rsid w:val="00610324"/>
    <w:rsid w:val="00610378"/>
    <w:rsid w:val="00610410"/>
    <w:rsid w:val="0061081B"/>
    <w:rsid w:val="006109BB"/>
    <w:rsid w:val="00610C96"/>
    <w:rsid w:val="00610ED8"/>
    <w:rsid w:val="00611558"/>
    <w:rsid w:val="006117CA"/>
    <w:rsid w:val="006117F1"/>
    <w:rsid w:val="00611BE9"/>
    <w:rsid w:val="00611C08"/>
    <w:rsid w:val="00611E1F"/>
    <w:rsid w:val="00612040"/>
    <w:rsid w:val="00612060"/>
    <w:rsid w:val="00612242"/>
    <w:rsid w:val="006125E1"/>
    <w:rsid w:val="00612698"/>
    <w:rsid w:val="00612942"/>
    <w:rsid w:val="00612F02"/>
    <w:rsid w:val="0061303C"/>
    <w:rsid w:val="006131FA"/>
    <w:rsid w:val="006132E7"/>
    <w:rsid w:val="00613805"/>
    <w:rsid w:val="00613A80"/>
    <w:rsid w:val="00613C35"/>
    <w:rsid w:val="00613D11"/>
    <w:rsid w:val="00613F42"/>
    <w:rsid w:val="006142B5"/>
    <w:rsid w:val="006146C5"/>
    <w:rsid w:val="00614711"/>
    <w:rsid w:val="00614AD2"/>
    <w:rsid w:val="00614D93"/>
    <w:rsid w:val="00614EC1"/>
    <w:rsid w:val="00615040"/>
    <w:rsid w:val="006150A6"/>
    <w:rsid w:val="006156D7"/>
    <w:rsid w:val="006158B9"/>
    <w:rsid w:val="00615C4D"/>
    <w:rsid w:val="00615C91"/>
    <w:rsid w:val="00615D40"/>
    <w:rsid w:val="00615E60"/>
    <w:rsid w:val="0061621F"/>
    <w:rsid w:val="006166A3"/>
    <w:rsid w:val="00616880"/>
    <w:rsid w:val="00616B95"/>
    <w:rsid w:val="006171F2"/>
    <w:rsid w:val="006175B3"/>
    <w:rsid w:val="006179FB"/>
    <w:rsid w:val="00617C7C"/>
    <w:rsid w:val="00620728"/>
    <w:rsid w:val="00620745"/>
    <w:rsid w:val="00620D09"/>
    <w:rsid w:val="00620DA8"/>
    <w:rsid w:val="00620E8A"/>
    <w:rsid w:val="006210DE"/>
    <w:rsid w:val="00621586"/>
    <w:rsid w:val="006215BE"/>
    <w:rsid w:val="00621670"/>
    <w:rsid w:val="00621731"/>
    <w:rsid w:val="00621B28"/>
    <w:rsid w:val="00621C99"/>
    <w:rsid w:val="00621F4A"/>
    <w:rsid w:val="00621FCE"/>
    <w:rsid w:val="00622203"/>
    <w:rsid w:val="006222DF"/>
    <w:rsid w:val="00622570"/>
    <w:rsid w:val="0062258C"/>
    <w:rsid w:val="006226DC"/>
    <w:rsid w:val="00622B4C"/>
    <w:rsid w:val="00622D7B"/>
    <w:rsid w:val="00622E23"/>
    <w:rsid w:val="0062311E"/>
    <w:rsid w:val="00623179"/>
    <w:rsid w:val="00623308"/>
    <w:rsid w:val="00623346"/>
    <w:rsid w:val="0062355A"/>
    <w:rsid w:val="006235A5"/>
    <w:rsid w:val="006235FF"/>
    <w:rsid w:val="00623984"/>
    <w:rsid w:val="00623A6A"/>
    <w:rsid w:val="00623C5C"/>
    <w:rsid w:val="00623C6A"/>
    <w:rsid w:val="00623D48"/>
    <w:rsid w:val="00623DBD"/>
    <w:rsid w:val="00624242"/>
    <w:rsid w:val="00624386"/>
    <w:rsid w:val="006246D8"/>
    <w:rsid w:val="006247CD"/>
    <w:rsid w:val="00624E11"/>
    <w:rsid w:val="00624E19"/>
    <w:rsid w:val="00624F6A"/>
    <w:rsid w:val="0062506A"/>
    <w:rsid w:val="00625476"/>
    <w:rsid w:val="006256B8"/>
    <w:rsid w:val="00625AA3"/>
    <w:rsid w:val="00625AEB"/>
    <w:rsid w:val="00626605"/>
    <w:rsid w:val="00626F62"/>
    <w:rsid w:val="0062705E"/>
    <w:rsid w:val="006271C5"/>
    <w:rsid w:val="0062732E"/>
    <w:rsid w:val="006274F6"/>
    <w:rsid w:val="00627856"/>
    <w:rsid w:val="00627A48"/>
    <w:rsid w:val="00627A51"/>
    <w:rsid w:val="00627BB6"/>
    <w:rsid w:val="00627BDF"/>
    <w:rsid w:val="00627C47"/>
    <w:rsid w:val="0063002A"/>
    <w:rsid w:val="00630304"/>
    <w:rsid w:val="0063042C"/>
    <w:rsid w:val="00630602"/>
    <w:rsid w:val="006309EB"/>
    <w:rsid w:val="00630A46"/>
    <w:rsid w:val="00630BE4"/>
    <w:rsid w:val="00630CDD"/>
    <w:rsid w:val="00630D01"/>
    <w:rsid w:val="00630F23"/>
    <w:rsid w:val="00631162"/>
    <w:rsid w:val="006311C0"/>
    <w:rsid w:val="006314EE"/>
    <w:rsid w:val="006315E0"/>
    <w:rsid w:val="0063176D"/>
    <w:rsid w:val="00631CC0"/>
    <w:rsid w:val="00631D4F"/>
    <w:rsid w:val="00631D6E"/>
    <w:rsid w:val="006324AF"/>
    <w:rsid w:val="006326EA"/>
    <w:rsid w:val="006329E5"/>
    <w:rsid w:val="00632B8F"/>
    <w:rsid w:val="00632D65"/>
    <w:rsid w:val="00632FEE"/>
    <w:rsid w:val="00633094"/>
    <w:rsid w:val="0063329D"/>
    <w:rsid w:val="006333F2"/>
    <w:rsid w:val="00633515"/>
    <w:rsid w:val="00633673"/>
    <w:rsid w:val="00633967"/>
    <w:rsid w:val="006339D3"/>
    <w:rsid w:val="00633A6A"/>
    <w:rsid w:val="006340AF"/>
    <w:rsid w:val="0063427D"/>
    <w:rsid w:val="00634425"/>
    <w:rsid w:val="0063443A"/>
    <w:rsid w:val="00634591"/>
    <w:rsid w:val="0063462C"/>
    <w:rsid w:val="006346C5"/>
    <w:rsid w:val="00634838"/>
    <w:rsid w:val="006348A9"/>
    <w:rsid w:val="00634A54"/>
    <w:rsid w:val="00634A9A"/>
    <w:rsid w:val="00634B2A"/>
    <w:rsid w:val="00634C87"/>
    <w:rsid w:val="00634EAF"/>
    <w:rsid w:val="00634FAB"/>
    <w:rsid w:val="0063533A"/>
    <w:rsid w:val="00635C78"/>
    <w:rsid w:val="006360C7"/>
    <w:rsid w:val="0063626D"/>
    <w:rsid w:val="00636463"/>
    <w:rsid w:val="006365A5"/>
    <w:rsid w:val="0063687E"/>
    <w:rsid w:val="00636ED9"/>
    <w:rsid w:val="00637256"/>
    <w:rsid w:val="006375BD"/>
    <w:rsid w:val="006378A8"/>
    <w:rsid w:val="00637984"/>
    <w:rsid w:val="00637CCE"/>
    <w:rsid w:val="00637DA9"/>
    <w:rsid w:val="00637E79"/>
    <w:rsid w:val="006400EC"/>
    <w:rsid w:val="006406C9"/>
    <w:rsid w:val="00640911"/>
    <w:rsid w:val="00640A35"/>
    <w:rsid w:val="00640D35"/>
    <w:rsid w:val="00640DDA"/>
    <w:rsid w:val="00640E48"/>
    <w:rsid w:val="0064100C"/>
    <w:rsid w:val="006411E6"/>
    <w:rsid w:val="00641369"/>
    <w:rsid w:val="00641439"/>
    <w:rsid w:val="0064151C"/>
    <w:rsid w:val="00641663"/>
    <w:rsid w:val="006416A5"/>
    <w:rsid w:val="0064184D"/>
    <w:rsid w:val="0064195E"/>
    <w:rsid w:val="00641961"/>
    <w:rsid w:val="00641A0C"/>
    <w:rsid w:val="00641D41"/>
    <w:rsid w:val="00641D6C"/>
    <w:rsid w:val="00641F04"/>
    <w:rsid w:val="00641F48"/>
    <w:rsid w:val="006421CE"/>
    <w:rsid w:val="0064222F"/>
    <w:rsid w:val="00642333"/>
    <w:rsid w:val="00642449"/>
    <w:rsid w:val="0064276D"/>
    <w:rsid w:val="006428B5"/>
    <w:rsid w:val="006429B7"/>
    <w:rsid w:val="006429BF"/>
    <w:rsid w:val="00642A82"/>
    <w:rsid w:val="00642A9A"/>
    <w:rsid w:val="00642BBC"/>
    <w:rsid w:val="006430AC"/>
    <w:rsid w:val="006431A8"/>
    <w:rsid w:val="00643386"/>
    <w:rsid w:val="0064391C"/>
    <w:rsid w:val="00643AF6"/>
    <w:rsid w:val="00643E66"/>
    <w:rsid w:val="00644502"/>
    <w:rsid w:val="00644766"/>
    <w:rsid w:val="00644996"/>
    <w:rsid w:val="00644D06"/>
    <w:rsid w:val="00644FFF"/>
    <w:rsid w:val="00645099"/>
    <w:rsid w:val="00645127"/>
    <w:rsid w:val="006454C1"/>
    <w:rsid w:val="006455C1"/>
    <w:rsid w:val="00645842"/>
    <w:rsid w:val="006459EF"/>
    <w:rsid w:val="00645AAD"/>
    <w:rsid w:val="00645AF4"/>
    <w:rsid w:val="00645BC7"/>
    <w:rsid w:val="00645C35"/>
    <w:rsid w:val="00645C80"/>
    <w:rsid w:val="00645E40"/>
    <w:rsid w:val="00646BA0"/>
    <w:rsid w:val="00646D9C"/>
    <w:rsid w:val="00646DA1"/>
    <w:rsid w:val="00647093"/>
    <w:rsid w:val="00647256"/>
    <w:rsid w:val="006473D3"/>
    <w:rsid w:val="00647461"/>
    <w:rsid w:val="00647559"/>
    <w:rsid w:val="006475C1"/>
    <w:rsid w:val="00647628"/>
    <w:rsid w:val="00647842"/>
    <w:rsid w:val="006478C7"/>
    <w:rsid w:val="00647962"/>
    <w:rsid w:val="00647F38"/>
    <w:rsid w:val="00650385"/>
    <w:rsid w:val="0065045C"/>
    <w:rsid w:val="00650592"/>
    <w:rsid w:val="00650B8E"/>
    <w:rsid w:val="00650CA1"/>
    <w:rsid w:val="00650D19"/>
    <w:rsid w:val="0065101F"/>
    <w:rsid w:val="0065106B"/>
    <w:rsid w:val="006511DD"/>
    <w:rsid w:val="0065122E"/>
    <w:rsid w:val="00651347"/>
    <w:rsid w:val="006513BE"/>
    <w:rsid w:val="006513CF"/>
    <w:rsid w:val="0065148E"/>
    <w:rsid w:val="00651571"/>
    <w:rsid w:val="0065163B"/>
    <w:rsid w:val="00651989"/>
    <w:rsid w:val="00651EFE"/>
    <w:rsid w:val="00651F60"/>
    <w:rsid w:val="006520A8"/>
    <w:rsid w:val="00652345"/>
    <w:rsid w:val="006524C6"/>
    <w:rsid w:val="006525FF"/>
    <w:rsid w:val="00652A4D"/>
    <w:rsid w:val="00652A6D"/>
    <w:rsid w:val="00652EFD"/>
    <w:rsid w:val="0065310B"/>
    <w:rsid w:val="006534DC"/>
    <w:rsid w:val="00653977"/>
    <w:rsid w:val="00653B59"/>
    <w:rsid w:val="00653CA3"/>
    <w:rsid w:val="00653CF7"/>
    <w:rsid w:val="006543ED"/>
    <w:rsid w:val="006544B4"/>
    <w:rsid w:val="00654DE8"/>
    <w:rsid w:val="00654E07"/>
    <w:rsid w:val="00654E43"/>
    <w:rsid w:val="00654F74"/>
    <w:rsid w:val="00654FBB"/>
    <w:rsid w:val="006550D3"/>
    <w:rsid w:val="0065592B"/>
    <w:rsid w:val="006560A1"/>
    <w:rsid w:val="006560AC"/>
    <w:rsid w:val="006561F9"/>
    <w:rsid w:val="006564E0"/>
    <w:rsid w:val="0065654D"/>
    <w:rsid w:val="00656803"/>
    <w:rsid w:val="00656CAD"/>
    <w:rsid w:val="0065711A"/>
    <w:rsid w:val="00657300"/>
    <w:rsid w:val="0065741F"/>
    <w:rsid w:val="006574A6"/>
    <w:rsid w:val="0065779D"/>
    <w:rsid w:val="0065795E"/>
    <w:rsid w:val="00657988"/>
    <w:rsid w:val="006579CA"/>
    <w:rsid w:val="00657A5A"/>
    <w:rsid w:val="00657C31"/>
    <w:rsid w:val="00657E7F"/>
    <w:rsid w:val="006600D9"/>
    <w:rsid w:val="00660355"/>
    <w:rsid w:val="00660825"/>
    <w:rsid w:val="00660A7B"/>
    <w:rsid w:val="00660A90"/>
    <w:rsid w:val="00660D37"/>
    <w:rsid w:val="00660F2B"/>
    <w:rsid w:val="0066154C"/>
    <w:rsid w:val="006615A1"/>
    <w:rsid w:val="006617D1"/>
    <w:rsid w:val="0066184C"/>
    <w:rsid w:val="00661C40"/>
    <w:rsid w:val="00662371"/>
    <w:rsid w:val="006623E3"/>
    <w:rsid w:val="006624C2"/>
    <w:rsid w:val="006624F0"/>
    <w:rsid w:val="00662AF2"/>
    <w:rsid w:val="00662B04"/>
    <w:rsid w:val="00662D04"/>
    <w:rsid w:val="00662D1F"/>
    <w:rsid w:val="00662D8E"/>
    <w:rsid w:val="00662FE1"/>
    <w:rsid w:val="00663312"/>
    <w:rsid w:val="006634F4"/>
    <w:rsid w:val="006635DD"/>
    <w:rsid w:val="006635EE"/>
    <w:rsid w:val="0066399F"/>
    <w:rsid w:val="00663A99"/>
    <w:rsid w:val="00663B15"/>
    <w:rsid w:val="00663CB7"/>
    <w:rsid w:val="00663F72"/>
    <w:rsid w:val="006643EC"/>
    <w:rsid w:val="006644E5"/>
    <w:rsid w:val="006646A5"/>
    <w:rsid w:val="0066481F"/>
    <w:rsid w:val="00664B2C"/>
    <w:rsid w:val="00664DAD"/>
    <w:rsid w:val="00664E65"/>
    <w:rsid w:val="006654FB"/>
    <w:rsid w:val="00665510"/>
    <w:rsid w:val="00665617"/>
    <w:rsid w:val="00665839"/>
    <w:rsid w:val="00665AF1"/>
    <w:rsid w:val="00665CC7"/>
    <w:rsid w:val="00665F0E"/>
    <w:rsid w:val="0066620A"/>
    <w:rsid w:val="0066632D"/>
    <w:rsid w:val="006665ED"/>
    <w:rsid w:val="0066662C"/>
    <w:rsid w:val="00666A33"/>
    <w:rsid w:val="00666C4E"/>
    <w:rsid w:val="00666FB1"/>
    <w:rsid w:val="00667175"/>
    <w:rsid w:val="006672AA"/>
    <w:rsid w:val="006673C3"/>
    <w:rsid w:val="006675B7"/>
    <w:rsid w:val="0066761A"/>
    <w:rsid w:val="00667680"/>
    <w:rsid w:val="00667701"/>
    <w:rsid w:val="00667750"/>
    <w:rsid w:val="006677E7"/>
    <w:rsid w:val="00667A4B"/>
    <w:rsid w:val="00667B5D"/>
    <w:rsid w:val="00667B67"/>
    <w:rsid w:val="00667B95"/>
    <w:rsid w:val="00667E6E"/>
    <w:rsid w:val="0067019E"/>
    <w:rsid w:val="00670379"/>
    <w:rsid w:val="00670476"/>
    <w:rsid w:val="006704CB"/>
    <w:rsid w:val="00670580"/>
    <w:rsid w:val="006705CA"/>
    <w:rsid w:val="006709F3"/>
    <w:rsid w:val="00670A63"/>
    <w:rsid w:val="00670ACF"/>
    <w:rsid w:val="00670D81"/>
    <w:rsid w:val="00670DE1"/>
    <w:rsid w:val="00670EC5"/>
    <w:rsid w:val="00670F49"/>
    <w:rsid w:val="00670FBD"/>
    <w:rsid w:val="00671025"/>
    <w:rsid w:val="00671277"/>
    <w:rsid w:val="006715D7"/>
    <w:rsid w:val="00671934"/>
    <w:rsid w:val="00671B29"/>
    <w:rsid w:val="00671EB8"/>
    <w:rsid w:val="006721A9"/>
    <w:rsid w:val="006723DD"/>
    <w:rsid w:val="00672800"/>
    <w:rsid w:val="00672814"/>
    <w:rsid w:val="00672AF4"/>
    <w:rsid w:val="00672C75"/>
    <w:rsid w:val="00672FAB"/>
    <w:rsid w:val="0067336C"/>
    <w:rsid w:val="006733B2"/>
    <w:rsid w:val="00673405"/>
    <w:rsid w:val="006734DB"/>
    <w:rsid w:val="006735EC"/>
    <w:rsid w:val="00673A6E"/>
    <w:rsid w:val="00673D96"/>
    <w:rsid w:val="00673EB0"/>
    <w:rsid w:val="00673ECB"/>
    <w:rsid w:val="00673EED"/>
    <w:rsid w:val="00673F97"/>
    <w:rsid w:val="00673FE8"/>
    <w:rsid w:val="00674020"/>
    <w:rsid w:val="0067403A"/>
    <w:rsid w:val="00674130"/>
    <w:rsid w:val="0067428C"/>
    <w:rsid w:val="0067469A"/>
    <w:rsid w:val="00674957"/>
    <w:rsid w:val="00674B47"/>
    <w:rsid w:val="00674CA6"/>
    <w:rsid w:val="00674EC7"/>
    <w:rsid w:val="0067507D"/>
    <w:rsid w:val="006753AD"/>
    <w:rsid w:val="0067555F"/>
    <w:rsid w:val="00675601"/>
    <w:rsid w:val="00675A26"/>
    <w:rsid w:val="00675A3B"/>
    <w:rsid w:val="00675C52"/>
    <w:rsid w:val="00675DA3"/>
    <w:rsid w:val="00675DB4"/>
    <w:rsid w:val="0067632D"/>
    <w:rsid w:val="006763FA"/>
    <w:rsid w:val="006764E6"/>
    <w:rsid w:val="00676698"/>
    <w:rsid w:val="0067673D"/>
    <w:rsid w:val="006767D9"/>
    <w:rsid w:val="00676882"/>
    <w:rsid w:val="0067690C"/>
    <w:rsid w:val="0067694C"/>
    <w:rsid w:val="00676CBB"/>
    <w:rsid w:val="00676E02"/>
    <w:rsid w:val="00676F0B"/>
    <w:rsid w:val="006770B9"/>
    <w:rsid w:val="0067726F"/>
    <w:rsid w:val="00677271"/>
    <w:rsid w:val="006772B4"/>
    <w:rsid w:val="00677406"/>
    <w:rsid w:val="0067747A"/>
    <w:rsid w:val="00677B31"/>
    <w:rsid w:val="00677C7B"/>
    <w:rsid w:val="00677DED"/>
    <w:rsid w:val="00677EA0"/>
    <w:rsid w:val="00677F3F"/>
    <w:rsid w:val="00677F5F"/>
    <w:rsid w:val="00680049"/>
    <w:rsid w:val="006801D5"/>
    <w:rsid w:val="0068055C"/>
    <w:rsid w:val="0068073C"/>
    <w:rsid w:val="00680769"/>
    <w:rsid w:val="006807AF"/>
    <w:rsid w:val="006807B0"/>
    <w:rsid w:val="00680ADF"/>
    <w:rsid w:val="00680B76"/>
    <w:rsid w:val="00680BC4"/>
    <w:rsid w:val="00680CB7"/>
    <w:rsid w:val="00680E3C"/>
    <w:rsid w:val="006813D3"/>
    <w:rsid w:val="00681889"/>
    <w:rsid w:val="00681CDE"/>
    <w:rsid w:val="00681D42"/>
    <w:rsid w:val="00681E11"/>
    <w:rsid w:val="00681E43"/>
    <w:rsid w:val="006820B9"/>
    <w:rsid w:val="006822A7"/>
    <w:rsid w:val="00682544"/>
    <w:rsid w:val="00682714"/>
    <w:rsid w:val="006828AF"/>
    <w:rsid w:val="00683027"/>
    <w:rsid w:val="006831C9"/>
    <w:rsid w:val="00683269"/>
    <w:rsid w:val="006834BF"/>
    <w:rsid w:val="0068353D"/>
    <w:rsid w:val="00683555"/>
    <w:rsid w:val="00683A2B"/>
    <w:rsid w:val="00683E1B"/>
    <w:rsid w:val="00683E53"/>
    <w:rsid w:val="00683E85"/>
    <w:rsid w:val="00683EF1"/>
    <w:rsid w:val="00683FA1"/>
    <w:rsid w:val="0068423F"/>
    <w:rsid w:val="00684282"/>
    <w:rsid w:val="00684308"/>
    <w:rsid w:val="0068446E"/>
    <w:rsid w:val="0068476D"/>
    <w:rsid w:val="0068487A"/>
    <w:rsid w:val="0068489C"/>
    <w:rsid w:val="00684AA1"/>
    <w:rsid w:val="00684DD3"/>
    <w:rsid w:val="00684FA5"/>
    <w:rsid w:val="00685447"/>
    <w:rsid w:val="006854BE"/>
    <w:rsid w:val="00685B00"/>
    <w:rsid w:val="00685CDE"/>
    <w:rsid w:val="00686147"/>
    <w:rsid w:val="006864D2"/>
    <w:rsid w:val="0068662D"/>
    <w:rsid w:val="006866B2"/>
    <w:rsid w:val="00686921"/>
    <w:rsid w:val="00686BDE"/>
    <w:rsid w:val="00686D1C"/>
    <w:rsid w:val="00686DF1"/>
    <w:rsid w:val="006871EA"/>
    <w:rsid w:val="0068784E"/>
    <w:rsid w:val="00687915"/>
    <w:rsid w:val="00687B4A"/>
    <w:rsid w:val="00687E24"/>
    <w:rsid w:val="00690776"/>
    <w:rsid w:val="00690FC1"/>
    <w:rsid w:val="00691405"/>
    <w:rsid w:val="00691AD6"/>
    <w:rsid w:val="00691BAF"/>
    <w:rsid w:val="00691CC0"/>
    <w:rsid w:val="00691D9A"/>
    <w:rsid w:val="00691EA8"/>
    <w:rsid w:val="00692275"/>
    <w:rsid w:val="00692328"/>
    <w:rsid w:val="006923CB"/>
    <w:rsid w:val="006924FB"/>
    <w:rsid w:val="00692538"/>
    <w:rsid w:val="0069277B"/>
    <w:rsid w:val="00692A12"/>
    <w:rsid w:val="00692A2F"/>
    <w:rsid w:val="00692CFE"/>
    <w:rsid w:val="00692D53"/>
    <w:rsid w:val="00693093"/>
    <w:rsid w:val="006931EC"/>
    <w:rsid w:val="00693288"/>
    <w:rsid w:val="006932BF"/>
    <w:rsid w:val="006933BB"/>
    <w:rsid w:val="00693B25"/>
    <w:rsid w:val="00694056"/>
    <w:rsid w:val="0069419A"/>
    <w:rsid w:val="00694362"/>
    <w:rsid w:val="006944E6"/>
    <w:rsid w:val="006945A6"/>
    <w:rsid w:val="00694657"/>
    <w:rsid w:val="00694B1F"/>
    <w:rsid w:val="00694CAC"/>
    <w:rsid w:val="00694F15"/>
    <w:rsid w:val="006952ED"/>
    <w:rsid w:val="00695440"/>
    <w:rsid w:val="006955B3"/>
    <w:rsid w:val="00695AA7"/>
    <w:rsid w:val="00695AE7"/>
    <w:rsid w:val="00695BE4"/>
    <w:rsid w:val="00695C73"/>
    <w:rsid w:val="00695D3C"/>
    <w:rsid w:val="00695D88"/>
    <w:rsid w:val="00695E68"/>
    <w:rsid w:val="00695E92"/>
    <w:rsid w:val="00695F92"/>
    <w:rsid w:val="00696096"/>
    <w:rsid w:val="0069611D"/>
    <w:rsid w:val="00696254"/>
    <w:rsid w:val="006963E5"/>
    <w:rsid w:val="006966B2"/>
    <w:rsid w:val="006966DD"/>
    <w:rsid w:val="00696758"/>
    <w:rsid w:val="006967B8"/>
    <w:rsid w:val="0069690C"/>
    <w:rsid w:val="00696971"/>
    <w:rsid w:val="00696D29"/>
    <w:rsid w:val="00696D8D"/>
    <w:rsid w:val="00696DC6"/>
    <w:rsid w:val="00696FD1"/>
    <w:rsid w:val="00697092"/>
    <w:rsid w:val="006971CC"/>
    <w:rsid w:val="00697396"/>
    <w:rsid w:val="00697832"/>
    <w:rsid w:val="00697A49"/>
    <w:rsid w:val="00697B81"/>
    <w:rsid w:val="00697DF8"/>
    <w:rsid w:val="00697FBD"/>
    <w:rsid w:val="006A020B"/>
    <w:rsid w:val="006A044D"/>
    <w:rsid w:val="006A0563"/>
    <w:rsid w:val="006A0639"/>
    <w:rsid w:val="006A07B7"/>
    <w:rsid w:val="006A0B57"/>
    <w:rsid w:val="006A0EE6"/>
    <w:rsid w:val="006A1108"/>
    <w:rsid w:val="006A14B0"/>
    <w:rsid w:val="006A160A"/>
    <w:rsid w:val="006A19EB"/>
    <w:rsid w:val="006A1B99"/>
    <w:rsid w:val="006A1C63"/>
    <w:rsid w:val="006A1D5E"/>
    <w:rsid w:val="006A1DEB"/>
    <w:rsid w:val="006A2155"/>
    <w:rsid w:val="006A2872"/>
    <w:rsid w:val="006A28CD"/>
    <w:rsid w:val="006A2AC6"/>
    <w:rsid w:val="006A2AEC"/>
    <w:rsid w:val="006A2FE7"/>
    <w:rsid w:val="006A303A"/>
    <w:rsid w:val="006A3B4A"/>
    <w:rsid w:val="006A3B76"/>
    <w:rsid w:val="006A3D5B"/>
    <w:rsid w:val="006A415E"/>
    <w:rsid w:val="006A437A"/>
    <w:rsid w:val="006A46FB"/>
    <w:rsid w:val="006A477E"/>
    <w:rsid w:val="006A480E"/>
    <w:rsid w:val="006A4848"/>
    <w:rsid w:val="006A49F3"/>
    <w:rsid w:val="006A4A53"/>
    <w:rsid w:val="006A4A60"/>
    <w:rsid w:val="006A4CFD"/>
    <w:rsid w:val="006A4D2F"/>
    <w:rsid w:val="006A4F2C"/>
    <w:rsid w:val="006A5077"/>
    <w:rsid w:val="006A50FE"/>
    <w:rsid w:val="006A5146"/>
    <w:rsid w:val="006A5225"/>
    <w:rsid w:val="006A5DA7"/>
    <w:rsid w:val="006A6132"/>
    <w:rsid w:val="006A61CE"/>
    <w:rsid w:val="006A633F"/>
    <w:rsid w:val="006A6710"/>
    <w:rsid w:val="006A69B2"/>
    <w:rsid w:val="006A6A12"/>
    <w:rsid w:val="006A6C04"/>
    <w:rsid w:val="006A6EE2"/>
    <w:rsid w:val="006A716E"/>
    <w:rsid w:val="006A7312"/>
    <w:rsid w:val="006A73D9"/>
    <w:rsid w:val="006A73F4"/>
    <w:rsid w:val="006A7644"/>
    <w:rsid w:val="006A7B58"/>
    <w:rsid w:val="006A7D29"/>
    <w:rsid w:val="006A7D76"/>
    <w:rsid w:val="006B006F"/>
    <w:rsid w:val="006B00EF"/>
    <w:rsid w:val="006B02D9"/>
    <w:rsid w:val="006B0354"/>
    <w:rsid w:val="006B036D"/>
    <w:rsid w:val="006B03CF"/>
    <w:rsid w:val="006B0403"/>
    <w:rsid w:val="006B04DF"/>
    <w:rsid w:val="006B050E"/>
    <w:rsid w:val="006B062A"/>
    <w:rsid w:val="006B07C5"/>
    <w:rsid w:val="006B0A36"/>
    <w:rsid w:val="006B0FEC"/>
    <w:rsid w:val="006B105D"/>
    <w:rsid w:val="006B10FB"/>
    <w:rsid w:val="006B1366"/>
    <w:rsid w:val="006B15D4"/>
    <w:rsid w:val="006B15EA"/>
    <w:rsid w:val="006B1644"/>
    <w:rsid w:val="006B1716"/>
    <w:rsid w:val="006B1BBE"/>
    <w:rsid w:val="006B1DB3"/>
    <w:rsid w:val="006B2861"/>
    <w:rsid w:val="006B28BC"/>
    <w:rsid w:val="006B2934"/>
    <w:rsid w:val="006B2A7F"/>
    <w:rsid w:val="006B2C14"/>
    <w:rsid w:val="006B2CA0"/>
    <w:rsid w:val="006B2F32"/>
    <w:rsid w:val="006B3209"/>
    <w:rsid w:val="006B3305"/>
    <w:rsid w:val="006B3577"/>
    <w:rsid w:val="006B35C3"/>
    <w:rsid w:val="006B37D9"/>
    <w:rsid w:val="006B38AF"/>
    <w:rsid w:val="006B3A61"/>
    <w:rsid w:val="006B3AAB"/>
    <w:rsid w:val="006B3B93"/>
    <w:rsid w:val="006B3BA2"/>
    <w:rsid w:val="006B3C84"/>
    <w:rsid w:val="006B3EF9"/>
    <w:rsid w:val="006B40AD"/>
    <w:rsid w:val="006B45B3"/>
    <w:rsid w:val="006B4860"/>
    <w:rsid w:val="006B494B"/>
    <w:rsid w:val="006B49EB"/>
    <w:rsid w:val="006B4ADA"/>
    <w:rsid w:val="006B4CDD"/>
    <w:rsid w:val="006B4DC3"/>
    <w:rsid w:val="006B4DF4"/>
    <w:rsid w:val="006B4E07"/>
    <w:rsid w:val="006B4F09"/>
    <w:rsid w:val="006B4F5C"/>
    <w:rsid w:val="006B50F9"/>
    <w:rsid w:val="006B5519"/>
    <w:rsid w:val="006B5829"/>
    <w:rsid w:val="006B5C8D"/>
    <w:rsid w:val="006B5FF2"/>
    <w:rsid w:val="006B6076"/>
    <w:rsid w:val="006B6362"/>
    <w:rsid w:val="006B637E"/>
    <w:rsid w:val="006B63AA"/>
    <w:rsid w:val="006B64EE"/>
    <w:rsid w:val="006B69A1"/>
    <w:rsid w:val="006B6D52"/>
    <w:rsid w:val="006B6D6C"/>
    <w:rsid w:val="006B6F9F"/>
    <w:rsid w:val="006B719A"/>
    <w:rsid w:val="006B7347"/>
    <w:rsid w:val="006B73C7"/>
    <w:rsid w:val="006B74B8"/>
    <w:rsid w:val="006B7B91"/>
    <w:rsid w:val="006B7CA7"/>
    <w:rsid w:val="006C005B"/>
    <w:rsid w:val="006C0079"/>
    <w:rsid w:val="006C0100"/>
    <w:rsid w:val="006C016A"/>
    <w:rsid w:val="006C035D"/>
    <w:rsid w:val="006C03E7"/>
    <w:rsid w:val="006C044B"/>
    <w:rsid w:val="006C072E"/>
    <w:rsid w:val="006C095C"/>
    <w:rsid w:val="006C0D89"/>
    <w:rsid w:val="006C0FA9"/>
    <w:rsid w:val="006C1111"/>
    <w:rsid w:val="006C12F7"/>
    <w:rsid w:val="006C1742"/>
    <w:rsid w:val="006C1957"/>
    <w:rsid w:val="006C1C40"/>
    <w:rsid w:val="006C1C60"/>
    <w:rsid w:val="006C1D30"/>
    <w:rsid w:val="006C2383"/>
    <w:rsid w:val="006C23E0"/>
    <w:rsid w:val="006C241E"/>
    <w:rsid w:val="006C257D"/>
    <w:rsid w:val="006C25AD"/>
    <w:rsid w:val="006C2724"/>
    <w:rsid w:val="006C2883"/>
    <w:rsid w:val="006C2912"/>
    <w:rsid w:val="006C2A4A"/>
    <w:rsid w:val="006C2A90"/>
    <w:rsid w:val="006C2B17"/>
    <w:rsid w:val="006C2D02"/>
    <w:rsid w:val="006C351C"/>
    <w:rsid w:val="006C35BB"/>
    <w:rsid w:val="006C35F3"/>
    <w:rsid w:val="006C37FA"/>
    <w:rsid w:val="006C3AD7"/>
    <w:rsid w:val="006C3C64"/>
    <w:rsid w:val="006C408F"/>
    <w:rsid w:val="006C4137"/>
    <w:rsid w:val="006C445B"/>
    <w:rsid w:val="006C4648"/>
    <w:rsid w:val="006C4838"/>
    <w:rsid w:val="006C4A19"/>
    <w:rsid w:val="006C4AD3"/>
    <w:rsid w:val="006C52BB"/>
    <w:rsid w:val="006C536C"/>
    <w:rsid w:val="006C5456"/>
    <w:rsid w:val="006C54E7"/>
    <w:rsid w:val="006C5516"/>
    <w:rsid w:val="006C55C6"/>
    <w:rsid w:val="006C55CD"/>
    <w:rsid w:val="006C57CD"/>
    <w:rsid w:val="006C5854"/>
    <w:rsid w:val="006C585F"/>
    <w:rsid w:val="006C59AA"/>
    <w:rsid w:val="006C5B70"/>
    <w:rsid w:val="006C5C1D"/>
    <w:rsid w:val="006C5C86"/>
    <w:rsid w:val="006C5CC8"/>
    <w:rsid w:val="006C5E28"/>
    <w:rsid w:val="006C5F1E"/>
    <w:rsid w:val="006C5FAA"/>
    <w:rsid w:val="006C6024"/>
    <w:rsid w:val="006C6190"/>
    <w:rsid w:val="006C624D"/>
    <w:rsid w:val="006C6303"/>
    <w:rsid w:val="006C6654"/>
    <w:rsid w:val="006C6B4B"/>
    <w:rsid w:val="006C6C4E"/>
    <w:rsid w:val="006C6C60"/>
    <w:rsid w:val="006C6F2C"/>
    <w:rsid w:val="006C7326"/>
    <w:rsid w:val="006C77F7"/>
    <w:rsid w:val="006C7C97"/>
    <w:rsid w:val="006C7CAC"/>
    <w:rsid w:val="006C7D82"/>
    <w:rsid w:val="006D00D0"/>
    <w:rsid w:val="006D0203"/>
    <w:rsid w:val="006D031E"/>
    <w:rsid w:val="006D0391"/>
    <w:rsid w:val="006D03A1"/>
    <w:rsid w:val="006D0429"/>
    <w:rsid w:val="006D050D"/>
    <w:rsid w:val="006D053F"/>
    <w:rsid w:val="006D0739"/>
    <w:rsid w:val="006D090B"/>
    <w:rsid w:val="006D0A9D"/>
    <w:rsid w:val="006D0C65"/>
    <w:rsid w:val="006D0CF8"/>
    <w:rsid w:val="006D0E5F"/>
    <w:rsid w:val="006D0FE1"/>
    <w:rsid w:val="006D114D"/>
    <w:rsid w:val="006D1182"/>
    <w:rsid w:val="006D1559"/>
    <w:rsid w:val="006D1685"/>
    <w:rsid w:val="006D16C0"/>
    <w:rsid w:val="006D1761"/>
    <w:rsid w:val="006D1C88"/>
    <w:rsid w:val="006D1EF6"/>
    <w:rsid w:val="006D2264"/>
    <w:rsid w:val="006D2BBA"/>
    <w:rsid w:val="006D2D93"/>
    <w:rsid w:val="006D2DC1"/>
    <w:rsid w:val="006D2EE5"/>
    <w:rsid w:val="006D2F0E"/>
    <w:rsid w:val="006D2FE8"/>
    <w:rsid w:val="006D324D"/>
    <w:rsid w:val="006D3396"/>
    <w:rsid w:val="006D3A0C"/>
    <w:rsid w:val="006D3E0B"/>
    <w:rsid w:val="006D3E28"/>
    <w:rsid w:val="006D3E45"/>
    <w:rsid w:val="006D3EFE"/>
    <w:rsid w:val="006D4531"/>
    <w:rsid w:val="006D4537"/>
    <w:rsid w:val="006D4864"/>
    <w:rsid w:val="006D4D54"/>
    <w:rsid w:val="006D4D5B"/>
    <w:rsid w:val="006D519B"/>
    <w:rsid w:val="006D5212"/>
    <w:rsid w:val="006D54C8"/>
    <w:rsid w:val="006D5512"/>
    <w:rsid w:val="006D5635"/>
    <w:rsid w:val="006D56B7"/>
    <w:rsid w:val="006D56CF"/>
    <w:rsid w:val="006D57C6"/>
    <w:rsid w:val="006D5848"/>
    <w:rsid w:val="006D5D0B"/>
    <w:rsid w:val="006D5FF4"/>
    <w:rsid w:val="006D60CE"/>
    <w:rsid w:val="006D60E4"/>
    <w:rsid w:val="006D64EE"/>
    <w:rsid w:val="006D653B"/>
    <w:rsid w:val="006D7AA1"/>
    <w:rsid w:val="006D7D2A"/>
    <w:rsid w:val="006E026F"/>
    <w:rsid w:val="006E0908"/>
    <w:rsid w:val="006E0BEC"/>
    <w:rsid w:val="006E0E76"/>
    <w:rsid w:val="006E0F50"/>
    <w:rsid w:val="006E1185"/>
    <w:rsid w:val="006E138F"/>
    <w:rsid w:val="006E15D0"/>
    <w:rsid w:val="006E181C"/>
    <w:rsid w:val="006E1856"/>
    <w:rsid w:val="006E197E"/>
    <w:rsid w:val="006E1C34"/>
    <w:rsid w:val="006E1D68"/>
    <w:rsid w:val="006E2119"/>
    <w:rsid w:val="006E241E"/>
    <w:rsid w:val="006E27AE"/>
    <w:rsid w:val="006E28EC"/>
    <w:rsid w:val="006E2CB1"/>
    <w:rsid w:val="006E3156"/>
    <w:rsid w:val="006E325F"/>
    <w:rsid w:val="006E3400"/>
    <w:rsid w:val="006E3402"/>
    <w:rsid w:val="006E34BD"/>
    <w:rsid w:val="006E3519"/>
    <w:rsid w:val="006E3C18"/>
    <w:rsid w:val="006E3ED9"/>
    <w:rsid w:val="006E3F1B"/>
    <w:rsid w:val="006E404E"/>
    <w:rsid w:val="006E4081"/>
    <w:rsid w:val="006E41C1"/>
    <w:rsid w:val="006E43D8"/>
    <w:rsid w:val="006E4856"/>
    <w:rsid w:val="006E4975"/>
    <w:rsid w:val="006E4A92"/>
    <w:rsid w:val="006E4AF2"/>
    <w:rsid w:val="006E4AFF"/>
    <w:rsid w:val="006E4E24"/>
    <w:rsid w:val="006E5100"/>
    <w:rsid w:val="006E5108"/>
    <w:rsid w:val="006E5146"/>
    <w:rsid w:val="006E54A4"/>
    <w:rsid w:val="006E57A9"/>
    <w:rsid w:val="006E5831"/>
    <w:rsid w:val="006E5842"/>
    <w:rsid w:val="006E58F5"/>
    <w:rsid w:val="006E5BCF"/>
    <w:rsid w:val="006E5D90"/>
    <w:rsid w:val="006E609E"/>
    <w:rsid w:val="006E64CE"/>
    <w:rsid w:val="006E6607"/>
    <w:rsid w:val="006E6B81"/>
    <w:rsid w:val="006E6B86"/>
    <w:rsid w:val="006E706F"/>
    <w:rsid w:val="006E7527"/>
    <w:rsid w:val="006E756D"/>
    <w:rsid w:val="006E7729"/>
    <w:rsid w:val="006E786B"/>
    <w:rsid w:val="006E795E"/>
    <w:rsid w:val="006E7E8A"/>
    <w:rsid w:val="006E7ECD"/>
    <w:rsid w:val="006F0097"/>
    <w:rsid w:val="006F02E9"/>
    <w:rsid w:val="006F03D9"/>
    <w:rsid w:val="006F0469"/>
    <w:rsid w:val="006F0507"/>
    <w:rsid w:val="006F06FD"/>
    <w:rsid w:val="006F0B04"/>
    <w:rsid w:val="006F0B5F"/>
    <w:rsid w:val="006F0E3D"/>
    <w:rsid w:val="006F0F60"/>
    <w:rsid w:val="006F115F"/>
    <w:rsid w:val="006F1590"/>
    <w:rsid w:val="006F15C8"/>
    <w:rsid w:val="006F191B"/>
    <w:rsid w:val="006F1A45"/>
    <w:rsid w:val="006F1B06"/>
    <w:rsid w:val="006F201B"/>
    <w:rsid w:val="006F255C"/>
    <w:rsid w:val="006F2597"/>
    <w:rsid w:val="006F289E"/>
    <w:rsid w:val="006F295B"/>
    <w:rsid w:val="006F295D"/>
    <w:rsid w:val="006F2B5F"/>
    <w:rsid w:val="006F2CCF"/>
    <w:rsid w:val="006F300C"/>
    <w:rsid w:val="006F30EC"/>
    <w:rsid w:val="006F323A"/>
    <w:rsid w:val="006F32EB"/>
    <w:rsid w:val="006F331E"/>
    <w:rsid w:val="006F338D"/>
    <w:rsid w:val="006F339E"/>
    <w:rsid w:val="006F3548"/>
    <w:rsid w:val="006F355E"/>
    <w:rsid w:val="006F3A9F"/>
    <w:rsid w:val="006F3F73"/>
    <w:rsid w:val="006F4097"/>
    <w:rsid w:val="006F46C6"/>
    <w:rsid w:val="006F4750"/>
    <w:rsid w:val="006F47FF"/>
    <w:rsid w:val="006F4B0F"/>
    <w:rsid w:val="006F4B2B"/>
    <w:rsid w:val="006F4B9B"/>
    <w:rsid w:val="006F4E01"/>
    <w:rsid w:val="006F4FC1"/>
    <w:rsid w:val="006F4FE4"/>
    <w:rsid w:val="006F5666"/>
    <w:rsid w:val="006F59C7"/>
    <w:rsid w:val="006F5A5F"/>
    <w:rsid w:val="006F5A7C"/>
    <w:rsid w:val="006F5D12"/>
    <w:rsid w:val="006F5E52"/>
    <w:rsid w:val="006F5E93"/>
    <w:rsid w:val="006F5E9E"/>
    <w:rsid w:val="006F5F61"/>
    <w:rsid w:val="006F6272"/>
    <w:rsid w:val="006F6290"/>
    <w:rsid w:val="006F6499"/>
    <w:rsid w:val="006F6729"/>
    <w:rsid w:val="006F6789"/>
    <w:rsid w:val="006F67C6"/>
    <w:rsid w:val="006F6D76"/>
    <w:rsid w:val="006F716E"/>
    <w:rsid w:val="006F719F"/>
    <w:rsid w:val="006F74E4"/>
    <w:rsid w:val="006F7564"/>
    <w:rsid w:val="006F75F9"/>
    <w:rsid w:val="006F7BDE"/>
    <w:rsid w:val="006F7F68"/>
    <w:rsid w:val="006F7FC1"/>
    <w:rsid w:val="00700445"/>
    <w:rsid w:val="00700451"/>
    <w:rsid w:val="0070046F"/>
    <w:rsid w:val="00700813"/>
    <w:rsid w:val="00700BC4"/>
    <w:rsid w:val="00700BE1"/>
    <w:rsid w:val="00700D8A"/>
    <w:rsid w:val="00700F79"/>
    <w:rsid w:val="007010A0"/>
    <w:rsid w:val="007012BE"/>
    <w:rsid w:val="007012CB"/>
    <w:rsid w:val="00701336"/>
    <w:rsid w:val="007018EA"/>
    <w:rsid w:val="007018FB"/>
    <w:rsid w:val="00701A4F"/>
    <w:rsid w:val="00701E96"/>
    <w:rsid w:val="00701F33"/>
    <w:rsid w:val="00702016"/>
    <w:rsid w:val="0070217B"/>
    <w:rsid w:val="00702250"/>
    <w:rsid w:val="00702304"/>
    <w:rsid w:val="007023B6"/>
    <w:rsid w:val="00702502"/>
    <w:rsid w:val="0070251B"/>
    <w:rsid w:val="00702706"/>
    <w:rsid w:val="00702774"/>
    <w:rsid w:val="007027A3"/>
    <w:rsid w:val="00702CDF"/>
    <w:rsid w:val="00702ECE"/>
    <w:rsid w:val="00702FAC"/>
    <w:rsid w:val="007030FB"/>
    <w:rsid w:val="007031BC"/>
    <w:rsid w:val="00703370"/>
    <w:rsid w:val="007037F2"/>
    <w:rsid w:val="00703851"/>
    <w:rsid w:val="0070387F"/>
    <w:rsid w:val="00703904"/>
    <w:rsid w:val="00703A3C"/>
    <w:rsid w:val="00703E2A"/>
    <w:rsid w:val="00703E8E"/>
    <w:rsid w:val="007040F5"/>
    <w:rsid w:val="00704163"/>
    <w:rsid w:val="007045C5"/>
    <w:rsid w:val="00705125"/>
    <w:rsid w:val="00705148"/>
    <w:rsid w:val="007051C0"/>
    <w:rsid w:val="00705B15"/>
    <w:rsid w:val="00705E66"/>
    <w:rsid w:val="00705ECA"/>
    <w:rsid w:val="00705FF3"/>
    <w:rsid w:val="007060F9"/>
    <w:rsid w:val="00706173"/>
    <w:rsid w:val="007061F7"/>
    <w:rsid w:val="007062F1"/>
    <w:rsid w:val="0070635E"/>
    <w:rsid w:val="00706412"/>
    <w:rsid w:val="0070644B"/>
    <w:rsid w:val="0070644F"/>
    <w:rsid w:val="007066C6"/>
    <w:rsid w:val="0070675E"/>
    <w:rsid w:val="007067DE"/>
    <w:rsid w:val="00706803"/>
    <w:rsid w:val="0070688C"/>
    <w:rsid w:val="00706AB8"/>
    <w:rsid w:val="00706B13"/>
    <w:rsid w:val="00706BC2"/>
    <w:rsid w:val="00706C3F"/>
    <w:rsid w:val="00706CB5"/>
    <w:rsid w:val="00706D1B"/>
    <w:rsid w:val="00706EFA"/>
    <w:rsid w:val="00707223"/>
    <w:rsid w:val="00707349"/>
    <w:rsid w:val="007077A8"/>
    <w:rsid w:val="007077F7"/>
    <w:rsid w:val="0070788B"/>
    <w:rsid w:val="00707C49"/>
    <w:rsid w:val="00707D97"/>
    <w:rsid w:val="00707E85"/>
    <w:rsid w:val="00707EB3"/>
    <w:rsid w:val="0071044F"/>
    <w:rsid w:val="007108DC"/>
    <w:rsid w:val="00710945"/>
    <w:rsid w:val="00710C93"/>
    <w:rsid w:val="00710CD2"/>
    <w:rsid w:val="00711202"/>
    <w:rsid w:val="00711275"/>
    <w:rsid w:val="00711308"/>
    <w:rsid w:val="00711439"/>
    <w:rsid w:val="007114B6"/>
    <w:rsid w:val="007116AF"/>
    <w:rsid w:val="0071192F"/>
    <w:rsid w:val="00711A29"/>
    <w:rsid w:val="00711B1A"/>
    <w:rsid w:val="00711F6D"/>
    <w:rsid w:val="00712061"/>
    <w:rsid w:val="00712201"/>
    <w:rsid w:val="00712632"/>
    <w:rsid w:val="007126F2"/>
    <w:rsid w:val="00712893"/>
    <w:rsid w:val="00712966"/>
    <w:rsid w:val="0071298C"/>
    <w:rsid w:val="00712D00"/>
    <w:rsid w:val="00712DF0"/>
    <w:rsid w:val="00712EE9"/>
    <w:rsid w:val="00712FEC"/>
    <w:rsid w:val="0071303E"/>
    <w:rsid w:val="007130B4"/>
    <w:rsid w:val="00713145"/>
    <w:rsid w:val="0071350E"/>
    <w:rsid w:val="007136D0"/>
    <w:rsid w:val="007138E6"/>
    <w:rsid w:val="00713BA7"/>
    <w:rsid w:val="00713BDC"/>
    <w:rsid w:val="00713EB2"/>
    <w:rsid w:val="00713EFA"/>
    <w:rsid w:val="00713F39"/>
    <w:rsid w:val="00713FB2"/>
    <w:rsid w:val="00714206"/>
    <w:rsid w:val="0071444E"/>
    <w:rsid w:val="007145F1"/>
    <w:rsid w:val="00714705"/>
    <w:rsid w:val="00714977"/>
    <w:rsid w:val="00714BB0"/>
    <w:rsid w:val="00714DB5"/>
    <w:rsid w:val="007150F4"/>
    <w:rsid w:val="00715127"/>
    <w:rsid w:val="0071526B"/>
    <w:rsid w:val="007154DE"/>
    <w:rsid w:val="00715570"/>
    <w:rsid w:val="007156E1"/>
    <w:rsid w:val="00715AB1"/>
    <w:rsid w:val="00715C87"/>
    <w:rsid w:val="00715F92"/>
    <w:rsid w:val="00715FE5"/>
    <w:rsid w:val="0071603D"/>
    <w:rsid w:val="00716054"/>
    <w:rsid w:val="007160F1"/>
    <w:rsid w:val="0071613B"/>
    <w:rsid w:val="007161DA"/>
    <w:rsid w:val="00716290"/>
    <w:rsid w:val="007162F7"/>
    <w:rsid w:val="007163FB"/>
    <w:rsid w:val="00716621"/>
    <w:rsid w:val="00716663"/>
    <w:rsid w:val="007167F3"/>
    <w:rsid w:val="00716969"/>
    <w:rsid w:val="00716BEC"/>
    <w:rsid w:val="00716CBE"/>
    <w:rsid w:val="007170A6"/>
    <w:rsid w:val="00717218"/>
    <w:rsid w:val="0071726A"/>
    <w:rsid w:val="007177D1"/>
    <w:rsid w:val="007179B5"/>
    <w:rsid w:val="00717A5C"/>
    <w:rsid w:val="00717AC6"/>
    <w:rsid w:val="00717B89"/>
    <w:rsid w:val="00717B98"/>
    <w:rsid w:val="00717BBF"/>
    <w:rsid w:val="00717EAA"/>
    <w:rsid w:val="00717EDD"/>
    <w:rsid w:val="00717F26"/>
    <w:rsid w:val="00717F47"/>
    <w:rsid w:val="00720038"/>
    <w:rsid w:val="007201BA"/>
    <w:rsid w:val="007205E8"/>
    <w:rsid w:val="007205EC"/>
    <w:rsid w:val="007208F6"/>
    <w:rsid w:val="00720A47"/>
    <w:rsid w:val="00720BC5"/>
    <w:rsid w:val="00720C5C"/>
    <w:rsid w:val="00720D79"/>
    <w:rsid w:val="00720E7B"/>
    <w:rsid w:val="00721070"/>
    <w:rsid w:val="0072114D"/>
    <w:rsid w:val="0072157C"/>
    <w:rsid w:val="0072157E"/>
    <w:rsid w:val="0072165D"/>
    <w:rsid w:val="00721894"/>
    <w:rsid w:val="007219BC"/>
    <w:rsid w:val="00721F5F"/>
    <w:rsid w:val="007225A4"/>
    <w:rsid w:val="007225D3"/>
    <w:rsid w:val="00722665"/>
    <w:rsid w:val="00722857"/>
    <w:rsid w:val="00722A81"/>
    <w:rsid w:val="00722B44"/>
    <w:rsid w:val="00723059"/>
    <w:rsid w:val="0072334C"/>
    <w:rsid w:val="00723F92"/>
    <w:rsid w:val="00723FE9"/>
    <w:rsid w:val="007240C1"/>
    <w:rsid w:val="00724114"/>
    <w:rsid w:val="00724229"/>
    <w:rsid w:val="0072435F"/>
    <w:rsid w:val="007244C8"/>
    <w:rsid w:val="00724790"/>
    <w:rsid w:val="00724AFE"/>
    <w:rsid w:val="00724CFF"/>
    <w:rsid w:val="00724F3B"/>
    <w:rsid w:val="0072502F"/>
    <w:rsid w:val="00725094"/>
    <w:rsid w:val="00725343"/>
    <w:rsid w:val="0072550A"/>
    <w:rsid w:val="007259BC"/>
    <w:rsid w:val="00725A17"/>
    <w:rsid w:val="00725D20"/>
    <w:rsid w:val="00725DC3"/>
    <w:rsid w:val="00725F91"/>
    <w:rsid w:val="00726067"/>
    <w:rsid w:val="00726212"/>
    <w:rsid w:val="007264BC"/>
    <w:rsid w:val="007268C1"/>
    <w:rsid w:val="007268EF"/>
    <w:rsid w:val="00726D90"/>
    <w:rsid w:val="00726DD0"/>
    <w:rsid w:val="00726F92"/>
    <w:rsid w:val="00727007"/>
    <w:rsid w:val="00727229"/>
    <w:rsid w:val="007273AB"/>
    <w:rsid w:val="00727625"/>
    <w:rsid w:val="00727AE7"/>
    <w:rsid w:val="00727DBC"/>
    <w:rsid w:val="007300ED"/>
    <w:rsid w:val="007308B1"/>
    <w:rsid w:val="00730912"/>
    <w:rsid w:val="0073094E"/>
    <w:rsid w:val="00730A2A"/>
    <w:rsid w:val="00730BCE"/>
    <w:rsid w:val="007313C0"/>
    <w:rsid w:val="0073154B"/>
    <w:rsid w:val="007315CC"/>
    <w:rsid w:val="007317BD"/>
    <w:rsid w:val="007317D7"/>
    <w:rsid w:val="0073191A"/>
    <w:rsid w:val="0073194E"/>
    <w:rsid w:val="00731E47"/>
    <w:rsid w:val="00731FC6"/>
    <w:rsid w:val="007320F7"/>
    <w:rsid w:val="00732564"/>
    <w:rsid w:val="0073260D"/>
    <w:rsid w:val="00732617"/>
    <w:rsid w:val="007326DA"/>
    <w:rsid w:val="007326F8"/>
    <w:rsid w:val="00732A57"/>
    <w:rsid w:val="00732D20"/>
    <w:rsid w:val="00732DAB"/>
    <w:rsid w:val="00732E90"/>
    <w:rsid w:val="007330B9"/>
    <w:rsid w:val="007333D5"/>
    <w:rsid w:val="00733604"/>
    <w:rsid w:val="007336A6"/>
    <w:rsid w:val="00733763"/>
    <w:rsid w:val="00733790"/>
    <w:rsid w:val="0073399A"/>
    <w:rsid w:val="007339AA"/>
    <w:rsid w:val="00733A8B"/>
    <w:rsid w:val="00733AC2"/>
    <w:rsid w:val="00733FED"/>
    <w:rsid w:val="00734166"/>
    <w:rsid w:val="007341F3"/>
    <w:rsid w:val="00734357"/>
    <w:rsid w:val="007344E3"/>
    <w:rsid w:val="00734883"/>
    <w:rsid w:val="0073488C"/>
    <w:rsid w:val="007348A0"/>
    <w:rsid w:val="0073496D"/>
    <w:rsid w:val="00734E21"/>
    <w:rsid w:val="00735215"/>
    <w:rsid w:val="00735285"/>
    <w:rsid w:val="007354D4"/>
    <w:rsid w:val="007355ED"/>
    <w:rsid w:val="007357B7"/>
    <w:rsid w:val="00735A71"/>
    <w:rsid w:val="00735D2F"/>
    <w:rsid w:val="00735EEE"/>
    <w:rsid w:val="00735F12"/>
    <w:rsid w:val="00735F32"/>
    <w:rsid w:val="00735F5E"/>
    <w:rsid w:val="00736374"/>
    <w:rsid w:val="007365E0"/>
    <w:rsid w:val="007366A7"/>
    <w:rsid w:val="00736CE3"/>
    <w:rsid w:val="00736D05"/>
    <w:rsid w:val="00736EEA"/>
    <w:rsid w:val="0073741F"/>
    <w:rsid w:val="0073787A"/>
    <w:rsid w:val="00737AC8"/>
    <w:rsid w:val="00737F96"/>
    <w:rsid w:val="0074005C"/>
    <w:rsid w:val="0074051A"/>
    <w:rsid w:val="00740661"/>
    <w:rsid w:val="00740792"/>
    <w:rsid w:val="00740864"/>
    <w:rsid w:val="00740A21"/>
    <w:rsid w:val="00740A2B"/>
    <w:rsid w:val="00740A3C"/>
    <w:rsid w:val="00740C22"/>
    <w:rsid w:val="00740C54"/>
    <w:rsid w:val="00740DDF"/>
    <w:rsid w:val="007414D7"/>
    <w:rsid w:val="007416ED"/>
    <w:rsid w:val="0074196F"/>
    <w:rsid w:val="007419EC"/>
    <w:rsid w:val="00741C0E"/>
    <w:rsid w:val="00741D26"/>
    <w:rsid w:val="00741D74"/>
    <w:rsid w:val="00742121"/>
    <w:rsid w:val="0074299A"/>
    <w:rsid w:val="00742AF2"/>
    <w:rsid w:val="00742BB7"/>
    <w:rsid w:val="0074325F"/>
    <w:rsid w:val="0074339E"/>
    <w:rsid w:val="007433F5"/>
    <w:rsid w:val="00743B14"/>
    <w:rsid w:val="00743B37"/>
    <w:rsid w:val="00743CAF"/>
    <w:rsid w:val="00743DD9"/>
    <w:rsid w:val="00743F09"/>
    <w:rsid w:val="00743FE2"/>
    <w:rsid w:val="007440E2"/>
    <w:rsid w:val="007441B8"/>
    <w:rsid w:val="00744619"/>
    <w:rsid w:val="0074462C"/>
    <w:rsid w:val="007448EB"/>
    <w:rsid w:val="00744996"/>
    <w:rsid w:val="00744B81"/>
    <w:rsid w:val="00744DC9"/>
    <w:rsid w:val="00744EF6"/>
    <w:rsid w:val="00744F3D"/>
    <w:rsid w:val="00744F42"/>
    <w:rsid w:val="00744FD1"/>
    <w:rsid w:val="00745169"/>
    <w:rsid w:val="00745617"/>
    <w:rsid w:val="007458CA"/>
    <w:rsid w:val="00745A88"/>
    <w:rsid w:val="00745B57"/>
    <w:rsid w:val="0074610B"/>
    <w:rsid w:val="00746250"/>
    <w:rsid w:val="00746372"/>
    <w:rsid w:val="0074640B"/>
    <w:rsid w:val="0074656B"/>
    <w:rsid w:val="00746814"/>
    <w:rsid w:val="00746CAA"/>
    <w:rsid w:val="00746CC7"/>
    <w:rsid w:val="00746DC1"/>
    <w:rsid w:val="00746E52"/>
    <w:rsid w:val="0074711D"/>
    <w:rsid w:val="00747362"/>
    <w:rsid w:val="00747381"/>
    <w:rsid w:val="00747420"/>
    <w:rsid w:val="0074746E"/>
    <w:rsid w:val="007475FC"/>
    <w:rsid w:val="00747622"/>
    <w:rsid w:val="00747A63"/>
    <w:rsid w:val="00747BAE"/>
    <w:rsid w:val="00747E19"/>
    <w:rsid w:val="00747E40"/>
    <w:rsid w:val="0075016B"/>
    <w:rsid w:val="007502D8"/>
    <w:rsid w:val="007506E4"/>
    <w:rsid w:val="00750754"/>
    <w:rsid w:val="007509F4"/>
    <w:rsid w:val="00750C37"/>
    <w:rsid w:val="00750F66"/>
    <w:rsid w:val="007511A8"/>
    <w:rsid w:val="00751FF7"/>
    <w:rsid w:val="0075253B"/>
    <w:rsid w:val="007525E6"/>
    <w:rsid w:val="00752712"/>
    <w:rsid w:val="00752783"/>
    <w:rsid w:val="00753069"/>
    <w:rsid w:val="00753108"/>
    <w:rsid w:val="00753132"/>
    <w:rsid w:val="00753154"/>
    <w:rsid w:val="007531B9"/>
    <w:rsid w:val="007533EF"/>
    <w:rsid w:val="007534BF"/>
    <w:rsid w:val="007534E3"/>
    <w:rsid w:val="00753705"/>
    <w:rsid w:val="0075375D"/>
    <w:rsid w:val="00753AAB"/>
    <w:rsid w:val="00753BEA"/>
    <w:rsid w:val="00754240"/>
    <w:rsid w:val="007542AA"/>
    <w:rsid w:val="00754363"/>
    <w:rsid w:val="0075471F"/>
    <w:rsid w:val="007548D2"/>
    <w:rsid w:val="00754934"/>
    <w:rsid w:val="00754AEB"/>
    <w:rsid w:val="00754D73"/>
    <w:rsid w:val="00754EAE"/>
    <w:rsid w:val="00755005"/>
    <w:rsid w:val="00755111"/>
    <w:rsid w:val="007552B5"/>
    <w:rsid w:val="0075531E"/>
    <w:rsid w:val="007555CF"/>
    <w:rsid w:val="00755E43"/>
    <w:rsid w:val="00755F15"/>
    <w:rsid w:val="00755F2F"/>
    <w:rsid w:val="0075607F"/>
    <w:rsid w:val="0075615D"/>
    <w:rsid w:val="007563F3"/>
    <w:rsid w:val="0075668E"/>
    <w:rsid w:val="00756D11"/>
    <w:rsid w:val="00756D85"/>
    <w:rsid w:val="00757665"/>
    <w:rsid w:val="007577EC"/>
    <w:rsid w:val="00757B5A"/>
    <w:rsid w:val="00757DFF"/>
    <w:rsid w:val="00760398"/>
    <w:rsid w:val="0076048B"/>
    <w:rsid w:val="0076073C"/>
    <w:rsid w:val="007607A3"/>
    <w:rsid w:val="007608CC"/>
    <w:rsid w:val="007613C4"/>
    <w:rsid w:val="0076147C"/>
    <w:rsid w:val="007615BC"/>
    <w:rsid w:val="00761717"/>
    <w:rsid w:val="00761799"/>
    <w:rsid w:val="00761C11"/>
    <w:rsid w:val="00761DE4"/>
    <w:rsid w:val="00761DF2"/>
    <w:rsid w:val="00761EB5"/>
    <w:rsid w:val="0076205F"/>
    <w:rsid w:val="007623BB"/>
    <w:rsid w:val="0076255C"/>
    <w:rsid w:val="00762920"/>
    <w:rsid w:val="00762B6A"/>
    <w:rsid w:val="00762C29"/>
    <w:rsid w:val="00762CE5"/>
    <w:rsid w:val="00762D98"/>
    <w:rsid w:val="00763174"/>
    <w:rsid w:val="0076319D"/>
    <w:rsid w:val="0076352C"/>
    <w:rsid w:val="00763539"/>
    <w:rsid w:val="007637ED"/>
    <w:rsid w:val="007639DA"/>
    <w:rsid w:val="00763A1B"/>
    <w:rsid w:val="00763C1A"/>
    <w:rsid w:val="00763E8E"/>
    <w:rsid w:val="0076439E"/>
    <w:rsid w:val="0076444E"/>
    <w:rsid w:val="007647D0"/>
    <w:rsid w:val="007649B1"/>
    <w:rsid w:val="00764B8A"/>
    <w:rsid w:val="00764C58"/>
    <w:rsid w:val="00764CFB"/>
    <w:rsid w:val="00764F4F"/>
    <w:rsid w:val="007653A7"/>
    <w:rsid w:val="007653B3"/>
    <w:rsid w:val="00765446"/>
    <w:rsid w:val="007654B8"/>
    <w:rsid w:val="00765A1F"/>
    <w:rsid w:val="00765AC1"/>
    <w:rsid w:val="00765F20"/>
    <w:rsid w:val="007660E7"/>
    <w:rsid w:val="0076618B"/>
    <w:rsid w:val="007661FB"/>
    <w:rsid w:val="0076623E"/>
    <w:rsid w:val="00766257"/>
    <w:rsid w:val="007663E6"/>
    <w:rsid w:val="007664BC"/>
    <w:rsid w:val="00766703"/>
    <w:rsid w:val="0076685F"/>
    <w:rsid w:val="00766864"/>
    <w:rsid w:val="00766C49"/>
    <w:rsid w:val="00766D8F"/>
    <w:rsid w:val="00766E7B"/>
    <w:rsid w:val="00767032"/>
    <w:rsid w:val="0076721B"/>
    <w:rsid w:val="00767589"/>
    <w:rsid w:val="007676E5"/>
    <w:rsid w:val="00767919"/>
    <w:rsid w:val="0076797F"/>
    <w:rsid w:val="00767E9D"/>
    <w:rsid w:val="00770156"/>
    <w:rsid w:val="007701D4"/>
    <w:rsid w:val="0077070A"/>
    <w:rsid w:val="00770784"/>
    <w:rsid w:val="00770815"/>
    <w:rsid w:val="007709C2"/>
    <w:rsid w:val="00770BFD"/>
    <w:rsid w:val="00771092"/>
    <w:rsid w:val="007710B8"/>
    <w:rsid w:val="00771170"/>
    <w:rsid w:val="00771267"/>
    <w:rsid w:val="0077158C"/>
    <w:rsid w:val="00771B1E"/>
    <w:rsid w:val="00771BAF"/>
    <w:rsid w:val="007721F9"/>
    <w:rsid w:val="0077221C"/>
    <w:rsid w:val="0077239B"/>
    <w:rsid w:val="0077263D"/>
    <w:rsid w:val="007726A8"/>
    <w:rsid w:val="007727AF"/>
    <w:rsid w:val="007728BC"/>
    <w:rsid w:val="007728BE"/>
    <w:rsid w:val="007729F1"/>
    <w:rsid w:val="00772C41"/>
    <w:rsid w:val="00772E30"/>
    <w:rsid w:val="00773079"/>
    <w:rsid w:val="0077338D"/>
    <w:rsid w:val="007736B0"/>
    <w:rsid w:val="007738D3"/>
    <w:rsid w:val="007739B7"/>
    <w:rsid w:val="00773D7C"/>
    <w:rsid w:val="00773EA3"/>
    <w:rsid w:val="00773FF7"/>
    <w:rsid w:val="007741DF"/>
    <w:rsid w:val="00774306"/>
    <w:rsid w:val="007743A4"/>
    <w:rsid w:val="007743B8"/>
    <w:rsid w:val="00774682"/>
    <w:rsid w:val="00774754"/>
    <w:rsid w:val="00774932"/>
    <w:rsid w:val="007749F9"/>
    <w:rsid w:val="00774C1F"/>
    <w:rsid w:val="00774E47"/>
    <w:rsid w:val="00774E94"/>
    <w:rsid w:val="0077500A"/>
    <w:rsid w:val="00775012"/>
    <w:rsid w:val="007750B3"/>
    <w:rsid w:val="0077513F"/>
    <w:rsid w:val="00775149"/>
    <w:rsid w:val="007751C3"/>
    <w:rsid w:val="0077530B"/>
    <w:rsid w:val="00775807"/>
    <w:rsid w:val="00775AD6"/>
    <w:rsid w:val="00775DCA"/>
    <w:rsid w:val="00775F3C"/>
    <w:rsid w:val="0077644E"/>
    <w:rsid w:val="00776797"/>
    <w:rsid w:val="00776884"/>
    <w:rsid w:val="00776922"/>
    <w:rsid w:val="00776966"/>
    <w:rsid w:val="00776ECD"/>
    <w:rsid w:val="00776ED2"/>
    <w:rsid w:val="007772A6"/>
    <w:rsid w:val="00777323"/>
    <w:rsid w:val="0077743D"/>
    <w:rsid w:val="007774F9"/>
    <w:rsid w:val="00777727"/>
    <w:rsid w:val="00777A69"/>
    <w:rsid w:val="00777E1D"/>
    <w:rsid w:val="00777F89"/>
    <w:rsid w:val="007800F9"/>
    <w:rsid w:val="007802F2"/>
    <w:rsid w:val="00780385"/>
    <w:rsid w:val="00780836"/>
    <w:rsid w:val="00780BA0"/>
    <w:rsid w:val="00780CD1"/>
    <w:rsid w:val="0078121A"/>
    <w:rsid w:val="00781402"/>
    <w:rsid w:val="007816FE"/>
    <w:rsid w:val="00781727"/>
    <w:rsid w:val="00781DD1"/>
    <w:rsid w:val="0078202F"/>
    <w:rsid w:val="00782125"/>
    <w:rsid w:val="00782145"/>
    <w:rsid w:val="007823F1"/>
    <w:rsid w:val="00782458"/>
    <w:rsid w:val="0078248E"/>
    <w:rsid w:val="00782561"/>
    <w:rsid w:val="007825C7"/>
    <w:rsid w:val="0078269B"/>
    <w:rsid w:val="007827AF"/>
    <w:rsid w:val="007827B1"/>
    <w:rsid w:val="007827F0"/>
    <w:rsid w:val="00782C95"/>
    <w:rsid w:val="00782FA6"/>
    <w:rsid w:val="007833BC"/>
    <w:rsid w:val="00783556"/>
    <w:rsid w:val="007835F2"/>
    <w:rsid w:val="0078376D"/>
    <w:rsid w:val="0078394D"/>
    <w:rsid w:val="00783B73"/>
    <w:rsid w:val="00783B7C"/>
    <w:rsid w:val="00783C40"/>
    <w:rsid w:val="00783E2C"/>
    <w:rsid w:val="00783E7B"/>
    <w:rsid w:val="00784131"/>
    <w:rsid w:val="0078421D"/>
    <w:rsid w:val="00784257"/>
    <w:rsid w:val="00784382"/>
    <w:rsid w:val="00784624"/>
    <w:rsid w:val="00784744"/>
    <w:rsid w:val="0078476E"/>
    <w:rsid w:val="007847BA"/>
    <w:rsid w:val="00784CA7"/>
    <w:rsid w:val="00785252"/>
    <w:rsid w:val="00785293"/>
    <w:rsid w:val="00785999"/>
    <w:rsid w:val="00785A4A"/>
    <w:rsid w:val="007863CC"/>
    <w:rsid w:val="007863CD"/>
    <w:rsid w:val="007866F3"/>
    <w:rsid w:val="0078681D"/>
    <w:rsid w:val="00786879"/>
    <w:rsid w:val="00786A01"/>
    <w:rsid w:val="00786B7E"/>
    <w:rsid w:val="00786CCB"/>
    <w:rsid w:val="00786EE3"/>
    <w:rsid w:val="0078718C"/>
    <w:rsid w:val="00787232"/>
    <w:rsid w:val="007872BA"/>
    <w:rsid w:val="00787607"/>
    <w:rsid w:val="00787873"/>
    <w:rsid w:val="00787A6F"/>
    <w:rsid w:val="00787D46"/>
    <w:rsid w:val="00787EFE"/>
    <w:rsid w:val="00787FF3"/>
    <w:rsid w:val="007903BA"/>
    <w:rsid w:val="0079044A"/>
    <w:rsid w:val="00790502"/>
    <w:rsid w:val="00790542"/>
    <w:rsid w:val="007906DE"/>
    <w:rsid w:val="00790D91"/>
    <w:rsid w:val="007915A0"/>
    <w:rsid w:val="0079173D"/>
    <w:rsid w:val="0079186F"/>
    <w:rsid w:val="00791D4D"/>
    <w:rsid w:val="00791FB1"/>
    <w:rsid w:val="007921FA"/>
    <w:rsid w:val="0079236B"/>
    <w:rsid w:val="00792452"/>
    <w:rsid w:val="00792BE2"/>
    <w:rsid w:val="00792C84"/>
    <w:rsid w:val="00792CBE"/>
    <w:rsid w:val="007933E7"/>
    <w:rsid w:val="00793518"/>
    <w:rsid w:val="00793595"/>
    <w:rsid w:val="0079399A"/>
    <w:rsid w:val="00793B76"/>
    <w:rsid w:val="00794060"/>
    <w:rsid w:val="00794391"/>
    <w:rsid w:val="007943B5"/>
    <w:rsid w:val="00794752"/>
    <w:rsid w:val="00794AA3"/>
    <w:rsid w:val="00794F19"/>
    <w:rsid w:val="00794F25"/>
    <w:rsid w:val="0079503F"/>
    <w:rsid w:val="00795170"/>
    <w:rsid w:val="007951D5"/>
    <w:rsid w:val="0079576D"/>
    <w:rsid w:val="007957B9"/>
    <w:rsid w:val="00795803"/>
    <w:rsid w:val="0079585D"/>
    <w:rsid w:val="00795927"/>
    <w:rsid w:val="007959A9"/>
    <w:rsid w:val="00795DA6"/>
    <w:rsid w:val="007960E3"/>
    <w:rsid w:val="007961EB"/>
    <w:rsid w:val="007962B2"/>
    <w:rsid w:val="007964A9"/>
    <w:rsid w:val="0079655E"/>
    <w:rsid w:val="0079666D"/>
    <w:rsid w:val="00796BB1"/>
    <w:rsid w:val="00796C3B"/>
    <w:rsid w:val="00797086"/>
    <w:rsid w:val="0079751E"/>
    <w:rsid w:val="0079768B"/>
    <w:rsid w:val="00797F4E"/>
    <w:rsid w:val="007A00F1"/>
    <w:rsid w:val="007A0101"/>
    <w:rsid w:val="007A037B"/>
    <w:rsid w:val="007A0486"/>
    <w:rsid w:val="007A050B"/>
    <w:rsid w:val="007A06D7"/>
    <w:rsid w:val="007A09DF"/>
    <w:rsid w:val="007A0A32"/>
    <w:rsid w:val="007A0CF0"/>
    <w:rsid w:val="007A0F59"/>
    <w:rsid w:val="007A0F6F"/>
    <w:rsid w:val="007A11BC"/>
    <w:rsid w:val="007A1352"/>
    <w:rsid w:val="007A1581"/>
    <w:rsid w:val="007A16C7"/>
    <w:rsid w:val="007A1730"/>
    <w:rsid w:val="007A1B0E"/>
    <w:rsid w:val="007A1C2B"/>
    <w:rsid w:val="007A1CEE"/>
    <w:rsid w:val="007A1F9E"/>
    <w:rsid w:val="007A2393"/>
    <w:rsid w:val="007A28C8"/>
    <w:rsid w:val="007A294B"/>
    <w:rsid w:val="007A2DE5"/>
    <w:rsid w:val="007A2E83"/>
    <w:rsid w:val="007A3142"/>
    <w:rsid w:val="007A3806"/>
    <w:rsid w:val="007A3AF5"/>
    <w:rsid w:val="007A3B13"/>
    <w:rsid w:val="007A3D59"/>
    <w:rsid w:val="007A406D"/>
    <w:rsid w:val="007A4B2E"/>
    <w:rsid w:val="007A4C0A"/>
    <w:rsid w:val="007A4D2F"/>
    <w:rsid w:val="007A4EFB"/>
    <w:rsid w:val="007A4F34"/>
    <w:rsid w:val="007A5190"/>
    <w:rsid w:val="007A58DB"/>
    <w:rsid w:val="007A5B60"/>
    <w:rsid w:val="007A5DE4"/>
    <w:rsid w:val="007A5FD4"/>
    <w:rsid w:val="007A60E2"/>
    <w:rsid w:val="007A61B8"/>
    <w:rsid w:val="007A63E3"/>
    <w:rsid w:val="007A648F"/>
    <w:rsid w:val="007A653B"/>
    <w:rsid w:val="007A682D"/>
    <w:rsid w:val="007A69C2"/>
    <w:rsid w:val="007A6AA1"/>
    <w:rsid w:val="007A6AFE"/>
    <w:rsid w:val="007A6D36"/>
    <w:rsid w:val="007A6D66"/>
    <w:rsid w:val="007A704B"/>
    <w:rsid w:val="007A72A4"/>
    <w:rsid w:val="007A7305"/>
    <w:rsid w:val="007A748D"/>
    <w:rsid w:val="007A7743"/>
    <w:rsid w:val="007A78DE"/>
    <w:rsid w:val="007A7A38"/>
    <w:rsid w:val="007A7B9A"/>
    <w:rsid w:val="007A7CDF"/>
    <w:rsid w:val="007A7F66"/>
    <w:rsid w:val="007B0071"/>
    <w:rsid w:val="007B01B2"/>
    <w:rsid w:val="007B01CD"/>
    <w:rsid w:val="007B0380"/>
    <w:rsid w:val="007B04F3"/>
    <w:rsid w:val="007B066E"/>
    <w:rsid w:val="007B0734"/>
    <w:rsid w:val="007B0A29"/>
    <w:rsid w:val="007B0C9B"/>
    <w:rsid w:val="007B0CB5"/>
    <w:rsid w:val="007B0D30"/>
    <w:rsid w:val="007B0D68"/>
    <w:rsid w:val="007B0E43"/>
    <w:rsid w:val="007B0E98"/>
    <w:rsid w:val="007B0EE3"/>
    <w:rsid w:val="007B11E0"/>
    <w:rsid w:val="007B125C"/>
    <w:rsid w:val="007B12A9"/>
    <w:rsid w:val="007B14DA"/>
    <w:rsid w:val="007B156A"/>
    <w:rsid w:val="007B1AD9"/>
    <w:rsid w:val="007B1C49"/>
    <w:rsid w:val="007B1E16"/>
    <w:rsid w:val="007B1F7E"/>
    <w:rsid w:val="007B20AE"/>
    <w:rsid w:val="007B20F1"/>
    <w:rsid w:val="007B2385"/>
    <w:rsid w:val="007B2857"/>
    <w:rsid w:val="007B2D47"/>
    <w:rsid w:val="007B2E9F"/>
    <w:rsid w:val="007B2EFE"/>
    <w:rsid w:val="007B2FB8"/>
    <w:rsid w:val="007B3245"/>
    <w:rsid w:val="007B35B5"/>
    <w:rsid w:val="007B36BA"/>
    <w:rsid w:val="007B37C3"/>
    <w:rsid w:val="007B380E"/>
    <w:rsid w:val="007B38D4"/>
    <w:rsid w:val="007B38E6"/>
    <w:rsid w:val="007B3958"/>
    <w:rsid w:val="007B3AA7"/>
    <w:rsid w:val="007B3ABB"/>
    <w:rsid w:val="007B3C52"/>
    <w:rsid w:val="007B4007"/>
    <w:rsid w:val="007B40A2"/>
    <w:rsid w:val="007B40B5"/>
    <w:rsid w:val="007B4148"/>
    <w:rsid w:val="007B4612"/>
    <w:rsid w:val="007B4814"/>
    <w:rsid w:val="007B4821"/>
    <w:rsid w:val="007B487B"/>
    <w:rsid w:val="007B4990"/>
    <w:rsid w:val="007B4BBC"/>
    <w:rsid w:val="007B4D80"/>
    <w:rsid w:val="007B4FC1"/>
    <w:rsid w:val="007B5066"/>
    <w:rsid w:val="007B515A"/>
    <w:rsid w:val="007B52A0"/>
    <w:rsid w:val="007B52F4"/>
    <w:rsid w:val="007B5920"/>
    <w:rsid w:val="007B5C37"/>
    <w:rsid w:val="007B5F52"/>
    <w:rsid w:val="007B5F9E"/>
    <w:rsid w:val="007B619A"/>
    <w:rsid w:val="007B6246"/>
    <w:rsid w:val="007B6298"/>
    <w:rsid w:val="007B62ED"/>
    <w:rsid w:val="007B674E"/>
    <w:rsid w:val="007B6761"/>
    <w:rsid w:val="007B67BF"/>
    <w:rsid w:val="007B6810"/>
    <w:rsid w:val="007B69BA"/>
    <w:rsid w:val="007B6D45"/>
    <w:rsid w:val="007B6D77"/>
    <w:rsid w:val="007B6F41"/>
    <w:rsid w:val="007B6F6E"/>
    <w:rsid w:val="007B6F7B"/>
    <w:rsid w:val="007B6F89"/>
    <w:rsid w:val="007B73DB"/>
    <w:rsid w:val="007B751D"/>
    <w:rsid w:val="007B7606"/>
    <w:rsid w:val="007B77C0"/>
    <w:rsid w:val="007B77C7"/>
    <w:rsid w:val="007B786E"/>
    <w:rsid w:val="007B78EF"/>
    <w:rsid w:val="007B799C"/>
    <w:rsid w:val="007B7CA5"/>
    <w:rsid w:val="007B7D65"/>
    <w:rsid w:val="007C03CD"/>
    <w:rsid w:val="007C04BD"/>
    <w:rsid w:val="007C0541"/>
    <w:rsid w:val="007C06D3"/>
    <w:rsid w:val="007C0B48"/>
    <w:rsid w:val="007C0DE6"/>
    <w:rsid w:val="007C0FAB"/>
    <w:rsid w:val="007C0FD7"/>
    <w:rsid w:val="007C14CA"/>
    <w:rsid w:val="007C15FD"/>
    <w:rsid w:val="007C17A0"/>
    <w:rsid w:val="007C17D0"/>
    <w:rsid w:val="007C17F6"/>
    <w:rsid w:val="007C1858"/>
    <w:rsid w:val="007C1FE5"/>
    <w:rsid w:val="007C2009"/>
    <w:rsid w:val="007C20C1"/>
    <w:rsid w:val="007C245E"/>
    <w:rsid w:val="007C2536"/>
    <w:rsid w:val="007C2582"/>
    <w:rsid w:val="007C261F"/>
    <w:rsid w:val="007C2A0C"/>
    <w:rsid w:val="007C2B3B"/>
    <w:rsid w:val="007C2DE3"/>
    <w:rsid w:val="007C317A"/>
    <w:rsid w:val="007C3482"/>
    <w:rsid w:val="007C3C82"/>
    <w:rsid w:val="007C3DEA"/>
    <w:rsid w:val="007C3E60"/>
    <w:rsid w:val="007C400F"/>
    <w:rsid w:val="007C49EB"/>
    <w:rsid w:val="007C4AD0"/>
    <w:rsid w:val="007C4BD7"/>
    <w:rsid w:val="007C4F38"/>
    <w:rsid w:val="007C5282"/>
    <w:rsid w:val="007C5321"/>
    <w:rsid w:val="007C56B1"/>
    <w:rsid w:val="007C56E5"/>
    <w:rsid w:val="007C5938"/>
    <w:rsid w:val="007C5A7C"/>
    <w:rsid w:val="007C5BC4"/>
    <w:rsid w:val="007C5D17"/>
    <w:rsid w:val="007C63BB"/>
    <w:rsid w:val="007C659E"/>
    <w:rsid w:val="007C6694"/>
    <w:rsid w:val="007C68F0"/>
    <w:rsid w:val="007C6935"/>
    <w:rsid w:val="007C6D3F"/>
    <w:rsid w:val="007C6DCA"/>
    <w:rsid w:val="007C7030"/>
    <w:rsid w:val="007C719D"/>
    <w:rsid w:val="007C7378"/>
    <w:rsid w:val="007C75CF"/>
    <w:rsid w:val="007C7879"/>
    <w:rsid w:val="007C7AC8"/>
    <w:rsid w:val="007C7BAF"/>
    <w:rsid w:val="007C7D62"/>
    <w:rsid w:val="007C7D9E"/>
    <w:rsid w:val="007C7DB9"/>
    <w:rsid w:val="007C7E64"/>
    <w:rsid w:val="007C7EC3"/>
    <w:rsid w:val="007C7F1A"/>
    <w:rsid w:val="007C7F28"/>
    <w:rsid w:val="007D013D"/>
    <w:rsid w:val="007D04E4"/>
    <w:rsid w:val="007D0664"/>
    <w:rsid w:val="007D07F4"/>
    <w:rsid w:val="007D0BCB"/>
    <w:rsid w:val="007D0CE8"/>
    <w:rsid w:val="007D0EF4"/>
    <w:rsid w:val="007D1025"/>
    <w:rsid w:val="007D10B2"/>
    <w:rsid w:val="007D1860"/>
    <w:rsid w:val="007D1C5C"/>
    <w:rsid w:val="007D1E6D"/>
    <w:rsid w:val="007D1F62"/>
    <w:rsid w:val="007D2014"/>
    <w:rsid w:val="007D22C2"/>
    <w:rsid w:val="007D293E"/>
    <w:rsid w:val="007D2BA6"/>
    <w:rsid w:val="007D2CD1"/>
    <w:rsid w:val="007D30C6"/>
    <w:rsid w:val="007D32AD"/>
    <w:rsid w:val="007D32B5"/>
    <w:rsid w:val="007D3561"/>
    <w:rsid w:val="007D35A4"/>
    <w:rsid w:val="007D35CC"/>
    <w:rsid w:val="007D36BE"/>
    <w:rsid w:val="007D386B"/>
    <w:rsid w:val="007D387D"/>
    <w:rsid w:val="007D3936"/>
    <w:rsid w:val="007D3A20"/>
    <w:rsid w:val="007D3A31"/>
    <w:rsid w:val="007D3E18"/>
    <w:rsid w:val="007D3FD9"/>
    <w:rsid w:val="007D4217"/>
    <w:rsid w:val="007D4285"/>
    <w:rsid w:val="007D443C"/>
    <w:rsid w:val="007D44EF"/>
    <w:rsid w:val="007D4B88"/>
    <w:rsid w:val="007D4CE7"/>
    <w:rsid w:val="007D4E1C"/>
    <w:rsid w:val="007D52E8"/>
    <w:rsid w:val="007D5376"/>
    <w:rsid w:val="007D5427"/>
    <w:rsid w:val="007D580F"/>
    <w:rsid w:val="007D5C1B"/>
    <w:rsid w:val="007D62ED"/>
    <w:rsid w:val="007D64EA"/>
    <w:rsid w:val="007D64FD"/>
    <w:rsid w:val="007D6553"/>
    <w:rsid w:val="007D65D8"/>
    <w:rsid w:val="007D69E4"/>
    <w:rsid w:val="007D6F53"/>
    <w:rsid w:val="007D7152"/>
    <w:rsid w:val="007D7159"/>
    <w:rsid w:val="007D71B6"/>
    <w:rsid w:val="007D724C"/>
    <w:rsid w:val="007D7318"/>
    <w:rsid w:val="007D73A9"/>
    <w:rsid w:val="007D7452"/>
    <w:rsid w:val="007D7541"/>
    <w:rsid w:val="007D7678"/>
    <w:rsid w:val="007D7EAD"/>
    <w:rsid w:val="007D7F0F"/>
    <w:rsid w:val="007E04FB"/>
    <w:rsid w:val="007E06D0"/>
    <w:rsid w:val="007E07A1"/>
    <w:rsid w:val="007E08C2"/>
    <w:rsid w:val="007E0C2E"/>
    <w:rsid w:val="007E0DAC"/>
    <w:rsid w:val="007E0EB1"/>
    <w:rsid w:val="007E0F35"/>
    <w:rsid w:val="007E1224"/>
    <w:rsid w:val="007E1463"/>
    <w:rsid w:val="007E1522"/>
    <w:rsid w:val="007E15FE"/>
    <w:rsid w:val="007E18AF"/>
    <w:rsid w:val="007E1BA1"/>
    <w:rsid w:val="007E1D6C"/>
    <w:rsid w:val="007E1DE5"/>
    <w:rsid w:val="007E1E66"/>
    <w:rsid w:val="007E1F34"/>
    <w:rsid w:val="007E201A"/>
    <w:rsid w:val="007E2393"/>
    <w:rsid w:val="007E24B8"/>
    <w:rsid w:val="007E25D8"/>
    <w:rsid w:val="007E26FA"/>
    <w:rsid w:val="007E2A54"/>
    <w:rsid w:val="007E2C40"/>
    <w:rsid w:val="007E3237"/>
    <w:rsid w:val="007E34DC"/>
    <w:rsid w:val="007E35DC"/>
    <w:rsid w:val="007E371E"/>
    <w:rsid w:val="007E38A5"/>
    <w:rsid w:val="007E397A"/>
    <w:rsid w:val="007E3A9E"/>
    <w:rsid w:val="007E42C7"/>
    <w:rsid w:val="007E4561"/>
    <w:rsid w:val="007E478D"/>
    <w:rsid w:val="007E47F3"/>
    <w:rsid w:val="007E4870"/>
    <w:rsid w:val="007E4896"/>
    <w:rsid w:val="007E4BF6"/>
    <w:rsid w:val="007E4ECA"/>
    <w:rsid w:val="007E5050"/>
    <w:rsid w:val="007E50D8"/>
    <w:rsid w:val="007E539A"/>
    <w:rsid w:val="007E5896"/>
    <w:rsid w:val="007E596D"/>
    <w:rsid w:val="007E5E69"/>
    <w:rsid w:val="007E5ED2"/>
    <w:rsid w:val="007E61C0"/>
    <w:rsid w:val="007E629C"/>
    <w:rsid w:val="007E644A"/>
    <w:rsid w:val="007E6651"/>
    <w:rsid w:val="007E67D4"/>
    <w:rsid w:val="007E68CE"/>
    <w:rsid w:val="007E6A1D"/>
    <w:rsid w:val="007E6A35"/>
    <w:rsid w:val="007E6A38"/>
    <w:rsid w:val="007E6AEB"/>
    <w:rsid w:val="007E6EAB"/>
    <w:rsid w:val="007E71C5"/>
    <w:rsid w:val="007E734A"/>
    <w:rsid w:val="007E75A7"/>
    <w:rsid w:val="007E7608"/>
    <w:rsid w:val="007E764C"/>
    <w:rsid w:val="007E77BD"/>
    <w:rsid w:val="007E789C"/>
    <w:rsid w:val="007E7D7D"/>
    <w:rsid w:val="007E7E9B"/>
    <w:rsid w:val="007F00EF"/>
    <w:rsid w:val="007F00FC"/>
    <w:rsid w:val="007F014C"/>
    <w:rsid w:val="007F0179"/>
    <w:rsid w:val="007F0277"/>
    <w:rsid w:val="007F02C9"/>
    <w:rsid w:val="007F02EE"/>
    <w:rsid w:val="007F082A"/>
    <w:rsid w:val="007F0A0F"/>
    <w:rsid w:val="007F0BFB"/>
    <w:rsid w:val="007F0D5C"/>
    <w:rsid w:val="007F10A1"/>
    <w:rsid w:val="007F126E"/>
    <w:rsid w:val="007F12EB"/>
    <w:rsid w:val="007F13D7"/>
    <w:rsid w:val="007F1409"/>
    <w:rsid w:val="007F1467"/>
    <w:rsid w:val="007F1564"/>
    <w:rsid w:val="007F1AAE"/>
    <w:rsid w:val="007F1D70"/>
    <w:rsid w:val="007F1E09"/>
    <w:rsid w:val="007F2340"/>
    <w:rsid w:val="007F278A"/>
    <w:rsid w:val="007F279A"/>
    <w:rsid w:val="007F27C9"/>
    <w:rsid w:val="007F2970"/>
    <w:rsid w:val="007F2A9E"/>
    <w:rsid w:val="007F2E8A"/>
    <w:rsid w:val="007F32C9"/>
    <w:rsid w:val="007F339A"/>
    <w:rsid w:val="007F3444"/>
    <w:rsid w:val="007F347E"/>
    <w:rsid w:val="007F3501"/>
    <w:rsid w:val="007F371E"/>
    <w:rsid w:val="007F3729"/>
    <w:rsid w:val="007F3AB7"/>
    <w:rsid w:val="007F472A"/>
    <w:rsid w:val="007F49A0"/>
    <w:rsid w:val="007F4B39"/>
    <w:rsid w:val="007F5165"/>
    <w:rsid w:val="007F516C"/>
    <w:rsid w:val="007F558E"/>
    <w:rsid w:val="007F5743"/>
    <w:rsid w:val="007F58AA"/>
    <w:rsid w:val="007F58B7"/>
    <w:rsid w:val="007F5A3D"/>
    <w:rsid w:val="007F5ACF"/>
    <w:rsid w:val="007F5AD8"/>
    <w:rsid w:val="007F5B79"/>
    <w:rsid w:val="007F5CDD"/>
    <w:rsid w:val="007F5F4E"/>
    <w:rsid w:val="007F64F0"/>
    <w:rsid w:val="007F66BE"/>
    <w:rsid w:val="007F683E"/>
    <w:rsid w:val="007F6A5F"/>
    <w:rsid w:val="007F6B50"/>
    <w:rsid w:val="007F72BB"/>
    <w:rsid w:val="007F73DF"/>
    <w:rsid w:val="007F76CB"/>
    <w:rsid w:val="007F7904"/>
    <w:rsid w:val="007F7B1B"/>
    <w:rsid w:val="007F7B73"/>
    <w:rsid w:val="007F7F0B"/>
    <w:rsid w:val="008000A5"/>
    <w:rsid w:val="008005AD"/>
    <w:rsid w:val="008006A9"/>
    <w:rsid w:val="00800723"/>
    <w:rsid w:val="0080091D"/>
    <w:rsid w:val="00800A8D"/>
    <w:rsid w:val="00800F86"/>
    <w:rsid w:val="00801336"/>
    <w:rsid w:val="00801680"/>
    <w:rsid w:val="008018AD"/>
    <w:rsid w:val="00801B02"/>
    <w:rsid w:val="00801B11"/>
    <w:rsid w:val="00801F5D"/>
    <w:rsid w:val="008021FE"/>
    <w:rsid w:val="008026C4"/>
    <w:rsid w:val="0080300A"/>
    <w:rsid w:val="00803212"/>
    <w:rsid w:val="0080339D"/>
    <w:rsid w:val="008033B7"/>
    <w:rsid w:val="00803510"/>
    <w:rsid w:val="0080371C"/>
    <w:rsid w:val="008038A8"/>
    <w:rsid w:val="00803958"/>
    <w:rsid w:val="0080395A"/>
    <w:rsid w:val="008039FA"/>
    <w:rsid w:val="00803B63"/>
    <w:rsid w:val="00803CA3"/>
    <w:rsid w:val="00803F53"/>
    <w:rsid w:val="00804116"/>
    <w:rsid w:val="00804158"/>
    <w:rsid w:val="00804612"/>
    <w:rsid w:val="00804AA0"/>
    <w:rsid w:val="00804BCE"/>
    <w:rsid w:val="00804D4D"/>
    <w:rsid w:val="00804EC6"/>
    <w:rsid w:val="00804F9A"/>
    <w:rsid w:val="008051B2"/>
    <w:rsid w:val="00805267"/>
    <w:rsid w:val="00805270"/>
    <w:rsid w:val="00805601"/>
    <w:rsid w:val="00805886"/>
    <w:rsid w:val="008058F4"/>
    <w:rsid w:val="00805AEA"/>
    <w:rsid w:val="00805C4D"/>
    <w:rsid w:val="00805D3B"/>
    <w:rsid w:val="0080612E"/>
    <w:rsid w:val="008061C6"/>
    <w:rsid w:val="00806293"/>
    <w:rsid w:val="00806738"/>
    <w:rsid w:val="00806799"/>
    <w:rsid w:val="00806AD1"/>
    <w:rsid w:val="00806D56"/>
    <w:rsid w:val="00806DFA"/>
    <w:rsid w:val="00806EE4"/>
    <w:rsid w:val="00806FD7"/>
    <w:rsid w:val="0080719C"/>
    <w:rsid w:val="00807286"/>
    <w:rsid w:val="0080757E"/>
    <w:rsid w:val="00807E4A"/>
    <w:rsid w:val="00807F2F"/>
    <w:rsid w:val="00807FC6"/>
    <w:rsid w:val="008104A0"/>
    <w:rsid w:val="00810761"/>
    <w:rsid w:val="008107A3"/>
    <w:rsid w:val="00810809"/>
    <w:rsid w:val="008108D0"/>
    <w:rsid w:val="008109EE"/>
    <w:rsid w:val="00810B2E"/>
    <w:rsid w:val="00810B4E"/>
    <w:rsid w:val="00810D84"/>
    <w:rsid w:val="00810DF1"/>
    <w:rsid w:val="0081102E"/>
    <w:rsid w:val="00811347"/>
    <w:rsid w:val="0081145A"/>
    <w:rsid w:val="0081149D"/>
    <w:rsid w:val="008114C1"/>
    <w:rsid w:val="008117F1"/>
    <w:rsid w:val="00811EC1"/>
    <w:rsid w:val="00811F58"/>
    <w:rsid w:val="00811F72"/>
    <w:rsid w:val="00812191"/>
    <w:rsid w:val="008124C8"/>
    <w:rsid w:val="00812687"/>
    <w:rsid w:val="008128A9"/>
    <w:rsid w:val="00812F2B"/>
    <w:rsid w:val="00813004"/>
    <w:rsid w:val="0081338A"/>
    <w:rsid w:val="008133E3"/>
    <w:rsid w:val="00813413"/>
    <w:rsid w:val="008136B3"/>
    <w:rsid w:val="008138F8"/>
    <w:rsid w:val="00813AD7"/>
    <w:rsid w:val="00813B97"/>
    <w:rsid w:val="008140D1"/>
    <w:rsid w:val="0081482A"/>
    <w:rsid w:val="00814856"/>
    <w:rsid w:val="00814A26"/>
    <w:rsid w:val="00814A53"/>
    <w:rsid w:val="00814D1A"/>
    <w:rsid w:val="008152E4"/>
    <w:rsid w:val="00815313"/>
    <w:rsid w:val="008154C7"/>
    <w:rsid w:val="00815670"/>
    <w:rsid w:val="00815868"/>
    <w:rsid w:val="00815876"/>
    <w:rsid w:val="00815BCF"/>
    <w:rsid w:val="00815C81"/>
    <w:rsid w:val="00815F69"/>
    <w:rsid w:val="00816151"/>
    <w:rsid w:val="008162B3"/>
    <w:rsid w:val="0081636A"/>
    <w:rsid w:val="008164BA"/>
    <w:rsid w:val="00816A67"/>
    <w:rsid w:val="00816AAE"/>
    <w:rsid w:val="00816C05"/>
    <w:rsid w:val="00816C82"/>
    <w:rsid w:val="00816C90"/>
    <w:rsid w:val="008171AD"/>
    <w:rsid w:val="00817280"/>
    <w:rsid w:val="008175DC"/>
    <w:rsid w:val="00817628"/>
    <w:rsid w:val="0081772A"/>
    <w:rsid w:val="008177E5"/>
    <w:rsid w:val="00817A30"/>
    <w:rsid w:val="00817A5B"/>
    <w:rsid w:val="00817AAF"/>
    <w:rsid w:val="00817C9B"/>
    <w:rsid w:val="00817DE3"/>
    <w:rsid w:val="00817F1D"/>
    <w:rsid w:val="008200D8"/>
    <w:rsid w:val="00820186"/>
    <w:rsid w:val="00820336"/>
    <w:rsid w:val="00820533"/>
    <w:rsid w:val="00820632"/>
    <w:rsid w:val="00820639"/>
    <w:rsid w:val="00820A9E"/>
    <w:rsid w:val="00820B9A"/>
    <w:rsid w:val="00820C2F"/>
    <w:rsid w:val="00820CA0"/>
    <w:rsid w:val="00820D76"/>
    <w:rsid w:val="00820E67"/>
    <w:rsid w:val="008210E2"/>
    <w:rsid w:val="008213A5"/>
    <w:rsid w:val="008215BE"/>
    <w:rsid w:val="00821A40"/>
    <w:rsid w:val="00821DC1"/>
    <w:rsid w:val="00821E9A"/>
    <w:rsid w:val="0082207A"/>
    <w:rsid w:val="0082211A"/>
    <w:rsid w:val="0082213A"/>
    <w:rsid w:val="0082232F"/>
    <w:rsid w:val="008224A6"/>
    <w:rsid w:val="00822741"/>
    <w:rsid w:val="008227BD"/>
    <w:rsid w:val="00822868"/>
    <w:rsid w:val="00822E5D"/>
    <w:rsid w:val="0082303E"/>
    <w:rsid w:val="008230AB"/>
    <w:rsid w:val="00823195"/>
    <w:rsid w:val="0082327D"/>
    <w:rsid w:val="008235EA"/>
    <w:rsid w:val="008235F0"/>
    <w:rsid w:val="008238A6"/>
    <w:rsid w:val="00823A91"/>
    <w:rsid w:val="00823A9D"/>
    <w:rsid w:val="00823E2F"/>
    <w:rsid w:val="00823E43"/>
    <w:rsid w:val="0082412A"/>
    <w:rsid w:val="008241E2"/>
    <w:rsid w:val="0082439A"/>
    <w:rsid w:val="0082455D"/>
    <w:rsid w:val="00824586"/>
    <w:rsid w:val="008246CD"/>
    <w:rsid w:val="008247C1"/>
    <w:rsid w:val="00824819"/>
    <w:rsid w:val="0082489F"/>
    <w:rsid w:val="008249C8"/>
    <w:rsid w:val="00824AF1"/>
    <w:rsid w:val="00824D70"/>
    <w:rsid w:val="00825342"/>
    <w:rsid w:val="00825557"/>
    <w:rsid w:val="00825606"/>
    <w:rsid w:val="008257EB"/>
    <w:rsid w:val="00825B31"/>
    <w:rsid w:val="00825EA4"/>
    <w:rsid w:val="00825F7A"/>
    <w:rsid w:val="00825FF3"/>
    <w:rsid w:val="00825FF8"/>
    <w:rsid w:val="0082643F"/>
    <w:rsid w:val="00826E1F"/>
    <w:rsid w:val="00826E79"/>
    <w:rsid w:val="00826F36"/>
    <w:rsid w:val="00826FE8"/>
    <w:rsid w:val="008272FB"/>
    <w:rsid w:val="0082769F"/>
    <w:rsid w:val="008278C1"/>
    <w:rsid w:val="00827A8D"/>
    <w:rsid w:val="00827B7A"/>
    <w:rsid w:val="00827F36"/>
    <w:rsid w:val="00830268"/>
    <w:rsid w:val="008305E5"/>
    <w:rsid w:val="00830676"/>
    <w:rsid w:val="00830772"/>
    <w:rsid w:val="008307C8"/>
    <w:rsid w:val="00830BE8"/>
    <w:rsid w:val="00830CDA"/>
    <w:rsid w:val="008311C0"/>
    <w:rsid w:val="0083191B"/>
    <w:rsid w:val="00831BB6"/>
    <w:rsid w:val="00831CA3"/>
    <w:rsid w:val="00831FD2"/>
    <w:rsid w:val="00831FFD"/>
    <w:rsid w:val="008324B7"/>
    <w:rsid w:val="00832512"/>
    <w:rsid w:val="00832630"/>
    <w:rsid w:val="008326E8"/>
    <w:rsid w:val="008329AE"/>
    <w:rsid w:val="00832A2C"/>
    <w:rsid w:val="00832E0F"/>
    <w:rsid w:val="00832F40"/>
    <w:rsid w:val="00833438"/>
    <w:rsid w:val="00833501"/>
    <w:rsid w:val="008339CE"/>
    <w:rsid w:val="00833BD6"/>
    <w:rsid w:val="00833EA9"/>
    <w:rsid w:val="00833EF6"/>
    <w:rsid w:val="00833FFD"/>
    <w:rsid w:val="008340E5"/>
    <w:rsid w:val="008341AB"/>
    <w:rsid w:val="0083424E"/>
    <w:rsid w:val="00834272"/>
    <w:rsid w:val="008344C3"/>
    <w:rsid w:val="00834560"/>
    <w:rsid w:val="00834697"/>
    <w:rsid w:val="00835010"/>
    <w:rsid w:val="008350D1"/>
    <w:rsid w:val="0083522F"/>
    <w:rsid w:val="00835284"/>
    <w:rsid w:val="008352CA"/>
    <w:rsid w:val="008354F3"/>
    <w:rsid w:val="00835503"/>
    <w:rsid w:val="00835578"/>
    <w:rsid w:val="00835814"/>
    <w:rsid w:val="00835A0A"/>
    <w:rsid w:val="00835C91"/>
    <w:rsid w:val="00835CE6"/>
    <w:rsid w:val="008360A6"/>
    <w:rsid w:val="00836100"/>
    <w:rsid w:val="008362F1"/>
    <w:rsid w:val="00836351"/>
    <w:rsid w:val="0083658C"/>
    <w:rsid w:val="00836625"/>
    <w:rsid w:val="0083695B"/>
    <w:rsid w:val="00836AA4"/>
    <w:rsid w:val="00836B41"/>
    <w:rsid w:val="00836F99"/>
    <w:rsid w:val="00837381"/>
    <w:rsid w:val="0083750F"/>
    <w:rsid w:val="008378DB"/>
    <w:rsid w:val="00837C0A"/>
    <w:rsid w:val="00837C0B"/>
    <w:rsid w:val="00837D38"/>
    <w:rsid w:val="00840033"/>
    <w:rsid w:val="008402A1"/>
    <w:rsid w:val="00840379"/>
    <w:rsid w:val="008403DB"/>
    <w:rsid w:val="0084042F"/>
    <w:rsid w:val="0084051F"/>
    <w:rsid w:val="00840822"/>
    <w:rsid w:val="00840CF6"/>
    <w:rsid w:val="00840EDA"/>
    <w:rsid w:val="0084126B"/>
    <w:rsid w:val="0084127B"/>
    <w:rsid w:val="00841348"/>
    <w:rsid w:val="00841551"/>
    <w:rsid w:val="00841F54"/>
    <w:rsid w:val="00841FB2"/>
    <w:rsid w:val="008420EA"/>
    <w:rsid w:val="0084219F"/>
    <w:rsid w:val="00842325"/>
    <w:rsid w:val="008424AF"/>
    <w:rsid w:val="008425C5"/>
    <w:rsid w:val="0084264D"/>
    <w:rsid w:val="0084268A"/>
    <w:rsid w:val="008427EF"/>
    <w:rsid w:val="00842A6B"/>
    <w:rsid w:val="00842B3C"/>
    <w:rsid w:val="00842C80"/>
    <w:rsid w:val="00842DF5"/>
    <w:rsid w:val="00842F51"/>
    <w:rsid w:val="008430C9"/>
    <w:rsid w:val="008431D9"/>
    <w:rsid w:val="0084357C"/>
    <w:rsid w:val="00843744"/>
    <w:rsid w:val="008437A2"/>
    <w:rsid w:val="00843D17"/>
    <w:rsid w:val="00843D58"/>
    <w:rsid w:val="00843F5A"/>
    <w:rsid w:val="0084445F"/>
    <w:rsid w:val="00844572"/>
    <w:rsid w:val="00844B06"/>
    <w:rsid w:val="00844E9A"/>
    <w:rsid w:val="008453EA"/>
    <w:rsid w:val="00845873"/>
    <w:rsid w:val="008458E8"/>
    <w:rsid w:val="00845A93"/>
    <w:rsid w:val="00845ABA"/>
    <w:rsid w:val="00845CCA"/>
    <w:rsid w:val="00845D1C"/>
    <w:rsid w:val="00845EEC"/>
    <w:rsid w:val="00845FDF"/>
    <w:rsid w:val="00846063"/>
    <w:rsid w:val="008461D4"/>
    <w:rsid w:val="008461D8"/>
    <w:rsid w:val="008466B0"/>
    <w:rsid w:val="00846722"/>
    <w:rsid w:val="00846933"/>
    <w:rsid w:val="00846CD9"/>
    <w:rsid w:val="00846D73"/>
    <w:rsid w:val="00846D8A"/>
    <w:rsid w:val="0084726C"/>
    <w:rsid w:val="0084776D"/>
    <w:rsid w:val="00847776"/>
    <w:rsid w:val="00847BC3"/>
    <w:rsid w:val="00847C0C"/>
    <w:rsid w:val="00847C84"/>
    <w:rsid w:val="00847C9B"/>
    <w:rsid w:val="00847DA7"/>
    <w:rsid w:val="00847DAE"/>
    <w:rsid w:val="0085002A"/>
    <w:rsid w:val="00850031"/>
    <w:rsid w:val="008501F4"/>
    <w:rsid w:val="008503F1"/>
    <w:rsid w:val="00850482"/>
    <w:rsid w:val="008505BC"/>
    <w:rsid w:val="00850775"/>
    <w:rsid w:val="00850A52"/>
    <w:rsid w:val="00850B4B"/>
    <w:rsid w:val="00850B5F"/>
    <w:rsid w:val="00850BF7"/>
    <w:rsid w:val="00850C58"/>
    <w:rsid w:val="00850D0B"/>
    <w:rsid w:val="00850DAF"/>
    <w:rsid w:val="008510A1"/>
    <w:rsid w:val="00851159"/>
    <w:rsid w:val="008513F2"/>
    <w:rsid w:val="0085146C"/>
    <w:rsid w:val="00851743"/>
    <w:rsid w:val="00851774"/>
    <w:rsid w:val="00851B7F"/>
    <w:rsid w:val="00851C39"/>
    <w:rsid w:val="00851E37"/>
    <w:rsid w:val="00851F3C"/>
    <w:rsid w:val="00851F8E"/>
    <w:rsid w:val="00851FD6"/>
    <w:rsid w:val="00852012"/>
    <w:rsid w:val="0085201D"/>
    <w:rsid w:val="00852060"/>
    <w:rsid w:val="008520E6"/>
    <w:rsid w:val="00852334"/>
    <w:rsid w:val="0085247F"/>
    <w:rsid w:val="00852493"/>
    <w:rsid w:val="00852AF8"/>
    <w:rsid w:val="00852C3A"/>
    <w:rsid w:val="00852C55"/>
    <w:rsid w:val="00852D20"/>
    <w:rsid w:val="00852D5A"/>
    <w:rsid w:val="00853002"/>
    <w:rsid w:val="00853273"/>
    <w:rsid w:val="00853584"/>
    <w:rsid w:val="0085368E"/>
    <w:rsid w:val="00853710"/>
    <w:rsid w:val="00853C0C"/>
    <w:rsid w:val="00853D36"/>
    <w:rsid w:val="00853D5A"/>
    <w:rsid w:val="0085429B"/>
    <w:rsid w:val="008543B2"/>
    <w:rsid w:val="008546B0"/>
    <w:rsid w:val="00854784"/>
    <w:rsid w:val="00854D4C"/>
    <w:rsid w:val="00854D58"/>
    <w:rsid w:val="00854E4B"/>
    <w:rsid w:val="008552C2"/>
    <w:rsid w:val="00855737"/>
    <w:rsid w:val="008558BB"/>
    <w:rsid w:val="00855EF3"/>
    <w:rsid w:val="00856135"/>
    <w:rsid w:val="00856143"/>
    <w:rsid w:val="0085614E"/>
    <w:rsid w:val="00856180"/>
    <w:rsid w:val="00856239"/>
    <w:rsid w:val="0085646D"/>
    <w:rsid w:val="0085660F"/>
    <w:rsid w:val="008567ED"/>
    <w:rsid w:val="008568BB"/>
    <w:rsid w:val="00856A17"/>
    <w:rsid w:val="00857044"/>
    <w:rsid w:val="00857156"/>
    <w:rsid w:val="008571A2"/>
    <w:rsid w:val="00857341"/>
    <w:rsid w:val="008577E3"/>
    <w:rsid w:val="00857AA7"/>
    <w:rsid w:val="00857D2E"/>
    <w:rsid w:val="00857FEA"/>
    <w:rsid w:val="0086020F"/>
    <w:rsid w:val="00860217"/>
    <w:rsid w:val="008604B8"/>
    <w:rsid w:val="008604E5"/>
    <w:rsid w:val="008605B7"/>
    <w:rsid w:val="00860604"/>
    <w:rsid w:val="008606B8"/>
    <w:rsid w:val="0086083A"/>
    <w:rsid w:val="00860BDD"/>
    <w:rsid w:val="00860CE6"/>
    <w:rsid w:val="00860DA4"/>
    <w:rsid w:val="00860EED"/>
    <w:rsid w:val="008612C0"/>
    <w:rsid w:val="0086146A"/>
    <w:rsid w:val="008619B4"/>
    <w:rsid w:val="00861AB8"/>
    <w:rsid w:val="00861E89"/>
    <w:rsid w:val="00861EA8"/>
    <w:rsid w:val="00861EFA"/>
    <w:rsid w:val="00861F2A"/>
    <w:rsid w:val="00861FA3"/>
    <w:rsid w:val="008623CB"/>
    <w:rsid w:val="008625DF"/>
    <w:rsid w:val="008626FC"/>
    <w:rsid w:val="00862858"/>
    <w:rsid w:val="0086295C"/>
    <w:rsid w:val="00862991"/>
    <w:rsid w:val="00862E65"/>
    <w:rsid w:val="00862F4B"/>
    <w:rsid w:val="008630EF"/>
    <w:rsid w:val="00863197"/>
    <w:rsid w:val="0086351D"/>
    <w:rsid w:val="00863614"/>
    <w:rsid w:val="0086365C"/>
    <w:rsid w:val="00863693"/>
    <w:rsid w:val="00863B3F"/>
    <w:rsid w:val="00864148"/>
    <w:rsid w:val="00864184"/>
    <w:rsid w:val="008641C6"/>
    <w:rsid w:val="008645C8"/>
    <w:rsid w:val="008647C3"/>
    <w:rsid w:val="00864817"/>
    <w:rsid w:val="00864CA1"/>
    <w:rsid w:val="00865175"/>
    <w:rsid w:val="0086523C"/>
    <w:rsid w:val="0086533D"/>
    <w:rsid w:val="00865492"/>
    <w:rsid w:val="008654A8"/>
    <w:rsid w:val="00865778"/>
    <w:rsid w:val="00865900"/>
    <w:rsid w:val="0086596B"/>
    <w:rsid w:val="00865A29"/>
    <w:rsid w:val="00865BA4"/>
    <w:rsid w:val="00865FAC"/>
    <w:rsid w:val="00866163"/>
    <w:rsid w:val="00866172"/>
    <w:rsid w:val="00866BE6"/>
    <w:rsid w:val="00866C71"/>
    <w:rsid w:val="00866CDE"/>
    <w:rsid w:val="008670B6"/>
    <w:rsid w:val="008671BC"/>
    <w:rsid w:val="00867A0D"/>
    <w:rsid w:val="00867C9A"/>
    <w:rsid w:val="00867D51"/>
    <w:rsid w:val="00867F55"/>
    <w:rsid w:val="00867F78"/>
    <w:rsid w:val="008700EF"/>
    <w:rsid w:val="008702AB"/>
    <w:rsid w:val="00870600"/>
    <w:rsid w:val="008708E3"/>
    <w:rsid w:val="0087095A"/>
    <w:rsid w:val="00870C4D"/>
    <w:rsid w:val="00870C66"/>
    <w:rsid w:val="00870F64"/>
    <w:rsid w:val="0087121F"/>
    <w:rsid w:val="0087130E"/>
    <w:rsid w:val="00871567"/>
    <w:rsid w:val="008716E0"/>
    <w:rsid w:val="0087195B"/>
    <w:rsid w:val="00871AC4"/>
    <w:rsid w:val="00871D6A"/>
    <w:rsid w:val="00871E9A"/>
    <w:rsid w:val="00871F19"/>
    <w:rsid w:val="00872011"/>
    <w:rsid w:val="00872135"/>
    <w:rsid w:val="0087219C"/>
    <w:rsid w:val="00872287"/>
    <w:rsid w:val="00872430"/>
    <w:rsid w:val="00872741"/>
    <w:rsid w:val="00872746"/>
    <w:rsid w:val="008727C0"/>
    <w:rsid w:val="00872805"/>
    <w:rsid w:val="00872CD8"/>
    <w:rsid w:val="00872F28"/>
    <w:rsid w:val="00872F4E"/>
    <w:rsid w:val="00872F74"/>
    <w:rsid w:val="00873044"/>
    <w:rsid w:val="00873055"/>
    <w:rsid w:val="008733E0"/>
    <w:rsid w:val="008733F9"/>
    <w:rsid w:val="0087352D"/>
    <w:rsid w:val="008739F4"/>
    <w:rsid w:val="00873C95"/>
    <w:rsid w:val="00873ED1"/>
    <w:rsid w:val="00874182"/>
    <w:rsid w:val="008742A8"/>
    <w:rsid w:val="008746DF"/>
    <w:rsid w:val="0087472C"/>
    <w:rsid w:val="00874F4B"/>
    <w:rsid w:val="00874F79"/>
    <w:rsid w:val="008750FF"/>
    <w:rsid w:val="00875104"/>
    <w:rsid w:val="00875DA9"/>
    <w:rsid w:val="0087607D"/>
    <w:rsid w:val="008766EC"/>
    <w:rsid w:val="00876C30"/>
    <w:rsid w:val="00876E12"/>
    <w:rsid w:val="0087713D"/>
    <w:rsid w:val="008771A6"/>
    <w:rsid w:val="00877290"/>
    <w:rsid w:val="008772BF"/>
    <w:rsid w:val="00877449"/>
    <w:rsid w:val="008779DB"/>
    <w:rsid w:val="00877EF7"/>
    <w:rsid w:val="00880B17"/>
    <w:rsid w:val="00880CF1"/>
    <w:rsid w:val="00880D8C"/>
    <w:rsid w:val="0088106F"/>
    <w:rsid w:val="008813B8"/>
    <w:rsid w:val="00881634"/>
    <w:rsid w:val="0088177C"/>
    <w:rsid w:val="00881A89"/>
    <w:rsid w:val="00881D45"/>
    <w:rsid w:val="00881E41"/>
    <w:rsid w:val="0088202E"/>
    <w:rsid w:val="00882141"/>
    <w:rsid w:val="00882344"/>
    <w:rsid w:val="00882463"/>
    <w:rsid w:val="008826C8"/>
    <w:rsid w:val="0088276E"/>
    <w:rsid w:val="0088279D"/>
    <w:rsid w:val="00882889"/>
    <w:rsid w:val="00882FBF"/>
    <w:rsid w:val="0088304B"/>
    <w:rsid w:val="008831FD"/>
    <w:rsid w:val="00883382"/>
    <w:rsid w:val="0088338A"/>
    <w:rsid w:val="008835B0"/>
    <w:rsid w:val="008838BF"/>
    <w:rsid w:val="00883972"/>
    <w:rsid w:val="00883D84"/>
    <w:rsid w:val="0088457C"/>
    <w:rsid w:val="00884A7F"/>
    <w:rsid w:val="00884CC7"/>
    <w:rsid w:val="008851D4"/>
    <w:rsid w:val="0088521D"/>
    <w:rsid w:val="00885318"/>
    <w:rsid w:val="008858D8"/>
    <w:rsid w:val="008858EF"/>
    <w:rsid w:val="00885A27"/>
    <w:rsid w:val="00885C54"/>
    <w:rsid w:val="00885E2F"/>
    <w:rsid w:val="00885F05"/>
    <w:rsid w:val="00885F53"/>
    <w:rsid w:val="00886205"/>
    <w:rsid w:val="00886211"/>
    <w:rsid w:val="008864EA"/>
    <w:rsid w:val="00886B25"/>
    <w:rsid w:val="00886D83"/>
    <w:rsid w:val="008872DB"/>
    <w:rsid w:val="008872F9"/>
    <w:rsid w:val="00887465"/>
    <w:rsid w:val="008877F9"/>
    <w:rsid w:val="00887BCD"/>
    <w:rsid w:val="00887C06"/>
    <w:rsid w:val="00887F79"/>
    <w:rsid w:val="00887FEA"/>
    <w:rsid w:val="008904CD"/>
    <w:rsid w:val="008906D7"/>
    <w:rsid w:val="00890881"/>
    <w:rsid w:val="00890CAF"/>
    <w:rsid w:val="00890D1D"/>
    <w:rsid w:val="00891188"/>
    <w:rsid w:val="00891395"/>
    <w:rsid w:val="008916FC"/>
    <w:rsid w:val="00891726"/>
    <w:rsid w:val="00891739"/>
    <w:rsid w:val="00891875"/>
    <w:rsid w:val="00891975"/>
    <w:rsid w:val="00891B57"/>
    <w:rsid w:val="00891BAA"/>
    <w:rsid w:val="00891BF4"/>
    <w:rsid w:val="00891CF9"/>
    <w:rsid w:val="00891D51"/>
    <w:rsid w:val="00891DA2"/>
    <w:rsid w:val="00891DF7"/>
    <w:rsid w:val="00891FF0"/>
    <w:rsid w:val="008922A9"/>
    <w:rsid w:val="00892CB9"/>
    <w:rsid w:val="00892FA8"/>
    <w:rsid w:val="00893582"/>
    <w:rsid w:val="0089364E"/>
    <w:rsid w:val="00893664"/>
    <w:rsid w:val="008937E2"/>
    <w:rsid w:val="00893A0B"/>
    <w:rsid w:val="00893E00"/>
    <w:rsid w:val="00893F61"/>
    <w:rsid w:val="00893F83"/>
    <w:rsid w:val="0089434F"/>
    <w:rsid w:val="008947D4"/>
    <w:rsid w:val="00894AA9"/>
    <w:rsid w:val="00894AD2"/>
    <w:rsid w:val="00894AD8"/>
    <w:rsid w:val="00894B42"/>
    <w:rsid w:val="00894CAC"/>
    <w:rsid w:val="00894EBF"/>
    <w:rsid w:val="008952EC"/>
    <w:rsid w:val="0089537A"/>
    <w:rsid w:val="00895388"/>
    <w:rsid w:val="008954C3"/>
    <w:rsid w:val="0089550A"/>
    <w:rsid w:val="00895549"/>
    <w:rsid w:val="008958DA"/>
    <w:rsid w:val="00895D67"/>
    <w:rsid w:val="00895EF7"/>
    <w:rsid w:val="00895F37"/>
    <w:rsid w:val="00896071"/>
    <w:rsid w:val="008960F2"/>
    <w:rsid w:val="0089623A"/>
    <w:rsid w:val="008962F7"/>
    <w:rsid w:val="0089634B"/>
    <w:rsid w:val="00896769"/>
    <w:rsid w:val="008968B7"/>
    <w:rsid w:val="00896C4B"/>
    <w:rsid w:val="00897803"/>
    <w:rsid w:val="00897AC0"/>
    <w:rsid w:val="00897C44"/>
    <w:rsid w:val="00897CC8"/>
    <w:rsid w:val="00897EB6"/>
    <w:rsid w:val="00897FF4"/>
    <w:rsid w:val="008A025F"/>
    <w:rsid w:val="008A0262"/>
    <w:rsid w:val="008A0328"/>
    <w:rsid w:val="008A08CC"/>
    <w:rsid w:val="008A098F"/>
    <w:rsid w:val="008A0BE5"/>
    <w:rsid w:val="008A0D5B"/>
    <w:rsid w:val="008A0EF2"/>
    <w:rsid w:val="008A0FE4"/>
    <w:rsid w:val="008A1056"/>
    <w:rsid w:val="008A12B6"/>
    <w:rsid w:val="008A1582"/>
    <w:rsid w:val="008A160E"/>
    <w:rsid w:val="008A1D94"/>
    <w:rsid w:val="008A1DB9"/>
    <w:rsid w:val="008A1DFC"/>
    <w:rsid w:val="008A20F6"/>
    <w:rsid w:val="008A20F9"/>
    <w:rsid w:val="008A24F2"/>
    <w:rsid w:val="008A269E"/>
    <w:rsid w:val="008A26E6"/>
    <w:rsid w:val="008A27EF"/>
    <w:rsid w:val="008A2813"/>
    <w:rsid w:val="008A28B0"/>
    <w:rsid w:val="008A2BE2"/>
    <w:rsid w:val="008A31EA"/>
    <w:rsid w:val="008A3319"/>
    <w:rsid w:val="008A3411"/>
    <w:rsid w:val="008A3591"/>
    <w:rsid w:val="008A36FD"/>
    <w:rsid w:val="008A3902"/>
    <w:rsid w:val="008A3BA4"/>
    <w:rsid w:val="008A3BBC"/>
    <w:rsid w:val="008A3C17"/>
    <w:rsid w:val="008A3E38"/>
    <w:rsid w:val="008A3E94"/>
    <w:rsid w:val="008A3FE1"/>
    <w:rsid w:val="008A4161"/>
    <w:rsid w:val="008A42C3"/>
    <w:rsid w:val="008A45DF"/>
    <w:rsid w:val="008A47DF"/>
    <w:rsid w:val="008A4AEC"/>
    <w:rsid w:val="008A4CF5"/>
    <w:rsid w:val="008A4D2F"/>
    <w:rsid w:val="008A540F"/>
    <w:rsid w:val="008A5B62"/>
    <w:rsid w:val="008A5D5C"/>
    <w:rsid w:val="008A5FA2"/>
    <w:rsid w:val="008A61F9"/>
    <w:rsid w:val="008A6218"/>
    <w:rsid w:val="008A628E"/>
    <w:rsid w:val="008A6290"/>
    <w:rsid w:val="008A6709"/>
    <w:rsid w:val="008A683C"/>
    <w:rsid w:val="008A6DC7"/>
    <w:rsid w:val="008A6E3D"/>
    <w:rsid w:val="008A7623"/>
    <w:rsid w:val="008A773A"/>
    <w:rsid w:val="008A78F7"/>
    <w:rsid w:val="008A7C02"/>
    <w:rsid w:val="008A7C42"/>
    <w:rsid w:val="008A7ECA"/>
    <w:rsid w:val="008B026A"/>
    <w:rsid w:val="008B060B"/>
    <w:rsid w:val="008B0B2F"/>
    <w:rsid w:val="008B0B69"/>
    <w:rsid w:val="008B0BE1"/>
    <w:rsid w:val="008B0C5F"/>
    <w:rsid w:val="008B0E10"/>
    <w:rsid w:val="008B0EAA"/>
    <w:rsid w:val="008B0EAC"/>
    <w:rsid w:val="008B0EC1"/>
    <w:rsid w:val="008B1087"/>
    <w:rsid w:val="008B1236"/>
    <w:rsid w:val="008B124B"/>
    <w:rsid w:val="008B128D"/>
    <w:rsid w:val="008B135A"/>
    <w:rsid w:val="008B13BE"/>
    <w:rsid w:val="008B1650"/>
    <w:rsid w:val="008B1679"/>
    <w:rsid w:val="008B1C89"/>
    <w:rsid w:val="008B1EBC"/>
    <w:rsid w:val="008B1F4C"/>
    <w:rsid w:val="008B1FFC"/>
    <w:rsid w:val="008B2338"/>
    <w:rsid w:val="008B2874"/>
    <w:rsid w:val="008B3243"/>
    <w:rsid w:val="008B339D"/>
    <w:rsid w:val="008B347B"/>
    <w:rsid w:val="008B364D"/>
    <w:rsid w:val="008B37E1"/>
    <w:rsid w:val="008B391C"/>
    <w:rsid w:val="008B393C"/>
    <w:rsid w:val="008B39AA"/>
    <w:rsid w:val="008B3F4C"/>
    <w:rsid w:val="008B4304"/>
    <w:rsid w:val="008B43A1"/>
    <w:rsid w:val="008B4BF4"/>
    <w:rsid w:val="008B4C4B"/>
    <w:rsid w:val="008B4D1F"/>
    <w:rsid w:val="008B4ECB"/>
    <w:rsid w:val="008B4F99"/>
    <w:rsid w:val="008B5104"/>
    <w:rsid w:val="008B5200"/>
    <w:rsid w:val="008B53A6"/>
    <w:rsid w:val="008B5731"/>
    <w:rsid w:val="008B598F"/>
    <w:rsid w:val="008B59D7"/>
    <w:rsid w:val="008B5BB1"/>
    <w:rsid w:val="008B5C2A"/>
    <w:rsid w:val="008B5F81"/>
    <w:rsid w:val="008B61F8"/>
    <w:rsid w:val="008B626A"/>
    <w:rsid w:val="008B6384"/>
    <w:rsid w:val="008B6469"/>
    <w:rsid w:val="008B664A"/>
    <w:rsid w:val="008B6685"/>
    <w:rsid w:val="008B6695"/>
    <w:rsid w:val="008B673F"/>
    <w:rsid w:val="008B6AB9"/>
    <w:rsid w:val="008B6B7E"/>
    <w:rsid w:val="008B6B91"/>
    <w:rsid w:val="008B6BA6"/>
    <w:rsid w:val="008B6FA9"/>
    <w:rsid w:val="008B6FFD"/>
    <w:rsid w:val="008B71B2"/>
    <w:rsid w:val="008B7347"/>
    <w:rsid w:val="008B75E9"/>
    <w:rsid w:val="008B7B7C"/>
    <w:rsid w:val="008B7B83"/>
    <w:rsid w:val="008B7C20"/>
    <w:rsid w:val="008B7E31"/>
    <w:rsid w:val="008B7E3E"/>
    <w:rsid w:val="008B7F37"/>
    <w:rsid w:val="008B7F73"/>
    <w:rsid w:val="008B7F7D"/>
    <w:rsid w:val="008C036F"/>
    <w:rsid w:val="008C0672"/>
    <w:rsid w:val="008C0817"/>
    <w:rsid w:val="008C0A45"/>
    <w:rsid w:val="008C0D24"/>
    <w:rsid w:val="008C0F7B"/>
    <w:rsid w:val="008C109A"/>
    <w:rsid w:val="008C117E"/>
    <w:rsid w:val="008C1623"/>
    <w:rsid w:val="008C167C"/>
    <w:rsid w:val="008C16BA"/>
    <w:rsid w:val="008C16C7"/>
    <w:rsid w:val="008C1993"/>
    <w:rsid w:val="008C1B91"/>
    <w:rsid w:val="008C1CF9"/>
    <w:rsid w:val="008C2106"/>
    <w:rsid w:val="008C237C"/>
    <w:rsid w:val="008C23A3"/>
    <w:rsid w:val="008C23B6"/>
    <w:rsid w:val="008C28D3"/>
    <w:rsid w:val="008C2A4E"/>
    <w:rsid w:val="008C2B88"/>
    <w:rsid w:val="008C2CF2"/>
    <w:rsid w:val="008C2D46"/>
    <w:rsid w:val="008C2DD1"/>
    <w:rsid w:val="008C2DEB"/>
    <w:rsid w:val="008C30A9"/>
    <w:rsid w:val="008C385F"/>
    <w:rsid w:val="008C3B7F"/>
    <w:rsid w:val="008C3C73"/>
    <w:rsid w:val="008C3DBF"/>
    <w:rsid w:val="008C3DF9"/>
    <w:rsid w:val="008C42AE"/>
    <w:rsid w:val="008C438F"/>
    <w:rsid w:val="008C4552"/>
    <w:rsid w:val="008C48E7"/>
    <w:rsid w:val="008C4C2E"/>
    <w:rsid w:val="008C4C7C"/>
    <w:rsid w:val="008C4C82"/>
    <w:rsid w:val="008C4E23"/>
    <w:rsid w:val="008C4FA4"/>
    <w:rsid w:val="008C5007"/>
    <w:rsid w:val="008C505E"/>
    <w:rsid w:val="008C527A"/>
    <w:rsid w:val="008C5367"/>
    <w:rsid w:val="008C5394"/>
    <w:rsid w:val="008C57FC"/>
    <w:rsid w:val="008C59CB"/>
    <w:rsid w:val="008C60C6"/>
    <w:rsid w:val="008C6214"/>
    <w:rsid w:val="008C643F"/>
    <w:rsid w:val="008C64CA"/>
    <w:rsid w:val="008C6781"/>
    <w:rsid w:val="008C6824"/>
    <w:rsid w:val="008C6E0F"/>
    <w:rsid w:val="008C6FDC"/>
    <w:rsid w:val="008C719A"/>
    <w:rsid w:val="008C77D2"/>
    <w:rsid w:val="008C7990"/>
    <w:rsid w:val="008C7A49"/>
    <w:rsid w:val="008C7A5C"/>
    <w:rsid w:val="008C7B36"/>
    <w:rsid w:val="008C7B52"/>
    <w:rsid w:val="008C7CA9"/>
    <w:rsid w:val="008C7F92"/>
    <w:rsid w:val="008C7FA2"/>
    <w:rsid w:val="008D0097"/>
    <w:rsid w:val="008D00C9"/>
    <w:rsid w:val="008D0116"/>
    <w:rsid w:val="008D0218"/>
    <w:rsid w:val="008D0441"/>
    <w:rsid w:val="008D0847"/>
    <w:rsid w:val="008D0B42"/>
    <w:rsid w:val="008D0EE5"/>
    <w:rsid w:val="008D0F44"/>
    <w:rsid w:val="008D1071"/>
    <w:rsid w:val="008D10A2"/>
    <w:rsid w:val="008D12A7"/>
    <w:rsid w:val="008D13C4"/>
    <w:rsid w:val="008D150F"/>
    <w:rsid w:val="008D17AA"/>
    <w:rsid w:val="008D17E1"/>
    <w:rsid w:val="008D199F"/>
    <w:rsid w:val="008D1C84"/>
    <w:rsid w:val="008D1F1E"/>
    <w:rsid w:val="008D20A1"/>
    <w:rsid w:val="008D22DB"/>
    <w:rsid w:val="008D2985"/>
    <w:rsid w:val="008D2BAE"/>
    <w:rsid w:val="008D2C94"/>
    <w:rsid w:val="008D2CA2"/>
    <w:rsid w:val="008D2D39"/>
    <w:rsid w:val="008D2E23"/>
    <w:rsid w:val="008D2E31"/>
    <w:rsid w:val="008D2EB9"/>
    <w:rsid w:val="008D30D1"/>
    <w:rsid w:val="008D30D4"/>
    <w:rsid w:val="008D31A4"/>
    <w:rsid w:val="008D34AC"/>
    <w:rsid w:val="008D365D"/>
    <w:rsid w:val="008D3943"/>
    <w:rsid w:val="008D399C"/>
    <w:rsid w:val="008D3BC9"/>
    <w:rsid w:val="008D3D0F"/>
    <w:rsid w:val="008D3E14"/>
    <w:rsid w:val="008D4122"/>
    <w:rsid w:val="008D42DB"/>
    <w:rsid w:val="008D4366"/>
    <w:rsid w:val="008D4592"/>
    <w:rsid w:val="008D4A8F"/>
    <w:rsid w:val="008D4C74"/>
    <w:rsid w:val="008D4E08"/>
    <w:rsid w:val="008D4FE9"/>
    <w:rsid w:val="008D50F8"/>
    <w:rsid w:val="008D524F"/>
    <w:rsid w:val="008D52AB"/>
    <w:rsid w:val="008D53D9"/>
    <w:rsid w:val="008D5624"/>
    <w:rsid w:val="008D56EF"/>
    <w:rsid w:val="008D5718"/>
    <w:rsid w:val="008D5848"/>
    <w:rsid w:val="008D58F7"/>
    <w:rsid w:val="008D592C"/>
    <w:rsid w:val="008D5962"/>
    <w:rsid w:val="008D5A33"/>
    <w:rsid w:val="008D5EAE"/>
    <w:rsid w:val="008D6017"/>
    <w:rsid w:val="008D609D"/>
    <w:rsid w:val="008D6166"/>
    <w:rsid w:val="008D61B4"/>
    <w:rsid w:val="008D62B8"/>
    <w:rsid w:val="008D63EC"/>
    <w:rsid w:val="008D6895"/>
    <w:rsid w:val="008D69F8"/>
    <w:rsid w:val="008D6CB6"/>
    <w:rsid w:val="008D6D78"/>
    <w:rsid w:val="008D6FCE"/>
    <w:rsid w:val="008D760C"/>
    <w:rsid w:val="008D767D"/>
    <w:rsid w:val="008D788C"/>
    <w:rsid w:val="008D79CD"/>
    <w:rsid w:val="008D79F4"/>
    <w:rsid w:val="008D7B6B"/>
    <w:rsid w:val="008D7D95"/>
    <w:rsid w:val="008D7E12"/>
    <w:rsid w:val="008D7E97"/>
    <w:rsid w:val="008D7F30"/>
    <w:rsid w:val="008D7FE9"/>
    <w:rsid w:val="008E00BF"/>
    <w:rsid w:val="008E02D7"/>
    <w:rsid w:val="008E0B95"/>
    <w:rsid w:val="008E0C11"/>
    <w:rsid w:val="008E0C7E"/>
    <w:rsid w:val="008E0D28"/>
    <w:rsid w:val="008E0FA2"/>
    <w:rsid w:val="008E1153"/>
    <w:rsid w:val="008E1448"/>
    <w:rsid w:val="008E1491"/>
    <w:rsid w:val="008E16DB"/>
    <w:rsid w:val="008E17A1"/>
    <w:rsid w:val="008E1B17"/>
    <w:rsid w:val="008E1BEA"/>
    <w:rsid w:val="008E1D21"/>
    <w:rsid w:val="008E1DBC"/>
    <w:rsid w:val="008E1DE6"/>
    <w:rsid w:val="008E200D"/>
    <w:rsid w:val="008E2013"/>
    <w:rsid w:val="008E222F"/>
    <w:rsid w:val="008E2425"/>
    <w:rsid w:val="008E247B"/>
    <w:rsid w:val="008E2520"/>
    <w:rsid w:val="008E2636"/>
    <w:rsid w:val="008E2791"/>
    <w:rsid w:val="008E2871"/>
    <w:rsid w:val="008E29A9"/>
    <w:rsid w:val="008E2A00"/>
    <w:rsid w:val="008E2AB2"/>
    <w:rsid w:val="008E2C2F"/>
    <w:rsid w:val="008E2CED"/>
    <w:rsid w:val="008E2E52"/>
    <w:rsid w:val="008E308F"/>
    <w:rsid w:val="008E32A9"/>
    <w:rsid w:val="008E3422"/>
    <w:rsid w:val="008E34B3"/>
    <w:rsid w:val="008E369A"/>
    <w:rsid w:val="008E36D8"/>
    <w:rsid w:val="008E36F9"/>
    <w:rsid w:val="008E3711"/>
    <w:rsid w:val="008E3810"/>
    <w:rsid w:val="008E3A77"/>
    <w:rsid w:val="008E3BE8"/>
    <w:rsid w:val="008E4418"/>
    <w:rsid w:val="008E44A9"/>
    <w:rsid w:val="008E473E"/>
    <w:rsid w:val="008E477C"/>
    <w:rsid w:val="008E4A03"/>
    <w:rsid w:val="008E4B32"/>
    <w:rsid w:val="008E51D5"/>
    <w:rsid w:val="008E52E9"/>
    <w:rsid w:val="008E52F9"/>
    <w:rsid w:val="008E5790"/>
    <w:rsid w:val="008E588F"/>
    <w:rsid w:val="008E59E7"/>
    <w:rsid w:val="008E60B7"/>
    <w:rsid w:val="008E6509"/>
    <w:rsid w:val="008E6521"/>
    <w:rsid w:val="008E6793"/>
    <w:rsid w:val="008E69C1"/>
    <w:rsid w:val="008E6B47"/>
    <w:rsid w:val="008E6F25"/>
    <w:rsid w:val="008E727A"/>
    <w:rsid w:val="008E731C"/>
    <w:rsid w:val="008E75F3"/>
    <w:rsid w:val="008E772A"/>
    <w:rsid w:val="008E7B52"/>
    <w:rsid w:val="008E7B57"/>
    <w:rsid w:val="008F02E3"/>
    <w:rsid w:val="008F034C"/>
    <w:rsid w:val="008F042F"/>
    <w:rsid w:val="008F0580"/>
    <w:rsid w:val="008F08FF"/>
    <w:rsid w:val="008F0918"/>
    <w:rsid w:val="008F0BC5"/>
    <w:rsid w:val="008F0EA2"/>
    <w:rsid w:val="008F123C"/>
    <w:rsid w:val="008F140F"/>
    <w:rsid w:val="008F15E0"/>
    <w:rsid w:val="008F17AC"/>
    <w:rsid w:val="008F17E7"/>
    <w:rsid w:val="008F18D2"/>
    <w:rsid w:val="008F19E1"/>
    <w:rsid w:val="008F1C4C"/>
    <w:rsid w:val="008F1D33"/>
    <w:rsid w:val="008F1DD9"/>
    <w:rsid w:val="008F227D"/>
    <w:rsid w:val="008F28C9"/>
    <w:rsid w:val="008F28CF"/>
    <w:rsid w:val="008F29B9"/>
    <w:rsid w:val="008F2DD4"/>
    <w:rsid w:val="008F301D"/>
    <w:rsid w:val="008F305C"/>
    <w:rsid w:val="008F3317"/>
    <w:rsid w:val="008F35B1"/>
    <w:rsid w:val="008F36ED"/>
    <w:rsid w:val="008F3709"/>
    <w:rsid w:val="008F3771"/>
    <w:rsid w:val="008F3900"/>
    <w:rsid w:val="008F3A93"/>
    <w:rsid w:val="008F3ADF"/>
    <w:rsid w:val="008F3D9C"/>
    <w:rsid w:val="008F3DC5"/>
    <w:rsid w:val="008F3E7B"/>
    <w:rsid w:val="008F3F20"/>
    <w:rsid w:val="008F429B"/>
    <w:rsid w:val="008F432A"/>
    <w:rsid w:val="008F4391"/>
    <w:rsid w:val="008F43A5"/>
    <w:rsid w:val="008F4455"/>
    <w:rsid w:val="008F44C7"/>
    <w:rsid w:val="008F45AE"/>
    <w:rsid w:val="008F45FE"/>
    <w:rsid w:val="008F489F"/>
    <w:rsid w:val="008F4A93"/>
    <w:rsid w:val="008F4D3C"/>
    <w:rsid w:val="008F54B1"/>
    <w:rsid w:val="008F5657"/>
    <w:rsid w:val="008F5707"/>
    <w:rsid w:val="008F5A90"/>
    <w:rsid w:val="008F5AC1"/>
    <w:rsid w:val="008F5AE6"/>
    <w:rsid w:val="008F5BCD"/>
    <w:rsid w:val="008F5D5E"/>
    <w:rsid w:val="008F5DF3"/>
    <w:rsid w:val="008F5F43"/>
    <w:rsid w:val="008F6200"/>
    <w:rsid w:val="008F6308"/>
    <w:rsid w:val="008F67A1"/>
    <w:rsid w:val="008F67AD"/>
    <w:rsid w:val="008F6847"/>
    <w:rsid w:val="008F6C37"/>
    <w:rsid w:val="008F6DCA"/>
    <w:rsid w:val="008F718E"/>
    <w:rsid w:val="008F7325"/>
    <w:rsid w:val="008F73B3"/>
    <w:rsid w:val="008F7562"/>
    <w:rsid w:val="008F78F6"/>
    <w:rsid w:val="008F7957"/>
    <w:rsid w:val="008F7B13"/>
    <w:rsid w:val="008F7B8B"/>
    <w:rsid w:val="008F7CED"/>
    <w:rsid w:val="0090001C"/>
    <w:rsid w:val="00900183"/>
    <w:rsid w:val="00900314"/>
    <w:rsid w:val="00900401"/>
    <w:rsid w:val="0090046F"/>
    <w:rsid w:val="00900492"/>
    <w:rsid w:val="009004C0"/>
    <w:rsid w:val="009004FB"/>
    <w:rsid w:val="009005C4"/>
    <w:rsid w:val="00900B7F"/>
    <w:rsid w:val="00900B9F"/>
    <w:rsid w:val="00900D42"/>
    <w:rsid w:val="00900D45"/>
    <w:rsid w:val="00900D4C"/>
    <w:rsid w:val="00900F79"/>
    <w:rsid w:val="009010AF"/>
    <w:rsid w:val="00901202"/>
    <w:rsid w:val="009012DA"/>
    <w:rsid w:val="0090130D"/>
    <w:rsid w:val="0090149D"/>
    <w:rsid w:val="009017BB"/>
    <w:rsid w:val="009018A9"/>
    <w:rsid w:val="0090193B"/>
    <w:rsid w:val="00901A88"/>
    <w:rsid w:val="00901AAA"/>
    <w:rsid w:val="00901B92"/>
    <w:rsid w:val="00901CBC"/>
    <w:rsid w:val="00901DB0"/>
    <w:rsid w:val="00901DD3"/>
    <w:rsid w:val="009023C8"/>
    <w:rsid w:val="00902682"/>
    <w:rsid w:val="009026A8"/>
    <w:rsid w:val="009026CC"/>
    <w:rsid w:val="00902707"/>
    <w:rsid w:val="0090282A"/>
    <w:rsid w:val="00902964"/>
    <w:rsid w:val="009029A2"/>
    <w:rsid w:val="00902BB4"/>
    <w:rsid w:val="00902C34"/>
    <w:rsid w:val="00902D42"/>
    <w:rsid w:val="00902E09"/>
    <w:rsid w:val="00902EBE"/>
    <w:rsid w:val="0090303A"/>
    <w:rsid w:val="009033B6"/>
    <w:rsid w:val="009033EA"/>
    <w:rsid w:val="00903420"/>
    <w:rsid w:val="00903505"/>
    <w:rsid w:val="00903548"/>
    <w:rsid w:val="009035E9"/>
    <w:rsid w:val="0090406C"/>
    <w:rsid w:val="00904191"/>
    <w:rsid w:val="009041D2"/>
    <w:rsid w:val="009041E0"/>
    <w:rsid w:val="00904217"/>
    <w:rsid w:val="009042A7"/>
    <w:rsid w:val="00904333"/>
    <w:rsid w:val="009043AD"/>
    <w:rsid w:val="00904667"/>
    <w:rsid w:val="009048D6"/>
    <w:rsid w:val="00904BBA"/>
    <w:rsid w:val="00904CEB"/>
    <w:rsid w:val="0090536F"/>
    <w:rsid w:val="00905374"/>
    <w:rsid w:val="009054AE"/>
    <w:rsid w:val="009054D5"/>
    <w:rsid w:val="009056C4"/>
    <w:rsid w:val="009059D4"/>
    <w:rsid w:val="00905B0B"/>
    <w:rsid w:val="00905D4A"/>
    <w:rsid w:val="00906113"/>
    <w:rsid w:val="0090649B"/>
    <w:rsid w:val="00906765"/>
    <w:rsid w:val="009068E0"/>
    <w:rsid w:val="009069B0"/>
    <w:rsid w:val="00906A91"/>
    <w:rsid w:val="00906AA6"/>
    <w:rsid w:val="00906B3A"/>
    <w:rsid w:val="00907217"/>
    <w:rsid w:val="0090723C"/>
    <w:rsid w:val="00907254"/>
    <w:rsid w:val="00907727"/>
    <w:rsid w:val="0090793D"/>
    <w:rsid w:val="00907B03"/>
    <w:rsid w:val="00907B27"/>
    <w:rsid w:val="00907B7F"/>
    <w:rsid w:val="00907C89"/>
    <w:rsid w:val="00907E34"/>
    <w:rsid w:val="0091013D"/>
    <w:rsid w:val="00910214"/>
    <w:rsid w:val="009102E7"/>
    <w:rsid w:val="009102EE"/>
    <w:rsid w:val="0091030E"/>
    <w:rsid w:val="00910634"/>
    <w:rsid w:val="00910940"/>
    <w:rsid w:val="009109E5"/>
    <w:rsid w:val="00910AD6"/>
    <w:rsid w:val="00910B45"/>
    <w:rsid w:val="00910CAB"/>
    <w:rsid w:val="0091112E"/>
    <w:rsid w:val="00911132"/>
    <w:rsid w:val="00911389"/>
    <w:rsid w:val="00911478"/>
    <w:rsid w:val="0091156C"/>
    <w:rsid w:val="009116D0"/>
    <w:rsid w:val="0091194D"/>
    <w:rsid w:val="00911D7D"/>
    <w:rsid w:val="00911DF1"/>
    <w:rsid w:val="00911E84"/>
    <w:rsid w:val="0091222D"/>
    <w:rsid w:val="009125A5"/>
    <w:rsid w:val="0091260B"/>
    <w:rsid w:val="00912783"/>
    <w:rsid w:val="00912EAF"/>
    <w:rsid w:val="009130E0"/>
    <w:rsid w:val="009130F7"/>
    <w:rsid w:val="009131BE"/>
    <w:rsid w:val="00913815"/>
    <w:rsid w:val="009138CD"/>
    <w:rsid w:val="009138FC"/>
    <w:rsid w:val="009139E7"/>
    <w:rsid w:val="00914043"/>
    <w:rsid w:val="009140EF"/>
    <w:rsid w:val="0091452B"/>
    <w:rsid w:val="00914692"/>
    <w:rsid w:val="00914767"/>
    <w:rsid w:val="00914871"/>
    <w:rsid w:val="00914A20"/>
    <w:rsid w:val="00914B9B"/>
    <w:rsid w:val="00914DC7"/>
    <w:rsid w:val="00914F80"/>
    <w:rsid w:val="00915135"/>
    <w:rsid w:val="009155C6"/>
    <w:rsid w:val="009155E1"/>
    <w:rsid w:val="00915786"/>
    <w:rsid w:val="00915CD8"/>
    <w:rsid w:val="00915CD9"/>
    <w:rsid w:val="00915D6A"/>
    <w:rsid w:val="00915D93"/>
    <w:rsid w:val="00915E21"/>
    <w:rsid w:val="0091614E"/>
    <w:rsid w:val="00916339"/>
    <w:rsid w:val="00916384"/>
    <w:rsid w:val="0091643B"/>
    <w:rsid w:val="009164BF"/>
    <w:rsid w:val="009166D6"/>
    <w:rsid w:val="009166E0"/>
    <w:rsid w:val="00916855"/>
    <w:rsid w:val="00916869"/>
    <w:rsid w:val="00916F05"/>
    <w:rsid w:val="00916F2D"/>
    <w:rsid w:val="00916F4C"/>
    <w:rsid w:val="0091728D"/>
    <w:rsid w:val="009174B1"/>
    <w:rsid w:val="009174D4"/>
    <w:rsid w:val="00917611"/>
    <w:rsid w:val="00917A52"/>
    <w:rsid w:val="00917ADC"/>
    <w:rsid w:val="00917DC8"/>
    <w:rsid w:val="00917EF9"/>
    <w:rsid w:val="009204AC"/>
    <w:rsid w:val="0092053C"/>
    <w:rsid w:val="00920968"/>
    <w:rsid w:val="00920FAB"/>
    <w:rsid w:val="00921050"/>
    <w:rsid w:val="0092138A"/>
    <w:rsid w:val="00921543"/>
    <w:rsid w:val="00921694"/>
    <w:rsid w:val="009216FD"/>
    <w:rsid w:val="0092179C"/>
    <w:rsid w:val="00921A58"/>
    <w:rsid w:val="00921BE6"/>
    <w:rsid w:val="00921EA3"/>
    <w:rsid w:val="00921F70"/>
    <w:rsid w:val="0092201D"/>
    <w:rsid w:val="009223A3"/>
    <w:rsid w:val="0092249D"/>
    <w:rsid w:val="009228BA"/>
    <w:rsid w:val="00922A19"/>
    <w:rsid w:val="00922AE3"/>
    <w:rsid w:val="00922CD9"/>
    <w:rsid w:val="0092321F"/>
    <w:rsid w:val="009234FF"/>
    <w:rsid w:val="0092358C"/>
    <w:rsid w:val="009238B6"/>
    <w:rsid w:val="00923B2D"/>
    <w:rsid w:val="00923CEE"/>
    <w:rsid w:val="0092429C"/>
    <w:rsid w:val="009242C3"/>
    <w:rsid w:val="0092441A"/>
    <w:rsid w:val="00924535"/>
    <w:rsid w:val="00924DAE"/>
    <w:rsid w:val="00924EE0"/>
    <w:rsid w:val="00924F68"/>
    <w:rsid w:val="0092507F"/>
    <w:rsid w:val="0092525D"/>
    <w:rsid w:val="0092534E"/>
    <w:rsid w:val="0092568E"/>
    <w:rsid w:val="00925714"/>
    <w:rsid w:val="00925884"/>
    <w:rsid w:val="00925D92"/>
    <w:rsid w:val="00925E79"/>
    <w:rsid w:val="00925F44"/>
    <w:rsid w:val="00926423"/>
    <w:rsid w:val="00926455"/>
    <w:rsid w:val="00926693"/>
    <w:rsid w:val="00926913"/>
    <w:rsid w:val="00926AB1"/>
    <w:rsid w:val="00926EF0"/>
    <w:rsid w:val="00926F0F"/>
    <w:rsid w:val="00926FB0"/>
    <w:rsid w:val="00927537"/>
    <w:rsid w:val="009276B0"/>
    <w:rsid w:val="009276D1"/>
    <w:rsid w:val="009277FB"/>
    <w:rsid w:val="00927938"/>
    <w:rsid w:val="00927D2D"/>
    <w:rsid w:val="00927DC1"/>
    <w:rsid w:val="00927E41"/>
    <w:rsid w:val="009307B6"/>
    <w:rsid w:val="009307BA"/>
    <w:rsid w:val="0093084D"/>
    <w:rsid w:val="00930950"/>
    <w:rsid w:val="00930B56"/>
    <w:rsid w:val="00930B68"/>
    <w:rsid w:val="00930C06"/>
    <w:rsid w:val="00930EA1"/>
    <w:rsid w:val="00930F25"/>
    <w:rsid w:val="009310DA"/>
    <w:rsid w:val="009312DB"/>
    <w:rsid w:val="009312FE"/>
    <w:rsid w:val="009321DF"/>
    <w:rsid w:val="009323B2"/>
    <w:rsid w:val="00932809"/>
    <w:rsid w:val="00932C2C"/>
    <w:rsid w:val="00932D59"/>
    <w:rsid w:val="00932E2C"/>
    <w:rsid w:val="00932F1F"/>
    <w:rsid w:val="009330DC"/>
    <w:rsid w:val="009331E2"/>
    <w:rsid w:val="009332A5"/>
    <w:rsid w:val="0093384D"/>
    <w:rsid w:val="00933AFE"/>
    <w:rsid w:val="00933E2C"/>
    <w:rsid w:val="009341E6"/>
    <w:rsid w:val="00934214"/>
    <w:rsid w:val="00934290"/>
    <w:rsid w:val="009342B4"/>
    <w:rsid w:val="009344D0"/>
    <w:rsid w:val="00934621"/>
    <w:rsid w:val="00934DFC"/>
    <w:rsid w:val="00934E62"/>
    <w:rsid w:val="00934FAC"/>
    <w:rsid w:val="00935028"/>
    <w:rsid w:val="00935196"/>
    <w:rsid w:val="009352D7"/>
    <w:rsid w:val="009355E4"/>
    <w:rsid w:val="00935BE4"/>
    <w:rsid w:val="00935C08"/>
    <w:rsid w:val="00935F2E"/>
    <w:rsid w:val="0093602B"/>
    <w:rsid w:val="00936680"/>
    <w:rsid w:val="009367DB"/>
    <w:rsid w:val="009368E0"/>
    <w:rsid w:val="00936C46"/>
    <w:rsid w:val="00936C78"/>
    <w:rsid w:val="00936D29"/>
    <w:rsid w:val="00937038"/>
    <w:rsid w:val="0093712F"/>
    <w:rsid w:val="00937268"/>
    <w:rsid w:val="00937281"/>
    <w:rsid w:val="009372B3"/>
    <w:rsid w:val="0093731B"/>
    <w:rsid w:val="0093739C"/>
    <w:rsid w:val="0093757C"/>
    <w:rsid w:val="00937584"/>
    <w:rsid w:val="00937967"/>
    <w:rsid w:val="00937A96"/>
    <w:rsid w:val="00937AB7"/>
    <w:rsid w:val="00937CA4"/>
    <w:rsid w:val="00937CDE"/>
    <w:rsid w:val="00937E40"/>
    <w:rsid w:val="00937F5C"/>
    <w:rsid w:val="00940333"/>
    <w:rsid w:val="00940373"/>
    <w:rsid w:val="009403A9"/>
    <w:rsid w:val="00940458"/>
    <w:rsid w:val="00940841"/>
    <w:rsid w:val="0094094E"/>
    <w:rsid w:val="00940B5F"/>
    <w:rsid w:val="00940E4D"/>
    <w:rsid w:val="009412AD"/>
    <w:rsid w:val="00941499"/>
    <w:rsid w:val="00941796"/>
    <w:rsid w:val="00941B7F"/>
    <w:rsid w:val="00941CA7"/>
    <w:rsid w:val="00941D53"/>
    <w:rsid w:val="009422F2"/>
    <w:rsid w:val="00942317"/>
    <w:rsid w:val="009428F3"/>
    <w:rsid w:val="00942A90"/>
    <w:rsid w:val="00942AEB"/>
    <w:rsid w:val="00942B6E"/>
    <w:rsid w:val="00943069"/>
    <w:rsid w:val="009430F0"/>
    <w:rsid w:val="0094317F"/>
    <w:rsid w:val="0094359D"/>
    <w:rsid w:val="00943897"/>
    <w:rsid w:val="009439EA"/>
    <w:rsid w:val="00943D76"/>
    <w:rsid w:val="00943E52"/>
    <w:rsid w:val="009440A2"/>
    <w:rsid w:val="00944446"/>
    <w:rsid w:val="0094444E"/>
    <w:rsid w:val="0094466A"/>
    <w:rsid w:val="00944B21"/>
    <w:rsid w:val="00944D03"/>
    <w:rsid w:val="00944E4A"/>
    <w:rsid w:val="00944E75"/>
    <w:rsid w:val="00944F70"/>
    <w:rsid w:val="00945007"/>
    <w:rsid w:val="00945498"/>
    <w:rsid w:val="00945555"/>
    <w:rsid w:val="009455FC"/>
    <w:rsid w:val="00945756"/>
    <w:rsid w:val="00945A1F"/>
    <w:rsid w:val="00945AA9"/>
    <w:rsid w:val="00945BDD"/>
    <w:rsid w:val="00945EB3"/>
    <w:rsid w:val="00945FB2"/>
    <w:rsid w:val="00946019"/>
    <w:rsid w:val="00946093"/>
    <w:rsid w:val="00946419"/>
    <w:rsid w:val="0094643D"/>
    <w:rsid w:val="009466B1"/>
    <w:rsid w:val="0094697F"/>
    <w:rsid w:val="00946C2D"/>
    <w:rsid w:val="00946DE1"/>
    <w:rsid w:val="00946E6C"/>
    <w:rsid w:val="0094708C"/>
    <w:rsid w:val="009471B6"/>
    <w:rsid w:val="00947402"/>
    <w:rsid w:val="009476E6"/>
    <w:rsid w:val="009477DE"/>
    <w:rsid w:val="009477E1"/>
    <w:rsid w:val="00947925"/>
    <w:rsid w:val="00947C0E"/>
    <w:rsid w:val="00950388"/>
    <w:rsid w:val="0095081B"/>
    <w:rsid w:val="009509C4"/>
    <w:rsid w:val="00950BC9"/>
    <w:rsid w:val="00950F6C"/>
    <w:rsid w:val="00951462"/>
    <w:rsid w:val="00951558"/>
    <w:rsid w:val="0095180C"/>
    <w:rsid w:val="0095224B"/>
    <w:rsid w:val="009523BE"/>
    <w:rsid w:val="009527FE"/>
    <w:rsid w:val="00952C39"/>
    <w:rsid w:val="00952F09"/>
    <w:rsid w:val="00952F6C"/>
    <w:rsid w:val="0095314C"/>
    <w:rsid w:val="0095322A"/>
    <w:rsid w:val="009533ED"/>
    <w:rsid w:val="0095359B"/>
    <w:rsid w:val="00953CE9"/>
    <w:rsid w:val="009544F9"/>
    <w:rsid w:val="00954609"/>
    <w:rsid w:val="009546DE"/>
    <w:rsid w:val="00954726"/>
    <w:rsid w:val="00954783"/>
    <w:rsid w:val="00954C8C"/>
    <w:rsid w:val="00954E54"/>
    <w:rsid w:val="0095545B"/>
    <w:rsid w:val="009555B9"/>
    <w:rsid w:val="009555BF"/>
    <w:rsid w:val="0095585B"/>
    <w:rsid w:val="009558B2"/>
    <w:rsid w:val="00955AE7"/>
    <w:rsid w:val="00955BBD"/>
    <w:rsid w:val="00955C20"/>
    <w:rsid w:val="00955C62"/>
    <w:rsid w:val="00955CF6"/>
    <w:rsid w:val="00956010"/>
    <w:rsid w:val="009561E2"/>
    <w:rsid w:val="00956AAC"/>
    <w:rsid w:val="00956B1E"/>
    <w:rsid w:val="00956BB2"/>
    <w:rsid w:val="009570A1"/>
    <w:rsid w:val="00957624"/>
    <w:rsid w:val="0095799B"/>
    <w:rsid w:val="009579FA"/>
    <w:rsid w:val="00957CF8"/>
    <w:rsid w:val="00957EBC"/>
    <w:rsid w:val="00957FB3"/>
    <w:rsid w:val="00960056"/>
    <w:rsid w:val="00960188"/>
    <w:rsid w:val="00960640"/>
    <w:rsid w:val="00960956"/>
    <w:rsid w:val="00960A95"/>
    <w:rsid w:val="00960CD6"/>
    <w:rsid w:val="00960D91"/>
    <w:rsid w:val="00960DC1"/>
    <w:rsid w:val="009610B9"/>
    <w:rsid w:val="009610D2"/>
    <w:rsid w:val="00961265"/>
    <w:rsid w:val="0096147F"/>
    <w:rsid w:val="009614F9"/>
    <w:rsid w:val="00961672"/>
    <w:rsid w:val="00961766"/>
    <w:rsid w:val="0096194C"/>
    <w:rsid w:val="00961AEC"/>
    <w:rsid w:val="00961BDD"/>
    <w:rsid w:val="00961D12"/>
    <w:rsid w:val="00961D27"/>
    <w:rsid w:val="00961D35"/>
    <w:rsid w:val="00961D9C"/>
    <w:rsid w:val="00961FF8"/>
    <w:rsid w:val="00962007"/>
    <w:rsid w:val="00962051"/>
    <w:rsid w:val="009621F4"/>
    <w:rsid w:val="00962449"/>
    <w:rsid w:val="00962587"/>
    <w:rsid w:val="0096260F"/>
    <w:rsid w:val="00962773"/>
    <w:rsid w:val="009629AE"/>
    <w:rsid w:val="00962D89"/>
    <w:rsid w:val="009631A7"/>
    <w:rsid w:val="009631BE"/>
    <w:rsid w:val="009633E8"/>
    <w:rsid w:val="00963439"/>
    <w:rsid w:val="00963514"/>
    <w:rsid w:val="0096357E"/>
    <w:rsid w:val="009636E4"/>
    <w:rsid w:val="00963857"/>
    <w:rsid w:val="0096385A"/>
    <w:rsid w:val="009638FD"/>
    <w:rsid w:val="00963AB3"/>
    <w:rsid w:val="00963B0B"/>
    <w:rsid w:val="00963B83"/>
    <w:rsid w:val="00963C48"/>
    <w:rsid w:val="00963CAC"/>
    <w:rsid w:val="00964350"/>
    <w:rsid w:val="009643A8"/>
    <w:rsid w:val="009643C3"/>
    <w:rsid w:val="0096463B"/>
    <w:rsid w:val="009646BD"/>
    <w:rsid w:val="009646EE"/>
    <w:rsid w:val="00964715"/>
    <w:rsid w:val="0096485C"/>
    <w:rsid w:val="00964896"/>
    <w:rsid w:val="00964B12"/>
    <w:rsid w:val="00964CEF"/>
    <w:rsid w:val="00964E60"/>
    <w:rsid w:val="00965220"/>
    <w:rsid w:val="0096538B"/>
    <w:rsid w:val="00965A90"/>
    <w:rsid w:val="00965C3D"/>
    <w:rsid w:val="00965DAB"/>
    <w:rsid w:val="00965DBC"/>
    <w:rsid w:val="00965E08"/>
    <w:rsid w:val="00965EC8"/>
    <w:rsid w:val="00965ED1"/>
    <w:rsid w:val="00965ED7"/>
    <w:rsid w:val="00965FB4"/>
    <w:rsid w:val="00966021"/>
    <w:rsid w:val="00966157"/>
    <w:rsid w:val="0096626E"/>
    <w:rsid w:val="009663FC"/>
    <w:rsid w:val="0096674A"/>
    <w:rsid w:val="0096680B"/>
    <w:rsid w:val="00966C47"/>
    <w:rsid w:val="00966C5F"/>
    <w:rsid w:val="00966E23"/>
    <w:rsid w:val="00966E33"/>
    <w:rsid w:val="009671C6"/>
    <w:rsid w:val="009671CB"/>
    <w:rsid w:val="00967490"/>
    <w:rsid w:val="00967699"/>
    <w:rsid w:val="00967810"/>
    <w:rsid w:val="009678FA"/>
    <w:rsid w:val="00967932"/>
    <w:rsid w:val="00967A28"/>
    <w:rsid w:val="00967BD1"/>
    <w:rsid w:val="00967C60"/>
    <w:rsid w:val="00967F52"/>
    <w:rsid w:val="0097066D"/>
    <w:rsid w:val="009709E5"/>
    <w:rsid w:val="00970B37"/>
    <w:rsid w:val="00970BA1"/>
    <w:rsid w:val="00970E80"/>
    <w:rsid w:val="00970E97"/>
    <w:rsid w:val="00971007"/>
    <w:rsid w:val="00971014"/>
    <w:rsid w:val="00971394"/>
    <w:rsid w:val="0097159C"/>
    <w:rsid w:val="009716A3"/>
    <w:rsid w:val="009720BF"/>
    <w:rsid w:val="00972294"/>
    <w:rsid w:val="00972549"/>
    <w:rsid w:val="009725A5"/>
    <w:rsid w:val="0097261D"/>
    <w:rsid w:val="00972789"/>
    <w:rsid w:val="009728CD"/>
    <w:rsid w:val="00972B14"/>
    <w:rsid w:val="00972CA1"/>
    <w:rsid w:val="00972D0B"/>
    <w:rsid w:val="00972D83"/>
    <w:rsid w:val="00972E9E"/>
    <w:rsid w:val="009733BD"/>
    <w:rsid w:val="00973412"/>
    <w:rsid w:val="00973512"/>
    <w:rsid w:val="0097358A"/>
    <w:rsid w:val="0097359F"/>
    <w:rsid w:val="00973C9D"/>
    <w:rsid w:val="00973E77"/>
    <w:rsid w:val="009743E4"/>
    <w:rsid w:val="0097451B"/>
    <w:rsid w:val="009748C3"/>
    <w:rsid w:val="009749FF"/>
    <w:rsid w:val="00974A14"/>
    <w:rsid w:val="00974A7A"/>
    <w:rsid w:val="00974DF1"/>
    <w:rsid w:val="00974ECA"/>
    <w:rsid w:val="00974FD7"/>
    <w:rsid w:val="0097542C"/>
    <w:rsid w:val="00975BFB"/>
    <w:rsid w:val="00975EC8"/>
    <w:rsid w:val="0097601F"/>
    <w:rsid w:val="00976020"/>
    <w:rsid w:val="00976170"/>
    <w:rsid w:val="009762C5"/>
    <w:rsid w:val="009764C9"/>
    <w:rsid w:val="00976725"/>
    <w:rsid w:val="00976CFE"/>
    <w:rsid w:val="00976E67"/>
    <w:rsid w:val="00977195"/>
    <w:rsid w:val="00977777"/>
    <w:rsid w:val="00977AB5"/>
    <w:rsid w:val="00977B59"/>
    <w:rsid w:val="00977C27"/>
    <w:rsid w:val="00977C29"/>
    <w:rsid w:val="00980147"/>
    <w:rsid w:val="009804AE"/>
    <w:rsid w:val="00980D28"/>
    <w:rsid w:val="00980E8E"/>
    <w:rsid w:val="00980FAE"/>
    <w:rsid w:val="009811CF"/>
    <w:rsid w:val="009812EC"/>
    <w:rsid w:val="0098138F"/>
    <w:rsid w:val="009814BA"/>
    <w:rsid w:val="00981678"/>
    <w:rsid w:val="00981727"/>
    <w:rsid w:val="00981799"/>
    <w:rsid w:val="00981C72"/>
    <w:rsid w:val="00981C9E"/>
    <w:rsid w:val="00981E55"/>
    <w:rsid w:val="00981F9E"/>
    <w:rsid w:val="0098212D"/>
    <w:rsid w:val="00982492"/>
    <w:rsid w:val="0098274B"/>
    <w:rsid w:val="0098292C"/>
    <w:rsid w:val="00982BCB"/>
    <w:rsid w:val="00982D79"/>
    <w:rsid w:val="00982E9A"/>
    <w:rsid w:val="00983130"/>
    <w:rsid w:val="009832D6"/>
    <w:rsid w:val="009835C1"/>
    <w:rsid w:val="00983634"/>
    <w:rsid w:val="009838C6"/>
    <w:rsid w:val="0098391B"/>
    <w:rsid w:val="00983D43"/>
    <w:rsid w:val="00983F50"/>
    <w:rsid w:val="009844EA"/>
    <w:rsid w:val="0098471A"/>
    <w:rsid w:val="00984775"/>
    <w:rsid w:val="009847CE"/>
    <w:rsid w:val="0098481A"/>
    <w:rsid w:val="00984A78"/>
    <w:rsid w:val="00984C64"/>
    <w:rsid w:val="00984EC9"/>
    <w:rsid w:val="00984EFE"/>
    <w:rsid w:val="00984F33"/>
    <w:rsid w:val="00985506"/>
    <w:rsid w:val="009857D3"/>
    <w:rsid w:val="00985BEA"/>
    <w:rsid w:val="00985C69"/>
    <w:rsid w:val="00985EED"/>
    <w:rsid w:val="0098603A"/>
    <w:rsid w:val="009860F9"/>
    <w:rsid w:val="0098610B"/>
    <w:rsid w:val="00986122"/>
    <w:rsid w:val="0098668D"/>
    <w:rsid w:val="0098670C"/>
    <w:rsid w:val="00986793"/>
    <w:rsid w:val="00986B52"/>
    <w:rsid w:val="00986DCD"/>
    <w:rsid w:val="00986EB8"/>
    <w:rsid w:val="00986EEA"/>
    <w:rsid w:val="00987115"/>
    <w:rsid w:val="00987259"/>
    <w:rsid w:val="009875E3"/>
    <w:rsid w:val="00987702"/>
    <w:rsid w:val="009879D1"/>
    <w:rsid w:val="00987A4C"/>
    <w:rsid w:val="00987D4D"/>
    <w:rsid w:val="00987E2E"/>
    <w:rsid w:val="00987E57"/>
    <w:rsid w:val="009903FF"/>
    <w:rsid w:val="009904DA"/>
    <w:rsid w:val="00990581"/>
    <w:rsid w:val="00990641"/>
    <w:rsid w:val="00990690"/>
    <w:rsid w:val="00990702"/>
    <w:rsid w:val="00990831"/>
    <w:rsid w:val="00990912"/>
    <w:rsid w:val="00990C34"/>
    <w:rsid w:val="00990CC9"/>
    <w:rsid w:val="00990DB2"/>
    <w:rsid w:val="00990E40"/>
    <w:rsid w:val="00990F83"/>
    <w:rsid w:val="0099128B"/>
    <w:rsid w:val="0099134E"/>
    <w:rsid w:val="00991856"/>
    <w:rsid w:val="009918ED"/>
    <w:rsid w:val="00991935"/>
    <w:rsid w:val="00991CD5"/>
    <w:rsid w:val="009922E4"/>
    <w:rsid w:val="00992528"/>
    <w:rsid w:val="0099276A"/>
    <w:rsid w:val="009927C6"/>
    <w:rsid w:val="00992A14"/>
    <w:rsid w:val="009932DC"/>
    <w:rsid w:val="0099332D"/>
    <w:rsid w:val="0099342C"/>
    <w:rsid w:val="0099347F"/>
    <w:rsid w:val="009934B6"/>
    <w:rsid w:val="009938EC"/>
    <w:rsid w:val="00993A21"/>
    <w:rsid w:val="00993C78"/>
    <w:rsid w:val="00993D1F"/>
    <w:rsid w:val="00993DC2"/>
    <w:rsid w:val="009940A6"/>
    <w:rsid w:val="00994111"/>
    <w:rsid w:val="009948E4"/>
    <w:rsid w:val="009948E5"/>
    <w:rsid w:val="00994A5F"/>
    <w:rsid w:val="00994A6E"/>
    <w:rsid w:val="00994CC4"/>
    <w:rsid w:val="00994CEF"/>
    <w:rsid w:val="00994DC8"/>
    <w:rsid w:val="00994EB6"/>
    <w:rsid w:val="00994FBE"/>
    <w:rsid w:val="00995126"/>
    <w:rsid w:val="00995682"/>
    <w:rsid w:val="009958AF"/>
    <w:rsid w:val="009958E6"/>
    <w:rsid w:val="009958E9"/>
    <w:rsid w:val="00995A62"/>
    <w:rsid w:val="00995B9D"/>
    <w:rsid w:val="00995C24"/>
    <w:rsid w:val="00995D0C"/>
    <w:rsid w:val="00995E44"/>
    <w:rsid w:val="00995E52"/>
    <w:rsid w:val="00995F76"/>
    <w:rsid w:val="0099609C"/>
    <w:rsid w:val="00996139"/>
    <w:rsid w:val="0099619C"/>
    <w:rsid w:val="009964A7"/>
    <w:rsid w:val="0099656A"/>
    <w:rsid w:val="009965E0"/>
    <w:rsid w:val="00996674"/>
    <w:rsid w:val="009967AA"/>
    <w:rsid w:val="009967D9"/>
    <w:rsid w:val="00996831"/>
    <w:rsid w:val="009968B5"/>
    <w:rsid w:val="00996972"/>
    <w:rsid w:val="00996AF0"/>
    <w:rsid w:val="00996B48"/>
    <w:rsid w:val="00996CD9"/>
    <w:rsid w:val="00996EC6"/>
    <w:rsid w:val="00996FEB"/>
    <w:rsid w:val="00997273"/>
    <w:rsid w:val="00997370"/>
    <w:rsid w:val="009973EF"/>
    <w:rsid w:val="00997447"/>
    <w:rsid w:val="00997516"/>
    <w:rsid w:val="00997715"/>
    <w:rsid w:val="00997741"/>
    <w:rsid w:val="0099796A"/>
    <w:rsid w:val="00997A4C"/>
    <w:rsid w:val="00997A7F"/>
    <w:rsid w:val="009A0031"/>
    <w:rsid w:val="009A029E"/>
    <w:rsid w:val="009A070B"/>
    <w:rsid w:val="009A0AFC"/>
    <w:rsid w:val="009A0D4B"/>
    <w:rsid w:val="009A1159"/>
    <w:rsid w:val="009A1177"/>
    <w:rsid w:val="009A1405"/>
    <w:rsid w:val="009A15C2"/>
    <w:rsid w:val="009A1974"/>
    <w:rsid w:val="009A1C83"/>
    <w:rsid w:val="009A1CCE"/>
    <w:rsid w:val="009A1DD5"/>
    <w:rsid w:val="009A1EBA"/>
    <w:rsid w:val="009A22DA"/>
    <w:rsid w:val="009A2468"/>
    <w:rsid w:val="009A24BF"/>
    <w:rsid w:val="009A2543"/>
    <w:rsid w:val="009A29DA"/>
    <w:rsid w:val="009A2B26"/>
    <w:rsid w:val="009A2B56"/>
    <w:rsid w:val="009A2DED"/>
    <w:rsid w:val="009A338C"/>
    <w:rsid w:val="009A347C"/>
    <w:rsid w:val="009A3705"/>
    <w:rsid w:val="009A3724"/>
    <w:rsid w:val="009A37DD"/>
    <w:rsid w:val="009A3811"/>
    <w:rsid w:val="009A3B68"/>
    <w:rsid w:val="009A3BD5"/>
    <w:rsid w:val="009A3C29"/>
    <w:rsid w:val="009A3E8D"/>
    <w:rsid w:val="009A3F7E"/>
    <w:rsid w:val="009A4311"/>
    <w:rsid w:val="009A4460"/>
    <w:rsid w:val="009A46E6"/>
    <w:rsid w:val="009A47EB"/>
    <w:rsid w:val="009A48D0"/>
    <w:rsid w:val="009A4B43"/>
    <w:rsid w:val="009A4CF0"/>
    <w:rsid w:val="009A5218"/>
    <w:rsid w:val="009A5490"/>
    <w:rsid w:val="009A55CE"/>
    <w:rsid w:val="009A5685"/>
    <w:rsid w:val="009A57AF"/>
    <w:rsid w:val="009A5F7B"/>
    <w:rsid w:val="009A69CF"/>
    <w:rsid w:val="009A6B20"/>
    <w:rsid w:val="009A6B25"/>
    <w:rsid w:val="009A6D14"/>
    <w:rsid w:val="009A6DFA"/>
    <w:rsid w:val="009A6E35"/>
    <w:rsid w:val="009A6E9A"/>
    <w:rsid w:val="009A7094"/>
    <w:rsid w:val="009A7181"/>
    <w:rsid w:val="009A71B7"/>
    <w:rsid w:val="009A722B"/>
    <w:rsid w:val="009A75BE"/>
    <w:rsid w:val="009A75CE"/>
    <w:rsid w:val="009A75D8"/>
    <w:rsid w:val="009A75E9"/>
    <w:rsid w:val="009A7D2A"/>
    <w:rsid w:val="009A7F1C"/>
    <w:rsid w:val="009B00B2"/>
    <w:rsid w:val="009B019C"/>
    <w:rsid w:val="009B03E1"/>
    <w:rsid w:val="009B0527"/>
    <w:rsid w:val="009B05D6"/>
    <w:rsid w:val="009B0B3D"/>
    <w:rsid w:val="009B0C30"/>
    <w:rsid w:val="009B0FE3"/>
    <w:rsid w:val="009B11E0"/>
    <w:rsid w:val="009B13D2"/>
    <w:rsid w:val="009B1510"/>
    <w:rsid w:val="009B1587"/>
    <w:rsid w:val="009B1751"/>
    <w:rsid w:val="009B1BA9"/>
    <w:rsid w:val="009B1E86"/>
    <w:rsid w:val="009B2343"/>
    <w:rsid w:val="009B2463"/>
    <w:rsid w:val="009B28F8"/>
    <w:rsid w:val="009B2D32"/>
    <w:rsid w:val="009B2F0B"/>
    <w:rsid w:val="009B3033"/>
    <w:rsid w:val="009B3058"/>
    <w:rsid w:val="009B30E6"/>
    <w:rsid w:val="009B3236"/>
    <w:rsid w:val="009B3262"/>
    <w:rsid w:val="009B3586"/>
    <w:rsid w:val="009B3635"/>
    <w:rsid w:val="009B369E"/>
    <w:rsid w:val="009B36A3"/>
    <w:rsid w:val="009B371D"/>
    <w:rsid w:val="009B3784"/>
    <w:rsid w:val="009B3A3A"/>
    <w:rsid w:val="009B3DB9"/>
    <w:rsid w:val="009B3EE7"/>
    <w:rsid w:val="009B3FCB"/>
    <w:rsid w:val="009B45EF"/>
    <w:rsid w:val="009B4704"/>
    <w:rsid w:val="009B478B"/>
    <w:rsid w:val="009B4950"/>
    <w:rsid w:val="009B4DBF"/>
    <w:rsid w:val="009B4E27"/>
    <w:rsid w:val="009B53F9"/>
    <w:rsid w:val="009B54CD"/>
    <w:rsid w:val="009B5517"/>
    <w:rsid w:val="009B5616"/>
    <w:rsid w:val="009B5668"/>
    <w:rsid w:val="009B5E35"/>
    <w:rsid w:val="009B6186"/>
    <w:rsid w:val="009B6479"/>
    <w:rsid w:val="009B64FA"/>
    <w:rsid w:val="009B6663"/>
    <w:rsid w:val="009B6764"/>
    <w:rsid w:val="009B68B0"/>
    <w:rsid w:val="009B6A20"/>
    <w:rsid w:val="009B6A3D"/>
    <w:rsid w:val="009B6DAD"/>
    <w:rsid w:val="009B6DF8"/>
    <w:rsid w:val="009B6F04"/>
    <w:rsid w:val="009B70AF"/>
    <w:rsid w:val="009B728C"/>
    <w:rsid w:val="009B7401"/>
    <w:rsid w:val="009B7794"/>
    <w:rsid w:val="009B78F9"/>
    <w:rsid w:val="009B7C60"/>
    <w:rsid w:val="009B7EF5"/>
    <w:rsid w:val="009C0095"/>
    <w:rsid w:val="009C0349"/>
    <w:rsid w:val="009C04AB"/>
    <w:rsid w:val="009C055B"/>
    <w:rsid w:val="009C0A31"/>
    <w:rsid w:val="009C0AA2"/>
    <w:rsid w:val="009C0C8D"/>
    <w:rsid w:val="009C0EA6"/>
    <w:rsid w:val="009C0EE3"/>
    <w:rsid w:val="009C11C5"/>
    <w:rsid w:val="009C1487"/>
    <w:rsid w:val="009C15ED"/>
    <w:rsid w:val="009C1750"/>
    <w:rsid w:val="009C176C"/>
    <w:rsid w:val="009C17E1"/>
    <w:rsid w:val="009C184D"/>
    <w:rsid w:val="009C1D61"/>
    <w:rsid w:val="009C1D6C"/>
    <w:rsid w:val="009C1EA6"/>
    <w:rsid w:val="009C2536"/>
    <w:rsid w:val="009C2768"/>
    <w:rsid w:val="009C2862"/>
    <w:rsid w:val="009C2A1D"/>
    <w:rsid w:val="009C2A79"/>
    <w:rsid w:val="009C2AF6"/>
    <w:rsid w:val="009C3601"/>
    <w:rsid w:val="009C36C8"/>
    <w:rsid w:val="009C37D5"/>
    <w:rsid w:val="009C3915"/>
    <w:rsid w:val="009C3A75"/>
    <w:rsid w:val="009C3AD5"/>
    <w:rsid w:val="009C3C4A"/>
    <w:rsid w:val="009C3F13"/>
    <w:rsid w:val="009C400E"/>
    <w:rsid w:val="009C403F"/>
    <w:rsid w:val="009C436A"/>
    <w:rsid w:val="009C441F"/>
    <w:rsid w:val="009C460C"/>
    <w:rsid w:val="009C46CB"/>
    <w:rsid w:val="009C48CA"/>
    <w:rsid w:val="009C48DB"/>
    <w:rsid w:val="009C4DD0"/>
    <w:rsid w:val="009C5176"/>
    <w:rsid w:val="009C55C1"/>
    <w:rsid w:val="009C5624"/>
    <w:rsid w:val="009C57A0"/>
    <w:rsid w:val="009C5C9C"/>
    <w:rsid w:val="009C5F5C"/>
    <w:rsid w:val="009C678E"/>
    <w:rsid w:val="009C67CE"/>
    <w:rsid w:val="009C67ED"/>
    <w:rsid w:val="009C6910"/>
    <w:rsid w:val="009C6A24"/>
    <w:rsid w:val="009C6AB5"/>
    <w:rsid w:val="009C6E53"/>
    <w:rsid w:val="009C6E6F"/>
    <w:rsid w:val="009C6EA9"/>
    <w:rsid w:val="009C6EF7"/>
    <w:rsid w:val="009C7284"/>
    <w:rsid w:val="009C7375"/>
    <w:rsid w:val="009C760E"/>
    <w:rsid w:val="009C7631"/>
    <w:rsid w:val="009C773B"/>
    <w:rsid w:val="009C7790"/>
    <w:rsid w:val="009C77BE"/>
    <w:rsid w:val="009C7A7D"/>
    <w:rsid w:val="009C7AC3"/>
    <w:rsid w:val="009C7CD4"/>
    <w:rsid w:val="009C7EA3"/>
    <w:rsid w:val="009D0023"/>
    <w:rsid w:val="009D0495"/>
    <w:rsid w:val="009D079F"/>
    <w:rsid w:val="009D0DA9"/>
    <w:rsid w:val="009D0E3F"/>
    <w:rsid w:val="009D1209"/>
    <w:rsid w:val="009D12AA"/>
    <w:rsid w:val="009D13AE"/>
    <w:rsid w:val="009D16F5"/>
    <w:rsid w:val="009D19E4"/>
    <w:rsid w:val="009D1C37"/>
    <w:rsid w:val="009D1F7C"/>
    <w:rsid w:val="009D24FA"/>
    <w:rsid w:val="009D2619"/>
    <w:rsid w:val="009D284F"/>
    <w:rsid w:val="009D28ED"/>
    <w:rsid w:val="009D2BF6"/>
    <w:rsid w:val="009D2E33"/>
    <w:rsid w:val="009D2EED"/>
    <w:rsid w:val="009D337B"/>
    <w:rsid w:val="009D3517"/>
    <w:rsid w:val="009D3572"/>
    <w:rsid w:val="009D36A7"/>
    <w:rsid w:val="009D3753"/>
    <w:rsid w:val="009D38D1"/>
    <w:rsid w:val="009D3951"/>
    <w:rsid w:val="009D3A40"/>
    <w:rsid w:val="009D3A9A"/>
    <w:rsid w:val="009D3AAC"/>
    <w:rsid w:val="009D3B78"/>
    <w:rsid w:val="009D3C63"/>
    <w:rsid w:val="009D3D35"/>
    <w:rsid w:val="009D3D43"/>
    <w:rsid w:val="009D3E7F"/>
    <w:rsid w:val="009D3EBF"/>
    <w:rsid w:val="009D3ED4"/>
    <w:rsid w:val="009D3F42"/>
    <w:rsid w:val="009D44BC"/>
    <w:rsid w:val="009D4505"/>
    <w:rsid w:val="009D48E2"/>
    <w:rsid w:val="009D4BBB"/>
    <w:rsid w:val="009D5171"/>
    <w:rsid w:val="009D52FA"/>
    <w:rsid w:val="009D5345"/>
    <w:rsid w:val="009D5397"/>
    <w:rsid w:val="009D57AF"/>
    <w:rsid w:val="009D5AC9"/>
    <w:rsid w:val="009D5C52"/>
    <w:rsid w:val="009D5D78"/>
    <w:rsid w:val="009D622B"/>
    <w:rsid w:val="009D63D5"/>
    <w:rsid w:val="009D6484"/>
    <w:rsid w:val="009D6485"/>
    <w:rsid w:val="009D64B9"/>
    <w:rsid w:val="009D670A"/>
    <w:rsid w:val="009D6CA9"/>
    <w:rsid w:val="009D6CFB"/>
    <w:rsid w:val="009D6D9C"/>
    <w:rsid w:val="009D7212"/>
    <w:rsid w:val="009D72AD"/>
    <w:rsid w:val="009D757A"/>
    <w:rsid w:val="009D781F"/>
    <w:rsid w:val="009D78D2"/>
    <w:rsid w:val="009D78F1"/>
    <w:rsid w:val="009D79B4"/>
    <w:rsid w:val="009E0199"/>
    <w:rsid w:val="009E0386"/>
    <w:rsid w:val="009E039E"/>
    <w:rsid w:val="009E0786"/>
    <w:rsid w:val="009E09EE"/>
    <w:rsid w:val="009E0B56"/>
    <w:rsid w:val="009E0E5F"/>
    <w:rsid w:val="009E1287"/>
    <w:rsid w:val="009E13FC"/>
    <w:rsid w:val="009E1438"/>
    <w:rsid w:val="009E1763"/>
    <w:rsid w:val="009E1E8B"/>
    <w:rsid w:val="009E200B"/>
    <w:rsid w:val="009E22A9"/>
    <w:rsid w:val="009E25D5"/>
    <w:rsid w:val="009E26F1"/>
    <w:rsid w:val="009E2BC1"/>
    <w:rsid w:val="009E2CBF"/>
    <w:rsid w:val="009E2DC2"/>
    <w:rsid w:val="009E2F16"/>
    <w:rsid w:val="009E2F5C"/>
    <w:rsid w:val="009E34AA"/>
    <w:rsid w:val="009E3B2E"/>
    <w:rsid w:val="009E3BDA"/>
    <w:rsid w:val="009E489F"/>
    <w:rsid w:val="009E48A9"/>
    <w:rsid w:val="009E4E02"/>
    <w:rsid w:val="009E4E43"/>
    <w:rsid w:val="009E4E8E"/>
    <w:rsid w:val="009E5056"/>
    <w:rsid w:val="009E50A3"/>
    <w:rsid w:val="009E53DC"/>
    <w:rsid w:val="009E5875"/>
    <w:rsid w:val="009E58E4"/>
    <w:rsid w:val="009E59D0"/>
    <w:rsid w:val="009E5D6D"/>
    <w:rsid w:val="009E600F"/>
    <w:rsid w:val="009E62A3"/>
    <w:rsid w:val="009E6419"/>
    <w:rsid w:val="009E6502"/>
    <w:rsid w:val="009E66C8"/>
    <w:rsid w:val="009E6C79"/>
    <w:rsid w:val="009E6C7C"/>
    <w:rsid w:val="009E6CEA"/>
    <w:rsid w:val="009E6EC7"/>
    <w:rsid w:val="009E6F22"/>
    <w:rsid w:val="009E70BB"/>
    <w:rsid w:val="009E71C8"/>
    <w:rsid w:val="009E7203"/>
    <w:rsid w:val="009E72AA"/>
    <w:rsid w:val="009E7449"/>
    <w:rsid w:val="009E74E0"/>
    <w:rsid w:val="009E7569"/>
    <w:rsid w:val="009E7818"/>
    <w:rsid w:val="009E7D9F"/>
    <w:rsid w:val="009F01F4"/>
    <w:rsid w:val="009F042F"/>
    <w:rsid w:val="009F0682"/>
    <w:rsid w:val="009F077E"/>
    <w:rsid w:val="009F0C60"/>
    <w:rsid w:val="009F1035"/>
    <w:rsid w:val="009F12EB"/>
    <w:rsid w:val="009F1D38"/>
    <w:rsid w:val="009F1E58"/>
    <w:rsid w:val="009F214B"/>
    <w:rsid w:val="009F21D6"/>
    <w:rsid w:val="009F2322"/>
    <w:rsid w:val="009F286C"/>
    <w:rsid w:val="009F2954"/>
    <w:rsid w:val="009F29A3"/>
    <w:rsid w:val="009F2B65"/>
    <w:rsid w:val="009F2C86"/>
    <w:rsid w:val="009F326B"/>
    <w:rsid w:val="009F3375"/>
    <w:rsid w:val="009F33C2"/>
    <w:rsid w:val="009F35FF"/>
    <w:rsid w:val="009F3694"/>
    <w:rsid w:val="009F3A5F"/>
    <w:rsid w:val="009F3AB5"/>
    <w:rsid w:val="009F3B68"/>
    <w:rsid w:val="009F3D4C"/>
    <w:rsid w:val="009F3D76"/>
    <w:rsid w:val="009F3E36"/>
    <w:rsid w:val="009F3F52"/>
    <w:rsid w:val="009F40FF"/>
    <w:rsid w:val="009F41A7"/>
    <w:rsid w:val="009F438B"/>
    <w:rsid w:val="009F4627"/>
    <w:rsid w:val="009F4BC0"/>
    <w:rsid w:val="009F4CDB"/>
    <w:rsid w:val="009F4E24"/>
    <w:rsid w:val="009F4EBB"/>
    <w:rsid w:val="009F50D9"/>
    <w:rsid w:val="009F5147"/>
    <w:rsid w:val="009F558D"/>
    <w:rsid w:val="009F55E6"/>
    <w:rsid w:val="009F561A"/>
    <w:rsid w:val="009F576A"/>
    <w:rsid w:val="009F62C8"/>
    <w:rsid w:val="009F6599"/>
    <w:rsid w:val="009F67A5"/>
    <w:rsid w:val="009F6822"/>
    <w:rsid w:val="009F6860"/>
    <w:rsid w:val="009F6919"/>
    <w:rsid w:val="009F69B6"/>
    <w:rsid w:val="009F6A6B"/>
    <w:rsid w:val="009F6ABF"/>
    <w:rsid w:val="009F6F5A"/>
    <w:rsid w:val="009F7113"/>
    <w:rsid w:val="009F79F6"/>
    <w:rsid w:val="009F7A0C"/>
    <w:rsid w:val="009F7AAC"/>
    <w:rsid w:val="009F7CBA"/>
    <w:rsid w:val="009F7EF0"/>
    <w:rsid w:val="00A00022"/>
    <w:rsid w:val="00A0006B"/>
    <w:rsid w:val="00A00180"/>
    <w:rsid w:val="00A00766"/>
    <w:rsid w:val="00A007DB"/>
    <w:rsid w:val="00A007ED"/>
    <w:rsid w:val="00A0097F"/>
    <w:rsid w:val="00A00999"/>
    <w:rsid w:val="00A00A62"/>
    <w:rsid w:val="00A00A69"/>
    <w:rsid w:val="00A00F64"/>
    <w:rsid w:val="00A012B5"/>
    <w:rsid w:val="00A01413"/>
    <w:rsid w:val="00A014FB"/>
    <w:rsid w:val="00A01801"/>
    <w:rsid w:val="00A0193C"/>
    <w:rsid w:val="00A01A9B"/>
    <w:rsid w:val="00A01B3B"/>
    <w:rsid w:val="00A01DDC"/>
    <w:rsid w:val="00A02039"/>
    <w:rsid w:val="00A021C9"/>
    <w:rsid w:val="00A02313"/>
    <w:rsid w:val="00A02361"/>
    <w:rsid w:val="00A023F7"/>
    <w:rsid w:val="00A02457"/>
    <w:rsid w:val="00A025C3"/>
    <w:rsid w:val="00A0276A"/>
    <w:rsid w:val="00A02EC6"/>
    <w:rsid w:val="00A0330A"/>
    <w:rsid w:val="00A034B7"/>
    <w:rsid w:val="00A0350B"/>
    <w:rsid w:val="00A0377B"/>
    <w:rsid w:val="00A03824"/>
    <w:rsid w:val="00A03B88"/>
    <w:rsid w:val="00A03C78"/>
    <w:rsid w:val="00A0435B"/>
    <w:rsid w:val="00A043C0"/>
    <w:rsid w:val="00A04406"/>
    <w:rsid w:val="00A0480B"/>
    <w:rsid w:val="00A04A14"/>
    <w:rsid w:val="00A04DE4"/>
    <w:rsid w:val="00A05016"/>
    <w:rsid w:val="00A05187"/>
    <w:rsid w:val="00A0524D"/>
    <w:rsid w:val="00A0525A"/>
    <w:rsid w:val="00A052B7"/>
    <w:rsid w:val="00A05384"/>
    <w:rsid w:val="00A05747"/>
    <w:rsid w:val="00A058DD"/>
    <w:rsid w:val="00A058EA"/>
    <w:rsid w:val="00A0597D"/>
    <w:rsid w:val="00A05CEF"/>
    <w:rsid w:val="00A062ED"/>
    <w:rsid w:val="00A0631A"/>
    <w:rsid w:val="00A0636F"/>
    <w:rsid w:val="00A066DA"/>
    <w:rsid w:val="00A068E4"/>
    <w:rsid w:val="00A06987"/>
    <w:rsid w:val="00A069F7"/>
    <w:rsid w:val="00A06B0D"/>
    <w:rsid w:val="00A06CAD"/>
    <w:rsid w:val="00A06E19"/>
    <w:rsid w:val="00A06EB7"/>
    <w:rsid w:val="00A07038"/>
    <w:rsid w:val="00A07074"/>
    <w:rsid w:val="00A072CF"/>
    <w:rsid w:val="00A072E7"/>
    <w:rsid w:val="00A0741B"/>
    <w:rsid w:val="00A07741"/>
    <w:rsid w:val="00A077DB"/>
    <w:rsid w:val="00A07992"/>
    <w:rsid w:val="00A07F32"/>
    <w:rsid w:val="00A07F55"/>
    <w:rsid w:val="00A07FAF"/>
    <w:rsid w:val="00A0E405"/>
    <w:rsid w:val="00A1068E"/>
    <w:rsid w:val="00A1077A"/>
    <w:rsid w:val="00A107D1"/>
    <w:rsid w:val="00A1080C"/>
    <w:rsid w:val="00A108A5"/>
    <w:rsid w:val="00A10923"/>
    <w:rsid w:val="00A109E5"/>
    <w:rsid w:val="00A10A16"/>
    <w:rsid w:val="00A10BFD"/>
    <w:rsid w:val="00A10D37"/>
    <w:rsid w:val="00A10E6A"/>
    <w:rsid w:val="00A10E94"/>
    <w:rsid w:val="00A1156E"/>
    <w:rsid w:val="00A11785"/>
    <w:rsid w:val="00A11ADD"/>
    <w:rsid w:val="00A11B2C"/>
    <w:rsid w:val="00A11C11"/>
    <w:rsid w:val="00A11C5E"/>
    <w:rsid w:val="00A11D9E"/>
    <w:rsid w:val="00A11F90"/>
    <w:rsid w:val="00A12099"/>
    <w:rsid w:val="00A1209E"/>
    <w:rsid w:val="00A12155"/>
    <w:rsid w:val="00A12A73"/>
    <w:rsid w:val="00A12D9E"/>
    <w:rsid w:val="00A12F54"/>
    <w:rsid w:val="00A133B9"/>
    <w:rsid w:val="00A137BB"/>
    <w:rsid w:val="00A1381E"/>
    <w:rsid w:val="00A13957"/>
    <w:rsid w:val="00A13A9F"/>
    <w:rsid w:val="00A13BFA"/>
    <w:rsid w:val="00A13C6A"/>
    <w:rsid w:val="00A13DCB"/>
    <w:rsid w:val="00A1415B"/>
    <w:rsid w:val="00A14239"/>
    <w:rsid w:val="00A14435"/>
    <w:rsid w:val="00A14481"/>
    <w:rsid w:val="00A14638"/>
    <w:rsid w:val="00A1464E"/>
    <w:rsid w:val="00A147E6"/>
    <w:rsid w:val="00A14902"/>
    <w:rsid w:val="00A149E5"/>
    <w:rsid w:val="00A14A1E"/>
    <w:rsid w:val="00A14B50"/>
    <w:rsid w:val="00A14C64"/>
    <w:rsid w:val="00A14DF6"/>
    <w:rsid w:val="00A14EBB"/>
    <w:rsid w:val="00A15138"/>
    <w:rsid w:val="00A15404"/>
    <w:rsid w:val="00A15741"/>
    <w:rsid w:val="00A15BC1"/>
    <w:rsid w:val="00A15E71"/>
    <w:rsid w:val="00A1601F"/>
    <w:rsid w:val="00A160A2"/>
    <w:rsid w:val="00A161E0"/>
    <w:rsid w:val="00A16287"/>
    <w:rsid w:val="00A16A08"/>
    <w:rsid w:val="00A16C81"/>
    <w:rsid w:val="00A16D2A"/>
    <w:rsid w:val="00A16DA3"/>
    <w:rsid w:val="00A170D7"/>
    <w:rsid w:val="00A170E2"/>
    <w:rsid w:val="00A17165"/>
    <w:rsid w:val="00A174D9"/>
    <w:rsid w:val="00A17533"/>
    <w:rsid w:val="00A1762A"/>
    <w:rsid w:val="00A176F8"/>
    <w:rsid w:val="00A17829"/>
    <w:rsid w:val="00A17ACD"/>
    <w:rsid w:val="00A17AF8"/>
    <w:rsid w:val="00A17BA6"/>
    <w:rsid w:val="00A17BC8"/>
    <w:rsid w:val="00A17C92"/>
    <w:rsid w:val="00A20255"/>
    <w:rsid w:val="00A202D2"/>
    <w:rsid w:val="00A2041B"/>
    <w:rsid w:val="00A2047F"/>
    <w:rsid w:val="00A20676"/>
    <w:rsid w:val="00A20836"/>
    <w:rsid w:val="00A20BA9"/>
    <w:rsid w:val="00A20FF2"/>
    <w:rsid w:val="00A21043"/>
    <w:rsid w:val="00A21104"/>
    <w:rsid w:val="00A21470"/>
    <w:rsid w:val="00A216FE"/>
    <w:rsid w:val="00A21ABB"/>
    <w:rsid w:val="00A220A1"/>
    <w:rsid w:val="00A2236E"/>
    <w:rsid w:val="00A22578"/>
    <w:rsid w:val="00A225EF"/>
    <w:rsid w:val="00A22B8F"/>
    <w:rsid w:val="00A22C05"/>
    <w:rsid w:val="00A22F59"/>
    <w:rsid w:val="00A22F9B"/>
    <w:rsid w:val="00A231A8"/>
    <w:rsid w:val="00A234AD"/>
    <w:rsid w:val="00A23861"/>
    <w:rsid w:val="00A238B2"/>
    <w:rsid w:val="00A2391A"/>
    <w:rsid w:val="00A23A22"/>
    <w:rsid w:val="00A23B9E"/>
    <w:rsid w:val="00A23CDB"/>
    <w:rsid w:val="00A23DDC"/>
    <w:rsid w:val="00A240BE"/>
    <w:rsid w:val="00A242DA"/>
    <w:rsid w:val="00A2495D"/>
    <w:rsid w:val="00A24968"/>
    <w:rsid w:val="00A24BA5"/>
    <w:rsid w:val="00A24CB4"/>
    <w:rsid w:val="00A24D77"/>
    <w:rsid w:val="00A24F23"/>
    <w:rsid w:val="00A2567A"/>
    <w:rsid w:val="00A257AC"/>
    <w:rsid w:val="00A25873"/>
    <w:rsid w:val="00A259AA"/>
    <w:rsid w:val="00A25BC8"/>
    <w:rsid w:val="00A25D81"/>
    <w:rsid w:val="00A261A0"/>
    <w:rsid w:val="00A26438"/>
    <w:rsid w:val="00A2658D"/>
    <w:rsid w:val="00A2669B"/>
    <w:rsid w:val="00A2678E"/>
    <w:rsid w:val="00A26837"/>
    <w:rsid w:val="00A26877"/>
    <w:rsid w:val="00A26A08"/>
    <w:rsid w:val="00A26A87"/>
    <w:rsid w:val="00A26B65"/>
    <w:rsid w:val="00A26E40"/>
    <w:rsid w:val="00A26E47"/>
    <w:rsid w:val="00A2740B"/>
    <w:rsid w:val="00A2755A"/>
    <w:rsid w:val="00A2789E"/>
    <w:rsid w:val="00A27BF9"/>
    <w:rsid w:val="00A27D81"/>
    <w:rsid w:val="00A27DEC"/>
    <w:rsid w:val="00A27E71"/>
    <w:rsid w:val="00A3031A"/>
    <w:rsid w:val="00A30656"/>
    <w:rsid w:val="00A306F8"/>
    <w:rsid w:val="00A3073F"/>
    <w:rsid w:val="00A308C6"/>
    <w:rsid w:val="00A30F4B"/>
    <w:rsid w:val="00A30F73"/>
    <w:rsid w:val="00A30FB4"/>
    <w:rsid w:val="00A3102E"/>
    <w:rsid w:val="00A31132"/>
    <w:rsid w:val="00A311D8"/>
    <w:rsid w:val="00A315AB"/>
    <w:rsid w:val="00A31661"/>
    <w:rsid w:val="00A3178F"/>
    <w:rsid w:val="00A317AF"/>
    <w:rsid w:val="00A317CD"/>
    <w:rsid w:val="00A317F9"/>
    <w:rsid w:val="00A31B79"/>
    <w:rsid w:val="00A31CAE"/>
    <w:rsid w:val="00A32115"/>
    <w:rsid w:val="00A327C4"/>
    <w:rsid w:val="00A32B9C"/>
    <w:rsid w:val="00A32BB9"/>
    <w:rsid w:val="00A32D69"/>
    <w:rsid w:val="00A32E6F"/>
    <w:rsid w:val="00A331F5"/>
    <w:rsid w:val="00A33200"/>
    <w:rsid w:val="00A33242"/>
    <w:rsid w:val="00A33381"/>
    <w:rsid w:val="00A33425"/>
    <w:rsid w:val="00A334E7"/>
    <w:rsid w:val="00A33AD5"/>
    <w:rsid w:val="00A33B5D"/>
    <w:rsid w:val="00A33C24"/>
    <w:rsid w:val="00A33E5E"/>
    <w:rsid w:val="00A340FB"/>
    <w:rsid w:val="00A343EE"/>
    <w:rsid w:val="00A34475"/>
    <w:rsid w:val="00A344A0"/>
    <w:rsid w:val="00A3453E"/>
    <w:rsid w:val="00A345F3"/>
    <w:rsid w:val="00A34675"/>
    <w:rsid w:val="00A346AB"/>
    <w:rsid w:val="00A34840"/>
    <w:rsid w:val="00A349A5"/>
    <w:rsid w:val="00A34AC8"/>
    <w:rsid w:val="00A34B3E"/>
    <w:rsid w:val="00A34D62"/>
    <w:rsid w:val="00A34FC1"/>
    <w:rsid w:val="00A35097"/>
    <w:rsid w:val="00A35213"/>
    <w:rsid w:val="00A352C5"/>
    <w:rsid w:val="00A35471"/>
    <w:rsid w:val="00A35566"/>
    <w:rsid w:val="00A357F2"/>
    <w:rsid w:val="00A359D7"/>
    <w:rsid w:val="00A35A7B"/>
    <w:rsid w:val="00A35A91"/>
    <w:rsid w:val="00A35B89"/>
    <w:rsid w:val="00A35F97"/>
    <w:rsid w:val="00A36169"/>
    <w:rsid w:val="00A36643"/>
    <w:rsid w:val="00A36A6A"/>
    <w:rsid w:val="00A37277"/>
    <w:rsid w:val="00A374F8"/>
    <w:rsid w:val="00A375E9"/>
    <w:rsid w:val="00A37790"/>
    <w:rsid w:val="00A401BA"/>
    <w:rsid w:val="00A40471"/>
    <w:rsid w:val="00A40520"/>
    <w:rsid w:val="00A4076B"/>
    <w:rsid w:val="00A40983"/>
    <w:rsid w:val="00A40B54"/>
    <w:rsid w:val="00A40EB5"/>
    <w:rsid w:val="00A40F09"/>
    <w:rsid w:val="00A40F48"/>
    <w:rsid w:val="00A41076"/>
    <w:rsid w:val="00A41097"/>
    <w:rsid w:val="00A4131E"/>
    <w:rsid w:val="00A4193A"/>
    <w:rsid w:val="00A41945"/>
    <w:rsid w:val="00A41F84"/>
    <w:rsid w:val="00A4203F"/>
    <w:rsid w:val="00A424AE"/>
    <w:rsid w:val="00A424CA"/>
    <w:rsid w:val="00A42633"/>
    <w:rsid w:val="00A42839"/>
    <w:rsid w:val="00A428D7"/>
    <w:rsid w:val="00A429F5"/>
    <w:rsid w:val="00A42E82"/>
    <w:rsid w:val="00A43531"/>
    <w:rsid w:val="00A43775"/>
    <w:rsid w:val="00A437F1"/>
    <w:rsid w:val="00A4383A"/>
    <w:rsid w:val="00A43BCE"/>
    <w:rsid w:val="00A43DE8"/>
    <w:rsid w:val="00A43ED1"/>
    <w:rsid w:val="00A43EEE"/>
    <w:rsid w:val="00A4428C"/>
    <w:rsid w:val="00A44299"/>
    <w:rsid w:val="00A44315"/>
    <w:rsid w:val="00A443E2"/>
    <w:rsid w:val="00A44530"/>
    <w:rsid w:val="00A447F6"/>
    <w:rsid w:val="00A447FE"/>
    <w:rsid w:val="00A44F9A"/>
    <w:rsid w:val="00A451CB"/>
    <w:rsid w:val="00A45399"/>
    <w:rsid w:val="00A45803"/>
    <w:rsid w:val="00A4582B"/>
    <w:rsid w:val="00A45AB8"/>
    <w:rsid w:val="00A45D24"/>
    <w:rsid w:val="00A463DB"/>
    <w:rsid w:val="00A46433"/>
    <w:rsid w:val="00A46521"/>
    <w:rsid w:val="00A465FB"/>
    <w:rsid w:val="00A4679A"/>
    <w:rsid w:val="00A4683F"/>
    <w:rsid w:val="00A468C4"/>
    <w:rsid w:val="00A469F5"/>
    <w:rsid w:val="00A4728B"/>
    <w:rsid w:val="00A47442"/>
    <w:rsid w:val="00A478D8"/>
    <w:rsid w:val="00A47A58"/>
    <w:rsid w:val="00A47AAE"/>
    <w:rsid w:val="00A47AFA"/>
    <w:rsid w:val="00A47C9B"/>
    <w:rsid w:val="00A47F35"/>
    <w:rsid w:val="00A501F0"/>
    <w:rsid w:val="00A5080F"/>
    <w:rsid w:val="00A50861"/>
    <w:rsid w:val="00A50B4C"/>
    <w:rsid w:val="00A50E9C"/>
    <w:rsid w:val="00A50ED3"/>
    <w:rsid w:val="00A50F65"/>
    <w:rsid w:val="00A50FDD"/>
    <w:rsid w:val="00A51076"/>
    <w:rsid w:val="00A5107A"/>
    <w:rsid w:val="00A51814"/>
    <w:rsid w:val="00A519BD"/>
    <w:rsid w:val="00A51B36"/>
    <w:rsid w:val="00A51BB3"/>
    <w:rsid w:val="00A52204"/>
    <w:rsid w:val="00A522CD"/>
    <w:rsid w:val="00A52490"/>
    <w:rsid w:val="00A52568"/>
    <w:rsid w:val="00A52889"/>
    <w:rsid w:val="00A528D6"/>
    <w:rsid w:val="00A52BC7"/>
    <w:rsid w:val="00A52C11"/>
    <w:rsid w:val="00A52D5C"/>
    <w:rsid w:val="00A53B3E"/>
    <w:rsid w:val="00A54157"/>
    <w:rsid w:val="00A54355"/>
    <w:rsid w:val="00A5457B"/>
    <w:rsid w:val="00A54935"/>
    <w:rsid w:val="00A5495F"/>
    <w:rsid w:val="00A54B0F"/>
    <w:rsid w:val="00A54DE7"/>
    <w:rsid w:val="00A54FE5"/>
    <w:rsid w:val="00A5521D"/>
    <w:rsid w:val="00A55498"/>
    <w:rsid w:val="00A55669"/>
    <w:rsid w:val="00A55791"/>
    <w:rsid w:val="00A557BB"/>
    <w:rsid w:val="00A559BE"/>
    <w:rsid w:val="00A55A96"/>
    <w:rsid w:val="00A55F05"/>
    <w:rsid w:val="00A5626E"/>
    <w:rsid w:val="00A56270"/>
    <w:rsid w:val="00A562CF"/>
    <w:rsid w:val="00A56413"/>
    <w:rsid w:val="00A56AB5"/>
    <w:rsid w:val="00A57288"/>
    <w:rsid w:val="00A57880"/>
    <w:rsid w:val="00A578AD"/>
    <w:rsid w:val="00A57E2C"/>
    <w:rsid w:val="00A605C6"/>
    <w:rsid w:val="00A6089C"/>
    <w:rsid w:val="00A60F2B"/>
    <w:rsid w:val="00A6158D"/>
    <w:rsid w:val="00A61783"/>
    <w:rsid w:val="00A61C2C"/>
    <w:rsid w:val="00A61E3F"/>
    <w:rsid w:val="00A62141"/>
    <w:rsid w:val="00A622DA"/>
    <w:rsid w:val="00A622DB"/>
    <w:rsid w:val="00A627FC"/>
    <w:rsid w:val="00A6282A"/>
    <w:rsid w:val="00A629D1"/>
    <w:rsid w:val="00A62C98"/>
    <w:rsid w:val="00A62CF2"/>
    <w:rsid w:val="00A62E65"/>
    <w:rsid w:val="00A62E94"/>
    <w:rsid w:val="00A62F4C"/>
    <w:rsid w:val="00A63194"/>
    <w:rsid w:val="00A63840"/>
    <w:rsid w:val="00A6397E"/>
    <w:rsid w:val="00A639D0"/>
    <w:rsid w:val="00A63A29"/>
    <w:rsid w:val="00A63B2B"/>
    <w:rsid w:val="00A63CCE"/>
    <w:rsid w:val="00A63D9F"/>
    <w:rsid w:val="00A63F94"/>
    <w:rsid w:val="00A643BA"/>
    <w:rsid w:val="00A648F9"/>
    <w:rsid w:val="00A649D0"/>
    <w:rsid w:val="00A64A2C"/>
    <w:rsid w:val="00A64DA0"/>
    <w:rsid w:val="00A65176"/>
    <w:rsid w:val="00A6542A"/>
    <w:rsid w:val="00A65441"/>
    <w:rsid w:val="00A656B4"/>
    <w:rsid w:val="00A657B5"/>
    <w:rsid w:val="00A65C2C"/>
    <w:rsid w:val="00A65D34"/>
    <w:rsid w:val="00A65DAA"/>
    <w:rsid w:val="00A660F1"/>
    <w:rsid w:val="00A66157"/>
    <w:rsid w:val="00A6615F"/>
    <w:rsid w:val="00A6638C"/>
    <w:rsid w:val="00A664B1"/>
    <w:rsid w:val="00A66C6A"/>
    <w:rsid w:val="00A66ED0"/>
    <w:rsid w:val="00A66FAC"/>
    <w:rsid w:val="00A67268"/>
    <w:rsid w:val="00A673E6"/>
    <w:rsid w:val="00A67471"/>
    <w:rsid w:val="00A674C7"/>
    <w:rsid w:val="00A67742"/>
    <w:rsid w:val="00A700FF"/>
    <w:rsid w:val="00A70482"/>
    <w:rsid w:val="00A704F4"/>
    <w:rsid w:val="00A70563"/>
    <w:rsid w:val="00A708EE"/>
    <w:rsid w:val="00A709E4"/>
    <w:rsid w:val="00A70A0F"/>
    <w:rsid w:val="00A70A5D"/>
    <w:rsid w:val="00A70C70"/>
    <w:rsid w:val="00A70D4B"/>
    <w:rsid w:val="00A70EF2"/>
    <w:rsid w:val="00A713E2"/>
    <w:rsid w:val="00A7154B"/>
    <w:rsid w:val="00A717D5"/>
    <w:rsid w:val="00A717DB"/>
    <w:rsid w:val="00A71AA1"/>
    <w:rsid w:val="00A71BBE"/>
    <w:rsid w:val="00A71FC0"/>
    <w:rsid w:val="00A71FE0"/>
    <w:rsid w:val="00A72038"/>
    <w:rsid w:val="00A721E9"/>
    <w:rsid w:val="00A72836"/>
    <w:rsid w:val="00A72846"/>
    <w:rsid w:val="00A72B0A"/>
    <w:rsid w:val="00A72C1F"/>
    <w:rsid w:val="00A73187"/>
    <w:rsid w:val="00A73354"/>
    <w:rsid w:val="00A73664"/>
    <w:rsid w:val="00A73684"/>
    <w:rsid w:val="00A73B47"/>
    <w:rsid w:val="00A73CC8"/>
    <w:rsid w:val="00A73E0F"/>
    <w:rsid w:val="00A73E3E"/>
    <w:rsid w:val="00A73F2D"/>
    <w:rsid w:val="00A74202"/>
    <w:rsid w:val="00A7447D"/>
    <w:rsid w:val="00A7449F"/>
    <w:rsid w:val="00A7451C"/>
    <w:rsid w:val="00A7468C"/>
    <w:rsid w:val="00A74738"/>
    <w:rsid w:val="00A748D4"/>
    <w:rsid w:val="00A74C1C"/>
    <w:rsid w:val="00A74C68"/>
    <w:rsid w:val="00A74E0A"/>
    <w:rsid w:val="00A74E2A"/>
    <w:rsid w:val="00A75041"/>
    <w:rsid w:val="00A7504F"/>
    <w:rsid w:val="00A7539B"/>
    <w:rsid w:val="00A754B8"/>
    <w:rsid w:val="00A7578F"/>
    <w:rsid w:val="00A758FF"/>
    <w:rsid w:val="00A75E9B"/>
    <w:rsid w:val="00A760F7"/>
    <w:rsid w:val="00A7616A"/>
    <w:rsid w:val="00A7629A"/>
    <w:rsid w:val="00A765A6"/>
    <w:rsid w:val="00A76661"/>
    <w:rsid w:val="00A76763"/>
    <w:rsid w:val="00A7677B"/>
    <w:rsid w:val="00A76B48"/>
    <w:rsid w:val="00A76B8C"/>
    <w:rsid w:val="00A76E76"/>
    <w:rsid w:val="00A770F2"/>
    <w:rsid w:val="00A77207"/>
    <w:rsid w:val="00A7736B"/>
    <w:rsid w:val="00A7741E"/>
    <w:rsid w:val="00A774B4"/>
    <w:rsid w:val="00A778C8"/>
    <w:rsid w:val="00A779B6"/>
    <w:rsid w:val="00A77B93"/>
    <w:rsid w:val="00A77C94"/>
    <w:rsid w:val="00A77D9D"/>
    <w:rsid w:val="00A800E2"/>
    <w:rsid w:val="00A8014D"/>
    <w:rsid w:val="00A80327"/>
    <w:rsid w:val="00A804A7"/>
    <w:rsid w:val="00A808BF"/>
    <w:rsid w:val="00A80A78"/>
    <w:rsid w:val="00A80FD3"/>
    <w:rsid w:val="00A811E1"/>
    <w:rsid w:val="00A81480"/>
    <w:rsid w:val="00A8191C"/>
    <w:rsid w:val="00A81A1C"/>
    <w:rsid w:val="00A81B76"/>
    <w:rsid w:val="00A81C59"/>
    <w:rsid w:val="00A81CD3"/>
    <w:rsid w:val="00A81FFE"/>
    <w:rsid w:val="00A82497"/>
    <w:rsid w:val="00A82832"/>
    <w:rsid w:val="00A828BE"/>
    <w:rsid w:val="00A828E7"/>
    <w:rsid w:val="00A82EEF"/>
    <w:rsid w:val="00A83148"/>
    <w:rsid w:val="00A83396"/>
    <w:rsid w:val="00A835BA"/>
    <w:rsid w:val="00A838D3"/>
    <w:rsid w:val="00A83A58"/>
    <w:rsid w:val="00A83AD6"/>
    <w:rsid w:val="00A83B11"/>
    <w:rsid w:val="00A83C2F"/>
    <w:rsid w:val="00A83D06"/>
    <w:rsid w:val="00A83E47"/>
    <w:rsid w:val="00A84025"/>
    <w:rsid w:val="00A84334"/>
    <w:rsid w:val="00A8434C"/>
    <w:rsid w:val="00A848CC"/>
    <w:rsid w:val="00A84A92"/>
    <w:rsid w:val="00A84BC2"/>
    <w:rsid w:val="00A84FB8"/>
    <w:rsid w:val="00A85200"/>
    <w:rsid w:val="00A8529B"/>
    <w:rsid w:val="00A852A5"/>
    <w:rsid w:val="00A856B0"/>
    <w:rsid w:val="00A859CB"/>
    <w:rsid w:val="00A85A4F"/>
    <w:rsid w:val="00A85C11"/>
    <w:rsid w:val="00A85DD2"/>
    <w:rsid w:val="00A85F3E"/>
    <w:rsid w:val="00A86205"/>
    <w:rsid w:val="00A867D6"/>
    <w:rsid w:val="00A86880"/>
    <w:rsid w:val="00A868EF"/>
    <w:rsid w:val="00A86E05"/>
    <w:rsid w:val="00A86F18"/>
    <w:rsid w:val="00A86FA5"/>
    <w:rsid w:val="00A86FE0"/>
    <w:rsid w:val="00A87017"/>
    <w:rsid w:val="00A87088"/>
    <w:rsid w:val="00A87539"/>
    <w:rsid w:val="00A879DE"/>
    <w:rsid w:val="00A87A40"/>
    <w:rsid w:val="00A87FD4"/>
    <w:rsid w:val="00A901BE"/>
    <w:rsid w:val="00A90225"/>
    <w:rsid w:val="00A9025A"/>
    <w:rsid w:val="00A909BD"/>
    <w:rsid w:val="00A90A3A"/>
    <w:rsid w:val="00A90ADF"/>
    <w:rsid w:val="00A90E6C"/>
    <w:rsid w:val="00A90EE0"/>
    <w:rsid w:val="00A90F2C"/>
    <w:rsid w:val="00A91024"/>
    <w:rsid w:val="00A912D1"/>
    <w:rsid w:val="00A9158F"/>
    <w:rsid w:val="00A91757"/>
    <w:rsid w:val="00A91897"/>
    <w:rsid w:val="00A91A7E"/>
    <w:rsid w:val="00A91AA1"/>
    <w:rsid w:val="00A91B1F"/>
    <w:rsid w:val="00A91E04"/>
    <w:rsid w:val="00A91F0E"/>
    <w:rsid w:val="00A9201C"/>
    <w:rsid w:val="00A921DF"/>
    <w:rsid w:val="00A92480"/>
    <w:rsid w:val="00A92585"/>
    <w:rsid w:val="00A92626"/>
    <w:rsid w:val="00A926F1"/>
    <w:rsid w:val="00A928D6"/>
    <w:rsid w:val="00A92961"/>
    <w:rsid w:val="00A92AC0"/>
    <w:rsid w:val="00A92AED"/>
    <w:rsid w:val="00A92BD8"/>
    <w:rsid w:val="00A92E46"/>
    <w:rsid w:val="00A92EE6"/>
    <w:rsid w:val="00A938CD"/>
    <w:rsid w:val="00A93940"/>
    <w:rsid w:val="00A93C3A"/>
    <w:rsid w:val="00A9406A"/>
    <w:rsid w:val="00A94486"/>
    <w:rsid w:val="00A944DE"/>
    <w:rsid w:val="00A9451D"/>
    <w:rsid w:val="00A9472B"/>
    <w:rsid w:val="00A947B0"/>
    <w:rsid w:val="00A9495C"/>
    <w:rsid w:val="00A94AB3"/>
    <w:rsid w:val="00A94B10"/>
    <w:rsid w:val="00A94B32"/>
    <w:rsid w:val="00A94EF3"/>
    <w:rsid w:val="00A95385"/>
    <w:rsid w:val="00A958F4"/>
    <w:rsid w:val="00A95919"/>
    <w:rsid w:val="00A95FC6"/>
    <w:rsid w:val="00A96332"/>
    <w:rsid w:val="00A96347"/>
    <w:rsid w:val="00A9637F"/>
    <w:rsid w:val="00A96453"/>
    <w:rsid w:val="00A964ED"/>
    <w:rsid w:val="00A96552"/>
    <w:rsid w:val="00A96658"/>
    <w:rsid w:val="00A96AC8"/>
    <w:rsid w:val="00A96DBE"/>
    <w:rsid w:val="00A96E69"/>
    <w:rsid w:val="00A96F05"/>
    <w:rsid w:val="00A96FBC"/>
    <w:rsid w:val="00A9720A"/>
    <w:rsid w:val="00A97528"/>
    <w:rsid w:val="00A9758A"/>
    <w:rsid w:val="00A979CA"/>
    <w:rsid w:val="00A97A64"/>
    <w:rsid w:val="00A97F5C"/>
    <w:rsid w:val="00AA002C"/>
    <w:rsid w:val="00AA01A6"/>
    <w:rsid w:val="00AA03FA"/>
    <w:rsid w:val="00AA0829"/>
    <w:rsid w:val="00AA08F9"/>
    <w:rsid w:val="00AA0AB1"/>
    <w:rsid w:val="00AA0D33"/>
    <w:rsid w:val="00AA0E16"/>
    <w:rsid w:val="00AA0FA2"/>
    <w:rsid w:val="00AA118A"/>
    <w:rsid w:val="00AA1200"/>
    <w:rsid w:val="00AA1597"/>
    <w:rsid w:val="00AA1826"/>
    <w:rsid w:val="00AA1B61"/>
    <w:rsid w:val="00AA1B98"/>
    <w:rsid w:val="00AA1BCA"/>
    <w:rsid w:val="00AA1BDA"/>
    <w:rsid w:val="00AA1CD4"/>
    <w:rsid w:val="00AA1FF6"/>
    <w:rsid w:val="00AA2019"/>
    <w:rsid w:val="00AA214A"/>
    <w:rsid w:val="00AA215D"/>
    <w:rsid w:val="00AA22EB"/>
    <w:rsid w:val="00AA2380"/>
    <w:rsid w:val="00AA287C"/>
    <w:rsid w:val="00AA2AD7"/>
    <w:rsid w:val="00AA2EEF"/>
    <w:rsid w:val="00AA3299"/>
    <w:rsid w:val="00AA35F5"/>
    <w:rsid w:val="00AA36F4"/>
    <w:rsid w:val="00AA38AB"/>
    <w:rsid w:val="00AA3B63"/>
    <w:rsid w:val="00AA3DF5"/>
    <w:rsid w:val="00AA426C"/>
    <w:rsid w:val="00AA4754"/>
    <w:rsid w:val="00AA47CE"/>
    <w:rsid w:val="00AA4915"/>
    <w:rsid w:val="00AA4BC1"/>
    <w:rsid w:val="00AA4F4B"/>
    <w:rsid w:val="00AA5351"/>
    <w:rsid w:val="00AA5995"/>
    <w:rsid w:val="00AA5CE8"/>
    <w:rsid w:val="00AA5FE7"/>
    <w:rsid w:val="00AA623A"/>
    <w:rsid w:val="00AA6405"/>
    <w:rsid w:val="00AA644F"/>
    <w:rsid w:val="00AA64D3"/>
    <w:rsid w:val="00AA6522"/>
    <w:rsid w:val="00AA661B"/>
    <w:rsid w:val="00AA66AA"/>
    <w:rsid w:val="00AA6737"/>
    <w:rsid w:val="00AA686E"/>
    <w:rsid w:val="00AA6887"/>
    <w:rsid w:val="00AA6FFA"/>
    <w:rsid w:val="00AA7000"/>
    <w:rsid w:val="00AA713A"/>
    <w:rsid w:val="00AA71BC"/>
    <w:rsid w:val="00AA75E9"/>
    <w:rsid w:val="00AA7A8C"/>
    <w:rsid w:val="00AA7C12"/>
    <w:rsid w:val="00AA7C81"/>
    <w:rsid w:val="00AA7D9A"/>
    <w:rsid w:val="00AA7DB1"/>
    <w:rsid w:val="00AA7ECE"/>
    <w:rsid w:val="00AA7F06"/>
    <w:rsid w:val="00AA7FAE"/>
    <w:rsid w:val="00AA7FED"/>
    <w:rsid w:val="00AB0000"/>
    <w:rsid w:val="00AB03AA"/>
    <w:rsid w:val="00AB047D"/>
    <w:rsid w:val="00AB04C2"/>
    <w:rsid w:val="00AB04EE"/>
    <w:rsid w:val="00AB0630"/>
    <w:rsid w:val="00AB0686"/>
    <w:rsid w:val="00AB09E2"/>
    <w:rsid w:val="00AB144F"/>
    <w:rsid w:val="00AB14F8"/>
    <w:rsid w:val="00AB1688"/>
    <w:rsid w:val="00AB19CA"/>
    <w:rsid w:val="00AB1C2A"/>
    <w:rsid w:val="00AB1DFA"/>
    <w:rsid w:val="00AB2164"/>
    <w:rsid w:val="00AB21AF"/>
    <w:rsid w:val="00AB2454"/>
    <w:rsid w:val="00AB25CE"/>
    <w:rsid w:val="00AB27D6"/>
    <w:rsid w:val="00AB2C17"/>
    <w:rsid w:val="00AB2C7B"/>
    <w:rsid w:val="00AB2FA7"/>
    <w:rsid w:val="00AB30DC"/>
    <w:rsid w:val="00AB323B"/>
    <w:rsid w:val="00AB3642"/>
    <w:rsid w:val="00AB3782"/>
    <w:rsid w:val="00AB37B9"/>
    <w:rsid w:val="00AB3936"/>
    <w:rsid w:val="00AB3B73"/>
    <w:rsid w:val="00AB3DCA"/>
    <w:rsid w:val="00AB41DC"/>
    <w:rsid w:val="00AB4280"/>
    <w:rsid w:val="00AB4282"/>
    <w:rsid w:val="00AB4457"/>
    <w:rsid w:val="00AB45A7"/>
    <w:rsid w:val="00AB4681"/>
    <w:rsid w:val="00AB4786"/>
    <w:rsid w:val="00AB48EF"/>
    <w:rsid w:val="00AB49B3"/>
    <w:rsid w:val="00AB4E12"/>
    <w:rsid w:val="00AB5358"/>
    <w:rsid w:val="00AB5665"/>
    <w:rsid w:val="00AB5AE0"/>
    <w:rsid w:val="00AB5AF9"/>
    <w:rsid w:val="00AB5E06"/>
    <w:rsid w:val="00AB6045"/>
    <w:rsid w:val="00AB60DF"/>
    <w:rsid w:val="00AB6211"/>
    <w:rsid w:val="00AB6265"/>
    <w:rsid w:val="00AB6355"/>
    <w:rsid w:val="00AB63CE"/>
    <w:rsid w:val="00AB682B"/>
    <w:rsid w:val="00AB6DAC"/>
    <w:rsid w:val="00AB74EB"/>
    <w:rsid w:val="00AB7B9D"/>
    <w:rsid w:val="00AB7CEE"/>
    <w:rsid w:val="00AB7EA7"/>
    <w:rsid w:val="00AB7F82"/>
    <w:rsid w:val="00AC06DA"/>
    <w:rsid w:val="00AC0C13"/>
    <w:rsid w:val="00AC1240"/>
    <w:rsid w:val="00AC12D2"/>
    <w:rsid w:val="00AC165C"/>
    <w:rsid w:val="00AC1826"/>
    <w:rsid w:val="00AC1883"/>
    <w:rsid w:val="00AC1C35"/>
    <w:rsid w:val="00AC1E88"/>
    <w:rsid w:val="00AC1F32"/>
    <w:rsid w:val="00AC1F64"/>
    <w:rsid w:val="00AC2192"/>
    <w:rsid w:val="00AC22AF"/>
    <w:rsid w:val="00AC26C4"/>
    <w:rsid w:val="00AC2784"/>
    <w:rsid w:val="00AC27D8"/>
    <w:rsid w:val="00AC2B03"/>
    <w:rsid w:val="00AC2DED"/>
    <w:rsid w:val="00AC3403"/>
    <w:rsid w:val="00AC3452"/>
    <w:rsid w:val="00AC3858"/>
    <w:rsid w:val="00AC3902"/>
    <w:rsid w:val="00AC3A27"/>
    <w:rsid w:val="00AC3B24"/>
    <w:rsid w:val="00AC3C56"/>
    <w:rsid w:val="00AC3E32"/>
    <w:rsid w:val="00AC41E4"/>
    <w:rsid w:val="00AC431E"/>
    <w:rsid w:val="00AC4561"/>
    <w:rsid w:val="00AC4730"/>
    <w:rsid w:val="00AC4BDB"/>
    <w:rsid w:val="00AC4DBD"/>
    <w:rsid w:val="00AC50CB"/>
    <w:rsid w:val="00AC5114"/>
    <w:rsid w:val="00AC516D"/>
    <w:rsid w:val="00AC5467"/>
    <w:rsid w:val="00AC5483"/>
    <w:rsid w:val="00AC5824"/>
    <w:rsid w:val="00AC5A38"/>
    <w:rsid w:val="00AC6003"/>
    <w:rsid w:val="00AC6557"/>
    <w:rsid w:val="00AC6630"/>
    <w:rsid w:val="00AC6643"/>
    <w:rsid w:val="00AC66DB"/>
    <w:rsid w:val="00AC6DA9"/>
    <w:rsid w:val="00AC71AF"/>
    <w:rsid w:val="00AC739E"/>
    <w:rsid w:val="00AC7924"/>
    <w:rsid w:val="00AC7B48"/>
    <w:rsid w:val="00AC7BB4"/>
    <w:rsid w:val="00AC7C22"/>
    <w:rsid w:val="00AC7DB6"/>
    <w:rsid w:val="00AC7F03"/>
    <w:rsid w:val="00AD02AB"/>
    <w:rsid w:val="00AD0422"/>
    <w:rsid w:val="00AD05F3"/>
    <w:rsid w:val="00AD067B"/>
    <w:rsid w:val="00AD09BB"/>
    <w:rsid w:val="00AD0B80"/>
    <w:rsid w:val="00AD0CC4"/>
    <w:rsid w:val="00AD0CFE"/>
    <w:rsid w:val="00AD0EEC"/>
    <w:rsid w:val="00AD0F83"/>
    <w:rsid w:val="00AD13F9"/>
    <w:rsid w:val="00AD1B2E"/>
    <w:rsid w:val="00AD1B37"/>
    <w:rsid w:val="00AD1BEB"/>
    <w:rsid w:val="00AD1C6D"/>
    <w:rsid w:val="00AD1D5C"/>
    <w:rsid w:val="00AD1DFB"/>
    <w:rsid w:val="00AD1E60"/>
    <w:rsid w:val="00AD257E"/>
    <w:rsid w:val="00AD275B"/>
    <w:rsid w:val="00AD2B7B"/>
    <w:rsid w:val="00AD300B"/>
    <w:rsid w:val="00AD3050"/>
    <w:rsid w:val="00AD321D"/>
    <w:rsid w:val="00AD340E"/>
    <w:rsid w:val="00AD3588"/>
    <w:rsid w:val="00AD36D3"/>
    <w:rsid w:val="00AD3814"/>
    <w:rsid w:val="00AD3955"/>
    <w:rsid w:val="00AD3B51"/>
    <w:rsid w:val="00AD3D20"/>
    <w:rsid w:val="00AD3F5D"/>
    <w:rsid w:val="00AD3F6D"/>
    <w:rsid w:val="00AD3F8E"/>
    <w:rsid w:val="00AD3FE8"/>
    <w:rsid w:val="00AD418D"/>
    <w:rsid w:val="00AD42B4"/>
    <w:rsid w:val="00AD4393"/>
    <w:rsid w:val="00AD44EC"/>
    <w:rsid w:val="00AD46E2"/>
    <w:rsid w:val="00AD47BB"/>
    <w:rsid w:val="00AD482F"/>
    <w:rsid w:val="00AD4AFD"/>
    <w:rsid w:val="00AD4E8F"/>
    <w:rsid w:val="00AD5195"/>
    <w:rsid w:val="00AD51A1"/>
    <w:rsid w:val="00AD51E0"/>
    <w:rsid w:val="00AD53C8"/>
    <w:rsid w:val="00AD5563"/>
    <w:rsid w:val="00AD5623"/>
    <w:rsid w:val="00AD5872"/>
    <w:rsid w:val="00AD5F12"/>
    <w:rsid w:val="00AD5F95"/>
    <w:rsid w:val="00AD60C0"/>
    <w:rsid w:val="00AD635A"/>
    <w:rsid w:val="00AD656A"/>
    <w:rsid w:val="00AD664C"/>
    <w:rsid w:val="00AD672F"/>
    <w:rsid w:val="00AD69DE"/>
    <w:rsid w:val="00AD6BED"/>
    <w:rsid w:val="00AD6D39"/>
    <w:rsid w:val="00AD6FD5"/>
    <w:rsid w:val="00AD72D3"/>
    <w:rsid w:val="00AD7416"/>
    <w:rsid w:val="00AD74F1"/>
    <w:rsid w:val="00AD7651"/>
    <w:rsid w:val="00AD7764"/>
    <w:rsid w:val="00AD7766"/>
    <w:rsid w:val="00AD7843"/>
    <w:rsid w:val="00AD79A9"/>
    <w:rsid w:val="00AD7EDD"/>
    <w:rsid w:val="00AD7F47"/>
    <w:rsid w:val="00AD7FBC"/>
    <w:rsid w:val="00AE0097"/>
    <w:rsid w:val="00AE0736"/>
    <w:rsid w:val="00AE081D"/>
    <w:rsid w:val="00AE0A13"/>
    <w:rsid w:val="00AE0AA2"/>
    <w:rsid w:val="00AE0BC3"/>
    <w:rsid w:val="00AE0BE0"/>
    <w:rsid w:val="00AE0DC2"/>
    <w:rsid w:val="00AE138B"/>
    <w:rsid w:val="00AE166C"/>
    <w:rsid w:val="00AE1BFA"/>
    <w:rsid w:val="00AE1CD9"/>
    <w:rsid w:val="00AE1EA2"/>
    <w:rsid w:val="00AE20BA"/>
    <w:rsid w:val="00AE21A2"/>
    <w:rsid w:val="00AE22DD"/>
    <w:rsid w:val="00AE27A6"/>
    <w:rsid w:val="00AE29D0"/>
    <w:rsid w:val="00AE2B01"/>
    <w:rsid w:val="00AE2F97"/>
    <w:rsid w:val="00AE3073"/>
    <w:rsid w:val="00AE3685"/>
    <w:rsid w:val="00AE381E"/>
    <w:rsid w:val="00AE3A31"/>
    <w:rsid w:val="00AE3BC3"/>
    <w:rsid w:val="00AE3D46"/>
    <w:rsid w:val="00AE3D86"/>
    <w:rsid w:val="00AE3E93"/>
    <w:rsid w:val="00AE3ED7"/>
    <w:rsid w:val="00AE407B"/>
    <w:rsid w:val="00AE4461"/>
    <w:rsid w:val="00AE4514"/>
    <w:rsid w:val="00AE4BB5"/>
    <w:rsid w:val="00AE4BD3"/>
    <w:rsid w:val="00AE4F23"/>
    <w:rsid w:val="00AE503B"/>
    <w:rsid w:val="00AE5082"/>
    <w:rsid w:val="00AE5208"/>
    <w:rsid w:val="00AE5459"/>
    <w:rsid w:val="00AE54E1"/>
    <w:rsid w:val="00AE5656"/>
    <w:rsid w:val="00AE60B2"/>
    <w:rsid w:val="00AE66C3"/>
    <w:rsid w:val="00AE697A"/>
    <w:rsid w:val="00AE6A01"/>
    <w:rsid w:val="00AE6AB5"/>
    <w:rsid w:val="00AE6B93"/>
    <w:rsid w:val="00AE6ECA"/>
    <w:rsid w:val="00AE76FE"/>
    <w:rsid w:val="00AE787C"/>
    <w:rsid w:val="00AE7985"/>
    <w:rsid w:val="00AE7A26"/>
    <w:rsid w:val="00AE7ADC"/>
    <w:rsid w:val="00AE7AF7"/>
    <w:rsid w:val="00AE7C10"/>
    <w:rsid w:val="00AE7CE8"/>
    <w:rsid w:val="00AE7DAC"/>
    <w:rsid w:val="00AF0085"/>
    <w:rsid w:val="00AF02FE"/>
    <w:rsid w:val="00AF0445"/>
    <w:rsid w:val="00AF07FD"/>
    <w:rsid w:val="00AF0966"/>
    <w:rsid w:val="00AF0A9A"/>
    <w:rsid w:val="00AF0B8B"/>
    <w:rsid w:val="00AF144C"/>
    <w:rsid w:val="00AF1567"/>
    <w:rsid w:val="00AF165E"/>
    <w:rsid w:val="00AF176A"/>
    <w:rsid w:val="00AF179B"/>
    <w:rsid w:val="00AF1871"/>
    <w:rsid w:val="00AF1E7B"/>
    <w:rsid w:val="00AF1FB6"/>
    <w:rsid w:val="00AF20E6"/>
    <w:rsid w:val="00AF213D"/>
    <w:rsid w:val="00AF2236"/>
    <w:rsid w:val="00AF2409"/>
    <w:rsid w:val="00AF254E"/>
    <w:rsid w:val="00AF2819"/>
    <w:rsid w:val="00AF2A9A"/>
    <w:rsid w:val="00AF2AC8"/>
    <w:rsid w:val="00AF337A"/>
    <w:rsid w:val="00AF346B"/>
    <w:rsid w:val="00AF3832"/>
    <w:rsid w:val="00AF392D"/>
    <w:rsid w:val="00AF3A9D"/>
    <w:rsid w:val="00AF3F96"/>
    <w:rsid w:val="00AF4107"/>
    <w:rsid w:val="00AF4132"/>
    <w:rsid w:val="00AF458B"/>
    <w:rsid w:val="00AF479D"/>
    <w:rsid w:val="00AF490B"/>
    <w:rsid w:val="00AF4A33"/>
    <w:rsid w:val="00AF4ADE"/>
    <w:rsid w:val="00AF4D5E"/>
    <w:rsid w:val="00AF4E45"/>
    <w:rsid w:val="00AF4E93"/>
    <w:rsid w:val="00AF4FE4"/>
    <w:rsid w:val="00AF58FC"/>
    <w:rsid w:val="00AF5ACF"/>
    <w:rsid w:val="00AF5BA5"/>
    <w:rsid w:val="00AF5E9D"/>
    <w:rsid w:val="00AF5F2D"/>
    <w:rsid w:val="00AF6350"/>
    <w:rsid w:val="00AF65DF"/>
    <w:rsid w:val="00AF678D"/>
    <w:rsid w:val="00AF6793"/>
    <w:rsid w:val="00AF685D"/>
    <w:rsid w:val="00AF698C"/>
    <w:rsid w:val="00AF6DD1"/>
    <w:rsid w:val="00AF6EA6"/>
    <w:rsid w:val="00AF6EBE"/>
    <w:rsid w:val="00AF7219"/>
    <w:rsid w:val="00AF734D"/>
    <w:rsid w:val="00AF7567"/>
    <w:rsid w:val="00AF79BC"/>
    <w:rsid w:val="00AF7C55"/>
    <w:rsid w:val="00AF7CB7"/>
    <w:rsid w:val="00AF7F2C"/>
    <w:rsid w:val="00AF7F68"/>
    <w:rsid w:val="00B00091"/>
    <w:rsid w:val="00B001A5"/>
    <w:rsid w:val="00B00241"/>
    <w:rsid w:val="00B002E9"/>
    <w:rsid w:val="00B00394"/>
    <w:rsid w:val="00B00578"/>
    <w:rsid w:val="00B00831"/>
    <w:rsid w:val="00B00877"/>
    <w:rsid w:val="00B009E5"/>
    <w:rsid w:val="00B00C19"/>
    <w:rsid w:val="00B00FF8"/>
    <w:rsid w:val="00B016B1"/>
    <w:rsid w:val="00B01808"/>
    <w:rsid w:val="00B01DC3"/>
    <w:rsid w:val="00B02187"/>
    <w:rsid w:val="00B02193"/>
    <w:rsid w:val="00B022B6"/>
    <w:rsid w:val="00B0280E"/>
    <w:rsid w:val="00B02898"/>
    <w:rsid w:val="00B02CA2"/>
    <w:rsid w:val="00B02E67"/>
    <w:rsid w:val="00B03175"/>
    <w:rsid w:val="00B031D1"/>
    <w:rsid w:val="00B03293"/>
    <w:rsid w:val="00B034CD"/>
    <w:rsid w:val="00B0355F"/>
    <w:rsid w:val="00B03992"/>
    <w:rsid w:val="00B03E2C"/>
    <w:rsid w:val="00B03E66"/>
    <w:rsid w:val="00B05105"/>
    <w:rsid w:val="00B051C7"/>
    <w:rsid w:val="00B05632"/>
    <w:rsid w:val="00B05710"/>
    <w:rsid w:val="00B057DF"/>
    <w:rsid w:val="00B0591B"/>
    <w:rsid w:val="00B05A97"/>
    <w:rsid w:val="00B05C58"/>
    <w:rsid w:val="00B05CDD"/>
    <w:rsid w:val="00B05FFE"/>
    <w:rsid w:val="00B06021"/>
    <w:rsid w:val="00B0624E"/>
    <w:rsid w:val="00B062B3"/>
    <w:rsid w:val="00B066A5"/>
    <w:rsid w:val="00B067B8"/>
    <w:rsid w:val="00B06882"/>
    <w:rsid w:val="00B06A14"/>
    <w:rsid w:val="00B06A49"/>
    <w:rsid w:val="00B06AC1"/>
    <w:rsid w:val="00B06C7C"/>
    <w:rsid w:val="00B06DD2"/>
    <w:rsid w:val="00B06ED4"/>
    <w:rsid w:val="00B071B4"/>
    <w:rsid w:val="00B072BC"/>
    <w:rsid w:val="00B0735E"/>
    <w:rsid w:val="00B074D4"/>
    <w:rsid w:val="00B0755C"/>
    <w:rsid w:val="00B07568"/>
    <w:rsid w:val="00B07635"/>
    <w:rsid w:val="00B077C5"/>
    <w:rsid w:val="00B077F9"/>
    <w:rsid w:val="00B07828"/>
    <w:rsid w:val="00B07A86"/>
    <w:rsid w:val="00B07B7C"/>
    <w:rsid w:val="00B101EC"/>
    <w:rsid w:val="00B1064A"/>
    <w:rsid w:val="00B10A72"/>
    <w:rsid w:val="00B10B72"/>
    <w:rsid w:val="00B10F04"/>
    <w:rsid w:val="00B10FA8"/>
    <w:rsid w:val="00B110A0"/>
    <w:rsid w:val="00B115C7"/>
    <w:rsid w:val="00B11638"/>
    <w:rsid w:val="00B11784"/>
    <w:rsid w:val="00B1190B"/>
    <w:rsid w:val="00B11CCA"/>
    <w:rsid w:val="00B11D8F"/>
    <w:rsid w:val="00B11F7E"/>
    <w:rsid w:val="00B1214A"/>
    <w:rsid w:val="00B121FD"/>
    <w:rsid w:val="00B1248E"/>
    <w:rsid w:val="00B12535"/>
    <w:rsid w:val="00B128AD"/>
    <w:rsid w:val="00B12B32"/>
    <w:rsid w:val="00B12DC2"/>
    <w:rsid w:val="00B13178"/>
    <w:rsid w:val="00B132EC"/>
    <w:rsid w:val="00B133FB"/>
    <w:rsid w:val="00B135D4"/>
    <w:rsid w:val="00B1363F"/>
    <w:rsid w:val="00B13B96"/>
    <w:rsid w:val="00B13CB3"/>
    <w:rsid w:val="00B13E19"/>
    <w:rsid w:val="00B140A3"/>
    <w:rsid w:val="00B143D5"/>
    <w:rsid w:val="00B1451E"/>
    <w:rsid w:val="00B14715"/>
    <w:rsid w:val="00B147FF"/>
    <w:rsid w:val="00B149F7"/>
    <w:rsid w:val="00B1507D"/>
    <w:rsid w:val="00B1519C"/>
    <w:rsid w:val="00B152DB"/>
    <w:rsid w:val="00B154F2"/>
    <w:rsid w:val="00B15652"/>
    <w:rsid w:val="00B15AA0"/>
    <w:rsid w:val="00B15C3F"/>
    <w:rsid w:val="00B15E4B"/>
    <w:rsid w:val="00B15ECA"/>
    <w:rsid w:val="00B161D0"/>
    <w:rsid w:val="00B16488"/>
    <w:rsid w:val="00B164ED"/>
    <w:rsid w:val="00B166C9"/>
    <w:rsid w:val="00B16A9A"/>
    <w:rsid w:val="00B16C4A"/>
    <w:rsid w:val="00B16C88"/>
    <w:rsid w:val="00B16D22"/>
    <w:rsid w:val="00B16EB4"/>
    <w:rsid w:val="00B16FBC"/>
    <w:rsid w:val="00B17034"/>
    <w:rsid w:val="00B17173"/>
    <w:rsid w:val="00B1731E"/>
    <w:rsid w:val="00B175D7"/>
    <w:rsid w:val="00B17D3B"/>
    <w:rsid w:val="00B17EB3"/>
    <w:rsid w:val="00B20216"/>
    <w:rsid w:val="00B20373"/>
    <w:rsid w:val="00B20925"/>
    <w:rsid w:val="00B209C2"/>
    <w:rsid w:val="00B20A84"/>
    <w:rsid w:val="00B20D9E"/>
    <w:rsid w:val="00B20F34"/>
    <w:rsid w:val="00B2103C"/>
    <w:rsid w:val="00B2108A"/>
    <w:rsid w:val="00B21223"/>
    <w:rsid w:val="00B21359"/>
    <w:rsid w:val="00B21675"/>
    <w:rsid w:val="00B21840"/>
    <w:rsid w:val="00B21A85"/>
    <w:rsid w:val="00B21D6A"/>
    <w:rsid w:val="00B21E75"/>
    <w:rsid w:val="00B21EC8"/>
    <w:rsid w:val="00B22494"/>
    <w:rsid w:val="00B22A59"/>
    <w:rsid w:val="00B22A69"/>
    <w:rsid w:val="00B22C34"/>
    <w:rsid w:val="00B22E61"/>
    <w:rsid w:val="00B22EE9"/>
    <w:rsid w:val="00B22F14"/>
    <w:rsid w:val="00B2304D"/>
    <w:rsid w:val="00B2332C"/>
    <w:rsid w:val="00B23526"/>
    <w:rsid w:val="00B23643"/>
    <w:rsid w:val="00B23679"/>
    <w:rsid w:val="00B23709"/>
    <w:rsid w:val="00B23B3A"/>
    <w:rsid w:val="00B23C67"/>
    <w:rsid w:val="00B23C82"/>
    <w:rsid w:val="00B24393"/>
    <w:rsid w:val="00B245C1"/>
    <w:rsid w:val="00B24637"/>
    <w:rsid w:val="00B2465E"/>
    <w:rsid w:val="00B2480F"/>
    <w:rsid w:val="00B24959"/>
    <w:rsid w:val="00B24B07"/>
    <w:rsid w:val="00B24D32"/>
    <w:rsid w:val="00B24EA5"/>
    <w:rsid w:val="00B24ED4"/>
    <w:rsid w:val="00B24F38"/>
    <w:rsid w:val="00B24FA4"/>
    <w:rsid w:val="00B25384"/>
    <w:rsid w:val="00B2551D"/>
    <w:rsid w:val="00B25610"/>
    <w:rsid w:val="00B25838"/>
    <w:rsid w:val="00B2598C"/>
    <w:rsid w:val="00B259D2"/>
    <w:rsid w:val="00B25B8A"/>
    <w:rsid w:val="00B25DC3"/>
    <w:rsid w:val="00B25E0A"/>
    <w:rsid w:val="00B25FCC"/>
    <w:rsid w:val="00B262CF"/>
    <w:rsid w:val="00B263FF"/>
    <w:rsid w:val="00B264BE"/>
    <w:rsid w:val="00B266E0"/>
    <w:rsid w:val="00B26821"/>
    <w:rsid w:val="00B268E2"/>
    <w:rsid w:val="00B2692B"/>
    <w:rsid w:val="00B26BE7"/>
    <w:rsid w:val="00B26C20"/>
    <w:rsid w:val="00B26D0E"/>
    <w:rsid w:val="00B26DB1"/>
    <w:rsid w:val="00B26FD2"/>
    <w:rsid w:val="00B2713C"/>
    <w:rsid w:val="00B2713D"/>
    <w:rsid w:val="00B272EC"/>
    <w:rsid w:val="00B274CE"/>
    <w:rsid w:val="00B276BC"/>
    <w:rsid w:val="00B27881"/>
    <w:rsid w:val="00B301B9"/>
    <w:rsid w:val="00B30216"/>
    <w:rsid w:val="00B306EC"/>
    <w:rsid w:val="00B30BF5"/>
    <w:rsid w:val="00B30C43"/>
    <w:rsid w:val="00B30C70"/>
    <w:rsid w:val="00B30F10"/>
    <w:rsid w:val="00B31094"/>
    <w:rsid w:val="00B311BD"/>
    <w:rsid w:val="00B31699"/>
    <w:rsid w:val="00B317E4"/>
    <w:rsid w:val="00B31821"/>
    <w:rsid w:val="00B3187C"/>
    <w:rsid w:val="00B31E95"/>
    <w:rsid w:val="00B31FFE"/>
    <w:rsid w:val="00B32080"/>
    <w:rsid w:val="00B320D7"/>
    <w:rsid w:val="00B321CD"/>
    <w:rsid w:val="00B32495"/>
    <w:rsid w:val="00B326B3"/>
    <w:rsid w:val="00B327AB"/>
    <w:rsid w:val="00B3297B"/>
    <w:rsid w:val="00B32996"/>
    <w:rsid w:val="00B32C41"/>
    <w:rsid w:val="00B32C98"/>
    <w:rsid w:val="00B32C9F"/>
    <w:rsid w:val="00B32FA8"/>
    <w:rsid w:val="00B33762"/>
    <w:rsid w:val="00B338AC"/>
    <w:rsid w:val="00B338D6"/>
    <w:rsid w:val="00B3395C"/>
    <w:rsid w:val="00B33C6F"/>
    <w:rsid w:val="00B34360"/>
    <w:rsid w:val="00B344DC"/>
    <w:rsid w:val="00B34ECB"/>
    <w:rsid w:val="00B353B4"/>
    <w:rsid w:val="00B3556C"/>
    <w:rsid w:val="00B355CE"/>
    <w:rsid w:val="00B3595B"/>
    <w:rsid w:val="00B359AB"/>
    <w:rsid w:val="00B35AE6"/>
    <w:rsid w:val="00B3638A"/>
    <w:rsid w:val="00B36489"/>
    <w:rsid w:val="00B3655C"/>
    <w:rsid w:val="00B36611"/>
    <w:rsid w:val="00B367E3"/>
    <w:rsid w:val="00B3690E"/>
    <w:rsid w:val="00B36A23"/>
    <w:rsid w:val="00B3738E"/>
    <w:rsid w:val="00B373EF"/>
    <w:rsid w:val="00B37521"/>
    <w:rsid w:val="00B376B4"/>
    <w:rsid w:val="00B378B6"/>
    <w:rsid w:val="00B3793E"/>
    <w:rsid w:val="00B379C9"/>
    <w:rsid w:val="00B379F3"/>
    <w:rsid w:val="00B37A57"/>
    <w:rsid w:val="00B37AD8"/>
    <w:rsid w:val="00B37BCD"/>
    <w:rsid w:val="00B37FBA"/>
    <w:rsid w:val="00B400C7"/>
    <w:rsid w:val="00B40585"/>
    <w:rsid w:val="00B40873"/>
    <w:rsid w:val="00B40A81"/>
    <w:rsid w:val="00B40C86"/>
    <w:rsid w:val="00B40F7E"/>
    <w:rsid w:val="00B411B6"/>
    <w:rsid w:val="00B4149F"/>
    <w:rsid w:val="00B416A9"/>
    <w:rsid w:val="00B41AE2"/>
    <w:rsid w:val="00B41B39"/>
    <w:rsid w:val="00B41B78"/>
    <w:rsid w:val="00B41E56"/>
    <w:rsid w:val="00B41E75"/>
    <w:rsid w:val="00B4200B"/>
    <w:rsid w:val="00B4270F"/>
    <w:rsid w:val="00B42A27"/>
    <w:rsid w:val="00B42B2B"/>
    <w:rsid w:val="00B42C27"/>
    <w:rsid w:val="00B42D43"/>
    <w:rsid w:val="00B42DD1"/>
    <w:rsid w:val="00B433DE"/>
    <w:rsid w:val="00B43554"/>
    <w:rsid w:val="00B43626"/>
    <w:rsid w:val="00B43760"/>
    <w:rsid w:val="00B43CE3"/>
    <w:rsid w:val="00B440F4"/>
    <w:rsid w:val="00B440F6"/>
    <w:rsid w:val="00B44166"/>
    <w:rsid w:val="00B44684"/>
    <w:rsid w:val="00B449AB"/>
    <w:rsid w:val="00B44B17"/>
    <w:rsid w:val="00B44E9D"/>
    <w:rsid w:val="00B44F76"/>
    <w:rsid w:val="00B450E7"/>
    <w:rsid w:val="00B451F9"/>
    <w:rsid w:val="00B45356"/>
    <w:rsid w:val="00B4540A"/>
    <w:rsid w:val="00B4541E"/>
    <w:rsid w:val="00B457B5"/>
    <w:rsid w:val="00B45A94"/>
    <w:rsid w:val="00B45BEB"/>
    <w:rsid w:val="00B45DD3"/>
    <w:rsid w:val="00B45F9F"/>
    <w:rsid w:val="00B461CC"/>
    <w:rsid w:val="00B46349"/>
    <w:rsid w:val="00B464A2"/>
    <w:rsid w:val="00B46AB6"/>
    <w:rsid w:val="00B46CEA"/>
    <w:rsid w:val="00B46D2C"/>
    <w:rsid w:val="00B46E88"/>
    <w:rsid w:val="00B472E9"/>
    <w:rsid w:val="00B47316"/>
    <w:rsid w:val="00B47599"/>
    <w:rsid w:val="00B475F0"/>
    <w:rsid w:val="00B4767F"/>
    <w:rsid w:val="00B47ADA"/>
    <w:rsid w:val="00B47ECB"/>
    <w:rsid w:val="00B47F71"/>
    <w:rsid w:val="00B47FBB"/>
    <w:rsid w:val="00B50A7F"/>
    <w:rsid w:val="00B50B47"/>
    <w:rsid w:val="00B50BC2"/>
    <w:rsid w:val="00B50FC9"/>
    <w:rsid w:val="00B510EE"/>
    <w:rsid w:val="00B51151"/>
    <w:rsid w:val="00B5132D"/>
    <w:rsid w:val="00B51599"/>
    <w:rsid w:val="00B51793"/>
    <w:rsid w:val="00B517D5"/>
    <w:rsid w:val="00B51870"/>
    <w:rsid w:val="00B52461"/>
    <w:rsid w:val="00B525D8"/>
    <w:rsid w:val="00B5267E"/>
    <w:rsid w:val="00B526B5"/>
    <w:rsid w:val="00B528F3"/>
    <w:rsid w:val="00B52916"/>
    <w:rsid w:val="00B52928"/>
    <w:rsid w:val="00B529DB"/>
    <w:rsid w:val="00B52A44"/>
    <w:rsid w:val="00B52E93"/>
    <w:rsid w:val="00B533D6"/>
    <w:rsid w:val="00B534F7"/>
    <w:rsid w:val="00B5374D"/>
    <w:rsid w:val="00B54120"/>
    <w:rsid w:val="00B54214"/>
    <w:rsid w:val="00B54373"/>
    <w:rsid w:val="00B54416"/>
    <w:rsid w:val="00B54582"/>
    <w:rsid w:val="00B54A2E"/>
    <w:rsid w:val="00B55100"/>
    <w:rsid w:val="00B554DF"/>
    <w:rsid w:val="00B55793"/>
    <w:rsid w:val="00B55DEE"/>
    <w:rsid w:val="00B55E8E"/>
    <w:rsid w:val="00B55F5E"/>
    <w:rsid w:val="00B56057"/>
    <w:rsid w:val="00B56161"/>
    <w:rsid w:val="00B561A5"/>
    <w:rsid w:val="00B5636A"/>
    <w:rsid w:val="00B566AA"/>
    <w:rsid w:val="00B56774"/>
    <w:rsid w:val="00B56797"/>
    <w:rsid w:val="00B5687E"/>
    <w:rsid w:val="00B56B3B"/>
    <w:rsid w:val="00B56E12"/>
    <w:rsid w:val="00B56FD9"/>
    <w:rsid w:val="00B56FF0"/>
    <w:rsid w:val="00B57081"/>
    <w:rsid w:val="00B571C6"/>
    <w:rsid w:val="00B572DA"/>
    <w:rsid w:val="00B572E1"/>
    <w:rsid w:val="00B57305"/>
    <w:rsid w:val="00B57A2F"/>
    <w:rsid w:val="00B57DD4"/>
    <w:rsid w:val="00B57F01"/>
    <w:rsid w:val="00B57F56"/>
    <w:rsid w:val="00B60804"/>
    <w:rsid w:val="00B609CE"/>
    <w:rsid w:val="00B60D78"/>
    <w:rsid w:val="00B60ED7"/>
    <w:rsid w:val="00B61912"/>
    <w:rsid w:val="00B619F5"/>
    <w:rsid w:val="00B61AAC"/>
    <w:rsid w:val="00B61B0F"/>
    <w:rsid w:val="00B61B2A"/>
    <w:rsid w:val="00B61B96"/>
    <w:rsid w:val="00B61C43"/>
    <w:rsid w:val="00B61CB1"/>
    <w:rsid w:val="00B61D67"/>
    <w:rsid w:val="00B61D8F"/>
    <w:rsid w:val="00B61DD0"/>
    <w:rsid w:val="00B61DD2"/>
    <w:rsid w:val="00B623C8"/>
    <w:rsid w:val="00B62587"/>
    <w:rsid w:val="00B626D9"/>
    <w:rsid w:val="00B626DB"/>
    <w:rsid w:val="00B629EC"/>
    <w:rsid w:val="00B62C6B"/>
    <w:rsid w:val="00B62E54"/>
    <w:rsid w:val="00B62FB3"/>
    <w:rsid w:val="00B62FBF"/>
    <w:rsid w:val="00B631B4"/>
    <w:rsid w:val="00B631F7"/>
    <w:rsid w:val="00B633A3"/>
    <w:rsid w:val="00B634C1"/>
    <w:rsid w:val="00B634FC"/>
    <w:rsid w:val="00B63639"/>
    <w:rsid w:val="00B636EB"/>
    <w:rsid w:val="00B637A1"/>
    <w:rsid w:val="00B63865"/>
    <w:rsid w:val="00B63B8A"/>
    <w:rsid w:val="00B63C8D"/>
    <w:rsid w:val="00B63DE0"/>
    <w:rsid w:val="00B63E65"/>
    <w:rsid w:val="00B6427A"/>
    <w:rsid w:val="00B64493"/>
    <w:rsid w:val="00B6515B"/>
    <w:rsid w:val="00B65238"/>
    <w:rsid w:val="00B65936"/>
    <w:rsid w:val="00B65AF1"/>
    <w:rsid w:val="00B65B0E"/>
    <w:rsid w:val="00B65DE0"/>
    <w:rsid w:val="00B65F81"/>
    <w:rsid w:val="00B66005"/>
    <w:rsid w:val="00B66181"/>
    <w:rsid w:val="00B667EA"/>
    <w:rsid w:val="00B667F6"/>
    <w:rsid w:val="00B66818"/>
    <w:rsid w:val="00B668FC"/>
    <w:rsid w:val="00B6698C"/>
    <w:rsid w:val="00B66BFC"/>
    <w:rsid w:val="00B66CF9"/>
    <w:rsid w:val="00B66DCA"/>
    <w:rsid w:val="00B66FF8"/>
    <w:rsid w:val="00B670CF"/>
    <w:rsid w:val="00B6714B"/>
    <w:rsid w:val="00B6714D"/>
    <w:rsid w:val="00B672E9"/>
    <w:rsid w:val="00B672EA"/>
    <w:rsid w:val="00B67324"/>
    <w:rsid w:val="00B6788E"/>
    <w:rsid w:val="00B67AF0"/>
    <w:rsid w:val="00B67E23"/>
    <w:rsid w:val="00B67ED7"/>
    <w:rsid w:val="00B67F13"/>
    <w:rsid w:val="00B70205"/>
    <w:rsid w:val="00B70598"/>
    <w:rsid w:val="00B705A8"/>
    <w:rsid w:val="00B705E7"/>
    <w:rsid w:val="00B70D06"/>
    <w:rsid w:val="00B70DDD"/>
    <w:rsid w:val="00B70DE4"/>
    <w:rsid w:val="00B70F5D"/>
    <w:rsid w:val="00B70FCC"/>
    <w:rsid w:val="00B7114C"/>
    <w:rsid w:val="00B71478"/>
    <w:rsid w:val="00B714C2"/>
    <w:rsid w:val="00B71566"/>
    <w:rsid w:val="00B7166D"/>
    <w:rsid w:val="00B71F5F"/>
    <w:rsid w:val="00B7209E"/>
    <w:rsid w:val="00B7212D"/>
    <w:rsid w:val="00B723EB"/>
    <w:rsid w:val="00B72969"/>
    <w:rsid w:val="00B729D7"/>
    <w:rsid w:val="00B72D74"/>
    <w:rsid w:val="00B72E34"/>
    <w:rsid w:val="00B730DF"/>
    <w:rsid w:val="00B7316A"/>
    <w:rsid w:val="00B7340F"/>
    <w:rsid w:val="00B7366A"/>
    <w:rsid w:val="00B73702"/>
    <w:rsid w:val="00B73765"/>
    <w:rsid w:val="00B738CC"/>
    <w:rsid w:val="00B73C2D"/>
    <w:rsid w:val="00B73F77"/>
    <w:rsid w:val="00B74011"/>
    <w:rsid w:val="00B74268"/>
    <w:rsid w:val="00B7429D"/>
    <w:rsid w:val="00B7435F"/>
    <w:rsid w:val="00B748C9"/>
    <w:rsid w:val="00B749B9"/>
    <w:rsid w:val="00B74AAD"/>
    <w:rsid w:val="00B751A7"/>
    <w:rsid w:val="00B753EB"/>
    <w:rsid w:val="00B75465"/>
    <w:rsid w:val="00B754D8"/>
    <w:rsid w:val="00B75647"/>
    <w:rsid w:val="00B758B3"/>
    <w:rsid w:val="00B75B0B"/>
    <w:rsid w:val="00B75DCE"/>
    <w:rsid w:val="00B75E92"/>
    <w:rsid w:val="00B760A5"/>
    <w:rsid w:val="00B7616D"/>
    <w:rsid w:val="00B7626E"/>
    <w:rsid w:val="00B763C7"/>
    <w:rsid w:val="00B76545"/>
    <w:rsid w:val="00B765B8"/>
    <w:rsid w:val="00B76698"/>
    <w:rsid w:val="00B768CF"/>
    <w:rsid w:val="00B768FB"/>
    <w:rsid w:val="00B76920"/>
    <w:rsid w:val="00B76931"/>
    <w:rsid w:val="00B76AD3"/>
    <w:rsid w:val="00B76B1A"/>
    <w:rsid w:val="00B7759F"/>
    <w:rsid w:val="00B775CD"/>
    <w:rsid w:val="00B77912"/>
    <w:rsid w:val="00B7795E"/>
    <w:rsid w:val="00B779DB"/>
    <w:rsid w:val="00B77B61"/>
    <w:rsid w:val="00B77DB1"/>
    <w:rsid w:val="00B8011C"/>
    <w:rsid w:val="00B8014F"/>
    <w:rsid w:val="00B8015F"/>
    <w:rsid w:val="00B80497"/>
    <w:rsid w:val="00B806F8"/>
    <w:rsid w:val="00B807A4"/>
    <w:rsid w:val="00B80808"/>
    <w:rsid w:val="00B80B2B"/>
    <w:rsid w:val="00B80DA2"/>
    <w:rsid w:val="00B80E1F"/>
    <w:rsid w:val="00B810F7"/>
    <w:rsid w:val="00B813F8"/>
    <w:rsid w:val="00B8192A"/>
    <w:rsid w:val="00B8195C"/>
    <w:rsid w:val="00B81A22"/>
    <w:rsid w:val="00B81BAA"/>
    <w:rsid w:val="00B82363"/>
    <w:rsid w:val="00B824E4"/>
    <w:rsid w:val="00B82AB4"/>
    <w:rsid w:val="00B82B3A"/>
    <w:rsid w:val="00B82C46"/>
    <w:rsid w:val="00B82D79"/>
    <w:rsid w:val="00B82F20"/>
    <w:rsid w:val="00B82F3C"/>
    <w:rsid w:val="00B832BE"/>
    <w:rsid w:val="00B8334D"/>
    <w:rsid w:val="00B83578"/>
    <w:rsid w:val="00B83605"/>
    <w:rsid w:val="00B8376C"/>
    <w:rsid w:val="00B83AC9"/>
    <w:rsid w:val="00B83D73"/>
    <w:rsid w:val="00B83E7C"/>
    <w:rsid w:val="00B83FD8"/>
    <w:rsid w:val="00B84072"/>
    <w:rsid w:val="00B841B1"/>
    <w:rsid w:val="00B8422C"/>
    <w:rsid w:val="00B8460E"/>
    <w:rsid w:val="00B847BF"/>
    <w:rsid w:val="00B84C06"/>
    <w:rsid w:val="00B84E75"/>
    <w:rsid w:val="00B8528C"/>
    <w:rsid w:val="00B853B1"/>
    <w:rsid w:val="00B857CE"/>
    <w:rsid w:val="00B8586C"/>
    <w:rsid w:val="00B858D1"/>
    <w:rsid w:val="00B85A34"/>
    <w:rsid w:val="00B85D37"/>
    <w:rsid w:val="00B8672A"/>
    <w:rsid w:val="00B86F4E"/>
    <w:rsid w:val="00B87020"/>
    <w:rsid w:val="00B871ED"/>
    <w:rsid w:val="00B875E0"/>
    <w:rsid w:val="00B8792E"/>
    <w:rsid w:val="00B900A1"/>
    <w:rsid w:val="00B9039F"/>
    <w:rsid w:val="00B90585"/>
    <w:rsid w:val="00B908DB"/>
    <w:rsid w:val="00B90B50"/>
    <w:rsid w:val="00B90DA3"/>
    <w:rsid w:val="00B90E31"/>
    <w:rsid w:val="00B90F62"/>
    <w:rsid w:val="00B91178"/>
    <w:rsid w:val="00B915B6"/>
    <w:rsid w:val="00B9199E"/>
    <w:rsid w:val="00B91CA0"/>
    <w:rsid w:val="00B91D2B"/>
    <w:rsid w:val="00B91D8C"/>
    <w:rsid w:val="00B91DAF"/>
    <w:rsid w:val="00B92134"/>
    <w:rsid w:val="00B925A0"/>
    <w:rsid w:val="00B9264E"/>
    <w:rsid w:val="00B92BC0"/>
    <w:rsid w:val="00B92D42"/>
    <w:rsid w:val="00B92D5B"/>
    <w:rsid w:val="00B9305B"/>
    <w:rsid w:val="00B934C8"/>
    <w:rsid w:val="00B934E5"/>
    <w:rsid w:val="00B93580"/>
    <w:rsid w:val="00B93A1E"/>
    <w:rsid w:val="00B93BEE"/>
    <w:rsid w:val="00B93E50"/>
    <w:rsid w:val="00B93F11"/>
    <w:rsid w:val="00B940A9"/>
    <w:rsid w:val="00B94989"/>
    <w:rsid w:val="00B949F3"/>
    <w:rsid w:val="00B94B7B"/>
    <w:rsid w:val="00B94D09"/>
    <w:rsid w:val="00B94FE8"/>
    <w:rsid w:val="00B95188"/>
    <w:rsid w:val="00B9554C"/>
    <w:rsid w:val="00B95626"/>
    <w:rsid w:val="00B9568C"/>
    <w:rsid w:val="00B95708"/>
    <w:rsid w:val="00B957CD"/>
    <w:rsid w:val="00B958A7"/>
    <w:rsid w:val="00B95937"/>
    <w:rsid w:val="00B96083"/>
    <w:rsid w:val="00B96098"/>
    <w:rsid w:val="00B9610F"/>
    <w:rsid w:val="00B96555"/>
    <w:rsid w:val="00B96638"/>
    <w:rsid w:val="00B9674B"/>
    <w:rsid w:val="00B9681A"/>
    <w:rsid w:val="00B96B38"/>
    <w:rsid w:val="00B96B40"/>
    <w:rsid w:val="00B96C9D"/>
    <w:rsid w:val="00B96EAE"/>
    <w:rsid w:val="00B96F4A"/>
    <w:rsid w:val="00B97143"/>
    <w:rsid w:val="00B972FC"/>
    <w:rsid w:val="00B97413"/>
    <w:rsid w:val="00B974AC"/>
    <w:rsid w:val="00B974AE"/>
    <w:rsid w:val="00B976D3"/>
    <w:rsid w:val="00B978B9"/>
    <w:rsid w:val="00B978EB"/>
    <w:rsid w:val="00B97A16"/>
    <w:rsid w:val="00B97A89"/>
    <w:rsid w:val="00B97AF6"/>
    <w:rsid w:val="00B97B3A"/>
    <w:rsid w:val="00B97DDF"/>
    <w:rsid w:val="00B97DF8"/>
    <w:rsid w:val="00B97FAF"/>
    <w:rsid w:val="00BA0306"/>
    <w:rsid w:val="00BA0307"/>
    <w:rsid w:val="00BA0444"/>
    <w:rsid w:val="00BA08FB"/>
    <w:rsid w:val="00BA0904"/>
    <w:rsid w:val="00BA0963"/>
    <w:rsid w:val="00BA0C4B"/>
    <w:rsid w:val="00BA1053"/>
    <w:rsid w:val="00BA1168"/>
    <w:rsid w:val="00BA137D"/>
    <w:rsid w:val="00BA16CF"/>
    <w:rsid w:val="00BA17FA"/>
    <w:rsid w:val="00BA1B9D"/>
    <w:rsid w:val="00BA1BBA"/>
    <w:rsid w:val="00BA1D8F"/>
    <w:rsid w:val="00BA248C"/>
    <w:rsid w:val="00BA29D5"/>
    <w:rsid w:val="00BA2CA0"/>
    <w:rsid w:val="00BA2CE4"/>
    <w:rsid w:val="00BA2DCA"/>
    <w:rsid w:val="00BA31B5"/>
    <w:rsid w:val="00BA31E1"/>
    <w:rsid w:val="00BA33EA"/>
    <w:rsid w:val="00BA3512"/>
    <w:rsid w:val="00BA376C"/>
    <w:rsid w:val="00BA3A0F"/>
    <w:rsid w:val="00BA3AF0"/>
    <w:rsid w:val="00BA3D5C"/>
    <w:rsid w:val="00BA3E37"/>
    <w:rsid w:val="00BA3EFE"/>
    <w:rsid w:val="00BA3FC3"/>
    <w:rsid w:val="00BA4188"/>
    <w:rsid w:val="00BA41E3"/>
    <w:rsid w:val="00BA4239"/>
    <w:rsid w:val="00BA4448"/>
    <w:rsid w:val="00BA44C2"/>
    <w:rsid w:val="00BA462A"/>
    <w:rsid w:val="00BA48E0"/>
    <w:rsid w:val="00BA4E0D"/>
    <w:rsid w:val="00BA4FA8"/>
    <w:rsid w:val="00BA5542"/>
    <w:rsid w:val="00BA58DA"/>
    <w:rsid w:val="00BA5C41"/>
    <w:rsid w:val="00BA5CEA"/>
    <w:rsid w:val="00BA606C"/>
    <w:rsid w:val="00BA66BC"/>
    <w:rsid w:val="00BA6732"/>
    <w:rsid w:val="00BA6AAE"/>
    <w:rsid w:val="00BA6C27"/>
    <w:rsid w:val="00BA6C30"/>
    <w:rsid w:val="00BA7092"/>
    <w:rsid w:val="00BA7420"/>
    <w:rsid w:val="00BA7693"/>
    <w:rsid w:val="00BA796B"/>
    <w:rsid w:val="00BB003D"/>
    <w:rsid w:val="00BB073B"/>
    <w:rsid w:val="00BB088B"/>
    <w:rsid w:val="00BB0C81"/>
    <w:rsid w:val="00BB0DBC"/>
    <w:rsid w:val="00BB1010"/>
    <w:rsid w:val="00BB10E4"/>
    <w:rsid w:val="00BB1127"/>
    <w:rsid w:val="00BB126D"/>
    <w:rsid w:val="00BB1476"/>
    <w:rsid w:val="00BB1709"/>
    <w:rsid w:val="00BB176F"/>
    <w:rsid w:val="00BB1812"/>
    <w:rsid w:val="00BB1956"/>
    <w:rsid w:val="00BB1CB1"/>
    <w:rsid w:val="00BB1CE6"/>
    <w:rsid w:val="00BB1CFA"/>
    <w:rsid w:val="00BB1DFD"/>
    <w:rsid w:val="00BB1FA0"/>
    <w:rsid w:val="00BB2732"/>
    <w:rsid w:val="00BB2802"/>
    <w:rsid w:val="00BB2C7C"/>
    <w:rsid w:val="00BB2DC3"/>
    <w:rsid w:val="00BB2ED8"/>
    <w:rsid w:val="00BB3315"/>
    <w:rsid w:val="00BB378E"/>
    <w:rsid w:val="00BB39E7"/>
    <w:rsid w:val="00BB3E17"/>
    <w:rsid w:val="00BB3F9A"/>
    <w:rsid w:val="00BB403A"/>
    <w:rsid w:val="00BB40C7"/>
    <w:rsid w:val="00BB455F"/>
    <w:rsid w:val="00BB47AD"/>
    <w:rsid w:val="00BB4CEB"/>
    <w:rsid w:val="00BB4EA1"/>
    <w:rsid w:val="00BB51E5"/>
    <w:rsid w:val="00BB5264"/>
    <w:rsid w:val="00BB58BB"/>
    <w:rsid w:val="00BB58E1"/>
    <w:rsid w:val="00BB5910"/>
    <w:rsid w:val="00BB5AEE"/>
    <w:rsid w:val="00BB5FB1"/>
    <w:rsid w:val="00BB6027"/>
    <w:rsid w:val="00BB635A"/>
    <w:rsid w:val="00BB6A9C"/>
    <w:rsid w:val="00BB6CCD"/>
    <w:rsid w:val="00BB6D37"/>
    <w:rsid w:val="00BB6E7A"/>
    <w:rsid w:val="00BB6FFC"/>
    <w:rsid w:val="00BB7000"/>
    <w:rsid w:val="00BB7063"/>
    <w:rsid w:val="00BB7103"/>
    <w:rsid w:val="00BB7314"/>
    <w:rsid w:val="00BB73FB"/>
    <w:rsid w:val="00BB768A"/>
    <w:rsid w:val="00BB7699"/>
    <w:rsid w:val="00BB76C2"/>
    <w:rsid w:val="00BB7D80"/>
    <w:rsid w:val="00BC0785"/>
    <w:rsid w:val="00BC078B"/>
    <w:rsid w:val="00BC08E0"/>
    <w:rsid w:val="00BC0D92"/>
    <w:rsid w:val="00BC0EBE"/>
    <w:rsid w:val="00BC106B"/>
    <w:rsid w:val="00BC1088"/>
    <w:rsid w:val="00BC10B3"/>
    <w:rsid w:val="00BC1367"/>
    <w:rsid w:val="00BC15CD"/>
    <w:rsid w:val="00BC1BF5"/>
    <w:rsid w:val="00BC1E9B"/>
    <w:rsid w:val="00BC1E9D"/>
    <w:rsid w:val="00BC1F34"/>
    <w:rsid w:val="00BC1F77"/>
    <w:rsid w:val="00BC2152"/>
    <w:rsid w:val="00BC2391"/>
    <w:rsid w:val="00BC2421"/>
    <w:rsid w:val="00BC28B4"/>
    <w:rsid w:val="00BC2FF0"/>
    <w:rsid w:val="00BC307B"/>
    <w:rsid w:val="00BC31E3"/>
    <w:rsid w:val="00BC3485"/>
    <w:rsid w:val="00BC3503"/>
    <w:rsid w:val="00BC370F"/>
    <w:rsid w:val="00BC3741"/>
    <w:rsid w:val="00BC37CF"/>
    <w:rsid w:val="00BC39BF"/>
    <w:rsid w:val="00BC3E16"/>
    <w:rsid w:val="00BC3E8F"/>
    <w:rsid w:val="00BC40D5"/>
    <w:rsid w:val="00BC411D"/>
    <w:rsid w:val="00BC41CB"/>
    <w:rsid w:val="00BC463F"/>
    <w:rsid w:val="00BC4835"/>
    <w:rsid w:val="00BC49AD"/>
    <w:rsid w:val="00BC4A2A"/>
    <w:rsid w:val="00BC4A50"/>
    <w:rsid w:val="00BC4AEB"/>
    <w:rsid w:val="00BC4E9F"/>
    <w:rsid w:val="00BC5229"/>
    <w:rsid w:val="00BC5358"/>
    <w:rsid w:val="00BC5684"/>
    <w:rsid w:val="00BC5AD1"/>
    <w:rsid w:val="00BC5B4E"/>
    <w:rsid w:val="00BC5B8E"/>
    <w:rsid w:val="00BC5C33"/>
    <w:rsid w:val="00BC5E2D"/>
    <w:rsid w:val="00BC5E7A"/>
    <w:rsid w:val="00BC5EAE"/>
    <w:rsid w:val="00BC5F08"/>
    <w:rsid w:val="00BC5F4C"/>
    <w:rsid w:val="00BC6026"/>
    <w:rsid w:val="00BC60B8"/>
    <w:rsid w:val="00BC614F"/>
    <w:rsid w:val="00BC61C3"/>
    <w:rsid w:val="00BC61DC"/>
    <w:rsid w:val="00BC6340"/>
    <w:rsid w:val="00BC6972"/>
    <w:rsid w:val="00BC6BC1"/>
    <w:rsid w:val="00BC6DEF"/>
    <w:rsid w:val="00BC6F21"/>
    <w:rsid w:val="00BC7170"/>
    <w:rsid w:val="00BC7196"/>
    <w:rsid w:val="00BC72D4"/>
    <w:rsid w:val="00BC7895"/>
    <w:rsid w:val="00BD0105"/>
    <w:rsid w:val="00BD0136"/>
    <w:rsid w:val="00BD07EE"/>
    <w:rsid w:val="00BD07F6"/>
    <w:rsid w:val="00BD105A"/>
    <w:rsid w:val="00BD10A0"/>
    <w:rsid w:val="00BD1363"/>
    <w:rsid w:val="00BD140E"/>
    <w:rsid w:val="00BD1A30"/>
    <w:rsid w:val="00BD1C21"/>
    <w:rsid w:val="00BD1C7A"/>
    <w:rsid w:val="00BD1CEB"/>
    <w:rsid w:val="00BD1D08"/>
    <w:rsid w:val="00BD1F58"/>
    <w:rsid w:val="00BD26CB"/>
    <w:rsid w:val="00BD27EE"/>
    <w:rsid w:val="00BD2827"/>
    <w:rsid w:val="00BD28EA"/>
    <w:rsid w:val="00BD29A6"/>
    <w:rsid w:val="00BD2B81"/>
    <w:rsid w:val="00BD2D76"/>
    <w:rsid w:val="00BD2EDF"/>
    <w:rsid w:val="00BD2EE7"/>
    <w:rsid w:val="00BD3579"/>
    <w:rsid w:val="00BD39D2"/>
    <w:rsid w:val="00BD3B61"/>
    <w:rsid w:val="00BD3C23"/>
    <w:rsid w:val="00BD3C57"/>
    <w:rsid w:val="00BD3FAD"/>
    <w:rsid w:val="00BD3FBC"/>
    <w:rsid w:val="00BD434D"/>
    <w:rsid w:val="00BD4401"/>
    <w:rsid w:val="00BD4429"/>
    <w:rsid w:val="00BD44DE"/>
    <w:rsid w:val="00BD48E0"/>
    <w:rsid w:val="00BD4925"/>
    <w:rsid w:val="00BD4AAB"/>
    <w:rsid w:val="00BD50C0"/>
    <w:rsid w:val="00BD512C"/>
    <w:rsid w:val="00BD5352"/>
    <w:rsid w:val="00BD564B"/>
    <w:rsid w:val="00BD5714"/>
    <w:rsid w:val="00BD589B"/>
    <w:rsid w:val="00BD5AE7"/>
    <w:rsid w:val="00BD5D69"/>
    <w:rsid w:val="00BD6531"/>
    <w:rsid w:val="00BD6718"/>
    <w:rsid w:val="00BD682C"/>
    <w:rsid w:val="00BD68C6"/>
    <w:rsid w:val="00BD6A55"/>
    <w:rsid w:val="00BD6AB7"/>
    <w:rsid w:val="00BD6E32"/>
    <w:rsid w:val="00BD71D4"/>
    <w:rsid w:val="00BD71F4"/>
    <w:rsid w:val="00BD720E"/>
    <w:rsid w:val="00BD726B"/>
    <w:rsid w:val="00BD750A"/>
    <w:rsid w:val="00BD75CB"/>
    <w:rsid w:val="00BD75CF"/>
    <w:rsid w:val="00BD7643"/>
    <w:rsid w:val="00BD76DB"/>
    <w:rsid w:val="00BD7705"/>
    <w:rsid w:val="00BD77E4"/>
    <w:rsid w:val="00BD7953"/>
    <w:rsid w:val="00BD7964"/>
    <w:rsid w:val="00BD7B9A"/>
    <w:rsid w:val="00BD7CBA"/>
    <w:rsid w:val="00BD7E74"/>
    <w:rsid w:val="00BD7EA7"/>
    <w:rsid w:val="00BE009E"/>
    <w:rsid w:val="00BE0390"/>
    <w:rsid w:val="00BE03F6"/>
    <w:rsid w:val="00BE061C"/>
    <w:rsid w:val="00BE08EB"/>
    <w:rsid w:val="00BE0CE0"/>
    <w:rsid w:val="00BE0CF5"/>
    <w:rsid w:val="00BE0D57"/>
    <w:rsid w:val="00BE1234"/>
    <w:rsid w:val="00BE1304"/>
    <w:rsid w:val="00BE1315"/>
    <w:rsid w:val="00BE18E1"/>
    <w:rsid w:val="00BE1969"/>
    <w:rsid w:val="00BE1C2D"/>
    <w:rsid w:val="00BE1FCF"/>
    <w:rsid w:val="00BE23AA"/>
    <w:rsid w:val="00BE23DC"/>
    <w:rsid w:val="00BE26BB"/>
    <w:rsid w:val="00BE2997"/>
    <w:rsid w:val="00BE2CFF"/>
    <w:rsid w:val="00BE2EAF"/>
    <w:rsid w:val="00BE31CA"/>
    <w:rsid w:val="00BE31DC"/>
    <w:rsid w:val="00BE33D1"/>
    <w:rsid w:val="00BE34AD"/>
    <w:rsid w:val="00BE34C1"/>
    <w:rsid w:val="00BE374A"/>
    <w:rsid w:val="00BE37BC"/>
    <w:rsid w:val="00BE37CC"/>
    <w:rsid w:val="00BE3BC9"/>
    <w:rsid w:val="00BE3D03"/>
    <w:rsid w:val="00BE3D6F"/>
    <w:rsid w:val="00BE3F9A"/>
    <w:rsid w:val="00BE42DD"/>
    <w:rsid w:val="00BE4420"/>
    <w:rsid w:val="00BE44ED"/>
    <w:rsid w:val="00BE460C"/>
    <w:rsid w:val="00BE468F"/>
    <w:rsid w:val="00BE476B"/>
    <w:rsid w:val="00BE477B"/>
    <w:rsid w:val="00BE4803"/>
    <w:rsid w:val="00BE4B6A"/>
    <w:rsid w:val="00BE4B88"/>
    <w:rsid w:val="00BE4D94"/>
    <w:rsid w:val="00BE4E5C"/>
    <w:rsid w:val="00BE4E86"/>
    <w:rsid w:val="00BE4ED7"/>
    <w:rsid w:val="00BE504E"/>
    <w:rsid w:val="00BE50CB"/>
    <w:rsid w:val="00BE5110"/>
    <w:rsid w:val="00BE542F"/>
    <w:rsid w:val="00BE562D"/>
    <w:rsid w:val="00BE5708"/>
    <w:rsid w:val="00BE57B6"/>
    <w:rsid w:val="00BE5A19"/>
    <w:rsid w:val="00BE5C98"/>
    <w:rsid w:val="00BE5E8A"/>
    <w:rsid w:val="00BE6442"/>
    <w:rsid w:val="00BE6668"/>
    <w:rsid w:val="00BE6695"/>
    <w:rsid w:val="00BE66A6"/>
    <w:rsid w:val="00BE67BD"/>
    <w:rsid w:val="00BE6C7A"/>
    <w:rsid w:val="00BE6D0F"/>
    <w:rsid w:val="00BE70D0"/>
    <w:rsid w:val="00BE7154"/>
    <w:rsid w:val="00BE7185"/>
    <w:rsid w:val="00BE736C"/>
    <w:rsid w:val="00BE758B"/>
    <w:rsid w:val="00BE771D"/>
    <w:rsid w:val="00BE77D3"/>
    <w:rsid w:val="00BE79AA"/>
    <w:rsid w:val="00BE7C86"/>
    <w:rsid w:val="00BE7F1A"/>
    <w:rsid w:val="00BF0210"/>
    <w:rsid w:val="00BF0399"/>
    <w:rsid w:val="00BF03AB"/>
    <w:rsid w:val="00BF04B4"/>
    <w:rsid w:val="00BF0522"/>
    <w:rsid w:val="00BF08E7"/>
    <w:rsid w:val="00BF095F"/>
    <w:rsid w:val="00BF0B4C"/>
    <w:rsid w:val="00BF0F9A"/>
    <w:rsid w:val="00BF10DA"/>
    <w:rsid w:val="00BF1166"/>
    <w:rsid w:val="00BF127F"/>
    <w:rsid w:val="00BF136F"/>
    <w:rsid w:val="00BF13FF"/>
    <w:rsid w:val="00BF1428"/>
    <w:rsid w:val="00BF152E"/>
    <w:rsid w:val="00BF1BA6"/>
    <w:rsid w:val="00BF1E6D"/>
    <w:rsid w:val="00BF2073"/>
    <w:rsid w:val="00BF20B8"/>
    <w:rsid w:val="00BF2423"/>
    <w:rsid w:val="00BF25E3"/>
    <w:rsid w:val="00BF26BB"/>
    <w:rsid w:val="00BF26D3"/>
    <w:rsid w:val="00BF277E"/>
    <w:rsid w:val="00BF28D9"/>
    <w:rsid w:val="00BF2A01"/>
    <w:rsid w:val="00BF2B32"/>
    <w:rsid w:val="00BF2DE4"/>
    <w:rsid w:val="00BF2E90"/>
    <w:rsid w:val="00BF3029"/>
    <w:rsid w:val="00BF3223"/>
    <w:rsid w:val="00BF3351"/>
    <w:rsid w:val="00BF33A3"/>
    <w:rsid w:val="00BF3454"/>
    <w:rsid w:val="00BF3C1E"/>
    <w:rsid w:val="00BF3DF1"/>
    <w:rsid w:val="00BF40B9"/>
    <w:rsid w:val="00BF40FB"/>
    <w:rsid w:val="00BF458D"/>
    <w:rsid w:val="00BF4616"/>
    <w:rsid w:val="00BF46A7"/>
    <w:rsid w:val="00BF47CE"/>
    <w:rsid w:val="00BF4959"/>
    <w:rsid w:val="00BF53D1"/>
    <w:rsid w:val="00BF58F6"/>
    <w:rsid w:val="00BF59B8"/>
    <w:rsid w:val="00BF5AE5"/>
    <w:rsid w:val="00BF5DCE"/>
    <w:rsid w:val="00BF5EFD"/>
    <w:rsid w:val="00BF5F0E"/>
    <w:rsid w:val="00BF64BB"/>
    <w:rsid w:val="00BF6728"/>
    <w:rsid w:val="00BF6B67"/>
    <w:rsid w:val="00BF6B75"/>
    <w:rsid w:val="00BF6E21"/>
    <w:rsid w:val="00BF7123"/>
    <w:rsid w:val="00BF7228"/>
    <w:rsid w:val="00BF728C"/>
    <w:rsid w:val="00BF72ED"/>
    <w:rsid w:val="00BF779C"/>
    <w:rsid w:val="00BF77B6"/>
    <w:rsid w:val="00BF78E3"/>
    <w:rsid w:val="00BF7BE7"/>
    <w:rsid w:val="00BF7BFF"/>
    <w:rsid w:val="00BF7F27"/>
    <w:rsid w:val="00BF7FE7"/>
    <w:rsid w:val="00C00272"/>
    <w:rsid w:val="00C0048D"/>
    <w:rsid w:val="00C004D9"/>
    <w:rsid w:val="00C005DC"/>
    <w:rsid w:val="00C00966"/>
    <w:rsid w:val="00C00AF6"/>
    <w:rsid w:val="00C01002"/>
    <w:rsid w:val="00C01004"/>
    <w:rsid w:val="00C012CA"/>
    <w:rsid w:val="00C012DD"/>
    <w:rsid w:val="00C0173B"/>
    <w:rsid w:val="00C01E41"/>
    <w:rsid w:val="00C01EC7"/>
    <w:rsid w:val="00C021E1"/>
    <w:rsid w:val="00C021FA"/>
    <w:rsid w:val="00C02947"/>
    <w:rsid w:val="00C029D5"/>
    <w:rsid w:val="00C02ABD"/>
    <w:rsid w:val="00C02C4B"/>
    <w:rsid w:val="00C02D1C"/>
    <w:rsid w:val="00C02DF3"/>
    <w:rsid w:val="00C03076"/>
    <w:rsid w:val="00C031B5"/>
    <w:rsid w:val="00C03330"/>
    <w:rsid w:val="00C03618"/>
    <w:rsid w:val="00C03827"/>
    <w:rsid w:val="00C03D15"/>
    <w:rsid w:val="00C04057"/>
    <w:rsid w:val="00C041ED"/>
    <w:rsid w:val="00C0434E"/>
    <w:rsid w:val="00C048CE"/>
    <w:rsid w:val="00C0491B"/>
    <w:rsid w:val="00C04A82"/>
    <w:rsid w:val="00C04C6E"/>
    <w:rsid w:val="00C04E6D"/>
    <w:rsid w:val="00C04F61"/>
    <w:rsid w:val="00C050EB"/>
    <w:rsid w:val="00C051BB"/>
    <w:rsid w:val="00C0529E"/>
    <w:rsid w:val="00C052C1"/>
    <w:rsid w:val="00C056AA"/>
    <w:rsid w:val="00C05B18"/>
    <w:rsid w:val="00C0608F"/>
    <w:rsid w:val="00C060DB"/>
    <w:rsid w:val="00C0612E"/>
    <w:rsid w:val="00C06294"/>
    <w:rsid w:val="00C062D5"/>
    <w:rsid w:val="00C065BB"/>
    <w:rsid w:val="00C069E8"/>
    <w:rsid w:val="00C06C44"/>
    <w:rsid w:val="00C06D32"/>
    <w:rsid w:val="00C06F8E"/>
    <w:rsid w:val="00C06FC2"/>
    <w:rsid w:val="00C071FC"/>
    <w:rsid w:val="00C074B0"/>
    <w:rsid w:val="00C076E1"/>
    <w:rsid w:val="00C07BA8"/>
    <w:rsid w:val="00C07BD4"/>
    <w:rsid w:val="00C07CD6"/>
    <w:rsid w:val="00C07CF2"/>
    <w:rsid w:val="00C07F4C"/>
    <w:rsid w:val="00C10011"/>
    <w:rsid w:val="00C10136"/>
    <w:rsid w:val="00C10139"/>
    <w:rsid w:val="00C10321"/>
    <w:rsid w:val="00C1048A"/>
    <w:rsid w:val="00C105CE"/>
    <w:rsid w:val="00C10A25"/>
    <w:rsid w:val="00C10AEF"/>
    <w:rsid w:val="00C10D32"/>
    <w:rsid w:val="00C10F3E"/>
    <w:rsid w:val="00C10FD2"/>
    <w:rsid w:val="00C11095"/>
    <w:rsid w:val="00C1113B"/>
    <w:rsid w:val="00C113ED"/>
    <w:rsid w:val="00C11563"/>
    <w:rsid w:val="00C116D9"/>
    <w:rsid w:val="00C117BF"/>
    <w:rsid w:val="00C11A80"/>
    <w:rsid w:val="00C11C57"/>
    <w:rsid w:val="00C11D54"/>
    <w:rsid w:val="00C11D7D"/>
    <w:rsid w:val="00C123F8"/>
    <w:rsid w:val="00C1240B"/>
    <w:rsid w:val="00C12434"/>
    <w:rsid w:val="00C12725"/>
    <w:rsid w:val="00C1272E"/>
    <w:rsid w:val="00C127DF"/>
    <w:rsid w:val="00C1293E"/>
    <w:rsid w:val="00C12AA6"/>
    <w:rsid w:val="00C12BE9"/>
    <w:rsid w:val="00C1320F"/>
    <w:rsid w:val="00C1330F"/>
    <w:rsid w:val="00C138F6"/>
    <w:rsid w:val="00C13B4D"/>
    <w:rsid w:val="00C13CB8"/>
    <w:rsid w:val="00C13D1D"/>
    <w:rsid w:val="00C14360"/>
    <w:rsid w:val="00C145D9"/>
    <w:rsid w:val="00C14A03"/>
    <w:rsid w:val="00C14B3D"/>
    <w:rsid w:val="00C14C4B"/>
    <w:rsid w:val="00C15016"/>
    <w:rsid w:val="00C150DC"/>
    <w:rsid w:val="00C15125"/>
    <w:rsid w:val="00C152F3"/>
    <w:rsid w:val="00C15458"/>
    <w:rsid w:val="00C15561"/>
    <w:rsid w:val="00C15851"/>
    <w:rsid w:val="00C15976"/>
    <w:rsid w:val="00C15B29"/>
    <w:rsid w:val="00C15D3F"/>
    <w:rsid w:val="00C15EB6"/>
    <w:rsid w:val="00C165AA"/>
    <w:rsid w:val="00C1664F"/>
    <w:rsid w:val="00C16653"/>
    <w:rsid w:val="00C16971"/>
    <w:rsid w:val="00C16982"/>
    <w:rsid w:val="00C16A11"/>
    <w:rsid w:val="00C16CE3"/>
    <w:rsid w:val="00C1747E"/>
    <w:rsid w:val="00C174A1"/>
    <w:rsid w:val="00C17516"/>
    <w:rsid w:val="00C177A6"/>
    <w:rsid w:val="00C17805"/>
    <w:rsid w:val="00C178BF"/>
    <w:rsid w:val="00C17951"/>
    <w:rsid w:val="00C17A9A"/>
    <w:rsid w:val="00C17BE9"/>
    <w:rsid w:val="00C17C06"/>
    <w:rsid w:val="00C17C32"/>
    <w:rsid w:val="00C20021"/>
    <w:rsid w:val="00C202EE"/>
    <w:rsid w:val="00C20A3C"/>
    <w:rsid w:val="00C20B5E"/>
    <w:rsid w:val="00C20E27"/>
    <w:rsid w:val="00C210EE"/>
    <w:rsid w:val="00C211CE"/>
    <w:rsid w:val="00C2131E"/>
    <w:rsid w:val="00C21534"/>
    <w:rsid w:val="00C216EC"/>
    <w:rsid w:val="00C21A44"/>
    <w:rsid w:val="00C21E16"/>
    <w:rsid w:val="00C21EA3"/>
    <w:rsid w:val="00C22130"/>
    <w:rsid w:val="00C222E5"/>
    <w:rsid w:val="00C2245B"/>
    <w:rsid w:val="00C224C9"/>
    <w:rsid w:val="00C2271B"/>
    <w:rsid w:val="00C22729"/>
    <w:rsid w:val="00C22BA8"/>
    <w:rsid w:val="00C22C00"/>
    <w:rsid w:val="00C22D88"/>
    <w:rsid w:val="00C22F68"/>
    <w:rsid w:val="00C231DE"/>
    <w:rsid w:val="00C23333"/>
    <w:rsid w:val="00C23376"/>
    <w:rsid w:val="00C23747"/>
    <w:rsid w:val="00C23815"/>
    <w:rsid w:val="00C23ACE"/>
    <w:rsid w:val="00C23DCB"/>
    <w:rsid w:val="00C23F9D"/>
    <w:rsid w:val="00C24322"/>
    <w:rsid w:val="00C2437A"/>
    <w:rsid w:val="00C24786"/>
    <w:rsid w:val="00C24DE6"/>
    <w:rsid w:val="00C2509C"/>
    <w:rsid w:val="00C257DC"/>
    <w:rsid w:val="00C259B0"/>
    <w:rsid w:val="00C25BA6"/>
    <w:rsid w:val="00C25BF1"/>
    <w:rsid w:val="00C25E01"/>
    <w:rsid w:val="00C25E57"/>
    <w:rsid w:val="00C25F2B"/>
    <w:rsid w:val="00C26076"/>
    <w:rsid w:val="00C260F0"/>
    <w:rsid w:val="00C2615A"/>
    <w:rsid w:val="00C262AD"/>
    <w:rsid w:val="00C263DD"/>
    <w:rsid w:val="00C26618"/>
    <w:rsid w:val="00C266BB"/>
    <w:rsid w:val="00C26A38"/>
    <w:rsid w:val="00C26A98"/>
    <w:rsid w:val="00C26BFB"/>
    <w:rsid w:val="00C26CAE"/>
    <w:rsid w:val="00C26E81"/>
    <w:rsid w:val="00C26F73"/>
    <w:rsid w:val="00C27449"/>
    <w:rsid w:val="00C2782F"/>
    <w:rsid w:val="00C27ADD"/>
    <w:rsid w:val="00C27C0B"/>
    <w:rsid w:val="00C27FAD"/>
    <w:rsid w:val="00C27FDB"/>
    <w:rsid w:val="00C30260"/>
    <w:rsid w:val="00C305E4"/>
    <w:rsid w:val="00C3094D"/>
    <w:rsid w:val="00C30F34"/>
    <w:rsid w:val="00C31066"/>
    <w:rsid w:val="00C31178"/>
    <w:rsid w:val="00C31630"/>
    <w:rsid w:val="00C3199A"/>
    <w:rsid w:val="00C31B63"/>
    <w:rsid w:val="00C31C63"/>
    <w:rsid w:val="00C31D19"/>
    <w:rsid w:val="00C31D42"/>
    <w:rsid w:val="00C31D6F"/>
    <w:rsid w:val="00C322CB"/>
    <w:rsid w:val="00C32566"/>
    <w:rsid w:val="00C32882"/>
    <w:rsid w:val="00C329ED"/>
    <w:rsid w:val="00C32E6D"/>
    <w:rsid w:val="00C331C5"/>
    <w:rsid w:val="00C33648"/>
    <w:rsid w:val="00C33697"/>
    <w:rsid w:val="00C337A7"/>
    <w:rsid w:val="00C33979"/>
    <w:rsid w:val="00C33B22"/>
    <w:rsid w:val="00C3472A"/>
    <w:rsid w:val="00C34C46"/>
    <w:rsid w:val="00C34CE6"/>
    <w:rsid w:val="00C34E71"/>
    <w:rsid w:val="00C34F0C"/>
    <w:rsid w:val="00C350BC"/>
    <w:rsid w:val="00C35223"/>
    <w:rsid w:val="00C35255"/>
    <w:rsid w:val="00C356AB"/>
    <w:rsid w:val="00C35913"/>
    <w:rsid w:val="00C35C0E"/>
    <w:rsid w:val="00C35C82"/>
    <w:rsid w:val="00C35CCC"/>
    <w:rsid w:val="00C35F10"/>
    <w:rsid w:val="00C36076"/>
    <w:rsid w:val="00C3638E"/>
    <w:rsid w:val="00C36556"/>
    <w:rsid w:val="00C368AE"/>
    <w:rsid w:val="00C369F4"/>
    <w:rsid w:val="00C372EE"/>
    <w:rsid w:val="00C3737D"/>
    <w:rsid w:val="00C3749C"/>
    <w:rsid w:val="00C37853"/>
    <w:rsid w:val="00C37996"/>
    <w:rsid w:val="00C37DA6"/>
    <w:rsid w:val="00C37E9B"/>
    <w:rsid w:val="00C400E5"/>
    <w:rsid w:val="00C400F0"/>
    <w:rsid w:val="00C40201"/>
    <w:rsid w:val="00C4027E"/>
    <w:rsid w:val="00C405A4"/>
    <w:rsid w:val="00C40661"/>
    <w:rsid w:val="00C406D0"/>
    <w:rsid w:val="00C40AB8"/>
    <w:rsid w:val="00C411D9"/>
    <w:rsid w:val="00C414EB"/>
    <w:rsid w:val="00C415F3"/>
    <w:rsid w:val="00C41815"/>
    <w:rsid w:val="00C419E2"/>
    <w:rsid w:val="00C41BA6"/>
    <w:rsid w:val="00C41F15"/>
    <w:rsid w:val="00C42117"/>
    <w:rsid w:val="00C42473"/>
    <w:rsid w:val="00C424D5"/>
    <w:rsid w:val="00C4278D"/>
    <w:rsid w:val="00C428E3"/>
    <w:rsid w:val="00C4301E"/>
    <w:rsid w:val="00C43026"/>
    <w:rsid w:val="00C432B8"/>
    <w:rsid w:val="00C43558"/>
    <w:rsid w:val="00C435AB"/>
    <w:rsid w:val="00C43647"/>
    <w:rsid w:val="00C4364F"/>
    <w:rsid w:val="00C43E32"/>
    <w:rsid w:val="00C43E55"/>
    <w:rsid w:val="00C43FF3"/>
    <w:rsid w:val="00C44198"/>
    <w:rsid w:val="00C441D2"/>
    <w:rsid w:val="00C44458"/>
    <w:rsid w:val="00C444F3"/>
    <w:rsid w:val="00C44510"/>
    <w:rsid w:val="00C44528"/>
    <w:rsid w:val="00C4452A"/>
    <w:rsid w:val="00C446B9"/>
    <w:rsid w:val="00C447DB"/>
    <w:rsid w:val="00C44B26"/>
    <w:rsid w:val="00C44BCB"/>
    <w:rsid w:val="00C44D64"/>
    <w:rsid w:val="00C44DB0"/>
    <w:rsid w:val="00C45082"/>
    <w:rsid w:val="00C45084"/>
    <w:rsid w:val="00C45089"/>
    <w:rsid w:val="00C452CE"/>
    <w:rsid w:val="00C453C3"/>
    <w:rsid w:val="00C45463"/>
    <w:rsid w:val="00C45675"/>
    <w:rsid w:val="00C456AD"/>
    <w:rsid w:val="00C45A84"/>
    <w:rsid w:val="00C45BFD"/>
    <w:rsid w:val="00C45DF6"/>
    <w:rsid w:val="00C46029"/>
    <w:rsid w:val="00C46148"/>
    <w:rsid w:val="00C4634A"/>
    <w:rsid w:val="00C4665C"/>
    <w:rsid w:val="00C46913"/>
    <w:rsid w:val="00C469DD"/>
    <w:rsid w:val="00C46A89"/>
    <w:rsid w:val="00C46D58"/>
    <w:rsid w:val="00C46E0D"/>
    <w:rsid w:val="00C4718C"/>
    <w:rsid w:val="00C47269"/>
    <w:rsid w:val="00C472E6"/>
    <w:rsid w:val="00C47331"/>
    <w:rsid w:val="00C47421"/>
    <w:rsid w:val="00C47577"/>
    <w:rsid w:val="00C47A9A"/>
    <w:rsid w:val="00C47B31"/>
    <w:rsid w:val="00C50162"/>
    <w:rsid w:val="00C50468"/>
    <w:rsid w:val="00C50712"/>
    <w:rsid w:val="00C50762"/>
    <w:rsid w:val="00C508CF"/>
    <w:rsid w:val="00C50AC3"/>
    <w:rsid w:val="00C50FAC"/>
    <w:rsid w:val="00C5129A"/>
    <w:rsid w:val="00C5139B"/>
    <w:rsid w:val="00C514C0"/>
    <w:rsid w:val="00C51761"/>
    <w:rsid w:val="00C51950"/>
    <w:rsid w:val="00C519F6"/>
    <w:rsid w:val="00C51C21"/>
    <w:rsid w:val="00C51DF3"/>
    <w:rsid w:val="00C52318"/>
    <w:rsid w:val="00C52CB9"/>
    <w:rsid w:val="00C52D77"/>
    <w:rsid w:val="00C52FDE"/>
    <w:rsid w:val="00C530B7"/>
    <w:rsid w:val="00C5349B"/>
    <w:rsid w:val="00C5356E"/>
    <w:rsid w:val="00C5359C"/>
    <w:rsid w:val="00C53623"/>
    <w:rsid w:val="00C53CF5"/>
    <w:rsid w:val="00C53E91"/>
    <w:rsid w:val="00C53EBB"/>
    <w:rsid w:val="00C5404A"/>
    <w:rsid w:val="00C54151"/>
    <w:rsid w:val="00C5422A"/>
    <w:rsid w:val="00C544EF"/>
    <w:rsid w:val="00C5457B"/>
    <w:rsid w:val="00C54841"/>
    <w:rsid w:val="00C54A1F"/>
    <w:rsid w:val="00C54D06"/>
    <w:rsid w:val="00C54DC7"/>
    <w:rsid w:val="00C54DE2"/>
    <w:rsid w:val="00C5522E"/>
    <w:rsid w:val="00C5525E"/>
    <w:rsid w:val="00C55267"/>
    <w:rsid w:val="00C55674"/>
    <w:rsid w:val="00C559A4"/>
    <w:rsid w:val="00C55D90"/>
    <w:rsid w:val="00C55E48"/>
    <w:rsid w:val="00C55F1D"/>
    <w:rsid w:val="00C5642E"/>
    <w:rsid w:val="00C56634"/>
    <w:rsid w:val="00C56690"/>
    <w:rsid w:val="00C5671B"/>
    <w:rsid w:val="00C5672E"/>
    <w:rsid w:val="00C569F4"/>
    <w:rsid w:val="00C56D4C"/>
    <w:rsid w:val="00C56E81"/>
    <w:rsid w:val="00C571BF"/>
    <w:rsid w:val="00C572CE"/>
    <w:rsid w:val="00C5739D"/>
    <w:rsid w:val="00C575E6"/>
    <w:rsid w:val="00C576D2"/>
    <w:rsid w:val="00C57748"/>
    <w:rsid w:val="00C5776C"/>
    <w:rsid w:val="00C57A84"/>
    <w:rsid w:val="00C57B32"/>
    <w:rsid w:val="00C57B6C"/>
    <w:rsid w:val="00C57BE5"/>
    <w:rsid w:val="00C57C5C"/>
    <w:rsid w:val="00C6035E"/>
    <w:rsid w:val="00C6060C"/>
    <w:rsid w:val="00C60AFB"/>
    <w:rsid w:val="00C60C28"/>
    <w:rsid w:val="00C60DEA"/>
    <w:rsid w:val="00C611DE"/>
    <w:rsid w:val="00C61232"/>
    <w:rsid w:val="00C612C1"/>
    <w:rsid w:val="00C612FF"/>
    <w:rsid w:val="00C61377"/>
    <w:rsid w:val="00C616C4"/>
    <w:rsid w:val="00C618AE"/>
    <w:rsid w:val="00C619CE"/>
    <w:rsid w:val="00C61C35"/>
    <w:rsid w:val="00C61CA2"/>
    <w:rsid w:val="00C62068"/>
    <w:rsid w:val="00C621E4"/>
    <w:rsid w:val="00C6228E"/>
    <w:rsid w:val="00C6240B"/>
    <w:rsid w:val="00C625FC"/>
    <w:rsid w:val="00C6291B"/>
    <w:rsid w:val="00C629CF"/>
    <w:rsid w:val="00C629EA"/>
    <w:rsid w:val="00C62BC7"/>
    <w:rsid w:val="00C62C5E"/>
    <w:rsid w:val="00C62C76"/>
    <w:rsid w:val="00C62EB7"/>
    <w:rsid w:val="00C634C8"/>
    <w:rsid w:val="00C6352C"/>
    <w:rsid w:val="00C63AB6"/>
    <w:rsid w:val="00C63CB3"/>
    <w:rsid w:val="00C63DD6"/>
    <w:rsid w:val="00C63EFB"/>
    <w:rsid w:val="00C64030"/>
    <w:rsid w:val="00C644E5"/>
    <w:rsid w:val="00C64F0E"/>
    <w:rsid w:val="00C6507A"/>
    <w:rsid w:val="00C651B4"/>
    <w:rsid w:val="00C651D4"/>
    <w:rsid w:val="00C65273"/>
    <w:rsid w:val="00C65549"/>
    <w:rsid w:val="00C6559F"/>
    <w:rsid w:val="00C65639"/>
    <w:rsid w:val="00C6581F"/>
    <w:rsid w:val="00C65830"/>
    <w:rsid w:val="00C659F5"/>
    <w:rsid w:val="00C65ADD"/>
    <w:rsid w:val="00C65AE8"/>
    <w:rsid w:val="00C65C9E"/>
    <w:rsid w:val="00C66842"/>
    <w:rsid w:val="00C66CFB"/>
    <w:rsid w:val="00C66D2F"/>
    <w:rsid w:val="00C67A4E"/>
    <w:rsid w:val="00C70011"/>
    <w:rsid w:val="00C70600"/>
    <w:rsid w:val="00C7088D"/>
    <w:rsid w:val="00C70A05"/>
    <w:rsid w:val="00C70EC3"/>
    <w:rsid w:val="00C71207"/>
    <w:rsid w:val="00C713F1"/>
    <w:rsid w:val="00C7161C"/>
    <w:rsid w:val="00C71700"/>
    <w:rsid w:val="00C7191B"/>
    <w:rsid w:val="00C71DD3"/>
    <w:rsid w:val="00C72184"/>
    <w:rsid w:val="00C723A8"/>
    <w:rsid w:val="00C723C2"/>
    <w:rsid w:val="00C723F2"/>
    <w:rsid w:val="00C72799"/>
    <w:rsid w:val="00C72916"/>
    <w:rsid w:val="00C72A9B"/>
    <w:rsid w:val="00C72B22"/>
    <w:rsid w:val="00C72C8B"/>
    <w:rsid w:val="00C72D0E"/>
    <w:rsid w:val="00C72D8F"/>
    <w:rsid w:val="00C72E7C"/>
    <w:rsid w:val="00C72EC4"/>
    <w:rsid w:val="00C72F4E"/>
    <w:rsid w:val="00C73222"/>
    <w:rsid w:val="00C7323B"/>
    <w:rsid w:val="00C73253"/>
    <w:rsid w:val="00C73507"/>
    <w:rsid w:val="00C73632"/>
    <w:rsid w:val="00C736B8"/>
    <w:rsid w:val="00C73791"/>
    <w:rsid w:val="00C73813"/>
    <w:rsid w:val="00C73B3C"/>
    <w:rsid w:val="00C73BD2"/>
    <w:rsid w:val="00C7423E"/>
    <w:rsid w:val="00C743D5"/>
    <w:rsid w:val="00C744C3"/>
    <w:rsid w:val="00C74582"/>
    <w:rsid w:val="00C7459E"/>
    <w:rsid w:val="00C74601"/>
    <w:rsid w:val="00C74A35"/>
    <w:rsid w:val="00C74F64"/>
    <w:rsid w:val="00C750B4"/>
    <w:rsid w:val="00C750DF"/>
    <w:rsid w:val="00C75330"/>
    <w:rsid w:val="00C75527"/>
    <w:rsid w:val="00C75585"/>
    <w:rsid w:val="00C75708"/>
    <w:rsid w:val="00C75B66"/>
    <w:rsid w:val="00C75C5C"/>
    <w:rsid w:val="00C75CCF"/>
    <w:rsid w:val="00C763A6"/>
    <w:rsid w:val="00C763C8"/>
    <w:rsid w:val="00C76567"/>
    <w:rsid w:val="00C769B8"/>
    <w:rsid w:val="00C76C90"/>
    <w:rsid w:val="00C76E95"/>
    <w:rsid w:val="00C76F58"/>
    <w:rsid w:val="00C76F6D"/>
    <w:rsid w:val="00C76F9E"/>
    <w:rsid w:val="00C7705B"/>
    <w:rsid w:val="00C7739C"/>
    <w:rsid w:val="00C773C4"/>
    <w:rsid w:val="00C773EC"/>
    <w:rsid w:val="00C77519"/>
    <w:rsid w:val="00C775C0"/>
    <w:rsid w:val="00C7778B"/>
    <w:rsid w:val="00C778A7"/>
    <w:rsid w:val="00C778C8"/>
    <w:rsid w:val="00C77B64"/>
    <w:rsid w:val="00C77D6B"/>
    <w:rsid w:val="00C77E6F"/>
    <w:rsid w:val="00C77FD4"/>
    <w:rsid w:val="00C80084"/>
    <w:rsid w:val="00C80085"/>
    <w:rsid w:val="00C802A4"/>
    <w:rsid w:val="00C804F4"/>
    <w:rsid w:val="00C80823"/>
    <w:rsid w:val="00C809AC"/>
    <w:rsid w:val="00C80B26"/>
    <w:rsid w:val="00C80B8F"/>
    <w:rsid w:val="00C80CBE"/>
    <w:rsid w:val="00C80E4B"/>
    <w:rsid w:val="00C8124A"/>
    <w:rsid w:val="00C81468"/>
    <w:rsid w:val="00C814A3"/>
    <w:rsid w:val="00C81516"/>
    <w:rsid w:val="00C816A5"/>
    <w:rsid w:val="00C816EB"/>
    <w:rsid w:val="00C81A79"/>
    <w:rsid w:val="00C81B7A"/>
    <w:rsid w:val="00C82082"/>
    <w:rsid w:val="00C82394"/>
    <w:rsid w:val="00C8243D"/>
    <w:rsid w:val="00C8246B"/>
    <w:rsid w:val="00C82C13"/>
    <w:rsid w:val="00C8303D"/>
    <w:rsid w:val="00C8309D"/>
    <w:rsid w:val="00C83944"/>
    <w:rsid w:val="00C83A51"/>
    <w:rsid w:val="00C83BDB"/>
    <w:rsid w:val="00C83C29"/>
    <w:rsid w:val="00C83CAE"/>
    <w:rsid w:val="00C841AC"/>
    <w:rsid w:val="00C84484"/>
    <w:rsid w:val="00C84B79"/>
    <w:rsid w:val="00C84C0E"/>
    <w:rsid w:val="00C84D5B"/>
    <w:rsid w:val="00C84E75"/>
    <w:rsid w:val="00C84F8F"/>
    <w:rsid w:val="00C84FE5"/>
    <w:rsid w:val="00C8509D"/>
    <w:rsid w:val="00C850E3"/>
    <w:rsid w:val="00C85350"/>
    <w:rsid w:val="00C853B9"/>
    <w:rsid w:val="00C85475"/>
    <w:rsid w:val="00C85579"/>
    <w:rsid w:val="00C85862"/>
    <w:rsid w:val="00C858CE"/>
    <w:rsid w:val="00C860C3"/>
    <w:rsid w:val="00C8626D"/>
    <w:rsid w:val="00C86398"/>
    <w:rsid w:val="00C866FD"/>
    <w:rsid w:val="00C86B77"/>
    <w:rsid w:val="00C86CB2"/>
    <w:rsid w:val="00C86D1B"/>
    <w:rsid w:val="00C86D61"/>
    <w:rsid w:val="00C87151"/>
    <w:rsid w:val="00C871E3"/>
    <w:rsid w:val="00C875A6"/>
    <w:rsid w:val="00C876A1"/>
    <w:rsid w:val="00C878D6"/>
    <w:rsid w:val="00C87A0D"/>
    <w:rsid w:val="00C87BE5"/>
    <w:rsid w:val="00C87C39"/>
    <w:rsid w:val="00C87E3E"/>
    <w:rsid w:val="00C90220"/>
    <w:rsid w:val="00C90761"/>
    <w:rsid w:val="00C90906"/>
    <w:rsid w:val="00C909D5"/>
    <w:rsid w:val="00C90E36"/>
    <w:rsid w:val="00C9107B"/>
    <w:rsid w:val="00C91435"/>
    <w:rsid w:val="00C9145A"/>
    <w:rsid w:val="00C916E3"/>
    <w:rsid w:val="00C91B11"/>
    <w:rsid w:val="00C91D0F"/>
    <w:rsid w:val="00C920C4"/>
    <w:rsid w:val="00C92218"/>
    <w:rsid w:val="00C9225D"/>
    <w:rsid w:val="00C92373"/>
    <w:rsid w:val="00C9267D"/>
    <w:rsid w:val="00C92696"/>
    <w:rsid w:val="00C92914"/>
    <w:rsid w:val="00C92A3A"/>
    <w:rsid w:val="00C92B14"/>
    <w:rsid w:val="00C92B25"/>
    <w:rsid w:val="00C92C2E"/>
    <w:rsid w:val="00C92C88"/>
    <w:rsid w:val="00C92ED3"/>
    <w:rsid w:val="00C93095"/>
    <w:rsid w:val="00C9323A"/>
    <w:rsid w:val="00C93335"/>
    <w:rsid w:val="00C934BC"/>
    <w:rsid w:val="00C936C8"/>
    <w:rsid w:val="00C936DD"/>
    <w:rsid w:val="00C937C8"/>
    <w:rsid w:val="00C93834"/>
    <w:rsid w:val="00C93911"/>
    <w:rsid w:val="00C93B8B"/>
    <w:rsid w:val="00C94028"/>
    <w:rsid w:val="00C9405D"/>
    <w:rsid w:val="00C94191"/>
    <w:rsid w:val="00C9451D"/>
    <w:rsid w:val="00C94856"/>
    <w:rsid w:val="00C94B47"/>
    <w:rsid w:val="00C94E36"/>
    <w:rsid w:val="00C9502A"/>
    <w:rsid w:val="00C95108"/>
    <w:rsid w:val="00C95157"/>
    <w:rsid w:val="00C95396"/>
    <w:rsid w:val="00C95451"/>
    <w:rsid w:val="00C954C1"/>
    <w:rsid w:val="00C9550F"/>
    <w:rsid w:val="00C95546"/>
    <w:rsid w:val="00C955AD"/>
    <w:rsid w:val="00C957CD"/>
    <w:rsid w:val="00C95800"/>
    <w:rsid w:val="00C95975"/>
    <w:rsid w:val="00C95A2D"/>
    <w:rsid w:val="00C95C33"/>
    <w:rsid w:val="00C95CA3"/>
    <w:rsid w:val="00C95D7C"/>
    <w:rsid w:val="00C96010"/>
    <w:rsid w:val="00C96084"/>
    <w:rsid w:val="00C9622F"/>
    <w:rsid w:val="00C96274"/>
    <w:rsid w:val="00C96296"/>
    <w:rsid w:val="00C9642A"/>
    <w:rsid w:val="00C964DB"/>
    <w:rsid w:val="00C965E3"/>
    <w:rsid w:val="00C966EA"/>
    <w:rsid w:val="00C967BF"/>
    <w:rsid w:val="00C967D5"/>
    <w:rsid w:val="00C968C0"/>
    <w:rsid w:val="00C969B6"/>
    <w:rsid w:val="00C96AF3"/>
    <w:rsid w:val="00C96E7A"/>
    <w:rsid w:val="00C96F9F"/>
    <w:rsid w:val="00C97439"/>
    <w:rsid w:val="00C97AA9"/>
    <w:rsid w:val="00C97BFB"/>
    <w:rsid w:val="00C97D06"/>
    <w:rsid w:val="00C97E5C"/>
    <w:rsid w:val="00C97F7B"/>
    <w:rsid w:val="00C98602"/>
    <w:rsid w:val="00CA000A"/>
    <w:rsid w:val="00CA00B3"/>
    <w:rsid w:val="00CA0314"/>
    <w:rsid w:val="00CA038D"/>
    <w:rsid w:val="00CA0845"/>
    <w:rsid w:val="00CA08FA"/>
    <w:rsid w:val="00CA0B4D"/>
    <w:rsid w:val="00CA0EDA"/>
    <w:rsid w:val="00CA0F21"/>
    <w:rsid w:val="00CA0F5A"/>
    <w:rsid w:val="00CA0FCD"/>
    <w:rsid w:val="00CA122B"/>
    <w:rsid w:val="00CA1D7E"/>
    <w:rsid w:val="00CA233E"/>
    <w:rsid w:val="00CA265B"/>
    <w:rsid w:val="00CA2677"/>
    <w:rsid w:val="00CA280A"/>
    <w:rsid w:val="00CA2A03"/>
    <w:rsid w:val="00CA2B59"/>
    <w:rsid w:val="00CA31BF"/>
    <w:rsid w:val="00CA31E2"/>
    <w:rsid w:val="00CA3249"/>
    <w:rsid w:val="00CA3269"/>
    <w:rsid w:val="00CA3482"/>
    <w:rsid w:val="00CA3734"/>
    <w:rsid w:val="00CA396A"/>
    <w:rsid w:val="00CA39A1"/>
    <w:rsid w:val="00CA3E81"/>
    <w:rsid w:val="00CA3FDD"/>
    <w:rsid w:val="00CA429E"/>
    <w:rsid w:val="00CA4419"/>
    <w:rsid w:val="00CA450E"/>
    <w:rsid w:val="00CA4654"/>
    <w:rsid w:val="00CA46A3"/>
    <w:rsid w:val="00CA4DCB"/>
    <w:rsid w:val="00CA4E00"/>
    <w:rsid w:val="00CA4FA4"/>
    <w:rsid w:val="00CA554C"/>
    <w:rsid w:val="00CA56C8"/>
    <w:rsid w:val="00CA57F6"/>
    <w:rsid w:val="00CA58E1"/>
    <w:rsid w:val="00CA59F3"/>
    <w:rsid w:val="00CA5C7D"/>
    <w:rsid w:val="00CA5CA8"/>
    <w:rsid w:val="00CA5D7F"/>
    <w:rsid w:val="00CA5E5F"/>
    <w:rsid w:val="00CA5F73"/>
    <w:rsid w:val="00CA5F80"/>
    <w:rsid w:val="00CA60FA"/>
    <w:rsid w:val="00CA618B"/>
    <w:rsid w:val="00CA63F6"/>
    <w:rsid w:val="00CA641F"/>
    <w:rsid w:val="00CA67F2"/>
    <w:rsid w:val="00CA693C"/>
    <w:rsid w:val="00CA698D"/>
    <w:rsid w:val="00CA6B9A"/>
    <w:rsid w:val="00CA6D6D"/>
    <w:rsid w:val="00CA6ECB"/>
    <w:rsid w:val="00CA7052"/>
    <w:rsid w:val="00CA7436"/>
    <w:rsid w:val="00CA75F3"/>
    <w:rsid w:val="00CA7814"/>
    <w:rsid w:val="00CA7989"/>
    <w:rsid w:val="00CA7D0E"/>
    <w:rsid w:val="00CA7E3C"/>
    <w:rsid w:val="00CA7EE9"/>
    <w:rsid w:val="00CB01F7"/>
    <w:rsid w:val="00CB03E7"/>
    <w:rsid w:val="00CB052C"/>
    <w:rsid w:val="00CB0876"/>
    <w:rsid w:val="00CB0F71"/>
    <w:rsid w:val="00CB135C"/>
    <w:rsid w:val="00CB1374"/>
    <w:rsid w:val="00CB154A"/>
    <w:rsid w:val="00CB15ED"/>
    <w:rsid w:val="00CB178E"/>
    <w:rsid w:val="00CB1A2C"/>
    <w:rsid w:val="00CB1B61"/>
    <w:rsid w:val="00CB1BB9"/>
    <w:rsid w:val="00CB1F98"/>
    <w:rsid w:val="00CB2408"/>
    <w:rsid w:val="00CB2475"/>
    <w:rsid w:val="00CB2783"/>
    <w:rsid w:val="00CB29A7"/>
    <w:rsid w:val="00CB29B0"/>
    <w:rsid w:val="00CB2A21"/>
    <w:rsid w:val="00CB2B9B"/>
    <w:rsid w:val="00CB2CB6"/>
    <w:rsid w:val="00CB2F70"/>
    <w:rsid w:val="00CB319D"/>
    <w:rsid w:val="00CB353F"/>
    <w:rsid w:val="00CB359D"/>
    <w:rsid w:val="00CB3620"/>
    <w:rsid w:val="00CB3637"/>
    <w:rsid w:val="00CB3691"/>
    <w:rsid w:val="00CB36EC"/>
    <w:rsid w:val="00CB39C5"/>
    <w:rsid w:val="00CB3A9D"/>
    <w:rsid w:val="00CB3B86"/>
    <w:rsid w:val="00CB3D4D"/>
    <w:rsid w:val="00CB42D1"/>
    <w:rsid w:val="00CB43AF"/>
    <w:rsid w:val="00CB45BC"/>
    <w:rsid w:val="00CB4785"/>
    <w:rsid w:val="00CB480F"/>
    <w:rsid w:val="00CB4835"/>
    <w:rsid w:val="00CB4F45"/>
    <w:rsid w:val="00CB519C"/>
    <w:rsid w:val="00CB5277"/>
    <w:rsid w:val="00CB5327"/>
    <w:rsid w:val="00CB5380"/>
    <w:rsid w:val="00CB5413"/>
    <w:rsid w:val="00CB5804"/>
    <w:rsid w:val="00CB59B2"/>
    <w:rsid w:val="00CB59B6"/>
    <w:rsid w:val="00CB5D79"/>
    <w:rsid w:val="00CB5E40"/>
    <w:rsid w:val="00CB6148"/>
    <w:rsid w:val="00CB61BB"/>
    <w:rsid w:val="00CB67CC"/>
    <w:rsid w:val="00CB6A3F"/>
    <w:rsid w:val="00CB6AC0"/>
    <w:rsid w:val="00CB6C8A"/>
    <w:rsid w:val="00CB6CB2"/>
    <w:rsid w:val="00CB71A4"/>
    <w:rsid w:val="00CB74E1"/>
    <w:rsid w:val="00CB7802"/>
    <w:rsid w:val="00CB7881"/>
    <w:rsid w:val="00CB7AB0"/>
    <w:rsid w:val="00CB7D53"/>
    <w:rsid w:val="00CB7F22"/>
    <w:rsid w:val="00CB7FE0"/>
    <w:rsid w:val="00CC0292"/>
    <w:rsid w:val="00CC034A"/>
    <w:rsid w:val="00CC04A4"/>
    <w:rsid w:val="00CC07B8"/>
    <w:rsid w:val="00CC0938"/>
    <w:rsid w:val="00CC0947"/>
    <w:rsid w:val="00CC0963"/>
    <w:rsid w:val="00CC09E1"/>
    <w:rsid w:val="00CC0B17"/>
    <w:rsid w:val="00CC0BD1"/>
    <w:rsid w:val="00CC0F52"/>
    <w:rsid w:val="00CC105C"/>
    <w:rsid w:val="00CC1074"/>
    <w:rsid w:val="00CC1385"/>
    <w:rsid w:val="00CC17D3"/>
    <w:rsid w:val="00CC1A31"/>
    <w:rsid w:val="00CC1CDC"/>
    <w:rsid w:val="00CC1D9C"/>
    <w:rsid w:val="00CC1E71"/>
    <w:rsid w:val="00CC1E9B"/>
    <w:rsid w:val="00CC2641"/>
    <w:rsid w:val="00CC2877"/>
    <w:rsid w:val="00CC2889"/>
    <w:rsid w:val="00CC296B"/>
    <w:rsid w:val="00CC36C4"/>
    <w:rsid w:val="00CC38A7"/>
    <w:rsid w:val="00CC3939"/>
    <w:rsid w:val="00CC397E"/>
    <w:rsid w:val="00CC39AB"/>
    <w:rsid w:val="00CC3B60"/>
    <w:rsid w:val="00CC3D5C"/>
    <w:rsid w:val="00CC3DA6"/>
    <w:rsid w:val="00CC405B"/>
    <w:rsid w:val="00CC41A1"/>
    <w:rsid w:val="00CC449F"/>
    <w:rsid w:val="00CC44EE"/>
    <w:rsid w:val="00CC45AD"/>
    <w:rsid w:val="00CC45EF"/>
    <w:rsid w:val="00CC4BC6"/>
    <w:rsid w:val="00CC4D31"/>
    <w:rsid w:val="00CC4F54"/>
    <w:rsid w:val="00CC4F58"/>
    <w:rsid w:val="00CC4FCE"/>
    <w:rsid w:val="00CC5415"/>
    <w:rsid w:val="00CC54DD"/>
    <w:rsid w:val="00CC551B"/>
    <w:rsid w:val="00CC56B8"/>
    <w:rsid w:val="00CC573C"/>
    <w:rsid w:val="00CC5935"/>
    <w:rsid w:val="00CC5E00"/>
    <w:rsid w:val="00CC5E06"/>
    <w:rsid w:val="00CC6258"/>
    <w:rsid w:val="00CC635E"/>
    <w:rsid w:val="00CC6612"/>
    <w:rsid w:val="00CC670D"/>
    <w:rsid w:val="00CC6794"/>
    <w:rsid w:val="00CC6B4B"/>
    <w:rsid w:val="00CC6B5E"/>
    <w:rsid w:val="00CC6EE2"/>
    <w:rsid w:val="00CC6FD5"/>
    <w:rsid w:val="00CC7188"/>
    <w:rsid w:val="00CC7269"/>
    <w:rsid w:val="00CC74DE"/>
    <w:rsid w:val="00CC78F2"/>
    <w:rsid w:val="00CC7B5F"/>
    <w:rsid w:val="00CC7B7B"/>
    <w:rsid w:val="00CD0150"/>
    <w:rsid w:val="00CD01B1"/>
    <w:rsid w:val="00CD01FD"/>
    <w:rsid w:val="00CD0374"/>
    <w:rsid w:val="00CD044D"/>
    <w:rsid w:val="00CD0660"/>
    <w:rsid w:val="00CD0776"/>
    <w:rsid w:val="00CD091D"/>
    <w:rsid w:val="00CD0C42"/>
    <w:rsid w:val="00CD0D88"/>
    <w:rsid w:val="00CD0DC4"/>
    <w:rsid w:val="00CD0F93"/>
    <w:rsid w:val="00CD0FD7"/>
    <w:rsid w:val="00CD0FE7"/>
    <w:rsid w:val="00CD11CE"/>
    <w:rsid w:val="00CD134A"/>
    <w:rsid w:val="00CD1551"/>
    <w:rsid w:val="00CD19E6"/>
    <w:rsid w:val="00CD1A70"/>
    <w:rsid w:val="00CD1E78"/>
    <w:rsid w:val="00CD1EA8"/>
    <w:rsid w:val="00CD1F5F"/>
    <w:rsid w:val="00CD1F63"/>
    <w:rsid w:val="00CD20CE"/>
    <w:rsid w:val="00CD211F"/>
    <w:rsid w:val="00CD22FE"/>
    <w:rsid w:val="00CD2344"/>
    <w:rsid w:val="00CD239E"/>
    <w:rsid w:val="00CD255E"/>
    <w:rsid w:val="00CD25F6"/>
    <w:rsid w:val="00CD2855"/>
    <w:rsid w:val="00CD29A8"/>
    <w:rsid w:val="00CD2A20"/>
    <w:rsid w:val="00CD2AC9"/>
    <w:rsid w:val="00CD2D0A"/>
    <w:rsid w:val="00CD33AF"/>
    <w:rsid w:val="00CD3511"/>
    <w:rsid w:val="00CD35DC"/>
    <w:rsid w:val="00CD3681"/>
    <w:rsid w:val="00CD368E"/>
    <w:rsid w:val="00CD36D2"/>
    <w:rsid w:val="00CD374A"/>
    <w:rsid w:val="00CD376C"/>
    <w:rsid w:val="00CD37C7"/>
    <w:rsid w:val="00CD3AF0"/>
    <w:rsid w:val="00CD3B71"/>
    <w:rsid w:val="00CD3C21"/>
    <w:rsid w:val="00CD3CE7"/>
    <w:rsid w:val="00CD3E0D"/>
    <w:rsid w:val="00CD3FDB"/>
    <w:rsid w:val="00CD3FE8"/>
    <w:rsid w:val="00CD406A"/>
    <w:rsid w:val="00CD435D"/>
    <w:rsid w:val="00CD474F"/>
    <w:rsid w:val="00CD4B16"/>
    <w:rsid w:val="00CD500E"/>
    <w:rsid w:val="00CD5122"/>
    <w:rsid w:val="00CD521E"/>
    <w:rsid w:val="00CD551E"/>
    <w:rsid w:val="00CD5DA3"/>
    <w:rsid w:val="00CD5E2E"/>
    <w:rsid w:val="00CD61ED"/>
    <w:rsid w:val="00CD6364"/>
    <w:rsid w:val="00CD66EC"/>
    <w:rsid w:val="00CD6969"/>
    <w:rsid w:val="00CD69B8"/>
    <w:rsid w:val="00CD69E1"/>
    <w:rsid w:val="00CD6AA1"/>
    <w:rsid w:val="00CD6BAF"/>
    <w:rsid w:val="00CD6EA5"/>
    <w:rsid w:val="00CD71BD"/>
    <w:rsid w:val="00CD71F6"/>
    <w:rsid w:val="00CD720D"/>
    <w:rsid w:val="00CD7325"/>
    <w:rsid w:val="00CD7517"/>
    <w:rsid w:val="00CD7A37"/>
    <w:rsid w:val="00CD7B5A"/>
    <w:rsid w:val="00CD7CDB"/>
    <w:rsid w:val="00CD7E64"/>
    <w:rsid w:val="00CD995C"/>
    <w:rsid w:val="00CE0099"/>
    <w:rsid w:val="00CE0486"/>
    <w:rsid w:val="00CE059E"/>
    <w:rsid w:val="00CE06D1"/>
    <w:rsid w:val="00CE0799"/>
    <w:rsid w:val="00CE0849"/>
    <w:rsid w:val="00CE0A25"/>
    <w:rsid w:val="00CE0AB0"/>
    <w:rsid w:val="00CE0F28"/>
    <w:rsid w:val="00CE0F62"/>
    <w:rsid w:val="00CE1560"/>
    <w:rsid w:val="00CE1772"/>
    <w:rsid w:val="00CE187E"/>
    <w:rsid w:val="00CE1AD8"/>
    <w:rsid w:val="00CE1EBE"/>
    <w:rsid w:val="00CE1F11"/>
    <w:rsid w:val="00CE2207"/>
    <w:rsid w:val="00CE225E"/>
    <w:rsid w:val="00CE2423"/>
    <w:rsid w:val="00CE2576"/>
    <w:rsid w:val="00CE2588"/>
    <w:rsid w:val="00CE27DB"/>
    <w:rsid w:val="00CE2965"/>
    <w:rsid w:val="00CE2B09"/>
    <w:rsid w:val="00CE2E16"/>
    <w:rsid w:val="00CE2F58"/>
    <w:rsid w:val="00CE345F"/>
    <w:rsid w:val="00CE350E"/>
    <w:rsid w:val="00CE3814"/>
    <w:rsid w:val="00CE384E"/>
    <w:rsid w:val="00CE38F3"/>
    <w:rsid w:val="00CE3B9B"/>
    <w:rsid w:val="00CE3ECD"/>
    <w:rsid w:val="00CE3EE9"/>
    <w:rsid w:val="00CE40A2"/>
    <w:rsid w:val="00CE4185"/>
    <w:rsid w:val="00CE42AF"/>
    <w:rsid w:val="00CE42F9"/>
    <w:rsid w:val="00CE4430"/>
    <w:rsid w:val="00CE478D"/>
    <w:rsid w:val="00CE4AA0"/>
    <w:rsid w:val="00CE4C08"/>
    <w:rsid w:val="00CE4DED"/>
    <w:rsid w:val="00CE504A"/>
    <w:rsid w:val="00CE51F4"/>
    <w:rsid w:val="00CE52F3"/>
    <w:rsid w:val="00CE544A"/>
    <w:rsid w:val="00CE6030"/>
    <w:rsid w:val="00CE617C"/>
    <w:rsid w:val="00CE633B"/>
    <w:rsid w:val="00CE676E"/>
    <w:rsid w:val="00CE6A14"/>
    <w:rsid w:val="00CE6CBE"/>
    <w:rsid w:val="00CE6CDA"/>
    <w:rsid w:val="00CE6D10"/>
    <w:rsid w:val="00CE6D24"/>
    <w:rsid w:val="00CE6EEA"/>
    <w:rsid w:val="00CE716D"/>
    <w:rsid w:val="00CE7204"/>
    <w:rsid w:val="00CE7230"/>
    <w:rsid w:val="00CE724D"/>
    <w:rsid w:val="00CE735F"/>
    <w:rsid w:val="00CE74DE"/>
    <w:rsid w:val="00CE7666"/>
    <w:rsid w:val="00CE7744"/>
    <w:rsid w:val="00CE774E"/>
    <w:rsid w:val="00CF0161"/>
    <w:rsid w:val="00CF01FE"/>
    <w:rsid w:val="00CF0442"/>
    <w:rsid w:val="00CF044A"/>
    <w:rsid w:val="00CF095A"/>
    <w:rsid w:val="00CF0CE4"/>
    <w:rsid w:val="00CF0D15"/>
    <w:rsid w:val="00CF0FBE"/>
    <w:rsid w:val="00CF1189"/>
    <w:rsid w:val="00CF11A9"/>
    <w:rsid w:val="00CF141D"/>
    <w:rsid w:val="00CF1424"/>
    <w:rsid w:val="00CF1470"/>
    <w:rsid w:val="00CF165E"/>
    <w:rsid w:val="00CF1983"/>
    <w:rsid w:val="00CF1C36"/>
    <w:rsid w:val="00CF1CEF"/>
    <w:rsid w:val="00CF1CFD"/>
    <w:rsid w:val="00CF1F2B"/>
    <w:rsid w:val="00CF21E8"/>
    <w:rsid w:val="00CF2354"/>
    <w:rsid w:val="00CF236D"/>
    <w:rsid w:val="00CF24AB"/>
    <w:rsid w:val="00CF259D"/>
    <w:rsid w:val="00CF2841"/>
    <w:rsid w:val="00CF2B3D"/>
    <w:rsid w:val="00CF2D34"/>
    <w:rsid w:val="00CF2DB7"/>
    <w:rsid w:val="00CF2DDB"/>
    <w:rsid w:val="00CF346C"/>
    <w:rsid w:val="00CF37E0"/>
    <w:rsid w:val="00CF38D3"/>
    <w:rsid w:val="00CF38DD"/>
    <w:rsid w:val="00CF3AFB"/>
    <w:rsid w:val="00CF3B8D"/>
    <w:rsid w:val="00CF3C8F"/>
    <w:rsid w:val="00CF3E1C"/>
    <w:rsid w:val="00CF42AB"/>
    <w:rsid w:val="00CF4367"/>
    <w:rsid w:val="00CF4474"/>
    <w:rsid w:val="00CF458B"/>
    <w:rsid w:val="00CF4672"/>
    <w:rsid w:val="00CF48C0"/>
    <w:rsid w:val="00CF4A26"/>
    <w:rsid w:val="00CF5276"/>
    <w:rsid w:val="00CF54DB"/>
    <w:rsid w:val="00CF581D"/>
    <w:rsid w:val="00CF5869"/>
    <w:rsid w:val="00CF5CB1"/>
    <w:rsid w:val="00CF5E3A"/>
    <w:rsid w:val="00CF63A8"/>
    <w:rsid w:val="00CF640E"/>
    <w:rsid w:val="00CF669D"/>
    <w:rsid w:val="00CF68FD"/>
    <w:rsid w:val="00CF6962"/>
    <w:rsid w:val="00CF6A5B"/>
    <w:rsid w:val="00CF6BD6"/>
    <w:rsid w:val="00CF72D1"/>
    <w:rsid w:val="00CF74C6"/>
    <w:rsid w:val="00CF767F"/>
    <w:rsid w:val="00CF7A90"/>
    <w:rsid w:val="00CF7BF3"/>
    <w:rsid w:val="00CF7D69"/>
    <w:rsid w:val="00D001DB"/>
    <w:rsid w:val="00D00485"/>
    <w:rsid w:val="00D0089B"/>
    <w:rsid w:val="00D00950"/>
    <w:rsid w:val="00D00A44"/>
    <w:rsid w:val="00D00CFD"/>
    <w:rsid w:val="00D00EB1"/>
    <w:rsid w:val="00D00EC6"/>
    <w:rsid w:val="00D01379"/>
    <w:rsid w:val="00D0137A"/>
    <w:rsid w:val="00D01411"/>
    <w:rsid w:val="00D014F9"/>
    <w:rsid w:val="00D01A34"/>
    <w:rsid w:val="00D01AAA"/>
    <w:rsid w:val="00D01B64"/>
    <w:rsid w:val="00D01BFA"/>
    <w:rsid w:val="00D01DF6"/>
    <w:rsid w:val="00D01E38"/>
    <w:rsid w:val="00D02440"/>
    <w:rsid w:val="00D024DD"/>
    <w:rsid w:val="00D025CA"/>
    <w:rsid w:val="00D02821"/>
    <w:rsid w:val="00D02D63"/>
    <w:rsid w:val="00D02E85"/>
    <w:rsid w:val="00D030E6"/>
    <w:rsid w:val="00D0329F"/>
    <w:rsid w:val="00D0336B"/>
    <w:rsid w:val="00D034BE"/>
    <w:rsid w:val="00D03532"/>
    <w:rsid w:val="00D035CE"/>
    <w:rsid w:val="00D036B8"/>
    <w:rsid w:val="00D0373F"/>
    <w:rsid w:val="00D03846"/>
    <w:rsid w:val="00D03866"/>
    <w:rsid w:val="00D03ADA"/>
    <w:rsid w:val="00D03C3B"/>
    <w:rsid w:val="00D03E64"/>
    <w:rsid w:val="00D03E85"/>
    <w:rsid w:val="00D03F30"/>
    <w:rsid w:val="00D03FDC"/>
    <w:rsid w:val="00D0409F"/>
    <w:rsid w:val="00D044F4"/>
    <w:rsid w:val="00D0494F"/>
    <w:rsid w:val="00D04B2B"/>
    <w:rsid w:val="00D04BEE"/>
    <w:rsid w:val="00D04D02"/>
    <w:rsid w:val="00D04E7E"/>
    <w:rsid w:val="00D051F5"/>
    <w:rsid w:val="00D0523B"/>
    <w:rsid w:val="00D0525C"/>
    <w:rsid w:val="00D05528"/>
    <w:rsid w:val="00D0554D"/>
    <w:rsid w:val="00D0565E"/>
    <w:rsid w:val="00D056C9"/>
    <w:rsid w:val="00D056FF"/>
    <w:rsid w:val="00D0577C"/>
    <w:rsid w:val="00D05A3D"/>
    <w:rsid w:val="00D05C18"/>
    <w:rsid w:val="00D05E1D"/>
    <w:rsid w:val="00D0681A"/>
    <w:rsid w:val="00D068C6"/>
    <w:rsid w:val="00D06918"/>
    <w:rsid w:val="00D06A99"/>
    <w:rsid w:val="00D06B0A"/>
    <w:rsid w:val="00D06B26"/>
    <w:rsid w:val="00D06D7B"/>
    <w:rsid w:val="00D07287"/>
    <w:rsid w:val="00D07446"/>
    <w:rsid w:val="00D0760C"/>
    <w:rsid w:val="00D076BA"/>
    <w:rsid w:val="00D076CA"/>
    <w:rsid w:val="00D077D2"/>
    <w:rsid w:val="00D077FC"/>
    <w:rsid w:val="00D078B0"/>
    <w:rsid w:val="00D07DB2"/>
    <w:rsid w:val="00D07DE8"/>
    <w:rsid w:val="00D07E6C"/>
    <w:rsid w:val="00D0DD30"/>
    <w:rsid w:val="00D1072E"/>
    <w:rsid w:val="00D10EE2"/>
    <w:rsid w:val="00D10F62"/>
    <w:rsid w:val="00D11073"/>
    <w:rsid w:val="00D110E6"/>
    <w:rsid w:val="00D1112D"/>
    <w:rsid w:val="00D1115D"/>
    <w:rsid w:val="00D111A8"/>
    <w:rsid w:val="00D11416"/>
    <w:rsid w:val="00D11561"/>
    <w:rsid w:val="00D115DA"/>
    <w:rsid w:val="00D117B4"/>
    <w:rsid w:val="00D117C6"/>
    <w:rsid w:val="00D11ADB"/>
    <w:rsid w:val="00D11EEC"/>
    <w:rsid w:val="00D11FF6"/>
    <w:rsid w:val="00D124BB"/>
    <w:rsid w:val="00D1292E"/>
    <w:rsid w:val="00D129E7"/>
    <w:rsid w:val="00D12F17"/>
    <w:rsid w:val="00D12F46"/>
    <w:rsid w:val="00D1303B"/>
    <w:rsid w:val="00D13089"/>
    <w:rsid w:val="00D130F2"/>
    <w:rsid w:val="00D1328C"/>
    <w:rsid w:val="00D13496"/>
    <w:rsid w:val="00D139B2"/>
    <w:rsid w:val="00D13A11"/>
    <w:rsid w:val="00D1452E"/>
    <w:rsid w:val="00D147AB"/>
    <w:rsid w:val="00D148CB"/>
    <w:rsid w:val="00D14B09"/>
    <w:rsid w:val="00D14D0B"/>
    <w:rsid w:val="00D14DFA"/>
    <w:rsid w:val="00D14EF7"/>
    <w:rsid w:val="00D14F02"/>
    <w:rsid w:val="00D14F7E"/>
    <w:rsid w:val="00D152CF"/>
    <w:rsid w:val="00D15526"/>
    <w:rsid w:val="00D15CEF"/>
    <w:rsid w:val="00D15D56"/>
    <w:rsid w:val="00D15DCC"/>
    <w:rsid w:val="00D15E29"/>
    <w:rsid w:val="00D160A1"/>
    <w:rsid w:val="00D1629C"/>
    <w:rsid w:val="00D162BD"/>
    <w:rsid w:val="00D16421"/>
    <w:rsid w:val="00D164CA"/>
    <w:rsid w:val="00D1671C"/>
    <w:rsid w:val="00D16A23"/>
    <w:rsid w:val="00D171B6"/>
    <w:rsid w:val="00D17454"/>
    <w:rsid w:val="00D174EB"/>
    <w:rsid w:val="00D1751A"/>
    <w:rsid w:val="00D179A8"/>
    <w:rsid w:val="00D2030C"/>
    <w:rsid w:val="00D204B4"/>
    <w:rsid w:val="00D205B8"/>
    <w:rsid w:val="00D2063E"/>
    <w:rsid w:val="00D20864"/>
    <w:rsid w:val="00D20984"/>
    <w:rsid w:val="00D20C6B"/>
    <w:rsid w:val="00D214F9"/>
    <w:rsid w:val="00D21B72"/>
    <w:rsid w:val="00D21D9B"/>
    <w:rsid w:val="00D2207E"/>
    <w:rsid w:val="00D2219B"/>
    <w:rsid w:val="00D22204"/>
    <w:rsid w:val="00D22360"/>
    <w:rsid w:val="00D22482"/>
    <w:rsid w:val="00D224D1"/>
    <w:rsid w:val="00D22670"/>
    <w:rsid w:val="00D227F3"/>
    <w:rsid w:val="00D2288B"/>
    <w:rsid w:val="00D22A0B"/>
    <w:rsid w:val="00D22C32"/>
    <w:rsid w:val="00D22CC5"/>
    <w:rsid w:val="00D22CD6"/>
    <w:rsid w:val="00D2310C"/>
    <w:rsid w:val="00D232C5"/>
    <w:rsid w:val="00D2361F"/>
    <w:rsid w:val="00D2386F"/>
    <w:rsid w:val="00D23A48"/>
    <w:rsid w:val="00D23A64"/>
    <w:rsid w:val="00D23BCB"/>
    <w:rsid w:val="00D23C3B"/>
    <w:rsid w:val="00D23FFD"/>
    <w:rsid w:val="00D240AD"/>
    <w:rsid w:val="00D242AC"/>
    <w:rsid w:val="00D2454B"/>
    <w:rsid w:val="00D2471F"/>
    <w:rsid w:val="00D2475C"/>
    <w:rsid w:val="00D248CE"/>
    <w:rsid w:val="00D249B3"/>
    <w:rsid w:val="00D24B01"/>
    <w:rsid w:val="00D24DB3"/>
    <w:rsid w:val="00D24F80"/>
    <w:rsid w:val="00D250BB"/>
    <w:rsid w:val="00D2514E"/>
    <w:rsid w:val="00D25187"/>
    <w:rsid w:val="00D254F1"/>
    <w:rsid w:val="00D25583"/>
    <w:rsid w:val="00D255AA"/>
    <w:rsid w:val="00D256D9"/>
    <w:rsid w:val="00D256DA"/>
    <w:rsid w:val="00D25B98"/>
    <w:rsid w:val="00D25CE2"/>
    <w:rsid w:val="00D2691F"/>
    <w:rsid w:val="00D26927"/>
    <w:rsid w:val="00D26A55"/>
    <w:rsid w:val="00D26B98"/>
    <w:rsid w:val="00D26C56"/>
    <w:rsid w:val="00D27012"/>
    <w:rsid w:val="00D27159"/>
    <w:rsid w:val="00D2726B"/>
    <w:rsid w:val="00D274CC"/>
    <w:rsid w:val="00D274DA"/>
    <w:rsid w:val="00D277E6"/>
    <w:rsid w:val="00D27885"/>
    <w:rsid w:val="00D278A3"/>
    <w:rsid w:val="00D27A5B"/>
    <w:rsid w:val="00D27A65"/>
    <w:rsid w:val="00D27C12"/>
    <w:rsid w:val="00D300F7"/>
    <w:rsid w:val="00D30179"/>
    <w:rsid w:val="00D30228"/>
    <w:rsid w:val="00D302E9"/>
    <w:rsid w:val="00D303EC"/>
    <w:rsid w:val="00D303F2"/>
    <w:rsid w:val="00D308BC"/>
    <w:rsid w:val="00D30C8B"/>
    <w:rsid w:val="00D31024"/>
    <w:rsid w:val="00D3104A"/>
    <w:rsid w:val="00D3132A"/>
    <w:rsid w:val="00D3151E"/>
    <w:rsid w:val="00D316C9"/>
    <w:rsid w:val="00D3172F"/>
    <w:rsid w:val="00D31AEE"/>
    <w:rsid w:val="00D31BFD"/>
    <w:rsid w:val="00D31DB2"/>
    <w:rsid w:val="00D32772"/>
    <w:rsid w:val="00D32827"/>
    <w:rsid w:val="00D32CF9"/>
    <w:rsid w:val="00D32D12"/>
    <w:rsid w:val="00D32E2D"/>
    <w:rsid w:val="00D32FB1"/>
    <w:rsid w:val="00D3305C"/>
    <w:rsid w:val="00D33158"/>
    <w:rsid w:val="00D3317F"/>
    <w:rsid w:val="00D33459"/>
    <w:rsid w:val="00D33613"/>
    <w:rsid w:val="00D336DA"/>
    <w:rsid w:val="00D33902"/>
    <w:rsid w:val="00D33A95"/>
    <w:rsid w:val="00D33BD7"/>
    <w:rsid w:val="00D33E3C"/>
    <w:rsid w:val="00D33F3A"/>
    <w:rsid w:val="00D3413E"/>
    <w:rsid w:val="00D344FD"/>
    <w:rsid w:val="00D34C1E"/>
    <w:rsid w:val="00D34C44"/>
    <w:rsid w:val="00D34DDB"/>
    <w:rsid w:val="00D34E21"/>
    <w:rsid w:val="00D35078"/>
    <w:rsid w:val="00D350BD"/>
    <w:rsid w:val="00D35407"/>
    <w:rsid w:val="00D356DB"/>
    <w:rsid w:val="00D357B5"/>
    <w:rsid w:val="00D3591E"/>
    <w:rsid w:val="00D35B77"/>
    <w:rsid w:val="00D35CD7"/>
    <w:rsid w:val="00D35DE0"/>
    <w:rsid w:val="00D35DE1"/>
    <w:rsid w:val="00D36166"/>
    <w:rsid w:val="00D363A7"/>
    <w:rsid w:val="00D36619"/>
    <w:rsid w:val="00D36714"/>
    <w:rsid w:val="00D36815"/>
    <w:rsid w:val="00D36B0F"/>
    <w:rsid w:val="00D36D5E"/>
    <w:rsid w:val="00D36E60"/>
    <w:rsid w:val="00D3778D"/>
    <w:rsid w:val="00D37983"/>
    <w:rsid w:val="00D37A17"/>
    <w:rsid w:val="00D37A72"/>
    <w:rsid w:val="00D37D79"/>
    <w:rsid w:val="00D37DCC"/>
    <w:rsid w:val="00D37E81"/>
    <w:rsid w:val="00D37ED1"/>
    <w:rsid w:val="00D40065"/>
    <w:rsid w:val="00D40071"/>
    <w:rsid w:val="00D40284"/>
    <w:rsid w:val="00D402FB"/>
    <w:rsid w:val="00D402FE"/>
    <w:rsid w:val="00D40459"/>
    <w:rsid w:val="00D40937"/>
    <w:rsid w:val="00D40BA4"/>
    <w:rsid w:val="00D40BFE"/>
    <w:rsid w:val="00D40FCF"/>
    <w:rsid w:val="00D410D9"/>
    <w:rsid w:val="00D411FF"/>
    <w:rsid w:val="00D4159B"/>
    <w:rsid w:val="00D416E1"/>
    <w:rsid w:val="00D41913"/>
    <w:rsid w:val="00D41C03"/>
    <w:rsid w:val="00D41C13"/>
    <w:rsid w:val="00D42003"/>
    <w:rsid w:val="00D42284"/>
    <w:rsid w:val="00D42295"/>
    <w:rsid w:val="00D4233B"/>
    <w:rsid w:val="00D4236F"/>
    <w:rsid w:val="00D426CB"/>
    <w:rsid w:val="00D42841"/>
    <w:rsid w:val="00D42936"/>
    <w:rsid w:val="00D42ABD"/>
    <w:rsid w:val="00D4307B"/>
    <w:rsid w:val="00D430F4"/>
    <w:rsid w:val="00D431E7"/>
    <w:rsid w:val="00D433BC"/>
    <w:rsid w:val="00D433F5"/>
    <w:rsid w:val="00D43507"/>
    <w:rsid w:val="00D4362C"/>
    <w:rsid w:val="00D438A5"/>
    <w:rsid w:val="00D43BF0"/>
    <w:rsid w:val="00D4404A"/>
    <w:rsid w:val="00D440D6"/>
    <w:rsid w:val="00D44759"/>
    <w:rsid w:val="00D447E0"/>
    <w:rsid w:val="00D44B68"/>
    <w:rsid w:val="00D44DB1"/>
    <w:rsid w:val="00D450AE"/>
    <w:rsid w:val="00D450C0"/>
    <w:rsid w:val="00D4531C"/>
    <w:rsid w:val="00D45645"/>
    <w:rsid w:val="00D45850"/>
    <w:rsid w:val="00D459A0"/>
    <w:rsid w:val="00D45A6C"/>
    <w:rsid w:val="00D45AF3"/>
    <w:rsid w:val="00D45B41"/>
    <w:rsid w:val="00D45B76"/>
    <w:rsid w:val="00D45CE6"/>
    <w:rsid w:val="00D45EE6"/>
    <w:rsid w:val="00D45F84"/>
    <w:rsid w:val="00D460A3"/>
    <w:rsid w:val="00D4620C"/>
    <w:rsid w:val="00D46240"/>
    <w:rsid w:val="00D4632D"/>
    <w:rsid w:val="00D4656D"/>
    <w:rsid w:val="00D465A4"/>
    <w:rsid w:val="00D466DB"/>
    <w:rsid w:val="00D46BD4"/>
    <w:rsid w:val="00D46F67"/>
    <w:rsid w:val="00D47349"/>
    <w:rsid w:val="00D47429"/>
    <w:rsid w:val="00D474D4"/>
    <w:rsid w:val="00D47B15"/>
    <w:rsid w:val="00D47DD4"/>
    <w:rsid w:val="00D503AF"/>
    <w:rsid w:val="00D50834"/>
    <w:rsid w:val="00D50B8E"/>
    <w:rsid w:val="00D50C83"/>
    <w:rsid w:val="00D50F52"/>
    <w:rsid w:val="00D510D7"/>
    <w:rsid w:val="00D514DA"/>
    <w:rsid w:val="00D5156A"/>
    <w:rsid w:val="00D515E1"/>
    <w:rsid w:val="00D51677"/>
    <w:rsid w:val="00D51B73"/>
    <w:rsid w:val="00D51C7F"/>
    <w:rsid w:val="00D51DDF"/>
    <w:rsid w:val="00D51F3D"/>
    <w:rsid w:val="00D51FAE"/>
    <w:rsid w:val="00D522A0"/>
    <w:rsid w:val="00D522B5"/>
    <w:rsid w:val="00D522FE"/>
    <w:rsid w:val="00D523D0"/>
    <w:rsid w:val="00D52974"/>
    <w:rsid w:val="00D52ABB"/>
    <w:rsid w:val="00D52CE9"/>
    <w:rsid w:val="00D52E04"/>
    <w:rsid w:val="00D52F5E"/>
    <w:rsid w:val="00D530B4"/>
    <w:rsid w:val="00D5315A"/>
    <w:rsid w:val="00D53291"/>
    <w:rsid w:val="00D5357E"/>
    <w:rsid w:val="00D535A6"/>
    <w:rsid w:val="00D53626"/>
    <w:rsid w:val="00D53725"/>
    <w:rsid w:val="00D538A6"/>
    <w:rsid w:val="00D53994"/>
    <w:rsid w:val="00D539A5"/>
    <w:rsid w:val="00D53AFE"/>
    <w:rsid w:val="00D53B3F"/>
    <w:rsid w:val="00D53E8F"/>
    <w:rsid w:val="00D54107"/>
    <w:rsid w:val="00D54176"/>
    <w:rsid w:val="00D541AA"/>
    <w:rsid w:val="00D54725"/>
    <w:rsid w:val="00D54808"/>
    <w:rsid w:val="00D5498A"/>
    <w:rsid w:val="00D54B00"/>
    <w:rsid w:val="00D54B54"/>
    <w:rsid w:val="00D54B60"/>
    <w:rsid w:val="00D54CFD"/>
    <w:rsid w:val="00D54FE9"/>
    <w:rsid w:val="00D552F8"/>
    <w:rsid w:val="00D5553A"/>
    <w:rsid w:val="00D55667"/>
    <w:rsid w:val="00D556E3"/>
    <w:rsid w:val="00D558AD"/>
    <w:rsid w:val="00D559D5"/>
    <w:rsid w:val="00D55B09"/>
    <w:rsid w:val="00D55CF7"/>
    <w:rsid w:val="00D55D4B"/>
    <w:rsid w:val="00D55E04"/>
    <w:rsid w:val="00D56233"/>
    <w:rsid w:val="00D5667A"/>
    <w:rsid w:val="00D56784"/>
    <w:rsid w:val="00D56C20"/>
    <w:rsid w:val="00D57105"/>
    <w:rsid w:val="00D57D23"/>
    <w:rsid w:val="00D57D4F"/>
    <w:rsid w:val="00D57F5D"/>
    <w:rsid w:val="00D57FB1"/>
    <w:rsid w:val="00D6002F"/>
    <w:rsid w:val="00D604DA"/>
    <w:rsid w:val="00D60559"/>
    <w:rsid w:val="00D60585"/>
    <w:rsid w:val="00D60699"/>
    <w:rsid w:val="00D606D0"/>
    <w:rsid w:val="00D60C6C"/>
    <w:rsid w:val="00D60DED"/>
    <w:rsid w:val="00D60E6B"/>
    <w:rsid w:val="00D60EF6"/>
    <w:rsid w:val="00D6106C"/>
    <w:rsid w:val="00D610B5"/>
    <w:rsid w:val="00D6110B"/>
    <w:rsid w:val="00D61166"/>
    <w:rsid w:val="00D611EB"/>
    <w:rsid w:val="00D6128E"/>
    <w:rsid w:val="00D61339"/>
    <w:rsid w:val="00D6148C"/>
    <w:rsid w:val="00D6198C"/>
    <w:rsid w:val="00D61A8D"/>
    <w:rsid w:val="00D61BE9"/>
    <w:rsid w:val="00D6210B"/>
    <w:rsid w:val="00D623E0"/>
    <w:rsid w:val="00D624AB"/>
    <w:rsid w:val="00D624D0"/>
    <w:rsid w:val="00D626C2"/>
    <w:rsid w:val="00D6283E"/>
    <w:rsid w:val="00D62862"/>
    <w:rsid w:val="00D62A04"/>
    <w:rsid w:val="00D62A3F"/>
    <w:rsid w:val="00D62B23"/>
    <w:rsid w:val="00D62C74"/>
    <w:rsid w:val="00D631B4"/>
    <w:rsid w:val="00D63413"/>
    <w:rsid w:val="00D634AC"/>
    <w:rsid w:val="00D63564"/>
    <w:rsid w:val="00D6363D"/>
    <w:rsid w:val="00D63BC5"/>
    <w:rsid w:val="00D63E1D"/>
    <w:rsid w:val="00D6403F"/>
    <w:rsid w:val="00D64076"/>
    <w:rsid w:val="00D64238"/>
    <w:rsid w:val="00D64468"/>
    <w:rsid w:val="00D647E5"/>
    <w:rsid w:val="00D6491B"/>
    <w:rsid w:val="00D64A24"/>
    <w:rsid w:val="00D64B3C"/>
    <w:rsid w:val="00D64D6B"/>
    <w:rsid w:val="00D64E7A"/>
    <w:rsid w:val="00D65003"/>
    <w:rsid w:val="00D65175"/>
    <w:rsid w:val="00D6523B"/>
    <w:rsid w:val="00D65345"/>
    <w:rsid w:val="00D65423"/>
    <w:rsid w:val="00D65491"/>
    <w:rsid w:val="00D655A8"/>
    <w:rsid w:val="00D65723"/>
    <w:rsid w:val="00D6572D"/>
    <w:rsid w:val="00D65E30"/>
    <w:rsid w:val="00D6642A"/>
    <w:rsid w:val="00D6644D"/>
    <w:rsid w:val="00D66507"/>
    <w:rsid w:val="00D665BC"/>
    <w:rsid w:val="00D665BF"/>
    <w:rsid w:val="00D66902"/>
    <w:rsid w:val="00D66B11"/>
    <w:rsid w:val="00D66B8E"/>
    <w:rsid w:val="00D66D8B"/>
    <w:rsid w:val="00D66EEC"/>
    <w:rsid w:val="00D66F45"/>
    <w:rsid w:val="00D67047"/>
    <w:rsid w:val="00D67251"/>
    <w:rsid w:val="00D6759A"/>
    <w:rsid w:val="00D67AEA"/>
    <w:rsid w:val="00D67D1B"/>
    <w:rsid w:val="00D67E64"/>
    <w:rsid w:val="00D704CA"/>
    <w:rsid w:val="00D70592"/>
    <w:rsid w:val="00D705EC"/>
    <w:rsid w:val="00D70606"/>
    <w:rsid w:val="00D70ACD"/>
    <w:rsid w:val="00D70B69"/>
    <w:rsid w:val="00D70D37"/>
    <w:rsid w:val="00D70ED4"/>
    <w:rsid w:val="00D71550"/>
    <w:rsid w:val="00D7173F"/>
    <w:rsid w:val="00D71869"/>
    <w:rsid w:val="00D71A77"/>
    <w:rsid w:val="00D71F73"/>
    <w:rsid w:val="00D71FA0"/>
    <w:rsid w:val="00D72255"/>
    <w:rsid w:val="00D7244A"/>
    <w:rsid w:val="00D72653"/>
    <w:rsid w:val="00D727DA"/>
    <w:rsid w:val="00D728AB"/>
    <w:rsid w:val="00D72C4C"/>
    <w:rsid w:val="00D72ECF"/>
    <w:rsid w:val="00D732FB"/>
    <w:rsid w:val="00D73305"/>
    <w:rsid w:val="00D73319"/>
    <w:rsid w:val="00D73528"/>
    <w:rsid w:val="00D7370B"/>
    <w:rsid w:val="00D737E2"/>
    <w:rsid w:val="00D73824"/>
    <w:rsid w:val="00D739E1"/>
    <w:rsid w:val="00D73AF6"/>
    <w:rsid w:val="00D73C45"/>
    <w:rsid w:val="00D73D0A"/>
    <w:rsid w:val="00D73F16"/>
    <w:rsid w:val="00D741B9"/>
    <w:rsid w:val="00D74216"/>
    <w:rsid w:val="00D7433C"/>
    <w:rsid w:val="00D74971"/>
    <w:rsid w:val="00D74A38"/>
    <w:rsid w:val="00D74B27"/>
    <w:rsid w:val="00D74B33"/>
    <w:rsid w:val="00D74B91"/>
    <w:rsid w:val="00D74C65"/>
    <w:rsid w:val="00D74EF4"/>
    <w:rsid w:val="00D7503C"/>
    <w:rsid w:val="00D75854"/>
    <w:rsid w:val="00D75C4B"/>
    <w:rsid w:val="00D75DC4"/>
    <w:rsid w:val="00D75E06"/>
    <w:rsid w:val="00D760B9"/>
    <w:rsid w:val="00D762BE"/>
    <w:rsid w:val="00D7638B"/>
    <w:rsid w:val="00D7652A"/>
    <w:rsid w:val="00D76550"/>
    <w:rsid w:val="00D765F0"/>
    <w:rsid w:val="00D7661E"/>
    <w:rsid w:val="00D7681E"/>
    <w:rsid w:val="00D76A44"/>
    <w:rsid w:val="00D76B74"/>
    <w:rsid w:val="00D76CCC"/>
    <w:rsid w:val="00D7700E"/>
    <w:rsid w:val="00D7701D"/>
    <w:rsid w:val="00D7707D"/>
    <w:rsid w:val="00D772FA"/>
    <w:rsid w:val="00D7751D"/>
    <w:rsid w:val="00D77524"/>
    <w:rsid w:val="00D775F7"/>
    <w:rsid w:val="00D7765B"/>
    <w:rsid w:val="00D7767A"/>
    <w:rsid w:val="00D77927"/>
    <w:rsid w:val="00D77C6F"/>
    <w:rsid w:val="00D77CD0"/>
    <w:rsid w:val="00D80005"/>
    <w:rsid w:val="00D80278"/>
    <w:rsid w:val="00D80417"/>
    <w:rsid w:val="00D8041B"/>
    <w:rsid w:val="00D80441"/>
    <w:rsid w:val="00D804B5"/>
    <w:rsid w:val="00D80507"/>
    <w:rsid w:val="00D80596"/>
    <w:rsid w:val="00D80899"/>
    <w:rsid w:val="00D80FA1"/>
    <w:rsid w:val="00D81240"/>
    <w:rsid w:val="00D8168B"/>
    <w:rsid w:val="00D816F4"/>
    <w:rsid w:val="00D819DE"/>
    <w:rsid w:val="00D81AB8"/>
    <w:rsid w:val="00D81CD1"/>
    <w:rsid w:val="00D81DDE"/>
    <w:rsid w:val="00D81F5C"/>
    <w:rsid w:val="00D82161"/>
    <w:rsid w:val="00D82172"/>
    <w:rsid w:val="00D8220A"/>
    <w:rsid w:val="00D8296C"/>
    <w:rsid w:val="00D831C1"/>
    <w:rsid w:val="00D831C2"/>
    <w:rsid w:val="00D83373"/>
    <w:rsid w:val="00D8338E"/>
    <w:rsid w:val="00D835BC"/>
    <w:rsid w:val="00D8390E"/>
    <w:rsid w:val="00D83A84"/>
    <w:rsid w:val="00D83C78"/>
    <w:rsid w:val="00D83CDE"/>
    <w:rsid w:val="00D83D72"/>
    <w:rsid w:val="00D83F62"/>
    <w:rsid w:val="00D840E2"/>
    <w:rsid w:val="00D84264"/>
    <w:rsid w:val="00D842D7"/>
    <w:rsid w:val="00D84316"/>
    <w:rsid w:val="00D8457F"/>
    <w:rsid w:val="00D84A10"/>
    <w:rsid w:val="00D84B9D"/>
    <w:rsid w:val="00D84C38"/>
    <w:rsid w:val="00D84C4E"/>
    <w:rsid w:val="00D85361"/>
    <w:rsid w:val="00D85405"/>
    <w:rsid w:val="00D85450"/>
    <w:rsid w:val="00D855C4"/>
    <w:rsid w:val="00D856AE"/>
    <w:rsid w:val="00D85A00"/>
    <w:rsid w:val="00D85C11"/>
    <w:rsid w:val="00D8617F"/>
    <w:rsid w:val="00D86322"/>
    <w:rsid w:val="00D863A9"/>
    <w:rsid w:val="00D86509"/>
    <w:rsid w:val="00D86565"/>
    <w:rsid w:val="00D86876"/>
    <w:rsid w:val="00D86ACC"/>
    <w:rsid w:val="00D86AF6"/>
    <w:rsid w:val="00D86ED4"/>
    <w:rsid w:val="00D86FF4"/>
    <w:rsid w:val="00D8715A"/>
    <w:rsid w:val="00D871FD"/>
    <w:rsid w:val="00D876D2"/>
    <w:rsid w:val="00D876ED"/>
    <w:rsid w:val="00D878B1"/>
    <w:rsid w:val="00D879E6"/>
    <w:rsid w:val="00D87A2E"/>
    <w:rsid w:val="00D87D7D"/>
    <w:rsid w:val="00D87DC1"/>
    <w:rsid w:val="00D901D2"/>
    <w:rsid w:val="00D9056F"/>
    <w:rsid w:val="00D906B3"/>
    <w:rsid w:val="00D906C5"/>
    <w:rsid w:val="00D909E2"/>
    <w:rsid w:val="00D909E4"/>
    <w:rsid w:val="00D90C5F"/>
    <w:rsid w:val="00D90EF1"/>
    <w:rsid w:val="00D9117E"/>
    <w:rsid w:val="00D9121F"/>
    <w:rsid w:val="00D91377"/>
    <w:rsid w:val="00D9149F"/>
    <w:rsid w:val="00D91782"/>
    <w:rsid w:val="00D9195B"/>
    <w:rsid w:val="00D91CDF"/>
    <w:rsid w:val="00D91D0D"/>
    <w:rsid w:val="00D92169"/>
    <w:rsid w:val="00D9295E"/>
    <w:rsid w:val="00D92AD9"/>
    <w:rsid w:val="00D92B81"/>
    <w:rsid w:val="00D92C71"/>
    <w:rsid w:val="00D92DDD"/>
    <w:rsid w:val="00D92FE9"/>
    <w:rsid w:val="00D93008"/>
    <w:rsid w:val="00D93296"/>
    <w:rsid w:val="00D932A1"/>
    <w:rsid w:val="00D9332F"/>
    <w:rsid w:val="00D93373"/>
    <w:rsid w:val="00D934BD"/>
    <w:rsid w:val="00D935EE"/>
    <w:rsid w:val="00D93704"/>
    <w:rsid w:val="00D937B9"/>
    <w:rsid w:val="00D9388C"/>
    <w:rsid w:val="00D938D3"/>
    <w:rsid w:val="00D93907"/>
    <w:rsid w:val="00D93E18"/>
    <w:rsid w:val="00D93F90"/>
    <w:rsid w:val="00D942E7"/>
    <w:rsid w:val="00D943A3"/>
    <w:rsid w:val="00D94461"/>
    <w:rsid w:val="00D945AD"/>
    <w:rsid w:val="00D947F8"/>
    <w:rsid w:val="00D9521A"/>
    <w:rsid w:val="00D95338"/>
    <w:rsid w:val="00D95958"/>
    <w:rsid w:val="00D95A88"/>
    <w:rsid w:val="00D95D21"/>
    <w:rsid w:val="00D95E63"/>
    <w:rsid w:val="00D96036"/>
    <w:rsid w:val="00D9609E"/>
    <w:rsid w:val="00D96178"/>
    <w:rsid w:val="00D9624B"/>
    <w:rsid w:val="00D96278"/>
    <w:rsid w:val="00D96451"/>
    <w:rsid w:val="00D964EB"/>
    <w:rsid w:val="00D966E6"/>
    <w:rsid w:val="00D9671D"/>
    <w:rsid w:val="00D967A6"/>
    <w:rsid w:val="00D968BF"/>
    <w:rsid w:val="00D9690A"/>
    <w:rsid w:val="00D96DC3"/>
    <w:rsid w:val="00D96EC6"/>
    <w:rsid w:val="00D97052"/>
    <w:rsid w:val="00D970AB"/>
    <w:rsid w:val="00D970B3"/>
    <w:rsid w:val="00D970FA"/>
    <w:rsid w:val="00D97162"/>
    <w:rsid w:val="00D976BB"/>
    <w:rsid w:val="00D977E5"/>
    <w:rsid w:val="00D97AA4"/>
    <w:rsid w:val="00D97C0A"/>
    <w:rsid w:val="00D97EC5"/>
    <w:rsid w:val="00DA01F5"/>
    <w:rsid w:val="00DA02F2"/>
    <w:rsid w:val="00DA062D"/>
    <w:rsid w:val="00DA0AE4"/>
    <w:rsid w:val="00DA0D22"/>
    <w:rsid w:val="00DA0EB8"/>
    <w:rsid w:val="00DA1020"/>
    <w:rsid w:val="00DA1035"/>
    <w:rsid w:val="00DA1291"/>
    <w:rsid w:val="00DA12D5"/>
    <w:rsid w:val="00DA1605"/>
    <w:rsid w:val="00DA1766"/>
    <w:rsid w:val="00DA1789"/>
    <w:rsid w:val="00DA17D9"/>
    <w:rsid w:val="00DA1DB3"/>
    <w:rsid w:val="00DA1F9C"/>
    <w:rsid w:val="00DA2010"/>
    <w:rsid w:val="00DA20CB"/>
    <w:rsid w:val="00DA2199"/>
    <w:rsid w:val="00DA227C"/>
    <w:rsid w:val="00DA2520"/>
    <w:rsid w:val="00DA2B18"/>
    <w:rsid w:val="00DA3212"/>
    <w:rsid w:val="00DA3244"/>
    <w:rsid w:val="00DA34E2"/>
    <w:rsid w:val="00DA35F9"/>
    <w:rsid w:val="00DA36AC"/>
    <w:rsid w:val="00DA37C1"/>
    <w:rsid w:val="00DA39C3"/>
    <w:rsid w:val="00DA3B41"/>
    <w:rsid w:val="00DA3CFC"/>
    <w:rsid w:val="00DA3FBE"/>
    <w:rsid w:val="00DA4172"/>
    <w:rsid w:val="00DA4349"/>
    <w:rsid w:val="00DA45B7"/>
    <w:rsid w:val="00DA45C8"/>
    <w:rsid w:val="00DA4691"/>
    <w:rsid w:val="00DA4C8C"/>
    <w:rsid w:val="00DA4ED8"/>
    <w:rsid w:val="00DA506D"/>
    <w:rsid w:val="00DA52EE"/>
    <w:rsid w:val="00DA5770"/>
    <w:rsid w:val="00DA58D9"/>
    <w:rsid w:val="00DA599C"/>
    <w:rsid w:val="00DA5A10"/>
    <w:rsid w:val="00DA5A5F"/>
    <w:rsid w:val="00DA5F52"/>
    <w:rsid w:val="00DA5F6E"/>
    <w:rsid w:val="00DA60BE"/>
    <w:rsid w:val="00DA637B"/>
    <w:rsid w:val="00DA6388"/>
    <w:rsid w:val="00DA63D4"/>
    <w:rsid w:val="00DA6449"/>
    <w:rsid w:val="00DA6560"/>
    <w:rsid w:val="00DA6952"/>
    <w:rsid w:val="00DA6A04"/>
    <w:rsid w:val="00DA6A5E"/>
    <w:rsid w:val="00DA6A7C"/>
    <w:rsid w:val="00DA6CCB"/>
    <w:rsid w:val="00DA6E8A"/>
    <w:rsid w:val="00DA7168"/>
    <w:rsid w:val="00DA75D3"/>
    <w:rsid w:val="00DA765C"/>
    <w:rsid w:val="00DA783A"/>
    <w:rsid w:val="00DB03D8"/>
    <w:rsid w:val="00DB0576"/>
    <w:rsid w:val="00DB0698"/>
    <w:rsid w:val="00DB07FA"/>
    <w:rsid w:val="00DB0989"/>
    <w:rsid w:val="00DB09B9"/>
    <w:rsid w:val="00DB0AF4"/>
    <w:rsid w:val="00DB0B17"/>
    <w:rsid w:val="00DB0BDA"/>
    <w:rsid w:val="00DB138E"/>
    <w:rsid w:val="00DB1439"/>
    <w:rsid w:val="00DB163B"/>
    <w:rsid w:val="00DB1A50"/>
    <w:rsid w:val="00DB1B10"/>
    <w:rsid w:val="00DB1B64"/>
    <w:rsid w:val="00DB1CA1"/>
    <w:rsid w:val="00DB1F52"/>
    <w:rsid w:val="00DB224A"/>
    <w:rsid w:val="00DB2872"/>
    <w:rsid w:val="00DB2B2E"/>
    <w:rsid w:val="00DB2C6B"/>
    <w:rsid w:val="00DB2CFA"/>
    <w:rsid w:val="00DB3197"/>
    <w:rsid w:val="00DB3546"/>
    <w:rsid w:val="00DB368B"/>
    <w:rsid w:val="00DB3753"/>
    <w:rsid w:val="00DB39E1"/>
    <w:rsid w:val="00DB3B0B"/>
    <w:rsid w:val="00DB3D09"/>
    <w:rsid w:val="00DB4302"/>
    <w:rsid w:val="00DB4B82"/>
    <w:rsid w:val="00DB4BBE"/>
    <w:rsid w:val="00DB4EB8"/>
    <w:rsid w:val="00DB4FFB"/>
    <w:rsid w:val="00DB50B6"/>
    <w:rsid w:val="00DB516E"/>
    <w:rsid w:val="00DB518A"/>
    <w:rsid w:val="00DB5884"/>
    <w:rsid w:val="00DB5943"/>
    <w:rsid w:val="00DB5B1F"/>
    <w:rsid w:val="00DB5DCE"/>
    <w:rsid w:val="00DB606E"/>
    <w:rsid w:val="00DB60DB"/>
    <w:rsid w:val="00DB610D"/>
    <w:rsid w:val="00DB6238"/>
    <w:rsid w:val="00DB632B"/>
    <w:rsid w:val="00DB63A3"/>
    <w:rsid w:val="00DB6548"/>
    <w:rsid w:val="00DB6914"/>
    <w:rsid w:val="00DB6CE6"/>
    <w:rsid w:val="00DB6DC8"/>
    <w:rsid w:val="00DB6FA1"/>
    <w:rsid w:val="00DB74D8"/>
    <w:rsid w:val="00DB751E"/>
    <w:rsid w:val="00DB75D1"/>
    <w:rsid w:val="00DB78A2"/>
    <w:rsid w:val="00DB7920"/>
    <w:rsid w:val="00DB7EF8"/>
    <w:rsid w:val="00DB7F98"/>
    <w:rsid w:val="00DB7FEE"/>
    <w:rsid w:val="00DC01FD"/>
    <w:rsid w:val="00DC02E7"/>
    <w:rsid w:val="00DC0339"/>
    <w:rsid w:val="00DC05C0"/>
    <w:rsid w:val="00DC05C2"/>
    <w:rsid w:val="00DC09DF"/>
    <w:rsid w:val="00DC0B98"/>
    <w:rsid w:val="00DC1272"/>
    <w:rsid w:val="00DC1432"/>
    <w:rsid w:val="00DC175D"/>
    <w:rsid w:val="00DC1834"/>
    <w:rsid w:val="00DC194A"/>
    <w:rsid w:val="00DC19C7"/>
    <w:rsid w:val="00DC1A4E"/>
    <w:rsid w:val="00DC1BEA"/>
    <w:rsid w:val="00DC1D46"/>
    <w:rsid w:val="00DC1DB3"/>
    <w:rsid w:val="00DC1F33"/>
    <w:rsid w:val="00DC2125"/>
    <w:rsid w:val="00DC22A3"/>
    <w:rsid w:val="00DC2583"/>
    <w:rsid w:val="00DC26A2"/>
    <w:rsid w:val="00DC26F2"/>
    <w:rsid w:val="00DC2928"/>
    <w:rsid w:val="00DC297D"/>
    <w:rsid w:val="00DC2A81"/>
    <w:rsid w:val="00DC2C17"/>
    <w:rsid w:val="00DC3037"/>
    <w:rsid w:val="00DC30E0"/>
    <w:rsid w:val="00DC341F"/>
    <w:rsid w:val="00DC3420"/>
    <w:rsid w:val="00DC3555"/>
    <w:rsid w:val="00DC38A8"/>
    <w:rsid w:val="00DC3950"/>
    <w:rsid w:val="00DC39E5"/>
    <w:rsid w:val="00DC3C69"/>
    <w:rsid w:val="00DC3D2D"/>
    <w:rsid w:val="00DC3D9E"/>
    <w:rsid w:val="00DC3EE4"/>
    <w:rsid w:val="00DC3EE8"/>
    <w:rsid w:val="00DC41FE"/>
    <w:rsid w:val="00DC4BC7"/>
    <w:rsid w:val="00DC4E45"/>
    <w:rsid w:val="00DC4F69"/>
    <w:rsid w:val="00DC5267"/>
    <w:rsid w:val="00DC551F"/>
    <w:rsid w:val="00DC5539"/>
    <w:rsid w:val="00DC5591"/>
    <w:rsid w:val="00DC55BD"/>
    <w:rsid w:val="00DC561F"/>
    <w:rsid w:val="00DC5728"/>
    <w:rsid w:val="00DC5D72"/>
    <w:rsid w:val="00DC5E60"/>
    <w:rsid w:val="00DC5EA0"/>
    <w:rsid w:val="00DC5ED3"/>
    <w:rsid w:val="00DC5F44"/>
    <w:rsid w:val="00DC6009"/>
    <w:rsid w:val="00DC64C3"/>
    <w:rsid w:val="00DC68D2"/>
    <w:rsid w:val="00DC6A6D"/>
    <w:rsid w:val="00DC6B0B"/>
    <w:rsid w:val="00DC6B2D"/>
    <w:rsid w:val="00DC6C58"/>
    <w:rsid w:val="00DC6CC1"/>
    <w:rsid w:val="00DC6D8B"/>
    <w:rsid w:val="00DC745C"/>
    <w:rsid w:val="00DC7534"/>
    <w:rsid w:val="00DC759E"/>
    <w:rsid w:val="00DC7A54"/>
    <w:rsid w:val="00DC7BDE"/>
    <w:rsid w:val="00DC7CAC"/>
    <w:rsid w:val="00DC7D26"/>
    <w:rsid w:val="00DC7D64"/>
    <w:rsid w:val="00DC7DBD"/>
    <w:rsid w:val="00DC7EDE"/>
    <w:rsid w:val="00DD0143"/>
    <w:rsid w:val="00DD05C8"/>
    <w:rsid w:val="00DD07EC"/>
    <w:rsid w:val="00DD0870"/>
    <w:rsid w:val="00DD08F0"/>
    <w:rsid w:val="00DD0A06"/>
    <w:rsid w:val="00DD0AD1"/>
    <w:rsid w:val="00DD0DB2"/>
    <w:rsid w:val="00DD0DD5"/>
    <w:rsid w:val="00DD1099"/>
    <w:rsid w:val="00DD14FD"/>
    <w:rsid w:val="00DD1969"/>
    <w:rsid w:val="00DD1A10"/>
    <w:rsid w:val="00DD1BAA"/>
    <w:rsid w:val="00DD1C11"/>
    <w:rsid w:val="00DD1D6A"/>
    <w:rsid w:val="00DD1E81"/>
    <w:rsid w:val="00DD1F29"/>
    <w:rsid w:val="00DD202A"/>
    <w:rsid w:val="00DD2039"/>
    <w:rsid w:val="00DD2057"/>
    <w:rsid w:val="00DD21A2"/>
    <w:rsid w:val="00DD238C"/>
    <w:rsid w:val="00DD24A7"/>
    <w:rsid w:val="00DD261E"/>
    <w:rsid w:val="00DD286E"/>
    <w:rsid w:val="00DD287C"/>
    <w:rsid w:val="00DD2A99"/>
    <w:rsid w:val="00DD2B7E"/>
    <w:rsid w:val="00DD2C61"/>
    <w:rsid w:val="00DD2F3E"/>
    <w:rsid w:val="00DD30A5"/>
    <w:rsid w:val="00DD35AA"/>
    <w:rsid w:val="00DD35D0"/>
    <w:rsid w:val="00DD3775"/>
    <w:rsid w:val="00DD3786"/>
    <w:rsid w:val="00DD3DEA"/>
    <w:rsid w:val="00DD3E53"/>
    <w:rsid w:val="00DD3EF8"/>
    <w:rsid w:val="00DD4072"/>
    <w:rsid w:val="00DD436B"/>
    <w:rsid w:val="00DD468D"/>
    <w:rsid w:val="00DD4756"/>
    <w:rsid w:val="00DD497C"/>
    <w:rsid w:val="00DD4A97"/>
    <w:rsid w:val="00DD4BA9"/>
    <w:rsid w:val="00DD4FCB"/>
    <w:rsid w:val="00DD51BC"/>
    <w:rsid w:val="00DD521F"/>
    <w:rsid w:val="00DD5263"/>
    <w:rsid w:val="00DD551D"/>
    <w:rsid w:val="00DD56B3"/>
    <w:rsid w:val="00DD574D"/>
    <w:rsid w:val="00DD575F"/>
    <w:rsid w:val="00DD5883"/>
    <w:rsid w:val="00DD5DE5"/>
    <w:rsid w:val="00DD60FB"/>
    <w:rsid w:val="00DD612E"/>
    <w:rsid w:val="00DD6650"/>
    <w:rsid w:val="00DD6EB0"/>
    <w:rsid w:val="00DD7465"/>
    <w:rsid w:val="00DD7588"/>
    <w:rsid w:val="00DD7732"/>
    <w:rsid w:val="00DD788D"/>
    <w:rsid w:val="00DD7907"/>
    <w:rsid w:val="00DD7BD4"/>
    <w:rsid w:val="00DD7C84"/>
    <w:rsid w:val="00DD7DCC"/>
    <w:rsid w:val="00DE0003"/>
    <w:rsid w:val="00DE008B"/>
    <w:rsid w:val="00DE00E7"/>
    <w:rsid w:val="00DE0199"/>
    <w:rsid w:val="00DE0346"/>
    <w:rsid w:val="00DE06FC"/>
    <w:rsid w:val="00DE0724"/>
    <w:rsid w:val="00DE0914"/>
    <w:rsid w:val="00DE091F"/>
    <w:rsid w:val="00DE0981"/>
    <w:rsid w:val="00DE0A07"/>
    <w:rsid w:val="00DE0ECB"/>
    <w:rsid w:val="00DE0F2E"/>
    <w:rsid w:val="00DE1077"/>
    <w:rsid w:val="00DE146E"/>
    <w:rsid w:val="00DE1B65"/>
    <w:rsid w:val="00DE1F4E"/>
    <w:rsid w:val="00DE216D"/>
    <w:rsid w:val="00DE2298"/>
    <w:rsid w:val="00DE22F1"/>
    <w:rsid w:val="00DE244D"/>
    <w:rsid w:val="00DE262D"/>
    <w:rsid w:val="00DE2844"/>
    <w:rsid w:val="00DE2B37"/>
    <w:rsid w:val="00DE2F2E"/>
    <w:rsid w:val="00DE2F41"/>
    <w:rsid w:val="00DE2F70"/>
    <w:rsid w:val="00DE3052"/>
    <w:rsid w:val="00DE30DC"/>
    <w:rsid w:val="00DE33CC"/>
    <w:rsid w:val="00DE3512"/>
    <w:rsid w:val="00DE36EF"/>
    <w:rsid w:val="00DE37CB"/>
    <w:rsid w:val="00DE39D2"/>
    <w:rsid w:val="00DE3ABD"/>
    <w:rsid w:val="00DE3F92"/>
    <w:rsid w:val="00DE403F"/>
    <w:rsid w:val="00DE418A"/>
    <w:rsid w:val="00DE43CD"/>
    <w:rsid w:val="00DE46EB"/>
    <w:rsid w:val="00DE49C3"/>
    <w:rsid w:val="00DE4C7B"/>
    <w:rsid w:val="00DE51E7"/>
    <w:rsid w:val="00DE54BB"/>
    <w:rsid w:val="00DE566E"/>
    <w:rsid w:val="00DE59C0"/>
    <w:rsid w:val="00DE5C2C"/>
    <w:rsid w:val="00DE5D68"/>
    <w:rsid w:val="00DE5DEA"/>
    <w:rsid w:val="00DE5EDA"/>
    <w:rsid w:val="00DE5F81"/>
    <w:rsid w:val="00DE5FB8"/>
    <w:rsid w:val="00DE60D8"/>
    <w:rsid w:val="00DE60EA"/>
    <w:rsid w:val="00DE6193"/>
    <w:rsid w:val="00DE652C"/>
    <w:rsid w:val="00DE6926"/>
    <w:rsid w:val="00DE69A7"/>
    <w:rsid w:val="00DE69E6"/>
    <w:rsid w:val="00DE6A76"/>
    <w:rsid w:val="00DE6E5F"/>
    <w:rsid w:val="00DE70A1"/>
    <w:rsid w:val="00DE718F"/>
    <w:rsid w:val="00DE71F2"/>
    <w:rsid w:val="00DE7229"/>
    <w:rsid w:val="00DE7442"/>
    <w:rsid w:val="00DE7621"/>
    <w:rsid w:val="00DE78EA"/>
    <w:rsid w:val="00DE7A23"/>
    <w:rsid w:val="00DE7A47"/>
    <w:rsid w:val="00DE7E2C"/>
    <w:rsid w:val="00DE7FA8"/>
    <w:rsid w:val="00DE7FB4"/>
    <w:rsid w:val="00DF069D"/>
    <w:rsid w:val="00DF0A5E"/>
    <w:rsid w:val="00DF0CE1"/>
    <w:rsid w:val="00DF0E6E"/>
    <w:rsid w:val="00DF107B"/>
    <w:rsid w:val="00DF1148"/>
    <w:rsid w:val="00DF1203"/>
    <w:rsid w:val="00DF13FD"/>
    <w:rsid w:val="00DF1489"/>
    <w:rsid w:val="00DF1500"/>
    <w:rsid w:val="00DF1748"/>
    <w:rsid w:val="00DF180F"/>
    <w:rsid w:val="00DF18E5"/>
    <w:rsid w:val="00DF1AAB"/>
    <w:rsid w:val="00DF1C99"/>
    <w:rsid w:val="00DF1DD1"/>
    <w:rsid w:val="00DF1F54"/>
    <w:rsid w:val="00DF2192"/>
    <w:rsid w:val="00DF233D"/>
    <w:rsid w:val="00DF23AC"/>
    <w:rsid w:val="00DF25B4"/>
    <w:rsid w:val="00DF27B9"/>
    <w:rsid w:val="00DF29EE"/>
    <w:rsid w:val="00DF2CAF"/>
    <w:rsid w:val="00DF2CC2"/>
    <w:rsid w:val="00DF2DBB"/>
    <w:rsid w:val="00DF3102"/>
    <w:rsid w:val="00DF3235"/>
    <w:rsid w:val="00DF32E8"/>
    <w:rsid w:val="00DF34BD"/>
    <w:rsid w:val="00DF34FF"/>
    <w:rsid w:val="00DF3589"/>
    <w:rsid w:val="00DF3D23"/>
    <w:rsid w:val="00DF3FD3"/>
    <w:rsid w:val="00DF3FE2"/>
    <w:rsid w:val="00DF4149"/>
    <w:rsid w:val="00DF4251"/>
    <w:rsid w:val="00DF434F"/>
    <w:rsid w:val="00DF444D"/>
    <w:rsid w:val="00DF452B"/>
    <w:rsid w:val="00DF46C6"/>
    <w:rsid w:val="00DF46F6"/>
    <w:rsid w:val="00DF4823"/>
    <w:rsid w:val="00DF4996"/>
    <w:rsid w:val="00DF4C79"/>
    <w:rsid w:val="00DF4E9C"/>
    <w:rsid w:val="00DF4ECF"/>
    <w:rsid w:val="00DF507F"/>
    <w:rsid w:val="00DF578D"/>
    <w:rsid w:val="00DF5820"/>
    <w:rsid w:val="00DF5A16"/>
    <w:rsid w:val="00DF6134"/>
    <w:rsid w:val="00DF6161"/>
    <w:rsid w:val="00DF630C"/>
    <w:rsid w:val="00DF652C"/>
    <w:rsid w:val="00DF6693"/>
    <w:rsid w:val="00DF6757"/>
    <w:rsid w:val="00DF67E7"/>
    <w:rsid w:val="00DF6E10"/>
    <w:rsid w:val="00DF70B0"/>
    <w:rsid w:val="00DF7166"/>
    <w:rsid w:val="00DF7211"/>
    <w:rsid w:val="00DF7325"/>
    <w:rsid w:val="00DF7415"/>
    <w:rsid w:val="00DFEA17"/>
    <w:rsid w:val="00E00498"/>
    <w:rsid w:val="00E004B4"/>
    <w:rsid w:val="00E004F7"/>
    <w:rsid w:val="00E00566"/>
    <w:rsid w:val="00E0059A"/>
    <w:rsid w:val="00E00842"/>
    <w:rsid w:val="00E0085F"/>
    <w:rsid w:val="00E008F3"/>
    <w:rsid w:val="00E00ABE"/>
    <w:rsid w:val="00E00F1F"/>
    <w:rsid w:val="00E01146"/>
    <w:rsid w:val="00E012BA"/>
    <w:rsid w:val="00E01357"/>
    <w:rsid w:val="00E014DA"/>
    <w:rsid w:val="00E014ED"/>
    <w:rsid w:val="00E0150F"/>
    <w:rsid w:val="00E0155E"/>
    <w:rsid w:val="00E01968"/>
    <w:rsid w:val="00E01A9A"/>
    <w:rsid w:val="00E01AFB"/>
    <w:rsid w:val="00E01D81"/>
    <w:rsid w:val="00E01E8B"/>
    <w:rsid w:val="00E01FA6"/>
    <w:rsid w:val="00E01FF5"/>
    <w:rsid w:val="00E0221A"/>
    <w:rsid w:val="00E02265"/>
    <w:rsid w:val="00E02389"/>
    <w:rsid w:val="00E02EE2"/>
    <w:rsid w:val="00E030D0"/>
    <w:rsid w:val="00E03262"/>
    <w:rsid w:val="00E0343F"/>
    <w:rsid w:val="00E034CD"/>
    <w:rsid w:val="00E034E8"/>
    <w:rsid w:val="00E03570"/>
    <w:rsid w:val="00E03636"/>
    <w:rsid w:val="00E03654"/>
    <w:rsid w:val="00E03708"/>
    <w:rsid w:val="00E03845"/>
    <w:rsid w:val="00E03867"/>
    <w:rsid w:val="00E038F1"/>
    <w:rsid w:val="00E03929"/>
    <w:rsid w:val="00E03AF5"/>
    <w:rsid w:val="00E03C56"/>
    <w:rsid w:val="00E04380"/>
    <w:rsid w:val="00E04466"/>
    <w:rsid w:val="00E0494F"/>
    <w:rsid w:val="00E05043"/>
    <w:rsid w:val="00E051C8"/>
    <w:rsid w:val="00E052AD"/>
    <w:rsid w:val="00E05490"/>
    <w:rsid w:val="00E05A14"/>
    <w:rsid w:val="00E05AF9"/>
    <w:rsid w:val="00E05B95"/>
    <w:rsid w:val="00E05CEF"/>
    <w:rsid w:val="00E0618F"/>
    <w:rsid w:val="00E0644D"/>
    <w:rsid w:val="00E06903"/>
    <w:rsid w:val="00E06B1B"/>
    <w:rsid w:val="00E06BC9"/>
    <w:rsid w:val="00E0710F"/>
    <w:rsid w:val="00E0725F"/>
    <w:rsid w:val="00E07626"/>
    <w:rsid w:val="00E07879"/>
    <w:rsid w:val="00E079C9"/>
    <w:rsid w:val="00E10244"/>
    <w:rsid w:val="00E10392"/>
    <w:rsid w:val="00E104DB"/>
    <w:rsid w:val="00E10729"/>
    <w:rsid w:val="00E10B49"/>
    <w:rsid w:val="00E10BF8"/>
    <w:rsid w:val="00E10C2C"/>
    <w:rsid w:val="00E10EC6"/>
    <w:rsid w:val="00E11002"/>
    <w:rsid w:val="00E112E3"/>
    <w:rsid w:val="00E11319"/>
    <w:rsid w:val="00E11495"/>
    <w:rsid w:val="00E11537"/>
    <w:rsid w:val="00E116F3"/>
    <w:rsid w:val="00E11AA1"/>
    <w:rsid w:val="00E11D4F"/>
    <w:rsid w:val="00E12269"/>
    <w:rsid w:val="00E1231A"/>
    <w:rsid w:val="00E12547"/>
    <w:rsid w:val="00E1261A"/>
    <w:rsid w:val="00E12714"/>
    <w:rsid w:val="00E12871"/>
    <w:rsid w:val="00E12BC4"/>
    <w:rsid w:val="00E12CE4"/>
    <w:rsid w:val="00E12D55"/>
    <w:rsid w:val="00E12D7F"/>
    <w:rsid w:val="00E131EB"/>
    <w:rsid w:val="00E13347"/>
    <w:rsid w:val="00E133F1"/>
    <w:rsid w:val="00E13539"/>
    <w:rsid w:val="00E136CD"/>
    <w:rsid w:val="00E137CD"/>
    <w:rsid w:val="00E13816"/>
    <w:rsid w:val="00E1397F"/>
    <w:rsid w:val="00E13B22"/>
    <w:rsid w:val="00E13B25"/>
    <w:rsid w:val="00E13C0F"/>
    <w:rsid w:val="00E1406A"/>
    <w:rsid w:val="00E14136"/>
    <w:rsid w:val="00E142E3"/>
    <w:rsid w:val="00E14399"/>
    <w:rsid w:val="00E1450B"/>
    <w:rsid w:val="00E147C9"/>
    <w:rsid w:val="00E14BF9"/>
    <w:rsid w:val="00E14CF8"/>
    <w:rsid w:val="00E14DE7"/>
    <w:rsid w:val="00E14E43"/>
    <w:rsid w:val="00E15028"/>
    <w:rsid w:val="00E15152"/>
    <w:rsid w:val="00E1529E"/>
    <w:rsid w:val="00E15340"/>
    <w:rsid w:val="00E154F9"/>
    <w:rsid w:val="00E15803"/>
    <w:rsid w:val="00E15C65"/>
    <w:rsid w:val="00E15D8F"/>
    <w:rsid w:val="00E15E1F"/>
    <w:rsid w:val="00E15ED8"/>
    <w:rsid w:val="00E15F8C"/>
    <w:rsid w:val="00E15FD4"/>
    <w:rsid w:val="00E16002"/>
    <w:rsid w:val="00E1605F"/>
    <w:rsid w:val="00E16162"/>
    <w:rsid w:val="00E1674A"/>
    <w:rsid w:val="00E167F8"/>
    <w:rsid w:val="00E168DA"/>
    <w:rsid w:val="00E16A31"/>
    <w:rsid w:val="00E16C18"/>
    <w:rsid w:val="00E16CE5"/>
    <w:rsid w:val="00E16DC7"/>
    <w:rsid w:val="00E16F79"/>
    <w:rsid w:val="00E17052"/>
    <w:rsid w:val="00E17122"/>
    <w:rsid w:val="00E17193"/>
    <w:rsid w:val="00E17275"/>
    <w:rsid w:val="00E1744E"/>
    <w:rsid w:val="00E17B24"/>
    <w:rsid w:val="00E17DD3"/>
    <w:rsid w:val="00E20403"/>
    <w:rsid w:val="00E20531"/>
    <w:rsid w:val="00E20550"/>
    <w:rsid w:val="00E205BD"/>
    <w:rsid w:val="00E206B6"/>
    <w:rsid w:val="00E2109E"/>
    <w:rsid w:val="00E21143"/>
    <w:rsid w:val="00E2116E"/>
    <w:rsid w:val="00E2123D"/>
    <w:rsid w:val="00E21289"/>
    <w:rsid w:val="00E2139F"/>
    <w:rsid w:val="00E21695"/>
    <w:rsid w:val="00E2169E"/>
    <w:rsid w:val="00E218E9"/>
    <w:rsid w:val="00E2191C"/>
    <w:rsid w:val="00E21A04"/>
    <w:rsid w:val="00E21DE4"/>
    <w:rsid w:val="00E22203"/>
    <w:rsid w:val="00E226FD"/>
    <w:rsid w:val="00E22934"/>
    <w:rsid w:val="00E22947"/>
    <w:rsid w:val="00E22A01"/>
    <w:rsid w:val="00E22B06"/>
    <w:rsid w:val="00E22B41"/>
    <w:rsid w:val="00E22B6E"/>
    <w:rsid w:val="00E22BA2"/>
    <w:rsid w:val="00E22D19"/>
    <w:rsid w:val="00E22D8E"/>
    <w:rsid w:val="00E22DC2"/>
    <w:rsid w:val="00E22EF3"/>
    <w:rsid w:val="00E23075"/>
    <w:rsid w:val="00E230DC"/>
    <w:rsid w:val="00E2312A"/>
    <w:rsid w:val="00E23177"/>
    <w:rsid w:val="00E2339F"/>
    <w:rsid w:val="00E235D2"/>
    <w:rsid w:val="00E237DA"/>
    <w:rsid w:val="00E23A0E"/>
    <w:rsid w:val="00E23B6D"/>
    <w:rsid w:val="00E23C19"/>
    <w:rsid w:val="00E23D9A"/>
    <w:rsid w:val="00E23E55"/>
    <w:rsid w:val="00E24066"/>
    <w:rsid w:val="00E240C3"/>
    <w:rsid w:val="00E240C8"/>
    <w:rsid w:val="00E2424D"/>
    <w:rsid w:val="00E246C9"/>
    <w:rsid w:val="00E249BF"/>
    <w:rsid w:val="00E24D51"/>
    <w:rsid w:val="00E250D6"/>
    <w:rsid w:val="00E253C9"/>
    <w:rsid w:val="00E255A6"/>
    <w:rsid w:val="00E2575E"/>
    <w:rsid w:val="00E25FE7"/>
    <w:rsid w:val="00E262EA"/>
    <w:rsid w:val="00E26330"/>
    <w:rsid w:val="00E2653D"/>
    <w:rsid w:val="00E265D8"/>
    <w:rsid w:val="00E2683F"/>
    <w:rsid w:val="00E26D49"/>
    <w:rsid w:val="00E26E7F"/>
    <w:rsid w:val="00E26E8E"/>
    <w:rsid w:val="00E26F8B"/>
    <w:rsid w:val="00E27059"/>
    <w:rsid w:val="00E270A5"/>
    <w:rsid w:val="00E27393"/>
    <w:rsid w:val="00E2747D"/>
    <w:rsid w:val="00E276C1"/>
    <w:rsid w:val="00E277D7"/>
    <w:rsid w:val="00E27A06"/>
    <w:rsid w:val="00E27D15"/>
    <w:rsid w:val="00E301DD"/>
    <w:rsid w:val="00E302A7"/>
    <w:rsid w:val="00E3049A"/>
    <w:rsid w:val="00E304AF"/>
    <w:rsid w:val="00E305D3"/>
    <w:rsid w:val="00E30712"/>
    <w:rsid w:val="00E3077E"/>
    <w:rsid w:val="00E30C00"/>
    <w:rsid w:val="00E30D0C"/>
    <w:rsid w:val="00E30D4C"/>
    <w:rsid w:val="00E31242"/>
    <w:rsid w:val="00E315DB"/>
    <w:rsid w:val="00E31B94"/>
    <w:rsid w:val="00E31F9C"/>
    <w:rsid w:val="00E3234C"/>
    <w:rsid w:val="00E329DB"/>
    <w:rsid w:val="00E32C29"/>
    <w:rsid w:val="00E32C36"/>
    <w:rsid w:val="00E32C61"/>
    <w:rsid w:val="00E32E4E"/>
    <w:rsid w:val="00E32E74"/>
    <w:rsid w:val="00E3303F"/>
    <w:rsid w:val="00E33388"/>
    <w:rsid w:val="00E334A8"/>
    <w:rsid w:val="00E335B8"/>
    <w:rsid w:val="00E335C0"/>
    <w:rsid w:val="00E33D56"/>
    <w:rsid w:val="00E33E1E"/>
    <w:rsid w:val="00E33E7B"/>
    <w:rsid w:val="00E33F7B"/>
    <w:rsid w:val="00E33F8F"/>
    <w:rsid w:val="00E33FCA"/>
    <w:rsid w:val="00E340A8"/>
    <w:rsid w:val="00E34162"/>
    <w:rsid w:val="00E34325"/>
    <w:rsid w:val="00E3467F"/>
    <w:rsid w:val="00E346FB"/>
    <w:rsid w:val="00E347A5"/>
    <w:rsid w:val="00E34971"/>
    <w:rsid w:val="00E34E22"/>
    <w:rsid w:val="00E34FE8"/>
    <w:rsid w:val="00E35312"/>
    <w:rsid w:val="00E35493"/>
    <w:rsid w:val="00E35581"/>
    <w:rsid w:val="00E3570F"/>
    <w:rsid w:val="00E35789"/>
    <w:rsid w:val="00E35855"/>
    <w:rsid w:val="00E35A05"/>
    <w:rsid w:val="00E35A83"/>
    <w:rsid w:val="00E35B65"/>
    <w:rsid w:val="00E35BB3"/>
    <w:rsid w:val="00E3623F"/>
    <w:rsid w:val="00E36501"/>
    <w:rsid w:val="00E36849"/>
    <w:rsid w:val="00E36B9B"/>
    <w:rsid w:val="00E36C68"/>
    <w:rsid w:val="00E36D53"/>
    <w:rsid w:val="00E36EC2"/>
    <w:rsid w:val="00E36F06"/>
    <w:rsid w:val="00E36F1E"/>
    <w:rsid w:val="00E36F7E"/>
    <w:rsid w:val="00E36FB8"/>
    <w:rsid w:val="00E37498"/>
    <w:rsid w:val="00E37700"/>
    <w:rsid w:val="00E37835"/>
    <w:rsid w:val="00E37879"/>
    <w:rsid w:val="00E37C11"/>
    <w:rsid w:val="00E37D43"/>
    <w:rsid w:val="00E37D89"/>
    <w:rsid w:val="00E37DD7"/>
    <w:rsid w:val="00E37DDD"/>
    <w:rsid w:val="00E40188"/>
    <w:rsid w:val="00E401C2"/>
    <w:rsid w:val="00E403F1"/>
    <w:rsid w:val="00E40603"/>
    <w:rsid w:val="00E40607"/>
    <w:rsid w:val="00E40652"/>
    <w:rsid w:val="00E40879"/>
    <w:rsid w:val="00E408F5"/>
    <w:rsid w:val="00E40A52"/>
    <w:rsid w:val="00E40AB8"/>
    <w:rsid w:val="00E40BC0"/>
    <w:rsid w:val="00E40DC9"/>
    <w:rsid w:val="00E410BE"/>
    <w:rsid w:val="00E41263"/>
    <w:rsid w:val="00E413B0"/>
    <w:rsid w:val="00E413EB"/>
    <w:rsid w:val="00E41450"/>
    <w:rsid w:val="00E415B1"/>
    <w:rsid w:val="00E41654"/>
    <w:rsid w:val="00E4184A"/>
    <w:rsid w:val="00E41BEC"/>
    <w:rsid w:val="00E41E5C"/>
    <w:rsid w:val="00E41F0F"/>
    <w:rsid w:val="00E427BE"/>
    <w:rsid w:val="00E428DD"/>
    <w:rsid w:val="00E42906"/>
    <w:rsid w:val="00E42A12"/>
    <w:rsid w:val="00E42AF4"/>
    <w:rsid w:val="00E42D37"/>
    <w:rsid w:val="00E42F3A"/>
    <w:rsid w:val="00E4301B"/>
    <w:rsid w:val="00E430A8"/>
    <w:rsid w:val="00E43166"/>
    <w:rsid w:val="00E4328B"/>
    <w:rsid w:val="00E4334B"/>
    <w:rsid w:val="00E436D1"/>
    <w:rsid w:val="00E43A1C"/>
    <w:rsid w:val="00E440E7"/>
    <w:rsid w:val="00E4411C"/>
    <w:rsid w:val="00E4438A"/>
    <w:rsid w:val="00E443CF"/>
    <w:rsid w:val="00E444C8"/>
    <w:rsid w:val="00E44516"/>
    <w:rsid w:val="00E44602"/>
    <w:rsid w:val="00E44B13"/>
    <w:rsid w:val="00E44D44"/>
    <w:rsid w:val="00E44FB0"/>
    <w:rsid w:val="00E4519B"/>
    <w:rsid w:val="00E45303"/>
    <w:rsid w:val="00E45565"/>
    <w:rsid w:val="00E4566C"/>
    <w:rsid w:val="00E45693"/>
    <w:rsid w:val="00E45B75"/>
    <w:rsid w:val="00E45CDF"/>
    <w:rsid w:val="00E45CF8"/>
    <w:rsid w:val="00E460C0"/>
    <w:rsid w:val="00E46175"/>
    <w:rsid w:val="00E46259"/>
    <w:rsid w:val="00E464CC"/>
    <w:rsid w:val="00E4696E"/>
    <w:rsid w:val="00E47080"/>
    <w:rsid w:val="00E47278"/>
    <w:rsid w:val="00E47380"/>
    <w:rsid w:val="00E47EEC"/>
    <w:rsid w:val="00E5053A"/>
    <w:rsid w:val="00E50D45"/>
    <w:rsid w:val="00E5107C"/>
    <w:rsid w:val="00E510BF"/>
    <w:rsid w:val="00E511AA"/>
    <w:rsid w:val="00E512C6"/>
    <w:rsid w:val="00E51476"/>
    <w:rsid w:val="00E514E8"/>
    <w:rsid w:val="00E5195B"/>
    <w:rsid w:val="00E51B8D"/>
    <w:rsid w:val="00E51C7B"/>
    <w:rsid w:val="00E51E5E"/>
    <w:rsid w:val="00E51EF5"/>
    <w:rsid w:val="00E51F10"/>
    <w:rsid w:val="00E51FC4"/>
    <w:rsid w:val="00E521C4"/>
    <w:rsid w:val="00E5270B"/>
    <w:rsid w:val="00E529D8"/>
    <w:rsid w:val="00E52AA3"/>
    <w:rsid w:val="00E52DD8"/>
    <w:rsid w:val="00E53216"/>
    <w:rsid w:val="00E53489"/>
    <w:rsid w:val="00E535F9"/>
    <w:rsid w:val="00E5383A"/>
    <w:rsid w:val="00E53E84"/>
    <w:rsid w:val="00E53EB4"/>
    <w:rsid w:val="00E5400A"/>
    <w:rsid w:val="00E546B6"/>
    <w:rsid w:val="00E54832"/>
    <w:rsid w:val="00E54B0F"/>
    <w:rsid w:val="00E54B26"/>
    <w:rsid w:val="00E54D61"/>
    <w:rsid w:val="00E54E9B"/>
    <w:rsid w:val="00E55167"/>
    <w:rsid w:val="00E551FA"/>
    <w:rsid w:val="00E552F2"/>
    <w:rsid w:val="00E5530C"/>
    <w:rsid w:val="00E55481"/>
    <w:rsid w:val="00E55B18"/>
    <w:rsid w:val="00E55D38"/>
    <w:rsid w:val="00E561BE"/>
    <w:rsid w:val="00E56580"/>
    <w:rsid w:val="00E565A8"/>
    <w:rsid w:val="00E565D9"/>
    <w:rsid w:val="00E569E0"/>
    <w:rsid w:val="00E56AE0"/>
    <w:rsid w:val="00E56B16"/>
    <w:rsid w:val="00E56DC5"/>
    <w:rsid w:val="00E56F67"/>
    <w:rsid w:val="00E57049"/>
    <w:rsid w:val="00E5724B"/>
    <w:rsid w:val="00E57250"/>
    <w:rsid w:val="00E5742B"/>
    <w:rsid w:val="00E5745C"/>
    <w:rsid w:val="00E57827"/>
    <w:rsid w:val="00E57972"/>
    <w:rsid w:val="00E57B48"/>
    <w:rsid w:val="00E57D0B"/>
    <w:rsid w:val="00E57EA9"/>
    <w:rsid w:val="00E57EBE"/>
    <w:rsid w:val="00E57FDA"/>
    <w:rsid w:val="00E601A2"/>
    <w:rsid w:val="00E602AD"/>
    <w:rsid w:val="00E60895"/>
    <w:rsid w:val="00E609A7"/>
    <w:rsid w:val="00E60E63"/>
    <w:rsid w:val="00E60FE9"/>
    <w:rsid w:val="00E6139C"/>
    <w:rsid w:val="00E61649"/>
    <w:rsid w:val="00E61746"/>
    <w:rsid w:val="00E6183C"/>
    <w:rsid w:val="00E6188E"/>
    <w:rsid w:val="00E61F3E"/>
    <w:rsid w:val="00E61FE5"/>
    <w:rsid w:val="00E620C2"/>
    <w:rsid w:val="00E6252F"/>
    <w:rsid w:val="00E62AA8"/>
    <w:rsid w:val="00E62BB7"/>
    <w:rsid w:val="00E62D12"/>
    <w:rsid w:val="00E62E6A"/>
    <w:rsid w:val="00E62F73"/>
    <w:rsid w:val="00E630E0"/>
    <w:rsid w:val="00E6327A"/>
    <w:rsid w:val="00E63496"/>
    <w:rsid w:val="00E635A3"/>
    <w:rsid w:val="00E63AA4"/>
    <w:rsid w:val="00E64269"/>
    <w:rsid w:val="00E646D8"/>
    <w:rsid w:val="00E6484A"/>
    <w:rsid w:val="00E64961"/>
    <w:rsid w:val="00E64B4C"/>
    <w:rsid w:val="00E64FCC"/>
    <w:rsid w:val="00E651D7"/>
    <w:rsid w:val="00E652F3"/>
    <w:rsid w:val="00E65414"/>
    <w:rsid w:val="00E654C8"/>
    <w:rsid w:val="00E65767"/>
    <w:rsid w:val="00E6578C"/>
    <w:rsid w:val="00E65860"/>
    <w:rsid w:val="00E658AC"/>
    <w:rsid w:val="00E65BC1"/>
    <w:rsid w:val="00E65F75"/>
    <w:rsid w:val="00E6619E"/>
    <w:rsid w:val="00E66392"/>
    <w:rsid w:val="00E66424"/>
    <w:rsid w:val="00E66844"/>
    <w:rsid w:val="00E66A28"/>
    <w:rsid w:val="00E66DD3"/>
    <w:rsid w:val="00E67009"/>
    <w:rsid w:val="00E672CE"/>
    <w:rsid w:val="00E676DA"/>
    <w:rsid w:val="00E67957"/>
    <w:rsid w:val="00E67D9E"/>
    <w:rsid w:val="00E67EE3"/>
    <w:rsid w:val="00E67FFD"/>
    <w:rsid w:val="00E7032A"/>
    <w:rsid w:val="00E703B3"/>
    <w:rsid w:val="00E70447"/>
    <w:rsid w:val="00E705A8"/>
    <w:rsid w:val="00E706F4"/>
    <w:rsid w:val="00E70722"/>
    <w:rsid w:val="00E709D8"/>
    <w:rsid w:val="00E70BEA"/>
    <w:rsid w:val="00E70DC8"/>
    <w:rsid w:val="00E70F84"/>
    <w:rsid w:val="00E7118E"/>
    <w:rsid w:val="00E711AC"/>
    <w:rsid w:val="00E71246"/>
    <w:rsid w:val="00E71413"/>
    <w:rsid w:val="00E715CC"/>
    <w:rsid w:val="00E716A4"/>
    <w:rsid w:val="00E716AE"/>
    <w:rsid w:val="00E717F5"/>
    <w:rsid w:val="00E71A06"/>
    <w:rsid w:val="00E71A97"/>
    <w:rsid w:val="00E71B5B"/>
    <w:rsid w:val="00E71CC6"/>
    <w:rsid w:val="00E71E11"/>
    <w:rsid w:val="00E71FD6"/>
    <w:rsid w:val="00E72178"/>
    <w:rsid w:val="00E728FC"/>
    <w:rsid w:val="00E7290C"/>
    <w:rsid w:val="00E72BB7"/>
    <w:rsid w:val="00E72C8A"/>
    <w:rsid w:val="00E72E52"/>
    <w:rsid w:val="00E7306C"/>
    <w:rsid w:val="00E73352"/>
    <w:rsid w:val="00E734F2"/>
    <w:rsid w:val="00E7368E"/>
    <w:rsid w:val="00E73BB1"/>
    <w:rsid w:val="00E73C2B"/>
    <w:rsid w:val="00E73CE4"/>
    <w:rsid w:val="00E73F07"/>
    <w:rsid w:val="00E740AF"/>
    <w:rsid w:val="00E740BD"/>
    <w:rsid w:val="00E7423D"/>
    <w:rsid w:val="00E749A2"/>
    <w:rsid w:val="00E74A61"/>
    <w:rsid w:val="00E74E2E"/>
    <w:rsid w:val="00E75061"/>
    <w:rsid w:val="00E75376"/>
    <w:rsid w:val="00E75625"/>
    <w:rsid w:val="00E757DE"/>
    <w:rsid w:val="00E7584E"/>
    <w:rsid w:val="00E75A09"/>
    <w:rsid w:val="00E75A33"/>
    <w:rsid w:val="00E75BBC"/>
    <w:rsid w:val="00E75C4E"/>
    <w:rsid w:val="00E75D38"/>
    <w:rsid w:val="00E76032"/>
    <w:rsid w:val="00E7664B"/>
    <w:rsid w:val="00E76F44"/>
    <w:rsid w:val="00E76FD6"/>
    <w:rsid w:val="00E77083"/>
    <w:rsid w:val="00E77270"/>
    <w:rsid w:val="00E773E5"/>
    <w:rsid w:val="00E77663"/>
    <w:rsid w:val="00E7791B"/>
    <w:rsid w:val="00E77E85"/>
    <w:rsid w:val="00E800DF"/>
    <w:rsid w:val="00E8020B"/>
    <w:rsid w:val="00E8043E"/>
    <w:rsid w:val="00E80478"/>
    <w:rsid w:val="00E807C0"/>
    <w:rsid w:val="00E80CB0"/>
    <w:rsid w:val="00E80F66"/>
    <w:rsid w:val="00E8116C"/>
    <w:rsid w:val="00E811B0"/>
    <w:rsid w:val="00E81404"/>
    <w:rsid w:val="00E81629"/>
    <w:rsid w:val="00E81975"/>
    <w:rsid w:val="00E81B9B"/>
    <w:rsid w:val="00E81CB5"/>
    <w:rsid w:val="00E81FEF"/>
    <w:rsid w:val="00E82136"/>
    <w:rsid w:val="00E824B3"/>
    <w:rsid w:val="00E82589"/>
    <w:rsid w:val="00E82727"/>
    <w:rsid w:val="00E82962"/>
    <w:rsid w:val="00E829E6"/>
    <w:rsid w:val="00E82B11"/>
    <w:rsid w:val="00E82CAB"/>
    <w:rsid w:val="00E82CFB"/>
    <w:rsid w:val="00E82DB0"/>
    <w:rsid w:val="00E82EA2"/>
    <w:rsid w:val="00E82EB1"/>
    <w:rsid w:val="00E82F8F"/>
    <w:rsid w:val="00E82FB0"/>
    <w:rsid w:val="00E8321F"/>
    <w:rsid w:val="00E8335B"/>
    <w:rsid w:val="00E83571"/>
    <w:rsid w:val="00E83637"/>
    <w:rsid w:val="00E837B8"/>
    <w:rsid w:val="00E83A53"/>
    <w:rsid w:val="00E83B45"/>
    <w:rsid w:val="00E83C27"/>
    <w:rsid w:val="00E83CAE"/>
    <w:rsid w:val="00E83D37"/>
    <w:rsid w:val="00E84270"/>
    <w:rsid w:val="00E84651"/>
    <w:rsid w:val="00E846F6"/>
    <w:rsid w:val="00E848EF"/>
    <w:rsid w:val="00E84C67"/>
    <w:rsid w:val="00E84E99"/>
    <w:rsid w:val="00E8550A"/>
    <w:rsid w:val="00E85617"/>
    <w:rsid w:val="00E85AF4"/>
    <w:rsid w:val="00E85D1D"/>
    <w:rsid w:val="00E85D63"/>
    <w:rsid w:val="00E85E54"/>
    <w:rsid w:val="00E85E8D"/>
    <w:rsid w:val="00E85F16"/>
    <w:rsid w:val="00E861B9"/>
    <w:rsid w:val="00E86304"/>
    <w:rsid w:val="00E86396"/>
    <w:rsid w:val="00E863FB"/>
    <w:rsid w:val="00E8653D"/>
    <w:rsid w:val="00E8694A"/>
    <w:rsid w:val="00E86A87"/>
    <w:rsid w:val="00E86EBB"/>
    <w:rsid w:val="00E86FB9"/>
    <w:rsid w:val="00E87068"/>
    <w:rsid w:val="00E871C7"/>
    <w:rsid w:val="00E871EF"/>
    <w:rsid w:val="00E8762C"/>
    <w:rsid w:val="00E87667"/>
    <w:rsid w:val="00E87753"/>
    <w:rsid w:val="00E87974"/>
    <w:rsid w:val="00E87B12"/>
    <w:rsid w:val="00E901D1"/>
    <w:rsid w:val="00E906C2"/>
    <w:rsid w:val="00E90716"/>
    <w:rsid w:val="00E9077E"/>
    <w:rsid w:val="00E9082F"/>
    <w:rsid w:val="00E90B41"/>
    <w:rsid w:val="00E90CF1"/>
    <w:rsid w:val="00E913C3"/>
    <w:rsid w:val="00E91585"/>
    <w:rsid w:val="00E9160D"/>
    <w:rsid w:val="00E91656"/>
    <w:rsid w:val="00E918F9"/>
    <w:rsid w:val="00E9198F"/>
    <w:rsid w:val="00E91E0D"/>
    <w:rsid w:val="00E92184"/>
    <w:rsid w:val="00E92B20"/>
    <w:rsid w:val="00E92B4B"/>
    <w:rsid w:val="00E92C91"/>
    <w:rsid w:val="00E93B98"/>
    <w:rsid w:val="00E93ECA"/>
    <w:rsid w:val="00E93F58"/>
    <w:rsid w:val="00E93FF7"/>
    <w:rsid w:val="00E9403D"/>
    <w:rsid w:val="00E9445E"/>
    <w:rsid w:val="00E945C4"/>
    <w:rsid w:val="00E94696"/>
    <w:rsid w:val="00E94831"/>
    <w:rsid w:val="00E94843"/>
    <w:rsid w:val="00E948A3"/>
    <w:rsid w:val="00E949C2"/>
    <w:rsid w:val="00E949FC"/>
    <w:rsid w:val="00E94AAE"/>
    <w:rsid w:val="00E94AB8"/>
    <w:rsid w:val="00E94B36"/>
    <w:rsid w:val="00E94E7F"/>
    <w:rsid w:val="00E94EF8"/>
    <w:rsid w:val="00E950B5"/>
    <w:rsid w:val="00E9515D"/>
    <w:rsid w:val="00E951BE"/>
    <w:rsid w:val="00E956A5"/>
    <w:rsid w:val="00E95878"/>
    <w:rsid w:val="00E959CD"/>
    <w:rsid w:val="00E95C05"/>
    <w:rsid w:val="00E95DA9"/>
    <w:rsid w:val="00E95EB8"/>
    <w:rsid w:val="00E96136"/>
    <w:rsid w:val="00E9620C"/>
    <w:rsid w:val="00E96279"/>
    <w:rsid w:val="00E96489"/>
    <w:rsid w:val="00E965CF"/>
    <w:rsid w:val="00E96825"/>
    <w:rsid w:val="00E9682B"/>
    <w:rsid w:val="00E968A1"/>
    <w:rsid w:val="00E96A93"/>
    <w:rsid w:val="00E96E6A"/>
    <w:rsid w:val="00E96F9F"/>
    <w:rsid w:val="00E9726F"/>
    <w:rsid w:val="00E975D4"/>
    <w:rsid w:val="00E97A5C"/>
    <w:rsid w:val="00E97BDF"/>
    <w:rsid w:val="00E97D0C"/>
    <w:rsid w:val="00EA0169"/>
    <w:rsid w:val="00EA0439"/>
    <w:rsid w:val="00EA0764"/>
    <w:rsid w:val="00EA0ADC"/>
    <w:rsid w:val="00EA0BF7"/>
    <w:rsid w:val="00EA0C75"/>
    <w:rsid w:val="00EA0DCF"/>
    <w:rsid w:val="00EA1240"/>
    <w:rsid w:val="00EA152B"/>
    <w:rsid w:val="00EA1599"/>
    <w:rsid w:val="00EA1722"/>
    <w:rsid w:val="00EA182C"/>
    <w:rsid w:val="00EA19DF"/>
    <w:rsid w:val="00EA1D5B"/>
    <w:rsid w:val="00EA1D8D"/>
    <w:rsid w:val="00EA1E73"/>
    <w:rsid w:val="00EA1E8A"/>
    <w:rsid w:val="00EA234D"/>
    <w:rsid w:val="00EA249C"/>
    <w:rsid w:val="00EA291E"/>
    <w:rsid w:val="00EA2C3A"/>
    <w:rsid w:val="00EA2E54"/>
    <w:rsid w:val="00EA30BF"/>
    <w:rsid w:val="00EA3222"/>
    <w:rsid w:val="00EA374C"/>
    <w:rsid w:val="00EA37A7"/>
    <w:rsid w:val="00EA3979"/>
    <w:rsid w:val="00EA4294"/>
    <w:rsid w:val="00EA4392"/>
    <w:rsid w:val="00EA441E"/>
    <w:rsid w:val="00EA4672"/>
    <w:rsid w:val="00EA4758"/>
    <w:rsid w:val="00EA47CD"/>
    <w:rsid w:val="00EA4820"/>
    <w:rsid w:val="00EA4846"/>
    <w:rsid w:val="00EA4917"/>
    <w:rsid w:val="00EA491E"/>
    <w:rsid w:val="00EA4A8C"/>
    <w:rsid w:val="00EA4D67"/>
    <w:rsid w:val="00EA4D6F"/>
    <w:rsid w:val="00EA4E04"/>
    <w:rsid w:val="00EA51EB"/>
    <w:rsid w:val="00EA5436"/>
    <w:rsid w:val="00EA54F7"/>
    <w:rsid w:val="00EA56DD"/>
    <w:rsid w:val="00EA5C71"/>
    <w:rsid w:val="00EA600A"/>
    <w:rsid w:val="00EA61CA"/>
    <w:rsid w:val="00EA636D"/>
    <w:rsid w:val="00EA63C4"/>
    <w:rsid w:val="00EA64D5"/>
    <w:rsid w:val="00EA6507"/>
    <w:rsid w:val="00EA6522"/>
    <w:rsid w:val="00EA6937"/>
    <w:rsid w:val="00EA6A94"/>
    <w:rsid w:val="00EA6BCC"/>
    <w:rsid w:val="00EA6EE0"/>
    <w:rsid w:val="00EA7200"/>
    <w:rsid w:val="00EA73B0"/>
    <w:rsid w:val="00EA73DB"/>
    <w:rsid w:val="00EA76C1"/>
    <w:rsid w:val="00EA7788"/>
    <w:rsid w:val="00EA795E"/>
    <w:rsid w:val="00EA7ACF"/>
    <w:rsid w:val="00EA7BE2"/>
    <w:rsid w:val="00EA7F90"/>
    <w:rsid w:val="00EA7F98"/>
    <w:rsid w:val="00EA7F9B"/>
    <w:rsid w:val="00EB012F"/>
    <w:rsid w:val="00EB06B0"/>
    <w:rsid w:val="00EB08B4"/>
    <w:rsid w:val="00EB0F75"/>
    <w:rsid w:val="00EB11EB"/>
    <w:rsid w:val="00EB123E"/>
    <w:rsid w:val="00EB1363"/>
    <w:rsid w:val="00EB151C"/>
    <w:rsid w:val="00EB15FC"/>
    <w:rsid w:val="00EB1657"/>
    <w:rsid w:val="00EB19B9"/>
    <w:rsid w:val="00EB1FFA"/>
    <w:rsid w:val="00EB20C7"/>
    <w:rsid w:val="00EB2111"/>
    <w:rsid w:val="00EB2128"/>
    <w:rsid w:val="00EB220C"/>
    <w:rsid w:val="00EB2236"/>
    <w:rsid w:val="00EB2348"/>
    <w:rsid w:val="00EB24D2"/>
    <w:rsid w:val="00EB2832"/>
    <w:rsid w:val="00EB29CB"/>
    <w:rsid w:val="00EB2AC3"/>
    <w:rsid w:val="00EB2CAA"/>
    <w:rsid w:val="00EB2CD3"/>
    <w:rsid w:val="00EB2DAC"/>
    <w:rsid w:val="00EB329C"/>
    <w:rsid w:val="00EB357E"/>
    <w:rsid w:val="00EB3619"/>
    <w:rsid w:val="00EB3856"/>
    <w:rsid w:val="00EB3913"/>
    <w:rsid w:val="00EB3917"/>
    <w:rsid w:val="00EB3936"/>
    <w:rsid w:val="00EB3B69"/>
    <w:rsid w:val="00EB4010"/>
    <w:rsid w:val="00EB4127"/>
    <w:rsid w:val="00EB43D2"/>
    <w:rsid w:val="00EB44D0"/>
    <w:rsid w:val="00EB47E9"/>
    <w:rsid w:val="00EB4D2A"/>
    <w:rsid w:val="00EB4E17"/>
    <w:rsid w:val="00EB516A"/>
    <w:rsid w:val="00EB5191"/>
    <w:rsid w:val="00EB52CC"/>
    <w:rsid w:val="00EB5354"/>
    <w:rsid w:val="00EB5382"/>
    <w:rsid w:val="00EB545B"/>
    <w:rsid w:val="00EB55DE"/>
    <w:rsid w:val="00EB5638"/>
    <w:rsid w:val="00EB563A"/>
    <w:rsid w:val="00EB59E9"/>
    <w:rsid w:val="00EB5B5B"/>
    <w:rsid w:val="00EB5E90"/>
    <w:rsid w:val="00EB5F8A"/>
    <w:rsid w:val="00EB60C7"/>
    <w:rsid w:val="00EB61AD"/>
    <w:rsid w:val="00EB628C"/>
    <w:rsid w:val="00EB664A"/>
    <w:rsid w:val="00EB67DB"/>
    <w:rsid w:val="00EB6818"/>
    <w:rsid w:val="00EB6A6B"/>
    <w:rsid w:val="00EB6C37"/>
    <w:rsid w:val="00EB6D2F"/>
    <w:rsid w:val="00EB6D3D"/>
    <w:rsid w:val="00EB6F7F"/>
    <w:rsid w:val="00EB6FD8"/>
    <w:rsid w:val="00EB71B8"/>
    <w:rsid w:val="00EB7305"/>
    <w:rsid w:val="00EB76B7"/>
    <w:rsid w:val="00EB77C8"/>
    <w:rsid w:val="00EB7BA8"/>
    <w:rsid w:val="00EB7C65"/>
    <w:rsid w:val="00EB7E60"/>
    <w:rsid w:val="00EB7EC9"/>
    <w:rsid w:val="00EB7F73"/>
    <w:rsid w:val="00EB7FC7"/>
    <w:rsid w:val="00EC0248"/>
    <w:rsid w:val="00EC02C9"/>
    <w:rsid w:val="00EC03E1"/>
    <w:rsid w:val="00EC045B"/>
    <w:rsid w:val="00EC051A"/>
    <w:rsid w:val="00EC0845"/>
    <w:rsid w:val="00EC0982"/>
    <w:rsid w:val="00EC09CB"/>
    <w:rsid w:val="00EC0B52"/>
    <w:rsid w:val="00EC0B68"/>
    <w:rsid w:val="00EC0E49"/>
    <w:rsid w:val="00EC0EBC"/>
    <w:rsid w:val="00EC0F63"/>
    <w:rsid w:val="00EC1004"/>
    <w:rsid w:val="00EC10CB"/>
    <w:rsid w:val="00EC146A"/>
    <w:rsid w:val="00EC15C3"/>
    <w:rsid w:val="00EC1874"/>
    <w:rsid w:val="00EC19F0"/>
    <w:rsid w:val="00EC1BB2"/>
    <w:rsid w:val="00EC1D3B"/>
    <w:rsid w:val="00EC1D50"/>
    <w:rsid w:val="00EC1D69"/>
    <w:rsid w:val="00EC1E4E"/>
    <w:rsid w:val="00EC1F5F"/>
    <w:rsid w:val="00EC216F"/>
    <w:rsid w:val="00EC2418"/>
    <w:rsid w:val="00EC24DB"/>
    <w:rsid w:val="00EC24FA"/>
    <w:rsid w:val="00EC257D"/>
    <w:rsid w:val="00EC258A"/>
    <w:rsid w:val="00EC2636"/>
    <w:rsid w:val="00EC26E9"/>
    <w:rsid w:val="00EC27AE"/>
    <w:rsid w:val="00EC27F3"/>
    <w:rsid w:val="00EC2828"/>
    <w:rsid w:val="00EC2FA5"/>
    <w:rsid w:val="00EC2FAA"/>
    <w:rsid w:val="00EC30FE"/>
    <w:rsid w:val="00EC3160"/>
    <w:rsid w:val="00EC318A"/>
    <w:rsid w:val="00EC3429"/>
    <w:rsid w:val="00EC387D"/>
    <w:rsid w:val="00EC3889"/>
    <w:rsid w:val="00EC3B15"/>
    <w:rsid w:val="00EC418A"/>
    <w:rsid w:val="00EC41D1"/>
    <w:rsid w:val="00EC445A"/>
    <w:rsid w:val="00EC460E"/>
    <w:rsid w:val="00EC4A84"/>
    <w:rsid w:val="00EC4EF7"/>
    <w:rsid w:val="00EC4FCF"/>
    <w:rsid w:val="00EC5560"/>
    <w:rsid w:val="00EC57A2"/>
    <w:rsid w:val="00EC5853"/>
    <w:rsid w:val="00EC5A05"/>
    <w:rsid w:val="00EC5B47"/>
    <w:rsid w:val="00EC5B63"/>
    <w:rsid w:val="00EC5CDB"/>
    <w:rsid w:val="00EC60F1"/>
    <w:rsid w:val="00EC6316"/>
    <w:rsid w:val="00EC63E5"/>
    <w:rsid w:val="00EC640B"/>
    <w:rsid w:val="00EC67C8"/>
    <w:rsid w:val="00EC6922"/>
    <w:rsid w:val="00EC6B33"/>
    <w:rsid w:val="00EC6E7A"/>
    <w:rsid w:val="00EC6EA0"/>
    <w:rsid w:val="00EC6F4A"/>
    <w:rsid w:val="00EC75D9"/>
    <w:rsid w:val="00EC77D9"/>
    <w:rsid w:val="00EC7922"/>
    <w:rsid w:val="00EC7AC8"/>
    <w:rsid w:val="00ED0353"/>
    <w:rsid w:val="00ED09A7"/>
    <w:rsid w:val="00ED0A20"/>
    <w:rsid w:val="00ED0A86"/>
    <w:rsid w:val="00ED0BE5"/>
    <w:rsid w:val="00ED0C64"/>
    <w:rsid w:val="00ED0C70"/>
    <w:rsid w:val="00ED0F79"/>
    <w:rsid w:val="00ED1031"/>
    <w:rsid w:val="00ED1062"/>
    <w:rsid w:val="00ED11B0"/>
    <w:rsid w:val="00ED1353"/>
    <w:rsid w:val="00ED1610"/>
    <w:rsid w:val="00ED169E"/>
    <w:rsid w:val="00ED174B"/>
    <w:rsid w:val="00ED19D9"/>
    <w:rsid w:val="00ED19DC"/>
    <w:rsid w:val="00ED1D0F"/>
    <w:rsid w:val="00ED204F"/>
    <w:rsid w:val="00ED2463"/>
    <w:rsid w:val="00ED2597"/>
    <w:rsid w:val="00ED27B5"/>
    <w:rsid w:val="00ED3232"/>
    <w:rsid w:val="00ED3772"/>
    <w:rsid w:val="00ED3925"/>
    <w:rsid w:val="00ED3968"/>
    <w:rsid w:val="00ED39CE"/>
    <w:rsid w:val="00ED3B3B"/>
    <w:rsid w:val="00ED3BC1"/>
    <w:rsid w:val="00ED3DDC"/>
    <w:rsid w:val="00ED3DE3"/>
    <w:rsid w:val="00ED461C"/>
    <w:rsid w:val="00ED47C5"/>
    <w:rsid w:val="00ED47CE"/>
    <w:rsid w:val="00ED483C"/>
    <w:rsid w:val="00ED49A2"/>
    <w:rsid w:val="00ED49E8"/>
    <w:rsid w:val="00ED4EE9"/>
    <w:rsid w:val="00ED504F"/>
    <w:rsid w:val="00ED50CE"/>
    <w:rsid w:val="00ED53BA"/>
    <w:rsid w:val="00ED5486"/>
    <w:rsid w:val="00ED55F4"/>
    <w:rsid w:val="00ED57E0"/>
    <w:rsid w:val="00ED5FC2"/>
    <w:rsid w:val="00ED6030"/>
    <w:rsid w:val="00ED61E2"/>
    <w:rsid w:val="00ED627D"/>
    <w:rsid w:val="00ED64E5"/>
    <w:rsid w:val="00ED661B"/>
    <w:rsid w:val="00ED693D"/>
    <w:rsid w:val="00ED6EA0"/>
    <w:rsid w:val="00ED6F26"/>
    <w:rsid w:val="00ED6F54"/>
    <w:rsid w:val="00ED6F6A"/>
    <w:rsid w:val="00ED7057"/>
    <w:rsid w:val="00ED753F"/>
    <w:rsid w:val="00ED7BB8"/>
    <w:rsid w:val="00ED7CBA"/>
    <w:rsid w:val="00ED7CDC"/>
    <w:rsid w:val="00ED7E75"/>
    <w:rsid w:val="00EE0319"/>
    <w:rsid w:val="00EE0799"/>
    <w:rsid w:val="00EE0AD3"/>
    <w:rsid w:val="00EE0B9D"/>
    <w:rsid w:val="00EE0BA4"/>
    <w:rsid w:val="00EE0F2C"/>
    <w:rsid w:val="00EE1132"/>
    <w:rsid w:val="00EE1142"/>
    <w:rsid w:val="00EE13A3"/>
    <w:rsid w:val="00EE14DF"/>
    <w:rsid w:val="00EE1556"/>
    <w:rsid w:val="00EE172B"/>
    <w:rsid w:val="00EE1DA7"/>
    <w:rsid w:val="00EE1FA6"/>
    <w:rsid w:val="00EE20F3"/>
    <w:rsid w:val="00EE2415"/>
    <w:rsid w:val="00EE243E"/>
    <w:rsid w:val="00EE2865"/>
    <w:rsid w:val="00EE2FF5"/>
    <w:rsid w:val="00EE30D4"/>
    <w:rsid w:val="00EE30D5"/>
    <w:rsid w:val="00EE3126"/>
    <w:rsid w:val="00EE31CF"/>
    <w:rsid w:val="00EE31D0"/>
    <w:rsid w:val="00EE3285"/>
    <w:rsid w:val="00EE32FB"/>
    <w:rsid w:val="00EE33AA"/>
    <w:rsid w:val="00EE37A3"/>
    <w:rsid w:val="00EE37A8"/>
    <w:rsid w:val="00EE37CC"/>
    <w:rsid w:val="00EE37E1"/>
    <w:rsid w:val="00EE3909"/>
    <w:rsid w:val="00EE3AF4"/>
    <w:rsid w:val="00EE3B2A"/>
    <w:rsid w:val="00EE3DA3"/>
    <w:rsid w:val="00EE3E48"/>
    <w:rsid w:val="00EE3F5D"/>
    <w:rsid w:val="00EE4288"/>
    <w:rsid w:val="00EE4339"/>
    <w:rsid w:val="00EE459E"/>
    <w:rsid w:val="00EE472E"/>
    <w:rsid w:val="00EE47D2"/>
    <w:rsid w:val="00EE4B52"/>
    <w:rsid w:val="00EE4C56"/>
    <w:rsid w:val="00EE4CB3"/>
    <w:rsid w:val="00EE4E08"/>
    <w:rsid w:val="00EE503F"/>
    <w:rsid w:val="00EE50C3"/>
    <w:rsid w:val="00EE51CE"/>
    <w:rsid w:val="00EE53B4"/>
    <w:rsid w:val="00EE5467"/>
    <w:rsid w:val="00EE5887"/>
    <w:rsid w:val="00EE5943"/>
    <w:rsid w:val="00EE5976"/>
    <w:rsid w:val="00EE5A75"/>
    <w:rsid w:val="00EE5BE5"/>
    <w:rsid w:val="00EE5EA0"/>
    <w:rsid w:val="00EE5F5D"/>
    <w:rsid w:val="00EE65C4"/>
    <w:rsid w:val="00EE6635"/>
    <w:rsid w:val="00EE6A6E"/>
    <w:rsid w:val="00EE6A70"/>
    <w:rsid w:val="00EE6F18"/>
    <w:rsid w:val="00EE7A78"/>
    <w:rsid w:val="00EE7AD8"/>
    <w:rsid w:val="00EE7D86"/>
    <w:rsid w:val="00EE7F96"/>
    <w:rsid w:val="00EF016A"/>
    <w:rsid w:val="00EF0239"/>
    <w:rsid w:val="00EF0243"/>
    <w:rsid w:val="00EF04A0"/>
    <w:rsid w:val="00EF077C"/>
    <w:rsid w:val="00EF0ABF"/>
    <w:rsid w:val="00EF0D8B"/>
    <w:rsid w:val="00EF1392"/>
    <w:rsid w:val="00EF14B8"/>
    <w:rsid w:val="00EF153B"/>
    <w:rsid w:val="00EF188E"/>
    <w:rsid w:val="00EF1BA4"/>
    <w:rsid w:val="00EF1BE9"/>
    <w:rsid w:val="00EF1C15"/>
    <w:rsid w:val="00EF1F9F"/>
    <w:rsid w:val="00EF2001"/>
    <w:rsid w:val="00EF20D2"/>
    <w:rsid w:val="00EF2181"/>
    <w:rsid w:val="00EF23FD"/>
    <w:rsid w:val="00EF243E"/>
    <w:rsid w:val="00EF2469"/>
    <w:rsid w:val="00EF2660"/>
    <w:rsid w:val="00EF2A5B"/>
    <w:rsid w:val="00EF2F34"/>
    <w:rsid w:val="00EF3188"/>
    <w:rsid w:val="00EF3231"/>
    <w:rsid w:val="00EF3565"/>
    <w:rsid w:val="00EF3766"/>
    <w:rsid w:val="00EF3883"/>
    <w:rsid w:val="00EF39F2"/>
    <w:rsid w:val="00EF3AD3"/>
    <w:rsid w:val="00EF3D5A"/>
    <w:rsid w:val="00EF411B"/>
    <w:rsid w:val="00EF4120"/>
    <w:rsid w:val="00EF41CE"/>
    <w:rsid w:val="00EF426C"/>
    <w:rsid w:val="00EF4824"/>
    <w:rsid w:val="00EF488A"/>
    <w:rsid w:val="00EF4B12"/>
    <w:rsid w:val="00EF4C03"/>
    <w:rsid w:val="00EF52FF"/>
    <w:rsid w:val="00EF5690"/>
    <w:rsid w:val="00EF5803"/>
    <w:rsid w:val="00EF5829"/>
    <w:rsid w:val="00EF5874"/>
    <w:rsid w:val="00EF5B78"/>
    <w:rsid w:val="00EF5C77"/>
    <w:rsid w:val="00EF628A"/>
    <w:rsid w:val="00EF629D"/>
    <w:rsid w:val="00EF66B4"/>
    <w:rsid w:val="00EF6784"/>
    <w:rsid w:val="00EF683E"/>
    <w:rsid w:val="00EF688B"/>
    <w:rsid w:val="00EF6AE5"/>
    <w:rsid w:val="00EF6BBD"/>
    <w:rsid w:val="00EF6CAE"/>
    <w:rsid w:val="00EF742A"/>
    <w:rsid w:val="00EF786B"/>
    <w:rsid w:val="00EF7D89"/>
    <w:rsid w:val="00EF7E8A"/>
    <w:rsid w:val="00F001A4"/>
    <w:rsid w:val="00F008F0"/>
    <w:rsid w:val="00F00912"/>
    <w:rsid w:val="00F009C5"/>
    <w:rsid w:val="00F00CC3"/>
    <w:rsid w:val="00F00CF3"/>
    <w:rsid w:val="00F00D33"/>
    <w:rsid w:val="00F00DDB"/>
    <w:rsid w:val="00F01419"/>
    <w:rsid w:val="00F0191E"/>
    <w:rsid w:val="00F01AFA"/>
    <w:rsid w:val="00F01D23"/>
    <w:rsid w:val="00F01E57"/>
    <w:rsid w:val="00F02125"/>
    <w:rsid w:val="00F023B3"/>
    <w:rsid w:val="00F029D8"/>
    <w:rsid w:val="00F02BD0"/>
    <w:rsid w:val="00F02C20"/>
    <w:rsid w:val="00F02D6A"/>
    <w:rsid w:val="00F0324D"/>
    <w:rsid w:val="00F0332A"/>
    <w:rsid w:val="00F03461"/>
    <w:rsid w:val="00F03726"/>
    <w:rsid w:val="00F03739"/>
    <w:rsid w:val="00F0374D"/>
    <w:rsid w:val="00F037E5"/>
    <w:rsid w:val="00F03D2A"/>
    <w:rsid w:val="00F040D6"/>
    <w:rsid w:val="00F04297"/>
    <w:rsid w:val="00F042E0"/>
    <w:rsid w:val="00F048D6"/>
    <w:rsid w:val="00F04D01"/>
    <w:rsid w:val="00F04D76"/>
    <w:rsid w:val="00F04F16"/>
    <w:rsid w:val="00F05039"/>
    <w:rsid w:val="00F0516D"/>
    <w:rsid w:val="00F05606"/>
    <w:rsid w:val="00F05916"/>
    <w:rsid w:val="00F05BEC"/>
    <w:rsid w:val="00F05DBD"/>
    <w:rsid w:val="00F06093"/>
    <w:rsid w:val="00F0633B"/>
    <w:rsid w:val="00F06371"/>
    <w:rsid w:val="00F064A9"/>
    <w:rsid w:val="00F066E0"/>
    <w:rsid w:val="00F06833"/>
    <w:rsid w:val="00F0686F"/>
    <w:rsid w:val="00F06996"/>
    <w:rsid w:val="00F06B03"/>
    <w:rsid w:val="00F06BC2"/>
    <w:rsid w:val="00F06E14"/>
    <w:rsid w:val="00F06FAB"/>
    <w:rsid w:val="00F072EE"/>
    <w:rsid w:val="00F07353"/>
    <w:rsid w:val="00F07469"/>
    <w:rsid w:val="00F074B2"/>
    <w:rsid w:val="00F07681"/>
    <w:rsid w:val="00F07837"/>
    <w:rsid w:val="00F078FC"/>
    <w:rsid w:val="00F07B92"/>
    <w:rsid w:val="00F07CBE"/>
    <w:rsid w:val="00F1002B"/>
    <w:rsid w:val="00F10227"/>
    <w:rsid w:val="00F106E9"/>
    <w:rsid w:val="00F10934"/>
    <w:rsid w:val="00F10AA4"/>
    <w:rsid w:val="00F10B22"/>
    <w:rsid w:val="00F10ED7"/>
    <w:rsid w:val="00F10FD6"/>
    <w:rsid w:val="00F110BB"/>
    <w:rsid w:val="00F111AC"/>
    <w:rsid w:val="00F117B0"/>
    <w:rsid w:val="00F1188F"/>
    <w:rsid w:val="00F11FC7"/>
    <w:rsid w:val="00F12002"/>
    <w:rsid w:val="00F1232A"/>
    <w:rsid w:val="00F12408"/>
    <w:rsid w:val="00F128B1"/>
    <w:rsid w:val="00F12A2F"/>
    <w:rsid w:val="00F12B70"/>
    <w:rsid w:val="00F12C06"/>
    <w:rsid w:val="00F12D6C"/>
    <w:rsid w:val="00F12F25"/>
    <w:rsid w:val="00F13287"/>
    <w:rsid w:val="00F132C9"/>
    <w:rsid w:val="00F13451"/>
    <w:rsid w:val="00F13470"/>
    <w:rsid w:val="00F13962"/>
    <w:rsid w:val="00F13B00"/>
    <w:rsid w:val="00F13DA9"/>
    <w:rsid w:val="00F13FD3"/>
    <w:rsid w:val="00F13FD8"/>
    <w:rsid w:val="00F140FC"/>
    <w:rsid w:val="00F1424B"/>
    <w:rsid w:val="00F142E5"/>
    <w:rsid w:val="00F145FE"/>
    <w:rsid w:val="00F1474E"/>
    <w:rsid w:val="00F14815"/>
    <w:rsid w:val="00F14C2E"/>
    <w:rsid w:val="00F14D45"/>
    <w:rsid w:val="00F14EC7"/>
    <w:rsid w:val="00F14FDE"/>
    <w:rsid w:val="00F1517C"/>
    <w:rsid w:val="00F1517E"/>
    <w:rsid w:val="00F1520F"/>
    <w:rsid w:val="00F15227"/>
    <w:rsid w:val="00F15640"/>
    <w:rsid w:val="00F15709"/>
    <w:rsid w:val="00F157B8"/>
    <w:rsid w:val="00F157C2"/>
    <w:rsid w:val="00F15AB7"/>
    <w:rsid w:val="00F15CDF"/>
    <w:rsid w:val="00F15D29"/>
    <w:rsid w:val="00F15F89"/>
    <w:rsid w:val="00F163BF"/>
    <w:rsid w:val="00F16508"/>
    <w:rsid w:val="00F16773"/>
    <w:rsid w:val="00F168F9"/>
    <w:rsid w:val="00F1699F"/>
    <w:rsid w:val="00F16A90"/>
    <w:rsid w:val="00F16C93"/>
    <w:rsid w:val="00F16CC7"/>
    <w:rsid w:val="00F16D9B"/>
    <w:rsid w:val="00F16E5C"/>
    <w:rsid w:val="00F17036"/>
    <w:rsid w:val="00F17555"/>
    <w:rsid w:val="00F176A3"/>
    <w:rsid w:val="00F17D14"/>
    <w:rsid w:val="00F17E97"/>
    <w:rsid w:val="00F17F1E"/>
    <w:rsid w:val="00F20180"/>
    <w:rsid w:val="00F2037A"/>
    <w:rsid w:val="00F20458"/>
    <w:rsid w:val="00F20508"/>
    <w:rsid w:val="00F20675"/>
    <w:rsid w:val="00F208E3"/>
    <w:rsid w:val="00F20BFD"/>
    <w:rsid w:val="00F2107A"/>
    <w:rsid w:val="00F21147"/>
    <w:rsid w:val="00F21BC0"/>
    <w:rsid w:val="00F21DA3"/>
    <w:rsid w:val="00F223C1"/>
    <w:rsid w:val="00F22502"/>
    <w:rsid w:val="00F2266E"/>
    <w:rsid w:val="00F22C6F"/>
    <w:rsid w:val="00F22D66"/>
    <w:rsid w:val="00F22F01"/>
    <w:rsid w:val="00F22FEA"/>
    <w:rsid w:val="00F231FA"/>
    <w:rsid w:val="00F23883"/>
    <w:rsid w:val="00F23DD6"/>
    <w:rsid w:val="00F23E59"/>
    <w:rsid w:val="00F23EF3"/>
    <w:rsid w:val="00F23F16"/>
    <w:rsid w:val="00F24157"/>
    <w:rsid w:val="00F243E7"/>
    <w:rsid w:val="00F2449F"/>
    <w:rsid w:val="00F24618"/>
    <w:rsid w:val="00F246AB"/>
    <w:rsid w:val="00F247F6"/>
    <w:rsid w:val="00F24A0C"/>
    <w:rsid w:val="00F24B3E"/>
    <w:rsid w:val="00F24E25"/>
    <w:rsid w:val="00F24EF5"/>
    <w:rsid w:val="00F2505A"/>
    <w:rsid w:val="00F25063"/>
    <w:rsid w:val="00F25109"/>
    <w:rsid w:val="00F25514"/>
    <w:rsid w:val="00F25539"/>
    <w:rsid w:val="00F2580E"/>
    <w:rsid w:val="00F25922"/>
    <w:rsid w:val="00F25A78"/>
    <w:rsid w:val="00F25D24"/>
    <w:rsid w:val="00F25E0B"/>
    <w:rsid w:val="00F25F94"/>
    <w:rsid w:val="00F26029"/>
    <w:rsid w:val="00F26311"/>
    <w:rsid w:val="00F26561"/>
    <w:rsid w:val="00F2658F"/>
    <w:rsid w:val="00F265BA"/>
    <w:rsid w:val="00F26CCA"/>
    <w:rsid w:val="00F27406"/>
    <w:rsid w:val="00F27662"/>
    <w:rsid w:val="00F27664"/>
    <w:rsid w:val="00F27966"/>
    <w:rsid w:val="00F27B15"/>
    <w:rsid w:val="00F27DF7"/>
    <w:rsid w:val="00F30220"/>
    <w:rsid w:val="00F3028F"/>
    <w:rsid w:val="00F30539"/>
    <w:rsid w:val="00F30753"/>
    <w:rsid w:val="00F3082E"/>
    <w:rsid w:val="00F30837"/>
    <w:rsid w:val="00F311BE"/>
    <w:rsid w:val="00F313F0"/>
    <w:rsid w:val="00F31447"/>
    <w:rsid w:val="00F31482"/>
    <w:rsid w:val="00F3148E"/>
    <w:rsid w:val="00F31611"/>
    <w:rsid w:val="00F3175C"/>
    <w:rsid w:val="00F3191F"/>
    <w:rsid w:val="00F319B6"/>
    <w:rsid w:val="00F31AE3"/>
    <w:rsid w:val="00F31C14"/>
    <w:rsid w:val="00F31D98"/>
    <w:rsid w:val="00F31DE2"/>
    <w:rsid w:val="00F31DE6"/>
    <w:rsid w:val="00F31EA6"/>
    <w:rsid w:val="00F31F33"/>
    <w:rsid w:val="00F32136"/>
    <w:rsid w:val="00F3230E"/>
    <w:rsid w:val="00F32339"/>
    <w:rsid w:val="00F32494"/>
    <w:rsid w:val="00F32677"/>
    <w:rsid w:val="00F32AB1"/>
    <w:rsid w:val="00F32BA4"/>
    <w:rsid w:val="00F32D33"/>
    <w:rsid w:val="00F32F0D"/>
    <w:rsid w:val="00F331E3"/>
    <w:rsid w:val="00F333C8"/>
    <w:rsid w:val="00F3351D"/>
    <w:rsid w:val="00F33868"/>
    <w:rsid w:val="00F33966"/>
    <w:rsid w:val="00F33A11"/>
    <w:rsid w:val="00F33B60"/>
    <w:rsid w:val="00F33EE9"/>
    <w:rsid w:val="00F3459A"/>
    <w:rsid w:val="00F34659"/>
    <w:rsid w:val="00F34C9E"/>
    <w:rsid w:val="00F35088"/>
    <w:rsid w:val="00F357C4"/>
    <w:rsid w:val="00F35ACE"/>
    <w:rsid w:val="00F35C19"/>
    <w:rsid w:val="00F35CE9"/>
    <w:rsid w:val="00F35E52"/>
    <w:rsid w:val="00F35ECB"/>
    <w:rsid w:val="00F35F34"/>
    <w:rsid w:val="00F36053"/>
    <w:rsid w:val="00F36321"/>
    <w:rsid w:val="00F365FE"/>
    <w:rsid w:val="00F3670B"/>
    <w:rsid w:val="00F3673F"/>
    <w:rsid w:val="00F36CCE"/>
    <w:rsid w:val="00F370A1"/>
    <w:rsid w:val="00F37451"/>
    <w:rsid w:val="00F37593"/>
    <w:rsid w:val="00F37679"/>
    <w:rsid w:val="00F377B8"/>
    <w:rsid w:val="00F37CC0"/>
    <w:rsid w:val="00F37DE0"/>
    <w:rsid w:val="00F37F3E"/>
    <w:rsid w:val="00F4000D"/>
    <w:rsid w:val="00F40332"/>
    <w:rsid w:val="00F403FA"/>
    <w:rsid w:val="00F40737"/>
    <w:rsid w:val="00F407B4"/>
    <w:rsid w:val="00F40BE4"/>
    <w:rsid w:val="00F40F0E"/>
    <w:rsid w:val="00F41297"/>
    <w:rsid w:val="00F41486"/>
    <w:rsid w:val="00F41502"/>
    <w:rsid w:val="00F41793"/>
    <w:rsid w:val="00F417CE"/>
    <w:rsid w:val="00F41915"/>
    <w:rsid w:val="00F41BB3"/>
    <w:rsid w:val="00F42133"/>
    <w:rsid w:val="00F4252C"/>
    <w:rsid w:val="00F4278B"/>
    <w:rsid w:val="00F4278C"/>
    <w:rsid w:val="00F42D2E"/>
    <w:rsid w:val="00F4309B"/>
    <w:rsid w:val="00F431C6"/>
    <w:rsid w:val="00F431EC"/>
    <w:rsid w:val="00F435A0"/>
    <w:rsid w:val="00F43730"/>
    <w:rsid w:val="00F438CA"/>
    <w:rsid w:val="00F43CE2"/>
    <w:rsid w:val="00F43D29"/>
    <w:rsid w:val="00F43DF4"/>
    <w:rsid w:val="00F43F92"/>
    <w:rsid w:val="00F43FC7"/>
    <w:rsid w:val="00F44823"/>
    <w:rsid w:val="00F4495F"/>
    <w:rsid w:val="00F449DC"/>
    <w:rsid w:val="00F449F4"/>
    <w:rsid w:val="00F44AF6"/>
    <w:rsid w:val="00F44BE6"/>
    <w:rsid w:val="00F44D27"/>
    <w:rsid w:val="00F44EE8"/>
    <w:rsid w:val="00F44F12"/>
    <w:rsid w:val="00F44FC6"/>
    <w:rsid w:val="00F45458"/>
    <w:rsid w:val="00F4554C"/>
    <w:rsid w:val="00F455E8"/>
    <w:rsid w:val="00F4577F"/>
    <w:rsid w:val="00F459BB"/>
    <w:rsid w:val="00F45F2B"/>
    <w:rsid w:val="00F46063"/>
    <w:rsid w:val="00F46155"/>
    <w:rsid w:val="00F4629B"/>
    <w:rsid w:val="00F46420"/>
    <w:rsid w:val="00F46588"/>
    <w:rsid w:val="00F4659B"/>
    <w:rsid w:val="00F467E6"/>
    <w:rsid w:val="00F46CA2"/>
    <w:rsid w:val="00F46DBB"/>
    <w:rsid w:val="00F472C9"/>
    <w:rsid w:val="00F472DE"/>
    <w:rsid w:val="00F472FD"/>
    <w:rsid w:val="00F47875"/>
    <w:rsid w:val="00F478FC"/>
    <w:rsid w:val="00F47988"/>
    <w:rsid w:val="00F4798C"/>
    <w:rsid w:val="00F50024"/>
    <w:rsid w:val="00F5013F"/>
    <w:rsid w:val="00F50185"/>
    <w:rsid w:val="00F50A42"/>
    <w:rsid w:val="00F50DD6"/>
    <w:rsid w:val="00F5108E"/>
    <w:rsid w:val="00F510E9"/>
    <w:rsid w:val="00F511A8"/>
    <w:rsid w:val="00F5139E"/>
    <w:rsid w:val="00F513AE"/>
    <w:rsid w:val="00F514E7"/>
    <w:rsid w:val="00F51594"/>
    <w:rsid w:val="00F5183B"/>
    <w:rsid w:val="00F518BB"/>
    <w:rsid w:val="00F518D6"/>
    <w:rsid w:val="00F5197C"/>
    <w:rsid w:val="00F51F1B"/>
    <w:rsid w:val="00F51FD9"/>
    <w:rsid w:val="00F521C9"/>
    <w:rsid w:val="00F52502"/>
    <w:rsid w:val="00F52515"/>
    <w:rsid w:val="00F5262C"/>
    <w:rsid w:val="00F52771"/>
    <w:rsid w:val="00F52A8C"/>
    <w:rsid w:val="00F52FC2"/>
    <w:rsid w:val="00F531B5"/>
    <w:rsid w:val="00F534F1"/>
    <w:rsid w:val="00F53BAE"/>
    <w:rsid w:val="00F53BC5"/>
    <w:rsid w:val="00F53D82"/>
    <w:rsid w:val="00F53ED4"/>
    <w:rsid w:val="00F540A8"/>
    <w:rsid w:val="00F542EB"/>
    <w:rsid w:val="00F5450C"/>
    <w:rsid w:val="00F546AE"/>
    <w:rsid w:val="00F546C6"/>
    <w:rsid w:val="00F54728"/>
    <w:rsid w:val="00F54D2D"/>
    <w:rsid w:val="00F551FD"/>
    <w:rsid w:val="00F55499"/>
    <w:rsid w:val="00F5559A"/>
    <w:rsid w:val="00F5565A"/>
    <w:rsid w:val="00F556EB"/>
    <w:rsid w:val="00F55704"/>
    <w:rsid w:val="00F557AE"/>
    <w:rsid w:val="00F55C46"/>
    <w:rsid w:val="00F55D05"/>
    <w:rsid w:val="00F55DE2"/>
    <w:rsid w:val="00F561EC"/>
    <w:rsid w:val="00F56382"/>
    <w:rsid w:val="00F56570"/>
    <w:rsid w:val="00F56946"/>
    <w:rsid w:val="00F56A83"/>
    <w:rsid w:val="00F56DAF"/>
    <w:rsid w:val="00F56DC8"/>
    <w:rsid w:val="00F56E54"/>
    <w:rsid w:val="00F56EC1"/>
    <w:rsid w:val="00F56ED4"/>
    <w:rsid w:val="00F56FCD"/>
    <w:rsid w:val="00F5712B"/>
    <w:rsid w:val="00F57187"/>
    <w:rsid w:val="00F571D1"/>
    <w:rsid w:val="00F5722E"/>
    <w:rsid w:val="00F57463"/>
    <w:rsid w:val="00F575B9"/>
    <w:rsid w:val="00F577C3"/>
    <w:rsid w:val="00F577F4"/>
    <w:rsid w:val="00F57814"/>
    <w:rsid w:val="00F5784B"/>
    <w:rsid w:val="00F57DC9"/>
    <w:rsid w:val="00F6042B"/>
    <w:rsid w:val="00F605C1"/>
    <w:rsid w:val="00F60999"/>
    <w:rsid w:val="00F60F82"/>
    <w:rsid w:val="00F60FC6"/>
    <w:rsid w:val="00F61034"/>
    <w:rsid w:val="00F6137A"/>
    <w:rsid w:val="00F6146B"/>
    <w:rsid w:val="00F61517"/>
    <w:rsid w:val="00F616F9"/>
    <w:rsid w:val="00F61804"/>
    <w:rsid w:val="00F61914"/>
    <w:rsid w:val="00F61F83"/>
    <w:rsid w:val="00F62314"/>
    <w:rsid w:val="00F623CA"/>
    <w:rsid w:val="00F62513"/>
    <w:rsid w:val="00F625CD"/>
    <w:rsid w:val="00F62636"/>
    <w:rsid w:val="00F626BA"/>
    <w:rsid w:val="00F62967"/>
    <w:rsid w:val="00F62B06"/>
    <w:rsid w:val="00F62B51"/>
    <w:rsid w:val="00F62BE3"/>
    <w:rsid w:val="00F6348E"/>
    <w:rsid w:val="00F63517"/>
    <w:rsid w:val="00F63B29"/>
    <w:rsid w:val="00F63CAE"/>
    <w:rsid w:val="00F63FB5"/>
    <w:rsid w:val="00F641B6"/>
    <w:rsid w:val="00F641D0"/>
    <w:rsid w:val="00F64350"/>
    <w:rsid w:val="00F64436"/>
    <w:rsid w:val="00F644DF"/>
    <w:rsid w:val="00F644FB"/>
    <w:rsid w:val="00F646F2"/>
    <w:rsid w:val="00F64DBC"/>
    <w:rsid w:val="00F64E4E"/>
    <w:rsid w:val="00F64F3D"/>
    <w:rsid w:val="00F64FD7"/>
    <w:rsid w:val="00F650B4"/>
    <w:rsid w:val="00F6510F"/>
    <w:rsid w:val="00F654AD"/>
    <w:rsid w:val="00F657F8"/>
    <w:rsid w:val="00F65D10"/>
    <w:rsid w:val="00F66053"/>
    <w:rsid w:val="00F660B5"/>
    <w:rsid w:val="00F662F5"/>
    <w:rsid w:val="00F66454"/>
    <w:rsid w:val="00F66639"/>
    <w:rsid w:val="00F667E5"/>
    <w:rsid w:val="00F6693F"/>
    <w:rsid w:val="00F66A83"/>
    <w:rsid w:val="00F66BDB"/>
    <w:rsid w:val="00F66CB8"/>
    <w:rsid w:val="00F66D7B"/>
    <w:rsid w:val="00F66D84"/>
    <w:rsid w:val="00F66ED9"/>
    <w:rsid w:val="00F67481"/>
    <w:rsid w:val="00F674D6"/>
    <w:rsid w:val="00F675AB"/>
    <w:rsid w:val="00F67810"/>
    <w:rsid w:val="00F6799B"/>
    <w:rsid w:val="00F67AFC"/>
    <w:rsid w:val="00F67EC3"/>
    <w:rsid w:val="00F70334"/>
    <w:rsid w:val="00F7049C"/>
    <w:rsid w:val="00F70508"/>
    <w:rsid w:val="00F7075C"/>
    <w:rsid w:val="00F708CA"/>
    <w:rsid w:val="00F708ED"/>
    <w:rsid w:val="00F7095D"/>
    <w:rsid w:val="00F70C8F"/>
    <w:rsid w:val="00F713B4"/>
    <w:rsid w:val="00F71596"/>
    <w:rsid w:val="00F71695"/>
    <w:rsid w:val="00F71738"/>
    <w:rsid w:val="00F717B2"/>
    <w:rsid w:val="00F71975"/>
    <w:rsid w:val="00F71A53"/>
    <w:rsid w:val="00F71A9F"/>
    <w:rsid w:val="00F71AF9"/>
    <w:rsid w:val="00F71BFD"/>
    <w:rsid w:val="00F71D2C"/>
    <w:rsid w:val="00F71D65"/>
    <w:rsid w:val="00F71FAC"/>
    <w:rsid w:val="00F71FC5"/>
    <w:rsid w:val="00F72001"/>
    <w:rsid w:val="00F72053"/>
    <w:rsid w:val="00F721C6"/>
    <w:rsid w:val="00F72296"/>
    <w:rsid w:val="00F722D8"/>
    <w:rsid w:val="00F725E3"/>
    <w:rsid w:val="00F72781"/>
    <w:rsid w:val="00F72DD9"/>
    <w:rsid w:val="00F7326E"/>
    <w:rsid w:val="00F73302"/>
    <w:rsid w:val="00F733F5"/>
    <w:rsid w:val="00F73418"/>
    <w:rsid w:val="00F73692"/>
    <w:rsid w:val="00F738FE"/>
    <w:rsid w:val="00F73C9A"/>
    <w:rsid w:val="00F73DB3"/>
    <w:rsid w:val="00F7401B"/>
    <w:rsid w:val="00F7415B"/>
    <w:rsid w:val="00F74280"/>
    <w:rsid w:val="00F74398"/>
    <w:rsid w:val="00F74896"/>
    <w:rsid w:val="00F74DE9"/>
    <w:rsid w:val="00F74DF6"/>
    <w:rsid w:val="00F74E21"/>
    <w:rsid w:val="00F75411"/>
    <w:rsid w:val="00F75539"/>
    <w:rsid w:val="00F757C5"/>
    <w:rsid w:val="00F75A43"/>
    <w:rsid w:val="00F75DA5"/>
    <w:rsid w:val="00F75F5D"/>
    <w:rsid w:val="00F76211"/>
    <w:rsid w:val="00F7639C"/>
    <w:rsid w:val="00F764D9"/>
    <w:rsid w:val="00F7662A"/>
    <w:rsid w:val="00F766E1"/>
    <w:rsid w:val="00F7694B"/>
    <w:rsid w:val="00F76AFD"/>
    <w:rsid w:val="00F76CD9"/>
    <w:rsid w:val="00F76E41"/>
    <w:rsid w:val="00F77098"/>
    <w:rsid w:val="00F7744D"/>
    <w:rsid w:val="00F77451"/>
    <w:rsid w:val="00F774B6"/>
    <w:rsid w:val="00F77515"/>
    <w:rsid w:val="00F7774B"/>
    <w:rsid w:val="00F7784A"/>
    <w:rsid w:val="00F77A00"/>
    <w:rsid w:val="00F77A37"/>
    <w:rsid w:val="00F77A5D"/>
    <w:rsid w:val="00F77C5E"/>
    <w:rsid w:val="00F77CE7"/>
    <w:rsid w:val="00F800D8"/>
    <w:rsid w:val="00F80369"/>
    <w:rsid w:val="00F80710"/>
    <w:rsid w:val="00F80717"/>
    <w:rsid w:val="00F80749"/>
    <w:rsid w:val="00F80843"/>
    <w:rsid w:val="00F80893"/>
    <w:rsid w:val="00F808FC"/>
    <w:rsid w:val="00F80961"/>
    <w:rsid w:val="00F80B78"/>
    <w:rsid w:val="00F80BE3"/>
    <w:rsid w:val="00F80D3C"/>
    <w:rsid w:val="00F80EA7"/>
    <w:rsid w:val="00F81413"/>
    <w:rsid w:val="00F815B4"/>
    <w:rsid w:val="00F818FA"/>
    <w:rsid w:val="00F819EE"/>
    <w:rsid w:val="00F81CC6"/>
    <w:rsid w:val="00F820E5"/>
    <w:rsid w:val="00F82347"/>
    <w:rsid w:val="00F82656"/>
    <w:rsid w:val="00F827C5"/>
    <w:rsid w:val="00F82980"/>
    <w:rsid w:val="00F83022"/>
    <w:rsid w:val="00F830F2"/>
    <w:rsid w:val="00F83124"/>
    <w:rsid w:val="00F8357B"/>
    <w:rsid w:val="00F838C9"/>
    <w:rsid w:val="00F839AC"/>
    <w:rsid w:val="00F83AFF"/>
    <w:rsid w:val="00F83FB9"/>
    <w:rsid w:val="00F84052"/>
    <w:rsid w:val="00F84161"/>
    <w:rsid w:val="00F84775"/>
    <w:rsid w:val="00F849C7"/>
    <w:rsid w:val="00F84AAC"/>
    <w:rsid w:val="00F84B01"/>
    <w:rsid w:val="00F84DB0"/>
    <w:rsid w:val="00F84F5B"/>
    <w:rsid w:val="00F853FB"/>
    <w:rsid w:val="00F85433"/>
    <w:rsid w:val="00F8573D"/>
    <w:rsid w:val="00F85812"/>
    <w:rsid w:val="00F85AC2"/>
    <w:rsid w:val="00F85DE6"/>
    <w:rsid w:val="00F85ED8"/>
    <w:rsid w:val="00F86088"/>
    <w:rsid w:val="00F861C2"/>
    <w:rsid w:val="00F8631F"/>
    <w:rsid w:val="00F863FD"/>
    <w:rsid w:val="00F86687"/>
    <w:rsid w:val="00F8673A"/>
    <w:rsid w:val="00F86CE0"/>
    <w:rsid w:val="00F86E16"/>
    <w:rsid w:val="00F876EF"/>
    <w:rsid w:val="00F87A83"/>
    <w:rsid w:val="00F87EAD"/>
    <w:rsid w:val="00F90486"/>
    <w:rsid w:val="00F9055F"/>
    <w:rsid w:val="00F90577"/>
    <w:rsid w:val="00F906A3"/>
    <w:rsid w:val="00F90769"/>
    <w:rsid w:val="00F90862"/>
    <w:rsid w:val="00F90B08"/>
    <w:rsid w:val="00F90B11"/>
    <w:rsid w:val="00F90D0B"/>
    <w:rsid w:val="00F90EC4"/>
    <w:rsid w:val="00F90FBE"/>
    <w:rsid w:val="00F910DA"/>
    <w:rsid w:val="00F9129A"/>
    <w:rsid w:val="00F916CD"/>
    <w:rsid w:val="00F916F1"/>
    <w:rsid w:val="00F91C4D"/>
    <w:rsid w:val="00F91FCD"/>
    <w:rsid w:val="00F9222B"/>
    <w:rsid w:val="00F927C8"/>
    <w:rsid w:val="00F928FF"/>
    <w:rsid w:val="00F92A5E"/>
    <w:rsid w:val="00F92B58"/>
    <w:rsid w:val="00F92BC2"/>
    <w:rsid w:val="00F930F4"/>
    <w:rsid w:val="00F93B06"/>
    <w:rsid w:val="00F93F9C"/>
    <w:rsid w:val="00F9403F"/>
    <w:rsid w:val="00F941CC"/>
    <w:rsid w:val="00F94309"/>
    <w:rsid w:val="00F94366"/>
    <w:rsid w:val="00F9457E"/>
    <w:rsid w:val="00F94688"/>
    <w:rsid w:val="00F9478E"/>
    <w:rsid w:val="00F949CA"/>
    <w:rsid w:val="00F94A51"/>
    <w:rsid w:val="00F94A7C"/>
    <w:rsid w:val="00F94C15"/>
    <w:rsid w:val="00F94DD0"/>
    <w:rsid w:val="00F9525C"/>
    <w:rsid w:val="00F952EA"/>
    <w:rsid w:val="00F952FD"/>
    <w:rsid w:val="00F957E3"/>
    <w:rsid w:val="00F95CAE"/>
    <w:rsid w:val="00F95F57"/>
    <w:rsid w:val="00F960F7"/>
    <w:rsid w:val="00F96332"/>
    <w:rsid w:val="00F96677"/>
    <w:rsid w:val="00F9669E"/>
    <w:rsid w:val="00F96A19"/>
    <w:rsid w:val="00F96AC1"/>
    <w:rsid w:val="00F96D0B"/>
    <w:rsid w:val="00F97091"/>
    <w:rsid w:val="00F9749A"/>
    <w:rsid w:val="00F97815"/>
    <w:rsid w:val="00F9792C"/>
    <w:rsid w:val="00F9797C"/>
    <w:rsid w:val="00F97A02"/>
    <w:rsid w:val="00F97AE1"/>
    <w:rsid w:val="00F97F25"/>
    <w:rsid w:val="00FA01BB"/>
    <w:rsid w:val="00FA027A"/>
    <w:rsid w:val="00FA0C8F"/>
    <w:rsid w:val="00FA0EF7"/>
    <w:rsid w:val="00FA1360"/>
    <w:rsid w:val="00FA1663"/>
    <w:rsid w:val="00FA168E"/>
    <w:rsid w:val="00FA1B9F"/>
    <w:rsid w:val="00FA2070"/>
    <w:rsid w:val="00FA2148"/>
    <w:rsid w:val="00FA2246"/>
    <w:rsid w:val="00FA234D"/>
    <w:rsid w:val="00FA23DD"/>
    <w:rsid w:val="00FA2EDD"/>
    <w:rsid w:val="00FA3414"/>
    <w:rsid w:val="00FA3558"/>
    <w:rsid w:val="00FA3570"/>
    <w:rsid w:val="00FA3851"/>
    <w:rsid w:val="00FA3DC1"/>
    <w:rsid w:val="00FA3E1E"/>
    <w:rsid w:val="00FA3FD2"/>
    <w:rsid w:val="00FA3FF9"/>
    <w:rsid w:val="00FA42EC"/>
    <w:rsid w:val="00FA4760"/>
    <w:rsid w:val="00FA4850"/>
    <w:rsid w:val="00FA4AE6"/>
    <w:rsid w:val="00FA4BC4"/>
    <w:rsid w:val="00FA4D70"/>
    <w:rsid w:val="00FA51F3"/>
    <w:rsid w:val="00FA52A0"/>
    <w:rsid w:val="00FA5423"/>
    <w:rsid w:val="00FA56D8"/>
    <w:rsid w:val="00FA5ACF"/>
    <w:rsid w:val="00FA5B3F"/>
    <w:rsid w:val="00FA5BDC"/>
    <w:rsid w:val="00FA5EE8"/>
    <w:rsid w:val="00FA6091"/>
    <w:rsid w:val="00FA6187"/>
    <w:rsid w:val="00FA61A3"/>
    <w:rsid w:val="00FA628F"/>
    <w:rsid w:val="00FA65D1"/>
    <w:rsid w:val="00FA678A"/>
    <w:rsid w:val="00FA687C"/>
    <w:rsid w:val="00FA69EF"/>
    <w:rsid w:val="00FA6B64"/>
    <w:rsid w:val="00FA6DB4"/>
    <w:rsid w:val="00FA72BE"/>
    <w:rsid w:val="00FA7651"/>
    <w:rsid w:val="00FA79CF"/>
    <w:rsid w:val="00FA7A96"/>
    <w:rsid w:val="00FA7D8D"/>
    <w:rsid w:val="00FA7ED3"/>
    <w:rsid w:val="00FB031A"/>
    <w:rsid w:val="00FB04FD"/>
    <w:rsid w:val="00FB055F"/>
    <w:rsid w:val="00FB0671"/>
    <w:rsid w:val="00FB0928"/>
    <w:rsid w:val="00FB0B82"/>
    <w:rsid w:val="00FB0F97"/>
    <w:rsid w:val="00FB1348"/>
    <w:rsid w:val="00FB134D"/>
    <w:rsid w:val="00FB13F0"/>
    <w:rsid w:val="00FB15FA"/>
    <w:rsid w:val="00FB16F8"/>
    <w:rsid w:val="00FB1741"/>
    <w:rsid w:val="00FB17BA"/>
    <w:rsid w:val="00FB1801"/>
    <w:rsid w:val="00FB1A0F"/>
    <w:rsid w:val="00FB1A49"/>
    <w:rsid w:val="00FB21AC"/>
    <w:rsid w:val="00FB2246"/>
    <w:rsid w:val="00FB239B"/>
    <w:rsid w:val="00FB2B44"/>
    <w:rsid w:val="00FB2C5C"/>
    <w:rsid w:val="00FB312A"/>
    <w:rsid w:val="00FB338E"/>
    <w:rsid w:val="00FB3409"/>
    <w:rsid w:val="00FB34EF"/>
    <w:rsid w:val="00FB397D"/>
    <w:rsid w:val="00FB39DD"/>
    <w:rsid w:val="00FB3DC2"/>
    <w:rsid w:val="00FB3DDB"/>
    <w:rsid w:val="00FB3E70"/>
    <w:rsid w:val="00FB4155"/>
    <w:rsid w:val="00FB4255"/>
    <w:rsid w:val="00FB4284"/>
    <w:rsid w:val="00FB42D8"/>
    <w:rsid w:val="00FB43AB"/>
    <w:rsid w:val="00FB4963"/>
    <w:rsid w:val="00FB4E8C"/>
    <w:rsid w:val="00FB4F23"/>
    <w:rsid w:val="00FB54F3"/>
    <w:rsid w:val="00FB5537"/>
    <w:rsid w:val="00FB5946"/>
    <w:rsid w:val="00FB59C7"/>
    <w:rsid w:val="00FB5A17"/>
    <w:rsid w:val="00FB5A2C"/>
    <w:rsid w:val="00FB5AA0"/>
    <w:rsid w:val="00FB5CA3"/>
    <w:rsid w:val="00FB5D29"/>
    <w:rsid w:val="00FB6083"/>
    <w:rsid w:val="00FB64E4"/>
    <w:rsid w:val="00FB6A2C"/>
    <w:rsid w:val="00FB6A38"/>
    <w:rsid w:val="00FB6A7A"/>
    <w:rsid w:val="00FB6CA6"/>
    <w:rsid w:val="00FB6D89"/>
    <w:rsid w:val="00FB6FAD"/>
    <w:rsid w:val="00FB78AD"/>
    <w:rsid w:val="00FB7C6C"/>
    <w:rsid w:val="00FB7DA1"/>
    <w:rsid w:val="00FB7EC6"/>
    <w:rsid w:val="00FC014B"/>
    <w:rsid w:val="00FC064C"/>
    <w:rsid w:val="00FC0772"/>
    <w:rsid w:val="00FC07D6"/>
    <w:rsid w:val="00FC0A4C"/>
    <w:rsid w:val="00FC0BE1"/>
    <w:rsid w:val="00FC10A5"/>
    <w:rsid w:val="00FC135D"/>
    <w:rsid w:val="00FC15AD"/>
    <w:rsid w:val="00FC15C5"/>
    <w:rsid w:val="00FC17A5"/>
    <w:rsid w:val="00FC17E6"/>
    <w:rsid w:val="00FC19C4"/>
    <w:rsid w:val="00FC1A7A"/>
    <w:rsid w:val="00FC1E10"/>
    <w:rsid w:val="00FC1E86"/>
    <w:rsid w:val="00FC1FA1"/>
    <w:rsid w:val="00FC2281"/>
    <w:rsid w:val="00FC25AE"/>
    <w:rsid w:val="00FC27BF"/>
    <w:rsid w:val="00FC27F3"/>
    <w:rsid w:val="00FC311A"/>
    <w:rsid w:val="00FC33AA"/>
    <w:rsid w:val="00FC357D"/>
    <w:rsid w:val="00FC35B5"/>
    <w:rsid w:val="00FC35D0"/>
    <w:rsid w:val="00FC3A91"/>
    <w:rsid w:val="00FC3AC9"/>
    <w:rsid w:val="00FC3DA6"/>
    <w:rsid w:val="00FC4001"/>
    <w:rsid w:val="00FC4265"/>
    <w:rsid w:val="00FC4378"/>
    <w:rsid w:val="00FC4596"/>
    <w:rsid w:val="00FC47A6"/>
    <w:rsid w:val="00FC484D"/>
    <w:rsid w:val="00FC48ED"/>
    <w:rsid w:val="00FC4C3A"/>
    <w:rsid w:val="00FC4FC5"/>
    <w:rsid w:val="00FC4FCC"/>
    <w:rsid w:val="00FC5022"/>
    <w:rsid w:val="00FC51A4"/>
    <w:rsid w:val="00FC53F3"/>
    <w:rsid w:val="00FC54E5"/>
    <w:rsid w:val="00FC57F0"/>
    <w:rsid w:val="00FC5931"/>
    <w:rsid w:val="00FC59BD"/>
    <w:rsid w:val="00FC5A4D"/>
    <w:rsid w:val="00FC5BF3"/>
    <w:rsid w:val="00FC5C5B"/>
    <w:rsid w:val="00FC5F0A"/>
    <w:rsid w:val="00FC5FD7"/>
    <w:rsid w:val="00FC6388"/>
    <w:rsid w:val="00FC63AF"/>
    <w:rsid w:val="00FC640B"/>
    <w:rsid w:val="00FC6602"/>
    <w:rsid w:val="00FC6626"/>
    <w:rsid w:val="00FC6652"/>
    <w:rsid w:val="00FC66E1"/>
    <w:rsid w:val="00FC6798"/>
    <w:rsid w:val="00FC6991"/>
    <w:rsid w:val="00FC6F7D"/>
    <w:rsid w:val="00FC6FA0"/>
    <w:rsid w:val="00FC72D7"/>
    <w:rsid w:val="00FC7391"/>
    <w:rsid w:val="00FC7A1D"/>
    <w:rsid w:val="00FC7ABB"/>
    <w:rsid w:val="00FC7B64"/>
    <w:rsid w:val="00FD09F7"/>
    <w:rsid w:val="00FD0ACF"/>
    <w:rsid w:val="00FD0BFD"/>
    <w:rsid w:val="00FD0D42"/>
    <w:rsid w:val="00FD1130"/>
    <w:rsid w:val="00FD11B6"/>
    <w:rsid w:val="00FD1351"/>
    <w:rsid w:val="00FD153D"/>
    <w:rsid w:val="00FD18F2"/>
    <w:rsid w:val="00FD1940"/>
    <w:rsid w:val="00FD1B7B"/>
    <w:rsid w:val="00FD1BFF"/>
    <w:rsid w:val="00FD2017"/>
    <w:rsid w:val="00FD29C9"/>
    <w:rsid w:val="00FD2A3C"/>
    <w:rsid w:val="00FD2A6B"/>
    <w:rsid w:val="00FD2DCC"/>
    <w:rsid w:val="00FD2E48"/>
    <w:rsid w:val="00FD2FF3"/>
    <w:rsid w:val="00FD311C"/>
    <w:rsid w:val="00FD3194"/>
    <w:rsid w:val="00FD3323"/>
    <w:rsid w:val="00FD33BF"/>
    <w:rsid w:val="00FD3593"/>
    <w:rsid w:val="00FD3928"/>
    <w:rsid w:val="00FD39D2"/>
    <w:rsid w:val="00FD3C52"/>
    <w:rsid w:val="00FD3D1C"/>
    <w:rsid w:val="00FD3ED6"/>
    <w:rsid w:val="00FD457D"/>
    <w:rsid w:val="00FD464D"/>
    <w:rsid w:val="00FD47BA"/>
    <w:rsid w:val="00FD48BA"/>
    <w:rsid w:val="00FD4F12"/>
    <w:rsid w:val="00FD502B"/>
    <w:rsid w:val="00FD5290"/>
    <w:rsid w:val="00FD5A64"/>
    <w:rsid w:val="00FD5BF9"/>
    <w:rsid w:val="00FD5CAC"/>
    <w:rsid w:val="00FD5DD0"/>
    <w:rsid w:val="00FD638E"/>
    <w:rsid w:val="00FD6438"/>
    <w:rsid w:val="00FD648A"/>
    <w:rsid w:val="00FD64D6"/>
    <w:rsid w:val="00FD6576"/>
    <w:rsid w:val="00FD6625"/>
    <w:rsid w:val="00FD67FE"/>
    <w:rsid w:val="00FD68E6"/>
    <w:rsid w:val="00FD6912"/>
    <w:rsid w:val="00FD6931"/>
    <w:rsid w:val="00FD6964"/>
    <w:rsid w:val="00FD6A98"/>
    <w:rsid w:val="00FD6B80"/>
    <w:rsid w:val="00FD6E73"/>
    <w:rsid w:val="00FD718E"/>
    <w:rsid w:val="00FD7235"/>
    <w:rsid w:val="00FD727D"/>
    <w:rsid w:val="00FD74B0"/>
    <w:rsid w:val="00FD7636"/>
    <w:rsid w:val="00FD76C9"/>
    <w:rsid w:val="00FD77D2"/>
    <w:rsid w:val="00FD7843"/>
    <w:rsid w:val="00FD7882"/>
    <w:rsid w:val="00FD7A4F"/>
    <w:rsid w:val="00FD7D34"/>
    <w:rsid w:val="00FD7DAF"/>
    <w:rsid w:val="00FD7E4C"/>
    <w:rsid w:val="00FD7E4D"/>
    <w:rsid w:val="00FE0134"/>
    <w:rsid w:val="00FE02B3"/>
    <w:rsid w:val="00FE02F0"/>
    <w:rsid w:val="00FE048C"/>
    <w:rsid w:val="00FE0666"/>
    <w:rsid w:val="00FE08DC"/>
    <w:rsid w:val="00FE0EFD"/>
    <w:rsid w:val="00FE100A"/>
    <w:rsid w:val="00FE1504"/>
    <w:rsid w:val="00FE16E5"/>
    <w:rsid w:val="00FE1812"/>
    <w:rsid w:val="00FE19BC"/>
    <w:rsid w:val="00FE1A16"/>
    <w:rsid w:val="00FE1A82"/>
    <w:rsid w:val="00FE1E3F"/>
    <w:rsid w:val="00FE23D0"/>
    <w:rsid w:val="00FE2615"/>
    <w:rsid w:val="00FE29A0"/>
    <w:rsid w:val="00FE2A1C"/>
    <w:rsid w:val="00FE2B0F"/>
    <w:rsid w:val="00FE2E4A"/>
    <w:rsid w:val="00FE2EE6"/>
    <w:rsid w:val="00FE2FFE"/>
    <w:rsid w:val="00FE30BE"/>
    <w:rsid w:val="00FE3464"/>
    <w:rsid w:val="00FE3749"/>
    <w:rsid w:val="00FE3B38"/>
    <w:rsid w:val="00FE3FF6"/>
    <w:rsid w:val="00FE3FFD"/>
    <w:rsid w:val="00FE4026"/>
    <w:rsid w:val="00FE4164"/>
    <w:rsid w:val="00FE42F4"/>
    <w:rsid w:val="00FE43BF"/>
    <w:rsid w:val="00FE4547"/>
    <w:rsid w:val="00FE45C9"/>
    <w:rsid w:val="00FE46C5"/>
    <w:rsid w:val="00FE478B"/>
    <w:rsid w:val="00FE47D8"/>
    <w:rsid w:val="00FE4973"/>
    <w:rsid w:val="00FE4D47"/>
    <w:rsid w:val="00FE4D53"/>
    <w:rsid w:val="00FE4EBB"/>
    <w:rsid w:val="00FE52EA"/>
    <w:rsid w:val="00FE52FD"/>
    <w:rsid w:val="00FE5559"/>
    <w:rsid w:val="00FE5580"/>
    <w:rsid w:val="00FE5673"/>
    <w:rsid w:val="00FE57CD"/>
    <w:rsid w:val="00FE57E7"/>
    <w:rsid w:val="00FE5E98"/>
    <w:rsid w:val="00FE6038"/>
    <w:rsid w:val="00FE6241"/>
    <w:rsid w:val="00FE6773"/>
    <w:rsid w:val="00FE69F2"/>
    <w:rsid w:val="00FE6D21"/>
    <w:rsid w:val="00FE6D39"/>
    <w:rsid w:val="00FE6DB7"/>
    <w:rsid w:val="00FE6E0B"/>
    <w:rsid w:val="00FE6E87"/>
    <w:rsid w:val="00FE6ED4"/>
    <w:rsid w:val="00FE70E2"/>
    <w:rsid w:val="00FE7358"/>
    <w:rsid w:val="00FE7726"/>
    <w:rsid w:val="00FE77E4"/>
    <w:rsid w:val="00FE7921"/>
    <w:rsid w:val="00FE7CE8"/>
    <w:rsid w:val="00FE7D45"/>
    <w:rsid w:val="00FE7F68"/>
    <w:rsid w:val="00FF0118"/>
    <w:rsid w:val="00FF040E"/>
    <w:rsid w:val="00FF0461"/>
    <w:rsid w:val="00FF061B"/>
    <w:rsid w:val="00FF06EE"/>
    <w:rsid w:val="00FF07C7"/>
    <w:rsid w:val="00FF0A63"/>
    <w:rsid w:val="00FF0AF8"/>
    <w:rsid w:val="00FF0B48"/>
    <w:rsid w:val="00FF0E8D"/>
    <w:rsid w:val="00FF11DA"/>
    <w:rsid w:val="00FF1791"/>
    <w:rsid w:val="00FF1B8A"/>
    <w:rsid w:val="00FF1F6C"/>
    <w:rsid w:val="00FF2302"/>
    <w:rsid w:val="00FF259B"/>
    <w:rsid w:val="00FF26A9"/>
    <w:rsid w:val="00FF27B0"/>
    <w:rsid w:val="00FF27EC"/>
    <w:rsid w:val="00FF28DF"/>
    <w:rsid w:val="00FF2E07"/>
    <w:rsid w:val="00FF2F84"/>
    <w:rsid w:val="00FF3147"/>
    <w:rsid w:val="00FF3326"/>
    <w:rsid w:val="00FF3472"/>
    <w:rsid w:val="00FF34B4"/>
    <w:rsid w:val="00FF35E8"/>
    <w:rsid w:val="00FF3A24"/>
    <w:rsid w:val="00FF3F82"/>
    <w:rsid w:val="00FF400D"/>
    <w:rsid w:val="00FF4069"/>
    <w:rsid w:val="00FF408B"/>
    <w:rsid w:val="00FF4371"/>
    <w:rsid w:val="00FF44A2"/>
    <w:rsid w:val="00FF49C1"/>
    <w:rsid w:val="00FF4AC4"/>
    <w:rsid w:val="00FF4C0A"/>
    <w:rsid w:val="00FF4CB3"/>
    <w:rsid w:val="00FF4CF2"/>
    <w:rsid w:val="00FF4E73"/>
    <w:rsid w:val="00FF4E81"/>
    <w:rsid w:val="00FF4F3A"/>
    <w:rsid w:val="00FF4FE3"/>
    <w:rsid w:val="00FF4FED"/>
    <w:rsid w:val="00FF52B5"/>
    <w:rsid w:val="00FF53CD"/>
    <w:rsid w:val="00FF5594"/>
    <w:rsid w:val="00FF5701"/>
    <w:rsid w:val="00FF5794"/>
    <w:rsid w:val="00FF596A"/>
    <w:rsid w:val="00FF5AC9"/>
    <w:rsid w:val="00FF5E20"/>
    <w:rsid w:val="00FF5F8C"/>
    <w:rsid w:val="00FF610A"/>
    <w:rsid w:val="00FF617C"/>
    <w:rsid w:val="00FF6299"/>
    <w:rsid w:val="00FF64F8"/>
    <w:rsid w:val="00FF688F"/>
    <w:rsid w:val="00FF6E43"/>
    <w:rsid w:val="00FF6FBC"/>
    <w:rsid w:val="00FF713D"/>
    <w:rsid w:val="00FF7295"/>
    <w:rsid w:val="00FF72F7"/>
    <w:rsid w:val="00FF7308"/>
    <w:rsid w:val="00FF7323"/>
    <w:rsid w:val="00FF753A"/>
    <w:rsid w:val="00FF7728"/>
    <w:rsid w:val="00FF780A"/>
    <w:rsid w:val="00FF7A41"/>
    <w:rsid w:val="00FF7DAA"/>
    <w:rsid w:val="010F0DBF"/>
    <w:rsid w:val="014B20ED"/>
    <w:rsid w:val="01555137"/>
    <w:rsid w:val="0168118D"/>
    <w:rsid w:val="01830976"/>
    <w:rsid w:val="01AD3B4D"/>
    <w:rsid w:val="01BCAF2A"/>
    <w:rsid w:val="01C037A3"/>
    <w:rsid w:val="01DD2E91"/>
    <w:rsid w:val="01F84CFE"/>
    <w:rsid w:val="023E7ACE"/>
    <w:rsid w:val="0255BE6C"/>
    <w:rsid w:val="02895DBD"/>
    <w:rsid w:val="0293918A"/>
    <w:rsid w:val="02C7F626"/>
    <w:rsid w:val="02C96B1C"/>
    <w:rsid w:val="02D15A48"/>
    <w:rsid w:val="02E5BA0B"/>
    <w:rsid w:val="02FE5343"/>
    <w:rsid w:val="0326225D"/>
    <w:rsid w:val="032A6421"/>
    <w:rsid w:val="039FFC00"/>
    <w:rsid w:val="03AA4CE5"/>
    <w:rsid w:val="03C1BA4A"/>
    <w:rsid w:val="03D04D42"/>
    <w:rsid w:val="03D94A2D"/>
    <w:rsid w:val="03F93878"/>
    <w:rsid w:val="04074C21"/>
    <w:rsid w:val="04291AA6"/>
    <w:rsid w:val="04313490"/>
    <w:rsid w:val="043A021B"/>
    <w:rsid w:val="045D5A80"/>
    <w:rsid w:val="0463A195"/>
    <w:rsid w:val="047F9616"/>
    <w:rsid w:val="048523A6"/>
    <w:rsid w:val="04A8F53A"/>
    <w:rsid w:val="04BC65B8"/>
    <w:rsid w:val="04C63482"/>
    <w:rsid w:val="04D46A86"/>
    <w:rsid w:val="04D630EE"/>
    <w:rsid w:val="051635CE"/>
    <w:rsid w:val="053BD3B3"/>
    <w:rsid w:val="05409E41"/>
    <w:rsid w:val="055044BB"/>
    <w:rsid w:val="05805837"/>
    <w:rsid w:val="05845A19"/>
    <w:rsid w:val="05CA8C1F"/>
    <w:rsid w:val="05CE1226"/>
    <w:rsid w:val="060E1834"/>
    <w:rsid w:val="061E3007"/>
    <w:rsid w:val="06211F3B"/>
    <w:rsid w:val="0623F738"/>
    <w:rsid w:val="0625DB66"/>
    <w:rsid w:val="0628C25A"/>
    <w:rsid w:val="065202E4"/>
    <w:rsid w:val="06524448"/>
    <w:rsid w:val="0653A69B"/>
    <w:rsid w:val="06A54A0A"/>
    <w:rsid w:val="06B910B3"/>
    <w:rsid w:val="0716B69A"/>
    <w:rsid w:val="0718FA2B"/>
    <w:rsid w:val="073E17E0"/>
    <w:rsid w:val="074DBDDC"/>
    <w:rsid w:val="0756848A"/>
    <w:rsid w:val="076D1955"/>
    <w:rsid w:val="07792221"/>
    <w:rsid w:val="079490AC"/>
    <w:rsid w:val="07A567CF"/>
    <w:rsid w:val="07A5F161"/>
    <w:rsid w:val="07C492BB"/>
    <w:rsid w:val="0800AEC5"/>
    <w:rsid w:val="087DC978"/>
    <w:rsid w:val="0886E872"/>
    <w:rsid w:val="08C77EBC"/>
    <w:rsid w:val="09002781"/>
    <w:rsid w:val="09215109"/>
    <w:rsid w:val="094B3A16"/>
    <w:rsid w:val="097B049C"/>
    <w:rsid w:val="09A7D839"/>
    <w:rsid w:val="09C6F919"/>
    <w:rsid w:val="09EA3E0A"/>
    <w:rsid w:val="0A065749"/>
    <w:rsid w:val="0A1FBFDD"/>
    <w:rsid w:val="0A2FAC90"/>
    <w:rsid w:val="0A476196"/>
    <w:rsid w:val="0A4890DD"/>
    <w:rsid w:val="0AA41494"/>
    <w:rsid w:val="0AA87E3F"/>
    <w:rsid w:val="0ABCB384"/>
    <w:rsid w:val="0ACCC4AD"/>
    <w:rsid w:val="0AFC337D"/>
    <w:rsid w:val="0B0D27BF"/>
    <w:rsid w:val="0B1A2B7E"/>
    <w:rsid w:val="0B2122E8"/>
    <w:rsid w:val="0B242AB9"/>
    <w:rsid w:val="0B3BE5F4"/>
    <w:rsid w:val="0B9A84B2"/>
    <w:rsid w:val="0BA3A853"/>
    <w:rsid w:val="0BAA3418"/>
    <w:rsid w:val="0BC83FF4"/>
    <w:rsid w:val="0BDA662E"/>
    <w:rsid w:val="0C0027AC"/>
    <w:rsid w:val="0C2F17BA"/>
    <w:rsid w:val="0C47C572"/>
    <w:rsid w:val="0C7FB891"/>
    <w:rsid w:val="0C807013"/>
    <w:rsid w:val="0CDEA3D7"/>
    <w:rsid w:val="0D1BD6E4"/>
    <w:rsid w:val="0D42E2D4"/>
    <w:rsid w:val="0D4CDCB6"/>
    <w:rsid w:val="0D875675"/>
    <w:rsid w:val="0D953088"/>
    <w:rsid w:val="0DBE4175"/>
    <w:rsid w:val="0E0714B0"/>
    <w:rsid w:val="0E09CE9D"/>
    <w:rsid w:val="0E0F59A0"/>
    <w:rsid w:val="0E1FBEF7"/>
    <w:rsid w:val="0E2A5DC2"/>
    <w:rsid w:val="0E2FDA8D"/>
    <w:rsid w:val="0E309461"/>
    <w:rsid w:val="0E49954B"/>
    <w:rsid w:val="0E5167EA"/>
    <w:rsid w:val="0E998488"/>
    <w:rsid w:val="0EB89192"/>
    <w:rsid w:val="0F044B3B"/>
    <w:rsid w:val="0F0AF0C5"/>
    <w:rsid w:val="0F1514BB"/>
    <w:rsid w:val="0F38DFCE"/>
    <w:rsid w:val="0F716D9F"/>
    <w:rsid w:val="0FC248BD"/>
    <w:rsid w:val="0FCB68A3"/>
    <w:rsid w:val="0FD8AE8F"/>
    <w:rsid w:val="0FDB437A"/>
    <w:rsid w:val="0FED5EB1"/>
    <w:rsid w:val="1001582E"/>
    <w:rsid w:val="1025C84E"/>
    <w:rsid w:val="1030458A"/>
    <w:rsid w:val="103A7A0D"/>
    <w:rsid w:val="10601D07"/>
    <w:rsid w:val="10692DC3"/>
    <w:rsid w:val="107372A1"/>
    <w:rsid w:val="10801C98"/>
    <w:rsid w:val="10A12E95"/>
    <w:rsid w:val="10A78910"/>
    <w:rsid w:val="10AB25F1"/>
    <w:rsid w:val="10AF72C4"/>
    <w:rsid w:val="11033B51"/>
    <w:rsid w:val="11070D80"/>
    <w:rsid w:val="110C2069"/>
    <w:rsid w:val="11159944"/>
    <w:rsid w:val="112177C4"/>
    <w:rsid w:val="118E68AE"/>
    <w:rsid w:val="119C1FA1"/>
    <w:rsid w:val="11ACA510"/>
    <w:rsid w:val="11CD3C88"/>
    <w:rsid w:val="11E76F80"/>
    <w:rsid w:val="122974FD"/>
    <w:rsid w:val="122E066C"/>
    <w:rsid w:val="127845DD"/>
    <w:rsid w:val="12ABE830"/>
    <w:rsid w:val="12AC669C"/>
    <w:rsid w:val="12ACD213"/>
    <w:rsid w:val="12D1E022"/>
    <w:rsid w:val="12DB35E7"/>
    <w:rsid w:val="12DCC97E"/>
    <w:rsid w:val="1302B1DB"/>
    <w:rsid w:val="130637A3"/>
    <w:rsid w:val="131C5837"/>
    <w:rsid w:val="132D1661"/>
    <w:rsid w:val="13893814"/>
    <w:rsid w:val="13ACFDBB"/>
    <w:rsid w:val="13E832A7"/>
    <w:rsid w:val="13FA20AA"/>
    <w:rsid w:val="141254AA"/>
    <w:rsid w:val="14158360"/>
    <w:rsid w:val="141E6B41"/>
    <w:rsid w:val="1436651A"/>
    <w:rsid w:val="143EBDC3"/>
    <w:rsid w:val="14444681"/>
    <w:rsid w:val="1457E62E"/>
    <w:rsid w:val="149E823C"/>
    <w:rsid w:val="14B46778"/>
    <w:rsid w:val="14BA3890"/>
    <w:rsid w:val="14EFB4E4"/>
    <w:rsid w:val="15239E0A"/>
    <w:rsid w:val="15248180"/>
    <w:rsid w:val="159398D8"/>
    <w:rsid w:val="1593C5C5"/>
    <w:rsid w:val="15995A54"/>
    <w:rsid w:val="159B681B"/>
    <w:rsid w:val="15C034BA"/>
    <w:rsid w:val="15C39D9E"/>
    <w:rsid w:val="15C6B90D"/>
    <w:rsid w:val="1612D339"/>
    <w:rsid w:val="16513616"/>
    <w:rsid w:val="16917EC3"/>
    <w:rsid w:val="1692AC64"/>
    <w:rsid w:val="16933FFA"/>
    <w:rsid w:val="16CC0776"/>
    <w:rsid w:val="16D278DD"/>
    <w:rsid w:val="1705346B"/>
    <w:rsid w:val="171040D2"/>
    <w:rsid w:val="17183ADB"/>
    <w:rsid w:val="1724B5BC"/>
    <w:rsid w:val="172D0514"/>
    <w:rsid w:val="172D6C90"/>
    <w:rsid w:val="17355403"/>
    <w:rsid w:val="177D5B39"/>
    <w:rsid w:val="1780D3DE"/>
    <w:rsid w:val="17FED8C6"/>
    <w:rsid w:val="1821CA6B"/>
    <w:rsid w:val="18389338"/>
    <w:rsid w:val="1840B444"/>
    <w:rsid w:val="1855E270"/>
    <w:rsid w:val="1857B473"/>
    <w:rsid w:val="185D67AD"/>
    <w:rsid w:val="18866563"/>
    <w:rsid w:val="18CB399A"/>
    <w:rsid w:val="18D5FFE0"/>
    <w:rsid w:val="18DBE33A"/>
    <w:rsid w:val="18FD2ADF"/>
    <w:rsid w:val="190A4A94"/>
    <w:rsid w:val="192A7DFF"/>
    <w:rsid w:val="19447761"/>
    <w:rsid w:val="1945CABE"/>
    <w:rsid w:val="194A776B"/>
    <w:rsid w:val="1980C339"/>
    <w:rsid w:val="1989836C"/>
    <w:rsid w:val="19909C81"/>
    <w:rsid w:val="19AE54C3"/>
    <w:rsid w:val="19D1CBFA"/>
    <w:rsid w:val="19D2F6A8"/>
    <w:rsid w:val="19D890E6"/>
    <w:rsid w:val="19DB8C5D"/>
    <w:rsid w:val="19E631C0"/>
    <w:rsid w:val="1A6F1D9A"/>
    <w:rsid w:val="1A9592C1"/>
    <w:rsid w:val="1AC6220A"/>
    <w:rsid w:val="1AC6BE28"/>
    <w:rsid w:val="1B3AE5FB"/>
    <w:rsid w:val="1B59F744"/>
    <w:rsid w:val="1B690F42"/>
    <w:rsid w:val="1B72FC4D"/>
    <w:rsid w:val="1B791F4F"/>
    <w:rsid w:val="1BD2500A"/>
    <w:rsid w:val="1C3A7366"/>
    <w:rsid w:val="1C4135AC"/>
    <w:rsid w:val="1C462818"/>
    <w:rsid w:val="1C548333"/>
    <w:rsid w:val="1C5C645D"/>
    <w:rsid w:val="1C887F0F"/>
    <w:rsid w:val="1C9E2742"/>
    <w:rsid w:val="1CBFEBDF"/>
    <w:rsid w:val="1CEF57B7"/>
    <w:rsid w:val="1D0971EA"/>
    <w:rsid w:val="1D1F6881"/>
    <w:rsid w:val="1D1FDCF1"/>
    <w:rsid w:val="1D204DC5"/>
    <w:rsid w:val="1D210A20"/>
    <w:rsid w:val="1D2FA9DD"/>
    <w:rsid w:val="1D47459C"/>
    <w:rsid w:val="1D49F47A"/>
    <w:rsid w:val="1D6B4FDC"/>
    <w:rsid w:val="1D8D06D4"/>
    <w:rsid w:val="1D995C30"/>
    <w:rsid w:val="1D9F4235"/>
    <w:rsid w:val="1DB7FF64"/>
    <w:rsid w:val="1DC5BD51"/>
    <w:rsid w:val="1DC9F24D"/>
    <w:rsid w:val="1DE305AE"/>
    <w:rsid w:val="1DEFD0A3"/>
    <w:rsid w:val="1DF17F14"/>
    <w:rsid w:val="1E32D5E3"/>
    <w:rsid w:val="1E394219"/>
    <w:rsid w:val="1E4DC147"/>
    <w:rsid w:val="1E532FEA"/>
    <w:rsid w:val="1E5BEF11"/>
    <w:rsid w:val="1E79A68A"/>
    <w:rsid w:val="1EAA940A"/>
    <w:rsid w:val="1EB118FB"/>
    <w:rsid w:val="1EB484E4"/>
    <w:rsid w:val="1F0043AB"/>
    <w:rsid w:val="1F0C41B6"/>
    <w:rsid w:val="1F0CDA67"/>
    <w:rsid w:val="1F3DEBA6"/>
    <w:rsid w:val="1F5802E5"/>
    <w:rsid w:val="1F6AD8BE"/>
    <w:rsid w:val="1F793D05"/>
    <w:rsid w:val="1F840129"/>
    <w:rsid w:val="1FB00430"/>
    <w:rsid w:val="1FB59668"/>
    <w:rsid w:val="1FB9B8EF"/>
    <w:rsid w:val="1FD1BEC7"/>
    <w:rsid w:val="1FF037F8"/>
    <w:rsid w:val="1FFFD36D"/>
    <w:rsid w:val="2026B0BD"/>
    <w:rsid w:val="2052E113"/>
    <w:rsid w:val="205B08C2"/>
    <w:rsid w:val="207C9B01"/>
    <w:rsid w:val="2087B213"/>
    <w:rsid w:val="20D70910"/>
    <w:rsid w:val="20E12B9E"/>
    <w:rsid w:val="20E7F60B"/>
    <w:rsid w:val="20F92CFC"/>
    <w:rsid w:val="210A396D"/>
    <w:rsid w:val="210AF33A"/>
    <w:rsid w:val="217C2A6E"/>
    <w:rsid w:val="21898651"/>
    <w:rsid w:val="223096DD"/>
    <w:rsid w:val="22379856"/>
    <w:rsid w:val="228122CC"/>
    <w:rsid w:val="228152BC"/>
    <w:rsid w:val="229D6370"/>
    <w:rsid w:val="22A360F2"/>
    <w:rsid w:val="22FC5A49"/>
    <w:rsid w:val="2305C2DE"/>
    <w:rsid w:val="23273885"/>
    <w:rsid w:val="233DD884"/>
    <w:rsid w:val="234362A7"/>
    <w:rsid w:val="235FCD7F"/>
    <w:rsid w:val="23877DF5"/>
    <w:rsid w:val="23AD7D1C"/>
    <w:rsid w:val="23CDFC00"/>
    <w:rsid w:val="23D9503A"/>
    <w:rsid w:val="2411F9A6"/>
    <w:rsid w:val="241B35A1"/>
    <w:rsid w:val="242BD304"/>
    <w:rsid w:val="2432278E"/>
    <w:rsid w:val="244484BA"/>
    <w:rsid w:val="246B02B6"/>
    <w:rsid w:val="24772CBF"/>
    <w:rsid w:val="247F493A"/>
    <w:rsid w:val="24A57C05"/>
    <w:rsid w:val="24AAAFFE"/>
    <w:rsid w:val="24ABE2DB"/>
    <w:rsid w:val="24C74D36"/>
    <w:rsid w:val="24C9919D"/>
    <w:rsid w:val="252361B3"/>
    <w:rsid w:val="252C1895"/>
    <w:rsid w:val="253C41F3"/>
    <w:rsid w:val="256A3D92"/>
    <w:rsid w:val="257C97AD"/>
    <w:rsid w:val="2592079A"/>
    <w:rsid w:val="25B80F29"/>
    <w:rsid w:val="25BA88C7"/>
    <w:rsid w:val="25BF728D"/>
    <w:rsid w:val="25C8DCE8"/>
    <w:rsid w:val="25CCB771"/>
    <w:rsid w:val="25DB73C4"/>
    <w:rsid w:val="25EA8F49"/>
    <w:rsid w:val="25F86CB1"/>
    <w:rsid w:val="25FA6390"/>
    <w:rsid w:val="264B0642"/>
    <w:rsid w:val="2655F65B"/>
    <w:rsid w:val="267A9FDA"/>
    <w:rsid w:val="26914BAE"/>
    <w:rsid w:val="269C3BB6"/>
    <w:rsid w:val="26C9E665"/>
    <w:rsid w:val="26FFD1AF"/>
    <w:rsid w:val="271D220D"/>
    <w:rsid w:val="2724D952"/>
    <w:rsid w:val="275B1D91"/>
    <w:rsid w:val="2787C16B"/>
    <w:rsid w:val="2796364B"/>
    <w:rsid w:val="279DD231"/>
    <w:rsid w:val="27A37CE3"/>
    <w:rsid w:val="27B299E8"/>
    <w:rsid w:val="27B53717"/>
    <w:rsid w:val="27B83F05"/>
    <w:rsid w:val="27BEA4B1"/>
    <w:rsid w:val="27C80BAD"/>
    <w:rsid w:val="27CDF5B9"/>
    <w:rsid w:val="27DC4727"/>
    <w:rsid w:val="27F1F7B7"/>
    <w:rsid w:val="27FBB0FB"/>
    <w:rsid w:val="281EC268"/>
    <w:rsid w:val="2845D23D"/>
    <w:rsid w:val="285FB8D7"/>
    <w:rsid w:val="286980CE"/>
    <w:rsid w:val="286CA66C"/>
    <w:rsid w:val="289085E5"/>
    <w:rsid w:val="28A97EC5"/>
    <w:rsid w:val="2900A027"/>
    <w:rsid w:val="293A53F6"/>
    <w:rsid w:val="293F7AEC"/>
    <w:rsid w:val="2948A426"/>
    <w:rsid w:val="296AD9E3"/>
    <w:rsid w:val="29A38B99"/>
    <w:rsid w:val="29A6F6C6"/>
    <w:rsid w:val="29B27200"/>
    <w:rsid w:val="29B42656"/>
    <w:rsid w:val="29B4B262"/>
    <w:rsid w:val="29D31A28"/>
    <w:rsid w:val="2A03B172"/>
    <w:rsid w:val="2A073F8A"/>
    <w:rsid w:val="2A2D1EB2"/>
    <w:rsid w:val="2A3B932E"/>
    <w:rsid w:val="2A8F4CF8"/>
    <w:rsid w:val="2A96297E"/>
    <w:rsid w:val="2AB9B380"/>
    <w:rsid w:val="2ABF2F5C"/>
    <w:rsid w:val="2B03B22A"/>
    <w:rsid w:val="2B10F43F"/>
    <w:rsid w:val="2B1B6859"/>
    <w:rsid w:val="2B34D3E5"/>
    <w:rsid w:val="2B370CB6"/>
    <w:rsid w:val="2B4A4C2A"/>
    <w:rsid w:val="2B65275C"/>
    <w:rsid w:val="2B6BCCE1"/>
    <w:rsid w:val="2B796FD2"/>
    <w:rsid w:val="2B7E6CE9"/>
    <w:rsid w:val="2B90240B"/>
    <w:rsid w:val="2B91DBC5"/>
    <w:rsid w:val="2BA2506E"/>
    <w:rsid w:val="2BDBE805"/>
    <w:rsid w:val="2C14D66E"/>
    <w:rsid w:val="2C17CACB"/>
    <w:rsid w:val="2C478CD8"/>
    <w:rsid w:val="2C4E5C88"/>
    <w:rsid w:val="2C61E2CB"/>
    <w:rsid w:val="2C7B0E95"/>
    <w:rsid w:val="2C98EBDA"/>
    <w:rsid w:val="2CB98E3A"/>
    <w:rsid w:val="2CCA4AB3"/>
    <w:rsid w:val="2CDF87EA"/>
    <w:rsid w:val="2CF73146"/>
    <w:rsid w:val="2D11546B"/>
    <w:rsid w:val="2D8D221D"/>
    <w:rsid w:val="2DA6D38E"/>
    <w:rsid w:val="2DAE3A87"/>
    <w:rsid w:val="2DD74ECD"/>
    <w:rsid w:val="2DDC5480"/>
    <w:rsid w:val="2DDC611B"/>
    <w:rsid w:val="2DE03872"/>
    <w:rsid w:val="2DEE1A10"/>
    <w:rsid w:val="2E0855BE"/>
    <w:rsid w:val="2E23286E"/>
    <w:rsid w:val="2E7D9263"/>
    <w:rsid w:val="2E9FB5ED"/>
    <w:rsid w:val="2EA0D7A9"/>
    <w:rsid w:val="2EBBCBB7"/>
    <w:rsid w:val="2EBEB8C2"/>
    <w:rsid w:val="2EE03532"/>
    <w:rsid w:val="2EFA3A51"/>
    <w:rsid w:val="2F45A7D7"/>
    <w:rsid w:val="2F4D14F9"/>
    <w:rsid w:val="2F57A804"/>
    <w:rsid w:val="2F63BB5F"/>
    <w:rsid w:val="2F7BE678"/>
    <w:rsid w:val="2F7CFB07"/>
    <w:rsid w:val="2F986B8E"/>
    <w:rsid w:val="2FA1AA67"/>
    <w:rsid w:val="2FDBFCF6"/>
    <w:rsid w:val="2FE7115F"/>
    <w:rsid w:val="30084508"/>
    <w:rsid w:val="30089E43"/>
    <w:rsid w:val="306C6D5C"/>
    <w:rsid w:val="307C0593"/>
    <w:rsid w:val="30901168"/>
    <w:rsid w:val="30A72E9A"/>
    <w:rsid w:val="30BA78CD"/>
    <w:rsid w:val="3108C119"/>
    <w:rsid w:val="312E0C39"/>
    <w:rsid w:val="3164D343"/>
    <w:rsid w:val="316C7763"/>
    <w:rsid w:val="318245C1"/>
    <w:rsid w:val="3198F1B7"/>
    <w:rsid w:val="31A6BAD5"/>
    <w:rsid w:val="31CCCB5B"/>
    <w:rsid w:val="31D257FF"/>
    <w:rsid w:val="31F4B3E5"/>
    <w:rsid w:val="329BEA13"/>
    <w:rsid w:val="329D12AF"/>
    <w:rsid w:val="32C769C2"/>
    <w:rsid w:val="32DE12F6"/>
    <w:rsid w:val="3345EA0A"/>
    <w:rsid w:val="334BDB97"/>
    <w:rsid w:val="339235A2"/>
    <w:rsid w:val="33A06FC0"/>
    <w:rsid w:val="33ADC330"/>
    <w:rsid w:val="33BE3ECC"/>
    <w:rsid w:val="33E9CE34"/>
    <w:rsid w:val="33EB665D"/>
    <w:rsid w:val="33FF26BF"/>
    <w:rsid w:val="340406AC"/>
    <w:rsid w:val="3404A906"/>
    <w:rsid w:val="3411CB1F"/>
    <w:rsid w:val="344A8BAA"/>
    <w:rsid w:val="346B9AA8"/>
    <w:rsid w:val="347A012D"/>
    <w:rsid w:val="348D6658"/>
    <w:rsid w:val="34A122CD"/>
    <w:rsid w:val="34AF5A01"/>
    <w:rsid w:val="34AF9072"/>
    <w:rsid w:val="34C32912"/>
    <w:rsid w:val="34C75753"/>
    <w:rsid w:val="34D1B51E"/>
    <w:rsid w:val="34DB141B"/>
    <w:rsid w:val="34F5BD8C"/>
    <w:rsid w:val="35434B58"/>
    <w:rsid w:val="3550EAF0"/>
    <w:rsid w:val="35879D26"/>
    <w:rsid w:val="35A62097"/>
    <w:rsid w:val="35A95F55"/>
    <w:rsid w:val="35B689CD"/>
    <w:rsid w:val="35F35DF6"/>
    <w:rsid w:val="36111BC0"/>
    <w:rsid w:val="3656ACF0"/>
    <w:rsid w:val="36828195"/>
    <w:rsid w:val="3682E63C"/>
    <w:rsid w:val="36883CF7"/>
    <w:rsid w:val="36A19E3F"/>
    <w:rsid w:val="36A981EE"/>
    <w:rsid w:val="36B5D8BF"/>
    <w:rsid w:val="36BE8B6F"/>
    <w:rsid w:val="36C7A302"/>
    <w:rsid w:val="36E12364"/>
    <w:rsid w:val="36E72CA6"/>
    <w:rsid w:val="36EAB756"/>
    <w:rsid w:val="37184119"/>
    <w:rsid w:val="373ABD02"/>
    <w:rsid w:val="373E89C3"/>
    <w:rsid w:val="3764D2BC"/>
    <w:rsid w:val="37A98F9D"/>
    <w:rsid w:val="37B5E0A0"/>
    <w:rsid w:val="37CFEAA6"/>
    <w:rsid w:val="37D3BF0E"/>
    <w:rsid w:val="37DADCDC"/>
    <w:rsid w:val="37FFF969"/>
    <w:rsid w:val="3813BC4F"/>
    <w:rsid w:val="382C659F"/>
    <w:rsid w:val="38792FD1"/>
    <w:rsid w:val="388C14D1"/>
    <w:rsid w:val="389D9DB5"/>
    <w:rsid w:val="38CDFB12"/>
    <w:rsid w:val="38F2F83F"/>
    <w:rsid w:val="392427DB"/>
    <w:rsid w:val="39402512"/>
    <w:rsid w:val="3947EFB4"/>
    <w:rsid w:val="39E8BA09"/>
    <w:rsid w:val="39FCD6EF"/>
    <w:rsid w:val="3A0CE425"/>
    <w:rsid w:val="3A266D08"/>
    <w:rsid w:val="3A2A800A"/>
    <w:rsid w:val="3A2B76FD"/>
    <w:rsid w:val="3A2CDF07"/>
    <w:rsid w:val="3A50CB10"/>
    <w:rsid w:val="3A5C68F0"/>
    <w:rsid w:val="3A6B87FD"/>
    <w:rsid w:val="3A6C5D60"/>
    <w:rsid w:val="3AC62A38"/>
    <w:rsid w:val="3AC91E85"/>
    <w:rsid w:val="3ADDA553"/>
    <w:rsid w:val="3AF0DF90"/>
    <w:rsid w:val="3B1B145E"/>
    <w:rsid w:val="3B23A7CB"/>
    <w:rsid w:val="3B2F6CAF"/>
    <w:rsid w:val="3B749E5F"/>
    <w:rsid w:val="3B795FDC"/>
    <w:rsid w:val="3B7FF764"/>
    <w:rsid w:val="3BCED6CC"/>
    <w:rsid w:val="3BD6F381"/>
    <w:rsid w:val="3CC32E90"/>
    <w:rsid w:val="3CD7C5B1"/>
    <w:rsid w:val="3D0062D9"/>
    <w:rsid w:val="3D144D95"/>
    <w:rsid w:val="3D4598C0"/>
    <w:rsid w:val="3D794FA7"/>
    <w:rsid w:val="3D8C3B30"/>
    <w:rsid w:val="3D97B6A2"/>
    <w:rsid w:val="3DA3CEFB"/>
    <w:rsid w:val="3DCC1214"/>
    <w:rsid w:val="3DE1AF76"/>
    <w:rsid w:val="3DE457E2"/>
    <w:rsid w:val="3E046484"/>
    <w:rsid w:val="3E129F11"/>
    <w:rsid w:val="3E4BAA23"/>
    <w:rsid w:val="3EA4393E"/>
    <w:rsid w:val="3ECEEDDA"/>
    <w:rsid w:val="3ED6D1F9"/>
    <w:rsid w:val="3EE9626E"/>
    <w:rsid w:val="3F076232"/>
    <w:rsid w:val="3F3838C4"/>
    <w:rsid w:val="3F4D19D4"/>
    <w:rsid w:val="3F7D90DC"/>
    <w:rsid w:val="3F9FCF43"/>
    <w:rsid w:val="3FA6369B"/>
    <w:rsid w:val="3FAE4B9C"/>
    <w:rsid w:val="3FDE9AA0"/>
    <w:rsid w:val="3FFEA0F3"/>
    <w:rsid w:val="4005904C"/>
    <w:rsid w:val="40210CAC"/>
    <w:rsid w:val="4027EEA7"/>
    <w:rsid w:val="402A5B11"/>
    <w:rsid w:val="404DAA89"/>
    <w:rsid w:val="4075B0D8"/>
    <w:rsid w:val="407F7CD7"/>
    <w:rsid w:val="4084AA95"/>
    <w:rsid w:val="410BADC2"/>
    <w:rsid w:val="4114263A"/>
    <w:rsid w:val="414ABBC8"/>
    <w:rsid w:val="4185FB59"/>
    <w:rsid w:val="41D0C6F9"/>
    <w:rsid w:val="41D962D6"/>
    <w:rsid w:val="41FADD31"/>
    <w:rsid w:val="42087539"/>
    <w:rsid w:val="420E7EE8"/>
    <w:rsid w:val="42117B55"/>
    <w:rsid w:val="421C3A5A"/>
    <w:rsid w:val="421EE4F7"/>
    <w:rsid w:val="42323B06"/>
    <w:rsid w:val="427DC687"/>
    <w:rsid w:val="429BD3BE"/>
    <w:rsid w:val="42AF2EAB"/>
    <w:rsid w:val="42D08611"/>
    <w:rsid w:val="42D47822"/>
    <w:rsid w:val="42E554A2"/>
    <w:rsid w:val="42FC8C5D"/>
    <w:rsid w:val="439A2365"/>
    <w:rsid w:val="43ACC15B"/>
    <w:rsid w:val="43B403D4"/>
    <w:rsid w:val="43DB7722"/>
    <w:rsid w:val="43FA500F"/>
    <w:rsid w:val="43FB7CB4"/>
    <w:rsid w:val="440166C0"/>
    <w:rsid w:val="4407413A"/>
    <w:rsid w:val="44260036"/>
    <w:rsid w:val="4427A555"/>
    <w:rsid w:val="443C1FE6"/>
    <w:rsid w:val="4444341B"/>
    <w:rsid w:val="4453343C"/>
    <w:rsid w:val="44542CA8"/>
    <w:rsid w:val="4464C816"/>
    <w:rsid w:val="4473B169"/>
    <w:rsid w:val="448BAAD6"/>
    <w:rsid w:val="44A27EB2"/>
    <w:rsid w:val="44B7D5BC"/>
    <w:rsid w:val="44CB6838"/>
    <w:rsid w:val="44CE4075"/>
    <w:rsid w:val="44DFD8A1"/>
    <w:rsid w:val="44EDC536"/>
    <w:rsid w:val="450108C8"/>
    <w:rsid w:val="45048FB3"/>
    <w:rsid w:val="4515C9BE"/>
    <w:rsid w:val="451FE94C"/>
    <w:rsid w:val="452F2BE5"/>
    <w:rsid w:val="4533539D"/>
    <w:rsid w:val="4536ABD8"/>
    <w:rsid w:val="454B7E8D"/>
    <w:rsid w:val="45509963"/>
    <w:rsid w:val="4550A9DF"/>
    <w:rsid w:val="455B22B0"/>
    <w:rsid w:val="45764DF6"/>
    <w:rsid w:val="458F965E"/>
    <w:rsid w:val="459459E1"/>
    <w:rsid w:val="45CC748B"/>
    <w:rsid w:val="45E41DFE"/>
    <w:rsid w:val="4619EDCE"/>
    <w:rsid w:val="462320F7"/>
    <w:rsid w:val="462CA53B"/>
    <w:rsid w:val="46320FBB"/>
    <w:rsid w:val="463F9501"/>
    <w:rsid w:val="4650B69A"/>
    <w:rsid w:val="46726119"/>
    <w:rsid w:val="46746433"/>
    <w:rsid w:val="46DBE65C"/>
    <w:rsid w:val="46E261AB"/>
    <w:rsid w:val="4738B972"/>
    <w:rsid w:val="47BB22D1"/>
    <w:rsid w:val="47C575DB"/>
    <w:rsid w:val="47E8F243"/>
    <w:rsid w:val="47F534EC"/>
    <w:rsid w:val="4823581E"/>
    <w:rsid w:val="484F9592"/>
    <w:rsid w:val="4851CC02"/>
    <w:rsid w:val="4871AD11"/>
    <w:rsid w:val="488E08AD"/>
    <w:rsid w:val="48A040E8"/>
    <w:rsid w:val="48F66570"/>
    <w:rsid w:val="494B1A30"/>
    <w:rsid w:val="495B26E5"/>
    <w:rsid w:val="497946A2"/>
    <w:rsid w:val="497F5CF7"/>
    <w:rsid w:val="499ED95B"/>
    <w:rsid w:val="49BFCBC9"/>
    <w:rsid w:val="49D468A5"/>
    <w:rsid w:val="49EAA423"/>
    <w:rsid w:val="49FB5C05"/>
    <w:rsid w:val="4A57856A"/>
    <w:rsid w:val="4A8BF36E"/>
    <w:rsid w:val="4AA4EC6A"/>
    <w:rsid w:val="4ABB4ED0"/>
    <w:rsid w:val="4AC37A0A"/>
    <w:rsid w:val="4AD3A801"/>
    <w:rsid w:val="4AE2FC4C"/>
    <w:rsid w:val="4AFD6CE3"/>
    <w:rsid w:val="4B0804AA"/>
    <w:rsid w:val="4B3AA9BC"/>
    <w:rsid w:val="4B64543F"/>
    <w:rsid w:val="4BACE5B9"/>
    <w:rsid w:val="4BB37170"/>
    <w:rsid w:val="4BC61186"/>
    <w:rsid w:val="4BCB95CB"/>
    <w:rsid w:val="4BCF7A30"/>
    <w:rsid w:val="4BDAAD76"/>
    <w:rsid w:val="4BDB122B"/>
    <w:rsid w:val="4BFB94CC"/>
    <w:rsid w:val="4C076F2D"/>
    <w:rsid w:val="4C3DBEE4"/>
    <w:rsid w:val="4C40D583"/>
    <w:rsid w:val="4C85327A"/>
    <w:rsid w:val="4CCB371D"/>
    <w:rsid w:val="4CD687E2"/>
    <w:rsid w:val="4CDC7011"/>
    <w:rsid w:val="4D0FEAFE"/>
    <w:rsid w:val="4D240E35"/>
    <w:rsid w:val="4D2465FC"/>
    <w:rsid w:val="4D3133D7"/>
    <w:rsid w:val="4D36D4C2"/>
    <w:rsid w:val="4D97C90E"/>
    <w:rsid w:val="4E21561C"/>
    <w:rsid w:val="4E44C349"/>
    <w:rsid w:val="4E5E1D7C"/>
    <w:rsid w:val="4E8339D4"/>
    <w:rsid w:val="4E9BCAB9"/>
    <w:rsid w:val="4EA76517"/>
    <w:rsid w:val="4EA87931"/>
    <w:rsid w:val="4EAA4309"/>
    <w:rsid w:val="4EB162D6"/>
    <w:rsid w:val="4EC06AAD"/>
    <w:rsid w:val="4EEEE5C7"/>
    <w:rsid w:val="4F457939"/>
    <w:rsid w:val="4F84079F"/>
    <w:rsid w:val="4FA830E1"/>
    <w:rsid w:val="4FB9C43C"/>
    <w:rsid w:val="4FD1E889"/>
    <w:rsid w:val="4FF289B7"/>
    <w:rsid w:val="50019A1E"/>
    <w:rsid w:val="501D0D8C"/>
    <w:rsid w:val="503CC1AE"/>
    <w:rsid w:val="505EBC78"/>
    <w:rsid w:val="5068D499"/>
    <w:rsid w:val="506E380E"/>
    <w:rsid w:val="50CA2B17"/>
    <w:rsid w:val="50D6C0A4"/>
    <w:rsid w:val="50F4D40D"/>
    <w:rsid w:val="50F66D28"/>
    <w:rsid w:val="50F786B4"/>
    <w:rsid w:val="510B7277"/>
    <w:rsid w:val="510D6283"/>
    <w:rsid w:val="51152B72"/>
    <w:rsid w:val="511DBA69"/>
    <w:rsid w:val="512455B7"/>
    <w:rsid w:val="51449231"/>
    <w:rsid w:val="515828BE"/>
    <w:rsid w:val="51656EAE"/>
    <w:rsid w:val="51663C67"/>
    <w:rsid w:val="51852706"/>
    <w:rsid w:val="51A477A1"/>
    <w:rsid w:val="51D1D8AA"/>
    <w:rsid w:val="5210430E"/>
    <w:rsid w:val="52268689"/>
    <w:rsid w:val="5252B64A"/>
    <w:rsid w:val="5280DCB1"/>
    <w:rsid w:val="52A64B5C"/>
    <w:rsid w:val="52CB82C8"/>
    <w:rsid w:val="52E89C40"/>
    <w:rsid w:val="52ED08B3"/>
    <w:rsid w:val="530AB58F"/>
    <w:rsid w:val="530CE9C2"/>
    <w:rsid w:val="532F80B2"/>
    <w:rsid w:val="53506A20"/>
    <w:rsid w:val="5356E0A9"/>
    <w:rsid w:val="5385DF53"/>
    <w:rsid w:val="539A72F6"/>
    <w:rsid w:val="53E64BDF"/>
    <w:rsid w:val="5420F8CD"/>
    <w:rsid w:val="5464828C"/>
    <w:rsid w:val="546FB0B7"/>
    <w:rsid w:val="5478641B"/>
    <w:rsid w:val="548C8168"/>
    <w:rsid w:val="5492CD47"/>
    <w:rsid w:val="54A2486E"/>
    <w:rsid w:val="54F70A74"/>
    <w:rsid w:val="54F99F5B"/>
    <w:rsid w:val="55012309"/>
    <w:rsid w:val="5537A518"/>
    <w:rsid w:val="55438947"/>
    <w:rsid w:val="55458280"/>
    <w:rsid w:val="55487E29"/>
    <w:rsid w:val="557B64C4"/>
    <w:rsid w:val="557E38FD"/>
    <w:rsid w:val="5598F52F"/>
    <w:rsid w:val="55B1F9FB"/>
    <w:rsid w:val="55E56C19"/>
    <w:rsid w:val="561AEA26"/>
    <w:rsid w:val="562081AF"/>
    <w:rsid w:val="565E4D7E"/>
    <w:rsid w:val="565F5B57"/>
    <w:rsid w:val="56683082"/>
    <w:rsid w:val="5697355E"/>
    <w:rsid w:val="56C3395E"/>
    <w:rsid w:val="56E9380B"/>
    <w:rsid w:val="57055229"/>
    <w:rsid w:val="57228861"/>
    <w:rsid w:val="5742D02C"/>
    <w:rsid w:val="574A16D8"/>
    <w:rsid w:val="5788DCBD"/>
    <w:rsid w:val="57A2C860"/>
    <w:rsid w:val="57B49769"/>
    <w:rsid w:val="57B56E27"/>
    <w:rsid w:val="57B6FB9A"/>
    <w:rsid w:val="57C49AC2"/>
    <w:rsid w:val="57E3C59B"/>
    <w:rsid w:val="57FD5169"/>
    <w:rsid w:val="58153F19"/>
    <w:rsid w:val="5819DD62"/>
    <w:rsid w:val="5823DBD6"/>
    <w:rsid w:val="5876B54B"/>
    <w:rsid w:val="587ECB5C"/>
    <w:rsid w:val="588DDA87"/>
    <w:rsid w:val="58A300F7"/>
    <w:rsid w:val="58B16DE6"/>
    <w:rsid w:val="58CA8328"/>
    <w:rsid w:val="58F24C63"/>
    <w:rsid w:val="59064A47"/>
    <w:rsid w:val="5916EEA1"/>
    <w:rsid w:val="592BBC75"/>
    <w:rsid w:val="5938F7E9"/>
    <w:rsid w:val="597BEADE"/>
    <w:rsid w:val="59B5AE89"/>
    <w:rsid w:val="59BA6E0A"/>
    <w:rsid w:val="59C62012"/>
    <w:rsid w:val="59C6C659"/>
    <w:rsid w:val="59DFEE5C"/>
    <w:rsid w:val="5A00D0B6"/>
    <w:rsid w:val="5A21C845"/>
    <w:rsid w:val="5A2C042A"/>
    <w:rsid w:val="5A6EF703"/>
    <w:rsid w:val="5A85409D"/>
    <w:rsid w:val="5A8B4CBB"/>
    <w:rsid w:val="5A939EE8"/>
    <w:rsid w:val="5AA4C294"/>
    <w:rsid w:val="5AB63049"/>
    <w:rsid w:val="5ACA20F7"/>
    <w:rsid w:val="5AF7AD9E"/>
    <w:rsid w:val="5B153E09"/>
    <w:rsid w:val="5B48891E"/>
    <w:rsid w:val="5B77C664"/>
    <w:rsid w:val="5BB36243"/>
    <w:rsid w:val="5BC2DB1D"/>
    <w:rsid w:val="5BE30F10"/>
    <w:rsid w:val="5BFE8B22"/>
    <w:rsid w:val="5C01F81D"/>
    <w:rsid w:val="5C1C7A13"/>
    <w:rsid w:val="5C2685A4"/>
    <w:rsid w:val="5C986C6A"/>
    <w:rsid w:val="5C9AC430"/>
    <w:rsid w:val="5CB74E94"/>
    <w:rsid w:val="5CFDE3E7"/>
    <w:rsid w:val="5D04805A"/>
    <w:rsid w:val="5D0B3918"/>
    <w:rsid w:val="5D15ADBE"/>
    <w:rsid w:val="5D2929AD"/>
    <w:rsid w:val="5D8A57C9"/>
    <w:rsid w:val="5DF79235"/>
    <w:rsid w:val="5E15115C"/>
    <w:rsid w:val="5E27F7FC"/>
    <w:rsid w:val="5E5B2545"/>
    <w:rsid w:val="5E674D60"/>
    <w:rsid w:val="5E82C165"/>
    <w:rsid w:val="5EB8ADDF"/>
    <w:rsid w:val="5EEBE134"/>
    <w:rsid w:val="5EF2075F"/>
    <w:rsid w:val="5F255BE7"/>
    <w:rsid w:val="5F4B0A05"/>
    <w:rsid w:val="5F6308DE"/>
    <w:rsid w:val="5F8420F3"/>
    <w:rsid w:val="5F911827"/>
    <w:rsid w:val="5F93EEA2"/>
    <w:rsid w:val="5FA9A129"/>
    <w:rsid w:val="5FEADFBD"/>
    <w:rsid w:val="60038982"/>
    <w:rsid w:val="6034FCEF"/>
    <w:rsid w:val="6037D997"/>
    <w:rsid w:val="603A1AC9"/>
    <w:rsid w:val="608726D6"/>
    <w:rsid w:val="60876285"/>
    <w:rsid w:val="6087B195"/>
    <w:rsid w:val="609DC5B2"/>
    <w:rsid w:val="609EA244"/>
    <w:rsid w:val="60C081AF"/>
    <w:rsid w:val="60D8603D"/>
    <w:rsid w:val="60DCDBA2"/>
    <w:rsid w:val="60E6DA66"/>
    <w:rsid w:val="60EB74F1"/>
    <w:rsid w:val="60F17634"/>
    <w:rsid w:val="61085B0F"/>
    <w:rsid w:val="61499DD8"/>
    <w:rsid w:val="61662D2C"/>
    <w:rsid w:val="6182547E"/>
    <w:rsid w:val="618B0DD0"/>
    <w:rsid w:val="619E2DF4"/>
    <w:rsid w:val="61C02767"/>
    <w:rsid w:val="61DE16B0"/>
    <w:rsid w:val="61FB1828"/>
    <w:rsid w:val="6204AC9D"/>
    <w:rsid w:val="62051F1F"/>
    <w:rsid w:val="621C1C6D"/>
    <w:rsid w:val="622B851F"/>
    <w:rsid w:val="622CB9BD"/>
    <w:rsid w:val="623F6E71"/>
    <w:rsid w:val="6295FCA0"/>
    <w:rsid w:val="629C1FFC"/>
    <w:rsid w:val="629D854D"/>
    <w:rsid w:val="62F6E569"/>
    <w:rsid w:val="62F80F76"/>
    <w:rsid w:val="63035391"/>
    <w:rsid w:val="6311D79E"/>
    <w:rsid w:val="6364ECB7"/>
    <w:rsid w:val="637E6EED"/>
    <w:rsid w:val="639BA760"/>
    <w:rsid w:val="639D8954"/>
    <w:rsid w:val="63A61614"/>
    <w:rsid w:val="63A8AA35"/>
    <w:rsid w:val="63A9A935"/>
    <w:rsid w:val="63B6061B"/>
    <w:rsid w:val="63D67BBC"/>
    <w:rsid w:val="63E41C97"/>
    <w:rsid w:val="642650FF"/>
    <w:rsid w:val="642D0384"/>
    <w:rsid w:val="6430A6D9"/>
    <w:rsid w:val="646D3177"/>
    <w:rsid w:val="64A28FDB"/>
    <w:rsid w:val="64B3CA8F"/>
    <w:rsid w:val="64D9A962"/>
    <w:rsid w:val="64DC6127"/>
    <w:rsid w:val="650FC25F"/>
    <w:rsid w:val="65400381"/>
    <w:rsid w:val="6581BAF2"/>
    <w:rsid w:val="65AF18F9"/>
    <w:rsid w:val="65B18147"/>
    <w:rsid w:val="65E0D868"/>
    <w:rsid w:val="661291AA"/>
    <w:rsid w:val="661AC28E"/>
    <w:rsid w:val="6625BA5C"/>
    <w:rsid w:val="6635F8B5"/>
    <w:rsid w:val="66418C9B"/>
    <w:rsid w:val="666D7E78"/>
    <w:rsid w:val="667597E4"/>
    <w:rsid w:val="66E8F5FE"/>
    <w:rsid w:val="670B43DF"/>
    <w:rsid w:val="67101B76"/>
    <w:rsid w:val="672C29FF"/>
    <w:rsid w:val="67A642AF"/>
    <w:rsid w:val="67B37ECB"/>
    <w:rsid w:val="67B8532C"/>
    <w:rsid w:val="67BA021E"/>
    <w:rsid w:val="67C3FC93"/>
    <w:rsid w:val="67C71314"/>
    <w:rsid w:val="67CC5335"/>
    <w:rsid w:val="67CE7568"/>
    <w:rsid w:val="67D214B1"/>
    <w:rsid w:val="6809EBC3"/>
    <w:rsid w:val="685F1E5C"/>
    <w:rsid w:val="688141EC"/>
    <w:rsid w:val="6889F8C0"/>
    <w:rsid w:val="688AD491"/>
    <w:rsid w:val="68C09CAE"/>
    <w:rsid w:val="68C531E2"/>
    <w:rsid w:val="68CA919D"/>
    <w:rsid w:val="68D52BEC"/>
    <w:rsid w:val="68DD06C8"/>
    <w:rsid w:val="691BF0F7"/>
    <w:rsid w:val="69499E64"/>
    <w:rsid w:val="694B29A8"/>
    <w:rsid w:val="694F9377"/>
    <w:rsid w:val="69869C6C"/>
    <w:rsid w:val="699E3C93"/>
    <w:rsid w:val="69AA8664"/>
    <w:rsid w:val="69BB267A"/>
    <w:rsid w:val="69D27C3C"/>
    <w:rsid w:val="69E081E4"/>
    <w:rsid w:val="69F7288D"/>
    <w:rsid w:val="6A122DD9"/>
    <w:rsid w:val="6A550B86"/>
    <w:rsid w:val="6ACEBAA5"/>
    <w:rsid w:val="6AEB63D8"/>
    <w:rsid w:val="6B0538A6"/>
    <w:rsid w:val="6B49ABE1"/>
    <w:rsid w:val="6B5B4431"/>
    <w:rsid w:val="6BDF873C"/>
    <w:rsid w:val="6BE38C99"/>
    <w:rsid w:val="6BF7E8C0"/>
    <w:rsid w:val="6C1D42CE"/>
    <w:rsid w:val="6C2941E2"/>
    <w:rsid w:val="6C3428DB"/>
    <w:rsid w:val="6C3BB0BF"/>
    <w:rsid w:val="6C4E9FAC"/>
    <w:rsid w:val="6C5C51E9"/>
    <w:rsid w:val="6C64294E"/>
    <w:rsid w:val="6C795361"/>
    <w:rsid w:val="6C97FF16"/>
    <w:rsid w:val="6CA74C3C"/>
    <w:rsid w:val="6CAF6828"/>
    <w:rsid w:val="6CE1C255"/>
    <w:rsid w:val="6D4FB6F9"/>
    <w:rsid w:val="6D65A891"/>
    <w:rsid w:val="6D6FB677"/>
    <w:rsid w:val="6DE4B487"/>
    <w:rsid w:val="6DEBDEA7"/>
    <w:rsid w:val="6DEEB562"/>
    <w:rsid w:val="6DF86432"/>
    <w:rsid w:val="6E520A0A"/>
    <w:rsid w:val="6E60013F"/>
    <w:rsid w:val="6E614738"/>
    <w:rsid w:val="6E6C75AB"/>
    <w:rsid w:val="6E9EDE09"/>
    <w:rsid w:val="6EC61A0F"/>
    <w:rsid w:val="6ECAD191"/>
    <w:rsid w:val="6ED5C14F"/>
    <w:rsid w:val="6EDCE3C3"/>
    <w:rsid w:val="6EE810F5"/>
    <w:rsid w:val="6EF2521A"/>
    <w:rsid w:val="6F02D050"/>
    <w:rsid w:val="6F08B31E"/>
    <w:rsid w:val="6F65D19A"/>
    <w:rsid w:val="6F891FDF"/>
    <w:rsid w:val="6FB519EE"/>
    <w:rsid w:val="700AB820"/>
    <w:rsid w:val="701898F8"/>
    <w:rsid w:val="702B5EDB"/>
    <w:rsid w:val="7037220C"/>
    <w:rsid w:val="70455415"/>
    <w:rsid w:val="7045EB4D"/>
    <w:rsid w:val="704EE4C6"/>
    <w:rsid w:val="70573A63"/>
    <w:rsid w:val="706492D6"/>
    <w:rsid w:val="7070A2F1"/>
    <w:rsid w:val="7077532C"/>
    <w:rsid w:val="70822681"/>
    <w:rsid w:val="70C35058"/>
    <w:rsid w:val="70FC963D"/>
    <w:rsid w:val="70FED7C9"/>
    <w:rsid w:val="710044EB"/>
    <w:rsid w:val="71148DCA"/>
    <w:rsid w:val="712BAA6B"/>
    <w:rsid w:val="714B8C7B"/>
    <w:rsid w:val="7188E82D"/>
    <w:rsid w:val="719A5A65"/>
    <w:rsid w:val="719FA99D"/>
    <w:rsid w:val="71B7CB9A"/>
    <w:rsid w:val="71CD91B6"/>
    <w:rsid w:val="71CE89ED"/>
    <w:rsid w:val="71D61D05"/>
    <w:rsid w:val="71F3888B"/>
    <w:rsid w:val="71FA8F38"/>
    <w:rsid w:val="720B09B3"/>
    <w:rsid w:val="7221A176"/>
    <w:rsid w:val="72249D19"/>
    <w:rsid w:val="72392D33"/>
    <w:rsid w:val="7240B748"/>
    <w:rsid w:val="7241AFBD"/>
    <w:rsid w:val="7249A22C"/>
    <w:rsid w:val="726A42E4"/>
    <w:rsid w:val="728BA053"/>
    <w:rsid w:val="72D0C72C"/>
    <w:rsid w:val="72E09520"/>
    <w:rsid w:val="731A3DD8"/>
    <w:rsid w:val="733448A9"/>
    <w:rsid w:val="73553DC4"/>
    <w:rsid w:val="737775C0"/>
    <w:rsid w:val="73784379"/>
    <w:rsid w:val="7380230E"/>
    <w:rsid w:val="738062D5"/>
    <w:rsid w:val="73AAF7B7"/>
    <w:rsid w:val="73BB8218"/>
    <w:rsid w:val="73CF76E0"/>
    <w:rsid w:val="73D57621"/>
    <w:rsid w:val="73E279C5"/>
    <w:rsid w:val="747EA54B"/>
    <w:rsid w:val="7492DCD0"/>
    <w:rsid w:val="74B8526E"/>
    <w:rsid w:val="74EAAA40"/>
    <w:rsid w:val="74EBB997"/>
    <w:rsid w:val="74FF1BD2"/>
    <w:rsid w:val="7519E02B"/>
    <w:rsid w:val="755738FD"/>
    <w:rsid w:val="75719BAE"/>
    <w:rsid w:val="7583E9D8"/>
    <w:rsid w:val="758B8AAD"/>
    <w:rsid w:val="758EBF79"/>
    <w:rsid w:val="75A58A62"/>
    <w:rsid w:val="75AB14D7"/>
    <w:rsid w:val="75E261F5"/>
    <w:rsid w:val="75F05BB2"/>
    <w:rsid w:val="76131EDA"/>
    <w:rsid w:val="76200210"/>
    <w:rsid w:val="762E4950"/>
    <w:rsid w:val="763E8679"/>
    <w:rsid w:val="764B156C"/>
    <w:rsid w:val="766CB3B4"/>
    <w:rsid w:val="769F3301"/>
    <w:rsid w:val="76A54FF2"/>
    <w:rsid w:val="76B13821"/>
    <w:rsid w:val="76C54BB0"/>
    <w:rsid w:val="76C6DC40"/>
    <w:rsid w:val="76D4594F"/>
    <w:rsid w:val="76FB72E5"/>
    <w:rsid w:val="770C3DE5"/>
    <w:rsid w:val="7772258F"/>
    <w:rsid w:val="77944B6F"/>
    <w:rsid w:val="7797AA8F"/>
    <w:rsid w:val="77CE437B"/>
    <w:rsid w:val="77DCD8CB"/>
    <w:rsid w:val="77DCF618"/>
    <w:rsid w:val="77F96BFA"/>
    <w:rsid w:val="7848CE57"/>
    <w:rsid w:val="785289DA"/>
    <w:rsid w:val="786C65B8"/>
    <w:rsid w:val="78803A02"/>
    <w:rsid w:val="788AE91E"/>
    <w:rsid w:val="78C450CD"/>
    <w:rsid w:val="78E3FE8D"/>
    <w:rsid w:val="7914B2A8"/>
    <w:rsid w:val="793130B3"/>
    <w:rsid w:val="796E0055"/>
    <w:rsid w:val="79A15D33"/>
    <w:rsid w:val="7A1939D4"/>
    <w:rsid w:val="7A44B7A5"/>
    <w:rsid w:val="7A792E56"/>
    <w:rsid w:val="7A901170"/>
    <w:rsid w:val="7A94544A"/>
    <w:rsid w:val="7ACD6AEF"/>
    <w:rsid w:val="7ADC8B6D"/>
    <w:rsid w:val="7AE9393E"/>
    <w:rsid w:val="7AF53BB1"/>
    <w:rsid w:val="7B09A919"/>
    <w:rsid w:val="7B411EBB"/>
    <w:rsid w:val="7B5CB0D0"/>
    <w:rsid w:val="7B5FFF6E"/>
    <w:rsid w:val="7B740F58"/>
    <w:rsid w:val="7B749EDC"/>
    <w:rsid w:val="7B796DD3"/>
    <w:rsid w:val="7BAA9164"/>
    <w:rsid w:val="7BECF432"/>
    <w:rsid w:val="7BFD60D8"/>
    <w:rsid w:val="7C017D99"/>
    <w:rsid w:val="7C03E98F"/>
    <w:rsid w:val="7C1B2414"/>
    <w:rsid w:val="7C75462C"/>
    <w:rsid w:val="7CA4F06C"/>
    <w:rsid w:val="7CE8D681"/>
    <w:rsid w:val="7CEA0C61"/>
    <w:rsid w:val="7CEB0500"/>
    <w:rsid w:val="7D04E81D"/>
    <w:rsid w:val="7D37F067"/>
    <w:rsid w:val="7D3B3AEC"/>
    <w:rsid w:val="7D442342"/>
    <w:rsid w:val="7D6AC123"/>
    <w:rsid w:val="7D7A4452"/>
    <w:rsid w:val="7D90E75F"/>
    <w:rsid w:val="7DB18E92"/>
    <w:rsid w:val="7DCCF139"/>
    <w:rsid w:val="7DCF855A"/>
    <w:rsid w:val="7DD2A8AE"/>
    <w:rsid w:val="7E1DB074"/>
    <w:rsid w:val="7E2FA370"/>
    <w:rsid w:val="7E38F49D"/>
    <w:rsid w:val="7E50BD2A"/>
    <w:rsid w:val="7E55E886"/>
    <w:rsid w:val="7E5F3144"/>
    <w:rsid w:val="7E66AFA2"/>
    <w:rsid w:val="7E749A00"/>
    <w:rsid w:val="7E78E99F"/>
    <w:rsid w:val="7E84E7FB"/>
    <w:rsid w:val="7E8CF42C"/>
    <w:rsid w:val="7E99F276"/>
    <w:rsid w:val="7ED899D7"/>
    <w:rsid w:val="7F083F3C"/>
    <w:rsid w:val="7F2880D9"/>
    <w:rsid w:val="7F29A1D7"/>
    <w:rsid w:val="7F3275CC"/>
    <w:rsid w:val="7F779AA9"/>
    <w:rsid w:val="7F789BAB"/>
    <w:rsid w:val="7FB3E2D9"/>
    <w:rsid w:val="7FF1F7B2"/>
    <w:rsid w:val="7FF229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F510D"/>
  <w15:chartTrackingRefBased/>
  <w15:docId w15:val="{2C0E7AF1-FFEE-410F-A2BD-6549BDAD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E67"/>
    <w:pPr>
      <w:spacing w:before="120" w:after="0" w:line="254" w:lineRule="auto"/>
    </w:pPr>
    <w:rPr>
      <w:rFonts w:ascii="Work Sans" w:hAnsi="Work Sans"/>
      <w:sz w:val="20"/>
    </w:rPr>
  </w:style>
  <w:style w:type="paragraph" w:styleId="Heading1">
    <w:name w:val="heading 1"/>
    <w:basedOn w:val="Normal"/>
    <w:next w:val="Normal"/>
    <w:link w:val="Heading1Char"/>
    <w:uiPriority w:val="9"/>
    <w:qFormat/>
    <w:rsid w:val="00F13451"/>
    <w:pPr>
      <w:spacing w:before="360" w:after="200" w:line="276" w:lineRule="auto"/>
      <w:outlineLvl w:val="0"/>
    </w:pPr>
    <w:rPr>
      <w:rFonts w:eastAsia="Times New Roman" w:cs="Open Sans"/>
      <w:b/>
      <w:bCs/>
      <w:color w:val="006991"/>
      <w:sz w:val="40"/>
      <w:szCs w:val="40"/>
    </w:rPr>
  </w:style>
  <w:style w:type="paragraph" w:styleId="Heading2">
    <w:name w:val="heading 2"/>
    <w:basedOn w:val="Normal"/>
    <w:next w:val="Normal"/>
    <w:link w:val="Heading2Char"/>
    <w:uiPriority w:val="9"/>
    <w:unhideWhenUsed/>
    <w:qFormat/>
    <w:rsid w:val="00F13451"/>
    <w:pPr>
      <w:spacing w:before="360" w:after="200" w:line="276" w:lineRule="auto"/>
      <w:outlineLvl w:val="1"/>
    </w:pPr>
    <w:rPr>
      <w:rFonts w:eastAsia="Times New Roman" w:cs="Open Sans"/>
      <w:b/>
      <w:bCs/>
      <w:color w:val="006991"/>
      <w:sz w:val="36"/>
      <w:szCs w:val="36"/>
    </w:rPr>
  </w:style>
  <w:style w:type="paragraph" w:styleId="Heading3">
    <w:name w:val="heading 3"/>
    <w:aliases w:val="CGC 2025 Heading 3"/>
    <w:basedOn w:val="Normal"/>
    <w:next w:val="Normal"/>
    <w:link w:val="Heading3Char"/>
    <w:uiPriority w:val="9"/>
    <w:unhideWhenUsed/>
    <w:qFormat/>
    <w:rsid w:val="00964896"/>
    <w:pPr>
      <w:spacing w:before="240" w:after="200" w:line="276" w:lineRule="auto"/>
      <w:outlineLvl w:val="2"/>
    </w:pPr>
    <w:rPr>
      <w:rFonts w:eastAsia="Times New Roman" w:cs="Open Sans"/>
      <w:b/>
      <w:bCs/>
      <w:color w:val="006991"/>
      <w:sz w:val="28"/>
      <w:szCs w:val="28"/>
    </w:rPr>
  </w:style>
  <w:style w:type="paragraph" w:styleId="Heading4">
    <w:name w:val="heading 4"/>
    <w:basedOn w:val="Normal"/>
    <w:next w:val="Normal"/>
    <w:link w:val="Heading4Char"/>
    <w:uiPriority w:val="9"/>
    <w:unhideWhenUsed/>
    <w:qFormat/>
    <w:rsid w:val="008D5EAE"/>
    <w:pPr>
      <w:keepNext/>
      <w:keepLines/>
      <w:spacing w:before="240" w:line="240" w:lineRule="auto"/>
      <w:outlineLvl w:val="3"/>
    </w:pPr>
    <w:rPr>
      <w:rFonts w:ascii="Work Sans Bold" w:eastAsiaTheme="majorEastAsia" w:hAnsi="Work Sans Bold" w:cstheme="majorBidi"/>
      <w:b/>
      <w:iCs/>
      <w:color w:val="006991"/>
      <w:sz w:val="24"/>
    </w:rPr>
  </w:style>
  <w:style w:type="paragraph" w:styleId="Heading5">
    <w:name w:val="heading 5"/>
    <w:basedOn w:val="Normal"/>
    <w:next w:val="Normal"/>
    <w:link w:val="Heading5Char"/>
    <w:uiPriority w:val="9"/>
    <w:unhideWhenUsed/>
    <w:qFormat/>
    <w:rsid w:val="00722A81"/>
    <w:pPr>
      <w:keepNext/>
      <w:keepLines/>
      <w:outlineLvl w:val="4"/>
    </w:pPr>
    <w:rPr>
      <w:rFonts w:ascii="Work Sans Bold" w:eastAsiaTheme="majorEastAsia" w:hAnsi="Work Sans Bold" w:cstheme="majorBidi"/>
      <w:b/>
      <w:color w:val="636466"/>
      <w:sz w:val="22"/>
    </w:rPr>
  </w:style>
  <w:style w:type="paragraph" w:styleId="Heading6">
    <w:name w:val="heading 6"/>
    <w:basedOn w:val="Normal"/>
    <w:next w:val="Normal"/>
    <w:link w:val="Heading6Char"/>
    <w:uiPriority w:val="9"/>
    <w:unhideWhenUsed/>
    <w:qFormat/>
    <w:rsid w:val="00F30539"/>
    <w:pPr>
      <w:keepNext/>
      <w:keepLines/>
      <w:outlineLvl w:val="5"/>
    </w:pPr>
    <w:rPr>
      <w:rFonts w:eastAsiaTheme="majorEastAsia" w:cstheme="majorBidi"/>
      <w:i/>
      <w:color w:val="636466"/>
      <w:sz w:val="22"/>
    </w:rPr>
  </w:style>
  <w:style w:type="paragraph" w:styleId="Heading7">
    <w:name w:val="heading 7"/>
    <w:basedOn w:val="Normal"/>
    <w:next w:val="Normal"/>
    <w:link w:val="Heading7Char"/>
    <w:uiPriority w:val="9"/>
    <w:unhideWhenUsed/>
    <w:qFormat/>
    <w:rsid w:val="00A14A1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841"/>
    <w:pPr>
      <w:tabs>
        <w:tab w:val="center" w:pos="4513"/>
        <w:tab w:val="right" w:pos="9026"/>
      </w:tabs>
      <w:spacing w:line="240" w:lineRule="auto"/>
    </w:pPr>
  </w:style>
  <w:style w:type="character" w:customStyle="1" w:styleId="HeaderChar">
    <w:name w:val="Header Char"/>
    <w:basedOn w:val="DefaultParagraphFont"/>
    <w:link w:val="Header"/>
    <w:uiPriority w:val="99"/>
    <w:rsid w:val="00CF2841"/>
  </w:style>
  <w:style w:type="paragraph" w:styleId="Footer">
    <w:name w:val="footer"/>
    <w:basedOn w:val="Normal"/>
    <w:link w:val="FooterChar"/>
    <w:uiPriority w:val="99"/>
    <w:unhideWhenUsed/>
    <w:rsid w:val="00CF2841"/>
    <w:pPr>
      <w:tabs>
        <w:tab w:val="center" w:pos="4513"/>
        <w:tab w:val="right" w:pos="9026"/>
      </w:tabs>
      <w:spacing w:line="240" w:lineRule="auto"/>
    </w:pPr>
  </w:style>
  <w:style w:type="character" w:customStyle="1" w:styleId="FooterChar">
    <w:name w:val="Footer Char"/>
    <w:basedOn w:val="DefaultParagraphFont"/>
    <w:link w:val="Footer"/>
    <w:uiPriority w:val="99"/>
    <w:rsid w:val="00CF2841"/>
  </w:style>
  <w:style w:type="character" w:customStyle="1" w:styleId="Heading1Char">
    <w:name w:val="Heading 1 Char"/>
    <w:basedOn w:val="DefaultParagraphFont"/>
    <w:link w:val="Heading1"/>
    <w:uiPriority w:val="9"/>
    <w:rsid w:val="00F13451"/>
    <w:rPr>
      <w:rFonts w:ascii="Work Sans" w:eastAsia="Times New Roman" w:hAnsi="Work Sans" w:cs="Open Sans"/>
      <w:b/>
      <w:bCs/>
      <w:color w:val="006991"/>
      <w:sz w:val="40"/>
      <w:szCs w:val="40"/>
    </w:rPr>
  </w:style>
  <w:style w:type="character" w:customStyle="1" w:styleId="Heading2Char">
    <w:name w:val="Heading 2 Char"/>
    <w:basedOn w:val="DefaultParagraphFont"/>
    <w:link w:val="Heading2"/>
    <w:uiPriority w:val="9"/>
    <w:rsid w:val="00F13451"/>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F13451"/>
    <w:rPr>
      <w:rFonts w:ascii="Work Sans" w:eastAsia="Times New Roman" w:hAnsi="Work Sans" w:cs="Open Sans"/>
      <w:b/>
      <w:bCs/>
      <w:color w:val="006991"/>
      <w:sz w:val="28"/>
      <w:szCs w:val="28"/>
    </w:rPr>
  </w:style>
  <w:style w:type="table" w:styleId="TableGrid">
    <w:name w:val="Table Grid"/>
    <w:basedOn w:val="TableNormal"/>
    <w:uiPriority w:val="39"/>
    <w:rsid w:val="00D60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EA76C1"/>
    <w:pPr>
      <w:keepNext/>
      <w:keepLines/>
      <w:tabs>
        <w:tab w:val="left" w:pos="1134"/>
        <w:tab w:val="left" w:pos="1418"/>
      </w:tabs>
      <w:spacing w:before="240" w:after="120" w:line="240" w:lineRule="auto"/>
      <w:ind w:left="1134" w:hanging="1134"/>
    </w:pPr>
    <w:rPr>
      <w:rFonts w:ascii="Work Sans Bold" w:eastAsia="Calibri" w:hAnsi="Work Sans Bold" w:cs="Times New Roman"/>
      <w:b/>
      <w:szCs w:val="20"/>
    </w:rPr>
  </w:style>
  <w:style w:type="character" w:customStyle="1" w:styleId="CaptionChar">
    <w:name w:val="Caption Char"/>
    <w:basedOn w:val="DefaultParagraphFont"/>
    <w:link w:val="Caption"/>
    <w:rsid w:val="00EA76C1"/>
    <w:rPr>
      <w:rFonts w:ascii="Work Sans Bold" w:eastAsia="Calibri" w:hAnsi="Work Sans Bold" w:cs="Times New Roman"/>
      <w:b/>
      <w:sz w:val="20"/>
      <w:szCs w:val="20"/>
    </w:rPr>
  </w:style>
  <w:style w:type="paragraph" w:styleId="FootnoteText">
    <w:name w:val="footnote text"/>
    <w:basedOn w:val="Normal"/>
    <w:link w:val="FootnoteTextChar"/>
    <w:uiPriority w:val="99"/>
    <w:unhideWhenUsed/>
    <w:qFormat/>
    <w:rsid w:val="00FB6FAD"/>
    <w:pPr>
      <w:spacing w:line="240" w:lineRule="auto"/>
    </w:pPr>
    <w:rPr>
      <w:szCs w:val="20"/>
    </w:rPr>
  </w:style>
  <w:style w:type="character" w:customStyle="1" w:styleId="FootnoteTextChar">
    <w:name w:val="Footnote Text Char"/>
    <w:basedOn w:val="DefaultParagraphFont"/>
    <w:link w:val="FootnoteText"/>
    <w:uiPriority w:val="99"/>
    <w:rsid w:val="00FB6FAD"/>
    <w:rPr>
      <w:sz w:val="20"/>
      <w:szCs w:val="20"/>
    </w:rPr>
  </w:style>
  <w:style w:type="character" w:styleId="FootnoteReference">
    <w:name w:val="footnote reference"/>
    <w:unhideWhenUsed/>
    <w:qFormat/>
    <w:rsid w:val="008107A3"/>
    <w:rPr>
      <w:rFonts w:ascii="Work Sans" w:hAnsi="Work Sans"/>
      <w:sz w:val="20"/>
      <w:szCs w:val="16"/>
      <w:vertAlign w:val="superscript"/>
    </w:rPr>
  </w:style>
  <w:style w:type="paragraph" w:styleId="ListParagraph">
    <w:name w:val="List Paragraph"/>
    <w:basedOn w:val="Normal"/>
    <w:link w:val="ListParagraphChar"/>
    <w:uiPriority w:val="34"/>
    <w:qFormat/>
    <w:rsid w:val="00F13451"/>
    <w:pPr>
      <w:numPr>
        <w:numId w:val="1"/>
      </w:numPr>
      <w:tabs>
        <w:tab w:val="left" w:pos="567"/>
      </w:tabs>
      <w:spacing w:before="240" w:line="300" w:lineRule="atLeast"/>
      <w:jc w:val="both"/>
    </w:pPr>
    <w:rPr>
      <w:rFonts w:eastAsia="Times New Roman" w:cs="Times New Roman"/>
      <w:sz w:val="24"/>
      <w:szCs w:val="24"/>
      <w:lang w:eastAsia="en-AU"/>
    </w:rPr>
  </w:style>
  <w:style w:type="character" w:styleId="CommentReference">
    <w:name w:val="annotation reference"/>
    <w:basedOn w:val="DefaultParagraphFont"/>
    <w:uiPriority w:val="99"/>
    <w:semiHidden/>
    <w:unhideWhenUsed/>
    <w:rsid w:val="00700D8A"/>
    <w:rPr>
      <w:sz w:val="16"/>
      <w:szCs w:val="16"/>
    </w:rPr>
  </w:style>
  <w:style w:type="paragraph" w:styleId="CommentText">
    <w:name w:val="annotation text"/>
    <w:basedOn w:val="Normal"/>
    <w:link w:val="CommentTextChar"/>
    <w:uiPriority w:val="99"/>
    <w:unhideWhenUsed/>
    <w:rsid w:val="00700D8A"/>
    <w:pPr>
      <w:spacing w:line="240" w:lineRule="auto"/>
    </w:pPr>
    <w:rPr>
      <w:szCs w:val="20"/>
    </w:rPr>
  </w:style>
  <w:style w:type="character" w:customStyle="1" w:styleId="CommentTextChar">
    <w:name w:val="Comment Text Char"/>
    <w:basedOn w:val="DefaultParagraphFont"/>
    <w:link w:val="CommentText"/>
    <w:uiPriority w:val="99"/>
    <w:rsid w:val="00700D8A"/>
    <w:rPr>
      <w:sz w:val="20"/>
      <w:szCs w:val="20"/>
    </w:rPr>
  </w:style>
  <w:style w:type="paragraph" w:styleId="CommentSubject">
    <w:name w:val="annotation subject"/>
    <w:basedOn w:val="CommentText"/>
    <w:next w:val="CommentText"/>
    <w:link w:val="CommentSubjectChar"/>
    <w:uiPriority w:val="99"/>
    <w:semiHidden/>
    <w:unhideWhenUsed/>
    <w:rsid w:val="00700D8A"/>
    <w:rPr>
      <w:b/>
      <w:bCs/>
    </w:rPr>
  </w:style>
  <w:style w:type="character" w:customStyle="1" w:styleId="CommentSubjectChar">
    <w:name w:val="Comment Subject Char"/>
    <w:basedOn w:val="CommentTextChar"/>
    <w:link w:val="CommentSubject"/>
    <w:uiPriority w:val="99"/>
    <w:semiHidden/>
    <w:rsid w:val="00700D8A"/>
    <w:rPr>
      <w:b/>
      <w:bCs/>
      <w:sz w:val="20"/>
      <w:szCs w:val="20"/>
    </w:rPr>
  </w:style>
  <w:style w:type="character" w:styleId="Hyperlink">
    <w:name w:val="Hyperlink"/>
    <w:basedOn w:val="DefaultParagraphFont"/>
    <w:uiPriority w:val="99"/>
    <w:unhideWhenUsed/>
    <w:qFormat/>
    <w:rsid w:val="009C7631"/>
    <w:rPr>
      <w:color w:val="0563C1" w:themeColor="hyperlink"/>
      <w:u w:val="single"/>
    </w:rPr>
  </w:style>
  <w:style w:type="character" w:styleId="UnresolvedMention">
    <w:name w:val="Unresolved Mention"/>
    <w:basedOn w:val="DefaultParagraphFont"/>
    <w:uiPriority w:val="99"/>
    <w:semiHidden/>
    <w:unhideWhenUsed/>
    <w:rsid w:val="009C7631"/>
    <w:rPr>
      <w:color w:val="605E5C"/>
      <w:shd w:val="clear" w:color="auto" w:fill="E1DFDD"/>
    </w:rPr>
  </w:style>
  <w:style w:type="character" w:styleId="FollowedHyperlink">
    <w:name w:val="FollowedHyperlink"/>
    <w:basedOn w:val="DefaultParagraphFont"/>
    <w:uiPriority w:val="99"/>
    <w:semiHidden/>
    <w:unhideWhenUsed/>
    <w:rsid w:val="00891BAA"/>
    <w:rPr>
      <w:color w:val="954F72" w:themeColor="followedHyperlink"/>
      <w:u w:val="single"/>
    </w:rPr>
  </w:style>
  <w:style w:type="table" w:customStyle="1" w:styleId="TableGrid1">
    <w:name w:val="Table Grid1"/>
    <w:basedOn w:val="TableNormal"/>
    <w:next w:val="TableGrid"/>
    <w:uiPriority w:val="39"/>
    <w:rsid w:val="00873C95"/>
    <w:pPr>
      <w:tabs>
        <w:tab w:val="left" w:pos="1418"/>
        <w:tab w:val="left" w:pos="2268"/>
        <w:tab w:val="left" w:pos="2835"/>
      </w:tab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link w:val="TablenoteChar"/>
    <w:qFormat/>
    <w:rsid w:val="00EA76C1"/>
    <w:pPr>
      <w:tabs>
        <w:tab w:val="left" w:pos="567"/>
        <w:tab w:val="left" w:pos="680"/>
      </w:tabs>
      <w:spacing w:before="40" w:line="240" w:lineRule="auto"/>
      <w:ind w:left="340" w:hanging="227"/>
    </w:pPr>
    <w:rPr>
      <w:rFonts w:eastAsia="Calibri" w:cs="Times New Roman"/>
      <w:sz w:val="14"/>
    </w:rPr>
  </w:style>
  <w:style w:type="paragraph" w:customStyle="1" w:styleId="CGCTablenote">
    <w:name w:val="CGC Table note"/>
    <w:basedOn w:val="Normal"/>
    <w:next w:val="Normal"/>
    <w:link w:val="CGCTablenoteChar"/>
    <w:qFormat/>
    <w:rsid w:val="002A718F"/>
    <w:pPr>
      <w:tabs>
        <w:tab w:val="left" w:pos="567"/>
        <w:tab w:val="left" w:pos="680"/>
      </w:tabs>
      <w:spacing w:before="40" w:line="240" w:lineRule="auto"/>
      <w:ind w:left="340" w:hanging="227"/>
    </w:pPr>
    <w:rPr>
      <w:rFonts w:ascii="Open Sans Light" w:hAnsi="Open Sans Light"/>
      <w:sz w:val="14"/>
    </w:rPr>
  </w:style>
  <w:style w:type="character" w:customStyle="1" w:styleId="TablenoteChar">
    <w:name w:val="Table note Char"/>
    <w:basedOn w:val="DefaultParagraphFont"/>
    <w:link w:val="Tablenote"/>
    <w:rsid w:val="00EA76C1"/>
    <w:rPr>
      <w:rFonts w:ascii="Work Sans" w:eastAsia="Calibri" w:hAnsi="Work Sans" w:cs="Times New Roman"/>
      <w:sz w:val="14"/>
    </w:rPr>
  </w:style>
  <w:style w:type="paragraph" w:customStyle="1" w:styleId="Bulletpoint">
    <w:name w:val="Bullet point"/>
    <w:basedOn w:val="ListParagraph"/>
    <w:link w:val="BulletpointChar"/>
    <w:qFormat/>
    <w:rsid w:val="00652345"/>
    <w:pPr>
      <w:spacing w:before="60" w:line="247" w:lineRule="auto"/>
      <w:ind w:left="1077" w:hanging="357"/>
      <w:jc w:val="left"/>
    </w:pPr>
    <w:rPr>
      <w:sz w:val="20"/>
      <w:szCs w:val="20"/>
    </w:rPr>
  </w:style>
  <w:style w:type="character" w:customStyle="1" w:styleId="ListParagraphChar">
    <w:name w:val="List Paragraph Char"/>
    <w:basedOn w:val="DefaultParagraphFont"/>
    <w:link w:val="ListParagraph"/>
    <w:uiPriority w:val="34"/>
    <w:rsid w:val="002A718F"/>
    <w:rPr>
      <w:rFonts w:ascii="Work Sans" w:eastAsia="Times New Roman" w:hAnsi="Work Sans" w:cs="Times New Roman"/>
      <w:sz w:val="24"/>
      <w:szCs w:val="24"/>
      <w:lang w:eastAsia="en-AU"/>
    </w:rPr>
  </w:style>
  <w:style w:type="character" w:customStyle="1" w:styleId="BulletpointChar">
    <w:name w:val="Bullet point Char"/>
    <w:basedOn w:val="ListParagraphChar"/>
    <w:link w:val="Bulletpoint"/>
    <w:rsid w:val="002064E9"/>
    <w:rPr>
      <w:rFonts w:ascii="Work Sans" w:eastAsia="Times New Roman" w:hAnsi="Work Sans" w:cs="Times New Roman"/>
      <w:sz w:val="20"/>
      <w:szCs w:val="20"/>
      <w:lang w:eastAsia="en-AU"/>
    </w:rPr>
  </w:style>
  <w:style w:type="paragraph" w:customStyle="1" w:styleId="CGCParaNumber">
    <w:name w:val="CGC Para Number"/>
    <w:basedOn w:val="Normal"/>
    <w:link w:val="CGCParaNumberChar"/>
    <w:qFormat/>
    <w:rsid w:val="00BE3BC9"/>
    <w:pPr>
      <w:numPr>
        <w:numId w:val="22"/>
      </w:numPr>
      <w:tabs>
        <w:tab w:val="left" w:pos="567"/>
      </w:tabs>
    </w:pPr>
    <w:rPr>
      <w:szCs w:val="20"/>
    </w:rPr>
  </w:style>
  <w:style w:type="character" w:customStyle="1" w:styleId="Heading4Char">
    <w:name w:val="Heading 4 Char"/>
    <w:basedOn w:val="DefaultParagraphFont"/>
    <w:link w:val="Heading4"/>
    <w:uiPriority w:val="9"/>
    <w:rsid w:val="008D5EAE"/>
    <w:rPr>
      <w:rFonts w:ascii="Work Sans Bold" w:eastAsiaTheme="majorEastAsia" w:hAnsi="Work Sans Bold" w:cstheme="majorBidi"/>
      <w:b/>
      <w:iCs/>
      <w:color w:val="006991"/>
      <w:sz w:val="24"/>
    </w:rPr>
  </w:style>
  <w:style w:type="character" w:customStyle="1" w:styleId="Heading5Char">
    <w:name w:val="Heading 5 Char"/>
    <w:basedOn w:val="DefaultParagraphFont"/>
    <w:link w:val="Heading5"/>
    <w:uiPriority w:val="9"/>
    <w:rsid w:val="0064276D"/>
    <w:rPr>
      <w:rFonts w:ascii="Work Sans Bold" w:eastAsiaTheme="majorEastAsia" w:hAnsi="Work Sans Bold" w:cstheme="majorBidi"/>
      <w:b/>
      <w:color w:val="636466"/>
    </w:rPr>
  </w:style>
  <w:style w:type="paragraph" w:styleId="NormalWeb">
    <w:name w:val="Normal (Web)"/>
    <w:basedOn w:val="Normal"/>
    <w:uiPriority w:val="99"/>
    <w:semiHidden/>
    <w:unhideWhenUsed/>
    <w:rsid w:val="00974D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E37B7"/>
  </w:style>
  <w:style w:type="character" w:customStyle="1" w:styleId="eop">
    <w:name w:val="eop"/>
    <w:basedOn w:val="DefaultParagraphFont"/>
    <w:rsid w:val="00F008F0"/>
  </w:style>
  <w:style w:type="paragraph" w:customStyle="1" w:styleId="paragraph">
    <w:name w:val="paragraph"/>
    <w:basedOn w:val="Normal"/>
    <w:rsid w:val="002401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uiPriority w:val="9"/>
    <w:rsid w:val="00105164"/>
    <w:rPr>
      <w:rFonts w:ascii="Work Sans" w:eastAsiaTheme="majorEastAsia" w:hAnsi="Work Sans" w:cstheme="majorBidi"/>
      <w:i/>
      <w:color w:val="636466"/>
    </w:rPr>
  </w:style>
  <w:style w:type="paragraph" w:styleId="NoSpacing">
    <w:name w:val="No Spacing"/>
    <w:uiPriority w:val="1"/>
    <w:qFormat/>
    <w:rsid w:val="00423C22"/>
    <w:pPr>
      <w:spacing w:after="0" w:line="240" w:lineRule="auto"/>
    </w:pPr>
    <w:rPr>
      <w:rFonts w:ascii="Work Sans" w:hAnsi="Work Sans"/>
      <w:sz w:val="20"/>
    </w:rPr>
  </w:style>
  <w:style w:type="paragraph" w:styleId="Revision">
    <w:name w:val="Revision"/>
    <w:hidden/>
    <w:uiPriority w:val="99"/>
    <w:semiHidden/>
    <w:rsid w:val="00460E57"/>
    <w:pPr>
      <w:spacing w:after="0" w:line="240" w:lineRule="auto"/>
    </w:pPr>
    <w:rPr>
      <w:rFonts w:ascii="Work Sans" w:hAnsi="Work Sans"/>
      <w:sz w:val="20"/>
    </w:rPr>
  </w:style>
  <w:style w:type="character" w:styleId="Mention">
    <w:name w:val="Mention"/>
    <w:basedOn w:val="DefaultParagraphFont"/>
    <w:uiPriority w:val="99"/>
    <w:unhideWhenUsed/>
    <w:rsid w:val="00E7290C"/>
    <w:rPr>
      <w:color w:val="2B579A"/>
      <w:shd w:val="clear" w:color="auto" w:fill="E1DFDD"/>
    </w:rPr>
  </w:style>
  <w:style w:type="character" w:customStyle="1" w:styleId="ui-provider">
    <w:name w:val="ui-provider"/>
    <w:basedOn w:val="DefaultParagraphFont"/>
    <w:rsid w:val="00905B0B"/>
  </w:style>
  <w:style w:type="character" w:customStyle="1" w:styleId="Heading7Char">
    <w:name w:val="Heading 7 Char"/>
    <w:basedOn w:val="DefaultParagraphFont"/>
    <w:link w:val="Heading7"/>
    <w:uiPriority w:val="9"/>
    <w:rsid w:val="00A14A1E"/>
    <w:rPr>
      <w:rFonts w:asciiTheme="majorHAnsi" w:eastAsiaTheme="majorEastAsia" w:hAnsiTheme="majorHAnsi" w:cstheme="majorBidi"/>
      <w:i/>
      <w:iCs/>
      <w:color w:val="1F3763" w:themeColor="accent1" w:themeShade="7F"/>
      <w:sz w:val="20"/>
    </w:rPr>
  </w:style>
  <w:style w:type="character" w:customStyle="1" w:styleId="tabchar">
    <w:name w:val="tabchar"/>
    <w:basedOn w:val="DefaultParagraphFont"/>
    <w:rsid w:val="001E2AA4"/>
  </w:style>
  <w:style w:type="paragraph" w:customStyle="1" w:styleId="FootnoteText1">
    <w:name w:val="Footnote Text1"/>
    <w:basedOn w:val="Normal"/>
    <w:qFormat/>
    <w:rsid w:val="00820CA0"/>
    <w:pPr>
      <w:spacing w:before="40" w:line="240" w:lineRule="auto"/>
      <w:ind w:left="142" w:hanging="142"/>
    </w:pPr>
    <w:rPr>
      <w:sz w:val="14"/>
    </w:rPr>
  </w:style>
  <w:style w:type="paragraph" w:customStyle="1" w:styleId="pf0">
    <w:name w:val="pf0"/>
    <w:basedOn w:val="Normal"/>
    <w:rsid w:val="00E35BB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E35BB3"/>
    <w:rPr>
      <w:rFonts w:ascii="Segoe UI" w:hAnsi="Segoe UI" w:cs="Segoe UI" w:hint="default"/>
      <w:sz w:val="18"/>
      <w:szCs w:val="18"/>
    </w:rPr>
  </w:style>
  <w:style w:type="character" w:customStyle="1" w:styleId="cf11">
    <w:name w:val="cf11"/>
    <w:basedOn w:val="DefaultParagraphFont"/>
    <w:rsid w:val="00E35BB3"/>
    <w:rPr>
      <w:rFonts w:ascii="Segoe UI" w:hAnsi="Segoe UI" w:cs="Segoe UI" w:hint="default"/>
      <w:i/>
      <w:iCs/>
      <w:sz w:val="18"/>
      <w:szCs w:val="18"/>
    </w:rPr>
  </w:style>
  <w:style w:type="paragraph" w:customStyle="1" w:styleId="Bulletpointsublevel">
    <w:name w:val="Bullet point sub level"/>
    <w:basedOn w:val="Bulletpoint"/>
    <w:qFormat/>
    <w:rsid w:val="00076866"/>
    <w:pPr>
      <w:numPr>
        <w:numId w:val="3"/>
      </w:numPr>
      <w:spacing w:before="120"/>
      <w:ind w:left="1491" w:hanging="357"/>
    </w:pPr>
    <w:rPr>
      <w:rFonts w:eastAsiaTheme="minorHAnsi" w:cstheme="minorBidi"/>
      <w:szCs w:val="22"/>
      <w:lang w:eastAsia="en-US"/>
    </w:rPr>
  </w:style>
  <w:style w:type="paragraph" w:customStyle="1" w:styleId="CGCBullet1">
    <w:name w:val="CGC Bullet 1"/>
    <w:basedOn w:val="BodyText"/>
    <w:link w:val="CGCBullet1Char"/>
    <w:qFormat/>
    <w:rsid w:val="00DC1834"/>
    <w:pPr>
      <w:spacing w:after="0"/>
      <w:ind w:left="720" w:hanging="360"/>
    </w:pPr>
    <w:rPr>
      <w:rFonts w:eastAsia="Times New Roman" w:cs="Times New Roman"/>
      <w:szCs w:val="20"/>
      <w:lang w:eastAsia="en-AU"/>
    </w:rPr>
  </w:style>
  <w:style w:type="character" w:customStyle="1" w:styleId="CGCBullet1Char">
    <w:name w:val="CGC Bullet 1 Char"/>
    <w:basedOn w:val="BodyTextChar"/>
    <w:link w:val="CGCBullet1"/>
    <w:rsid w:val="000F0987"/>
    <w:rPr>
      <w:rFonts w:ascii="Work Sans" w:eastAsia="Times New Roman" w:hAnsi="Work Sans" w:cs="Times New Roman"/>
      <w:sz w:val="20"/>
      <w:szCs w:val="20"/>
      <w:lang w:eastAsia="en-AU"/>
    </w:rPr>
  </w:style>
  <w:style w:type="character" w:customStyle="1" w:styleId="CGCParaNumberChar">
    <w:name w:val="CGC Para Number Char"/>
    <w:basedOn w:val="DefaultParagraphFont"/>
    <w:link w:val="CGCParaNumber"/>
    <w:rsid w:val="00BE3BC9"/>
    <w:rPr>
      <w:rFonts w:ascii="Work Sans" w:hAnsi="Work Sans"/>
      <w:sz w:val="20"/>
      <w:szCs w:val="20"/>
    </w:rPr>
  </w:style>
  <w:style w:type="paragraph" w:styleId="BodyText">
    <w:name w:val="Body Text"/>
    <w:basedOn w:val="Normal"/>
    <w:link w:val="BodyTextChar"/>
    <w:uiPriority w:val="99"/>
    <w:semiHidden/>
    <w:unhideWhenUsed/>
    <w:rsid w:val="000F0987"/>
    <w:pPr>
      <w:spacing w:after="120"/>
    </w:pPr>
  </w:style>
  <w:style w:type="character" w:customStyle="1" w:styleId="BodyTextChar">
    <w:name w:val="Body Text Char"/>
    <w:basedOn w:val="DefaultParagraphFont"/>
    <w:link w:val="BodyText"/>
    <w:uiPriority w:val="99"/>
    <w:semiHidden/>
    <w:rsid w:val="000F0987"/>
    <w:rPr>
      <w:rFonts w:ascii="Work Sans" w:hAnsi="Work Sans"/>
      <w:sz w:val="20"/>
    </w:rPr>
  </w:style>
  <w:style w:type="character" w:customStyle="1" w:styleId="CGCTablenoteChar">
    <w:name w:val="CGC Table note Char"/>
    <w:basedOn w:val="DefaultParagraphFont"/>
    <w:link w:val="CGCTablenote"/>
    <w:rsid w:val="00991CD5"/>
    <w:rPr>
      <w:rFonts w:ascii="Open Sans Light" w:hAnsi="Open Sans Light"/>
      <w:sz w:val="14"/>
    </w:rPr>
  </w:style>
  <w:style w:type="paragraph" w:customStyle="1" w:styleId="Bullet">
    <w:name w:val="Bullet"/>
    <w:basedOn w:val="Normal"/>
    <w:link w:val="BulletChar"/>
    <w:rsid w:val="00C04E6D"/>
    <w:pPr>
      <w:ind w:left="927" w:hanging="360"/>
    </w:pPr>
    <w:rPr>
      <w:szCs w:val="20"/>
    </w:rPr>
  </w:style>
  <w:style w:type="character" w:customStyle="1" w:styleId="BulletChar">
    <w:name w:val="Bullet Char"/>
    <w:basedOn w:val="CGCParaNumberChar"/>
    <w:link w:val="Bullet"/>
    <w:rsid w:val="00C04E6D"/>
    <w:rPr>
      <w:rFonts w:ascii="Work Sans" w:hAnsi="Work Sans"/>
      <w:sz w:val="20"/>
      <w:szCs w:val="20"/>
    </w:rPr>
  </w:style>
  <w:style w:type="paragraph" w:customStyle="1" w:styleId="Dash">
    <w:name w:val="Dash"/>
    <w:basedOn w:val="Normal"/>
    <w:link w:val="DashChar"/>
    <w:rsid w:val="00C04E6D"/>
    <w:pPr>
      <w:numPr>
        <w:ilvl w:val="1"/>
        <w:numId w:val="4"/>
      </w:numPr>
    </w:pPr>
    <w:rPr>
      <w:szCs w:val="20"/>
    </w:rPr>
  </w:style>
  <w:style w:type="character" w:customStyle="1" w:styleId="DashChar">
    <w:name w:val="Dash Char"/>
    <w:basedOn w:val="CGCParaNumberChar"/>
    <w:link w:val="Dash"/>
    <w:rsid w:val="00C04E6D"/>
    <w:rPr>
      <w:rFonts w:ascii="Work Sans" w:hAnsi="Work Sans"/>
      <w:sz w:val="20"/>
      <w:szCs w:val="20"/>
    </w:rPr>
  </w:style>
  <w:style w:type="paragraph" w:customStyle="1" w:styleId="DoubleDot">
    <w:name w:val="Double Dot"/>
    <w:basedOn w:val="Normal"/>
    <w:link w:val="DoubleDotChar"/>
    <w:rsid w:val="00C04E6D"/>
    <w:pPr>
      <w:numPr>
        <w:ilvl w:val="2"/>
        <w:numId w:val="4"/>
      </w:numPr>
    </w:pPr>
    <w:rPr>
      <w:szCs w:val="20"/>
    </w:rPr>
  </w:style>
  <w:style w:type="character" w:customStyle="1" w:styleId="DoubleDotChar">
    <w:name w:val="Double Dot Char"/>
    <w:basedOn w:val="CGCParaNumberChar"/>
    <w:link w:val="DoubleDot"/>
    <w:rsid w:val="00C04E6D"/>
    <w:rPr>
      <w:rFonts w:ascii="Work Sans" w:hAnsi="Work Sans"/>
      <w:sz w:val="20"/>
      <w:szCs w:val="20"/>
    </w:rPr>
  </w:style>
  <w:style w:type="paragraph" w:customStyle="1" w:styleId="Tableheading">
    <w:name w:val="Table heading"/>
    <w:basedOn w:val="BodyText"/>
    <w:uiPriority w:val="99"/>
    <w:rsid w:val="00CF6BD6"/>
    <w:pPr>
      <w:spacing w:before="160" w:line="240" w:lineRule="auto"/>
      <w:jc w:val="both"/>
    </w:pPr>
    <w:rPr>
      <w:rFonts w:ascii="Work Sans SemiBold" w:eastAsia="Times New Roman" w:hAnsi="Work Sans SemiBold" w:cs="Times New Roman"/>
      <w:szCs w:val="20"/>
      <w:lang w:eastAsia="en-AU"/>
    </w:rPr>
  </w:style>
  <w:style w:type="paragraph" w:customStyle="1" w:styleId="OutlineNumbered1">
    <w:name w:val="Outline Numbered 1"/>
    <w:basedOn w:val="Normal"/>
    <w:link w:val="OutlineNumbered1Char"/>
    <w:rsid w:val="00820E67"/>
    <w:pPr>
      <w:numPr>
        <w:numId w:val="23"/>
      </w:numPr>
      <w:tabs>
        <w:tab w:val="left" w:pos="567"/>
      </w:tabs>
    </w:pPr>
    <w:rPr>
      <w:rFonts w:eastAsia="Calibri" w:cs="Arial"/>
      <w:szCs w:val="20"/>
    </w:rPr>
  </w:style>
  <w:style w:type="character" w:customStyle="1" w:styleId="OutlineNumbered1Char">
    <w:name w:val="Outline Numbered 1 Char"/>
    <w:basedOn w:val="DefaultParagraphFont"/>
    <w:link w:val="OutlineNumbered1"/>
    <w:rsid w:val="004B289E"/>
    <w:rPr>
      <w:rFonts w:ascii="Work Sans" w:eastAsia="Calibri" w:hAnsi="Work Sans" w:cs="Arial"/>
      <w:sz w:val="20"/>
      <w:szCs w:val="20"/>
    </w:rPr>
  </w:style>
  <w:style w:type="paragraph" w:customStyle="1" w:styleId="OutlineNumbered2">
    <w:name w:val="Outline Numbered 2"/>
    <w:basedOn w:val="Normal"/>
    <w:link w:val="OutlineNumbered2Char"/>
    <w:rsid w:val="004B289E"/>
    <w:pPr>
      <w:numPr>
        <w:ilvl w:val="1"/>
        <w:numId w:val="23"/>
      </w:numPr>
      <w:tabs>
        <w:tab w:val="left" w:pos="567"/>
      </w:tabs>
    </w:pPr>
  </w:style>
  <w:style w:type="character" w:customStyle="1" w:styleId="OutlineNumbered2Char">
    <w:name w:val="Outline Numbered 2 Char"/>
    <w:basedOn w:val="DefaultParagraphFont"/>
    <w:link w:val="OutlineNumbered2"/>
    <w:rsid w:val="004B289E"/>
    <w:rPr>
      <w:rFonts w:ascii="Work Sans" w:hAnsi="Work Sans"/>
      <w:sz w:val="20"/>
    </w:rPr>
  </w:style>
  <w:style w:type="paragraph" w:customStyle="1" w:styleId="OutlineNumbered3">
    <w:name w:val="Outline Numbered 3"/>
    <w:basedOn w:val="Normal"/>
    <w:link w:val="OutlineNumbered3Char"/>
    <w:rsid w:val="004B289E"/>
    <w:pPr>
      <w:numPr>
        <w:ilvl w:val="2"/>
        <w:numId w:val="23"/>
      </w:numPr>
      <w:tabs>
        <w:tab w:val="left" w:pos="567"/>
      </w:tabs>
    </w:pPr>
  </w:style>
  <w:style w:type="character" w:customStyle="1" w:styleId="OutlineNumbered3Char">
    <w:name w:val="Outline Numbered 3 Char"/>
    <w:basedOn w:val="DefaultParagraphFont"/>
    <w:link w:val="OutlineNumbered3"/>
    <w:rsid w:val="004B289E"/>
    <w:rPr>
      <w:rFonts w:ascii="Work Sans" w:hAnsi="Work Sans"/>
      <w:sz w:val="20"/>
    </w:rPr>
  </w:style>
  <w:style w:type="paragraph" w:customStyle="1" w:styleId="Bulletagendapaper">
    <w:name w:val="Bullet (agenda paper)"/>
    <w:basedOn w:val="CGCBullet1"/>
    <w:qFormat/>
    <w:rsid w:val="00DC1834"/>
    <w:pPr>
      <w:numPr>
        <w:numId w:val="4"/>
      </w:numPr>
      <w:tabs>
        <w:tab w:val="left" w:pos="567"/>
      </w:tabs>
    </w:pPr>
    <w:rPr>
      <w:rFonts w:eastAsiaTheme="minorHAnsi" w:cstheme="minorBidi"/>
      <w:lang w:eastAsia="en-US"/>
    </w:rPr>
  </w:style>
  <w:style w:type="paragraph" w:styleId="Quote">
    <w:name w:val="Quote"/>
    <w:basedOn w:val="Normal"/>
    <w:next w:val="Normal"/>
    <w:link w:val="QuoteChar"/>
    <w:uiPriority w:val="29"/>
    <w:qFormat/>
    <w:rsid w:val="00D9609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9609E"/>
    <w:rPr>
      <w:rFonts w:ascii="Work Sans" w:hAnsi="Work Sans"/>
      <w:i/>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7746">
      <w:bodyDiv w:val="1"/>
      <w:marLeft w:val="0"/>
      <w:marRight w:val="0"/>
      <w:marTop w:val="0"/>
      <w:marBottom w:val="0"/>
      <w:divBdr>
        <w:top w:val="none" w:sz="0" w:space="0" w:color="auto"/>
        <w:left w:val="none" w:sz="0" w:space="0" w:color="auto"/>
        <w:bottom w:val="none" w:sz="0" w:space="0" w:color="auto"/>
        <w:right w:val="none" w:sz="0" w:space="0" w:color="auto"/>
      </w:divBdr>
      <w:divsChild>
        <w:div w:id="126245284">
          <w:marLeft w:val="0"/>
          <w:marRight w:val="0"/>
          <w:marTop w:val="0"/>
          <w:marBottom w:val="0"/>
          <w:divBdr>
            <w:top w:val="none" w:sz="0" w:space="0" w:color="auto"/>
            <w:left w:val="none" w:sz="0" w:space="0" w:color="auto"/>
            <w:bottom w:val="none" w:sz="0" w:space="0" w:color="auto"/>
            <w:right w:val="none" w:sz="0" w:space="0" w:color="auto"/>
          </w:divBdr>
        </w:div>
        <w:div w:id="782306749">
          <w:marLeft w:val="0"/>
          <w:marRight w:val="0"/>
          <w:marTop w:val="0"/>
          <w:marBottom w:val="0"/>
          <w:divBdr>
            <w:top w:val="none" w:sz="0" w:space="0" w:color="auto"/>
            <w:left w:val="none" w:sz="0" w:space="0" w:color="auto"/>
            <w:bottom w:val="none" w:sz="0" w:space="0" w:color="auto"/>
            <w:right w:val="none" w:sz="0" w:space="0" w:color="auto"/>
          </w:divBdr>
        </w:div>
      </w:divsChild>
    </w:div>
    <w:div w:id="601259068">
      <w:bodyDiv w:val="1"/>
      <w:marLeft w:val="0"/>
      <w:marRight w:val="0"/>
      <w:marTop w:val="0"/>
      <w:marBottom w:val="0"/>
      <w:divBdr>
        <w:top w:val="none" w:sz="0" w:space="0" w:color="auto"/>
        <w:left w:val="none" w:sz="0" w:space="0" w:color="auto"/>
        <w:bottom w:val="none" w:sz="0" w:space="0" w:color="auto"/>
        <w:right w:val="none" w:sz="0" w:space="0" w:color="auto"/>
      </w:divBdr>
      <w:divsChild>
        <w:div w:id="3241041">
          <w:marLeft w:val="0"/>
          <w:marRight w:val="0"/>
          <w:marTop w:val="0"/>
          <w:marBottom w:val="0"/>
          <w:divBdr>
            <w:top w:val="none" w:sz="0" w:space="0" w:color="auto"/>
            <w:left w:val="none" w:sz="0" w:space="0" w:color="auto"/>
            <w:bottom w:val="none" w:sz="0" w:space="0" w:color="auto"/>
            <w:right w:val="none" w:sz="0" w:space="0" w:color="auto"/>
          </w:divBdr>
          <w:divsChild>
            <w:div w:id="1591114060">
              <w:marLeft w:val="0"/>
              <w:marRight w:val="0"/>
              <w:marTop w:val="0"/>
              <w:marBottom w:val="0"/>
              <w:divBdr>
                <w:top w:val="none" w:sz="0" w:space="0" w:color="auto"/>
                <w:left w:val="none" w:sz="0" w:space="0" w:color="auto"/>
                <w:bottom w:val="none" w:sz="0" w:space="0" w:color="auto"/>
                <w:right w:val="none" w:sz="0" w:space="0" w:color="auto"/>
              </w:divBdr>
            </w:div>
          </w:divsChild>
        </w:div>
        <w:div w:id="107894606">
          <w:marLeft w:val="0"/>
          <w:marRight w:val="0"/>
          <w:marTop w:val="0"/>
          <w:marBottom w:val="0"/>
          <w:divBdr>
            <w:top w:val="none" w:sz="0" w:space="0" w:color="auto"/>
            <w:left w:val="none" w:sz="0" w:space="0" w:color="auto"/>
            <w:bottom w:val="none" w:sz="0" w:space="0" w:color="auto"/>
            <w:right w:val="none" w:sz="0" w:space="0" w:color="auto"/>
          </w:divBdr>
          <w:divsChild>
            <w:div w:id="969288127">
              <w:marLeft w:val="0"/>
              <w:marRight w:val="0"/>
              <w:marTop w:val="0"/>
              <w:marBottom w:val="0"/>
              <w:divBdr>
                <w:top w:val="none" w:sz="0" w:space="0" w:color="auto"/>
                <w:left w:val="none" w:sz="0" w:space="0" w:color="auto"/>
                <w:bottom w:val="none" w:sz="0" w:space="0" w:color="auto"/>
                <w:right w:val="none" w:sz="0" w:space="0" w:color="auto"/>
              </w:divBdr>
            </w:div>
          </w:divsChild>
        </w:div>
        <w:div w:id="136534602">
          <w:marLeft w:val="0"/>
          <w:marRight w:val="0"/>
          <w:marTop w:val="0"/>
          <w:marBottom w:val="0"/>
          <w:divBdr>
            <w:top w:val="none" w:sz="0" w:space="0" w:color="auto"/>
            <w:left w:val="none" w:sz="0" w:space="0" w:color="auto"/>
            <w:bottom w:val="none" w:sz="0" w:space="0" w:color="auto"/>
            <w:right w:val="none" w:sz="0" w:space="0" w:color="auto"/>
          </w:divBdr>
          <w:divsChild>
            <w:div w:id="78912367">
              <w:marLeft w:val="0"/>
              <w:marRight w:val="0"/>
              <w:marTop w:val="0"/>
              <w:marBottom w:val="0"/>
              <w:divBdr>
                <w:top w:val="none" w:sz="0" w:space="0" w:color="auto"/>
                <w:left w:val="none" w:sz="0" w:space="0" w:color="auto"/>
                <w:bottom w:val="none" w:sz="0" w:space="0" w:color="auto"/>
                <w:right w:val="none" w:sz="0" w:space="0" w:color="auto"/>
              </w:divBdr>
            </w:div>
          </w:divsChild>
        </w:div>
        <w:div w:id="221840455">
          <w:marLeft w:val="0"/>
          <w:marRight w:val="0"/>
          <w:marTop w:val="0"/>
          <w:marBottom w:val="0"/>
          <w:divBdr>
            <w:top w:val="none" w:sz="0" w:space="0" w:color="auto"/>
            <w:left w:val="none" w:sz="0" w:space="0" w:color="auto"/>
            <w:bottom w:val="none" w:sz="0" w:space="0" w:color="auto"/>
            <w:right w:val="none" w:sz="0" w:space="0" w:color="auto"/>
          </w:divBdr>
          <w:divsChild>
            <w:div w:id="883559972">
              <w:marLeft w:val="0"/>
              <w:marRight w:val="0"/>
              <w:marTop w:val="0"/>
              <w:marBottom w:val="0"/>
              <w:divBdr>
                <w:top w:val="none" w:sz="0" w:space="0" w:color="auto"/>
                <w:left w:val="none" w:sz="0" w:space="0" w:color="auto"/>
                <w:bottom w:val="none" w:sz="0" w:space="0" w:color="auto"/>
                <w:right w:val="none" w:sz="0" w:space="0" w:color="auto"/>
              </w:divBdr>
            </w:div>
          </w:divsChild>
        </w:div>
        <w:div w:id="326791444">
          <w:marLeft w:val="0"/>
          <w:marRight w:val="0"/>
          <w:marTop w:val="0"/>
          <w:marBottom w:val="0"/>
          <w:divBdr>
            <w:top w:val="none" w:sz="0" w:space="0" w:color="auto"/>
            <w:left w:val="none" w:sz="0" w:space="0" w:color="auto"/>
            <w:bottom w:val="none" w:sz="0" w:space="0" w:color="auto"/>
            <w:right w:val="none" w:sz="0" w:space="0" w:color="auto"/>
          </w:divBdr>
          <w:divsChild>
            <w:div w:id="1819179744">
              <w:marLeft w:val="0"/>
              <w:marRight w:val="0"/>
              <w:marTop w:val="0"/>
              <w:marBottom w:val="0"/>
              <w:divBdr>
                <w:top w:val="none" w:sz="0" w:space="0" w:color="auto"/>
                <w:left w:val="none" w:sz="0" w:space="0" w:color="auto"/>
                <w:bottom w:val="none" w:sz="0" w:space="0" w:color="auto"/>
                <w:right w:val="none" w:sz="0" w:space="0" w:color="auto"/>
              </w:divBdr>
            </w:div>
          </w:divsChild>
        </w:div>
        <w:div w:id="367528815">
          <w:marLeft w:val="0"/>
          <w:marRight w:val="0"/>
          <w:marTop w:val="0"/>
          <w:marBottom w:val="0"/>
          <w:divBdr>
            <w:top w:val="none" w:sz="0" w:space="0" w:color="auto"/>
            <w:left w:val="none" w:sz="0" w:space="0" w:color="auto"/>
            <w:bottom w:val="none" w:sz="0" w:space="0" w:color="auto"/>
            <w:right w:val="none" w:sz="0" w:space="0" w:color="auto"/>
          </w:divBdr>
          <w:divsChild>
            <w:div w:id="1925147276">
              <w:marLeft w:val="0"/>
              <w:marRight w:val="0"/>
              <w:marTop w:val="0"/>
              <w:marBottom w:val="0"/>
              <w:divBdr>
                <w:top w:val="none" w:sz="0" w:space="0" w:color="auto"/>
                <w:left w:val="none" w:sz="0" w:space="0" w:color="auto"/>
                <w:bottom w:val="none" w:sz="0" w:space="0" w:color="auto"/>
                <w:right w:val="none" w:sz="0" w:space="0" w:color="auto"/>
              </w:divBdr>
            </w:div>
          </w:divsChild>
        </w:div>
        <w:div w:id="441074290">
          <w:marLeft w:val="0"/>
          <w:marRight w:val="0"/>
          <w:marTop w:val="0"/>
          <w:marBottom w:val="0"/>
          <w:divBdr>
            <w:top w:val="none" w:sz="0" w:space="0" w:color="auto"/>
            <w:left w:val="none" w:sz="0" w:space="0" w:color="auto"/>
            <w:bottom w:val="none" w:sz="0" w:space="0" w:color="auto"/>
            <w:right w:val="none" w:sz="0" w:space="0" w:color="auto"/>
          </w:divBdr>
          <w:divsChild>
            <w:div w:id="1096747423">
              <w:marLeft w:val="0"/>
              <w:marRight w:val="0"/>
              <w:marTop w:val="0"/>
              <w:marBottom w:val="0"/>
              <w:divBdr>
                <w:top w:val="none" w:sz="0" w:space="0" w:color="auto"/>
                <w:left w:val="none" w:sz="0" w:space="0" w:color="auto"/>
                <w:bottom w:val="none" w:sz="0" w:space="0" w:color="auto"/>
                <w:right w:val="none" w:sz="0" w:space="0" w:color="auto"/>
              </w:divBdr>
            </w:div>
          </w:divsChild>
        </w:div>
        <w:div w:id="454369701">
          <w:marLeft w:val="0"/>
          <w:marRight w:val="0"/>
          <w:marTop w:val="0"/>
          <w:marBottom w:val="0"/>
          <w:divBdr>
            <w:top w:val="none" w:sz="0" w:space="0" w:color="auto"/>
            <w:left w:val="none" w:sz="0" w:space="0" w:color="auto"/>
            <w:bottom w:val="none" w:sz="0" w:space="0" w:color="auto"/>
            <w:right w:val="none" w:sz="0" w:space="0" w:color="auto"/>
          </w:divBdr>
          <w:divsChild>
            <w:div w:id="887645058">
              <w:marLeft w:val="0"/>
              <w:marRight w:val="0"/>
              <w:marTop w:val="0"/>
              <w:marBottom w:val="0"/>
              <w:divBdr>
                <w:top w:val="none" w:sz="0" w:space="0" w:color="auto"/>
                <w:left w:val="none" w:sz="0" w:space="0" w:color="auto"/>
                <w:bottom w:val="none" w:sz="0" w:space="0" w:color="auto"/>
                <w:right w:val="none" w:sz="0" w:space="0" w:color="auto"/>
              </w:divBdr>
            </w:div>
          </w:divsChild>
        </w:div>
        <w:div w:id="629475436">
          <w:marLeft w:val="0"/>
          <w:marRight w:val="0"/>
          <w:marTop w:val="0"/>
          <w:marBottom w:val="0"/>
          <w:divBdr>
            <w:top w:val="none" w:sz="0" w:space="0" w:color="auto"/>
            <w:left w:val="none" w:sz="0" w:space="0" w:color="auto"/>
            <w:bottom w:val="none" w:sz="0" w:space="0" w:color="auto"/>
            <w:right w:val="none" w:sz="0" w:space="0" w:color="auto"/>
          </w:divBdr>
          <w:divsChild>
            <w:div w:id="22217749">
              <w:marLeft w:val="0"/>
              <w:marRight w:val="0"/>
              <w:marTop w:val="0"/>
              <w:marBottom w:val="0"/>
              <w:divBdr>
                <w:top w:val="none" w:sz="0" w:space="0" w:color="auto"/>
                <w:left w:val="none" w:sz="0" w:space="0" w:color="auto"/>
                <w:bottom w:val="none" w:sz="0" w:space="0" w:color="auto"/>
                <w:right w:val="none" w:sz="0" w:space="0" w:color="auto"/>
              </w:divBdr>
            </w:div>
          </w:divsChild>
        </w:div>
        <w:div w:id="648167121">
          <w:marLeft w:val="0"/>
          <w:marRight w:val="0"/>
          <w:marTop w:val="0"/>
          <w:marBottom w:val="0"/>
          <w:divBdr>
            <w:top w:val="none" w:sz="0" w:space="0" w:color="auto"/>
            <w:left w:val="none" w:sz="0" w:space="0" w:color="auto"/>
            <w:bottom w:val="none" w:sz="0" w:space="0" w:color="auto"/>
            <w:right w:val="none" w:sz="0" w:space="0" w:color="auto"/>
          </w:divBdr>
          <w:divsChild>
            <w:div w:id="1406032496">
              <w:marLeft w:val="0"/>
              <w:marRight w:val="0"/>
              <w:marTop w:val="0"/>
              <w:marBottom w:val="0"/>
              <w:divBdr>
                <w:top w:val="none" w:sz="0" w:space="0" w:color="auto"/>
                <w:left w:val="none" w:sz="0" w:space="0" w:color="auto"/>
                <w:bottom w:val="none" w:sz="0" w:space="0" w:color="auto"/>
                <w:right w:val="none" w:sz="0" w:space="0" w:color="auto"/>
              </w:divBdr>
            </w:div>
          </w:divsChild>
        </w:div>
        <w:div w:id="656232515">
          <w:marLeft w:val="0"/>
          <w:marRight w:val="0"/>
          <w:marTop w:val="0"/>
          <w:marBottom w:val="0"/>
          <w:divBdr>
            <w:top w:val="none" w:sz="0" w:space="0" w:color="auto"/>
            <w:left w:val="none" w:sz="0" w:space="0" w:color="auto"/>
            <w:bottom w:val="none" w:sz="0" w:space="0" w:color="auto"/>
            <w:right w:val="none" w:sz="0" w:space="0" w:color="auto"/>
          </w:divBdr>
          <w:divsChild>
            <w:div w:id="1666782914">
              <w:marLeft w:val="0"/>
              <w:marRight w:val="0"/>
              <w:marTop w:val="0"/>
              <w:marBottom w:val="0"/>
              <w:divBdr>
                <w:top w:val="none" w:sz="0" w:space="0" w:color="auto"/>
                <w:left w:val="none" w:sz="0" w:space="0" w:color="auto"/>
                <w:bottom w:val="none" w:sz="0" w:space="0" w:color="auto"/>
                <w:right w:val="none" w:sz="0" w:space="0" w:color="auto"/>
              </w:divBdr>
            </w:div>
          </w:divsChild>
        </w:div>
        <w:div w:id="663095934">
          <w:marLeft w:val="0"/>
          <w:marRight w:val="0"/>
          <w:marTop w:val="0"/>
          <w:marBottom w:val="0"/>
          <w:divBdr>
            <w:top w:val="none" w:sz="0" w:space="0" w:color="auto"/>
            <w:left w:val="none" w:sz="0" w:space="0" w:color="auto"/>
            <w:bottom w:val="none" w:sz="0" w:space="0" w:color="auto"/>
            <w:right w:val="none" w:sz="0" w:space="0" w:color="auto"/>
          </w:divBdr>
          <w:divsChild>
            <w:div w:id="817037460">
              <w:marLeft w:val="0"/>
              <w:marRight w:val="0"/>
              <w:marTop w:val="0"/>
              <w:marBottom w:val="0"/>
              <w:divBdr>
                <w:top w:val="none" w:sz="0" w:space="0" w:color="auto"/>
                <w:left w:val="none" w:sz="0" w:space="0" w:color="auto"/>
                <w:bottom w:val="none" w:sz="0" w:space="0" w:color="auto"/>
                <w:right w:val="none" w:sz="0" w:space="0" w:color="auto"/>
              </w:divBdr>
            </w:div>
          </w:divsChild>
        </w:div>
        <w:div w:id="768350370">
          <w:marLeft w:val="0"/>
          <w:marRight w:val="0"/>
          <w:marTop w:val="0"/>
          <w:marBottom w:val="0"/>
          <w:divBdr>
            <w:top w:val="none" w:sz="0" w:space="0" w:color="auto"/>
            <w:left w:val="none" w:sz="0" w:space="0" w:color="auto"/>
            <w:bottom w:val="none" w:sz="0" w:space="0" w:color="auto"/>
            <w:right w:val="none" w:sz="0" w:space="0" w:color="auto"/>
          </w:divBdr>
          <w:divsChild>
            <w:div w:id="1544251600">
              <w:marLeft w:val="0"/>
              <w:marRight w:val="0"/>
              <w:marTop w:val="0"/>
              <w:marBottom w:val="0"/>
              <w:divBdr>
                <w:top w:val="none" w:sz="0" w:space="0" w:color="auto"/>
                <w:left w:val="none" w:sz="0" w:space="0" w:color="auto"/>
                <w:bottom w:val="none" w:sz="0" w:space="0" w:color="auto"/>
                <w:right w:val="none" w:sz="0" w:space="0" w:color="auto"/>
              </w:divBdr>
            </w:div>
          </w:divsChild>
        </w:div>
        <w:div w:id="831028885">
          <w:marLeft w:val="0"/>
          <w:marRight w:val="0"/>
          <w:marTop w:val="0"/>
          <w:marBottom w:val="0"/>
          <w:divBdr>
            <w:top w:val="none" w:sz="0" w:space="0" w:color="auto"/>
            <w:left w:val="none" w:sz="0" w:space="0" w:color="auto"/>
            <w:bottom w:val="none" w:sz="0" w:space="0" w:color="auto"/>
            <w:right w:val="none" w:sz="0" w:space="0" w:color="auto"/>
          </w:divBdr>
          <w:divsChild>
            <w:div w:id="816991849">
              <w:marLeft w:val="0"/>
              <w:marRight w:val="0"/>
              <w:marTop w:val="0"/>
              <w:marBottom w:val="0"/>
              <w:divBdr>
                <w:top w:val="none" w:sz="0" w:space="0" w:color="auto"/>
                <w:left w:val="none" w:sz="0" w:space="0" w:color="auto"/>
                <w:bottom w:val="none" w:sz="0" w:space="0" w:color="auto"/>
                <w:right w:val="none" w:sz="0" w:space="0" w:color="auto"/>
              </w:divBdr>
            </w:div>
          </w:divsChild>
        </w:div>
        <w:div w:id="913510463">
          <w:marLeft w:val="0"/>
          <w:marRight w:val="0"/>
          <w:marTop w:val="0"/>
          <w:marBottom w:val="0"/>
          <w:divBdr>
            <w:top w:val="none" w:sz="0" w:space="0" w:color="auto"/>
            <w:left w:val="none" w:sz="0" w:space="0" w:color="auto"/>
            <w:bottom w:val="none" w:sz="0" w:space="0" w:color="auto"/>
            <w:right w:val="none" w:sz="0" w:space="0" w:color="auto"/>
          </w:divBdr>
          <w:divsChild>
            <w:div w:id="675225617">
              <w:marLeft w:val="0"/>
              <w:marRight w:val="0"/>
              <w:marTop w:val="0"/>
              <w:marBottom w:val="0"/>
              <w:divBdr>
                <w:top w:val="none" w:sz="0" w:space="0" w:color="auto"/>
                <w:left w:val="none" w:sz="0" w:space="0" w:color="auto"/>
                <w:bottom w:val="none" w:sz="0" w:space="0" w:color="auto"/>
                <w:right w:val="none" w:sz="0" w:space="0" w:color="auto"/>
              </w:divBdr>
            </w:div>
          </w:divsChild>
        </w:div>
        <w:div w:id="914977513">
          <w:marLeft w:val="0"/>
          <w:marRight w:val="0"/>
          <w:marTop w:val="0"/>
          <w:marBottom w:val="0"/>
          <w:divBdr>
            <w:top w:val="none" w:sz="0" w:space="0" w:color="auto"/>
            <w:left w:val="none" w:sz="0" w:space="0" w:color="auto"/>
            <w:bottom w:val="none" w:sz="0" w:space="0" w:color="auto"/>
            <w:right w:val="none" w:sz="0" w:space="0" w:color="auto"/>
          </w:divBdr>
          <w:divsChild>
            <w:div w:id="970331953">
              <w:marLeft w:val="0"/>
              <w:marRight w:val="0"/>
              <w:marTop w:val="0"/>
              <w:marBottom w:val="0"/>
              <w:divBdr>
                <w:top w:val="none" w:sz="0" w:space="0" w:color="auto"/>
                <w:left w:val="none" w:sz="0" w:space="0" w:color="auto"/>
                <w:bottom w:val="none" w:sz="0" w:space="0" w:color="auto"/>
                <w:right w:val="none" w:sz="0" w:space="0" w:color="auto"/>
              </w:divBdr>
            </w:div>
          </w:divsChild>
        </w:div>
        <w:div w:id="926887591">
          <w:marLeft w:val="0"/>
          <w:marRight w:val="0"/>
          <w:marTop w:val="0"/>
          <w:marBottom w:val="0"/>
          <w:divBdr>
            <w:top w:val="none" w:sz="0" w:space="0" w:color="auto"/>
            <w:left w:val="none" w:sz="0" w:space="0" w:color="auto"/>
            <w:bottom w:val="none" w:sz="0" w:space="0" w:color="auto"/>
            <w:right w:val="none" w:sz="0" w:space="0" w:color="auto"/>
          </w:divBdr>
          <w:divsChild>
            <w:div w:id="16272080">
              <w:marLeft w:val="0"/>
              <w:marRight w:val="0"/>
              <w:marTop w:val="0"/>
              <w:marBottom w:val="0"/>
              <w:divBdr>
                <w:top w:val="none" w:sz="0" w:space="0" w:color="auto"/>
                <w:left w:val="none" w:sz="0" w:space="0" w:color="auto"/>
                <w:bottom w:val="none" w:sz="0" w:space="0" w:color="auto"/>
                <w:right w:val="none" w:sz="0" w:space="0" w:color="auto"/>
              </w:divBdr>
            </w:div>
          </w:divsChild>
        </w:div>
        <w:div w:id="1076246673">
          <w:marLeft w:val="0"/>
          <w:marRight w:val="0"/>
          <w:marTop w:val="0"/>
          <w:marBottom w:val="0"/>
          <w:divBdr>
            <w:top w:val="none" w:sz="0" w:space="0" w:color="auto"/>
            <w:left w:val="none" w:sz="0" w:space="0" w:color="auto"/>
            <w:bottom w:val="none" w:sz="0" w:space="0" w:color="auto"/>
            <w:right w:val="none" w:sz="0" w:space="0" w:color="auto"/>
          </w:divBdr>
          <w:divsChild>
            <w:div w:id="1697654041">
              <w:marLeft w:val="0"/>
              <w:marRight w:val="0"/>
              <w:marTop w:val="0"/>
              <w:marBottom w:val="0"/>
              <w:divBdr>
                <w:top w:val="none" w:sz="0" w:space="0" w:color="auto"/>
                <w:left w:val="none" w:sz="0" w:space="0" w:color="auto"/>
                <w:bottom w:val="none" w:sz="0" w:space="0" w:color="auto"/>
                <w:right w:val="none" w:sz="0" w:space="0" w:color="auto"/>
              </w:divBdr>
            </w:div>
          </w:divsChild>
        </w:div>
        <w:div w:id="1113357814">
          <w:marLeft w:val="0"/>
          <w:marRight w:val="0"/>
          <w:marTop w:val="0"/>
          <w:marBottom w:val="0"/>
          <w:divBdr>
            <w:top w:val="none" w:sz="0" w:space="0" w:color="auto"/>
            <w:left w:val="none" w:sz="0" w:space="0" w:color="auto"/>
            <w:bottom w:val="none" w:sz="0" w:space="0" w:color="auto"/>
            <w:right w:val="none" w:sz="0" w:space="0" w:color="auto"/>
          </w:divBdr>
          <w:divsChild>
            <w:div w:id="1775829064">
              <w:marLeft w:val="0"/>
              <w:marRight w:val="0"/>
              <w:marTop w:val="0"/>
              <w:marBottom w:val="0"/>
              <w:divBdr>
                <w:top w:val="none" w:sz="0" w:space="0" w:color="auto"/>
                <w:left w:val="none" w:sz="0" w:space="0" w:color="auto"/>
                <w:bottom w:val="none" w:sz="0" w:space="0" w:color="auto"/>
                <w:right w:val="none" w:sz="0" w:space="0" w:color="auto"/>
              </w:divBdr>
            </w:div>
          </w:divsChild>
        </w:div>
        <w:div w:id="1334068611">
          <w:marLeft w:val="0"/>
          <w:marRight w:val="0"/>
          <w:marTop w:val="0"/>
          <w:marBottom w:val="0"/>
          <w:divBdr>
            <w:top w:val="none" w:sz="0" w:space="0" w:color="auto"/>
            <w:left w:val="none" w:sz="0" w:space="0" w:color="auto"/>
            <w:bottom w:val="none" w:sz="0" w:space="0" w:color="auto"/>
            <w:right w:val="none" w:sz="0" w:space="0" w:color="auto"/>
          </w:divBdr>
          <w:divsChild>
            <w:div w:id="1199270698">
              <w:marLeft w:val="0"/>
              <w:marRight w:val="0"/>
              <w:marTop w:val="0"/>
              <w:marBottom w:val="0"/>
              <w:divBdr>
                <w:top w:val="none" w:sz="0" w:space="0" w:color="auto"/>
                <w:left w:val="none" w:sz="0" w:space="0" w:color="auto"/>
                <w:bottom w:val="none" w:sz="0" w:space="0" w:color="auto"/>
                <w:right w:val="none" w:sz="0" w:space="0" w:color="auto"/>
              </w:divBdr>
            </w:div>
          </w:divsChild>
        </w:div>
        <w:div w:id="1349795028">
          <w:marLeft w:val="0"/>
          <w:marRight w:val="0"/>
          <w:marTop w:val="0"/>
          <w:marBottom w:val="0"/>
          <w:divBdr>
            <w:top w:val="none" w:sz="0" w:space="0" w:color="auto"/>
            <w:left w:val="none" w:sz="0" w:space="0" w:color="auto"/>
            <w:bottom w:val="none" w:sz="0" w:space="0" w:color="auto"/>
            <w:right w:val="none" w:sz="0" w:space="0" w:color="auto"/>
          </w:divBdr>
          <w:divsChild>
            <w:div w:id="296955459">
              <w:marLeft w:val="0"/>
              <w:marRight w:val="0"/>
              <w:marTop w:val="0"/>
              <w:marBottom w:val="0"/>
              <w:divBdr>
                <w:top w:val="none" w:sz="0" w:space="0" w:color="auto"/>
                <w:left w:val="none" w:sz="0" w:space="0" w:color="auto"/>
                <w:bottom w:val="none" w:sz="0" w:space="0" w:color="auto"/>
                <w:right w:val="none" w:sz="0" w:space="0" w:color="auto"/>
              </w:divBdr>
            </w:div>
          </w:divsChild>
        </w:div>
        <w:div w:id="1390691602">
          <w:marLeft w:val="0"/>
          <w:marRight w:val="0"/>
          <w:marTop w:val="0"/>
          <w:marBottom w:val="0"/>
          <w:divBdr>
            <w:top w:val="none" w:sz="0" w:space="0" w:color="auto"/>
            <w:left w:val="none" w:sz="0" w:space="0" w:color="auto"/>
            <w:bottom w:val="none" w:sz="0" w:space="0" w:color="auto"/>
            <w:right w:val="none" w:sz="0" w:space="0" w:color="auto"/>
          </w:divBdr>
          <w:divsChild>
            <w:div w:id="1659728135">
              <w:marLeft w:val="0"/>
              <w:marRight w:val="0"/>
              <w:marTop w:val="0"/>
              <w:marBottom w:val="0"/>
              <w:divBdr>
                <w:top w:val="none" w:sz="0" w:space="0" w:color="auto"/>
                <w:left w:val="none" w:sz="0" w:space="0" w:color="auto"/>
                <w:bottom w:val="none" w:sz="0" w:space="0" w:color="auto"/>
                <w:right w:val="none" w:sz="0" w:space="0" w:color="auto"/>
              </w:divBdr>
            </w:div>
          </w:divsChild>
        </w:div>
        <w:div w:id="1500922937">
          <w:marLeft w:val="0"/>
          <w:marRight w:val="0"/>
          <w:marTop w:val="0"/>
          <w:marBottom w:val="0"/>
          <w:divBdr>
            <w:top w:val="none" w:sz="0" w:space="0" w:color="auto"/>
            <w:left w:val="none" w:sz="0" w:space="0" w:color="auto"/>
            <w:bottom w:val="none" w:sz="0" w:space="0" w:color="auto"/>
            <w:right w:val="none" w:sz="0" w:space="0" w:color="auto"/>
          </w:divBdr>
          <w:divsChild>
            <w:div w:id="1653678004">
              <w:marLeft w:val="0"/>
              <w:marRight w:val="0"/>
              <w:marTop w:val="0"/>
              <w:marBottom w:val="0"/>
              <w:divBdr>
                <w:top w:val="none" w:sz="0" w:space="0" w:color="auto"/>
                <w:left w:val="none" w:sz="0" w:space="0" w:color="auto"/>
                <w:bottom w:val="none" w:sz="0" w:space="0" w:color="auto"/>
                <w:right w:val="none" w:sz="0" w:space="0" w:color="auto"/>
              </w:divBdr>
            </w:div>
          </w:divsChild>
        </w:div>
        <w:div w:id="1657877205">
          <w:marLeft w:val="0"/>
          <w:marRight w:val="0"/>
          <w:marTop w:val="0"/>
          <w:marBottom w:val="0"/>
          <w:divBdr>
            <w:top w:val="none" w:sz="0" w:space="0" w:color="auto"/>
            <w:left w:val="none" w:sz="0" w:space="0" w:color="auto"/>
            <w:bottom w:val="none" w:sz="0" w:space="0" w:color="auto"/>
            <w:right w:val="none" w:sz="0" w:space="0" w:color="auto"/>
          </w:divBdr>
          <w:divsChild>
            <w:div w:id="984816284">
              <w:marLeft w:val="0"/>
              <w:marRight w:val="0"/>
              <w:marTop w:val="0"/>
              <w:marBottom w:val="0"/>
              <w:divBdr>
                <w:top w:val="none" w:sz="0" w:space="0" w:color="auto"/>
                <w:left w:val="none" w:sz="0" w:space="0" w:color="auto"/>
                <w:bottom w:val="none" w:sz="0" w:space="0" w:color="auto"/>
                <w:right w:val="none" w:sz="0" w:space="0" w:color="auto"/>
              </w:divBdr>
            </w:div>
          </w:divsChild>
        </w:div>
        <w:div w:id="1723484316">
          <w:marLeft w:val="0"/>
          <w:marRight w:val="0"/>
          <w:marTop w:val="0"/>
          <w:marBottom w:val="0"/>
          <w:divBdr>
            <w:top w:val="none" w:sz="0" w:space="0" w:color="auto"/>
            <w:left w:val="none" w:sz="0" w:space="0" w:color="auto"/>
            <w:bottom w:val="none" w:sz="0" w:space="0" w:color="auto"/>
            <w:right w:val="none" w:sz="0" w:space="0" w:color="auto"/>
          </w:divBdr>
          <w:divsChild>
            <w:div w:id="643894292">
              <w:marLeft w:val="0"/>
              <w:marRight w:val="0"/>
              <w:marTop w:val="0"/>
              <w:marBottom w:val="0"/>
              <w:divBdr>
                <w:top w:val="none" w:sz="0" w:space="0" w:color="auto"/>
                <w:left w:val="none" w:sz="0" w:space="0" w:color="auto"/>
                <w:bottom w:val="none" w:sz="0" w:space="0" w:color="auto"/>
                <w:right w:val="none" w:sz="0" w:space="0" w:color="auto"/>
              </w:divBdr>
            </w:div>
          </w:divsChild>
        </w:div>
        <w:div w:id="1782262085">
          <w:marLeft w:val="0"/>
          <w:marRight w:val="0"/>
          <w:marTop w:val="0"/>
          <w:marBottom w:val="0"/>
          <w:divBdr>
            <w:top w:val="none" w:sz="0" w:space="0" w:color="auto"/>
            <w:left w:val="none" w:sz="0" w:space="0" w:color="auto"/>
            <w:bottom w:val="none" w:sz="0" w:space="0" w:color="auto"/>
            <w:right w:val="none" w:sz="0" w:space="0" w:color="auto"/>
          </w:divBdr>
          <w:divsChild>
            <w:div w:id="1548375742">
              <w:marLeft w:val="0"/>
              <w:marRight w:val="0"/>
              <w:marTop w:val="0"/>
              <w:marBottom w:val="0"/>
              <w:divBdr>
                <w:top w:val="none" w:sz="0" w:space="0" w:color="auto"/>
                <w:left w:val="none" w:sz="0" w:space="0" w:color="auto"/>
                <w:bottom w:val="none" w:sz="0" w:space="0" w:color="auto"/>
                <w:right w:val="none" w:sz="0" w:space="0" w:color="auto"/>
              </w:divBdr>
            </w:div>
          </w:divsChild>
        </w:div>
        <w:div w:id="1978417287">
          <w:marLeft w:val="0"/>
          <w:marRight w:val="0"/>
          <w:marTop w:val="0"/>
          <w:marBottom w:val="0"/>
          <w:divBdr>
            <w:top w:val="none" w:sz="0" w:space="0" w:color="auto"/>
            <w:left w:val="none" w:sz="0" w:space="0" w:color="auto"/>
            <w:bottom w:val="none" w:sz="0" w:space="0" w:color="auto"/>
            <w:right w:val="none" w:sz="0" w:space="0" w:color="auto"/>
          </w:divBdr>
          <w:divsChild>
            <w:div w:id="699597884">
              <w:marLeft w:val="0"/>
              <w:marRight w:val="0"/>
              <w:marTop w:val="0"/>
              <w:marBottom w:val="0"/>
              <w:divBdr>
                <w:top w:val="none" w:sz="0" w:space="0" w:color="auto"/>
                <w:left w:val="none" w:sz="0" w:space="0" w:color="auto"/>
                <w:bottom w:val="none" w:sz="0" w:space="0" w:color="auto"/>
                <w:right w:val="none" w:sz="0" w:space="0" w:color="auto"/>
              </w:divBdr>
            </w:div>
          </w:divsChild>
        </w:div>
        <w:div w:id="2110857542">
          <w:marLeft w:val="0"/>
          <w:marRight w:val="0"/>
          <w:marTop w:val="0"/>
          <w:marBottom w:val="0"/>
          <w:divBdr>
            <w:top w:val="none" w:sz="0" w:space="0" w:color="auto"/>
            <w:left w:val="none" w:sz="0" w:space="0" w:color="auto"/>
            <w:bottom w:val="none" w:sz="0" w:space="0" w:color="auto"/>
            <w:right w:val="none" w:sz="0" w:space="0" w:color="auto"/>
          </w:divBdr>
          <w:divsChild>
            <w:div w:id="394206026">
              <w:marLeft w:val="0"/>
              <w:marRight w:val="0"/>
              <w:marTop w:val="0"/>
              <w:marBottom w:val="0"/>
              <w:divBdr>
                <w:top w:val="none" w:sz="0" w:space="0" w:color="auto"/>
                <w:left w:val="none" w:sz="0" w:space="0" w:color="auto"/>
                <w:bottom w:val="none" w:sz="0" w:space="0" w:color="auto"/>
                <w:right w:val="none" w:sz="0" w:space="0" w:color="auto"/>
              </w:divBdr>
            </w:div>
          </w:divsChild>
        </w:div>
        <w:div w:id="2143568920">
          <w:marLeft w:val="0"/>
          <w:marRight w:val="0"/>
          <w:marTop w:val="0"/>
          <w:marBottom w:val="0"/>
          <w:divBdr>
            <w:top w:val="none" w:sz="0" w:space="0" w:color="auto"/>
            <w:left w:val="none" w:sz="0" w:space="0" w:color="auto"/>
            <w:bottom w:val="none" w:sz="0" w:space="0" w:color="auto"/>
            <w:right w:val="none" w:sz="0" w:space="0" w:color="auto"/>
          </w:divBdr>
          <w:divsChild>
            <w:div w:id="83307897">
              <w:marLeft w:val="0"/>
              <w:marRight w:val="0"/>
              <w:marTop w:val="0"/>
              <w:marBottom w:val="0"/>
              <w:divBdr>
                <w:top w:val="none" w:sz="0" w:space="0" w:color="auto"/>
                <w:left w:val="none" w:sz="0" w:space="0" w:color="auto"/>
                <w:bottom w:val="none" w:sz="0" w:space="0" w:color="auto"/>
                <w:right w:val="none" w:sz="0" w:space="0" w:color="auto"/>
              </w:divBdr>
            </w:div>
          </w:divsChild>
        </w:div>
        <w:div w:id="2144999328">
          <w:marLeft w:val="0"/>
          <w:marRight w:val="0"/>
          <w:marTop w:val="0"/>
          <w:marBottom w:val="0"/>
          <w:divBdr>
            <w:top w:val="none" w:sz="0" w:space="0" w:color="auto"/>
            <w:left w:val="none" w:sz="0" w:space="0" w:color="auto"/>
            <w:bottom w:val="none" w:sz="0" w:space="0" w:color="auto"/>
            <w:right w:val="none" w:sz="0" w:space="0" w:color="auto"/>
          </w:divBdr>
          <w:divsChild>
            <w:div w:id="11897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5907">
      <w:bodyDiv w:val="1"/>
      <w:marLeft w:val="0"/>
      <w:marRight w:val="0"/>
      <w:marTop w:val="0"/>
      <w:marBottom w:val="0"/>
      <w:divBdr>
        <w:top w:val="none" w:sz="0" w:space="0" w:color="auto"/>
        <w:left w:val="none" w:sz="0" w:space="0" w:color="auto"/>
        <w:bottom w:val="none" w:sz="0" w:space="0" w:color="auto"/>
        <w:right w:val="none" w:sz="0" w:space="0" w:color="auto"/>
      </w:divBdr>
    </w:div>
    <w:div w:id="911696036">
      <w:bodyDiv w:val="1"/>
      <w:marLeft w:val="0"/>
      <w:marRight w:val="0"/>
      <w:marTop w:val="0"/>
      <w:marBottom w:val="0"/>
      <w:divBdr>
        <w:top w:val="none" w:sz="0" w:space="0" w:color="auto"/>
        <w:left w:val="none" w:sz="0" w:space="0" w:color="auto"/>
        <w:bottom w:val="none" w:sz="0" w:space="0" w:color="auto"/>
        <w:right w:val="none" w:sz="0" w:space="0" w:color="auto"/>
      </w:divBdr>
    </w:div>
    <w:div w:id="925454569">
      <w:bodyDiv w:val="1"/>
      <w:marLeft w:val="0"/>
      <w:marRight w:val="0"/>
      <w:marTop w:val="0"/>
      <w:marBottom w:val="0"/>
      <w:divBdr>
        <w:top w:val="none" w:sz="0" w:space="0" w:color="auto"/>
        <w:left w:val="none" w:sz="0" w:space="0" w:color="auto"/>
        <w:bottom w:val="none" w:sz="0" w:space="0" w:color="auto"/>
        <w:right w:val="none" w:sz="0" w:space="0" w:color="auto"/>
      </w:divBdr>
    </w:div>
    <w:div w:id="1044717748">
      <w:bodyDiv w:val="1"/>
      <w:marLeft w:val="0"/>
      <w:marRight w:val="0"/>
      <w:marTop w:val="0"/>
      <w:marBottom w:val="0"/>
      <w:divBdr>
        <w:top w:val="none" w:sz="0" w:space="0" w:color="auto"/>
        <w:left w:val="none" w:sz="0" w:space="0" w:color="auto"/>
        <w:bottom w:val="none" w:sz="0" w:space="0" w:color="auto"/>
        <w:right w:val="none" w:sz="0" w:space="0" w:color="auto"/>
      </w:divBdr>
    </w:div>
    <w:div w:id="1046831022">
      <w:bodyDiv w:val="1"/>
      <w:marLeft w:val="0"/>
      <w:marRight w:val="0"/>
      <w:marTop w:val="0"/>
      <w:marBottom w:val="0"/>
      <w:divBdr>
        <w:top w:val="none" w:sz="0" w:space="0" w:color="auto"/>
        <w:left w:val="none" w:sz="0" w:space="0" w:color="auto"/>
        <w:bottom w:val="none" w:sz="0" w:space="0" w:color="auto"/>
        <w:right w:val="none" w:sz="0" w:space="0" w:color="auto"/>
      </w:divBdr>
      <w:divsChild>
        <w:div w:id="197397939">
          <w:marLeft w:val="0"/>
          <w:marRight w:val="0"/>
          <w:marTop w:val="0"/>
          <w:marBottom w:val="0"/>
          <w:divBdr>
            <w:top w:val="none" w:sz="0" w:space="0" w:color="auto"/>
            <w:left w:val="none" w:sz="0" w:space="0" w:color="auto"/>
            <w:bottom w:val="none" w:sz="0" w:space="0" w:color="auto"/>
            <w:right w:val="none" w:sz="0" w:space="0" w:color="auto"/>
          </w:divBdr>
        </w:div>
        <w:div w:id="342174644">
          <w:marLeft w:val="0"/>
          <w:marRight w:val="0"/>
          <w:marTop w:val="0"/>
          <w:marBottom w:val="0"/>
          <w:divBdr>
            <w:top w:val="none" w:sz="0" w:space="0" w:color="auto"/>
            <w:left w:val="none" w:sz="0" w:space="0" w:color="auto"/>
            <w:bottom w:val="none" w:sz="0" w:space="0" w:color="auto"/>
            <w:right w:val="none" w:sz="0" w:space="0" w:color="auto"/>
          </w:divBdr>
        </w:div>
      </w:divsChild>
    </w:div>
    <w:div w:id="1075975791">
      <w:bodyDiv w:val="1"/>
      <w:marLeft w:val="0"/>
      <w:marRight w:val="0"/>
      <w:marTop w:val="0"/>
      <w:marBottom w:val="0"/>
      <w:divBdr>
        <w:top w:val="none" w:sz="0" w:space="0" w:color="auto"/>
        <w:left w:val="none" w:sz="0" w:space="0" w:color="auto"/>
        <w:bottom w:val="none" w:sz="0" w:space="0" w:color="auto"/>
        <w:right w:val="none" w:sz="0" w:space="0" w:color="auto"/>
      </w:divBdr>
    </w:div>
    <w:div w:id="1246302948">
      <w:bodyDiv w:val="1"/>
      <w:marLeft w:val="0"/>
      <w:marRight w:val="0"/>
      <w:marTop w:val="0"/>
      <w:marBottom w:val="0"/>
      <w:divBdr>
        <w:top w:val="none" w:sz="0" w:space="0" w:color="auto"/>
        <w:left w:val="none" w:sz="0" w:space="0" w:color="auto"/>
        <w:bottom w:val="none" w:sz="0" w:space="0" w:color="auto"/>
        <w:right w:val="none" w:sz="0" w:space="0" w:color="auto"/>
      </w:divBdr>
    </w:div>
    <w:div w:id="1363625183">
      <w:bodyDiv w:val="1"/>
      <w:marLeft w:val="0"/>
      <w:marRight w:val="0"/>
      <w:marTop w:val="0"/>
      <w:marBottom w:val="0"/>
      <w:divBdr>
        <w:top w:val="none" w:sz="0" w:space="0" w:color="auto"/>
        <w:left w:val="none" w:sz="0" w:space="0" w:color="auto"/>
        <w:bottom w:val="none" w:sz="0" w:space="0" w:color="auto"/>
        <w:right w:val="none" w:sz="0" w:space="0" w:color="auto"/>
      </w:divBdr>
    </w:div>
    <w:div w:id="1466697205">
      <w:bodyDiv w:val="1"/>
      <w:marLeft w:val="0"/>
      <w:marRight w:val="0"/>
      <w:marTop w:val="0"/>
      <w:marBottom w:val="0"/>
      <w:divBdr>
        <w:top w:val="none" w:sz="0" w:space="0" w:color="auto"/>
        <w:left w:val="none" w:sz="0" w:space="0" w:color="auto"/>
        <w:bottom w:val="none" w:sz="0" w:space="0" w:color="auto"/>
        <w:right w:val="none" w:sz="0" w:space="0" w:color="auto"/>
      </w:divBdr>
      <w:divsChild>
        <w:div w:id="794716277">
          <w:marLeft w:val="0"/>
          <w:marRight w:val="0"/>
          <w:marTop w:val="0"/>
          <w:marBottom w:val="0"/>
          <w:divBdr>
            <w:top w:val="none" w:sz="0" w:space="0" w:color="auto"/>
            <w:left w:val="none" w:sz="0" w:space="0" w:color="auto"/>
            <w:bottom w:val="none" w:sz="0" w:space="0" w:color="auto"/>
            <w:right w:val="none" w:sz="0" w:space="0" w:color="auto"/>
          </w:divBdr>
        </w:div>
        <w:div w:id="928269631">
          <w:marLeft w:val="0"/>
          <w:marRight w:val="0"/>
          <w:marTop w:val="0"/>
          <w:marBottom w:val="0"/>
          <w:divBdr>
            <w:top w:val="none" w:sz="0" w:space="0" w:color="auto"/>
            <w:left w:val="none" w:sz="0" w:space="0" w:color="auto"/>
            <w:bottom w:val="none" w:sz="0" w:space="0" w:color="auto"/>
            <w:right w:val="none" w:sz="0" w:space="0" w:color="auto"/>
          </w:divBdr>
          <w:divsChild>
            <w:div w:id="1308244527">
              <w:marLeft w:val="-75"/>
              <w:marRight w:val="0"/>
              <w:marTop w:val="30"/>
              <w:marBottom w:val="30"/>
              <w:divBdr>
                <w:top w:val="none" w:sz="0" w:space="0" w:color="auto"/>
                <w:left w:val="none" w:sz="0" w:space="0" w:color="auto"/>
                <w:bottom w:val="none" w:sz="0" w:space="0" w:color="auto"/>
                <w:right w:val="none" w:sz="0" w:space="0" w:color="auto"/>
              </w:divBdr>
              <w:divsChild>
                <w:div w:id="124857385">
                  <w:marLeft w:val="0"/>
                  <w:marRight w:val="0"/>
                  <w:marTop w:val="0"/>
                  <w:marBottom w:val="0"/>
                  <w:divBdr>
                    <w:top w:val="none" w:sz="0" w:space="0" w:color="auto"/>
                    <w:left w:val="none" w:sz="0" w:space="0" w:color="auto"/>
                    <w:bottom w:val="none" w:sz="0" w:space="0" w:color="auto"/>
                    <w:right w:val="none" w:sz="0" w:space="0" w:color="auto"/>
                  </w:divBdr>
                  <w:divsChild>
                    <w:div w:id="15988">
                      <w:marLeft w:val="0"/>
                      <w:marRight w:val="0"/>
                      <w:marTop w:val="0"/>
                      <w:marBottom w:val="0"/>
                      <w:divBdr>
                        <w:top w:val="none" w:sz="0" w:space="0" w:color="auto"/>
                        <w:left w:val="none" w:sz="0" w:space="0" w:color="auto"/>
                        <w:bottom w:val="none" w:sz="0" w:space="0" w:color="auto"/>
                        <w:right w:val="none" w:sz="0" w:space="0" w:color="auto"/>
                      </w:divBdr>
                    </w:div>
                  </w:divsChild>
                </w:div>
                <w:div w:id="145896544">
                  <w:marLeft w:val="0"/>
                  <w:marRight w:val="0"/>
                  <w:marTop w:val="0"/>
                  <w:marBottom w:val="0"/>
                  <w:divBdr>
                    <w:top w:val="none" w:sz="0" w:space="0" w:color="auto"/>
                    <w:left w:val="none" w:sz="0" w:space="0" w:color="auto"/>
                    <w:bottom w:val="none" w:sz="0" w:space="0" w:color="auto"/>
                    <w:right w:val="none" w:sz="0" w:space="0" w:color="auto"/>
                  </w:divBdr>
                  <w:divsChild>
                    <w:div w:id="1057244005">
                      <w:marLeft w:val="0"/>
                      <w:marRight w:val="0"/>
                      <w:marTop w:val="0"/>
                      <w:marBottom w:val="0"/>
                      <w:divBdr>
                        <w:top w:val="none" w:sz="0" w:space="0" w:color="auto"/>
                        <w:left w:val="none" w:sz="0" w:space="0" w:color="auto"/>
                        <w:bottom w:val="none" w:sz="0" w:space="0" w:color="auto"/>
                        <w:right w:val="none" w:sz="0" w:space="0" w:color="auto"/>
                      </w:divBdr>
                    </w:div>
                  </w:divsChild>
                </w:div>
                <w:div w:id="162398460">
                  <w:marLeft w:val="0"/>
                  <w:marRight w:val="0"/>
                  <w:marTop w:val="0"/>
                  <w:marBottom w:val="0"/>
                  <w:divBdr>
                    <w:top w:val="none" w:sz="0" w:space="0" w:color="auto"/>
                    <w:left w:val="none" w:sz="0" w:space="0" w:color="auto"/>
                    <w:bottom w:val="none" w:sz="0" w:space="0" w:color="auto"/>
                    <w:right w:val="none" w:sz="0" w:space="0" w:color="auto"/>
                  </w:divBdr>
                  <w:divsChild>
                    <w:div w:id="1757366294">
                      <w:marLeft w:val="0"/>
                      <w:marRight w:val="0"/>
                      <w:marTop w:val="0"/>
                      <w:marBottom w:val="0"/>
                      <w:divBdr>
                        <w:top w:val="none" w:sz="0" w:space="0" w:color="auto"/>
                        <w:left w:val="none" w:sz="0" w:space="0" w:color="auto"/>
                        <w:bottom w:val="none" w:sz="0" w:space="0" w:color="auto"/>
                        <w:right w:val="none" w:sz="0" w:space="0" w:color="auto"/>
                      </w:divBdr>
                    </w:div>
                  </w:divsChild>
                </w:div>
                <w:div w:id="293482920">
                  <w:marLeft w:val="0"/>
                  <w:marRight w:val="0"/>
                  <w:marTop w:val="0"/>
                  <w:marBottom w:val="0"/>
                  <w:divBdr>
                    <w:top w:val="none" w:sz="0" w:space="0" w:color="auto"/>
                    <w:left w:val="none" w:sz="0" w:space="0" w:color="auto"/>
                    <w:bottom w:val="none" w:sz="0" w:space="0" w:color="auto"/>
                    <w:right w:val="none" w:sz="0" w:space="0" w:color="auto"/>
                  </w:divBdr>
                  <w:divsChild>
                    <w:div w:id="586890064">
                      <w:marLeft w:val="0"/>
                      <w:marRight w:val="0"/>
                      <w:marTop w:val="0"/>
                      <w:marBottom w:val="0"/>
                      <w:divBdr>
                        <w:top w:val="none" w:sz="0" w:space="0" w:color="auto"/>
                        <w:left w:val="none" w:sz="0" w:space="0" w:color="auto"/>
                        <w:bottom w:val="none" w:sz="0" w:space="0" w:color="auto"/>
                        <w:right w:val="none" w:sz="0" w:space="0" w:color="auto"/>
                      </w:divBdr>
                    </w:div>
                  </w:divsChild>
                </w:div>
                <w:div w:id="542444211">
                  <w:marLeft w:val="0"/>
                  <w:marRight w:val="0"/>
                  <w:marTop w:val="0"/>
                  <w:marBottom w:val="0"/>
                  <w:divBdr>
                    <w:top w:val="none" w:sz="0" w:space="0" w:color="auto"/>
                    <w:left w:val="none" w:sz="0" w:space="0" w:color="auto"/>
                    <w:bottom w:val="none" w:sz="0" w:space="0" w:color="auto"/>
                    <w:right w:val="none" w:sz="0" w:space="0" w:color="auto"/>
                  </w:divBdr>
                  <w:divsChild>
                    <w:div w:id="1373338203">
                      <w:marLeft w:val="0"/>
                      <w:marRight w:val="0"/>
                      <w:marTop w:val="0"/>
                      <w:marBottom w:val="0"/>
                      <w:divBdr>
                        <w:top w:val="none" w:sz="0" w:space="0" w:color="auto"/>
                        <w:left w:val="none" w:sz="0" w:space="0" w:color="auto"/>
                        <w:bottom w:val="none" w:sz="0" w:space="0" w:color="auto"/>
                        <w:right w:val="none" w:sz="0" w:space="0" w:color="auto"/>
                      </w:divBdr>
                    </w:div>
                  </w:divsChild>
                </w:div>
                <w:div w:id="547112401">
                  <w:marLeft w:val="0"/>
                  <w:marRight w:val="0"/>
                  <w:marTop w:val="0"/>
                  <w:marBottom w:val="0"/>
                  <w:divBdr>
                    <w:top w:val="none" w:sz="0" w:space="0" w:color="auto"/>
                    <w:left w:val="none" w:sz="0" w:space="0" w:color="auto"/>
                    <w:bottom w:val="none" w:sz="0" w:space="0" w:color="auto"/>
                    <w:right w:val="none" w:sz="0" w:space="0" w:color="auto"/>
                  </w:divBdr>
                  <w:divsChild>
                    <w:div w:id="198789209">
                      <w:marLeft w:val="0"/>
                      <w:marRight w:val="0"/>
                      <w:marTop w:val="0"/>
                      <w:marBottom w:val="0"/>
                      <w:divBdr>
                        <w:top w:val="none" w:sz="0" w:space="0" w:color="auto"/>
                        <w:left w:val="none" w:sz="0" w:space="0" w:color="auto"/>
                        <w:bottom w:val="none" w:sz="0" w:space="0" w:color="auto"/>
                        <w:right w:val="none" w:sz="0" w:space="0" w:color="auto"/>
                      </w:divBdr>
                    </w:div>
                  </w:divsChild>
                </w:div>
                <w:div w:id="619190095">
                  <w:marLeft w:val="0"/>
                  <w:marRight w:val="0"/>
                  <w:marTop w:val="0"/>
                  <w:marBottom w:val="0"/>
                  <w:divBdr>
                    <w:top w:val="none" w:sz="0" w:space="0" w:color="auto"/>
                    <w:left w:val="none" w:sz="0" w:space="0" w:color="auto"/>
                    <w:bottom w:val="none" w:sz="0" w:space="0" w:color="auto"/>
                    <w:right w:val="none" w:sz="0" w:space="0" w:color="auto"/>
                  </w:divBdr>
                  <w:divsChild>
                    <w:div w:id="1001010127">
                      <w:marLeft w:val="0"/>
                      <w:marRight w:val="0"/>
                      <w:marTop w:val="0"/>
                      <w:marBottom w:val="0"/>
                      <w:divBdr>
                        <w:top w:val="none" w:sz="0" w:space="0" w:color="auto"/>
                        <w:left w:val="none" w:sz="0" w:space="0" w:color="auto"/>
                        <w:bottom w:val="none" w:sz="0" w:space="0" w:color="auto"/>
                        <w:right w:val="none" w:sz="0" w:space="0" w:color="auto"/>
                      </w:divBdr>
                    </w:div>
                  </w:divsChild>
                </w:div>
                <w:div w:id="631906318">
                  <w:marLeft w:val="0"/>
                  <w:marRight w:val="0"/>
                  <w:marTop w:val="0"/>
                  <w:marBottom w:val="0"/>
                  <w:divBdr>
                    <w:top w:val="none" w:sz="0" w:space="0" w:color="auto"/>
                    <w:left w:val="none" w:sz="0" w:space="0" w:color="auto"/>
                    <w:bottom w:val="none" w:sz="0" w:space="0" w:color="auto"/>
                    <w:right w:val="none" w:sz="0" w:space="0" w:color="auto"/>
                  </w:divBdr>
                  <w:divsChild>
                    <w:div w:id="326860413">
                      <w:marLeft w:val="0"/>
                      <w:marRight w:val="0"/>
                      <w:marTop w:val="0"/>
                      <w:marBottom w:val="0"/>
                      <w:divBdr>
                        <w:top w:val="none" w:sz="0" w:space="0" w:color="auto"/>
                        <w:left w:val="none" w:sz="0" w:space="0" w:color="auto"/>
                        <w:bottom w:val="none" w:sz="0" w:space="0" w:color="auto"/>
                        <w:right w:val="none" w:sz="0" w:space="0" w:color="auto"/>
                      </w:divBdr>
                    </w:div>
                  </w:divsChild>
                </w:div>
                <w:div w:id="741564950">
                  <w:marLeft w:val="0"/>
                  <w:marRight w:val="0"/>
                  <w:marTop w:val="0"/>
                  <w:marBottom w:val="0"/>
                  <w:divBdr>
                    <w:top w:val="none" w:sz="0" w:space="0" w:color="auto"/>
                    <w:left w:val="none" w:sz="0" w:space="0" w:color="auto"/>
                    <w:bottom w:val="none" w:sz="0" w:space="0" w:color="auto"/>
                    <w:right w:val="none" w:sz="0" w:space="0" w:color="auto"/>
                  </w:divBdr>
                  <w:divsChild>
                    <w:div w:id="947346523">
                      <w:marLeft w:val="0"/>
                      <w:marRight w:val="0"/>
                      <w:marTop w:val="0"/>
                      <w:marBottom w:val="0"/>
                      <w:divBdr>
                        <w:top w:val="none" w:sz="0" w:space="0" w:color="auto"/>
                        <w:left w:val="none" w:sz="0" w:space="0" w:color="auto"/>
                        <w:bottom w:val="none" w:sz="0" w:space="0" w:color="auto"/>
                        <w:right w:val="none" w:sz="0" w:space="0" w:color="auto"/>
                      </w:divBdr>
                    </w:div>
                  </w:divsChild>
                </w:div>
                <w:div w:id="745877561">
                  <w:marLeft w:val="0"/>
                  <w:marRight w:val="0"/>
                  <w:marTop w:val="0"/>
                  <w:marBottom w:val="0"/>
                  <w:divBdr>
                    <w:top w:val="none" w:sz="0" w:space="0" w:color="auto"/>
                    <w:left w:val="none" w:sz="0" w:space="0" w:color="auto"/>
                    <w:bottom w:val="none" w:sz="0" w:space="0" w:color="auto"/>
                    <w:right w:val="none" w:sz="0" w:space="0" w:color="auto"/>
                  </w:divBdr>
                  <w:divsChild>
                    <w:div w:id="1641881206">
                      <w:marLeft w:val="0"/>
                      <w:marRight w:val="0"/>
                      <w:marTop w:val="0"/>
                      <w:marBottom w:val="0"/>
                      <w:divBdr>
                        <w:top w:val="none" w:sz="0" w:space="0" w:color="auto"/>
                        <w:left w:val="none" w:sz="0" w:space="0" w:color="auto"/>
                        <w:bottom w:val="none" w:sz="0" w:space="0" w:color="auto"/>
                        <w:right w:val="none" w:sz="0" w:space="0" w:color="auto"/>
                      </w:divBdr>
                    </w:div>
                  </w:divsChild>
                </w:div>
                <w:div w:id="758987405">
                  <w:marLeft w:val="0"/>
                  <w:marRight w:val="0"/>
                  <w:marTop w:val="0"/>
                  <w:marBottom w:val="0"/>
                  <w:divBdr>
                    <w:top w:val="none" w:sz="0" w:space="0" w:color="auto"/>
                    <w:left w:val="none" w:sz="0" w:space="0" w:color="auto"/>
                    <w:bottom w:val="none" w:sz="0" w:space="0" w:color="auto"/>
                    <w:right w:val="none" w:sz="0" w:space="0" w:color="auto"/>
                  </w:divBdr>
                  <w:divsChild>
                    <w:div w:id="1180506982">
                      <w:marLeft w:val="0"/>
                      <w:marRight w:val="0"/>
                      <w:marTop w:val="0"/>
                      <w:marBottom w:val="0"/>
                      <w:divBdr>
                        <w:top w:val="none" w:sz="0" w:space="0" w:color="auto"/>
                        <w:left w:val="none" w:sz="0" w:space="0" w:color="auto"/>
                        <w:bottom w:val="none" w:sz="0" w:space="0" w:color="auto"/>
                        <w:right w:val="none" w:sz="0" w:space="0" w:color="auto"/>
                      </w:divBdr>
                    </w:div>
                  </w:divsChild>
                </w:div>
                <w:div w:id="792750579">
                  <w:marLeft w:val="0"/>
                  <w:marRight w:val="0"/>
                  <w:marTop w:val="0"/>
                  <w:marBottom w:val="0"/>
                  <w:divBdr>
                    <w:top w:val="none" w:sz="0" w:space="0" w:color="auto"/>
                    <w:left w:val="none" w:sz="0" w:space="0" w:color="auto"/>
                    <w:bottom w:val="none" w:sz="0" w:space="0" w:color="auto"/>
                    <w:right w:val="none" w:sz="0" w:space="0" w:color="auto"/>
                  </w:divBdr>
                  <w:divsChild>
                    <w:div w:id="1802336462">
                      <w:marLeft w:val="0"/>
                      <w:marRight w:val="0"/>
                      <w:marTop w:val="0"/>
                      <w:marBottom w:val="0"/>
                      <w:divBdr>
                        <w:top w:val="none" w:sz="0" w:space="0" w:color="auto"/>
                        <w:left w:val="none" w:sz="0" w:space="0" w:color="auto"/>
                        <w:bottom w:val="none" w:sz="0" w:space="0" w:color="auto"/>
                        <w:right w:val="none" w:sz="0" w:space="0" w:color="auto"/>
                      </w:divBdr>
                    </w:div>
                  </w:divsChild>
                </w:div>
                <w:div w:id="872620621">
                  <w:marLeft w:val="0"/>
                  <w:marRight w:val="0"/>
                  <w:marTop w:val="0"/>
                  <w:marBottom w:val="0"/>
                  <w:divBdr>
                    <w:top w:val="none" w:sz="0" w:space="0" w:color="auto"/>
                    <w:left w:val="none" w:sz="0" w:space="0" w:color="auto"/>
                    <w:bottom w:val="none" w:sz="0" w:space="0" w:color="auto"/>
                    <w:right w:val="none" w:sz="0" w:space="0" w:color="auto"/>
                  </w:divBdr>
                  <w:divsChild>
                    <w:div w:id="1191183735">
                      <w:marLeft w:val="0"/>
                      <w:marRight w:val="0"/>
                      <w:marTop w:val="0"/>
                      <w:marBottom w:val="0"/>
                      <w:divBdr>
                        <w:top w:val="none" w:sz="0" w:space="0" w:color="auto"/>
                        <w:left w:val="none" w:sz="0" w:space="0" w:color="auto"/>
                        <w:bottom w:val="none" w:sz="0" w:space="0" w:color="auto"/>
                        <w:right w:val="none" w:sz="0" w:space="0" w:color="auto"/>
                      </w:divBdr>
                    </w:div>
                  </w:divsChild>
                </w:div>
                <w:div w:id="977076854">
                  <w:marLeft w:val="0"/>
                  <w:marRight w:val="0"/>
                  <w:marTop w:val="0"/>
                  <w:marBottom w:val="0"/>
                  <w:divBdr>
                    <w:top w:val="none" w:sz="0" w:space="0" w:color="auto"/>
                    <w:left w:val="none" w:sz="0" w:space="0" w:color="auto"/>
                    <w:bottom w:val="none" w:sz="0" w:space="0" w:color="auto"/>
                    <w:right w:val="none" w:sz="0" w:space="0" w:color="auto"/>
                  </w:divBdr>
                  <w:divsChild>
                    <w:div w:id="1059599161">
                      <w:marLeft w:val="0"/>
                      <w:marRight w:val="0"/>
                      <w:marTop w:val="0"/>
                      <w:marBottom w:val="0"/>
                      <w:divBdr>
                        <w:top w:val="none" w:sz="0" w:space="0" w:color="auto"/>
                        <w:left w:val="none" w:sz="0" w:space="0" w:color="auto"/>
                        <w:bottom w:val="none" w:sz="0" w:space="0" w:color="auto"/>
                        <w:right w:val="none" w:sz="0" w:space="0" w:color="auto"/>
                      </w:divBdr>
                    </w:div>
                  </w:divsChild>
                </w:div>
                <w:div w:id="1051345680">
                  <w:marLeft w:val="0"/>
                  <w:marRight w:val="0"/>
                  <w:marTop w:val="0"/>
                  <w:marBottom w:val="0"/>
                  <w:divBdr>
                    <w:top w:val="none" w:sz="0" w:space="0" w:color="auto"/>
                    <w:left w:val="none" w:sz="0" w:space="0" w:color="auto"/>
                    <w:bottom w:val="none" w:sz="0" w:space="0" w:color="auto"/>
                    <w:right w:val="none" w:sz="0" w:space="0" w:color="auto"/>
                  </w:divBdr>
                  <w:divsChild>
                    <w:div w:id="884633379">
                      <w:marLeft w:val="0"/>
                      <w:marRight w:val="0"/>
                      <w:marTop w:val="0"/>
                      <w:marBottom w:val="0"/>
                      <w:divBdr>
                        <w:top w:val="none" w:sz="0" w:space="0" w:color="auto"/>
                        <w:left w:val="none" w:sz="0" w:space="0" w:color="auto"/>
                        <w:bottom w:val="none" w:sz="0" w:space="0" w:color="auto"/>
                        <w:right w:val="none" w:sz="0" w:space="0" w:color="auto"/>
                      </w:divBdr>
                    </w:div>
                  </w:divsChild>
                </w:div>
                <w:div w:id="1133795329">
                  <w:marLeft w:val="0"/>
                  <w:marRight w:val="0"/>
                  <w:marTop w:val="0"/>
                  <w:marBottom w:val="0"/>
                  <w:divBdr>
                    <w:top w:val="none" w:sz="0" w:space="0" w:color="auto"/>
                    <w:left w:val="none" w:sz="0" w:space="0" w:color="auto"/>
                    <w:bottom w:val="none" w:sz="0" w:space="0" w:color="auto"/>
                    <w:right w:val="none" w:sz="0" w:space="0" w:color="auto"/>
                  </w:divBdr>
                  <w:divsChild>
                    <w:div w:id="944269324">
                      <w:marLeft w:val="0"/>
                      <w:marRight w:val="0"/>
                      <w:marTop w:val="0"/>
                      <w:marBottom w:val="0"/>
                      <w:divBdr>
                        <w:top w:val="none" w:sz="0" w:space="0" w:color="auto"/>
                        <w:left w:val="none" w:sz="0" w:space="0" w:color="auto"/>
                        <w:bottom w:val="none" w:sz="0" w:space="0" w:color="auto"/>
                        <w:right w:val="none" w:sz="0" w:space="0" w:color="auto"/>
                      </w:divBdr>
                    </w:div>
                  </w:divsChild>
                </w:div>
                <w:div w:id="1137644877">
                  <w:marLeft w:val="0"/>
                  <w:marRight w:val="0"/>
                  <w:marTop w:val="0"/>
                  <w:marBottom w:val="0"/>
                  <w:divBdr>
                    <w:top w:val="none" w:sz="0" w:space="0" w:color="auto"/>
                    <w:left w:val="none" w:sz="0" w:space="0" w:color="auto"/>
                    <w:bottom w:val="none" w:sz="0" w:space="0" w:color="auto"/>
                    <w:right w:val="none" w:sz="0" w:space="0" w:color="auto"/>
                  </w:divBdr>
                  <w:divsChild>
                    <w:div w:id="1666399832">
                      <w:marLeft w:val="0"/>
                      <w:marRight w:val="0"/>
                      <w:marTop w:val="0"/>
                      <w:marBottom w:val="0"/>
                      <w:divBdr>
                        <w:top w:val="none" w:sz="0" w:space="0" w:color="auto"/>
                        <w:left w:val="none" w:sz="0" w:space="0" w:color="auto"/>
                        <w:bottom w:val="none" w:sz="0" w:space="0" w:color="auto"/>
                        <w:right w:val="none" w:sz="0" w:space="0" w:color="auto"/>
                      </w:divBdr>
                    </w:div>
                  </w:divsChild>
                </w:div>
                <w:div w:id="1248687944">
                  <w:marLeft w:val="0"/>
                  <w:marRight w:val="0"/>
                  <w:marTop w:val="0"/>
                  <w:marBottom w:val="0"/>
                  <w:divBdr>
                    <w:top w:val="none" w:sz="0" w:space="0" w:color="auto"/>
                    <w:left w:val="none" w:sz="0" w:space="0" w:color="auto"/>
                    <w:bottom w:val="none" w:sz="0" w:space="0" w:color="auto"/>
                    <w:right w:val="none" w:sz="0" w:space="0" w:color="auto"/>
                  </w:divBdr>
                  <w:divsChild>
                    <w:div w:id="842477106">
                      <w:marLeft w:val="0"/>
                      <w:marRight w:val="0"/>
                      <w:marTop w:val="0"/>
                      <w:marBottom w:val="0"/>
                      <w:divBdr>
                        <w:top w:val="none" w:sz="0" w:space="0" w:color="auto"/>
                        <w:left w:val="none" w:sz="0" w:space="0" w:color="auto"/>
                        <w:bottom w:val="none" w:sz="0" w:space="0" w:color="auto"/>
                        <w:right w:val="none" w:sz="0" w:space="0" w:color="auto"/>
                      </w:divBdr>
                    </w:div>
                  </w:divsChild>
                </w:div>
                <w:div w:id="1291547464">
                  <w:marLeft w:val="0"/>
                  <w:marRight w:val="0"/>
                  <w:marTop w:val="0"/>
                  <w:marBottom w:val="0"/>
                  <w:divBdr>
                    <w:top w:val="none" w:sz="0" w:space="0" w:color="auto"/>
                    <w:left w:val="none" w:sz="0" w:space="0" w:color="auto"/>
                    <w:bottom w:val="none" w:sz="0" w:space="0" w:color="auto"/>
                    <w:right w:val="none" w:sz="0" w:space="0" w:color="auto"/>
                  </w:divBdr>
                  <w:divsChild>
                    <w:div w:id="1482310139">
                      <w:marLeft w:val="0"/>
                      <w:marRight w:val="0"/>
                      <w:marTop w:val="0"/>
                      <w:marBottom w:val="0"/>
                      <w:divBdr>
                        <w:top w:val="none" w:sz="0" w:space="0" w:color="auto"/>
                        <w:left w:val="none" w:sz="0" w:space="0" w:color="auto"/>
                        <w:bottom w:val="none" w:sz="0" w:space="0" w:color="auto"/>
                        <w:right w:val="none" w:sz="0" w:space="0" w:color="auto"/>
                      </w:divBdr>
                    </w:div>
                  </w:divsChild>
                </w:div>
                <w:div w:id="1484157739">
                  <w:marLeft w:val="0"/>
                  <w:marRight w:val="0"/>
                  <w:marTop w:val="0"/>
                  <w:marBottom w:val="0"/>
                  <w:divBdr>
                    <w:top w:val="none" w:sz="0" w:space="0" w:color="auto"/>
                    <w:left w:val="none" w:sz="0" w:space="0" w:color="auto"/>
                    <w:bottom w:val="none" w:sz="0" w:space="0" w:color="auto"/>
                    <w:right w:val="none" w:sz="0" w:space="0" w:color="auto"/>
                  </w:divBdr>
                  <w:divsChild>
                    <w:div w:id="683048157">
                      <w:marLeft w:val="0"/>
                      <w:marRight w:val="0"/>
                      <w:marTop w:val="0"/>
                      <w:marBottom w:val="0"/>
                      <w:divBdr>
                        <w:top w:val="none" w:sz="0" w:space="0" w:color="auto"/>
                        <w:left w:val="none" w:sz="0" w:space="0" w:color="auto"/>
                        <w:bottom w:val="none" w:sz="0" w:space="0" w:color="auto"/>
                        <w:right w:val="none" w:sz="0" w:space="0" w:color="auto"/>
                      </w:divBdr>
                    </w:div>
                  </w:divsChild>
                </w:div>
                <w:div w:id="1562058342">
                  <w:marLeft w:val="0"/>
                  <w:marRight w:val="0"/>
                  <w:marTop w:val="0"/>
                  <w:marBottom w:val="0"/>
                  <w:divBdr>
                    <w:top w:val="none" w:sz="0" w:space="0" w:color="auto"/>
                    <w:left w:val="none" w:sz="0" w:space="0" w:color="auto"/>
                    <w:bottom w:val="none" w:sz="0" w:space="0" w:color="auto"/>
                    <w:right w:val="none" w:sz="0" w:space="0" w:color="auto"/>
                  </w:divBdr>
                  <w:divsChild>
                    <w:div w:id="931619656">
                      <w:marLeft w:val="0"/>
                      <w:marRight w:val="0"/>
                      <w:marTop w:val="0"/>
                      <w:marBottom w:val="0"/>
                      <w:divBdr>
                        <w:top w:val="none" w:sz="0" w:space="0" w:color="auto"/>
                        <w:left w:val="none" w:sz="0" w:space="0" w:color="auto"/>
                        <w:bottom w:val="none" w:sz="0" w:space="0" w:color="auto"/>
                        <w:right w:val="none" w:sz="0" w:space="0" w:color="auto"/>
                      </w:divBdr>
                    </w:div>
                  </w:divsChild>
                </w:div>
                <w:div w:id="1565677056">
                  <w:marLeft w:val="0"/>
                  <w:marRight w:val="0"/>
                  <w:marTop w:val="0"/>
                  <w:marBottom w:val="0"/>
                  <w:divBdr>
                    <w:top w:val="none" w:sz="0" w:space="0" w:color="auto"/>
                    <w:left w:val="none" w:sz="0" w:space="0" w:color="auto"/>
                    <w:bottom w:val="none" w:sz="0" w:space="0" w:color="auto"/>
                    <w:right w:val="none" w:sz="0" w:space="0" w:color="auto"/>
                  </w:divBdr>
                  <w:divsChild>
                    <w:div w:id="1023751354">
                      <w:marLeft w:val="0"/>
                      <w:marRight w:val="0"/>
                      <w:marTop w:val="0"/>
                      <w:marBottom w:val="0"/>
                      <w:divBdr>
                        <w:top w:val="none" w:sz="0" w:space="0" w:color="auto"/>
                        <w:left w:val="none" w:sz="0" w:space="0" w:color="auto"/>
                        <w:bottom w:val="none" w:sz="0" w:space="0" w:color="auto"/>
                        <w:right w:val="none" w:sz="0" w:space="0" w:color="auto"/>
                      </w:divBdr>
                    </w:div>
                  </w:divsChild>
                </w:div>
                <w:div w:id="1579557845">
                  <w:marLeft w:val="0"/>
                  <w:marRight w:val="0"/>
                  <w:marTop w:val="0"/>
                  <w:marBottom w:val="0"/>
                  <w:divBdr>
                    <w:top w:val="none" w:sz="0" w:space="0" w:color="auto"/>
                    <w:left w:val="none" w:sz="0" w:space="0" w:color="auto"/>
                    <w:bottom w:val="none" w:sz="0" w:space="0" w:color="auto"/>
                    <w:right w:val="none" w:sz="0" w:space="0" w:color="auto"/>
                  </w:divBdr>
                  <w:divsChild>
                    <w:div w:id="2069763433">
                      <w:marLeft w:val="0"/>
                      <w:marRight w:val="0"/>
                      <w:marTop w:val="0"/>
                      <w:marBottom w:val="0"/>
                      <w:divBdr>
                        <w:top w:val="none" w:sz="0" w:space="0" w:color="auto"/>
                        <w:left w:val="none" w:sz="0" w:space="0" w:color="auto"/>
                        <w:bottom w:val="none" w:sz="0" w:space="0" w:color="auto"/>
                        <w:right w:val="none" w:sz="0" w:space="0" w:color="auto"/>
                      </w:divBdr>
                    </w:div>
                  </w:divsChild>
                </w:div>
                <w:div w:id="1727872886">
                  <w:marLeft w:val="0"/>
                  <w:marRight w:val="0"/>
                  <w:marTop w:val="0"/>
                  <w:marBottom w:val="0"/>
                  <w:divBdr>
                    <w:top w:val="none" w:sz="0" w:space="0" w:color="auto"/>
                    <w:left w:val="none" w:sz="0" w:space="0" w:color="auto"/>
                    <w:bottom w:val="none" w:sz="0" w:space="0" w:color="auto"/>
                    <w:right w:val="none" w:sz="0" w:space="0" w:color="auto"/>
                  </w:divBdr>
                  <w:divsChild>
                    <w:div w:id="661275085">
                      <w:marLeft w:val="0"/>
                      <w:marRight w:val="0"/>
                      <w:marTop w:val="0"/>
                      <w:marBottom w:val="0"/>
                      <w:divBdr>
                        <w:top w:val="none" w:sz="0" w:space="0" w:color="auto"/>
                        <w:left w:val="none" w:sz="0" w:space="0" w:color="auto"/>
                        <w:bottom w:val="none" w:sz="0" w:space="0" w:color="auto"/>
                        <w:right w:val="none" w:sz="0" w:space="0" w:color="auto"/>
                      </w:divBdr>
                    </w:div>
                  </w:divsChild>
                </w:div>
                <w:div w:id="1743288798">
                  <w:marLeft w:val="0"/>
                  <w:marRight w:val="0"/>
                  <w:marTop w:val="0"/>
                  <w:marBottom w:val="0"/>
                  <w:divBdr>
                    <w:top w:val="none" w:sz="0" w:space="0" w:color="auto"/>
                    <w:left w:val="none" w:sz="0" w:space="0" w:color="auto"/>
                    <w:bottom w:val="none" w:sz="0" w:space="0" w:color="auto"/>
                    <w:right w:val="none" w:sz="0" w:space="0" w:color="auto"/>
                  </w:divBdr>
                  <w:divsChild>
                    <w:div w:id="650603186">
                      <w:marLeft w:val="0"/>
                      <w:marRight w:val="0"/>
                      <w:marTop w:val="0"/>
                      <w:marBottom w:val="0"/>
                      <w:divBdr>
                        <w:top w:val="none" w:sz="0" w:space="0" w:color="auto"/>
                        <w:left w:val="none" w:sz="0" w:space="0" w:color="auto"/>
                        <w:bottom w:val="none" w:sz="0" w:space="0" w:color="auto"/>
                        <w:right w:val="none" w:sz="0" w:space="0" w:color="auto"/>
                      </w:divBdr>
                    </w:div>
                  </w:divsChild>
                </w:div>
                <w:div w:id="1759208757">
                  <w:marLeft w:val="0"/>
                  <w:marRight w:val="0"/>
                  <w:marTop w:val="0"/>
                  <w:marBottom w:val="0"/>
                  <w:divBdr>
                    <w:top w:val="none" w:sz="0" w:space="0" w:color="auto"/>
                    <w:left w:val="none" w:sz="0" w:space="0" w:color="auto"/>
                    <w:bottom w:val="none" w:sz="0" w:space="0" w:color="auto"/>
                    <w:right w:val="none" w:sz="0" w:space="0" w:color="auto"/>
                  </w:divBdr>
                  <w:divsChild>
                    <w:div w:id="1080709742">
                      <w:marLeft w:val="0"/>
                      <w:marRight w:val="0"/>
                      <w:marTop w:val="0"/>
                      <w:marBottom w:val="0"/>
                      <w:divBdr>
                        <w:top w:val="none" w:sz="0" w:space="0" w:color="auto"/>
                        <w:left w:val="none" w:sz="0" w:space="0" w:color="auto"/>
                        <w:bottom w:val="none" w:sz="0" w:space="0" w:color="auto"/>
                        <w:right w:val="none" w:sz="0" w:space="0" w:color="auto"/>
                      </w:divBdr>
                    </w:div>
                  </w:divsChild>
                </w:div>
                <w:div w:id="1871839906">
                  <w:marLeft w:val="0"/>
                  <w:marRight w:val="0"/>
                  <w:marTop w:val="0"/>
                  <w:marBottom w:val="0"/>
                  <w:divBdr>
                    <w:top w:val="none" w:sz="0" w:space="0" w:color="auto"/>
                    <w:left w:val="none" w:sz="0" w:space="0" w:color="auto"/>
                    <w:bottom w:val="none" w:sz="0" w:space="0" w:color="auto"/>
                    <w:right w:val="none" w:sz="0" w:space="0" w:color="auto"/>
                  </w:divBdr>
                  <w:divsChild>
                    <w:div w:id="380054297">
                      <w:marLeft w:val="0"/>
                      <w:marRight w:val="0"/>
                      <w:marTop w:val="0"/>
                      <w:marBottom w:val="0"/>
                      <w:divBdr>
                        <w:top w:val="none" w:sz="0" w:space="0" w:color="auto"/>
                        <w:left w:val="none" w:sz="0" w:space="0" w:color="auto"/>
                        <w:bottom w:val="none" w:sz="0" w:space="0" w:color="auto"/>
                        <w:right w:val="none" w:sz="0" w:space="0" w:color="auto"/>
                      </w:divBdr>
                    </w:div>
                  </w:divsChild>
                </w:div>
                <w:div w:id="1877423740">
                  <w:marLeft w:val="0"/>
                  <w:marRight w:val="0"/>
                  <w:marTop w:val="0"/>
                  <w:marBottom w:val="0"/>
                  <w:divBdr>
                    <w:top w:val="none" w:sz="0" w:space="0" w:color="auto"/>
                    <w:left w:val="none" w:sz="0" w:space="0" w:color="auto"/>
                    <w:bottom w:val="none" w:sz="0" w:space="0" w:color="auto"/>
                    <w:right w:val="none" w:sz="0" w:space="0" w:color="auto"/>
                  </w:divBdr>
                  <w:divsChild>
                    <w:div w:id="1208683961">
                      <w:marLeft w:val="0"/>
                      <w:marRight w:val="0"/>
                      <w:marTop w:val="0"/>
                      <w:marBottom w:val="0"/>
                      <w:divBdr>
                        <w:top w:val="none" w:sz="0" w:space="0" w:color="auto"/>
                        <w:left w:val="none" w:sz="0" w:space="0" w:color="auto"/>
                        <w:bottom w:val="none" w:sz="0" w:space="0" w:color="auto"/>
                        <w:right w:val="none" w:sz="0" w:space="0" w:color="auto"/>
                      </w:divBdr>
                    </w:div>
                  </w:divsChild>
                </w:div>
                <w:div w:id="2028826590">
                  <w:marLeft w:val="0"/>
                  <w:marRight w:val="0"/>
                  <w:marTop w:val="0"/>
                  <w:marBottom w:val="0"/>
                  <w:divBdr>
                    <w:top w:val="none" w:sz="0" w:space="0" w:color="auto"/>
                    <w:left w:val="none" w:sz="0" w:space="0" w:color="auto"/>
                    <w:bottom w:val="none" w:sz="0" w:space="0" w:color="auto"/>
                    <w:right w:val="none" w:sz="0" w:space="0" w:color="auto"/>
                  </w:divBdr>
                  <w:divsChild>
                    <w:div w:id="1259293604">
                      <w:marLeft w:val="0"/>
                      <w:marRight w:val="0"/>
                      <w:marTop w:val="0"/>
                      <w:marBottom w:val="0"/>
                      <w:divBdr>
                        <w:top w:val="none" w:sz="0" w:space="0" w:color="auto"/>
                        <w:left w:val="none" w:sz="0" w:space="0" w:color="auto"/>
                        <w:bottom w:val="none" w:sz="0" w:space="0" w:color="auto"/>
                        <w:right w:val="none" w:sz="0" w:space="0" w:color="auto"/>
                      </w:divBdr>
                    </w:div>
                  </w:divsChild>
                </w:div>
                <w:div w:id="2137672224">
                  <w:marLeft w:val="0"/>
                  <w:marRight w:val="0"/>
                  <w:marTop w:val="0"/>
                  <w:marBottom w:val="0"/>
                  <w:divBdr>
                    <w:top w:val="none" w:sz="0" w:space="0" w:color="auto"/>
                    <w:left w:val="none" w:sz="0" w:space="0" w:color="auto"/>
                    <w:bottom w:val="none" w:sz="0" w:space="0" w:color="auto"/>
                    <w:right w:val="none" w:sz="0" w:space="0" w:color="auto"/>
                  </w:divBdr>
                  <w:divsChild>
                    <w:div w:id="2895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140171">
          <w:marLeft w:val="0"/>
          <w:marRight w:val="0"/>
          <w:marTop w:val="0"/>
          <w:marBottom w:val="0"/>
          <w:divBdr>
            <w:top w:val="none" w:sz="0" w:space="0" w:color="auto"/>
            <w:left w:val="none" w:sz="0" w:space="0" w:color="auto"/>
            <w:bottom w:val="none" w:sz="0" w:space="0" w:color="auto"/>
            <w:right w:val="none" w:sz="0" w:space="0" w:color="auto"/>
          </w:divBdr>
        </w:div>
        <w:div w:id="2036534879">
          <w:marLeft w:val="0"/>
          <w:marRight w:val="0"/>
          <w:marTop w:val="0"/>
          <w:marBottom w:val="0"/>
          <w:divBdr>
            <w:top w:val="none" w:sz="0" w:space="0" w:color="auto"/>
            <w:left w:val="none" w:sz="0" w:space="0" w:color="auto"/>
            <w:bottom w:val="none" w:sz="0" w:space="0" w:color="auto"/>
            <w:right w:val="none" w:sz="0" w:space="0" w:color="auto"/>
          </w:divBdr>
        </w:div>
      </w:divsChild>
    </w:div>
    <w:div w:id="1726441640">
      <w:bodyDiv w:val="1"/>
      <w:marLeft w:val="0"/>
      <w:marRight w:val="0"/>
      <w:marTop w:val="0"/>
      <w:marBottom w:val="0"/>
      <w:divBdr>
        <w:top w:val="none" w:sz="0" w:space="0" w:color="auto"/>
        <w:left w:val="none" w:sz="0" w:space="0" w:color="auto"/>
        <w:bottom w:val="none" w:sz="0" w:space="0" w:color="auto"/>
        <w:right w:val="none" w:sz="0" w:space="0" w:color="auto"/>
      </w:divBdr>
    </w:div>
    <w:div w:id="1778595445">
      <w:bodyDiv w:val="1"/>
      <w:marLeft w:val="0"/>
      <w:marRight w:val="0"/>
      <w:marTop w:val="0"/>
      <w:marBottom w:val="0"/>
      <w:divBdr>
        <w:top w:val="none" w:sz="0" w:space="0" w:color="auto"/>
        <w:left w:val="none" w:sz="0" w:space="0" w:color="auto"/>
        <w:bottom w:val="none" w:sz="0" w:space="0" w:color="auto"/>
        <w:right w:val="none" w:sz="0" w:space="0" w:color="auto"/>
      </w:divBdr>
      <w:divsChild>
        <w:div w:id="269432588">
          <w:marLeft w:val="0"/>
          <w:marRight w:val="0"/>
          <w:marTop w:val="0"/>
          <w:marBottom w:val="0"/>
          <w:divBdr>
            <w:top w:val="none" w:sz="0" w:space="0" w:color="auto"/>
            <w:left w:val="none" w:sz="0" w:space="0" w:color="auto"/>
            <w:bottom w:val="none" w:sz="0" w:space="0" w:color="auto"/>
            <w:right w:val="none" w:sz="0" w:space="0" w:color="auto"/>
          </w:divBdr>
        </w:div>
        <w:div w:id="1424180739">
          <w:marLeft w:val="0"/>
          <w:marRight w:val="0"/>
          <w:marTop w:val="0"/>
          <w:marBottom w:val="0"/>
          <w:divBdr>
            <w:top w:val="none" w:sz="0" w:space="0" w:color="auto"/>
            <w:left w:val="none" w:sz="0" w:space="0" w:color="auto"/>
            <w:bottom w:val="none" w:sz="0" w:space="0" w:color="auto"/>
            <w:right w:val="none" w:sz="0" w:space="0" w:color="auto"/>
          </w:divBdr>
        </w:div>
      </w:divsChild>
    </w:div>
    <w:div w:id="1984574561">
      <w:bodyDiv w:val="1"/>
      <w:marLeft w:val="0"/>
      <w:marRight w:val="0"/>
      <w:marTop w:val="0"/>
      <w:marBottom w:val="0"/>
      <w:divBdr>
        <w:top w:val="none" w:sz="0" w:space="0" w:color="auto"/>
        <w:left w:val="none" w:sz="0" w:space="0" w:color="auto"/>
        <w:bottom w:val="none" w:sz="0" w:space="0" w:color="auto"/>
        <w:right w:val="none" w:sz="0" w:space="0" w:color="auto"/>
      </w:divBdr>
    </w:div>
    <w:div w:id="2104299417">
      <w:bodyDiv w:val="1"/>
      <w:marLeft w:val="0"/>
      <w:marRight w:val="0"/>
      <w:marTop w:val="0"/>
      <w:marBottom w:val="0"/>
      <w:divBdr>
        <w:top w:val="none" w:sz="0" w:space="0" w:color="auto"/>
        <w:left w:val="none" w:sz="0" w:space="0" w:color="auto"/>
        <w:bottom w:val="none" w:sz="0" w:space="0" w:color="auto"/>
        <w:right w:val="none" w:sz="0" w:space="0" w:color="auto"/>
      </w:divBdr>
      <w:divsChild>
        <w:div w:id="99957214">
          <w:marLeft w:val="0"/>
          <w:marRight w:val="0"/>
          <w:marTop w:val="0"/>
          <w:marBottom w:val="0"/>
          <w:divBdr>
            <w:top w:val="none" w:sz="0" w:space="0" w:color="auto"/>
            <w:left w:val="none" w:sz="0" w:space="0" w:color="auto"/>
            <w:bottom w:val="none" w:sz="0" w:space="0" w:color="auto"/>
            <w:right w:val="none" w:sz="0" w:space="0" w:color="auto"/>
          </w:divBdr>
          <w:divsChild>
            <w:div w:id="493374242">
              <w:marLeft w:val="0"/>
              <w:marRight w:val="0"/>
              <w:marTop w:val="0"/>
              <w:marBottom w:val="0"/>
              <w:divBdr>
                <w:top w:val="none" w:sz="0" w:space="0" w:color="auto"/>
                <w:left w:val="none" w:sz="0" w:space="0" w:color="auto"/>
                <w:bottom w:val="none" w:sz="0" w:space="0" w:color="auto"/>
                <w:right w:val="none" w:sz="0" w:space="0" w:color="auto"/>
              </w:divBdr>
            </w:div>
          </w:divsChild>
        </w:div>
        <w:div w:id="738479719">
          <w:marLeft w:val="0"/>
          <w:marRight w:val="0"/>
          <w:marTop w:val="0"/>
          <w:marBottom w:val="0"/>
          <w:divBdr>
            <w:top w:val="none" w:sz="0" w:space="0" w:color="auto"/>
            <w:left w:val="none" w:sz="0" w:space="0" w:color="auto"/>
            <w:bottom w:val="none" w:sz="0" w:space="0" w:color="auto"/>
            <w:right w:val="none" w:sz="0" w:space="0" w:color="auto"/>
          </w:divBdr>
          <w:divsChild>
            <w:div w:id="622730807">
              <w:marLeft w:val="0"/>
              <w:marRight w:val="0"/>
              <w:marTop w:val="0"/>
              <w:marBottom w:val="0"/>
              <w:divBdr>
                <w:top w:val="none" w:sz="0" w:space="0" w:color="auto"/>
                <w:left w:val="none" w:sz="0" w:space="0" w:color="auto"/>
                <w:bottom w:val="none" w:sz="0" w:space="0" w:color="auto"/>
                <w:right w:val="none" w:sz="0" w:space="0" w:color="auto"/>
              </w:divBdr>
            </w:div>
          </w:divsChild>
        </w:div>
        <w:div w:id="765422610">
          <w:marLeft w:val="0"/>
          <w:marRight w:val="0"/>
          <w:marTop w:val="0"/>
          <w:marBottom w:val="0"/>
          <w:divBdr>
            <w:top w:val="none" w:sz="0" w:space="0" w:color="auto"/>
            <w:left w:val="none" w:sz="0" w:space="0" w:color="auto"/>
            <w:bottom w:val="none" w:sz="0" w:space="0" w:color="auto"/>
            <w:right w:val="none" w:sz="0" w:space="0" w:color="auto"/>
          </w:divBdr>
          <w:divsChild>
            <w:div w:id="1899702573">
              <w:marLeft w:val="0"/>
              <w:marRight w:val="0"/>
              <w:marTop w:val="0"/>
              <w:marBottom w:val="0"/>
              <w:divBdr>
                <w:top w:val="none" w:sz="0" w:space="0" w:color="auto"/>
                <w:left w:val="none" w:sz="0" w:space="0" w:color="auto"/>
                <w:bottom w:val="none" w:sz="0" w:space="0" w:color="auto"/>
                <w:right w:val="none" w:sz="0" w:space="0" w:color="auto"/>
              </w:divBdr>
            </w:div>
          </w:divsChild>
        </w:div>
        <w:div w:id="813906974">
          <w:marLeft w:val="0"/>
          <w:marRight w:val="0"/>
          <w:marTop w:val="0"/>
          <w:marBottom w:val="0"/>
          <w:divBdr>
            <w:top w:val="none" w:sz="0" w:space="0" w:color="auto"/>
            <w:left w:val="none" w:sz="0" w:space="0" w:color="auto"/>
            <w:bottom w:val="none" w:sz="0" w:space="0" w:color="auto"/>
            <w:right w:val="none" w:sz="0" w:space="0" w:color="auto"/>
          </w:divBdr>
          <w:divsChild>
            <w:div w:id="165634463">
              <w:marLeft w:val="0"/>
              <w:marRight w:val="0"/>
              <w:marTop w:val="0"/>
              <w:marBottom w:val="0"/>
              <w:divBdr>
                <w:top w:val="none" w:sz="0" w:space="0" w:color="auto"/>
                <w:left w:val="none" w:sz="0" w:space="0" w:color="auto"/>
                <w:bottom w:val="none" w:sz="0" w:space="0" w:color="auto"/>
                <w:right w:val="none" w:sz="0" w:space="0" w:color="auto"/>
              </w:divBdr>
            </w:div>
          </w:divsChild>
        </w:div>
        <w:div w:id="927885038">
          <w:marLeft w:val="0"/>
          <w:marRight w:val="0"/>
          <w:marTop w:val="0"/>
          <w:marBottom w:val="0"/>
          <w:divBdr>
            <w:top w:val="none" w:sz="0" w:space="0" w:color="auto"/>
            <w:left w:val="none" w:sz="0" w:space="0" w:color="auto"/>
            <w:bottom w:val="none" w:sz="0" w:space="0" w:color="auto"/>
            <w:right w:val="none" w:sz="0" w:space="0" w:color="auto"/>
          </w:divBdr>
          <w:divsChild>
            <w:div w:id="631250851">
              <w:marLeft w:val="0"/>
              <w:marRight w:val="0"/>
              <w:marTop w:val="0"/>
              <w:marBottom w:val="0"/>
              <w:divBdr>
                <w:top w:val="none" w:sz="0" w:space="0" w:color="auto"/>
                <w:left w:val="none" w:sz="0" w:space="0" w:color="auto"/>
                <w:bottom w:val="none" w:sz="0" w:space="0" w:color="auto"/>
                <w:right w:val="none" w:sz="0" w:space="0" w:color="auto"/>
              </w:divBdr>
            </w:div>
          </w:divsChild>
        </w:div>
        <w:div w:id="1559167207">
          <w:marLeft w:val="0"/>
          <w:marRight w:val="0"/>
          <w:marTop w:val="0"/>
          <w:marBottom w:val="0"/>
          <w:divBdr>
            <w:top w:val="none" w:sz="0" w:space="0" w:color="auto"/>
            <w:left w:val="none" w:sz="0" w:space="0" w:color="auto"/>
            <w:bottom w:val="none" w:sz="0" w:space="0" w:color="auto"/>
            <w:right w:val="none" w:sz="0" w:space="0" w:color="auto"/>
          </w:divBdr>
          <w:divsChild>
            <w:div w:id="1851988202">
              <w:marLeft w:val="0"/>
              <w:marRight w:val="0"/>
              <w:marTop w:val="0"/>
              <w:marBottom w:val="0"/>
              <w:divBdr>
                <w:top w:val="none" w:sz="0" w:space="0" w:color="auto"/>
                <w:left w:val="none" w:sz="0" w:space="0" w:color="auto"/>
                <w:bottom w:val="none" w:sz="0" w:space="0" w:color="auto"/>
                <w:right w:val="none" w:sz="0" w:space="0" w:color="auto"/>
              </w:divBdr>
            </w:div>
          </w:divsChild>
        </w:div>
        <w:div w:id="1829010417">
          <w:marLeft w:val="0"/>
          <w:marRight w:val="0"/>
          <w:marTop w:val="0"/>
          <w:marBottom w:val="0"/>
          <w:divBdr>
            <w:top w:val="none" w:sz="0" w:space="0" w:color="auto"/>
            <w:left w:val="none" w:sz="0" w:space="0" w:color="auto"/>
            <w:bottom w:val="none" w:sz="0" w:space="0" w:color="auto"/>
            <w:right w:val="none" w:sz="0" w:space="0" w:color="auto"/>
          </w:divBdr>
          <w:divsChild>
            <w:div w:id="1712999729">
              <w:marLeft w:val="0"/>
              <w:marRight w:val="0"/>
              <w:marTop w:val="0"/>
              <w:marBottom w:val="0"/>
              <w:divBdr>
                <w:top w:val="none" w:sz="0" w:space="0" w:color="auto"/>
                <w:left w:val="none" w:sz="0" w:space="0" w:color="auto"/>
                <w:bottom w:val="none" w:sz="0" w:space="0" w:color="auto"/>
                <w:right w:val="none" w:sz="0" w:space="0" w:color="auto"/>
              </w:divBdr>
            </w:div>
          </w:divsChild>
        </w:div>
        <w:div w:id="1859658871">
          <w:marLeft w:val="0"/>
          <w:marRight w:val="0"/>
          <w:marTop w:val="0"/>
          <w:marBottom w:val="0"/>
          <w:divBdr>
            <w:top w:val="none" w:sz="0" w:space="0" w:color="auto"/>
            <w:left w:val="none" w:sz="0" w:space="0" w:color="auto"/>
            <w:bottom w:val="none" w:sz="0" w:space="0" w:color="auto"/>
            <w:right w:val="none" w:sz="0" w:space="0" w:color="auto"/>
          </w:divBdr>
          <w:divsChild>
            <w:div w:id="1441756024">
              <w:marLeft w:val="0"/>
              <w:marRight w:val="0"/>
              <w:marTop w:val="0"/>
              <w:marBottom w:val="0"/>
              <w:divBdr>
                <w:top w:val="none" w:sz="0" w:space="0" w:color="auto"/>
                <w:left w:val="none" w:sz="0" w:space="0" w:color="auto"/>
                <w:bottom w:val="none" w:sz="0" w:space="0" w:color="auto"/>
                <w:right w:val="none" w:sz="0" w:space="0" w:color="auto"/>
              </w:divBdr>
            </w:div>
          </w:divsChild>
        </w:div>
        <w:div w:id="2004772941">
          <w:marLeft w:val="0"/>
          <w:marRight w:val="0"/>
          <w:marTop w:val="0"/>
          <w:marBottom w:val="0"/>
          <w:divBdr>
            <w:top w:val="none" w:sz="0" w:space="0" w:color="auto"/>
            <w:left w:val="none" w:sz="0" w:space="0" w:color="auto"/>
            <w:bottom w:val="none" w:sz="0" w:space="0" w:color="auto"/>
            <w:right w:val="none" w:sz="0" w:space="0" w:color="auto"/>
          </w:divBdr>
          <w:divsChild>
            <w:div w:id="183633817">
              <w:marLeft w:val="0"/>
              <w:marRight w:val="0"/>
              <w:marTop w:val="0"/>
              <w:marBottom w:val="0"/>
              <w:divBdr>
                <w:top w:val="none" w:sz="0" w:space="0" w:color="auto"/>
                <w:left w:val="none" w:sz="0" w:space="0" w:color="auto"/>
                <w:bottom w:val="none" w:sz="0" w:space="0" w:color="auto"/>
                <w:right w:val="none" w:sz="0" w:space="0" w:color="auto"/>
              </w:divBdr>
            </w:div>
          </w:divsChild>
        </w:div>
        <w:div w:id="2065058930">
          <w:marLeft w:val="0"/>
          <w:marRight w:val="0"/>
          <w:marTop w:val="0"/>
          <w:marBottom w:val="0"/>
          <w:divBdr>
            <w:top w:val="none" w:sz="0" w:space="0" w:color="auto"/>
            <w:left w:val="none" w:sz="0" w:space="0" w:color="auto"/>
            <w:bottom w:val="none" w:sz="0" w:space="0" w:color="auto"/>
            <w:right w:val="none" w:sz="0" w:space="0" w:color="auto"/>
          </w:divBdr>
          <w:divsChild>
            <w:div w:id="2454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hacpa.gov.au/resources/tier-2-non-admitted-services-2023-24" TargetMode="External"/><Relationship Id="rId18" Type="http://schemas.openxmlformats.org/officeDocument/2006/relationships/header" Target="header5.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federalfinancialrelations.gov.au/sites/federalfinancialrelations.gov.au/files/2024-10/FFA%20-%20Comprehensive%20Primary%20Health%20Care%20Delivery%20-%20NT%20Health-%20signed_0.pdf" TargetMode="External"/><Relationship Id="rId2" Type="http://schemas.openxmlformats.org/officeDocument/2006/relationships/hyperlink" Target="https://www.cgc.gov.au/sites/default/files/2026-01/Correspondence%20from%20the%20Treasurer%20-%20Terms%20of%20Reference%20copy.pdf" TargetMode="External"/><Relationship Id="rId1" Type="http://schemas.openxmlformats.org/officeDocument/2006/relationships/hyperlink" Target="https://www.cgc.gov.au/reports-for-government/2025-methodology-review/review-outcomes/review-outcomes-chapte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22fae-410a-4414-898c-6e5842a53ab0">
      <Terms xmlns="http://schemas.microsoft.com/office/infopath/2007/PartnerControls"/>
    </lcf76f155ced4ddcb4097134ff3c332f>
    <TaxCatchAll xmlns="bf41d29e-d373-46fe-ac56-44f7870c46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016F3E1D58024D8E71FAE188B3DBDA" ma:contentTypeVersion="11" ma:contentTypeDescription="Create a new document." ma:contentTypeScope="" ma:versionID="4615532de7251e6cbf06c48d7c3d6676">
  <xsd:schema xmlns:xsd="http://www.w3.org/2001/XMLSchema" xmlns:xs="http://www.w3.org/2001/XMLSchema" xmlns:p="http://schemas.microsoft.com/office/2006/metadata/properties" xmlns:ns2="d1622fae-410a-4414-898c-6e5842a53ab0" xmlns:ns3="bf41d29e-d373-46fe-ac56-44f7870c4624" targetNamespace="http://schemas.microsoft.com/office/2006/metadata/properties" ma:root="true" ma:fieldsID="0672eb73e4485cfdf3a7d9ace70929b4" ns2:_="" ns3:_="">
    <xsd:import namespace="d1622fae-410a-4414-898c-6e5842a53ab0"/>
    <xsd:import namespace="bf41d29e-d373-46fe-ac56-44f7870c46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2fae-410a-4414-898c-6e5842a53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41d29e-d373-46fe-ac56-44f7870c46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426ed26-c3b6-4d2c-a1e9-069e10861af6}" ma:internalName="TaxCatchAll" ma:showField="CatchAllData" ma:web="bf41d29e-d373-46fe-ac56-44f7870c46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1099F4-D7FC-4E4E-9EF5-0B03D4C6EF81}">
  <ds:schemaRefs>
    <ds:schemaRef ds:uri="http://schemas.microsoft.com/office/2006/metadata/properties"/>
    <ds:schemaRef ds:uri="http://schemas.microsoft.com/office/infopath/2007/PartnerControls"/>
    <ds:schemaRef ds:uri="d1622fae-410a-4414-898c-6e5842a53ab0"/>
    <ds:schemaRef ds:uri="bf41d29e-d373-46fe-ac56-44f7870c4624"/>
  </ds:schemaRefs>
</ds:datastoreItem>
</file>

<file path=customXml/itemProps2.xml><?xml version="1.0" encoding="utf-8"?>
<ds:datastoreItem xmlns:ds="http://schemas.openxmlformats.org/officeDocument/2006/customXml" ds:itemID="{F17E0862-B77E-4BE7-B7B8-7DA3CE9E53E3}">
  <ds:schemaRefs>
    <ds:schemaRef ds:uri="http://schemas.microsoft.com/sharepoint/v3/contenttype/forms"/>
  </ds:schemaRefs>
</ds:datastoreItem>
</file>

<file path=customXml/itemProps3.xml><?xml version="1.0" encoding="utf-8"?>
<ds:datastoreItem xmlns:ds="http://schemas.openxmlformats.org/officeDocument/2006/customXml" ds:itemID="{58C9B718-98B6-46E7-B126-F2032D9114C4}">
  <ds:schemaRefs>
    <ds:schemaRef ds:uri="http://schemas.openxmlformats.org/officeDocument/2006/bibliography"/>
  </ds:schemaRefs>
</ds:datastoreItem>
</file>

<file path=customXml/itemProps4.xml><?xml version="1.0" encoding="utf-8"?>
<ds:datastoreItem xmlns:ds="http://schemas.openxmlformats.org/officeDocument/2006/customXml" ds:itemID="{8A7A1EFF-C4A6-4CE3-8A61-4CED34BAF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2fae-410a-4414-898c-6e5842a53ab0"/>
    <ds:schemaRef ds:uri="bf41d29e-d373-46fe-ac56-44f7870c4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20</Pages>
  <Words>6817</Words>
  <Characters>38793</Characters>
  <Application>Microsoft Office Word</Application>
  <DocSecurity>0</DocSecurity>
  <Lines>1108</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45033</CharactersWithSpaces>
  <SharedDoc>false</SharedDoc>
  <HLinks>
    <vt:vector size="30" baseType="variant">
      <vt:variant>
        <vt:i4>4980761</vt:i4>
      </vt:variant>
      <vt:variant>
        <vt:i4>0</vt:i4>
      </vt:variant>
      <vt:variant>
        <vt:i4>0</vt:i4>
      </vt:variant>
      <vt:variant>
        <vt:i4>5</vt:i4>
      </vt:variant>
      <vt:variant>
        <vt:lpwstr>https://www.ihacpa.gov.au/resources/tier-2-non-admitted-services-2023-24</vt:lpwstr>
      </vt:variant>
      <vt:variant>
        <vt:lpwstr/>
      </vt:variant>
      <vt:variant>
        <vt:i4>5111915</vt:i4>
      </vt:variant>
      <vt:variant>
        <vt:i4>6</vt:i4>
      </vt:variant>
      <vt:variant>
        <vt:i4>0</vt:i4>
      </vt:variant>
      <vt:variant>
        <vt:i4>5</vt:i4>
      </vt:variant>
      <vt:variant>
        <vt:lpwstr>https://federalfinancialrelations.gov.au/sites/federalfinancialrelations.gov.au/files/2024-10/FFA - Comprehensive Primary Health Care Delivery - NT Health- signed_0.pdf</vt:lpwstr>
      </vt:variant>
      <vt:variant>
        <vt:lpwstr/>
      </vt:variant>
      <vt:variant>
        <vt:i4>3538999</vt:i4>
      </vt:variant>
      <vt:variant>
        <vt:i4>3</vt:i4>
      </vt:variant>
      <vt:variant>
        <vt:i4>0</vt:i4>
      </vt:variant>
      <vt:variant>
        <vt:i4>5</vt:i4>
      </vt:variant>
      <vt:variant>
        <vt:lpwstr>https://www.cgc.gov.au/sites/default/files/2026-01/Correspondence from the Treasurer - Terms of Reference copy.pdf</vt:lpwstr>
      </vt:variant>
      <vt:variant>
        <vt:lpwstr/>
      </vt:variant>
      <vt:variant>
        <vt:i4>2424934</vt:i4>
      </vt:variant>
      <vt:variant>
        <vt:i4>0</vt:i4>
      </vt:variant>
      <vt:variant>
        <vt:i4>0</vt:i4>
      </vt:variant>
      <vt:variant>
        <vt:i4>5</vt:i4>
      </vt:variant>
      <vt:variant>
        <vt:lpwstr>https://www.cgc.gov.au/reports-for-government/2025-methodology-review/review-outcomes/review-outcomes-chapters</vt:lpwstr>
      </vt:variant>
      <vt:variant>
        <vt:lpwstr/>
      </vt:variant>
      <vt:variant>
        <vt:i4>6553629</vt:i4>
      </vt:variant>
      <vt:variant>
        <vt:i4>0</vt:i4>
      </vt:variant>
      <vt:variant>
        <vt:i4>0</vt:i4>
      </vt:variant>
      <vt:variant>
        <vt:i4>5</vt:i4>
      </vt:variant>
      <vt:variant>
        <vt:lpwstr/>
      </vt:variant>
      <vt:variant>
        <vt:lpwstr>_Attachment_A:_Treatment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Crabb</dc:creator>
  <cp:keywords/>
  <dc:description/>
  <cp:lastModifiedBy>Baldock, Katrina</cp:lastModifiedBy>
  <cp:revision>680</cp:revision>
  <cp:lastPrinted>2025-12-18T01:52:00Z</cp:lastPrinted>
  <dcterms:created xsi:type="dcterms:W3CDTF">2025-12-16T07:12:00Z</dcterms:created>
  <dcterms:modified xsi:type="dcterms:W3CDTF">2026-03-10T06:32:00Z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0x0101009F016F3E1D58024D8E71FAE188B3DBDA</vt:lpwstr>
  </property>
  <property fmtid="{D5CDD505-2E9C-101B-9397-08002B2CF9AE}" pid="3" name="MediaServiceImageTags">
    <vt:lpwstr/>
  </property>
  <property fmtid="{D5CDD505-2E9C-101B-9397-08002B2CF9AE}" pid="4" name="Order">
    <vt:r8>101600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UID">
    <vt:lpwstr>4f677485-288e-45d5-b32d-8e0748f727b4</vt:lpwstr>
  </property>
  <property fmtid="{D5CDD505-2E9C-101B-9397-08002B2CF9AE}" pid="12" name="MSIP_Label_4f932d64-9ab1-4d9b-81d2-a3a8b82dd47d_Enabled">
    <vt:lpwstr>true</vt:lpwstr>
  </property>
  <property fmtid="{D5CDD505-2E9C-101B-9397-08002B2CF9AE}" pid="13" name="MSIP_Label_4f932d64-9ab1-4d9b-81d2-a3a8b82dd47d_SetDate">
    <vt:lpwstr>2024-08-01T23:57:53Z</vt:lpwstr>
  </property>
  <property fmtid="{D5CDD505-2E9C-101B-9397-08002B2CF9AE}" pid="14" name="MSIP_Label_4f932d64-9ab1-4d9b-81d2-a3a8b82dd47d_Method">
    <vt:lpwstr>Privileged</vt:lpwstr>
  </property>
  <property fmtid="{D5CDD505-2E9C-101B-9397-08002B2CF9AE}" pid="15" name="MSIP_Label_4f932d64-9ab1-4d9b-81d2-a3a8b82dd47d_Name">
    <vt:lpwstr>OFFICIAL No Visual Marking</vt:lpwstr>
  </property>
  <property fmtid="{D5CDD505-2E9C-101B-9397-08002B2CF9AE}" pid="16" name="MSIP_Label_4f932d64-9ab1-4d9b-81d2-a3a8b82dd47d_SiteId">
    <vt:lpwstr>214f1646-2021-47cc-8397-e3d3a7ba7d9d</vt:lpwstr>
  </property>
  <property fmtid="{D5CDD505-2E9C-101B-9397-08002B2CF9AE}" pid="17" name="MSIP_Label_4f932d64-9ab1-4d9b-81d2-a3a8b82dd47d_ActionId">
    <vt:lpwstr>c71c67f0-667a-45af-aa73-a4bde2aa7825</vt:lpwstr>
  </property>
  <property fmtid="{D5CDD505-2E9C-101B-9397-08002B2CF9AE}" pid="18" name="MSIP_Label_4f932d64-9ab1-4d9b-81d2-a3a8b82dd47d_ContentBits">
    <vt:lpwstr>0</vt:lpwstr>
  </property>
</Properties>
</file>